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8.1 -->
  <w:body>
    <w:p>
      <w:pPr>
        <w:widowControl/>
        <w:jc w:val="center"/>
        <w:rPr>
          <w:rFonts w:ascii="宋体" w:eastAsia="宋体" w:hAnsi="宋体" w:cs="宋体"/>
          <w:color w:val="auto"/>
        </w:rPr>
      </w:pPr>
    </w:p>
    <w:p>
      <w:pPr>
        <w:keepNext w:val="0"/>
        <w:keepLines w:val="0"/>
        <w:widowControl/>
        <w:suppressLineNumbers w:val="0"/>
        <w:jc w:val="center"/>
      </w:pPr>
    </w:p>
    <w:p>
      <w:pPr>
        <w:keepNext w:val="0"/>
        <w:keepLines w:val="0"/>
        <w:widowControl/>
        <w:suppressLineNumbers w:val="0"/>
        <w:jc w:val="left"/>
      </w:pPr>
      <w:r>
        <w:rPr>
          <w:rFonts w:ascii="宋体" w:eastAsia="宋体" w:hAnsi="宋体" w:cs="宋体"/>
          <w:kern w:val="0"/>
          <w:sz w:val="24"/>
          <w:szCs w:val="24"/>
          <w:lang w:val="en-US" w:eastAsia="zh-CN" w:bidi="a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G_256" style="width:478.8pt;height:648.75pt" coordsize="21600,21600" o:preferrelative="t" filled="f" stroked="f">
            <v:imagedata r:id="rId5" r:href="rId6" o:title=""/>
            <o:lock v:ext="edit" aspectratio="t"/>
          </v:shape>
        </w:pict>
      </w:r>
    </w:p>
    <w:p>
      <w:pPr>
        <w:pStyle w:val="BodyTextFirstIndent"/>
        <w:ind w:left="0" w:firstLine="0" w:leftChars="0" w:firstLineChars="0"/>
        <w:rPr>
          <w:rFonts w:ascii="宋体" w:eastAsia="宋体" w:hAnsi="宋体" w:cs="宋体"/>
          <w:b/>
          <w:bCs/>
          <w:color w:val="auto"/>
          <w:sz w:val="32"/>
          <w:szCs w:val="40"/>
        </w:rPr>
      </w:pPr>
    </w:p>
    <w:p>
      <w:pPr>
        <w:jc w:val="center"/>
        <w:rPr>
          <w:rFonts w:ascii="宋体" w:eastAsia="宋体" w:hAnsi="宋体" w:cs="宋体"/>
          <w:b/>
          <w:bCs/>
          <w:color w:val="auto"/>
          <w:sz w:val="32"/>
          <w:szCs w:val="40"/>
        </w:rPr>
      </w:pPr>
      <w:r>
        <w:rPr>
          <w:rFonts w:ascii="宋体" w:eastAsia="宋体" w:hAnsi="宋体" w:cs="宋体" w:hint="eastAsia"/>
          <w:b/>
          <w:bCs/>
          <w:color w:val="auto"/>
          <w:sz w:val="32"/>
          <w:szCs w:val="40"/>
        </w:rPr>
        <w:t>目 录</w:t>
      </w:r>
    </w:p>
    <w:p>
      <w:pPr>
        <w:pStyle w:val="Heading1"/>
        <w:rPr>
          <w:rFonts w:ascii="宋体" w:eastAsia="宋体" w:hAnsi="宋体" w:cs="宋体"/>
          <w:color w:val="auto"/>
        </w:rPr>
      </w:pPr>
    </w:p>
    <w:p>
      <w:pPr>
        <w:pStyle w:val="WPSOffice1"/>
        <w:tabs>
          <w:tab w:val="right" w:leader="dot" w:pos="9009"/>
        </w:tabs>
        <w:spacing w:line="480" w:lineRule="auto"/>
        <w:jc w:val="both"/>
        <w:rPr>
          <w:rFonts w:ascii="宋体" w:eastAsia="宋体" w:hAnsi="宋体" w:cs="宋体"/>
          <w:color w:val="auto"/>
          <w:sz w:val="28"/>
          <w:szCs w:val="28"/>
        </w:rPr>
      </w:pPr>
      <w:r>
        <w:rPr>
          <w:rFonts w:ascii="宋体" w:eastAsia="宋体" w:hAnsi="宋体" w:cs="宋体" w:hint="eastAsia"/>
          <w:color w:val="auto"/>
        </w:rPr>
        <w:fldChar w:fldCharType="begin"/>
      </w:r>
      <w:r>
        <w:rPr>
          <w:rFonts w:ascii="宋体" w:eastAsia="宋体" w:hAnsi="宋体" w:cs="宋体" w:hint="eastAsia"/>
          <w:color w:val="auto"/>
        </w:rPr>
        <w:instrText xml:space="preserve">TOC \o "1-1" \h \u </w:instrText>
      </w:r>
      <w:r>
        <w:rPr>
          <w:rFonts w:ascii="宋体" w:eastAsia="宋体" w:hAnsi="宋体" w:cs="宋体" w:hint="eastAsia"/>
          <w:color w:val="auto"/>
        </w:rPr>
        <w:fldChar w:fldCharType="separate"/>
      </w:r>
      <w:r>
        <w:rPr>
          <w:color w:val="auto"/>
        </w:rPr>
        <w:fldChar w:fldCharType="begin"/>
      </w:r>
      <w:r>
        <w:rPr>
          <w:color w:val="auto"/>
        </w:rPr>
        <w:instrText xml:space="preserve"> HYPERLINK \l "_Toc24471" </w:instrText>
      </w:r>
      <w:r>
        <w:rPr>
          <w:color w:val="auto"/>
        </w:rPr>
        <w:fldChar w:fldCharType="separate"/>
      </w:r>
      <w:r>
        <w:rPr>
          <w:rFonts w:ascii="宋体" w:eastAsia="宋体" w:hAnsi="宋体" w:cs="宋体" w:hint="eastAsia"/>
          <w:color w:val="auto"/>
          <w:sz w:val="28"/>
          <w:szCs w:val="48"/>
        </w:rPr>
        <w:t>第一章  竞争性磋商公告</w:t>
      </w:r>
      <w:r>
        <w:rPr>
          <w:rFonts w:ascii="宋体" w:eastAsia="宋体" w:hAnsi="宋体" w:cs="宋体" w:hint="eastAsia"/>
          <w:color w:val="auto"/>
          <w:sz w:val="28"/>
          <w:szCs w:val="28"/>
        </w:rPr>
        <w:tab/>
      </w:r>
      <w:r>
        <w:rPr>
          <w:rFonts w:ascii="宋体" w:eastAsia="宋体" w:hAnsi="宋体" w:cs="宋体" w:hint="eastAsia"/>
          <w:color w:val="auto"/>
          <w:sz w:val="28"/>
          <w:szCs w:val="28"/>
        </w:rPr>
        <w:fldChar w:fldCharType="begin"/>
      </w:r>
      <w:r>
        <w:rPr>
          <w:rFonts w:ascii="宋体" w:eastAsia="宋体" w:hAnsi="宋体" w:cs="宋体" w:hint="eastAsia"/>
          <w:color w:val="auto"/>
          <w:sz w:val="28"/>
          <w:szCs w:val="28"/>
        </w:rPr>
        <w:instrText xml:space="preserve"> PAGEREF _Toc24471 </w:instrText>
      </w:r>
      <w:r>
        <w:rPr>
          <w:rFonts w:ascii="宋体" w:eastAsia="宋体" w:hAnsi="宋体" w:cs="宋体" w:hint="eastAsia"/>
          <w:color w:val="auto"/>
          <w:sz w:val="28"/>
          <w:szCs w:val="28"/>
        </w:rPr>
        <w:fldChar w:fldCharType="separate"/>
      </w:r>
      <w:r>
        <w:rPr>
          <w:rFonts w:ascii="宋体" w:eastAsia="宋体" w:hAnsi="宋体" w:cs="宋体" w:hint="eastAsia"/>
          <w:color w:val="auto"/>
          <w:sz w:val="28"/>
          <w:szCs w:val="28"/>
        </w:rPr>
        <w:t>1</w:t>
      </w:r>
      <w:r>
        <w:rPr>
          <w:rFonts w:ascii="宋体" w:eastAsia="宋体" w:hAnsi="宋体" w:cs="宋体" w:hint="eastAsia"/>
          <w:color w:val="auto"/>
          <w:sz w:val="28"/>
          <w:szCs w:val="28"/>
        </w:rPr>
        <w:fldChar w:fldCharType="end"/>
      </w:r>
      <w:r>
        <w:rPr>
          <w:color w:val="auto"/>
        </w:rPr>
        <w:fldChar w:fldCharType="end"/>
      </w:r>
    </w:p>
    <w:p>
      <w:pPr>
        <w:pStyle w:val="WPSOffice1"/>
        <w:tabs>
          <w:tab w:val="right" w:leader="dot" w:pos="9009"/>
        </w:tabs>
        <w:spacing w:line="480" w:lineRule="auto"/>
        <w:jc w:val="both"/>
        <w:rPr>
          <w:rFonts w:ascii="宋体" w:eastAsia="宋体" w:hAnsi="宋体" w:cs="宋体"/>
          <w:color w:val="auto"/>
          <w:sz w:val="28"/>
          <w:szCs w:val="28"/>
        </w:rPr>
      </w:pPr>
      <w:r>
        <w:rPr>
          <w:color w:val="auto"/>
        </w:rPr>
        <w:fldChar w:fldCharType="begin"/>
      </w:r>
      <w:r>
        <w:rPr>
          <w:color w:val="auto"/>
        </w:rPr>
        <w:instrText xml:space="preserve"> HYPERLINK \l "_Toc16478" </w:instrText>
      </w:r>
      <w:r>
        <w:rPr>
          <w:color w:val="auto"/>
        </w:rPr>
        <w:fldChar w:fldCharType="separate"/>
      </w:r>
      <w:r>
        <w:rPr>
          <w:rFonts w:ascii="宋体" w:eastAsia="宋体" w:hAnsi="宋体" w:cs="宋体" w:hint="eastAsia"/>
          <w:bCs/>
          <w:color w:val="auto"/>
          <w:sz w:val="28"/>
          <w:szCs w:val="44"/>
        </w:rPr>
        <w:t>第二章  供应商须知</w:t>
      </w:r>
      <w:r>
        <w:rPr>
          <w:rFonts w:ascii="宋体" w:eastAsia="宋体" w:hAnsi="宋体" w:cs="宋体" w:hint="eastAsia"/>
          <w:color w:val="auto"/>
          <w:sz w:val="28"/>
          <w:szCs w:val="28"/>
        </w:rPr>
        <w:tab/>
      </w:r>
      <w:r>
        <w:rPr>
          <w:rFonts w:ascii="宋体" w:eastAsia="宋体" w:hAnsi="宋体" w:cs="宋体" w:hint="eastAsia"/>
          <w:color w:val="auto"/>
          <w:sz w:val="28"/>
          <w:szCs w:val="28"/>
          <w:lang w:val="en-US" w:eastAsia="zh-CN"/>
        </w:rPr>
        <w:t>6</w:t>
      </w:r>
      <w:r>
        <w:rPr>
          <w:color w:val="auto"/>
        </w:rPr>
        <w:fldChar w:fldCharType="end"/>
      </w:r>
    </w:p>
    <w:p>
      <w:pPr>
        <w:pStyle w:val="WPSOffice1"/>
        <w:tabs>
          <w:tab w:val="right" w:leader="dot" w:pos="9009"/>
        </w:tabs>
        <w:spacing w:line="480" w:lineRule="auto"/>
        <w:jc w:val="both"/>
        <w:rPr>
          <w:rFonts w:ascii="宋体" w:eastAsia="宋体" w:hAnsi="宋体" w:cs="宋体" w:hint="eastAsia"/>
          <w:color w:val="auto"/>
          <w:sz w:val="28"/>
          <w:szCs w:val="28"/>
          <w:lang w:val="en-US" w:eastAsia="zh-CN"/>
        </w:rPr>
      </w:pPr>
      <w:r>
        <w:rPr>
          <w:rFonts w:ascii="宋体" w:eastAsia="宋体" w:hAnsi="宋体" w:cs="宋体" w:hint="eastAsia"/>
          <w:color w:val="auto"/>
          <w:sz w:val="28"/>
          <w:szCs w:val="28"/>
          <w:lang w:val="en-US" w:eastAsia="zh-CN"/>
        </w:rPr>
        <w:fldChar w:fldCharType="begin"/>
      </w:r>
      <w:r>
        <w:rPr>
          <w:rFonts w:ascii="宋体" w:eastAsia="宋体" w:hAnsi="宋体" w:cs="宋体" w:hint="eastAsia"/>
          <w:color w:val="auto"/>
          <w:sz w:val="28"/>
          <w:szCs w:val="28"/>
          <w:lang w:val="en-US" w:eastAsia="zh-CN"/>
        </w:rPr>
        <w:instrText xml:space="preserve"> HYPERLINK \l "_Toc25116" </w:instrText>
      </w:r>
      <w:r>
        <w:rPr>
          <w:rFonts w:ascii="宋体" w:eastAsia="宋体" w:hAnsi="宋体" w:cs="宋体" w:hint="eastAsia"/>
          <w:color w:val="auto"/>
          <w:sz w:val="28"/>
          <w:szCs w:val="28"/>
          <w:lang w:val="en-US" w:eastAsia="zh-CN"/>
        </w:rPr>
        <w:fldChar w:fldCharType="separate"/>
      </w:r>
      <w:r>
        <w:rPr>
          <w:rFonts w:ascii="宋体" w:eastAsia="宋体" w:hAnsi="宋体" w:cs="宋体" w:hint="eastAsia"/>
          <w:color w:val="auto"/>
          <w:sz w:val="28"/>
          <w:szCs w:val="28"/>
          <w:lang w:val="en-US" w:eastAsia="zh-CN"/>
        </w:rPr>
        <w:t>第三章  采购内容与要求</w:t>
        <w:tab/>
        <w:t>2</w:t>
      </w:r>
      <w:r>
        <w:rPr>
          <w:rFonts w:ascii="宋体" w:eastAsia="宋体" w:hAnsi="宋体" w:cs="宋体" w:hint="eastAsia"/>
          <w:color w:val="auto"/>
          <w:sz w:val="28"/>
          <w:szCs w:val="28"/>
          <w:lang w:val="en-US" w:eastAsia="zh-CN"/>
        </w:rPr>
        <w:fldChar w:fldCharType="end"/>
      </w:r>
      <w:r>
        <w:rPr>
          <w:rFonts w:ascii="宋体" w:eastAsia="宋体" w:hAnsi="宋体" w:cs="宋体" w:hint="eastAsia"/>
          <w:color w:val="auto"/>
          <w:sz w:val="28"/>
          <w:szCs w:val="28"/>
          <w:lang w:val="en-US" w:eastAsia="zh-CN"/>
        </w:rPr>
        <w:t>9</w:t>
      </w:r>
    </w:p>
    <w:p>
      <w:pPr>
        <w:pStyle w:val="WPSOffice1"/>
        <w:tabs>
          <w:tab w:val="right" w:leader="dot" w:pos="9009"/>
        </w:tabs>
        <w:spacing w:line="480" w:lineRule="auto"/>
        <w:jc w:val="both"/>
        <w:rPr>
          <w:rFonts w:ascii="宋体" w:eastAsia="宋体" w:hAnsi="宋体" w:cs="宋体" w:hint="eastAsia"/>
          <w:color w:val="auto"/>
          <w:sz w:val="28"/>
          <w:szCs w:val="28"/>
          <w:lang w:eastAsia="zh-CN"/>
        </w:rPr>
      </w:pPr>
      <w:r>
        <w:rPr>
          <w:color w:val="auto"/>
        </w:rPr>
        <w:fldChar w:fldCharType="begin"/>
      </w:r>
      <w:r>
        <w:rPr>
          <w:color w:val="auto"/>
        </w:rPr>
        <w:instrText xml:space="preserve"> HYPERLINK \l "_Toc21646" </w:instrText>
      </w:r>
      <w:r>
        <w:rPr>
          <w:color w:val="auto"/>
        </w:rPr>
        <w:fldChar w:fldCharType="separate"/>
      </w:r>
      <w:r>
        <w:rPr>
          <w:rFonts w:ascii="宋体" w:eastAsia="宋体" w:hAnsi="宋体" w:cs="宋体" w:hint="eastAsia"/>
          <w:bCs/>
          <w:color w:val="auto"/>
          <w:sz w:val="28"/>
          <w:szCs w:val="44"/>
        </w:rPr>
        <w:t>第四章  评审办法</w:t>
      </w:r>
      <w:r>
        <w:rPr>
          <w:rFonts w:ascii="宋体" w:eastAsia="宋体" w:hAnsi="宋体" w:cs="宋体" w:hint="eastAsia"/>
          <w:color w:val="auto"/>
          <w:sz w:val="28"/>
          <w:szCs w:val="28"/>
        </w:rPr>
        <w:tab/>
        <w:t>3</w:t>
      </w:r>
      <w:r>
        <w:rPr>
          <w:color w:val="auto"/>
        </w:rPr>
        <w:fldChar w:fldCharType="end"/>
      </w:r>
      <w:r>
        <w:rPr>
          <w:rFonts w:ascii="宋体" w:eastAsia="宋体" w:hAnsi="宋体" w:cs="宋体" w:hint="eastAsia"/>
          <w:color w:val="auto"/>
          <w:sz w:val="28"/>
          <w:szCs w:val="28"/>
          <w:lang w:val="en-US" w:eastAsia="zh-CN"/>
        </w:rPr>
        <w:t>9</w:t>
      </w:r>
    </w:p>
    <w:p>
      <w:pPr>
        <w:pStyle w:val="WPSOffice1"/>
        <w:tabs>
          <w:tab w:val="right" w:leader="dot" w:pos="9009"/>
        </w:tabs>
        <w:spacing w:line="480" w:lineRule="auto"/>
        <w:jc w:val="both"/>
        <w:rPr>
          <w:rFonts w:ascii="宋体" w:eastAsia="宋体" w:hAnsi="宋体" w:cs="宋体" w:hint="eastAsia"/>
          <w:bCs/>
          <w:color w:val="auto"/>
          <w:sz w:val="28"/>
          <w:szCs w:val="44"/>
          <w:lang w:val="en-US" w:eastAsia="zh-CN"/>
        </w:rPr>
      </w:pPr>
      <w:r>
        <w:rPr>
          <w:rFonts w:ascii="宋体" w:eastAsia="宋体" w:hAnsi="宋体" w:cs="宋体" w:hint="eastAsia"/>
          <w:bCs/>
          <w:color w:val="auto"/>
          <w:sz w:val="28"/>
          <w:szCs w:val="44"/>
        </w:rPr>
        <w:fldChar w:fldCharType="begin"/>
      </w:r>
      <w:r>
        <w:rPr>
          <w:rFonts w:ascii="宋体" w:eastAsia="宋体" w:hAnsi="宋体" w:cs="宋体" w:hint="eastAsia"/>
          <w:bCs/>
          <w:color w:val="auto"/>
          <w:sz w:val="28"/>
          <w:szCs w:val="44"/>
        </w:rPr>
        <w:instrText xml:space="preserve"> HYPERLINK \l "_Toc25845" </w:instrText>
      </w:r>
      <w:r>
        <w:rPr>
          <w:rFonts w:ascii="宋体" w:eastAsia="宋体" w:hAnsi="宋体" w:cs="宋体" w:hint="eastAsia"/>
          <w:bCs/>
          <w:color w:val="auto"/>
          <w:sz w:val="28"/>
          <w:szCs w:val="44"/>
        </w:rPr>
        <w:fldChar w:fldCharType="separate"/>
      </w:r>
      <w:r>
        <w:rPr>
          <w:rFonts w:ascii="宋体" w:eastAsia="宋体" w:hAnsi="宋体" w:cs="宋体" w:hint="eastAsia"/>
          <w:bCs/>
          <w:color w:val="auto"/>
          <w:sz w:val="28"/>
          <w:szCs w:val="44"/>
        </w:rPr>
        <w:t>第五章  合同书</w:t>
        <w:tab/>
      </w:r>
      <w:r>
        <w:rPr>
          <w:rFonts w:ascii="宋体" w:eastAsia="宋体" w:hAnsi="宋体" w:cs="宋体" w:hint="eastAsia"/>
          <w:bCs/>
          <w:color w:val="auto"/>
          <w:sz w:val="28"/>
          <w:szCs w:val="44"/>
          <w:lang w:val="en-US" w:eastAsia="zh-CN"/>
        </w:rPr>
        <w:t>4</w:t>
      </w:r>
      <w:r>
        <w:rPr>
          <w:rFonts w:ascii="宋体" w:eastAsia="宋体" w:hAnsi="宋体" w:cs="宋体" w:hint="eastAsia"/>
          <w:bCs/>
          <w:color w:val="auto"/>
          <w:sz w:val="28"/>
          <w:szCs w:val="44"/>
        </w:rPr>
        <w:fldChar w:fldCharType="end"/>
      </w:r>
      <w:r>
        <w:rPr>
          <w:rFonts w:ascii="宋体" w:eastAsia="宋体" w:hAnsi="宋体" w:cs="宋体" w:hint="eastAsia"/>
          <w:bCs/>
          <w:color w:val="auto"/>
          <w:sz w:val="28"/>
          <w:szCs w:val="44"/>
          <w:lang w:val="en-US" w:eastAsia="zh-CN"/>
        </w:rPr>
        <w:t>8</w:t>
      </w:r>
    </w:p>
    <w:p>
      <w:pPr>
        <w:pStyle w:val="WPSOffice1"/>
        <w:tabs>
          <w:tab w:val="right" w:leader="dot" w:pos="9009"/>
        </w:tabs>
        <w:spacing w:line="480" w:lineRule="auto"/>
        <w:jc w:val="both"/>
        <w:rPr>
          <w:rFonts w:ascii="宋体" w:eastAsia="宋体" w:hAnsi="宋体" w:cs="宋体" w:hint="eastAsia"/>
          <w:bCs/>
          <w:color w:val="auto"/>
          <w:sz w:val="28"/>
          <w:szCs w:val="44"/>
          <w:lang w:val="en-US" w:eastAsia="zh-CN"/>
        </w:rPr>
      </w:pPr>
      <w:r>
        <w:rPr>
          <w:rFonts w:ascii="宋体" w:eastAsia="宋体" w:hAnsi="宋体" w:cs="宋体" w:hint="eastAsia"/>
          <w:bCs/>
          <w:color w:val="auto"/>
          <w:sz w:val="28"/>
          <w:szCs w:val="44"/>
        </w:rPr>
        <w:fldChar w:fldCharType="begin"/>
      </w:r>
      <w:r>
        <w:rPr>
          <w:rFonts w:ascii="宋体" w:eastAsia="宋体" w:hAnsi="宋体" w:cs="宋体" w:hint="eastAsia"/>
          <w:bCs/>
          <w:color w:val="auto"/>
          <w:sz w:val="28"/>
          <w:szCs w:val="44"/>
        </w:rPr>
        <w:instrText xml:space="preserve"> HYPERLINK \l "_Toc5004" </w:instrText>
      </w:r>
      <w:r>
        <w:rPr>
          <w:rFonts w:ascii="宋体" w:eastAsia="宋体" w:hAnsi="宋体" w:cs="宋体" w:hint="eastAsia"/>
          <w:bCs/>
          <w:color w:val="auto"/>
          <w:sz w:val="28"/>
          <w:szCs w:val="44"/>
        </w:rPr>
        <w:fldChar w:fldCharType="separate"/>
      </w:r>
      <w:r>
        <w:rPr>
          <w:rFonts w:ascii="宋体" w:eastAsia="宋体" w:hAnsi="宋体" w:cs="宋体" w:hint="eastAsia"/>
          <w:bCs/>
          <w:color w:val="auto"/>
          <w:sz w:val="28"/>
          <w:szCs w:val="44"/>
        </w:rPr>
        <w:t>第六章  响应文件格式</w:t>
        <w:tab/>
      </w:r>
      <w:r>
        <w:rPr>
          <w:rFonts w:ascii="宋体" w:eastAsia="宋体" w:hAnsi="宋体" w:cs="宋体" w:hint="eastAsia"/>
          <w:bCs/>
          <w:color w:val="auto"/>
          <w:sz w:val="28"/>
          <w:szCs w:val="44"/>
          <w:lang w:val="en-US" w:eastAsia="zh-CN"/>
        </w:rPr>
        <w:t>6</w:t>
      </w:r>
      <w:r>
        <w:rPr>
          <w:rFonts w:ascii="宋体" w:eastAsia="宋体" w:hAnsi="宋体" w:cs="宋体" w:hint="eastAsia"/>
          <w:bCs/>
          <w:color w:val="auto"/>
          <w:sz w:val="28"/>
          <w:szCs w:val="44"/>
        </w:rPr>
        <w:fldChar w:fldCharType="end"/>
      </w:r>
      <w:r>
        <w:rPr>
          <w:rFonts w:ascii="宋体" w:eastAsia="宋体" w:hAnsi="宋体" w:cs="宋体" w:hint="eastAsia"/>
          <w:bCs/>
          <w:color w:val="auto"/>
          <w:sz w:val="28"/>
          <w:szCs w:val="44"/>
          <w:lang w:val="en-US" w:eastAsia="zh-CN"/>
        </w:rPr>
        <w:t>0</w:t>
      </w:r>
    </w:p>
    <w:p>
      <w:pPr>
        <w:pStyle w:val="WPSOffice1"/>
        <w:tabs>
          <w:tab w:val="right" w:leader="dot" w:pos="9009"/>
        </w:tabs>
        <w:rPr>
          <w:rFonts w:ascii="宋体" w:eastAsia="宋体" w:hAnsi="宋体" w:cs="宋体"/>
          <w:color w:val="auto"/>
        </w:rPr>
      </w:pPr>
    </w:p>
    <w:p>
      <w:pPr>
        <w:pStyle w:val="Heading1"/>
        <w:rPr>
          <w:rFonts w:ascii="宋体" w:eastAsia="宋体" w:hAnsi="宋体" w:cs="宋体"/>
          <w:color w:val="auto"/>
        </w:rPr>
        <w:sectPr>
          <w:headerReference w:type="default" r:id="rId7"/>
          <w:footerReference w:type="default" r:id="rId8"/>
          <w:pgSz w:w="11906" w:h="16838"/>
          <w:pgMar w:top="1089" w:right="1457" w:bottom="1440" w:left="1440" w:header="851" w:footer="992" w:gutter="0"/>
          <w:pgNumType w:start="1"/>
          <w:cols w:num="1" w:space="720"/>
          <w:docGrid w:linePitch="312" w:charSpace="0"/>
        </w:sectPr>
      </w:pPr>
      <w:r>
        <w:rPr>
          <w:rFonts w:ascii="宋体" w:eastAsia="宋体" w:hAnsi="宋体" w:cs="宋体" w:hint="eastAsia"/>
          <w:color w:val="auto"/>
        </w:rPr>
        <w:fldChar w:fldCharType="end"/>
      </w:r>
    </w:p>
    <w:p>
      <w:pPr>
        <w:widowControl/>
        <w:spacing w:line="520" w:lineRule="exact"/>
        <w:jc w:val="center"/>
        <w:outlineLvl w:val="0"/>
        <w:rPr>
          <w:rFonts w:ascii="宋体" w:eastAsia="宋体" w:hAnsi="宋体" w:cs="宋体"/>
          <w:b/>
          <w:color w:val="auto"/>
          <w:sz w:val="32"/>
          <w:szCs w:val="32"/>
        </w:rPr>
      </w:pPr>
      <w:bookmarkStart w:id="0" w:name="_Toc24471"/>
      <w:r>
        <w:rPr>
          <w:rFonts w:ascii="宋体" w:eastAsia="宋体" w:hAnsi="宋体" w:cs="宋体" w:hint="eastAsia"/>
          <w:b/>
          <w:color w:val="auto"/>
          <w:sz w:val="32"/>
          <w:szCs w:val="32"/>
        </w:rPr>
        <w:t>第一章  竞争性磋商公告</w:t>
      </w:r>
      <w:bookmarkEnd w:id="0"/>
    </w:p>
    <w:p>
      <w:pPr>
        <w:widowControl/>
        <w:spacing w:line="360" w:lineRule="auto"/>
        <w:jc w:val="center"/>
        <w:outlineLvl w:val="0"/>
        <w:rPr>
          <w:rFonts w:ascii="宋体" w:eastAsia="宋体" w:hAnsi="宋体" w:cs="宋体" w:hint="eastAsia"/>
          <w:b/>
          <w:color w:val="auto"/>
          <w:sz w:val="28"/>
          <w:szCs w:val="28"/>
          <w:lang w:eastAsia="zh-CN"/>
        </w:rPr>
      </w:pPr>
      <w:r>
        <w:rPr>
          <w:rFonts w:ascii="宋体" w:eastAsia="宋体" w:hAnsi="宋体" w:cs="宋体" w:hint="eastAsia"/>
          <w:b/>
          <w:color w:val="auto"/>
          <w:sz w:val="28"/>
          <w:szCs w:val="28"/>
          <w:lang w:eastAsia="zh-CN"/>
        </w:rPr>
        <w:t>西双版纳傣族自治州消防救援支队山难专业队装备采购项目</w:t>
      </w:r>
      <w:r>
        <w:rPr>
          <w:rFonts w:ascii="宋体" w:hAnsi="宋体" w:cs="宋体" w:hint="eastAsia"/>
          <w:b/>
          <w:color w:val="auto"/>
          <w:sz w:val="28"/>
          <w:szCs w:val="28"/>
          <w:lang w:eastAsia="zh-CN"/>
        </w:rPr>
        <w:t>（</w:t>
      </w:r>
      <w:r>
        <w:rPr>
          <w:rFonts w:ascii="宋体" w:hAnsi="宋体" w:cs="宋体" w:hint="eastAsia"/>
          <w:b/>
          <w:color w:val="auto"/>
          <w:sz w:val="28"/>
          <w:szCs w:val="28"/>
          <w:lang w:val="en-US" w:eastAsia="zh-CN"/>
        </w:rPr>
        <w:t>二次</w:t>
      </w:r>
      <w:r>
        <w:rPr>
          <w:rFonts w:ascii="宋体" w:hAnsi="宋体" w:cs="宋体" w:hint="eastAsia"/>
          <w:b/>
          <w:color w:val="auto"/>
          <w:sz w:val="28"/>
          <w:szCs w:val="28"/>
          <w:lang w:eastAsia="zh-CN"/>
        </w:rPr>
        <w:t>）</w:t>
      </w:r>
    </w:p>
    <w:p>
      <w:pPr>
        <w:widowControl/>
        <w:spacing w:line="360" w:lineRule="auto"/>
        <w:jc w:val="center"/>
        <w:outlineLvl w:val="0"/>
        <w:rPr>
          <w:rFonts w:ascii="宋体" w:eastAsia="宋体" w:hAnsi="宋体" w:cs="宋体"/>
          <w:b/>
          <w:color w:val="auto"/>
          <w:sz w:val="28"/>
          <w:szCs w:val="28"/>
        </w:rPr>
      </w:pPr>
      <w:bookmarkStart w:id="1" w:name="_Toc18161"/>
      <w:r>
        <w:rPr>
          <w:rFonts w:ascii="宋体" w:eastAsia="宋体" w:hAnsi="宋体" w:cs="宋体" w:hint="eastAsia"/>
          <w:b/>
          <w:color w:val="auto"/>
          <w:sz w:val="28"/>
          <w:szCs w:val="28"/>
        </w:rPr>
        <w:t>竞争性磋商公告</w:t>
      </w:r>
      <w:bookmarkEnd w:id="1"/>
    </w:p>
    <w:tbl>
      <w:tblPr>
        <w:tblStyle w:val="TableNormal"/>
        <w:tblW w:w="962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
      <w:tblGrid>
        <w:gridCol w:w="9628"/>
      </w:tblGrid>
      <w:tr>
        <w:tblPrEx>
          <w:tblW w:w="9628"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Ex>
        <w:tc>
          <w:tcPr>
            <w:tcW w:w="9628" w:type="dxa"/>
          </w:tcPr>
          <w:p>
            <w:pPr>
              <w:pStyle w:val="BodyText"/>
              <w:keepNext w:val="0"/>
              <w:keepLines w:val="0"/>
              <w:widowControl w:val="0"/>
              <w:suppressLineNumbers w:val="0"/>
              <w:snapToGrid w:val="0"/>
              <w:spacing w:before="0" w:beforeAutospacing="0" w:after="0" w:afterAutospacing="0" w:line="360" w:lineRule="auto"/>
              <w:ind w:left="0" w:right="0" w:firstLine="480" w:firstLineChars="200"/>
              <w:jc w:val="both"/>
              <w:rPr>
                <w:rStyle w:val="DefaultParagraphFont"/>
                <w:rFonts w:ascii="宋体" w:eastAsia="宋体" w:hAnsi="宋体" w:cs="宋体" w:hint="default"/>
                <w:b/>
                <w:bCs/>
                <w:snapToGrid w:val="0"/>
                <w:color w:val="auto"/>
                <w:kern w:val="2"/>
                <w:sz w:val="24"/>
                <w:szCs w:val="24"/>
                <w:u w:val="single"/>
                <w:lang w:val="en-US" w:eastAsia="zh-CN" w:bidi="ar-SA"/>
              </w:rPr>
            </w:pPr>
            <w:bookmarkStart w:id="2" w:name="_Toc28359089"/>
            <w:bookmarkStart w:id="3" w:name="_Toc28359012"/>
            <w:bookmarkStart w:id="4" w:name="_Toc35393798"/>
            <w:bookmarkStart w:id="5" w:name="_Toc35393629"/>
            <w:r>
              <w:rPr>
                <w:rFonts w:ascii="宋体" w:eastAsia="宋体" w:hAnsi="宋体" w:cs="宋体" w:hint="eastAsia"/>
                <w:snapToGrid w:val="0"/>
                <w:color w:val="auto"/>
                <w:kern w:val="2"/>
                <w:sz w:val="24"/>
                <w:szCs w:val="24"/>
                <w:lang w:val="en-US" w:eastAsia="zh-CN" w:bidi="ar-SA"/>
              </w:rPr>
              <w:t>项目概况</w:t>
            </w:r>
          </w:p>
          <w:p>
            <w:pPr>
              <w:pStyle w:val="BodyText"/>
              <w:keepNext w:val="0"/>
              <w:keepLines w:val="0"/>
              <w:widowControl w:val="0"/>
              <w:suppressLineNumbers w:val="0"/>
              <w:wordWrap w:val="0"/>
              <w:snapToGrid w:val="0"/>
              <w:spacing w:before="0" w:beforeAutospacing="0" w:after="0" w:afterAutospacing="0" w:line="360" w:lineRule="auto"/>
              <w:ind w:left="0" w:right="0" w:firstLine="480" w:firstLineChars="200"/>
              <w:jc w:val="both"/>
              <w:rPr>
                <w:rStyle w:val="DefaultParagraphFont"/>
                <w:rFonts w:ascii="宋体" w:eastAsia="宋体" w:hAnsi="宋体" w:cs="宋体" w:hint="default"/>
                <w:color w:val="auto"/>
                <w:kern w:val="2"/>
                <w:sz w:val="28"/>
                <w:szCs w:val="28"/>
                <w:lang w:val="en-US" w:eastAsia="zh-CN" w:bidi="ar-SA"/>
              </w:rPr>
            </w:pPr>
            <w:r>
              <w:rPr>
                <w:rFonts w:ascii="宋体" w:eastAsia="宋体" w:hAnsi="宋体" w:cs="宋体" w:hint="eastAsia"/>
                <w:b/>
                <w:bCs/>
                <w:snapToGrid w:val="0"/>
                <w:color w:val="auto"/>
                <w:kern w:val="2"/>
                <w:sz w:val="24"/>
                <w:szCs w:val="24"/>
                <w:u w:val="single"/>
                <w:lang w:val="en-US" w:eastAsia="zh-CN" w:bidi="ar-SA"/>
              </w:rPr>
              <w:t>西双版纳傣族自治州消防救援支队山难专业队装备采购项目（二次）</w:t>
            </w:r>
            <w:r>
              <w:rPr>
                <w:rFonts w:ascii="宋体" w:eastAsia="宋体" w:hAnsi="宋体" w:cs="宋体" w:hint="eastAsia"/>
                <w:snapToGrid w:val="0"/>
                <w:color w:val="auto"/>
                <w:kern w:val="2"/>
                <w:sz w:val="24"/>
                <w:szCs w:val="24"/>
                <w:lang w:val="en-US" w:eastAsia="zh-CN" w:bidi="ar-SA"/>
              </w:rPr>
              <w:t>采购项目的潜在供应商应在西双版纳州公共资源交易电子服务系统（https://ggzy.yn.gov.cn/ynggfwpt-home-web/#/homePage）进行报名获取竞争性磋商文件，并于2023年9月25日10点00分（北京时间）前提交响应文件。</w:t>
            </w:r>
          </w:p>
        </w:tc>
      </w:tr>
    </w:tbl>
    <w:p>
      <w:pPr>
        <w:snapToGrid w:val="0"/>
        <w:spacing w:line="360" w:lineRule="auto"/>
        <w:ind w:firstLine="561"/>
        <w:jc w:val="left"/>
        <w:rPr>
          <w:rFonts w:ascii="宋体" w:eastAsia="宋体" w:hAnsi="宋体" w:cs="宋体"/>
          <w:b/>
          <w:bCs/>
          <w:color w:val="auto"/>
          <w:sz w:val="24"/>
        </w:rPr>
      </w:pPr>
      <w:r>
        <w:rPr>
          <w:rFonts w:ascii="宋体" w:eastAsia="宋体" w:hAnsi="宋体" w:cs="宋体" w:hint="eastAsia"/>
          <w:b/>
          <w:bCs/>
          <w:color w:val="auto"/>
          <w:sz w:val="24"/>
        </w:rPr>
        <w:t>一、项目基本情况</w:t>
      </w:r>
      <w:bookmarkEnd w:id="2"/>
      <w:bookmarkEnd w:id="3"/>
      <w:bookmarkEnd w:id="4"/>
      <w:bookmarkEnd w:id="5"/>
    </w:p>
    <w:p>
      <w:pPr>
        <w:snapToGrid w:val="0"/>
        <w:spacing w:line="360" w:lineRule="auto"/>
        <w:ind w:firstLine="480" w:firstLineChars="200"/>
        <w:jc w:val="left"/>
        <w:rPr>
          <w:rFonts w:ascii="宋体" w:eastAsia="宋体" w:hAnsi="宋体" w:cs="宋体"/>
          <w:color w:val="auto"/>
          <w:sz w:val="24"/>
        </w:rPr>
      </w:pPr>
      <w:r>
        <w:rPr>
          <w:rFonts w:ascii="宋体" w:eastAsia="宋体" w:hAnsi="宋体" w:cs="宋体" w:hint="eastAsia"/>
          <w:b/>
          <w:bCs/>
          <w:color w:val="auto"/>
          <w:sz w:val="24"/>
        </w:rPr>
        <w:t>1.项目编号：</w:t>
      </w:r>
      <w:r>
        <w:rPr>
          <w:rFonts w:ascii="宋体" w:eastAsia="宋体" w:hAnsi="宋体" w:cs="宋体" w:hint="eastAsia"/>
          <w:color w:val="auto"/>
          <w:sz w:val="24"/>
          <w:lang w:eastAsia="zh-CN"/>
        </w:rPr>
        <w:t>XFZD-2023-ZFJZCGXM-3A</w:t>
      </w:r>
      <w:r>
        <w:rPr>
          <w:rFonts w:ascii="宋体" w:eastAsia="宋体" w:hAnsi="宋体" w:cs="宋体" w:hint="eastAsia"/>
          <w:color w:val="auto"/>
          <w:sz w:val="24"/>
        </w:rPr>
        <w:t>；</w:t>
      </w:r>
    </w:p>
    <w:p>
      <w:pPr>
        <w:snapToGrid w:val="0"/>
        <w:spacing w:line="360" w:lineRule="auto"/>
        <w:ind w:firstLine="480" w:firstLineChars="200"/>
        <w:jc w:val="left"/>
        <w:rPr>
          <w:rFonts w:ascii="宋体" w:eastAsia="宋体" w:hAnsi="宋体" w:cs="宋体"/>
          <w:color w:val="auto"/>
          <w:sz w:val="24"/>
        </w:rPr>
      </w:pPr>
      <w:r>
        <w:rPr>
          <w:rFonts w:ascii="宋体" w:eastAsia="宋体" w:hAnsi="宋体" w:cs="宋体" w:hint="eastAsia"/>
          <w:b/>
          <w:bCs/>
          <w:color w:val="auto"/>
          <w:sz w:val="24"/>
        </w:rPr>
        <w:t>2.项目名称：</w:t>
      </w:r>
      <w:r>
        <w:rPr>
          <w:rFonts w:ascii="宋体" w:eastAsia="宋体" w:hAnsi="宋体" w:cs="宋体" w:hint="eastAsia"/>
          <w:color w:val="auto"/>
          <w:sz w:val="24"/>
          <w:lang w:eastAsia="zh-CN"/>
        </w:rPr>
        <w:t>西双版纳傣族自治州消防救援支队山难专业队装备采购项目</w:t>
      </w:r>
      <w:r>
        <w:rPr>
          <w:rFonts w:ascii="宋体" w:hAnsi="宋体" w:cs="宋体" w:hint="eastAsia"/>
          <w:color w:val="auto"/>
          <w:sz w:val="24"/>
          <w:lang w:eastAsia="zh-CN"/>
        </w:rPr>
        <w:t>（</w:t>
      </w:r>
      <w:r>
        <w:rPr>
          <w:rFonts w:ascii="宋体" w:hAnsi="宋体" w:cs="宋体" w:hint="eastAsia"/>
          <w:color w:val="auto"/>
          <w:sz w:val="24"/>
          <w:lang w:val="en-US" w:eastAsia="zh-CN"/>
        </w:rPr>
        <w:t>二次</w:t>
      </w:r>
      <w:r>
        <w:rPr>
          <w:rFonts w:ascii="宋体" w:hAnsi="宋体" w:cs="宋体" w:hint="eastAsia"/>
          <w:color w:val="auto"/>
          <w:sz w:val="24"/>
          <w:lang w:eastAsia="zh-CN"/>
        </w:rPr>
        <w:t>）</w:t>
      </w:r>
      <w:r>
        <w:rPr>
          <w:rFonts w:ascii="宋体" w:eastAsia="宋体" w:hAnsi="宋体" w:cs="宋体" w:hint="eastAsia"/>
          <w:color w:val="auto"/>
          <w:sz w:val="24"/>
        </w:rPr>
        <w:t>；</w:t>
      </w:r>
    </w:p>
    <w:p>
      <w:pPr>
        <w:snapToGrid w:val="0"/>
        <w:spacing w:line="360" w:lineRule="auto"/>
        <w:ind w:firstLine="480" w:firstLineChars="200"/>
        <w:jc w:val="left"/>
        <w:rPr>
          <w:rFonts w:ascii="宋体" w:eastAsia="宋体" w:hAnsi="宋体" w:cs="宋体"/>
          <w:color w:val="auto"/>
          <w:sz w:val="24"/>
        </w:rPr>
      </w:pPr>
      <w:r>
        <w:rPr>
          <w:rFonts w:ascii="宋体" w:eastAsia="宋体" w:hAnsi="宋体" w:cs="宋体" w:hint="eastAsia"/>
          <w:b/>
          <w:bCs/>
          <w:color w:val="auto"/>
          <w:sz w:val="24"/>
        </w:rPr>
        <w:t>3.采购方式</w:t>
      </w:r>
      <w:r>
        <w:rPr>
          <w:rFonts w:ascii="宋体" w:eastAsia="宋体" w:hAnsi="宋体" w:cs="宋体" w:hint="eastAsia"/>
          <w:color w:val="auto"/>
          <w:sz w:val="24"/>
        </w:rPr>
        <w:t>：竞争性磋商；</w:t>
      </w:r>
    </w:p>
    <w:p>
      <w:pPr>
        <w:snapToGrid w:val="0"/>
        <w:spacing w:line="360" w:lineRule="auto"/>
        <w:ind w:firstLine="480" w:firstLineChars="200"/>
        <w:jc w:val="left"/>
        <w:rPr>
          <w:rFonts w:ascii="宋体" w:eastAsia="宋体" w:hAnsi="宋体" w:cs="宋体"/>
          <w:color w:val="auto"/>
          <w:sz w:val="24"/>
        </w:rPr>
      </w:pPr>
      <w:r>
        <w:rPr>
          <w:rFonts w:ascii="宋体" w:eastAsia="宋体" w:hAnsi="宋体" w:cs="宋体" w:hint="eastAsia"/>
          <w:b/>
          <w:bCs/>
          <w:color w:val="auto"/>
          <w:sz w:val="24"/>
        </w:rPr>
        <w:t>4.预算金额：</w:t>
      </w:r>
      <w:r>
        <w:rPr>
          <w:rFonts w:ascii="宋体" w:eastAsia="宋体" w:hAnsi="宋体" w:cs="宋体" w:hint="eastAsia"/>
          <w:color w:val="auto"/>
          <w:sz w:val="24"/>
          <w:highlight w:val="none"/>
          <w:lang w:val="en-US" w:eastAsia="zh-CN"/>
        </w:rPr>
        <w:t>759436.90</w:t>
      </w:r>
      <w:r>
        <w:rPr>
          <w:rFonts w:ascii="宋体" w:eastAsia="宋体" w:hAnsi="宋体" w:cs="宋体" w:hint="eastAsia"/>
          <w:color w:val="auto"/>
          <w:sz w:val="24"/>
          <w:highlight w:val="none"/>
        </w:rPr>
        <w:t>元（</w:t>
      </w:r>
      <w:r>
        <w:rPr>
          <w:rFonts w:ascii="宋体" w:eastAsia="宋体" w:hAnsi="宋体" w:cs="宋体" w:hint="eastAsia"/>
          <w:color w:val="auto"/>
          <w:sz w:val="24"/>
          <w:highlight w:val="none"/>
          <w:lang w:val="en-US" w:eastAsia="zh-CN"/>
        </w:rPr>
        <w:t>大写：</w:t>
      </w:r>
      <w:r>
        <w:rPr>
          <w:rFonts w:ascii="宋体" w:eastAsia="宋体" w:hAnsi="宋体" w:cs="宋体" w:hint="eastAsia"/>
          <w:color w:val="auto"/>
          <w:sz w:val="24"/>
          <w:highlight w:val="none"/>
          <w:lang w:eastAsia="zh-CN"/>
        </w:rPr>
        <w:t>柒拾伍万玖仟肆佰叁拾陆元玖角</w:t>
      </w:r>
      <w:r>
        <w:rPr>
          <w:rFonts w:ascii="宋体" w:eastAsia="宋体" w:hAnsi="宋体" w:cs="宋体" w:hint="eastAsia"/>
          <w:color w:val="auto"/>
          <w:sz w:val="24"/>
          <w:highlight w:val="none"/>
        </w:rPr>
        <w:t>）</w:t>
      </w:r>
      <w:r>
        <w:rPr>
          <w:rFonts w:ascii="宋体" w:eastAsia="宋体" w:hAnsi="宋体" w:cs="宋体" w:hint="eastAsia"/>
          <w:color w:val="auto"/>
          <w:sz w:val="24"/>
        </w:rPr>
        <w:t>；</w:t>
      </w:r>
    </w:p>
    <w:p>
      <w:pPr>
        <w:snapToGrid w:val="0"/>
        <w:spacing w:line="360" w:lineRule="auto"/>
        <w:ind w:firstLine="480" w:firstLineChars="200"/>
        <w:jc w:val="left"/>
        <w:rPr>
          <w:rFonts w:ascii="宋体" w:eastAsia="宋体" w:hAnsi="宋体" w:cs="宋体" w:hint="default"/>
          <w:color w:val="auto"/>
          <w:sz w:val="24"/>
          <w:lang w:val="en-US"/>
        </w:rPr>
      </w:pPr>
      <w:r>
        <w:rPr>
          <w:rFonts w:ascii="宋体" w:eastAsia="宋体" w:hAnsi="宋体" w:cs="宋体" w:hint="eastAsia"/>
          <w:b/>
          <w:bCs/>
          <w:color w:val="auto"/>
          <w:sz w:val="24"/>
        </w:rPr>
        <w:t>5.采购需求：</w:t>
      </w:r>
      <w:r>
        <w:rPr>
          <w:rFonts w:ascii="宋体" w:eastAsia="宋体" w:hAnsi="宋体" w:cs="宋体" w:hint="eastAsia"/>
          <w:color w:val="auto"/>
          <w:sz w:val="24"/>
        </w:rPr>
        <w:t>对西双版纳傣族自治州消防救援支队</w:t>
      </w:r>
      <w:r>
        <w:rPr>
          <w:rFonts w:ascii="宋体" w:eastAsia="宋体" w:hAnsi="宋体" w:cs="宋体" w:hint="eastAsia"/>
          <w:color w:val="auto"/>
          <w:sz w:val="24"/>
          <w:lang w:eastAsia="zh-CN"/>
        </w:rPr>
        <w:t>山难专业队装备</w:t>
      </w:r>
      <w:r>
        <w:rPr>
          <w:rFonts w:ascii="宋体" w:eastAsia="宋体" w:hAnsi="宋体" w:cs="宋体" w:hint="eastAsia"/>
          <w:color w:val="auto"/>
          <w:sz w:val="24"/>
          <w:lang w:val="en-US" w:eastAsia="zh-CN"/>
        </w:rPr>
        <w:t>进行供货，具体详见采购清单。</w:t>
      </w:r>
    </w:p>
    <w:p>
      <w:pPr>
        <w:spacing w:line="360" w:lineRule="auto"/>
        <w:ind w:firstLine="480" w:firstLineChars="200"/>
        <w:rPr>
          <w:rFonts w:ascii="宋体" w:eastAsia="宋体" w:hAnsi="宋体" w:cs="宋体" w:hint="default"/>
          <w:color w:val="auto"/>
          <w:sz w:val="24"/>
          <w:lang w:val="en-US" w:eastAsia="zh-CN"/>
        </w:rPr>
      </w:pPr>
      <w:r>
        <w:rPr>
          <w:rFonts w:ascii="宋体" w:eastAsia="宋体" w:hAnsi="宋体" w:cs="宋体" w:hint="eastAsia"/>
          <w:b/>
          <w:bCs/>
          <w:color w:val="auto"/>
          <w:sz w:val="24"/>
        </w:rPr>
        <w:t>6.</w:t>
      </w:r>
      <w:r>
        <w:rPr>
          <w:rFonts w:ascii="宋体" w:eastAsia="宋体" w:hAnsi="宋体" w:cs="宋体" w:hint="eastAsia"/>
          <w:b/>
          <w:bCs/>
          <w:color w:val="auto"/>
          <w:sz w:val="24"/>
          <w:lang w:val="en-US" w:eastAsia="zh-CN"/>
        </w:rPr>
        <w:t>供货</w:t>
      </w:r>
      <w:r>
        <w:rPr>
          <w:rFonts w:ascii="宋体" w:eastAsia="宋体" w:hAnsi="宋体" w:cs="宋体" w:hint="eastAsia"/>
          <w:b/>
          <w:bCs/>
          <w:color w:val="auto"/>
          <w:sz w:val="24"/>
        </w:rPr>
        <w:t>时间：</w:t>
      </w:r>
      <w:r>
        <w:rPr>
          <w:rFonts w:ascii="宋体" w:eastAsia="宋体" w:hAnsi="宋体" w:cs="宋体" w:hint="eastAsia"/>
          <w:color w:val="auto"/>
          <w:sz w:val="24"/>
          <w:highlight w:val="none"/>
        </w:rPr>
        <w:t>合同签订之日起</w:t>
      </w:r>
      <w:r>
        <w:rPr>
          <w:rFonts w:ascii="宋体" w:eastAsia="宋体" w:hAnsi="宋体" w:cs="宋体" w:hint="eastAsia"/>
          <w:color w:val="auto"/>
          <w:sz w:val="24"/>
          <w:highlight w:val="none"/>
          <w:lang w:val="en-US" w:eastAsia="zh-CN"/>
        </w:rPr>
        <w:t>15日历天内</w:t>
      </w:r>
      <w:r>
        <w:rPr>
          <w:rFonts w:ascii="宋体" w:eastAsia="宋体" w:hAnsi="宋体" w:cs="宋体" w:hint="eastAsia"/>
          <w:color w:val="auto"/>
          <w:sz w:val="24"/>
          <w:lang w:val="en-US" w:eastAsia="zh-CN"/>
        </w:rPr>
        <w:t>。</w:t>
      </w:r>
    </w:p>
    <w:p>
      <w:pPr>
        <w:pStyle w:val="BodyTextFirstIndent"/>
        <w:spacing w:line="360" w:lineRule="auto"/>
        <w:ind w:firstLine="480" w:firstLineChars="200"/>
        <w:rPr>
          <w:rFonts w:ascii="宋体" w:eastAsia="宋体" w:hAnsi="宋体" w:cs="宋体"/>
          <w:color w:val="auto"/>
        </w:rPr>
      </w:pPr>
      <w:r>
        <w:rPr>
          <w:rFonts w:ascii="宋体" w:eastAsia="宋体" w:hAnsi="宋体" w:cs="宋体" w:hint="eastAsia"/>
          <w:b/>
          <w:bCs/>
          <w:color w:val="auto"/>
          <w:sz w:val="24"/>
        </w:rPr>
        <w:t>7.</w:t>
      </w:r>
      <w:r>
        <w:rPr>
          <w:rFonts w:ascii="宋体" w:eastAsia="宋体" w:hAnsi="宋体" w:cs="宋体" w:hint="eastAsia"/>
          <w:b/>
          <w:bCs/>
          <w:color w:val="auto"/>
          <w:sz w:val="24"/>
          <w:lang w:val="en-US" w:eastAsia="zh-CN"/>
        </w:rPr>
        <w:t>供货</w:t>
      </w:r>
      <w:r>
        <w:rPr>
          <w:rFonts w:ascii="宋体" w:eastAsia="宋体" w:hAnsi="宋体" w:cs="宋体" w:hint="eastAsia"/>
          <w:b/>
          <w:bCs/>
          <w:color w:val="auto"/>
          <w:sz w:val="24"/>
        </w:rPr>
        <w:t>地点：</w:t>
      </w:r>
      <w:r>
        <w:rPr>
          <w:rFonts w:ascii="宋体" w:eastAsia="宋体" w:hAnsi="宋体" w:cs="宋体" w:hint="eastAsia"/>
          <w:color w:val="auto"/>
          <w:sz w:val="24"/>
          <w:lang w:eastAsia="zh-CN"/>
        </w:rPr>
        <w:t>西双版纳傣族自治州消防救援支队</w:t>
      </w:r>
      <w:r>
        <w:rPr>
          <w:rFonts w:ascii="宋体" w:eastAsia="宋体" w:hAnsi="宋体" w:cs="宋体" w:hint="eastAsia"/>
          <w:color w:val="auto"/>
          <w:sz w:val="24"/>
          <w:lang w:val="en-US" w:eastAsia="zh-CN"/>
        </w:rPr>
        <w:t>指定地点</w:t>
      </w:r>
      <w:r>
        <w:rPr>
          <w:rFonts w:ascii="宋体" w:eastAsia="宋体" w:hAnsi="宋体" w:cs="宋体" w:hint="eastAsia"/>
          <w:color w:val="auto"/>
          <w:sz w:val="24"/>
        </w:rPr>
        <w:t>。</w:t>
      </w:r>
    </w:p>
    <w:p>
      <w:pPr>
        <w:snapToGrid w:val="0"/>
        <w:spacing w:line="360" w:lineRule="auto"/>
        <w:ind w:firstLine="480" w:firstLineChars="200"/>
        <w:jc w:val="left"/>
        <w:rPr>
          <w:rFonts w:ascii="宋体" w:eastAsia="宋体" w:hAnsi="宋体" w:cs="宋体"/>
          <w:color w:val="auto"/>
          <w:sz w:val="24"/>
        </w:rPr>
      </w:pPr>
      <w:r>
        <w:rPr>
          <w:rFonts w:ascii="宋体" w:eastAsia="宋体" w:hAnsi="宋体" w:cs="宋体" w:hint="eastAsia"/>
          <w:b/>
          <w:bCs/>
          <w:color w:val="auto"/>
          <w:sz w:val="24"/>
        </w:rPr>
        <w:t>8.</w:t>
      </w:r>
      <w:r>
        <w:rPr>
          <w:rFonts w:ascii="宋体" w:eastAsia="宋体" w:hAnsi="宋体" w:cs="宋体" w:hint="eastAsia"/>
          <w:color w:val="auto"/>
          <w:sz w:val="24"/>
        </w:rPr>
        <w:t>本项目</w:t>
      </w:r>
      <w:r>
        <w:rPr>
          <w:rFonts w:ascii="宋体" w:eastAsia="宋体" w:hAnsi="宋体" w:cs="宋体" w:hint="eastAsia"/>
          <w:color w:val="auto"/>
          <w:sz w:val="24"/>
          <w:u w:val="single"/>
        </w:rPr>
        <w:t>不接受</w:t>
      </w:r>
      <w:r>
        <w:rPr>
          <w:rFonts w:ascii="宋体" w:eastAsia="宋体" w:hAnsi="宋体" w:cs="宋体" w:hint="eastAsia"/>
          <w:color w:val="auto"/>
          <w:sz w:val="24"/>
        </w:rPr>
        <w:t>联合体磋商。</w:t>
      </w:r>
    </w:p>
    <w:p>
      <w:pPr>
        <w:snapToGrid w:val="0"/>
        <w:spacing w:line="360" w:lineRule="auto"/>
        <w:ind w:firstLine="480" w:firstLineChars="200"/>
        <w:jc w:val="left"/>
        <w:rPr>
          <w:rFonts w:ascii="宋体" w:eastAsia="宋体" w:hAnsi="宋体" w:cs="宋体"/>
          <w:b/>
          <w:bCs/>
          <w:color w:val="auto"/>
          <w:sz w:val="24"/>
        </w:rPr>
      </w:pPr>
      <w:bookmarkStart w:id="6" w:name="_Toc28359090"/>
      <w:bookmarkStart w:id="7" w:name="_Toc35393630"/>
      <w:bookmarkStart w:id="8" w:name="_Toc28359013"/>
      <w:bookmarkStart w:id="9" w:name="_Toc35393799"/>
      <w:r>
        <w:rPr>
          <w:rFonts w:ascii="宋体" w:eastAsia="宋体" w:hAnsi="宋体" w:cs="宋体" w:hint="eastAsia"/>
          <w:b/>
          <w:bCs/>
          <w:color w:val="auto"/>
          <w:sz w:val="24"/>
        </w:rPr>
        <w:t>二、供应商的资格要求</w:t>
      </w:r>
      <w:bookmarkEnd w:id="6"/>
      <w:bookmarkEnd w:id="7"/>
      <w:bookmarkEnd w:id="8"/>
      <w:bookmarkEnd w:id="9"/>
    </w:p>
    <w:p>
      <w:pPr>
        <w:snapToGrid w:val="0"/>
        <w:spacing w:line="360" w:lineRule="auto"/>
        <w:ind w:firstLine="480" w:firstLineChars="200"/>
        <w:jc w:val="left"/>
        <w:rPr>
          <w:rFonts w:ascii="宋体" w:eastAsia="宋体" w:hAnsi="宋体" w:cs="宋体"/>
          <w:color w:val="auto"/>
          <w:sz w:val="24"/>
        </w:rPr>
      </w:pPr>
      <w:bookmarkStart w:id="10" w:name="_Toc26404"/>
      <w:bookmarkStart w:id="11" w:name="_Toc8643"/>
      <w:bookmarkStart w:id="12" w:name="_Toc29933"/>
      <w:bookmarkStart w:id="13" w:name="_Toc28359014"/>
      <w:bookmarkStart w:id="14" w:name="_Toc28359091"/>
      <w:r>
        <w:rPr>
          <w:rFonts w:ascii="宋体" w:eastAsia="宋体" w:hAnsi="宋体" w:cs="宋体" w:hint="eastAsia"/>
          <w:b/>
          <w:bCs/>
          <w:color w:val="auto"/>
          <w:sz w:val="24"/>
        </w:rPr>
        <w:t>1.满足《中华人民共和国政府采购法》第二十二条规定。</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1.1供应商须具有中华人民共和国境内注册、具备独立承担民事行为能力的法人、非法人组织，提供有效的企业营业执照和具有独立承担民事责任能力的声明函或证明材料；</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1.2供应商具有良好的商业信誉和健全的财务会计制度（提供企业202</w:t>
      </w:r>
      <w:r>
        <w:rPr>
          <w:rFonts w:ascii="宋体" w:eastAsia="宋体" w:hAnsi="宋体" w:cs="宋体" w:hint="eastAsia"/>
          <w:color w:val="auto"/>
          <w:sz w:val="24"/>
          <w:lang w:val="en-US" w:eastAsia="zh-CN"/>
        </w:rPr>
        <w:t>2</w:t>
      </w:r>
      <w:r>
        <w:rPr>
          <w:rFonts w:ascii="宋体" w:eastAsia="宋体" w:hAnsi="宋体" w:cs="宋体" w:hint="eastAsia"/>
          <w:color w:val="auto"/>
          <w:sz w:val="24"/>
        </w:rPr>
        <w:t>年度经审计的财务报告及其相关报表，或者基本开户行出具的资信证明,或者财政部门认可专业担保机构出具的投标担保函扫描件）；</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1.3供应商须具有履行合同所必需的设备和专业技术能力(提供声明函或证明材料)；</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1.4供应商有依法缴纳税收和社会保障资金的良好记录（</w:t>
      </w:r>
      <w:r>
        <w:rPr>
          <w:rFonts w:ascii="宋体" w:eastAsia="宋体" w:hAnsi="宋体" w:cs="宋体" w:hint="eastAsia"/>
          <w:color w:val="auto"/>
          <w:sz w:val="24"/>
        </w:rPr>
        <w:t>①</w:t>
      </w:r>
      <w:r>
        <w:rPr>
          <w:rFonts w:ascii="宋体" w:eastAsia="宋体" w:hAnsi="宋体" w:cs="宋体" w:hint="eastAsia"/>
          <w:color w:val="auto"/>
          <w:sz w:val="24"/>
        </w:rPr>
        <w:t>提供参加政府采购活动前段时间（</w:t>
      </w:r>
      <w:bookmarkStart w:id="15" w:name="_GoBack"/>
      <w:r>
        <w:rPr>
          <w:rFonts w:ascii="宋体" w:eastAsia="宋体" w:hAnsi="宋体" w:cs="宋体" w:hint="eastAsia"/>
          <w:color w:val="auto"/>
          <w:sz w:val="24"/>
        </w:rPr>
        <w:t>202</w:t>
      </w:r>
      <w:r>
        <w:rPr>
          <w:rFonts w:ascii="宋体" w:eastAsia="宋体" w:hAnsi="宋体" w:cs="宋体" w:hint="eastAsia"/>
          <w:color w:val="auto"/>
          <w:sz w:val="24"/>
          <w:lang w:val="en-US" w:eastAsia="zh-CN"/>
        </w:rPr>
        <w:t>3</w:t>
      </w:r>
      <w:bookmarkEnd w:id="15"/>
      <w:r>
        <w:rPr>
          <w:rFonts w:ascii="宋体" w:eastAsia="宋体" w:hAnsi="宋体" w:cs="宋体" w:hint="eastAsia"/>
          <w:color w:val="auto"/>
          <w:sz w:val="24"/>
        </w:rPr>
        <w:t>年任意一个月）依法缴纳税收凭据；</w:t>
      </w:r>
      <w:r>
        <w:rPr>
          <w:rFonts w:ascii="宋体" w:eastAsia="宋体" w:hAnsi="宋体" w:cs="宋体" w:hint="eastAsia"/>
          <w:color w:val="auto"/>
          <w:sz w:val="24"/>
        </w:rPr>
        <w:t>②</w:t>
      </w:r>
      <w:r>
        <w:rPr>
          <w:rFonts w:ascii="宋体" w:eastAsia="宋体" w:hAnsi="宋体" w:cs="宋体" w:hint="eastAsia"/>
          <w:color w:val="auto"/>
          <w:sz w:val="24"/>
        </w:rPr>
        <w:t>提供缴费所属时间在（202</w:t>
      </w:r>
      <w:r>
        <w:rPr>
          <w:rFonts w:ascii="宋体" w:eastAsia="宋体" w:hAnsi="宋体" w:cs="宋体" w:hint="eastAsia"/>
          <w:color w:val="auto"/>
          <w:sz w:val="24"/>
          <w:lang w:val="en-US" w:eastAsia="zh-CN"/>
        </w:rPr>
        <w:t>3</w:t>
      </w:r>
      <w:r>
        <w:rPr>
          <w:rFonts w:ascii="宋体" w:eastAsia="宋体" w:hAnsi="宋体" w:cs="宋体" w:hint="eastAsia"/>
          <w:color w:val="auto"/>
          <w:sz w:val="24"/>
        </w:rPr>
        <w:t>年任意一个月）依法缴纳社会保障资金凭据）；（若为新成立的公司应作出说明）</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1.5供应商在参加政府采购活动前三年内，在经营活动中没有重大违法记录（重大违法记录是指供应商因违法经营受到刑事处罚或者责令停产停业、吊销许可证或者执照、较大数额罚款等行政处罚）提供声明函；</w:t>
      </w:r>
    </w:p>
    <w:p>
      <w:pPr>
        <w:spacing w:line="360" w:lineRule="auto"/>
        <w:ind w:firstLine="480" w:firstLineChars="200"/>
        <w:outlineLvl w:val="0"/>
        <w:rPr>
          <w:rFonts w:ascii="宋体" w:eastAsia="宋体" w:hAnsi="宋体" w:cs="宋体"/>
          <w:b/>
          <w:bCs/>
          <w:color w:val="auto"/>
          <w:sz w:val="24"/>
        </w:rPr>
      </w:pPr>
      <w:r>
        <w:rPr>
          <w:rFonts w:ascii="宋体" w:eastAsia="宋体" w:hAnsi="宋体" w:cs="宋体" w:hint="eastAsia"/>
          <w:b/>
          <w:bCs/>
          <w:color w:val="auto"/>
          <w:sz w:val="24"/>
        </w:rPr>
        <w:t>2.落实政府采购政策需满足的资格要求</w:t>
      </w:r>
      <w:bookmarkEnd w:id="10"/>
      <w:bookmarkEnd w:id="11"/>
      <w:bookmarkEnd w:id="12"/>
    </w:p>
    <w:p>
      <w:pPr>
        <w:spacing w:line="360" w:lineRule="auto"/>
        <w:ind w:firstLine="480" w:firstLineChars="200"/>
        <w:rPr>
          <w:rFonts w:ascii="宋体" w:eastAsia="宋体" w:hAnsi="宋体" w:cs="宋体"/>
          <w:color w:val="auto"/>
          <w:sz w:val="24"/>
        </w:rPr>
      </w:pPr>
      <w:bookmarkStart w:id="16" w:name="_Toc12400"/>
      <w:bookmarkStart w:id="17" w:name="_Toc5558"/>
      <w:bookmarkStart w:id="18" w:name="_Toc29758"/>
      <w:r>
        <w:rPr>
          <w:rFonts w:ascii="宋体" w:eastAsia="宋体" w:hAnsi="宋体" w:cs="宋体" w:hint="eastAsia"/>
          <w:color w:val="auto"/>
          <w:sz w:val="24"/>
        </w:rPr>
        <w:t>根据《政府采购促进中小企业发展管理办法》（财库〔2020〕46号）、《关于进一步加大政府采购支持中小企业力度的通知》（财库〔2022〕19号）、《财政部 司法部关于政府采购支持监狱企业发展有关问题的通知》 (财库〔2014〕68 号)、《财政部 民政部 中国残疾人联合会关于促进残疾人就业政府采购政策的通知》（财库〔2017〕141号）和《云南省财政厅关于促进政府采购公平竞争优化营商环境的实施意见》（云财规〔2019〕5号）等文件规定，本项目对符合规定的小微企业报价给予10%的扣除，用扣除后的价格参加评审，监狱企业、残疾人福利性单位视同小微企业。监狱企业、残疾人福利性单位属于小微企业的，不重复享受价格扣除优惠政策；供应商提供的货物既有小微企业制造货物，也有大中型企业制造货物的，不享受价格扣除优惠政策。价格扣除比例对小型企业和微型企业同等对待，不作区分。价格扣除的具体评分标准详见竞争性磋商文件第三章</w:t>
      </w:r>
      <w:r>
        <w:rPr>
          <w:rFonts w:ascii="宋体" w:eastAsia="宋体" w:hAnsi="宋体" w:cs="宋体" w:hint="eastAsia"/>
          <w:color w:val="auto"/>
          <w:sz w:val="24"/>
        </w:rPr>
        <w:t>“</w:t>
      </w:r>
      <w:r>
        <w:rPr>
          <w:rFonts w:ascii="宋体" w:eastAsia="宋体" w:hAnsi="宋体" w:cs="宋体" w:hint="eastAsia"/>
          <w:color w:val="auto"/>
          <w:sz w:val="24"/>
        </w:rPr>
        <w:t>资格审查办法和评标办法</w:t>
      </w:r>
      <w:r>
        <w:rPr>
          <w:rFonts w:ascii="宋体" w:eastAsia="宋体" w:hAnsi="宋体" w:cs="宋体" w:hint="eastAsia"/>
          <w:color w:val="auto"/>
          <w:sz w:val="24"/>
        </w:rPr>
        <w:t>”</w:t>
      </w:r>
      <w:r>
        <w:rPr>
          <w:rFonts w:ascii="宋体" w:eastAsia="宋体" w:hAnsi="宋体" w:cs="宋体" w:hint="eastAsia"/>
          <w:color w:val="auto"/>
          <w:sz w:val="24"/>
        </w:rPr>
        <w:t>。</w:t>
      </w:r>
      <w:bookmarkEnd w:id="16"/>
      <w:bookmarkEnd w:id="17"/>
      <w:bookmarkEnd w:id="18"/>
    </w:p>
    <w:p>
      <w:pPr>
        <w:snapToGrid w:val="0"/>
        <w:spacing w:line="360" w:lineRule="auto"/>
        <w:ind w:firstLine="480" w:firstLineChars="200"/>
        <w:rPr>
          <w:rFonts w:ascii="宋体" w:eastAsia="宋体" w:hAnsi="宋体" w:cs="宋体"/>
          <w:b/>
          <w:bCs/>
          <w:color w:val="auto"/>
          <w:sz w:val="24"/>
        </w:rPr>
      </w:pPr>
      <w:r>
        <w:rPr>
          <w:rFonts w:ascii="宋体" w:eastAsia="宋体" w:hAnsi="宋体" w:cs="宋体" w:hint="eastAsia"/>
          <w:b/>
          <w:bCs/>
          <w:color w:val="auto"/>
          <w:sz w:val="24"/>
        </w:rPr>
        <w:t>3.本项目的特定资格要求</w:t>
      </w:r>
    </w:p>
    <w:p>
      <w:pPr>
        <w:spacing w:line="360" w:lineRule="auto"/>
        <w:ind w:firstLine="480" w:firstLineChars="200"/>
        <w:rPr>
          <w:rFonts w:ascii="宋体" w:eastAsia="宋体" w:hAnsi="宋体" w:cs="宋体" w:hint="eastAsia"/>
          <w:color w:val="auto"/>
          <w:sz w:val="24"/>
        </w:rPr>
      </w:pPr>
      <w:bookmarkStart w:id="19" w:name="_Toc35393631"/>
      <w:bookmarkStart w:id="20" w:name="_Toc35393800"/>
      <w:r>
        <w:rPr>
          <w:rFonts w:ascii="宋体" w:eastAsia="宋体" w:hAnsi="宋体" w:cs="宋体" w:hint="eastAsia"/>
          <w:color w:val="auto"/>
          <w:sz w:val="24"/>
        </w:rPr>
        <w:t>3.1信用记录查询渠道及查询结果要求</w:t>
      </w:r>
    </w:p>
    <w:p>
      <w:pPr>
        <w:spacing w:line="360" w:lineRule="auto"/>
        <w:ind w:firstLine="480" w:firstLineChars="200"/>
        <w:rPr>
          <w:rFonts w:ascii="宋体" w:eastAsia="宋体" w:hAnsi="宋体" w:cs="宋体" w:hint="eastAsia"/>
          <w:color w:val="auto"/>
          <w:sz w:val="24"/>
        </w:rPr>
      </w:pPr>
      <w:r>
        <w:rPr>
          <w:rFonts w:ascii="宋体" w:eastAsia="宋体" w:hAnsi="宋体" w:cs="宋体" w:hint="eastAsia"/>
          <w:color w:val="auto"/>
          <w:sz w:val="24"/>
        </w:rPr>
        <w:t xml:space="preserve">根据《财政部关于在政府采购活动中查询及使用信用记录》（财库〔2016〕125号）有关事项通知，要求供应商未被列入中国执行信息公开网（http://zxgk.court.gov.cn）失信被执行人记录、信用中国（https://www.creditchina.gov.cn）重大税收违法失信主体和政府采购严重违法失信行为记录名单且在中国政府采购网( </w:t>
      </w:r>
      <w:r>
        <w:rPr>
          <w:rFonts w:ascii="宋体" w:eastAsia="宋体" w:hAnsi="宋体" w:cs="宋体" w:hint="eastAsia"/>
          <w:color w:val="auto"/>
          <w:sz w:val="24"/>
        </w:rPr>
        <w:fldChar w:fldCharType="begin"/>
      </w:r>
      <w:r>
        <w:rPr>
          <w:rFonts w:ascii="宋体" w:eastAsia="宋体" w:hAnsi="宋体" w:cs="宋体" w:hint="eastAsia"/>
          <w:color w:val="auto"/>
          <w:sz w:val="24"/>
        </w:rPr>
        <w:instrText xml:space="preserve"> HYPERLINK "http://www.ccgp.gov.cn" </w:instrText>
      </w:r>
      <w:r>
        <w:rPr>
          <w:rFonts w:ascii="宋体" w:eastAsia="宋体" w:hAnsi="宋体" w:cs="宋体" w:hint="eastAsia"/>
          <w:color w:val="auto"/>
          <w:sz w:val="24"/>
        </w:rPr>
        <w:fldChar w:fldCharType="separate"/>
      </w:r>
      <w:r>
        <w:rPr>
          <w:rFonts w:ascii="宋体" w:eastAsia="宋体" w:hAnsi="宋体" w:cs="宋体" w:hint="eastAsia"/>
          <w:color w:val="auto"/>
          <w:sz w:val="24"/>
        </w:rPr>
        <w:t>www.ccgp.gov.cn</w:t>
      </w:r>
      <w:r>
        <w:rPr>
          <w:rFonts w:ascii="宋体" w:eastAsia="宋体" w:hAnsi="宋体" w:cs="宋体" w:hint="eastAsia"/>
          <w:color w:val="auto"/>
          <w:sz w:val="24"/>
        </w:rPr>
        <w:fldChar w:fldCharType="end"/>
      </w:r>
      <w:r>
        <w:rPr>
          <w:rFonts w:ascii="宋体" w:eastAsia="宋体" w:hAnsi="宋体" w:cs="宋体" w:hint="eastAsia"/>
          <w:color w:val="auto"/>
          <w:sz w:val="24"/>
        </w:rPr>
        <w:t>)无政府采购严重违法失信行为记录，未被列入国家企业信用信息公示系统（http://www.gsxt.gov.cn）经营异常名录和严重违法失信企业名单（黑名单），在中国裁判文书网（wenshu.court.gov.cn）无</w:t>
      </w:r>
      <w:r>
        <w:rPr>
          <w:rFonts w:ascii="宋体" w:eastAsia="宋体" w:hAnsi="宋体" w:cs="宋体" w:hint="eastAsia"/>
          <w:color w:val="auto"/>
          <w:sz w:val="24"/>
        </w:rPr>
        <w:t>“</w:t>
      </w:r>
      <w:r>
        <w:rPr>
          <w:rFonts w:ascii="宋体" w:eastAsia="宋体" w:hAnsi="宋体" w:cs="宋体" w:hint="eastAsia"/>
          <w:color w:val="auto"/>
          <w:sz w:val="24"/>
        </w:rPr>
        <w:t>行贿受贿</w:t>
      </w:r>
      <w:r>
        <w:rPr>
          <w:rFonts w:ascii="宋体" w:eastAsia="宋体" w:hAnsi="宋体" w:cs="宋体" w:hint="eastAsia"/>
          <w:color w:val="auto"/>
          <w:sz w:val="24"/>
        </w:rPr>
        <w:t>”</w:t>
      </w:r>
      <w:r>
        <w:rPr>
          <w:rFonts w:ascii="宋体" w:eastAsia="宋体" w:hAnsi="宋体" w:cs="宋体" w:hint="eastAsia"/>
          <w:color w:val="auto"/>
          <w:sz w:val="24"/>
        </w:rPr>
        <w:t>行为。</w:t>
      </w:r>
    </w:p>
    <w:p>
      <w:pPr>
        <w:spacing w:line="360" w:lineRule="auto"/>
        <w:ind w:firstLine="480" w:firstLineChars="200"/>
        <w:rPr>
          <w:rFonts w:ascii="宋体" w:eastAsia="宋体" w:hAnsi="宋体" w:cs="宋体" w:hint="eastAsia"/>
          <w:color w:val="auto"/>
          <w:sz w:val="24"/>
        </w:rPr>
      </w:pPr>
      <w:r>
        <w:rPr>
          <w:rFonts w:ascii="宋体" w:eastAsia="宋体" w:hAnsi="宋体" w:cs="宋体" w:hint="eastAsia"/>
          <w:color w:val="auto"/>
          <w:sz w:val="24"/>
        </w:rPr>
        <w:t>信用记录由采购人或采购代理机构在上述网站进行查询，对供应商信用记录进行甄别，被列入失信被执行人、重大税收违法失信主体、政府采购严重违法失信行为记录名单、经营异常名录、严重违法失信名单（黑名单）和有</w:t>
      </w:r>
      <w:r>
        <w:rPr>
          <w:rFonts w:ascii="宋体" w:eastAsia="宋体" w:hAnsi="宋体" w:cs="宋体" w:hint="eastAsia"/>
          <w:color w:val="auto"/>
          <w:sz w:val="24"/>
        </w:rPr>
        <w:t>“</w:t>
      </w:r>
      <w:r>
        <w:rPr>
          <w:rFonts w:ascii="宋体" w:eastAsia="宋体" w:hAnsi="宋体" w:cs="宋体" w:hint="eastAsia"/>
          <w:color w:val="auto"/>
          <w:sz w:val="24"/>
        </w:rPr>
        <w:t>行贿受贿</w:t>
      </w:r>
      <w:r>
        <w:rPr>
          <w:rFonts w:ascii="宋体" w:eastAsia="宋体" w:hAnsi="宋体" w:cs="宋体" w:hint="eastAsia"/>
          <w:color w:val="auto"/>
          <w:sz w:val="24"/>
        </w:rPr>
        <w:t>”</w:t>
      </w:r>
      <w:r>
        <w:rPr>
          <w:rFonts w:ascii="宋体" w:eastAsia="宋体" w:hAnsi="宋体" w:cs="宋体" w:hint="eastAsia"/>
          <w:color w:val="auto"/>
          <w:sz w:val="24"/>
        </w:rPr>
        <w:t>的供应商，采购人将拒绝及否决其投标。信用信息查询记录及相关证据以纸质文档的形式保存。</w:t>
      </w:r>
    </w:p>
    <w:p>
      <w:pPr>
        <w:spacing w:line="360" w:lineRule="auto"/>
        <w:ind w:firstLine="480" w:firstLineChars="200"/>
        <w:rPr>
          <w:rFonts w:ascii="宋体" w:eastAsia="宋体" w:hAnsi="宋体" w:cs="宋体" w:hint="eastAsia"/>
          <w:color w:val="auto"/>
          <w:sz w:val="24"/>
        </w:rPr>
      </w:pPr>
      <w:r>
        <w:rPr>
          <w:rFonts w:ascii="宋体" w:eastAsia="宋体" w:hAnsi="宋体" w:cs="宋体" w:hint="eastAsia"/>
          <w:color w:val="auto"/>
          <w:sz w:val="24"/>
        </w:rPr>
        <w:t>3.2单位负责人为同一人或者存在直接控股、管理关系的不同供应商，不得参加同一合同项下的采购活动。</w:t>
      </w:r>
    </w:p>
    <w:p>
      <w:pPr>
        <w:spacing w:line="360" w:lineRule="auto"/>
        <w:ind w:firstLine="480" w:firstLineChars="200"/>
        <w:rPr>
          <w:rFonts w:ascii="宋体" w:eastAsia="宋体" w:hAnsi="宋体" w:cs="宋体" w:hint="eastAsia"/>
          <w:color w:val="auto"/>
          <w:sz w:val="24"/>
        </w:rPr>
      </w:pPr>
      <w:r>
        <w:rPr>
          <w:rFonts w:ascii="宋体" w:eastAsia="宋体" w:hAnsi="宋体" w:cs="宋体" w:hint="eastAsia"/>
          <w:color w:val="auto"/>
          <w:sz w:val="24"/>
        </w:rPr>
        <w:t>3.3本项目不接受联合体</w:t>
      </w:r>
      <w:r>
        <w:rPr>
          <w:rFonts w:ascii="宋体" w:eastAsia="宋体" w:hAnsi="宋体" w:cs="宋体" w:hint="eastAsia"/>
          <w:color w:val="auto"/>
          <w:sz w:val="24"/>
          <w:lang w:val="en-US" w:eastAsia="zh-CN"/>
        </w:rPr>
        <w:t>磋商</w:t>
      </w:r>
      <w:r>
        <w:rPr>
          <w:rFonts w:ascii="宋体" w:eastAsia="宋体" w:hAnsi="宋体" w:cs="宋体" w:hint="eastAsia"/>
          <w:color w:val="auto"/>
          <w:sz w:val="24"/>
        </w:rPr>
        <w:t>。</w:t>
      </w:r>
    </w:p>
    <w:p>
      <w:pPr>
        <w:snapToGrid w:val="0"/>
        <w:spacing w:line="360" w:lineRule="auto"/>
        <w:ind w:firstLine="561"/>
        <w:jc w:val="left"/>
        <w:rPr>
          <w:rFonts w:ascii="宋体" w:eastAsia="宋体" w:hAnsi="宋体" w:cs="宋体"/>
          <w:b/>
          <w:bCs/>
          <w:color w:val="auto"/>
          <w:sz w:val="24"/>
        </w:rPr>
      </w:pPr>
      <w:r>
        <w:rPr>
          <w:rFonts w:ascii="宋体" w:eastAsia="宋体" w:hAnsi="宋体" w:cs="宋体" w:hint="eastAsia"/>
          <w:b/>
          <w:bCs/>
          <w:color w:val="auto"/>
          <w:sz w:val="24"/>
        </w:rPr>
        <w:t>三、</w:t>
      </w:r>
      <w:bookmarkEnd w:id="13"/>
      <w:bookmarkEnd w:id="14"/>
      <w:bookmarkEnd w:id="19"/>
      <w:bookmarkEnd w:id="20"/>
      <w:r>
        <w:rPr>
          <w:rFonts w:ascii="宋体" w:eastAsia="宋体" w:hAnsi="宋体" w:cs="宋体" w:hint="eastAsia"/>
          <w:b/>
          <w:bCs/>
          <w:color w:val="auto"/>
          <w:sz w:val="24"/>
        </w:rPr>
        <w:t>竞争性磋商文件的获取</w:t>
      </w:r>
    </w:p>
    <w:p>
      <w:pPr>
        <w:snapToGrid w:val="0"/>
        <w:spacing w:line="360" w:lineRule="auto"/>
        <w:ind w:firstLine="561"/>
        <w:jc w:val="left"/>
        <w:rPr>
          <w:rFonts w:ascii="宋体" w:eastAsia="宋体" w:hAnsi="宋体" w:cs="宋体"/>
          <w:color w:val="auto"/>
          <w:sz w:val="24"/>
        </w:rPr>
      </w:pPr>
      <w:r>
        <w:rPr>
          <w:rFonts w:ascii="宋体" w:eastAsia="宋体" w:hAnsi="宋体" w:cs="宋体" w:hint="eastAsia"/>
          <w:b/>
          <w:bCs/>
          <w:color w:val="auto"/>
          <w:sz w:val="24"/>
        </w:rPr>
        <w:t>1.时间：</w:t>
      </w:r>
      <w:r>
        <w:rPr>
          <w:rFonts w:ascii="宋体" w:eastAsia="宋体" w:hAnsi="宋体" w:cs="宋体" w:hint="eastAsia"/>
          <w:color w:val="auto"/>
          <w:sz w:val="24"/>
        </w:rPr>
        <w:t>202</w:t>
      </w:r>
      <w:r>
        <w:rPr>
          <w:rFonts w:ascii="宋体" w:eastAsia="宋体" w:hAnsi="宋体" w:cs="宋体" w:hint="eastAsia"/>
          <w:color w:val="auto"/>
          <w:sz w:val="24"/>
          <w:lang w:val="en-US" w:eastAsia="zh-CN"/>
        </w:rPr>
        <w:t>3</w:t>
      </w:r>
      <w:r>
        <w:rPr>
          <w:rFonts w:ascii="宋体" w:eastAsia="宋体" w:hAnsi="宋体" w:cs="宋体" w:hint="eastAsia"/>
          <w:color w:val="auto"/>
          <w:sz w:val="24"/>
        </w:rPr>
        <w:t>年</w:t>
      </w:r>
      <w:r>
        <w:rPr>
          <w:rFonts w:ascii="宋体" w:hAnsi="宋体" w:cs="宋体" w:hint="eastAsia"/>
          <w:color w:val="auto"/>
          <w:sz w:val="24"/>
          <w:lang w:val="en-US" w:eastAsia="zh-CN"/>
        </w:rPr>
        <w:t>9</w:t>
      </w:r>
      <w:r>
        <w:rPr>
          <w:rFonts w:ascii="宋体" w:eastAsia="宋体" w:hAnsi="宋体" w:cs="宋体" w:hint="eastAsia"/>
          <w:color w:val="auto"/>
          <w:sz w:val="24"/>
        </w:rPr>
        <w:t>月</w:t>
      </w:r>
      <w:r>
        <w:rPr>
          <w:rFonts w:ascii="宋体" w:hAnsi="宋体" w:cs="宋体" w:hint="eastAsia"/>
          <w:color w:val="auto"/>
          <w:sz w:val="24"/>
          <w:lang w:val="en-US" w:eastAsia="zh-CN"/>
        </w:rPr>
        <w:t>13</w:t>
      </w:r>
      <w:r>
        <w:rPr>
          <w:rFonts w:ascii="宋体" w:eastAsia="宋体" w:hAnsi="宋体" w:cs="宋体" w:hint="eastAsia"/>
          <w:color w:val="auto"/>
          <w:sz w:val="24"/>
        </w:rPr>
        <w:t>日至202</w:t>
      </w:r>
      <w:r>
        <w:rPr>
          <w:rFonts w:ascii="宋体" w:eastAsia="宋体" w:hAnsi="宋体" w:cs="宋体" w:hint="eastAsia"/>
          <w:color w:val="auto"/>
          <w:sz w:val="24"/>
          <w:lang w:val="en-US" w:eastAsia="zh-CN"/>
        </w:rPr>
        <w:t>3</w:t>
      </w:r>
      <w:r>
        <w:rPr>
          <w:rFonts w:ascii="宋体" w:eastAsia="宋体" w:hAnsi="宋体" w:cs="宋体" w:hint="eastAsia"/>
          <w:color w:val="auto"/>
          <w:sz w:val="24"/>
        </w:rPr>
        <w:t>年</w:t>
      </w:r>
      <w:r>
        <w:rPr>
          <w:rFonts w:ascii="宋体" w:hAnsi="宋体" w:cs="宋体" w:hint="eastAsia"/>
          <w:color w:val="auto"/>
          <w:sz w:val="24"/>
          <w:lang w:val="en-US" w:eastAsia="zh-CN"/>
        </w:rPr>
        <w:t>9</w:t>
      </w:r>
      <w:r>
        <w:rPr>
          <w:rFonts w:ascii="宋体" w:eastAsia="宋体" w:hAnsi="宋体" w:cs="宋体" w:hint="eastAsia"/>
          <w:color w:val="auto"/>
          <w:sz w:val="24"/>
        </w:rPr>
        <w:t>月</w:t>
      </w:r>
      <w:r>
        <w:rPr>
          <w:rFonts w:ascii="宋体" w:hAnsi="宋体" w:cs="宋体" w:hint="eastAsia"/>
          <w:color w:val="auto"/>
          <w:sz w:val="24"/>
          <w:lang w:val="en-US" w:eastAsia="zh-CN"/>
        </w:rPr>
        <w:t>19</w:t>
      </w:r>
      <w:r>
        <w:rPr>
          <w:rFonts w:ascii="宋体" w:eastAsia="宋体" w:hAnsi="宋体" w:cs="宋体" w:hint="eastAsia"/>
          <w:color w:val="auto"/>
          <w:sz w:val="24"/>
        </w:rPr>
        <w:t>日。</w:t>
      </w:r>
    </w:p>
    <w:p>
      <w:pPr>
        <w:snapToGrid w:val="0"/>
        <w:spacing w:line="360" w:lineRule="auto"/>
        <w:ind w:firstLine="561"/>
        <w:rPr>
          <w:rFonts w:ascii="宋体" w:eastAsia="宋体" w:hAnsi="宋体" w:cs="宋体"/>
          <w:color w:val="auto"/>
          <w:sz w:val="24"/>
        </w:rPr>
      </w:pPr>
      <w:r>
        <w:rPr>
          <w:rFonts w:ascii="宋体" w:eastAsia="宋体" w:hAnsi="宋体" w:cs="宋体" w:hint="eastAsia"/>
          <w:b/>
          <w:bCs/>
          <w:color w:val="auto"/>
          <w:sz w:val="24"/>
        </w:rPr>
        <w:t>2.地点：</w:t>
      </w:r>
      <w:r>
        <w:rPr>
          <w:rFonts w:ascii="宋体" w:eastAsia="宋体" w:hAnsi="宋体" w:cs="宋体" w:hint="eastAsia"/>
          <w:color w:val="auto"/>
          <w:sz w:val="24"/>
        </w:rPr>
        <w:t>西双版纳州公共资源交易电子服务系统（https://ggzy.yn.gov.cn/ynggfwpt-home-web/#/homePage）</w:t>
      </w:r>
      <w:r>
        <w:rPr>
          <w:rFonts w:ascii="宋体" w:eastAsia="宋体" w:hAnsi="宋体" w:cs="宋体" w:hint="eastAsia"/>
          <w:bCs/>
          <w:color w:val="auto"/>
          <w:sz w:val="24"/>
        </w:rPr>
        <w:t>。</w:t>
      </w:r>
    </w:p>
    <w:p>
      <w:pPr>
        <w:snapToGrid w:val="0"/>
        <w:spacing w:line="360" w:lineRule="auto"/>
        <w:ind w:firstLine="561"/>
        <w:jc w:val="left"/>
        <w:rPr>
          <w:rFonts w:ascii="宋体" w:eastAsia="宋体" w:hAnsi="宋体" w:cs="宋体"/>
          <w:color w:val="auto"/>
        </w:rPr>
      </w:pPr>
      <w:r>
        <w:rPr>
          <w:rFonts w:ascii="宋体" w:eastAsia="宋体" w:hAnsi="宋体" w:cs="宋体" w:hint="eastAsia"/>
          <w:b/>
          <w:bCs/>
          <w:color w:val="auto"/>
          <w:sz w:val="24"/>
        </w:rPr>
        <w:t>3.方式：</w:t>
      </w:r>
      <w:r>
        <w:rPr>
          <w:rFonts w:ascii="宋体" w:eastAsia="宋体" w:hAnsi="宋体" w:cs="宋体" w:hint="eastAsia"/>
          <w:bCs/>
          <w:color w:val="auto"/>
          <w:sz w:val="24"/>
        </w:rPr>
        <w:t>凡有意参加磋商者，在</w:t>
      </w:r>
      <w:r>
        <w:rPr>
          <w:rFonts w:ascii="宋体" w:eastAsia="宋体" w:hAnsi="宋体" w:cs="宋体" w:hint="eastAsia"/>
          <w:color w:val="auto"/>
          <w:sz w:val="24"/>
        </w:rPr>
        <w:t>西双版纳州公共资源交易电子服务系统（https://ggzy.yn.gov.cn/ynggfwpt-home-web/#/homePage）</w:t>
      </w:r>
      <w:r>
        <w:rPr>
          <w:rFonts w:ascii="宋体" w:eastAsia="宋体" w:hAnsi="宋体" w:cs="宋体" w:hint="eastAsia"/>
          <w:bCs/>
          <w:color w:val="auto"/>
          <w:sz w:val="24"/>
        </w:rPr>
        <w:t>进行注册以及办理CA数字证书，</w:t>
      </w:r>
      <w:bookmarkStart w:id="21" w:name="_Toc28359092"/>
      <w:bookmarkStart w:id="22" w:name="_Toc28359015"/>
      <w:bookmarkStart w:id="23" w:name="_Toc35393801"/>
      <w:bookmarkStart w:id="24" w:name="_Toc35393632"/>
      <w:r>
        <w:rPr>
          <w:rFonts w:ascii="宋体" w:eastAsia="宋体" w:hAnsi="宋体" w:cs="宋体" w:hint="eastAsia"/>
          <w:bCs/>
          <w:color w:val="auto"/>
          <w:sz w:val="24"/>
        </w:rPr>
        <w:t>并前往景洪市勐泐大道与榕林大道交汇口，原国际会展中心A区2楼交易中心大厅云南CA证书办理点领取CA数字证书。注册及CA数字证书办理完成后凭企业CA数字证书登录进行网络报名，报名成功后可下载获取竞争性磋商文件。如有疑问请咨询本项目采购代理机构或北京筑龙信息技术有限责任公司（电话：010-86483801）。</w:t>
      </w:r>
    </w:p>
    <w:p>
      <w:pPr>
        <w:snapToGrid w:val="0"/>
        <w:spacing w:line="360" w:lineRule="auto"/>
        <w:ind w:firstLine="561"/>
        <w:jc w:val="left"/>
        <w:rPr>
          <w:rFonts w:ascii="宋体" w:eastAsia="宋体" w:hAnsi="宋体" w:cs="宋体"/>
          <w:bCs/>
          <w:color w:val="auto"/>
          <w:sz w:val="24"/>
        </w:rPr>
      </w:pPr>
      <w:r>
        <w:rPr>
          <w:rFonts w:ascii="宋体" w:eastAsia="宋体" w:hAnsi="宋体" w:cs="宋体" w:hint="eastAsia"/>
          <w:bCs/>
          <w:color w:val="auto"/>
          <w:sz w:val="24"/>
        </w:rPr>
        <w:t>售价（元）：0元。</w:t>
      </w:r>
    </w:p>
    <w:p>
      <w:pPr>
        <w:wordWrap w:val="0"/>
        <w:snapToGrid w:val="0"/>
        <w:spacing w:line="360" w:lineRule="auto"/>
        <w:ind w:firstLine="561"/>
        <w:jc w:val="left"/>
        <w:rPr>
          <w:rFonts w:ascii="宋体" w:eastAsia="宋体" w:hAnsi="宋体" w:cs="宋体"/>
          <w:b/>
          <w:bCs/>
          <w:color w:val="auto"/>
          <w:sz w:val="24"/>
        </w:rPr>
      </w:pPr>
      <w:r>
        <w:rPr>
          <w:rFonts w:ascii="宋体" w:eastAsia="宋体" w:hAnsi="宋体" w:cs="宋体" w:hint="eastAsia"/>
          <w:b/>
          <w:bCs/>
          <w:color w:val="auto"/>
          <w:sz w:val="24"/>
        </w:rPr>
        <w:t>四、响应文件提交</w:t>
      </w:r>
      <w:bookmarkEnd w:id="21"/>
      <w:bookmarkEnd w:id="22"/>
      <w:bookmarkEnd w:id="23"/>
      <w:bookmarkEnd w:id="24"/>
    </w:p>
    <w:p>
      <w:pPr>
        <w:wordWrap w:val="0"/>
        <w:spacing w:line="360" w:lineRule="auto"/>
        <w:ind w:firstLine="480" w:firstLineChars="200"/>
        <w:rPr>
          <w:rFonts w:ascii="宋体" w:eastAsia="宋体" w:hAnsi="宋体" w:cs="宋体"/>
          <w:color w:val="auto"/>
          <w:sz w:val="24"/>
        </w:rPr>
      </w:pPr>
      <w:r>
        <w:rPr>
          <w:rFonts w:ascii="宋体" w:eastAsia="宋体" w:hAnsi="宋体" w:cs="宋体" w:hint="eastAsia"/>
          <w:b/>
          <w:bCs/>
          <w:color w:val="auto"/>
          <w:sz w:val="24"/>
        </w:rPr>
        <w:t>1.截止时间：</w:t>
      </w:r>
      <w:r>
        <w:rPr>
          <w:rFonts w:ascii="宋体" w:eastAsia="宋体" w:hAnsi="宋体" w:cs="宋体" w:hint="eastAsia"/>
          <w:color w:val="auto"/>
          <w:sz w:val="24"/>
        </w:rPr>
        <w:t>202</w:t>
      </w:r>
      <w:r>
        <w:rPr>
          <w:rFonts w:ascii="宋体" w:eastAsia="宋体" w:hAnsi="宋体" w:cs="宋体" w:hint="eastAsia"/>
          <w:color w:val="auto"/>
          <w:sz w:val="24"/>
          <w:lang w:val="en-US" w:eastAsia="zh-CN"/>
        </w:rPr>
        <w:t>3</w:t>
      </w:r>
      <w:r>
        <w:rPr>
          <w:rFonts w:ascii="宋体" w:eastAsia="宋体" w:hAnsi="宋体" w:cs="宋体" w:hint="eastAsia"/>
          <w:color w:val="auto"/>
          <w:sz w:val="24"/>
        </w:rPr>
        <w:t>年</w:t>
      </w:r>
      <w:r>
        <w:rPr>
          <w:rFonts w:ascii="宋体" w:hAnsi="宋体" w:cs="宋体" w:hint="eastAsia"/>
          <w:color w:val="auto"/>
          <w:sz w:val="24"/>
          <w:lang w:val="en-US" w:eastAsia="zh-CN"/>
        </w:rPr>
        <w:t>9</w:t>
      </w:r>
      <w:r>
        <w:rPr>
          <w:rFonts w:ascii="宋体" w:eastAsia="宋体" w:hAnsi="宋体" w:cs="宋体" w:hint="eastAsia"/>
          <w:color w:val="auto"/>
          <w:sz w:val="24"/>
        </w:rPr>
        <w:t>月</w:t>
      </w:r>
      <w:r>
        <w:rPr>
          <w:rFonts w:ascii="宋体" w:hAnsi="宋体" w:cs="宋体" w:hint="eastAsia"/>
          <w:color w:val="auto"/>
          <w:sz w:val="24"/>
          <w:lang w:val="en-US" w:eastAsia="zh-CN"/>
        </w:rPr>
        <w:t>25</w:t>
      </w:r>
      <w:r>
        <w:rPr>
          <w:rFonts w:ascii="宋体" w:eastAsia="宋体" w:hAnsi="宋体" w:cs="宋体" w:hint="eastAsia"/>
          <w:color w:val="auto"/>
          <w:sz w:val="24"/>
        </w:rPr>
        <w:t>日</w:t>
      </w:r>
      <w:r>
        <w:rPr>
          <w:rFonts w:ascii="宋体" w:hAnsi="宋体" w:cs="宋体" w:hint="eastAsia"/>
          <w:color w:val="auto"/>
          <w:sz w:val="24"/>
          <w:lang w:val="en-US" w:eastAsia="zh-CN"/>
        </w:rPr>
        <w:t>10</w:t>
      </w:r>
      <w:r>
        <w:rPr>
          <w:rFonts w:ascii="宋体" w:eastAsia="宋体" w:hAnsi="宋体" w:cs="宋体" w:hint="eastAsia"/>
          <w:color w:val="auto"/>
          <w:sz w:val="24"/>
        </w:rPr>
        <w:t>时00分（北京时间）。</w:t>
      </w:r>
    </w:p>
    <w:p>
      <w:pPr>
        <w:snapToGrid w:val="0"/>
        <w:spacing w:line="360" w:lineRule="auto"/>
        <w:ind w:firstLine="480" w:firstLineChars="200"/>
        <w:jc w:val="left"/>
        <w:rPr>
          <w:rFonts w:ascii="宋体" w:eastAsia="宋体" w:hAnsi="宋体" w:cs="宋体"/>
          <w:snapToGrid w:val="0"/>
          <w:color w:val="auto"/>
          <w:kern w:val="0"/>
          <w:sz w:val="28"/>
          <w:szCs w:val="28"/>
        </w:rPr>
      </w:pPr>
      <w:r>
        <w:rPr>
          <w:rFonts w:ascii="宋体" w:eastAsia="宋体" w:hAnsi="宋体" w:cs="宋体" w:hint="eastAsia"/>
          <w:b/>
          <w:bCs/>
          <w:color w:val="auto"/>
          <w:sz w:val="24"/>
        </w:rPr>
        <w:t>2.地点：</w:t>
      </w:r>
      <w:bookmarkStart w:id="25" w:name="_Toc28359016"/>
      <w:bookmarkStart w:id="26" w:name="_Toc28359093"/>
      <w:bookmarkStart w:id="27" w:name="_Toc35393633"/>
      <w:bookmarkStart w:id="28" w:name="_Toc35393802"/>
      <w:r>
        <w:rPr>
          <w:rFonts w:ascii="宋体" w:eastAsia="宋体" w:hAnsi="宋体" w:cs="宋体" w:hint="eastAsia"/>
          <w:bCs/>
          <w:color w:val="auto"/>
          <w:sz w:val="24"/>
        </w:rPr>
        <w:t>网上递交网址：西双版纳州公共资源交易电子服务系统（https://ggzy.yn.gov.cn/ynggfwpt-home-web/#/homePage）。现场递交</w:t>
      </w:r>
      <w:r>
        <w:rPr>
          <w:rFonts w:ascii="宋体" w:hAnsi="宋体" w:cs="宋体" w:hint="eastAsia"/>
          <w:bCs/>
          <w:color w:val="auto"/>
          <w:sz w:val="24"/>
          <w:lang w:val="en-US" w:eastAsia="zh-CN"/>
        </w:rPr>
        <w:t>样品及开标</w:t>
      </w:r>
      <w:r>
        <w:rPr>
          <w:rFonts w:ascii="宋体" w:eastAsia="宋体" w:hAnsi="宋体" w:cs="宋体" w:hint="eastAsia"/>
          <w:bCs/>
          <w:color w:val="auto"/>
          <w:sz w:val="24"/>
        </w:rPr>
        <w:t>，地址：</w:t>
      </w:r>
      <w:r>
        <w:rPr>
          <w:rFonts w:ascii="宋体" w:eastAsia="宋体" w:hAnsi="宋体" w:cs="宋体" w:hint="eastAsia"/>
          <w:color w:val="auto"/>
          <w:sz w:val="24"/>
        </w:rPr>
        <w:t>西双版纳州公共资源交易中心（景洪市勐泐大道与榕林大道交汇口，原国际会展中心A区2楼）。</w:t>
      </w:r>
    </w:p>
    <w:p>
      <w:pPr>
        <w:wordWrap w:val="0"/>
        <w:snapToGrid w:val="0"/>
        <w:spacing w:line="360" w:lineRule="auto"/>
        <w:ind w:firstLine="561"/>
        <w:jc w:val="left"/>
        <w:rPr>
          <w:rFonts w:ascii="宋体" w:eastAsia="宋体" w:hAnsi="宋体" w:cs="宋体"/>
          <w:b/>
          <w:bCs/>
          <w:color w:val="auto"/>
          <w:sz w:val="24"/>
        </w:rPr>
      </w:pPr>
      <w:r>
        <w:rPr>
          <w:rFonts w:ascii="宋体" w:eastAsia="宋体" w:hAnsi="宋体" w:cs="宋体" w:hint="eastAsia"/>
          <w:b/>
          <w:bCs/>
          <w:color w:val="auto"/>
          <w:sz w:val="24"/>
        </w:rPr>
        <w:t>五、开启</w:t>
      </w:r>
      <w:bookmarkEnd w:id="25"/>
      <w:bookmarkEnd w:id="26"/>
      <w:bookmarkEnd w:id="27"/>
      <w:bookmarkEnd w:id="28"/>
    </w:p>
    <w:p>
      <w:pPr>
        <w:wordWrap w:val="0"/>
        <w:snapToGrid w:val="0"/>
        <w:spacing w:line="360" w:lineRule="auto"/>
        <w:ind w:firstLine="561"/>
        <w:jc w:val="left"/>
        <w:rPr>
          <w:rFonts w:ascii="宋体" w:eastAsia="宋体" w:hAnsi="宋体" w:cs="宋体"/>
          <w:color w:val="auto"/>
          <w:sz w:val="24"/>
        </w:rPr>
      </w:pPr>
      <w:r>
        <w:rPr>
          <w:rFonts w:ascii="宋体" w:eastAsia="宋体" w:hAnsi="宋体" w:cs="宋体" w:hint="eastAsia"/>
          <w:b/>
          <w:bCs/>
          <w:color w:val="auto"/>
          <w:sz w:val="24"/>
        </w:rPr>
        <w:t>1.时间：</w:t>
      </w:r>
      <w:r>
        <w:rPr>
          <w:rFonts w:ascii="宋体" w:eastAsia="宋体" w:hAnsi="宋体" w:cs="宋体" w:hint="eastAsia"/>
          <w:color w:val="auto"/>
          <w:sz w:val="24"/>
        </w:rPr>
        <w:t>202</w:t>
      </w:r>
      <w:r>
        <w:rPr>
          <w:rFonts w:ascii="宋体" w:eastAsia="宋体" w:hAnsi="宋体" w:cs="宋体" w:hint="eastAsia"/>
          <w:color w:val="auto"/>
          <w:sz w:val="24"/>
          <w:lang w:val="en-US" w:eastAsia="zh-CN"/>
        </w:rPr>
        <w:t xml:space="preserve">3 </w:t>
      </w:r>
      <w:r>
        <w:rPr>
          <w:rFonts w:ascii="宋体" w:eastAsia="宋体" w:hAnsi="宋体" w:cs="宋体" w:hint="eastAsia"/>
          <w:color w:val="auto"/>
          <w:sz w:val="24"/>
        </w:rPr>
        <w:t>年</w:t>
      </w:r>
      <w:r>
        <w:rPr>
          <w:rFonts w:ascii="宋体" w:hAnsi="宋体" w:cs="宋体" w:hint="eastAsia"/>
          <w:color w:val="auto"/>
          <w:sz w:val="24"/>
          <w:lang w:val="en-US" w:eastAsia="zh-CN"/>
        </w:rPr>
        <w:t>9</w:t>
      </w:r>
      <w:r>
        <w:rPr>
          <w:rFonts w:ascii="宋体" w:eastAsia="宋体" w:hAnsi="宋体" w:cs="宋体" w:hint="eastAsia"/>
          <w:color w:val="auto"/>
          <w:sz w:val="24"/>
        </w:rPr>
        <w:t>月</w:t>
      </w:r>
      <w:r>
        <w:rPr>
          <w:rFonts w:ascii="宋体" w:hAnsi="宋体" w:cs="宋体" w:hint="eastAsia"/>
          <w:color w:val="auto"/>
          <w:sz w:val="24"/>
          <w:lang w:val="en-US" w:eastAsia="zh-CN"/>
        </w:rPr>
        <w:t>25</w:t>
      </w:r>
      <w:r>
        <w:rPr>
          <w:rFonts w:ascii="宋体" w:eastAsia="宋体" w:hAnsi="宋体" w:cs="宋体" w:hint="eastAsia"/>
          <w:color w:val="auto"/>
          <w:sz w:val="24"/>
        </w:rPr>
        <w:t>日</w:t>
      </w:r>
      <w:r>
        <w:rPr>
          <w:rFonts w:ascii="宋体" w:hAnsi="宋体" w:cs="宋体" w:hint="eastAsia"/>
          <w:color w:val="auto"/>
          <w:sz w:val="24"/>
          <w:lang w:val="en-US" w:eastAsia="zh-CN"/>
        </w:rPr>
        <w:t>10</w:t>
      </w:r>
      <w:r>
        <w:rPr>
          <w:rFonts w:ascii="宋体" w:eastAsia="宋体" w:hAnsi="宋体" w:cs="宋体" w:hint="eastAsia"/>
          <w:color w:val="auto"/>
          <w:sz w:val="24"/>
        </w:rPr>
        <w:t>时00分（北京时间）。</w:t>
      </w:r>
    </w:p>
    <w:p>
      <w:pPr>
        <w:wordWrap w:val="0"/>
        <w:snapToGrid w:val="0"/>
        <w:spacing w:line="360" w:lineRule="auto"/>
        <w:ind w:firstLine="561"/>
        <w:jc w:val="left"/>
        <w:rPr>
          <w:rFonts w:ascii="宋体" w:eastAsia="宋体" w:hAnsi="宋体" w:cs="宋体"/>
          <w:color w:val="auto"/>
          <w:sz w:val="24"/>
        </w:rPr>
      </w:pPr>
      <w:r>
        <w:rPr>
          <w:rFonts w:ascii="宋体" w:eastAsia="宋体" w:hAnsi="宋体" w:cs="宋体" w:hint="eastAsia"/>
          <w:b/>
          <w:bCs/>
          <w:color w:val="auto"/>
          <w:sz w:val="24"/>
        </w:rPr>
        <w:t>2.地点：</w:t>
      </w:r>
      <w:bookmarkStart w:id="29" w:name="_Toc35393634"/>
      <w:bookmarkStart w:id="30" w:name="_Toc28359094"/>
      <w:bookmarkStart w:id="31" w:name="_Toc35393803"/>
      <w:bookmarkStart w:id="32" w:name="_Toc28359017"/>
      <w:r>
        <w:rPr>
          <w:rFonts w:ascii="宋体" w:eastAsia="宋体" w:hAnsi="宋体" w:cs="宋体" w:hint="eastAsia"/>
          <w:color w:val="auto"/>
          <w:sz w:val="24"/>
        </w:rPr>
        <w:t>西双版纳州公共资源交易中心（景洪市勐泐大道与榕林大道交汇口，原国际会展中心A区2楼）。</w:t>
      </w:r>
    </w:p>
    <w:p>
      <w:pPr>
        <w:wordWrap w:val="0"/>
        <w:snapToGrid w:val="0"/>
        <w:spacing w:line="360" w:lineRule="auto"/>
        <w:ind w:firstLine="561"/>
        <w:jc w:val="left"/>
        <w:rPr>
          <w:rFonts w:ascii="宋体" w:eastAsia="宋体" w:hAnsi="宋体" w:cs="宋体"/>
          <w:b/>
          <w:bCs/>
          <w:color w:val="auto"/>
          <w:sz w:val="24"/>
        </w:rPr>
      </w:pPr>
      <w:r>
        <w:rPr>
          <w:rFonts w:ascii="宋体" w:eastAsia="宋体" w:hAnsi="宋体" w:cs="宋体" w:hint="eastAsia"/>
          <w:b/>
          <w:bCs/>
          <w:color w:val="auto"/>
          <w:sz w:val="24"/>
        </w:rPr>
        <w:t>六、公告期限</w:t>
      </w:r>
      <w:bookmarkEnd w:id="29"/>
      <w:bookmarkEnd w:id="30"/>
      <w:bookmarkEnd w:id="31"/>
      <w:bookmarkEnd w:id="32"/>
    </w:p>
    <w:p>
      <w:pPr>
        <w:snapToGrid w:val="0"/>
        <w:spacing w:line="360" w:lineRule="auto"/>
        <w:ind w:firstLine="561"/>
        <w:jc w:val="left"/>
        <w:rPr>
          <w:rFonts w:ascii="宋体" w:eastAsia="宋体" w:hAnsi="宋体" w:cs="宋体"/>
          <w:color w:val="auto"/>
          <w:sz w:val="24"/>
        </w:rPr>
      </w:pPr>
      <w:r>
        <w:rPr>
          <w:rFonts w:ascii="宋体" w:eastAsia="宋体" w:hAnsi="宋体" w:cs="宋体" w:hint="eastAsia"/>
          <w:color w:val="auto"/>
          <w:sz w:val="24"/>
        </w:rPr>
        <w:t>自本公告发布之日起</w:t>
      </w:r>
      <w:r>
        <w:rPr>
          <w:rFonts w:ascii="宋体" w:eastAsia="宋体" w:hAnsi="宋体" w:cs="宋体" w:hint="eastAsia"/>
          <w:color w:val="auto"/>
          <w:sz w:val="24"/>
          <w:lang w:val="en-US" w:eastAsia="zh-CN"/>
        </w:rPr>
        <w:t>3</w:t>
      </w:r>
      <w:r>
        <w:rPr>
          <w:rFonts w:ascii="宋体" w:eastAsia="宋体" w:hAnsi="宋体" w:cs="宋体" w:hint="eastAsia"/>
          <w:color w:val="auto"/>
          <w:sz w:val="24"/>
        </w:rPr>
        <w:t>个工作日。</w:t>
      </w:r>
    </w:p>
    <w:p>
      <w:pPr>
        <w:numPr>
          <w:ilvl w:val="0"/>
          <w:numId w:val="1"/>
        </w:numPr>
        <w:snapToGrid w:val="0"/>
        <w:spacing w:line="360" w:lineRule="auto"/>
        <w:ind w:firstLine="561"/>
        <w:jc w:val="left"/>
        <w:rPr>
          <w:rFonts w:ascii="宋体" w:eastAsia="宋体" w:hAnsi="宋体" w:cs="宋体"/>
          <w:b/>
          <w:bCs/>
          <w:color w:val="auto"/>
          <w:sz w:val="24"/>
        </w:rPr>
      </w:pPr>
      <w:bookmarkStart w:id="33" w:name="_Toc35393804"/>
      <w:bookmarkStart w:id="34" w:name="_Toc35393635"/>
      <w:r>
        <w:rPr>
          <w:rFonts w:ascii="宋体" w:eastAsia="宋体" w:hAnsi="宋体" w:cs="宋体" w:hint="eastAsia"/>
          <w:b/>
          <w:bCs/>
          <w:color w:val="auto"/>
          <w:sz w:val="24"/>
        </w:rPr>
        <w:t>其他补充事宜</w:t>
      </w:r>
      <w:bookmarkEnd w:id="33"/>
      <w:bookmarkEnd w:id="34"/>
    </w:p>
    <w:p>
      <w:pPr>
        <w:pStyle w:val="BodyTextFirstIndent"/>
        <w:spacing w:line="360" w:lineRule="auto"/>
        <w:ind w:firstLine="480" w:firstLineChars="200"/>
        <w:rPr>
          <w:rFonts w:ascii="宋体" w:eastAsia="宋体" w:hAnsi="宋体" w:cs="宋体"/>
          <w:color w:val="auto"/>
          <w:sz w:val="24"/>
        </w:rPr>
      </w:pPr>
      <w:r>
        <w:rPr>
          <w:rFonts w:ascii="宋体" w:eastAsia="宋体" w:hAnsi="宋体" w:cs="宋体" w:hint="eastAsia"/>
          <w:b/>
          <w:bCs/>
          <w:color w:val="auto"/>
          <w:sz w:val="24"/>
        </w:rPr>
        <w:t>1.质量要求：</w:t>
      </w:r>
      <w:r>
        <w:rPr>
          <w:rFonts w:ascii="宋体" w:eastAsia="宋体" w:hAnsi="宋体" w:cs="宋体" w:hint="eastAsia"/>
          <w:color w:val="auto"/>
          <w:sz w:val="24"/>
        </w:rPr>
        <w:t>符合国家及行业现行标准</w:t>
      </w:r>
      <w:r>
        <w:rPr>
          <w:rFonts w:ascii="宋体" w:eastAsia="宋体" w:hAnsi="宋体" w:cs="宋体" w:hint="eastAsia"/>
          <w:color w:val="auto"/>
          <w:sz w:val="24"/>
          <w:lang w:eastAsia="zh-CN"/>
        </w:rPr>
        <w:t>，</w:t>
      </w:r>
      <w:r>
        <w:rPr>
          <w:rFonts w:ascii="宋体" w:eastAsia="宋体" w:hAnsi="宋体" w:cs="宋体" w:hint="eastAsia"/>
          <w:color w:val="auto"/>
          <w:sz w:val="24"/>
          <w:lang w:val="en-US" w:eastAsia="zh-CN"/>
        </w:rPr>
        <w:t>一次性验收合格</w:t>
      </w:r>
      <w:r>
        <w:rPr>
          <w:rFonts w:ascii="宋体" w:eastAsia="宋体" w:hAnsi="宋体" w:cs="宋体" w:hint="eastAsia"/>
          <w:color w:val="auto"/>
          <w:sz w:val="24"/>
        </w:rPr>
        <w:t>。</w:t>
      </w:r>
    </w:p>
    <w:p>
      <w:pPr>
        <w:pStyle w:val="BodyTextIndent"/>
        <w:spacing w:line="360" w:lineRule="auto"/>
        <w:ind w:firstLine="480" w:firstLineChars="200"/>
        <w:rPr>
          <w:rFonts w:ascii="宋体" w:eastAsia="宋体" w:hAnsi="宋体" w:cs="宋体"/>
          <w:color w:val="auto"/>
          <w:sz w:val="24"/>
          <w:szCs w:val="24"/>
        </w:rPr>
      </w:pPr>
      <w:r>
        <w:rPr>
          <w:rFonts w:ascii="宋体" w:eastAsia="宋体" w:hAnsi="宋体" w:cs="宋体" w:hint="eastAsia"/>
          <w:b/>
          <w:bCs/>
          <w:color w:val="auto"/>
          <w:sz w:val="24"/>
          <w:szCs w:val="24"/>
        </w:rPr>
        <w:t>2.开标方式：</w:t>
      </w:r>
      <w:r>
        <w:rPr>
          <w:rFonts w:ascii="宋体" w:eastAsia="宋体" w:hAnsi="宋体" w:cs="宋体" w:hint="eastAsia"/>
          <w:color w:val="auto"/>
          <w:sz w:val="24"/>
          <w:szCs w:val="24"/>
        </w:rPr>
        <w:t>☑</w:t>
      </w:r>
      <w:r>
        <w:rPr>
          <w:rFonts w:ascii="宋体" w:eastAsia="宋体" w:hAnsi="宋体" w:cs="宋体" w:hint="eastAsia"/>
          <w:color w:val="auto"/>
          <w:sz w:val="24"/>
          <w:szCs w:val="24"/>
        </w:rPr>
        <w:t>现场开标、</w:t>
      </w:r>
      <w:r>
        <w:rPr>
          <w:rFonts w:ascii="宋体" w:eastAsia="宋体" w:hAnsi="宋体" w:cs="宋体" w:hint="eastAsia"/>
          <w:color w:val="auto"/>
          <w:sz w:val="24"/>
          <w:szCs w:val="24"/>
        </w:rPr>
        <w:t>□</w:t>
      </w:r>
      <w:r>
        <w:rPr>
          <w:rFonts w:ascii="宋体" w:eastAsia="宋体" w:hAnsi="宋体" w:cs="宋体" w:hint="eastAsia"/>
          <w:bCs/>
          <w:color w:val="auto"/>
          <w:sz w:val="24"/>
          <w:szCs w:val="24"/>
        </w:rPr>
        <w:t>网上开标</w:t>
      </w:r>
      <w:r>
        <w:rPr>
          <w:rFonts w:ascii="宋体" w:eastAsia="宋体" w:hAnsi="宋体" w:cs="宋体" w:hint="eastAsia"/>
          <w:color w:val="auto"/>
          <w:sz w:val="24"/>
          <w:szCs w:val="24"/>
        </w:rPr>
        <w:t>。（说明：供应商须按照竞争性磋商文件规定的开标时间、地点及相关要求出席开标会议，并进行现场解密）。</w:t>
      </w:r>
    </w:p>
    <w:p>
      <w:pPr>
        <w:pStyle w:val="BodyTextIndent"/>
        <w:spacing w:line="360" w:lineRule="auto"/>
        <w:ind w:firstLine="480" w:firstLineChars="200"/>
        <w:rPr>
          <w:rFonts w:ascii="宋体" w:eastAsia="宋体" w:hAnsi="宋体" w:cs="宋体"/>
          <w:b/>
          <w:bCs/>
          <w:color w:val="auto"/>
          <w:sz w:val="24"/>
          <w:szCs w:val="24"/>
        </w:rPr>
      </w:pPr>
      <w:r>
        <w:rPr>
          <w:rFonts w:ascii="宋体" w:eastAsia="宋体" w:hAnsi="宋体" w:cs="宋体" w:hint="eastAsia"/>
          <w:b/>
          <w:bCs/>
          <w:color w:val="auto"/>
          <w:sz w:val="24"/>
          <w:szCs w:val="24"/>
        </w:rPr>
        <w:t>3.发布公告的媒介</w:t>
      </w:r>
    </w:p>
    <w:p>
      <w:pPr>
        <w:pStyle w:val="BodyTextIndent"/>
        <w:wordWrap w:val="0"/>
        <w:spacing w:line="360" w:lineRule="auto"/>
        <w:ind w:firstLine="480" w:firstLineChars="200"/>
        <w:rPr>
          <w:rFonts w:ascii="宋体" w:eastAsia="宋体" w:hAnsi="宋体" w:cs="宋体" w:hint="eastAsia"/>
          <w:bCs/>
          <w:color w:val="auto"/>
          <w:sz w:val="24"/>
          <w:szCs w:val="24"/>
        </w:rPr>
      </w:pPr>
      <w:r>
        <w:rPr>
          <w:rFonts w:ascii="宋体" w:eastAsia="宋体" w:hAnsi="宋体" w:cs="宋体" w:hint="eastAsia"/>
          <w:bCs/>
          <w:color w:val="auto"/>
          <w:sz w:val="24"/>
          <w:szCs w:val="24"/>
        </w:rPr>
        <w:t>3.1本公告同时在</w:t>
      </w:r>
      <w:r>
        <w:rPr>
          <w:rFonts w:ascii="宋体" w:eastAsia="宋体" w:hAnsi="宋体" w:cs="宋体" w:hint="eastAsia"/>
          <w:bCs/>
          <w:color w:val="auto"/>
          <w:sz w:val="24"/>
          <w:szCs w:val="24"/>
          <w:lang w:eastAsia="zh-CN"/>
        </w:rPr>
        <w:t>中国政府采购网（http://www.ccgp.gov.cn/）</w:t>
      </w:r>
      <w:r>
        <w:rPr>
          <w:rFonts w:ascii="宋体" w:eastAsia="宋体" w:hAnsi="宋体" w:cs="宋体" w:hint="eastAsia"/>
          <w:bCs/>
          <w:color w:val="auto"/>
          <w:sz w:val="24"/>
          <w:szCs w:val="24"/>
        </w:rPr>
        <w:t>、云南省公共资源交易信息网（https://ggzy.yn.gov.cn/#/homePage）、西双版纳州公共资源交易电子服务系统（https://ggzy.yn.gov.cn/ynggfwpt-home-web/#/homePage）上发布。</w:t>
      </w:r>
    </w:p>
    <w:p>
      <w:pPr>
        <w:pStyle w:val="BodyTextIndent"/>
        <w:spacing w:line="360" w:lineRule="auto"/>
        <w:ind w:firstLine="480" w:firstLineChars="200"/>
        <w:jc w:val="left"/>
        <w:rPr>
          <w:rFonts w:ascii="宋体" w:eastAsia="宋体" w:hAnsi="宋体" w:cs="宋体"/>
          <w:color w:val="auto"/>
          <w:sz w:val="24"/>
          <w:szCs w:val="24"/>
        </w:rPr>
      </w:pPr>
      <w:r>
        <w:rPr>
          <w:rFonts w:ascii="宋体" w:eastAsia="宋体" w:hAnsi="宋体" w:cs="宋体" w:hint="eastAsia"/>
          <w:bCs/>
          <w:color w:val="auto"/>
          <w:sz w:val="24"/>
          <w:szCs w:val="24"/>
        </w:rPr>
        <w:t>3.2采购人、采购代理机构对其他网站或媒体转载的公告及公告内容不承担任何责任。</w:t>
      </w:r>
    </w:p>
    <w:p>
      <w:pPr>
        <w:snapToGrid w:val="0"/>
        <w:spacing w:line="360" w:lineRule="auto"/>
        <w:ind w:firstLine="561"/>
        <w:jc w:val="left"/>
        <w:rPr>
          <w:rFonts w:ascii="宋体" w:eastAsia="宋体" w:hAnsi="宋体" w:cs="宋体"/>
          <w:b/>
          <w:bCs/>
          <w:color w:val="auto"/>
          <w:sz w:val="24"/>
        </w:rPr>
      </w:pPr>
      <w:bookmarkStart w:id="35" w:name="_Toc35393805"/>
      <w:bookmarkStart w:id="36" w:name="_Toc35393636"/>
      <w:bookmarkStart w:id="37" w:name="_Toc28359095"/>
      <w:bookmarkStart w:id="38" w:name="_Toc28359018"/>
      <w:r>
        <w:rPr>
          <w:rFonts w:ascii="宋体" w:eastAsia="宋体" w:hAnsi="宋体" w:cs="宋体" w:hint="eastAsia"/>
          <w:b/>
          <w:bCs/>
          <w:color w:val="auto"/>
          <w:sz w:val="24"/>
        </w:rPr>
        <w:t>八、联系方式。</w:t>
      </w:r>
      <w:bookmarkEnd w:id="35"/>
      <w:bookmarkEnd w:id="36"/>
      <w:bookmarkEnd w:id="37"/>
      <w:bookmarkEnd w:id="38"/>
    </w:p>
    <w:p>
      <w:pPr>
        <w:snapToGrid w:val="0"/>
        <w:spacing w:line="360" w:lineRule="auto"/>
        <w:ind w:firstLine="480" w:firstLineChars="200"/>
        <w:jc w:val="left"/>
        <w:rPr>
          <w:rFonts w:ascii="宋体" w:eastAsia="宋体" w:hAnsi="宋体" w:cs="宋体" w:hint="eastAsia"/>
          <w:color w:val="auto"/>
          <w:sz w:val="24"/>
        </w:rPr>
      </w:pPr>
      <w:bookmarkStart w:id="39" w:name="_Toc28359097"/>
      <w:bookmarkStart w:id="40" w:name="_Toc35393638"/>
      <w:bookmarkStart w:id="41" w:name="_Toc28359020"/>
      <w:bookmarkStart w:id="42" w:name="_Toc35393807"/>
      <w:r>
        <w:rPr>
          <w:rFonts w:ascii="宋体" w:eastAsia="宋体" w:hAnsi="宋体" w:cs="宋体" w:hint="eastAsia"/>
          <w:color w:val="auto"/>
          <w:sz w:val="24"/>
        </w:rPr>
        <w:t>采购人：西双版纳傣族自治州消防救援支队</w:t>
      </w:r>
    </w:p>
    <w:p>
      <w:pPr>
        <w:snapToGrid w:val="0"/>
        <w:spacing w:line="360" w:lineRule="auto"/>
        <w:ind w:firstLine="480" w:firstLineChars="200"/>
        <w:jc w:val="left"/>
        <w:rPr>
          <w:rFonts w:ascii="宋体" w:eastAsia="宋体" w:hAnsi="宋体" w:cs="宋体" w:hint="eastAsia"/>
          <w:color w:val="auto"/>
          <w:sz w:val="24"/>
        </w:rPr>
      </w:pPr>
      <w:r>
        <w:rPr>
          <w:rFonts w:ascii="宋体" w:eastAsia="宋体" w:hAnsi="宋体" w:cs="宋体" w:hint="eastAsia"/>
          <w:color w:val="auto"/>
          <w:sz w:val="24"/>
        </w:rPr>
        <w:t>地  址：西双版纳州景洪市勐海路76号</w:t>
      </w:r>
    </w:p>
    <w:p>
      <w:pPr>
        <w:snapToGrid w:val="0"/>
        <w:spacing w:line="360" w:lineRule="auto"/>
        <w:ind w:firstLine="480" w:firstLineChars="200"/>
        <w:jc w:val="left"/>
        <w:rPr>
          <w:rFonts w:ascii="宋体" w:eastAsia="宋体" w:hAnsi="宋体" w:cs="宋体" w:hint="eastAsia"/>
          <w:color w:val="auto"/>
          <w:sz w:val="24"/>
        </w:rPr>
      </w:pPr>
      <w:r>
        <w:rPr>
          <w:rFonts w:ascii="宋体" w:eastAsia="宋体" w:hAnsi="宋体" w:cs="宋体" w:hint="eastAsia"/>
          <w:color w:val="auto"/>
          <w:sz w:val="24"/>
        </w:rPr>
        <w:t>联系人：先</w:t>
      </w:r>
      <w:r>
        <w:rPr>
          <w:rFonts w:ascii="宋体" w:eastAsia="宋体" w:hAnsi="宋体" w:cs="宋体" w:hint="eastAsia"/>
          <w:color w:val="auto"/>
          <w:sz w:val="24"/>
          <w:lang w:eastAsia="zh-CN"/>
        </w:rPr>
        <w:t>助理</w:t>
      </w:r>
    </w:p>
    <w:p>
      <w:pPr>
        <w:snapToGrid w:val="0"/>
        <w:spacing w:line="360" w:lineRule="auto"/>
        <w:ind w:firstLine="480" w:firstLineChars="200"/>
        <w:jc w:val="left"/>
        <w:rPr>
          <w:rFonts w:ascii="宋体" w:eastAsia="宋体" w:hAnsi="宋体" w:cs="宋体" w:hint="eastAsia"/>
          <w:color w:val="auto"/>
          <w:sz w:val="24"/>
        </w:rPr>
      </w:pPr>
      <w:r>
        <w:rPr>
          <w:rFonts w:ascii="宋体" w:eastAsia="宋体" w:hAnsi="宋体" w:cs="宋体" w:hint="eastAsia"/>
          <w:color w:val="auto"/>
          <w:sz w:val="24"/>
        </w:rPr>
        <w:t xml:space="preserve">电  话：0691-2134755 </w:t>
      </w:r>
    </w:p>
    <w:p>
      <w:pPr>
        <w:snapToGrid w:val="0"/>
        <w:spacing w:line="360" w:lineRule="auto"/>
        <w:ind w:firstLine="480" w:firstLineChars="200"/>
        <w:jc w:val="left"/>
        <w:rPr>
          <w:rFonts w:ascii="宋体" w:eastAsia="宋体" w:hAnsi="宋体" w:cs="宋体" w:hint="eastAsia"/>
          <w:color w:val="auto"/>
          <w:sz w:val="24"/>
        </w:rPr>
      </w:pPr>
    </w:p>
    <w:p>
      <w:pPr>
        <w:snapToGrid w:val="0"/>
        <w:spacing w:line="360" w:lineRule="auto"/>
        <w:ind w:firstLine="480" w:firstLineChars="200"/>
        <w:jc w:val="left"/>
        <w:rPr>
          <w:rFonts w:ascii="宋体" w:eastAsia="宋体" w:hAnsi="宋体" w:cs="宋体" w:hint="eastAsia"/>
          <w:color w:val="auto"/>
          <w:sz w:val="24"/>
        </w:rPr>
      </w:pPr>
      <w:bookmarkEnd w:id="39"/>
      <w:bookmarkEnd w:id="40"/>
      <w:bookmarkEnd w:id="41"/>
      <w:bookmarkEnd w:id="42"/>
      <w:r>
        <w:rPr>
          <w:rFonts w:ascii="宋体" w:eastAsia="宋体" w:hAnsi="宋体" w:cs="宋体" w:hint="eastAsia"/>
          <w:color w:val="auto"/>
          <w:sz w:val="24"/>
        </w:rPr>
        <w:t>采购代理机构：旺和招标咨询有限公司　　　</w:t>
      </w:r>
    </w:p>
    <w:p>
      <w:pPr>
        <w:snapToGrid w:val="0"/>
        <w:spacing w:line="360" w:lineRule="auto"/>
        <w:ind w:firstLine="480" w:firstLineChars="200"/>
        <w:jc w:val="left"/>
        <w:rPr>
          <w:rFonts w:ascii="宋体" w:eastAsia="宋体" w:hAnsi="宋体" w:cs="宋体" w:hint="eastAsia"/>
          <w:color w:val="auto"/>
          <w:sz w:val="24"/>
        </w:rPr>
      </w:pPr>
      <w:r>
        <w:rPr>
          <w:rFonts w:ascii="宋体" w:eastAsia="宋体" w:hAnsi="宋体" w:cs="宋体" w:hint="eastAsia"/>
          <w:color w:val="auto"/>
          <w:sz w:val="24"/>
        </w:rPr>
        <w:t>地　　址：景洪市曼弄枫79号厚基大厦八楼</w:t>
      </w:r>
    </w:p>
    <w:p>
      <w:pPr>
        <w:snapToGrid w:val="0"/>
        <w:spacing w:line="360" w:lineRule="auto"/>
        <w:ind w:firstLine="480" w:firstLineChars="200"/>
        <w:jc w:val="left"/>
        <w:rPr>
          <w:rFonts w:ascii="宋体" w:eastAsia="宋体" w:hAnsi="宋体" w:cs="宋体" w:hint="eastAsia"/>
          <w:color w:val="auto"/>
          <w:sz w:val="24"/>
        </w:rPr>
      </w:pPr>
      <w:r>
        <w:rPr>
          <w:rFonts w:ascii="宋体" w:eastAsia="宋体" w:hAnsi="宋体" w:cs="宋体" w:hint="eastAsia"/>
          <w:color w:val="auto"/>
          <w:sz w:val="24"/>
        </w:rPr>
        <w:t>联系方式：18088108619　　　　　　　　　</w:t>
      </w:r>
    </w:p>
    <w:p>
      <w:pPr>
        <w:snapToGrid w:val="0"/>
        <w:spacing w:line="360" w:lineRule="auto"/>
        <w:ind w:firstLine="480" w:firstLineChars="200"/>
        <w:jc w:val="left"/>
        <w:rPr>
          <w:rFonts w:ascii="宋体" w:eastAsia="宋体" w:hAnsi="宋体" w:cs="宋体" w:hint="eastAsia"/>
          <w:color w:val="auto"/>
          <w:sz w:val="24"/>
        </w:rPr>
      </w:pPr>
      <w:r>
        <w:rPr>
          <w:rFonts w:ascii="宋体" w:eastAsia="宋体" w:hAnsi="宋体" w:cs="宋体" w:hint="eastAsia"/>
          <w:color w:val="auto"/>
          <w:sz w:val="24"/>
        </w:rPr>
        <w:t>项目联系人：苟燕</w:t>
      </w:r>
    </w:p>
    <w:p>
      <w:pPr>
        <w:snapToGrid w:val="0"/>
        <w:spacing w:line="360" w:lineRule="auto"/>
        <w:ind w:firstLine="480" w:firstLineChars="200"/>
        <w:jc w:val="left"/>
        <w:rPr>
          <w:rFonts w:ascii="宋体" w:eastAsia="宋体" w:hAnsi="宋体" w:cs="宋体" w:hint="eastAsia"/>
          <w:color w:val="auto"/>
          <w:sz w:val="24"/>
          <w:lang w:val="en-US" w:eastAsia="zh-CN"/>
        </w:rPr>
      </w:pPr>
      <w:r>
        <w:rPr>
          <w:rFonts w:ascii="宋体" w:eastAsia="宋体" w:hAnsi="宋体" w:cs="宋体" w:hint="eastAsia"/>
          <w:color w:val="auto"/>
          <w:sz w:val="24"/>
        </w:rPr>
        <w:t>电　　 话：18088108619　</w:t>
      </w:r>
    </w:p>
    <w:p>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rFonts w:ascii="宋体" w:eastAsia="宋体" w:hAnsi="宋体" w:cs="宋体" w:hint="default"/>
          <w:color w:val="auto"/>
          <w:sz w:val="24"/>
          <w:lang w:val="en-US" w:eastAsia="zh-CN"/>
        </w:rPr>
      </w:pPr>
      <w:r>
        <w:rPr>
          <w:rFonts w:ascii="宋体" w:eastAsia="宋体" w:hAnsi="宋体" w:cs="宋体" w:hint="eastAsia"/>
          <w:color w:val="auto"/>
          <w:sz w:val="24"/>
          <w:lang w:val="en-US" w:eastAsia="zh-CN"/>
        </w:rPr>
        <w:t>采购清单</w:t>
      </w:r>
    </w:p>
    <w:tbl>
      <w:tblPr>
        <w:tblStyle w:val="TableNormal"/>
        <w:tblW w:w="3954" w:type="pct"/>
        <w:tblInd w:w="117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15" w:type="dxa"/>
          <w:left w:w="15" w:type="dxa"/>
          <w:bottom w:w="15" w:type="dxa"/>
          <w:right w:w="15" w:type="dxa"/>
        </w:tblCellMar>
        <w:tblLook w:val="04A0"/>
      </w:tblPr>
      <w:tblGrid>
        <w:gridCol w:w="823"/>
        <w:gridCol w:w="5076"/>
        <w:gridCol w:w="1281"/>
      </w:tblGrid>
      <w:tr>
        <w:tblPrEx>
          <w:tblW w:w="3954" w:type="pct"/>
          <w:tblInd w:w="1178"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eastAsia"/>
                <w:color w:val="auto"/>
                <w:kern w:val="2"/>
                <w:sz w:val="24"/>
                <w:szCs w:val="24"/>
                <w:lang w:val="en-US" w:eastAsia="zh-CN" w:bidi="ar-SA"/>
              </w:rPr>
            </w:pPr>
            <w:bookmarkStart w:id="43" w:name="_Toc16478"/>
            <w:r>
              <w:rPr>
                <w:rFonts w:ascii="宋体" w:eastAsia="宋体" w:hAnsi="宋体" w:cs="宋体" w:hint="eastAsia"/>
                <w:color w:val="auto"/>
                <w:kern w:val="2"/>
                <w:sz w:val="24"/>
                <w:szCs w:val="24"/>
                <w:lang w:val="en-US" w:eastAsia="zh-CN" w:bidi="ar-SA"/>
              </w:rPr>
              <w:t>序号</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名称</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数量</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1</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山岳救援头盔</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50</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2</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救援手套</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52</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3</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全身安全吊带(带胸式上升器)</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13</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4</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自动止停下降器</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40</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5</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止坠器</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51</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6</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止坠器专用势能吸收装置</w:t>
            </w:r>
          </w:p>
        </w:tc>
        <w:tc>
          <w:tcPr>
            <w:tcW w:w="892" w:type="pct"/>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35</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7</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可调挽索</w:t>
            </w:r>
          </w:p>
        </w:tc>
        <w:tc>
          <w:tcPr>
            <w:tcW w:w="892" w:type="pct"/>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34</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8</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脚踏带</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35</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9</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个人装备包</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28</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10</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双滑轮</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1</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11</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安全钩</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210</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12</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短连接</w:t>
            </w:r>
          </w:p>
        </w:tc>
        <w:tc>
          <w:tcPr>
            <w:tcW w:w="892" w:type="pct"/>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23</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13</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班组装备包</w:t>
            </w:r>
          </w:p>
        </w:tc>
        <w:tc>
          <w:tcPr>
            <w:tcW w:w="892" w:type="pct"/>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4</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14</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救援型下降器</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10</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15</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200米静力绳</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6</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16</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100米静力绳</w:t>
            </w:r>
          </w:p>
        </w:tc>
        <w:tc>
          <w:tcPr>
            <w:tcW w:w="892" w:type="pct"/>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4</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17</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50米静力绳</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8</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18</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30米静力绳</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8</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19</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4米静力绳</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16</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20</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绳包</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13</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21</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扁带（80cm）</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44</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22</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扁带（120cm）</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44</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23</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100米扁带卷</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4</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24</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100米6毫米抓绳</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4</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25</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100米8毫米抓绳</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4</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26</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分力板（中）</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9</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27</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分力板（大）</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8</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28</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机械抓结</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10</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29</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过结滑轮</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3</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30</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滑轮组救援提拉套装</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5</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31</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救援三角安全吊带</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4</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32</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绳索保护垫</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4</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33</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绳索保护器</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4</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34</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绳索保护套</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15</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35</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篮式担架</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3</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36</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电锤</w:t>
            </w:r>
          </w:p>
        </w:tc>
        <w:tc>
          <w:tcPr>
            <w:tcW w:w="892" w:type="pct"/>
            <w:tcBorders>
              <w:top w:val="single" w:sz="4" w:space="0" w:color="000000"/>
              <w:left w:val="single" w:sz="4" w:space="0" w:color="000000"/>
              <w:bottom w:val="single" w:sz="4" w:space="0" w:color="000000"/>
              <w:right w:val="single" w:sz="4" w:space="0" w:color="000000"/>
            </w:tcBorders>
            <w:shd w:val="clear" w:color="auto" w:fill="FFFFFF"/>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2</w:t>
            </w:r>
          </w:p>
        </w:tc>
      </w:tr>
      <w:tr>
        <w:tblPrEx>
          <w:tblW w:w="3954" w:type="pct"/>
          <w:tblInd w:w="1178" w:type="dxa"/>
          <w:shd w:val="clear" w:color="auto" w:fill="auto"/>
          <w:tblCellMar>
            <w:top w:w="15" w:type="dxa"/>
            <w:left w:w="15" w:type="dxa"/>
            <w:bottom w:w="15" w:type="dxa"/>
            <w:right w:w="15" w:type="dxa"/>
          </w:tblCellMar>
          <w:tblLook w:val="04A0"/>
        </w:tblPrEx>
        <w:trPr>
          <w:trHeight w:val="283"/>
        </w:trPr>
        <w:tc>
          <w:tcPr>
            <w:tcW w:w="573"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37</w:t>
            </w:r>
          </w:p>
        </w:tc>
        <w:tc>
          <w:tcPr>
            <w:tcW w:w="3534"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ind w:firstLine="480" w:firstLineChars="200"/>
              <w:jc w:val="center"/>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挂片及膨胀螺栓</w:t>
            </w:r>
          </w:p>
        </w:tc>
        <w:tc>
          <w:tcPr>
            <w:tcW w:w="892" w:type="pct"/>
            <w:tcBorders>
              <w:top w:val="single" w:sz="4" w:space="0" w:color="000000"/>
              <w:left w:val="single" w:sz="4" w:space="0" w:color="000000"/>
              <w:bottom w:val="single" w:sz="4" w:space="0" w:color="000000"/>
              <w:right w:val="single" w:sz="4" w:space="0" w:color="000000"/>
            </w:tcBorders>
            <w:shd w:val="clear" w:color="auto" w:fill="auto"/>
            <w:vAlign w:val="center"/>
          </w:tcPr>
          <w:p>
            <w:pPr>
              <w:widowControl w:val="0"/>
              <w:snapToGrid w:val="0"/>
              <w:spacing w:line="360" w:lineRule="auto"/>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default"/>
                <w:color w:val="auto"/>
                <w:kern w:val="2"/>
                <w:sz w:val="24"/>
                <w:szCs w:val="24"/>
                <w:lang w:val="en-US" w:eastAsia="zh-CN" w:bidi="ar-SA"/>
              </w:rPr>
              <w:t>250</w:t>
            </w:r>
          </w:p>
        </w:tc>
      </w:tr>
    </w:tbl>
    <w:p>
      <w:pPr>
        <w:rPr>
          <w:rFonts w:ascii="宋体" w:eastAsia="宋体" w:hAnsi="宋体" w:cs="宋体"/>
          <w:b/>
          <w:bCs/>
          <w:color w:val="auto"/>
          <w:kern w:val="0"/>
          <w:sz w:val="28"/>
          <w:szCs w:val="28"/>
        </w:rPr>
      </w:pPr>
      <w:r>
        <w:rPr>
          <w:rFonts w:ascii="宋体" w:eastAsia="宋体" w:hAnsi="宋体" w:cs="宋体" w:hint="eastAsia"/>
          <w:b/>
          <w:bCs/>
          <w:color w:val="auto"/>
          <w:kern w:val="0"/>
          <w:sz w:val="28"/>
          <w:szCs w:val="28"/>
        </w:rPr>
        <w:br w:type="page"/>
      </w:r>
    </w:p>
    <w:p>
      <w:pPr>
        <w:widowControl/>
        <w:spacing w:line="420" w:lineRule="exact"/>
        <w:jc w:val="center"/>
        <w:outlineLvl w:val="0"/>
        <w:rPr>
          <w:rFonts w:ascii="宋体" w:eastAsia="宋体" w:hAnsi="宋体" w:cs="宋体"/>
          <w:b/>
          <w:bCs/>
          <w:color w:val="auto"/>
          <w:kern w:val="0"/>
          <w:sz w:val="28"/>
          <w:szCs w:val="28"/>
        </w:rPr>
      </w:pPr>
      <w:r>
        <w:rPr>
          <w:rFonts w:ascii="宋体" w:eastAsia="宋体" w:hAnsi="宋体" w:cs="宋体" w:hint="eastAsia"/>
          <w:b/>
          <w:bCs/>
          <w:color w:val="auto"/>
          <w:kern w:val="0"/>
          <w:sz w:val="28"/>
          <w:szCs w:val="28"/>
        </w:rPr>
        <w:t>第二章  供应商须知</w:t>
      </w:r>
      <w:bookmarkEnd w:id="43"/>
    </w:p>
    <w:p>
      <w:pPr>
        <w:widowControl/>
        <w:spacing w:before="120" w:beforeLines="50" w:after="120" w:afterLines="50" w:line="420" w:lineRule="exact"/>
        <w:jc w:val="center"/>
        <w:outlineLvl w:val="1"/>
        <w:rPr>
          <w:rFonts w:ascii="宋体" w:eastAsia="宋体" w:hAnsi="宋体" w:cs="宋体"/>
          <w:b/>
          <w:bCs/>
          <w:color w:val="auto"/>
          <w:kern w:val="0"/>
          <w:sz w:val="28"/>
          <w:szCs w:val="28"/>
        </w:rPr>
      </w:pPr>
      <w:r>
        <w:rPr>
          <w:rFonts w:ascii="宋体" w:eastAsia="宋体" w:hAnsi="宋体" w:cs="宋体" w:hint="eastAsia"/>
          <w:b/>
          <w:bCs/>
          <w:color w:val="auto"/>
          <w:kern w:val="0"/>
          <w:sz w:val="28"/>
          <w:szCs w:val="28"/>
        </w:rPr>
        <w:t>供应商须知前附表</w:t>
      </w:r>
    </w:p>
    <w:tbl>
      <w:tblPr>
        <w:tblStyle w:val="TableNormal"/>
        <w:tblW w:w="10575" w:type="dxa"/>
        <w:tblInd w:w="-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
      <w:tblGrid>
        <w:gridCol w:w="870"/>
        <w:gridCol w:w="1740"/>
        <w:gridCol w:w="7965"/>
      </w:tblGrid>
      <w:tr>
        <w:tblPrEx>
          <w:tblW w:w="10575" w:type="dxa"/>
          <w:tblInd w:w="-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b/>
                <w:bCs/>
                <w:color w:val="auto"/>
                <w:kern w:val="2"/>
                <w:sz w:val="24"/>
                <w:szCs w:val="32"/>
                <w:lang w:val="en-US" w:eastAsia="zh-CN" w:bidi="ar-SA"/>
              </w:rPr>
            </w:pPr>
            <w:bookmarkStart w:id="44" w:name="_Toc234588851"/>
            <w:bookmarkStart w:id="45" w:name="_Toc293921812"/>
            <w:r>
              <w:rPr>
                <w:rFonts w:ascii="宋体" w:eastAsia="宋体" w:hAnsi="宋体" w:cs="宋体" w:hint="eastAsia"/>
                <w:b/>
                <w:bCs/>
                <w:color w:val="auto"/>
                <w:kern w:val="2"/>
                <w:sz w:val="24"/>
                <w:szCs w:val="32"/>
                <w:lang w:val="en-US" w:eastAsia="zh-CN" w:bidi="ar-SA"/>
              </w:rPr>
              <w:t>序号</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b/>
                <w:bCs/>
                <w:color w:val="auto"/>
                <w:kern w:val="2"/>
                <w:sz w:val="24"/>
                <w:szCs w:val="32"/>
                <w:lang w:val="en-US" w:eastAsia="zh-CN" w:bidi="ar-SA"/>
              </w:rPr>
            </w:pPr>
            <w:r>
              <w:rPr>
                <w:rFonts w:ascii="宋体" w:eastAsia="宋体" w:hAnsi="宋体" w:cs="宋体" w:hint="eastAsia"/>
                <w:b/>
                <w:bCs/>
                <w:color w:val="auto"/>
                <w:kern w:val="2"/>
                <w:sz w:val="24"/>
                <w:szCs w:val="32"/>
                <w:lang w:val="en-US" w:eastAsia="zh-CN" w:bidi="ar-SA"/>
              </w:rPr>
              <w:t>名称</w:t>
            </w:r>
          </w:p>
        </w:tc>
        <w:tc>
          <w:tcPr>
            <w:tcW w:w="7965"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b/>
                <w:bCs/>
                <w:color w:val="auto"/>
                <w:kern w:val="2"/>
                <w:sz w:val="24"/>
                <w:szCs w:val="32"/>
                <w:lang w:val="en-US" w:eastAsia="zh-CN" w:bidi="ar-SA"/>
              </w:rPr>
            </w:pPr>
            <w:r>
              <w:rPr>
                <w:rFonts w:ascii="宋体" w:eastAsia="宋体" w:hAnsi="宋体" w:cs="宋体" w:hint="eastAsia"/>
                <w:b/>
                <w:bCs/>
                <w:color w:val="auto"/>
                <w:kern w:val="2"/>
                <w:sz w:val="24"/>
                <w:szCs w:val="32"/>
                <w:lang w:val="en-US" w:eastAsia="zh-CN" w:bidi="ar-SA"/>
              </w:rPr>
              <w:t>内容规定</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1</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项目名称</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eastAsia"/>
                <w:color w:val="auto"/>
                <w:kern w:val="2"/>
                <w:sz w:val="24"/>
                <w:szCs w:val="32"/>
                <w:lang w:val="en-US" w:eastAsia="zh-CN" w:bidi="ar-SA"/>
              </w:rPr>
            </w:pPr>
            <w:r>
              <w:rPr>
                <w:rFonts w:ascii="宋体" w:eastAsia="宋体" w:hAnsi="宋体" w:cs="宋体" w:hint="eastAsia"/>
                <w:color w:val="auto"/>
                <w:kern w:val="2"/>
                <w:sz w:val="24"/>
                <w:szCs w:val="24"/>
                <w:lang w:val="en-US" w:eastAsia="zh-CN" w:bidi="ar-SA"/>
              </w:rPr>
              <w:t>西双版纳傣族自治州消防救援支队山难专业队装备采购项目（二次）</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2</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项目编号</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eastAsia"/>
                <w:color w:val="auto"/>
                <w:kern w:val="2"/>
                <w:sz w:val="24"/>
                <w:szCs w:val="32"/>
                <w:lang w:val="en-US" w:eastAsia="zh-CN" w:bidi="ar-SA"/>
              </w:rPr>
            </w:pPr>
            <w:r>
              <w:rPr>
                <w:rFonts w:ascii="宋体" w:eastAsia="宋体" w:hAnsi="宋体" w:cs="宋体" w:hint="eastAsia"/>
                <w:color w:val="auto"/>
                <w:kern w:val="2"/>
                <w:sz w:val="24"/>
                <w:szCs w:val="24"/>
                <w:lang w:val="en-US" w:eastAsia="zh-CN" w:bidi="ar-SA"/>
              </w:rPr>
              <w:t>XFZD-2023-ZFJZCGXM-3A</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3</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预算金额</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24"/>
                <w:highlight w:val="none"/>
                <w:lang w:val="en-US" w:eastAsia="zh-CN" w:bidi="ar-SA"/>
              </w:rPr>
              <w:t>759436.90元（大写：柒拾伍万玖仟肆佰叁拾陆元玖角）</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4</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资金来源</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24"/>
                <w:lang w:val="en-US" w:eastAsia="zh-CN" w:bidi="ar-SA"/>
              </w:rPr>
              <w:t>公共财政预算</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5</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采购人</w:t>
            </w:r>
          </w:p>
        </w:tc>
        <w:tc>
          <w:tcPr>
            <w:tcW w:w="7965" w:type="dxa"/>
            <w:vAlign w:val="center"/>
          </w:tcPr>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名  称：西双版纳傣族自治州消防救援支队</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地  址：西双版纳傣族自治州景洪市勐海路76号</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联系人：先助理</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 xml:space="preserve">电  话：0691-2134755 </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6</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24"/>
                <w:lang w:val="en-US" w:eastAsia="zh-CN" w:bidi="ar-SA"/>
              </w:rPr>
              <w:t>代理机构</w:t>
            </w:r>
          </w:p>
        </w:tc>
        <w:tc>
          <w:tcPr>
            <w:tcW w:w="7965" w:type="dxa"/>
            <w:vAlign w:val="center"/>
          </w:tcPr>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名  称：旺和招标咨询有限公司</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地  址：云南省景洪市曼弄枫79号厚基大厦八楼</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联系人：苟燕</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电  话：18088108619</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7</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highlight w:val="none"/>
                <w:lang w:val="en-US" w:eastAsia="zh-CN" w:bidi="ar-SA"/>
              </w:rPr>
              <w:t>采购需求</w:t>
            </w:r>
          </w:p>
        </w:tc>
        <w:tc>
          <w:tcPr>
            <w:tcW w:w="7965" w:type="dxa"/>
            <w:vAlign w:val="center"/>
          </w:tcPr>
          <w:p>
            <w:pPr>
              <w:keepNext w:val="0"/>
              <w:keepLines w:val="0"/>
              <w:widowControl w:val="0"/>
              <w:suppressLineNumbers w:val="0"/>
              <w:snapToGrid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具体详见采购清单。</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8</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供货时间</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highlight w:val="none"/>
                <w:lang w:val="en-US" w:eastAsia="zh-CN" w:bidi="ar-SA"/>
              </w:rPr>
              <w:t>合同签订之日起15日历天内。</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9</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供货地点</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西双版纳傣族自治州消防救援支队指定地点。</w:t>
            </w:r>
          </w:p>
        </w:tc>
      </w:tr>
      <w:tr>
        <w:tblPrEx>
          <w:tblW w:w="10575" w:type="dxa"/>
          <w:tblInd w:w="-606" w:type="dxa"/>
          <w:tblLayout w:type="fixed"/>
          <w:tblCellMar>
            <w:top w:w="0" w:type="dxa"/>
            <w:left w:w="108" w:type="dxa"/>
            <w:bottom w:w="0" w:type="dxa"/>
            <w:right w:w="108" w:type="dxa"/>
          </w:tblCellMar>
          <w:tblLook w:val="04A0"/>
        </w:tblPrEx>
        <w:trPr>
          <w:trHeight w:val="55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10</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highlight w:val="none"/>
                <w:lang w:val="en-US" w:eastAsia="zh-CN" w:bidi="ar-SA"/>
              </w:rPr>
              <w:t>技术需求</w:t>
            </w:r>
          </w:p>
        </w:tc>
        <w:tc>
          <w:tcPr>
            <w:tcW w:w="7965" w:type="dxa"/>
            <w:vAlign w:val="center"/>
          </w:tcPr>
          <w:p>
            <w:pPr>
              <w:pStyle w:val="BodyTextFirstIndent"/>
              <w:keepNext w:val="0"/>
              <w:keepLines w:val="0"/>
              <w:widowControl w:val="0"/>
              <w:suppressLineNumbers w:val="0"/>
              <w:spacing w:before="0" w:beforeAutospacing="0" w:after="120" w:afterAutospacing="0" w:line="360" w:lineRule="auto"/>
              <w:ind w:left="0" w:right="0" w:firstLine="0" w:firstLineChars="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具体详见采购清单。</w:t>
            </w:r>
          </w:p>
        </w:tc>
      </w:tr>
      <w:tr>
        <w:tblPrEx>
          <w:tblW w:w="10575" w:type="dxa"/>
          <w:tblInd w:w="-606" w:type="dxa"/>
          <w:tblLayout w:type="fixed"/>
          <w:tblCellMar>
            <w:top w:w="0" w:type="dxa"/>
            <w:left w:w="108" w:type="dxa"/>
            <w:bottom w:w="0" w:type="dxa"/>
            <w:right w:w="108" w:type="dxa"/>
          </w:tblCellMar>
          <w:tblLook w:val="04A0"/>
        </w:tblPrEx>
        <w:trPr>
          <w:trHeight w:val="551"/>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11</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资格要求</w:t>
            </w:r>
          </w:p>
        </w:tc>
        <w:tc>
          <w:tcPr>
            <w:tcW w:w="7965" w:type="dxa"/>
            <w:vAlign w:val="center"/>
          </w:tcPr>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1.满足《中华人民共和国政府采购法》第二十二条规定。</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1.1供应商须具有中华人民共和国境内注册、具备独立承担民事行为能力的法人、非法人组织，提供有效的企业营业执照和具有独立承担民事责任能力的声明函或证明材料；</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1.2供应商具有良好的商业信誉和健全的财务会计制度（提供企业2022年度经审计的财务报告及其相关报表，或者基本开户行出具的资信证明,或者财政部门认可专业担保机构出具的投标担保函扫描件）；</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1.3供应商须具有履行合同所必需的设备和专业技术能力(提供声明函或证明材料)；</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1.4供应商有依法缴纳税收和社会保障资金的良好记录（</w:t>
            </w:r>
            <w:r>
              <w:rPr>
                <w:rFonts w:ascii="宋体" w:eastAsia="宋体" w:hAnsi="宋体" w:cs="宋体" w:hint="eastAsia"/>
                <w:color w:val="auto"/>
                <w:kern w:val="2"/>
                <w:sz w:val="24"/>
                <w:szCs w:val="24"/>
                <w:lang w:val="en-US" w:eastAsia="zh-CN" w:bidi="ar-SA"/>
              </w:rPr>
              <w:t>①</w:t>
            </w:r>
            <w:r>
              <w:rPr>
                <w:rFonts w:ascii="宋体" w:eastAsia="宋体" w:hAnsi="宋体" w:cs="宋体" w:hint="eastAsia"/>
                <w:color w:val="auto"/>
                <w:kern w:val="2"/>
                <w:sz w:val="24"/>
                <w:szCs w:val="24"/>
                <w:lang w:val="en-US" w:eastAsia="zh-CN" w:bidi="ar-SA"/>
              </w:rPr>
              <w:t>提供参加政府采购活动前段时间（2023年任意一个月）依法缴纳税收凭据；</w:t>
            </w:r>
            <w:r>
              <w:rPr>
                <w:rFonts w:ascii="宋体" w:eastAsia="宋体" w:hAnsi="宋体" w:cs="宋体" w:hint="eastAsia"/>
                <w:color w:val="auto"/>
                <w:kern w:val="2"/>
                <w:sz w:val="24"/>
                <w:szCs w:val="24"/>
                <w:lang w:val="en-US" w:eastAsia="zh-CN" w:bidi="ar-SA"/>
              </w:rPr>
              <w:t>②</w:t>
            </w:r>
            <w:r>
              <w:rPr>
                <w:rFonts w:ascii="宋体" w:eastAsia="宋体" w:hAnsi="宋体" w:cs="宋体" w:hint="eastAsia"/>
                <w:color w:val="auto"/>
                <w:kern w:val="2"/>
                <w:sz w:val="24"/>
                <w:szCs w:val="24"/>
                <w:lang w:val="en-US" w:eastAsia="zh-CN" w:bidi="ar-SA"/>
              </w:rPr>
              <w:t>提供缴费所属时间在（2023年任意一个月）依法缴纳社会保障资金凭据）；（若为新成立的公司应作出说明）</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1.5供应商在参加政府采购活动前三年内，在经营活动中没有重大违法记录（重大违法记录是指供应商因违法经营受到刑事处罚或者责令停产停业、吊销许可证或者执照、较大数额罚款等行政处罚）提供声明函；</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2.落实政府采购政策需满足的资格要求</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根据《政府采购促进中小企业发展管理办法》（财库〔2020〕46号）、《关于进一步加大政府采购支持中小企业力度的通知》（财库〔2022〕19号）、《财政部 司法部关于政府采购支持监狱企业发展有关问题的通知》 (财库〔2014〕68 号)、《财政部 民政部 中国残疾人联合会关于促进残疾人就业政府采购政策的通知》（财库〔2017〕141号）和《云南省财政厅关于促进政府采购公平竞争优化营商环境的实施意见》（云财规〔2019〕5号）等文件规定，本项目对符合规定的小微企业报价给予10%的扣除，用扣除后的价格参加评审，监狱企业、残疾人福利性单位视同小微企业。监狱企业、残疾人福利性单位属于小微企业的，不重复享受价格扣除优惠政策；供应商提供的货物既有小微企业制造货物，也有大中型企业制造货物的，不享受价格扣除优惠政策。价格扣除比例对小型企业和微型企业同等对待，不作区分。价格扣除的具体评分标准详见竞争性磋商文件第三章</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资格审查办法和评标办法</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3.本项目的特定资格要求</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3.1信用记录查询渠道及查询结果要求</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 xml:space="preserve">根据《财政部关于在政府采购活动中查询及使用信用记录》（财库〔2016〕125号）有关事项通知，要求供应商未被列入中国执行信息公开网（http://zxgk.court.gov.cn）失信被执行人记录、信用中国（https://www.creditchina.gov.cn）重大税收违法失信主体和政府采购严重违法失信行为记录名单且在中国政府采购网( </w:t>
            </w:r>
            <w:r>
              <w:rPr>
                <w:rFonts w:ascii="宋体" w:eastAsia="宋体" w:hAnsi="宋体" w:cs="宋体" w:hint="eastAsia"/>
                <w:color w:val="auto"/>
                <w:sz w:val="24"/>
                <w:lang w:eastAsia="zh-CN"/>
              </w:rPr>
              <w:fldChar w:fldCharType="begin"/>
            </w:r>
            <w:r>
              <w:rPr>
                <w:rFonts w:ascii="宋体" w:eastAsia="宋体" w:hAnsi="宋体" w:cs="宋体" w:hint="eastAsia"/>
                <w:color w:val="auto"/>
                <w:kern w:val="2"/>
                <w:sz w:val="24"/>
                <w:szCs w:val="24"/>
                <w:lang w:val="en-US" w:eastAsia="zh-CN" w:bidi="ar-SA"/>
              </w:rPr>
              <w:instrText xml:space="preserve"> HYPERLINK "http://www.ccgp.gov.cn" </w:instrText>
            </w:r>
            <w:r>
              <w:rPr>
                <w:rFonts w:ascii="宋体" w:eastAsia="宋体" w:hAnsi="宋体" w:cs="宋体" w:hint="eastAsia"/>
                <w:color w:val="auto"/>
                <w:sz w:val="24"/>
                <w:lang w:eastAsia="zh-CN"/>
              </w:rPr>
              <w:fldChar w:fldCharType="separate"/>
            </w:r>
            <w:r>
              <w:rPr>
                <w:rFonts w:ascii="宋体" w:eastAsia="宋体" w:hAnsi="宋体" w:cs="宋体" w:hint="eastAsia"/>
                <w:color w:val="auto"/>
                <w:kern w:val="2"/>
                <w:sz w:val="24"/>
                <w:szCs w:val="24"/>
                <w:lang w:val="en-US" w:eastAsia="zh-CN" w:bidi="ar-SA"/>
              </w:rPr>
              <w:t>www.ccgp.gov.cn</w:t>
            </w:r>
            <w:r>
              <w:rPr>
                <w:rFonts w:ascii="宋体" w:eastAsia="宋体" w:hAnsi="宋体" w:cs="宋体" w:hint="eastAsia"/>
                <w:color w:val="auto"/>
                <w:sz w:val="24"/>
                <w:lang w:eastAsia="zh-CN"/>
              </w:rPr>
              <w:fldChar w:fldCharType="end"/>
            </w:r>
            <w:r>
              <w:rPr>
                <w:rFonts w:ascii="宋体" w:eastAsia="宋体" w:hAnsi="宋体" w:cs="宋体" w:hint="eastAsia"/>
                <w:color w:val="auto"/>
                <w:kern w:val="2"/>
                <w:sz w:val="24"/>
                <w:szCs w:val="24"/>
                <w:lang w:val="en-US" w:eastAsia="zh-CN" w:bidi="ar-SA"/>
              </w:rPr>
              <w:t>)无政府采购严重违法失信行为记录，未被列入国家企业信用信息公示系统（http://www.gsxt.gov.cn）经营异常名录和严重违法失信企业名单（黑名单），在中国裁判文书网（wenshu.court.gov.cn）无</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行贿受贿</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行为。</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信用记录由采购人或采购代理机构在上述网站进行查询，对供应商信用记录进行甄别，被列入失信被执行人、重大税收违法失信主体、政府采购严重违法失信行为记录名单、经营异常名录、严重违法失信名单（黑名单）和有</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行贿受贿</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的供应商，采购人将拒绝及否决其投标。信用信息查询记录及相关证据以纸质文档的形式保存。</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3.2单位负责人为同一人或者存在直接控股、管理关系的不同供应商，不得参加同一合同项下的采购活动。（提供书面承诺，以及提供国家企业信用信息公示系统中基础信息（体现股东及出资详细信息，或体现主管部门（出资人）信息）的网页截图或由法定的社会验资机构出具的验资报告或注册地工商部门出具的股东出资情況证明或其他相关部门出具的证明材料扫描件。）</w:t>
            </w:r>
          </w:p>
          <w:p>
            <w:pPr>
              <w:keepNext w:val="0"/>
              <w:keepLines w:val="0"/>
              <w:widowControl w:val="0"/>
              <w:suppressLineNumbers w:val="0"/>
              <w:spacing w:before="0" w:beforeAutospacing="0" w:after="0" w:afterAutospacing="0" w:line="360" w:lineRule="auto"/>
              <w:ind w:left="0" w:right="0"/>
              <w:jc w:val="left"/>
              <w:rPr>
                <w:rStyle w:val="DefaultParagraphFont"/>
                <w:rFonts w:ascii="Times New Roman" w:eastAsia="宋体" w:hAnsi="Times New Roman" w:cs="Times New Roman" w:hint="default"/>
                <w:kern w:val="2"/>
                <w:sz w:val="21"/>
                <w:szCs w:val="24"/>
                <w:lang w:val="en-US" w:eastAsia="zh-CN" w:bidi="ar-SA"/>
              </w:rPr>
            </w:pPr>
            <w:r>
              <w:rPr>
                <w:rFonts w:ascii="宋体" w:eastAsia="宋体" w:hAnsi="宋体" w:cs="宋体" w:hint="eastAsia"/>
                <w:color w:val="auto"/>
                <w:kern w:val="2"/>
                <w:sz w:val="24"/>
                <w:szCs w:val="24"/>
                <w:lang w:val="en-US" w:eastAsia="zh-CN" w:bidi="ar-SA"/>
              </w:rPr>
              <w:t>3.3本项目不接受联合体磋商。</w:t>
            </w:r>
          </w:p>
        </w:tc>
      </w:tr>
      <w:tr>
        <w:tblPrEx>
          <w:tblW w:w="10575" w:type="dxa"/>
          <w:tblInd w:w="-606" w:type="dxa"/>
          <w:tblLayout w:type="fixed"/>
          <w:tblCellMar>
            <w:top w:w="0" w:type="dxa"/>
            <w:left w:w="108" w:type="dxa"/>
            <w:bottom w:w="0" w:type="dxa"/>
            <w:right w:w="108" w:type="dxa"/>
          </w:tblCellMar>
          <w:tblLook w:val="04A0"/>
        </w:tblPrEx>
        <w:trPr>
          <w:trHeight w:val="94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12</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中标服务费及相关费用</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依据《西双版纳傣族自治州消防救援支队山难专业队装备采购项目招标代理服务合同》，由成交（中标）人支付本项目采购代理服务费8000元。</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13</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磋商有效期</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60日历天(响应文件递交截止时间起计算)</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14</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磋商保证金交纳方式及截止时间</w:t>
            </w:r>
          </w:p>
        </w:tc>
        <w:tc>
          <w:tcPr>
            <w:tcW w:w="7965" w:type="dxa"/>
            <w:vAlign w:val="center"/>
          </w:tcPr>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磋商保证金的金额：7000.00元（大写：人民币柒仟元整）</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sz w:val="24"/>
                <w:lang w:val="en-US" w:eastAsia="zh-CN"/>
              </w:rPr>
              <w:fldChar w:fldCharType="begin"/>
            </w:r>
            <w:r>
              <w:rPr>
                <w:rFonts w:ascii="宋体" w:eastAsia="宋体" w:hAnsi="宋体" w:cs="宋体" w:hint="eastAsia"/>
                <w:color w:val="auto"/>
                <w:kern w:val="2"/>
                <w:sz w:val="24"/>
                <w:szCs w:val="24"/>
                <w:lang w:val="en-US" w:eastAsia="zh-CN" w:bidi="ar-SA"/>
              </w:rPr>
              <w:instrText xml:space="preserve"> AUTOTEXT  input141 \* MERGEFORMAT </w:instrText>
            </w:r>
            <w:r>
              <w:rPr>
                <w:rFonts w:ascii="宋体" w:eastAsia="宋体" w:hAnsi="宋体" w:cs="宋体" w:hint="eastAsia"/>
                <w:color w:val="auto"/>
                <w:sz w:val="24"/>
                <w:lang w:val="en-US" w:eastAsia="zh-CN"/>
              </w:rPr>
              <w:fldChar w:fldCharType="separate"/>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sz w:val="24"/>
                <w:lang w:val="en-US" w:eastAsia="zh-CN"/>
              </w:rPr>
              <w:fldChar w:fldCharType="end"/>
            </w:r>
            <w:r>
              <w:rPr>
                <w:rFonts w:ascii="宋体" w:eastAsia="宋体" w:hAnsi="宋体" w:cs="宋体" w:hint="eastAsia"/>
                <w:color w:val="auto"/>
                <w:kern w:val="2"/>
                <w:sz w:val="24"/>
                <w:szCs w:val="24"/>
                <w:lang w:val="en-US" w:eastAsia="zh-CN" w:bidi="ar-SA"/>
              </w:rPr>
              <w:t>不要求提交磋商保证金</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sz w:val="24"/>
                <w:lang w:val="en-US" w:eastAsia="zh-CN"/>
              </w:rPr>
              <w:fldChar w:fldCharType="begin"/>
            </w:r>
            <w:r>
              <w:rPr>
                <w:rFonts w:ascii="宋体" w:eastAsia="宋体" w:hAnsi="宋体" w:cs="宋体" w:hint="eastAsia"/>
                <w:color w:val="auto"/>
                <w:kern w:val="2"/>
                <w:sz w:val="24"/>
                <w:szCs w:val="24"/>
                <w:lang w:val="en-US" w:eastAsia="zh-CN" w:bidi="ar-SA"/>
              </w:rPr>
              <w:instrText xml:space="preserve"> AUTOTEXT  input142 \* MERGEFORMAT </w:instrText>
            </w:r>
            <w:r>
              <w:rPr>
                <w:rFonts w:ascii="宋体" w:eastAsia="宋体" w:hAnsi="宋体" w:cs="宋体" w:hint="eastAsia"/>
                <w:color w:val="auto"/>
                <w:sz w:val="24"/>
                <w:lang w:val="en-US" w:eastAsia="zh-CN"/>
              </w:rPr>
              <w:fldChar w:fldCharType="separate"/>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sz w:val="24"/>
                <w:lang w:val="en-US" w:eastAsia="zh-CN"/>
              </w:rPr>
              <w:fldChar w:fldCharType="end"/>
            </w:r>
            <w:r>
              <w:rPr>
                <w:rFonts w:ascii="宋体" w:eastAsia="宋体" w:hAnsi="宋体" w:cs="宋体" w:hint="eastAsia"/>
                <w:color w:val="auto"/>
                <w:kern w:val="2"/>
                <w:sz w:val="24"/>
                <w:szCs w:val="24"/>
                <w:lang w:val="en-US" w:eastAsia="zh-CN" w:bidi="ar-SA"/>
              </w:rPr>
              <w:t>要求提交磋商保证金</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一、投标保证金提交方式</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保证金的提交方式有三种：银行转账、银行保函和保证保险。</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（一）银行转账</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 xml:space="preserve">  投标保证金应以投标人自身的名义提交，并且必须从其基本账户转出，不得以分支机构其他名义提交（按照规定，投标人可以为自然人的项目除外）。</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银行保函</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 xml:space="preserve">  保函申请人必须是投标人，受益人必须是招标人，保证人必须是投标人基本账号的开户银行；保函必须正确填写受益人和投标人的全称，并与竞争性磋商文件规定的名称相一致，以免造成投标无效。</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保证保险</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应符合《云南省发展和改革委员会关于印发云南省公共资源交易平台接入电子保函服务指导意见的通知》（云发改平台建管〔2021〕1152号）的相关要求。</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二、投标保证金的提交时间</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采用银行转账的投标人需在投标截止时间前递交保证金，到账时间以实际到达专用账号时间为准，未在投标截止时间前到账的保证金视为未提交，为避免由于晚到账的原因造成投标失败，请各投标人预留充足时间；</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保函必须在规定的投标截止时间前递交，在投标截止时间前，由中心工作人员或银行工作人员进行确认，未确认的保证金视为未提交；</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投标人应当在投标截止时间前通过金融机构成功购买投标保证保险，未在投标截止时间前成功购买的投标保证保险视为未提交。</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三、投标保证金的办理程序</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sz w:val="24"/>
                <w:lang w:eastAsia="zh-CN"/>
              </w:rPr>
              <w:fldChar w:fldCharType="begin"/>
            </w:r>
            <w:r>
              <w:rPr>
                <w:rFonts w:ascii="宋体" w:eastAsia="宋体" w:hAnsi="宋体" w:cs="宋体" w:hint="eastAsia"/>
                <w:color w:val="auto"/>
                <w:kern w:val="2"/>
                <w:sz w:val="24"/>
                <w:szCs w:val="24"/>
                <w:lang w:val="en-US" w:eastAsia="zh-CN" w:bidi="ar-SA"/>
              </w:rPr>
              <w:instrText xml:space="preserve"> AUTOTEXT  input534 \* MERGEFORMAT </w:instrText>
            </w:r>
            <w:r>
              <w:rPr>
                <w:rFonts w:ascii="宋体" w:eastAsia="宋体" w:hAnsi="宋体" w:cs="宋体" w:hint="eastAsia"/>
                <w:color w:val="auto"/>
                <w:sz w:val="24"/>
                <w:lang w:eastAsia="zh-CN"/>
              </w:rPr>
              <w:fldChar w:fldCharType="separate"/>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sz w:val="24"/>
                <w:lang w:eastAsia="zh-CN"/>
              </w:rPr>
              <w:fldChar w:fldCharType="end"/>
            </w:r>
            <w:r>
              <w:rPr>
                <w:rFonts w:ascii="宋体" w:eastAsia="宋体" w:hAnsi="宋体" w:cs="宋体" w:hint="eastAsia"/>
                <w:color w:val="auto"/>
                <w:kern w:val="2"/>
                <w:sz w:val="24"/>
                <w:szCs w:val="24"/>
                <w:lang w:val="en-US" w:eastAsia="zh-CN" w:bidi="ar-SA"/>
              </w:rPr>
              <w:t>（一）采用银行转账方式</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项目名称：西双版纳傣族自治州消防救援支队山难专业队装备采购项目（二次），户名：西双版纳傣族自治州公共资源交易中心，开户行：中国建设银行股份有限公司景洪城南支行，保证金提交账号：53050169875109666666-0249</w:t>
            </w:r>
            <w:r>
              <w:rPr>
                <w:rFonts w:ascii="宋体" w:eastAsia="宋体" w:hAnsi="宋体" w:cs="宋体" w:hint="eastAsia"/>
                <w:color w:val="000000"/>
                <w:kern w:val="2"/>
                <w:sz w:val="24"/>
                <w:szCs w:val="24"/>
                <w:lang w:val="en-US" w:eastAsia="zh-CN" w:bidi="ar-SA"/>
              </w:rPr>
              <w:t>，</w:t>
            </w:r>
            <w:r>
              <w:rPr>
                <w:rFonts w:ascii="宋体" w:eastAsia="宋体" w:hAnsi="宋体" w:cs="宋体" w:hint="eastAsia"/>
                <w:color w:val="auto"/>
                <w:kern w:val="2"/>
                <w:sz w:val="24"/>
                <w:szCs w:val="24"/>
                <w:lang w:val="en-US" w:eastAsia="zh-CN" w:bidi="ar-SA"/>
              </w:rPr>
              <w:t>保证金金额：7000.00元。</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办理程序：潜在投标人需要使用数字证书（CA）登录</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 xml:space="preserve"> 西双版纳州公共资源交易电子服务系统（http://ggzy.yn.gov.cn/ynggfwpt-home-web/#/homePage）</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按照要求向指定账户缴纳保证金之后，在缴纳保证金页面的保证金节点下会显示本单位转至对应保证金专户的所有银行来款记录，当来款记录同时满足收款账户名称和账号与保证金缴纳账户开户名称和账号一致、来款账户账号和来款账户名称与注册基本账户信息完全一致、来款金额大于等于所要求的保证金金额、来款时间小于等于该标段投标递交保证金截止时间的四点要求时，点击来款后方的【绑定】按钮即可绑定保证金；若不符合其中任意一点，则无法绑定保证金，点击来款后方的【绑定】按钮会弹出相应的提示信息。保证金绑定成功之后，点击操作列【打印回执】按钮可打印保证金缴纳回执；在截标时间前，如遇到特殊情况需取消绑定保证金，可点击【解除绑定】按钮解绑。</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sz w:val="24"/>
                <w:lang w:eastAsia="zh-CN"/>
              </w:rPr>
              <w:fldChar w:fldCharType="begin"/>
            </w:r>
            <w:r>
              <w:rPr>
                <w:rFonts w:ascii="宋体" w:eastAsia="宋体" w:hAnsi="宋体" w:cs="宋体" w:hint="eastAsia"/>
                <w:color w:val="auto"/>
                <w:kern w:val="2"/>
                <w:sz w:val="24"/>
                <w:szCs w:val="24"/>
                <w:lang w:val="en-US" w:eastAsia="zh-CN" w:bidi="ar-SA"/>
              </w:rPr>
              <w:instrText xml:space="preserve"> AUTOTEXT  input535 \* MERGEFORMAT </w:instrText>
            </w:r>
            <w:r>
              <w:rPr>
                <w:rFonts w:ascii="宋体" w:eastAsia="宋体" w:hAnsi="宋体" w:cs="宋体" w:hint="eastAsia"/>
                <w:color w:val="auto"/>
                <w:sz w:val="24"/>
                <w:lang w:eastAsia="zh-CN"/>
              </w:rPr>
              <w:fldChar w:fldCharType="separate"/>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sz w:val="24"/>
                <w:lang w:eastAsia="zh-CN"/>
              </w:rPr>
              <w:fldChar w:fldCharType="end"/>
            </w:r>
            <w:r>
              <w:rPr>
                <w:rFonts w:ascii="宋体" w:eastAsia="宋体" w:hAnsi="宋体" w:cs="宋体" w:hint="eastAsia"/>
                <w:color w:val="auto"/>
                <w:kern w:val="2"/>
                <w:sz w:val="24"/>
                <w:szCs w:val="24"/>
                <w:lang w:val="en-US" w:eastAsia="zh-CN" w:bidi="ar-SA"/>
              </w:rPr>
              <w:t>（二）采用保函方式</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项目名称：西双版纳傣族自治州消防救援支队山难专业队装备采购项目（二次），保证金金额：7000.00元。</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办理程序：潜在投标人需要使用数字证书（CA）登录</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 xml:space="preserve"> 西双版纳州公共资源交易电子服务系统（http://ggzy.yn.gov.cn/ynggfwpt-home-web/#/homePage）</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，在缴纳保证金页面</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保险保函节点</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纸质保函模块，填写信息上传附件信息后，点击【提交】，等中心工作人员或银行工作人员确认后缴纳成功。</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sz w:val="24"/>
                <w:lang w:eastAsia="zh-CN"/>
              </w:rPr>
              <w:fldChar w:fldCharType="begin"/>
            </w:r>
            <w:r>
              <w:rPr>
                <w:rFonts w:ascii="宋体" w:eastAsia="宋体" w:hAnsi="宋体" w:cs="宋体" w:hint="eastAsia"/>
                <w:color w:val="auto"/>
                <w:kern w:val="2"/>
                <w:sz w:val="24"/>
                <w:szCs w:val="24"/>
                <w:lang w:val="en-US" w:eastAsia="zh-CN" w:bidi="ar-SA"/>
              </w:rPr>
              <w:instrText xml:space="preserve"> AUTOTEXT  input536 \* MERGEFORMAT </w:instrText>
            </w:r>
            <w:r>
              <w:rPr>
                <w:rFonts w:ascii="宋体" w:eastAsia="宋体" w:hAnsi="宋体" w:cs="宋体" w:hint="eastAsia"/>
                <w:color w:val="auto"/>
                <w:sz w:val="24"/>
                <w:lang w:eastAsia="zh-CN"/>
              </w:rPr>
              <w:fldChar w:fldCharType="separate"/>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sz w:val="24"/>
                <w:lang w:eastAsia="zh-CN"/>
              </w:rPr>
              <w:fldChar w:fldCharType="end"/>
            </w:r>
            <w:r>
              <w:rPr>
                <w:rFonts w:ascii="宋体" w:eastAsia="宋体" w:hAnsi="宋体" w:cs="宋体" w:hint="eastAsia"/>
                <w:color w:val="auto"/>
                <w:kern w:val="2"/>
                <w:sz w:val="24"/>
                <w:szCs w:val="24"/>
                <w:lang w:val="en-US" w:eastAsia="zh-CN" w:bidi="ar-SA"/>
              </w:rPr>
              <w:t>（三）采用投标保证保险方式</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项目名称：西双版纳傣族自治州消防救援支队山难专业队装备采购项目（二次），保证金金额：7000.00元。</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办理程序：潜在投标人需要使用数字证书（CA）登录</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 xml:space="preserve"> 西双版纳州公共资源交易电子服务系统（http://ggzy.yn.gov.cn/ynggfwpt-home-web/#/homePage）</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，在缴纳保证金页面</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保险保函节点</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电子保险保函模块，点击【去购买】或【购买保险保函】按钮购买保证保险。购买保证保险后，在查询保险保函模块选择购买起止时间进行查询（注：时间间隔不能超过五天且实际购买保险的日期需在选择的日期区间内），页面会显示此时间区间内购买的所有保单信息，根据保额（保证金金额）和保单号等信息选择对应保单点击后方的【点此分配】按钮。</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（四）注意事项：</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1.保证金必须从投标人的法人基本账户划出；</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2.保证金转账方式仅限电汇、网银方式，其他转账方式视为无效；</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3.保证金到账时间以保证金专用账户实际到账时间为准，未在投标截止时间前到账的保证金无效；</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4.拒绝私人账户汇款及银行存现；</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5.请潜在投标人在跨行转账时考虑以下因素：</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（1）按照人民银行相关规定，跨行转账在工作日下午4点半前办理手续，可以保证实时跨行到账；</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（2）跨行转账尽量采用电汇方式。</w:t>
            </w:r>
          </w:p>
          <w:p>
            <w:pPr>
              <w:keepNext w:val="0"/>
              <w:keepLines w:val="0"/>
              <w:widowControl w:val="0"/>
              <w:suppressLineNumbers w:val="0"/>
              <w:spacing w:before="0" w:beforeAutospacing="0" w:after="0" w:afterAutospacing="0" w:line="360" w:lineRule="auto"/>
              <w:ind w:left="0" w:right="0" w:firstLine="480" w:firstLineChars="20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6.投标人必须在</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西双版纳州公共资源交易电子服务系统（http://ggzy.yn.gov.cn/ynggfwpt-home-web/#/homePage）</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确认并打印本项目的保证金缴纳回执或投标保函缴纳回执，如在</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西双版纳州公共资源交易电子服务系统（http://ggzy.yn.gov.cn/ynggfwpt-home-web/#/homePage）</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内显示投标保证金未绑定的情况则视为该投标人未提交投标保证金（提供交易系统打印的保证金缴纳回执或投标保函缴纳回执的情况除外），评标委员会将否决其投标。</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15</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近年财务状况的年份要求</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highlight w:val="none"/>
                <w:lang w:val="en-US" w:eastAsia="zh-CN" w:bidi="ar-SA"/>
              </w:rPr>
              <w:t>2022年度</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16</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近年承担的类似项目的年份要求</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近三年：2020年06月至今</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17</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近年发生的诉讼及仲裁情况的年份要求</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近三年：2020年06月至今</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18</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电子响应文件提交</w:t>
            </w:r>
          </w:p>
        </w:tc>
        <w:tc>
          <w:tcPr>
            <w:tcW w:w="7965" w:type="dxa"/>
            <w:vAlign w:val="center"/>
          </w:tcPr>
          <w:p>
            <w:pPr>
              <w:keepNext w:val="0"/>
              <w:keepLines w:val="0"/>
              <w:widowControl w:val="0"/>
              <w:suppressLineNumbers w:val="0"/>
              <w:snapToGrid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snapToGrid w:val="0"/>
                <w:color w:val="auto"/>
                <w:kern w:val="0"/>
                <w:sz w:val="24"/>
                <w:szCs w:val="24"/>
                <w:lang w:val="en-US" w:eastAsia="zh-CN" w:bidi="ar-SA"/>
              </w:rPr>
              <w:t>供应商在提交响应文件递交截止时间前，将电子响应文件通过</w:t>
            </w:r>
            <w:r>
              <w:rPr>
                <w:rFonts w:ascii="宋体" w:eastAsia="宋体" w:hAnsi="宋体" w:cs="宋体" w:hint="eastAsia"/>
                <w:snapToGrid w:val="0"/>
                <w:color w:val="auto"/>
                <w:kern w:val="0"/>
                <w:sz w:val="24"/>
                <w:szCs w:val="24"/>
                <w:lang w:val="en-US" w:eastAsia="zh-CN" w:bidi="ar-SA"/>
              </w:rPr>
              <w:t>“</w:t>
            </w:r>
            <w:r>
              <w:rPr>
                <w:rFonts w:ascii="宋体" w:eastAsia="宋体" w:hAnsi="宋体" w:cs="宋体" w:hint="eastAsia"/>
                <w:color w:val="auto"/>
                <w:kern w:val="2"/>
                <w:sz w:val="24"/>
                <w:szCs w:val="24"/>
                <w:lang w:val="en-US" w:eastAsia="zh-CN" w:bidi="ar-SA"/>
              </w:rPr>
              <w:t>西双版纳州公共资源交易电子服务系统（https://ggzy.yn.gov.cn/ynggfwpt-home-web/#/homePage）</w:t>
            </w:r>
            <w:r>
              <w:rPr>
                <w:rFonts w:ascii="宋体" w:eastAsia="宋体" w:hAnsi="宋体" w:cs="宋体" w:hint="eastAsia"/>
                <w:snapToGrid w:val="0"/>
                <w:color w:val="auto"/>
                <w:kern w:val="0"/>
                <w:sz w:val="24"/>
                <w:szCs w:val="24"/>
                <w:lang w:val="en-US" w:eastAsia="zh-CN" w:bidi="ar-SA"/>
              </w:rPr>
              <w:t>”</w:t>
            </w:r>
            <w:r>
              <w:rPr>
                <w:rFonts w:ascii="宋体" w:eastAsia="宋体" w:hAnsi="宋体" w:cs="宋体" w:hint="eastAsia"/>
                <w:snapToGrid w:val="0"/>
                <w:color w:val="auto"/>
                <w:kern w:val="0"/>
                <w:sz w:val="24"/>
                <w:szCs w:val="24"/>
                <w:lang w:val="en-US" w:eastAsia="zh-CN" w:bidi="ar-SA"/>
              </w:rPr>
              <w:t>上传指定的开标项目，并打印</w:t>
            </w:r>
            <w:r>
              <w:rPr>
                <w:rFonts w:ascii="宋体" w:eastAsia="宋体" w:hAnsi="宋体" w:cs="宋体" w:hint="eastAsia"/>
                <w:snapToGrid w:val="0"/>
                <w:color w:val="auto"/>
                <w:kern w:val="0"/>
                <w:sz w:val="24"/>
                <w:szCs w:val="24"/>
                <w:lang w:val="en-US" w:eastAsia="zh-CN" w:bidi="ar-SA"/>
              </w:rPr>
              <w:t>“</w:t>
            </w:r>
            <w:r>
              <w:rPr>
                <w:rFonts w:ascii="宋体" w:eastAsia="宋体" w:hAnsi="宋体" w:cs="宋体" w:hint="eastAsia"/>
                <w:snapToGrid w:val="0"/>
                <w:color w:val="auto"/>
                <w:kern w:val="0"/>
                <w:sz w:val="24"/>
                <w:szCs w:val="24"/>
                <w:lang w:val="en-US" w:eastAsia="zh-CN" w:bidi="ar-SA"/>
              </w:rPr>
              <w:t>网上递交响应文件回执</w:t>
            </w:r>
            <w:r>
              <w:rPr>
                <w:rFonts w:ascii="宋体" w:eastAsia="宋体" w:hAnsi="宋体" w:cs="宋体" w:hint="eastAsia"/>
                <w:snapToGrid w:val="0"/>
                <w:color w:val="auto"/>
                <w:kern w:val="0"/>
                <w:sz w:val="24"/>
                <w:szCs w:val="24"/>
                <w:lang w:val="en-US" w:eastAsia="zh-CN" w:bidi="ar-SA"/>
              </w:rPr>
              <w:t>”</w:t>
            </w:r>
            <w:r>
              <w:rPr>
                <w:rFonts w:ascii="宋体" w:eastAsia="宋体" w:hAnsi="宋体" w:cs="宋体" w:hint="eastAsia"/>
                <w:snapToGrid w:val="0"/>
                <w:color w:val="auto"/>
                <w:kern w:val="0"/>
                <w:sz w:val="24"/>
                <w:szCs w:val="24"/>
                <w:lang w:val="en-US" w:eastAsia="zh-CN" w:bidi="ar-SA"/>
              </w:rPr>
              <w:t>，以表明上传成功。在编制响应文件时，粘贴图片使用JPG格式的文件，并且每张图片的分辨率应小于100dpi，最终的每份电子响应文件所占用的磁盘空间必须小于100M。</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19</w:t>
            </w:r>
          </w:p>
        </w:tc>
        <w:tc>
          <w:tcPr>
            <w:tcW w:w="1740" w:type="dxa"/>
            <w:vAlign w:val="center"/>
          </w:tcPr>
          <w:p>
            <w:pPr>
              <w:keepNext w:val="0"/>
              <w:keepLines w:val="0"/>
              <w:widowControl w:val="0"/>
              <w:suppressLineNumbers w:val="0"/>
              <w:wordWrap w:val="0"/>
              <w:spacing w:before="0" w:beforeAutospacing="0" w:after="0" w:afterAutospacing="0" w:line="360" w:lineRule="auto"/>
              <w:ind w:left="0" w:right="0"/>
              <w:jc w:val="center"/>
              <w:rPr>
                <w:rStyle w:val="DefaultParagraphFont"/>
                <w:rFonts w:ascii="宋体" w:eastAsia="宋体" w:hAnsi="宋体" w:cs="宋体" w:hint="default"/>
                <w:snapToGrid w:val="0"/>
                <w:color w:val="auto"/>
                <w:kern w:val="0"/>
                <w:sz w:val="24"/>
                <w:szCs w:val="24"/>
                <w:lang w:val="en-US" w:eastAsia="zh-CN" w:bidi="ar-SA"/>
              </w:rPr>
            </w:pPr>
            <w:r>
              <w:rPr>
                <w:rFonts w:ascii="宋体" w:eastAsia="宋体" w:hAnsi="宋体" w:cs="宋体" w:hint="eastAsia"/>
                <w:snapToGrid w:val="0"/>
                <w:color w:val="auto"/>
                <w:kern w:val="0"/>
                <w:sz w:val="24"/>
                <w:szCs w:val="24"/>
                <w:lang w:val="en-US" w:eastAsia="zh-CN" w:bidi="ar-SA"/>
              </w:rPr>
              <w:t>磋商文件澄清截止时间</w:t>
            </w:r>
          </w:p>
        </w:tc>
        <w:tc>
          <w:tcPr>
            <w:tcW w:w="7965" w:type="dxa"/>
            <w:vAlign w:val="center"/>
          </w:tcPr>
          <w:p>
            <w:pPr>
              <w:keepNext w:val="0"/>
              <w:keepLines w:val="0"/>
              <w:widowControl w:val="0"/>
              <w:suppressLineNumbers w:val="0"/>
              <w:wordWrap w:val="0"/>
              <w:spacing w:before="0" w:beforeAutospacing="0" w:after="0" w:afterAutospacing="0" w:line="360" w:lineRule="auto"/>
              <w:ind w:left="0" w:right="0"/>
              <w:jc w:val="both"/>
              <w:rPr>
                <w:rStyle w:val="DefaultParagraphFont"/>
                <w:rFonts w:ascii="宋体" w:eastAsia="宋体" w:hAnsi="宋体" w:cs="宋体" w:hint="default"/>
                <w:snapToGrid w:val="0"/>
                <w:color w:val="auto"/>
                <w:kern w:val="0"/>
                <w:sz w:val="24"/>
                <w:szCs w:val="24"/>
                <w:lang w:val="en-US" w:eastAsia="zh-CN" w:bidi="ar-SA"/>
              </w:rPr>
            </w:pPr>
            <w:r>
              <w:rPr>
                <w:rFonts w:ascii="宋体" w:eastAsia="宋体" w:hAnsi="宋体" w:cs="宋体" w:hint="eastAsia"/>
                <w:snapToGrid w:val="0"/>
                <w:color w:val="auto"/>
                <w:kern w:val="0"/>
                <w:sz w:val="24"/>
                <w:szCs w:val="24"/>
                <w:lang w:val="en-US" w:eastAsia="zh-CN" w:bidi="ar-SA"/>
              </w:rPr>
              <w:t>提交响应文件截止时间5日前</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20</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响应文件格式</w:t>
            </w:r>
          </w:p>
        </w:tc>
        <w:tc>
          <w:tcPr>
            <w:tcW w:w="7965" w:type="dxa"/>
            <w:vAlign w:val="center"/>
          </w:tcPr>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响应文件全部采用电子文档，响应文件必须使用</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云南省政府采购投标文件编制系统</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进行编制。</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特别注意：</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1）供应商不得对竞争性磋商文件格式中的内容进行删减或修改，否则作为无效投标处理。</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2）供应商可以在格式内容之外另行说明和增加相关内容，作为响应文件的组成部分。另行说明或自行增加的内容、以及按响应文件格式在空格（下划线）由供应商填写的内容，不得与竞争性磋商文件的强制性审查标准和禁止性规定相抵触。</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3）按响应文件格式在空格（下划线）由供应商填写的内容，确实没有需要填写的，可以在空格中用</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标示，也可以不填（空白）。但竞争性磋商文件中另有规定的从其规定。</w:t>
            </w:r>
          </w:p>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4）响应文件应对竞争性磋商文件提出的所有实质性要求和条件作出实质性响应，并且实质性响应的内容不得互相矛盾。</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21</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是否允许递交备选投标方案</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不允许</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22</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签字盖章要求</w:t>
            </w:r>
          </w:p>
        </w:tc>
        <w:tc>
          <w:tcPr>
            <w:tcW w:w="7965" w:type="dxa"/>
            <w:vAlign w:val="center"/>
          </w:tcPr>
          <w:p>
            <w:pPr>
              <w:pStyle w:val="Preformatted"/>
              <w:keepNext w:val="0"/>
              <w:keepLines w:val="0"/>
              <w:widowControl w:val="0"/>
              <w:numPr>
                <w:ilvl w:val="0"/>
                <w:numId w:val="2"/>
              </w:numPr>
              <w:suppressLineNumbers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before="0" w:beforeAutospacing="0" w:after="0" w:afterAutospacing="0" w:line="360" w:lineRule="auto"/>
              <w:ind w:left="0" w:right="0"/>
              <w:jc w:val="left"/>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竞争性磋商文件</w:t>
            </w:r>
            <w:r>
              <w:rPr>
                <w:rFonts w:ascii="宋体" w:eastAsia="宋体" w:hAnsi="宋体" w:cs="宋体" w:hint="eastAsia"/>
                <w:color w:val="auto"/>
                <w:kern w:val="0"/>
                <w:sz w:val="24"/>
                <w:szCs w:val="24"/>
                <w:lang w:val="en-US" w:eastAsia="zh-CN" w:bidi="ar-SA"/>
              </w:rPr>
              <w:t>“</w:t>
            </w:r>
            <w:r>
              <w:rPr>
                <w:rFonts w:ascii="宋体" w:eastAsia="宋体" w:hAnsi="宋体" w:cs="宋体" w:hint="eastAsia"/>
                <w:color w:val="auto"/>
                <w:kern w:val="0"/>
                <w:sz w:val="24"/>
                <w:szCs w:val="24"/>
                <w:lang w:val="en-US" w:eastAsia="zh-CN" w:bidi="ar-SA"/>
              </w:rPr>
              <w:t>第六章 响应文件格式</w:t>
            </w:r>
            <w:r>
              <w:rPr>
                <w:rFonts w:ascii="宋体" w:eastAsia="宋体" w:hAnsi="宋体" w:cs="宋体" w:hint="eastAsia"/>
                <w:color w:val="auto"/>
                <w:kern w:val="0"/>
                <w:sz w:val="24"/>
                <w:szCs w:val="24"/>
                <w:lang w:val="en-US" w:eastAsia="zh-CN" w:bidi="ar-SA"/>
              </w:rPr>
              <w:t>”</w:t>
            </w:r>
            <w:r>
              <w:rPr>
                <w:rFonts w:ascii="宋体" w:eastAsia="宋体" w:hAnsi="宋体" w:cs="宋体" w:hint="eastAsia"/>
                <w:color w:val="auto"/>
                <w:kern w:val="0"/>
                <w:sz w:val="24"/>
                <w:szCs w:val="24"/>
                <w:lang w:val="en-US" w:eastAsia="zh-CN" w:bidi="ar-SA"/>
              </w:rPr>
              <w:t>有要求签字盖章地方的，供应商须按要求签字盖章。</w:t>
            </w:r>
          </w:p>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（2）响应文件若有改动之处则须在改动之处加盖供应商公章，并经法定代表人或其委托人签字和盖章。</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23</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响应文件提交截止时间、开启时间及地点</w:t>
            </w:r>
          </w:p>
        </w:tc>
        <w:tc>
          <w:tcPr>
            <w:tcW w:w="7965" w:type="dxa"/>
            <w:vAlign w:val="center"/>
          </w:tcPr>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（1）响应文件提交截止时间及开启时间：2023年9月25日10时00分。</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（2）响应文件开启地点：西双版纳州公共资源交易中心（西双版纳州勐泐大道与榕林大道交汇口，原国际会展中心A区2楼）。</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24</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是否退还响应文件</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否</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25</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开标程序</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32"/>
                <w:lang w:val="en-US" w:eastAsia="zh-CN" w:bidi="ar-SA"/>
              </w:rPr>
              <w:t>开标顺序：按照电子招标投标交易平台自动提取所有供应商的顺序当众开标。供应商须在开标会上使用加密的数字证书（CA）对其递交的电子响应文件进行解密。因供应商原因造成电子响应文件未解密的，视为未按要求递交电子响应文件。</w:t>
            </w:r>
          </w:p>
        </w:tc>
      </w:tr>
      <w:tr>
        <w:tblPrEx>
          <w:tblW w:w="10575" w:type="dxa"/>
          <w:tblInd w:w="-606" w:type="dxa"/>
          <w:tblLayout w:type="fixed"/>
          <w:tblCellMar>
            <w:top w:w="0" w:type="dxa"/>
            <w:left w:w="108" w:type="dxa"/>
            <w:bottom w:w="0" w:type="dxa"/>
            <w:right w:w="108" w:type="dxa"/>
          </w:tblCellMar>
          <w:tblLook w:val="04A0"/>
        </w:tblPrEx>
        <w:trPr>
          <w:trHeight w:val="763"/>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26</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highlight w:val="none"/>
                <w:lang w:val="en-US" w:eastAsia="zh-CN" w:bidi="ar-SA"/>
              </w:rPr>
              <w:t>磋商小组成员的组建</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磋商小组由采购人在磋商前依法组建；</w:t>
            </w:r>
          </w:p>
          <w:p>
            <w:pPr>
              <w:keepNext w:val="0"/>
              <w:keepLines w:val="0"/>
              <w:widowControl w:val="0"/>
              <w:suppressLineNumbers w:val="0"/>
              <w:spacing w:before="0" w:beforeAutospacing="0" w:after="0" w:afterAutospacing="0" w:line="360" w:lineRule="auto"/>
              <w:ind w:left="0" w:right="0"/>
              <w:jc w:val="both"/>
              <w:rPr>
                <w:rStyle w:val="DefaultParagraphFont"/>
                <w:rFonts w:ascii="Times New Roman" w:eastAsia="宋体" w:hAnsi="Times New Roman" w:cs="Times New Roman" w:hint="default"/>
                <w:kern w:val="2"/>
                <w:sz w:val="21"/>
                <w:szCs w:val="24"/>
                <w:lang w:val="en-US" w:eastAsia="zh-CN" w:bidi="ar-SA"/>
              </w:rPr>
            </w:pPr>
            <w:r>
              <w:rPr>
                <w:rFonts w:ascii="宋体" w:eastAsia="宋体" w:hAnsi="宋体" w:cs="宋体" w:hint="eastAsia"/>
                <w:color w:val="auto"/>
                <w:kern w:val="2"/>
                <w:sz w:val="24"/>
                <w:szCs w:val="32"/>
                <w:lang w:val="en-US" w:eastAsia="zh-CN" w:bidi="ar-SA"/>
              </w:rPr>
              <w:t>磋商小组成员构成：</w:t>
            </w:r>
            <w:r>
              <w:rPr>
                <w:rFonts w:ascii="宋体" w:eastAsia="宋体" w:hAnsi="宋体" w:cs="宋体" w:hint="eastAsia"/>
                <w:color w:val="auto"/>
                <w:kern w:val="2"/>
                <w:sz w:val="24"/>
                <w:szCs w:val="32"/>
                <w:u w:val="single"/>
                <w:lang w:val="en-US" w:eastAsia="zh-CN" w:bidi="ar-SA"/>
              </w:rPr>
              <w:t xml:space="preserve"> 3 </w:t>
            </w:r>
            <w:r>
              <w:rPr>
                <w:rFonts w:ascii="宋体" w:eastAsia="宋体" w:hAnsi="宋体" w:cs="宋体" w:hint="eastAsia"/>
                <w:color w:val="auto"/>
                <w:kern w:val="2"/>
                <w:sz w:val="24"/>
                <w:szCs w:val="32"/>
                <w:lang w:val="en-US" w:eastAsia="zh-CN" w:bidi="ar-SA"/>
              </w:rPr>
              <w:t>人，其中采购人代表</w:t>
            </w:r>
            <w:r>
              <w:rPr>
                <w:rFonts w:ascii="宋体" w:eastAsia="宋体" w:hAnsi="宋体" w:cs="宋体" w:hint="eastAsia"/>
                <w:color w:val="auto"/>
                <w:kern w:val="2"/>
                <w:sz w:val="24"/>
                <w:szCs w:val="32"/>
                <w:u w:val="single"/>
                <w:lang w:val="en-US" w:eastAsia="zh-CN" w:bidi="ar-SA"/>
              </w:rPr>
              <w:t xml:space="preserve"> 1</w:t>
            </w:r>
            <w:r>
              <w:rPr>
                <w:rFonts w:ascii="宋体" w:eastAsia="宋体" w:hAnsi="宋体" w:cs="宋体" w:hint="eastAsia"/>
                <w:color w:val="auto"/>
                <w:kern w:val="2"/>
                <w:sz w:val="24"/>
                <w:szCs w:val="32"/>
                <w:lang w:val="en-US" w:eastAsia="zh-CN" w:bidi="ar-SA"/>
              </w:rPr>
              <w:t>人，评审专家</w:t>
            </w:r>
            <w:r>
              <w:rPr>
                <w:rFonts w:ascii="宋体" w:eastAsia="宋体" w:hAnsi="宋体" w:cs="宋体" w:hint="eastAsia"/>
                <w:color w:val="auto"/>
                <w:kern w:val="2"/>
                <w:sz w:val="24"/>
                <w:szCs w:val="32"/>
                <w:u w:val="single"/>
                <w:lang w:val="en-US" w:eastAsia="zh-CN" w:bidi="ar-SA"/>
              </w:rPr>
              <w:t>2</w:t>
            </w:r>
            <w:r>
              <w:rPr>
                <w:rFonts w:ascii="宋体" w:eastAsia="宋体" w:hAnsi="宋体" w:cs="宋体" w:hint="eastAsia"/>
                <w:color w:val="auto"/>
                <w:kern w:val="2"/>
                <w:sz w:val="24"/>
                <w:szCs w:val="32"/>
                <w:lang w:val="en-US" w:eastAsia="zh-CN" w:bidi="ar-SA"/>
              </w:rPr>
              <w:t>人，从政府采购评审专家库中随机抽取。</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27</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评标方法</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采用综合评分法。</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28</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highlight w:val="none"/>
                <w:lang w:val="en-US" w:eastAsia="zh-CN" w:bidi="ar-SA"/>
              </w:rPr>
              <w:t>是否授权磋商小组成员确定</w:t>
            </w:r>
            <w:r>
              <w:rPr>
                <w:rFonts w:ascii="宋体" w:eastAsia="宋体" w:hAnsi="宋体" w:cs="宋体" w:hint="eastAsia"/>
                <w:color w:val="auto"/>
                <w:kern w:val="2"/>
                <w:sz w:val="24"/>
                <w:szCs w:val="24"/>
                <w:lang w:val="en-US" w:eastAsia="zh-CN" w:bidi="ar-SA"/>
              </w:rPr>
              <w:t>中标人</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否，推荐的中标候选人数3人。</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29</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成交公示</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在成交通知书发出前，采购人将成交人的情况结果公示发布于</w:t>
            </w:r>
            <w:r>
              <w:rPr>
                <w:rFonts w:ascii="宋体" w:eastAsia="宋体" w:hAnsi="宋体" w:cs="宋体" w:hint="eastAsia"/>
                <w:bCs/>
                <w:color w:val="auto"/>
                <w:kern w:val="2"/>
                <w:sz w:val="24"/>
                <w:szCs w:val="24"/>
                <w:lang w:val="en-US" w:eastAsia="zh-CN" w:bidi="ar-SA"/>
              </w:rPr>
              <w:t>中国政府采购网（http://www.ccgp.gov.cn/）、云南省公共资源交易信息网（https://ggzy.yn.gov.cn/#/homePage）、西双版纳州公共资源交易电子服务系统（https://ggzy.yn.gov.cn/ynggfwpt-home-web/#/homePage）</w:t>
            </w:r>
            <w:r>
              <w:rPr>
                <w:rFonts w:ascii="宋体" w:eastAsia="宋体" w:hAnsi="宋体" w:cs="宋体" w:hint="eastAsia"/>
                <w:color w:val="auto"/>
                <w:kern w:val="2"/>
                <w:sz w:val="24"/>
                <w:szCs w:val="24"/>
                <w:lang w:val="en-US" w:eastAsia="zh-CN" w:bidi="ar-SA"/>
              </w:rPr>
              <w:t>，公示期为1个工作日。</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eastAsia"/>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30</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履约保证金</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银行转账,在合同签订前由中标单位按合同价5%缴纳,货物验收合格后，履约保证金转化为质量保证金，自验收合格之日起2年期满后，无质量问题，甲方在30个日历天内一次性无息退还。</w:t>
            </w:r>
          </w:p>
        </w:tc>
      </w:tr>
      <w:tr>
        <w:tblPrEx>
          <w:tblW w:w="10575" w:type="dxa"/>
          <w:tblInd w:w="-606" w:type="dxa"/>
          <w:tblLayout w:type="fixed"/>
          <w:tblCellMar>
            <w:top w:w="0" w:type="dxa"/>
            <w:left w:w="108" w:type="dxa"/>
            <w:bottom w:w="0" w:type="dxa"/>
            <w:right w:w="108" w:type="dxa"/>
          </w:tblCellMar>
          <w:tblLook w:val="04A0"/>
        </w:tblPrEx>
        <w:trPr>
          <w:trHeight w:val="680"/>
        </w:trPr>
        <w:tc>
          <w:tcPr>
            <w:tcW w:w="87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31</w:t>
            </w:r>
          </w:p>
        </w:tc>
        <w:tc>
          <w:tcPr>
            <w:tcW w:w="174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词义解释</w:t>
            </w:r>
          </w:p>
        </w:tc>
        <w:tc>
          <w:tcPr>
            <w:tcW w:w="7965" w:type="dxa"/>
            <w:vAlign w:val="center"/>
          </w:tcPr>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本竞争性磋商文件上下文中出现的招标人、采购人等均指：采购人</w:t>
            </w:r>
          </w:p>
          <w:p>
            <w:pPr>
              <w:keepNext w:val="0"/>
              <w:keepLines w:val="0"/>
              <w:widowControl w:val="0"/>
              <w:suppressLineNumbers w:val="0"/>
              <w:spacing w:before="0" w:beforeAutospacing="0" w:after="0" w:afterAutospacing="0" w:line="360" w:lineRule="auto"/>
              <w:ind w:left="0" w:right="0"/>
              <w:jc w:val="left"/>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本竞争性磋商文件上下文中出现的招标代理机构、采购代理机构均指：采购代理机构</w:t>
            </w:r>
          </w:p>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本竞争性磋商文件上下文中出现的供应商、投标企业、供应商等均指：供</w:t>
            </w:r>
          </w:p>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 xml:space="preserve">应商 </w:t>
            </w:r>
          </w:p>
        </w:tc>
      </w:tr>
      <w:tr>
        <w:tblPrEx>
          <w:tblW w:w="10575" w:type="dxa"/>
          <w:tblInd w:w="-606" w:type="dxa"/>
          <w:tblLayout w:type="fixed"/>
          <w:tblCellMar>
            <w:top w:w="0" w:type="dxa"/>
            <w:left w:w="108" w:type="dxa"/>
            <w:bottom w:w="0" w:type="dxa"/>
            <w:right w:w="108" w:type="dxa"/>
          </w:tblCellMar>
          <w:tblLook w:val="04A0"/>
        </w:tblPrEx>
        <w:trPr>
          <w:trHeight w:val="680"/>
        </w:trPr>
        <w:tc>
          <w:tcPr>
            <w:tcW w:w="2610" w:type="dxa"/>
            <w:gridSpan w:val="2"/>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32</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snapToGrid w:val="0"/>
                <w:color w:val="auto"/>
                <w:kern w:val="0"/>
                <w:sz w:val="24"/>
                <w:szCs w:val="24"/>
                <w:lang w:val="en-US" w:eastAsia="zh-CN" w:bidi="ar-SA"/>
              </w:rPr>
              <w:t>需要补充的其他内容</w:t>
            </w:r>
          </w:p>
        </w:tc>
      </w:tr>
      <w:tr>
        <w:tblPrEx>
          <w:tblW w:w="10575" w:type="dxa"/>
          <w:tblInd w:w="-606" w:type="dxa"/>
          <w:tblLayout w:type="fixed"/>
          <w:tblCellMar>
            <w:top w:w="0" w:type="dxa"/>
            <w:left w:w="108" w:type="dxa"/>
            <w:bottom w:w="0" w:type="dxa"/>
            <w:right w:w="108" w:type="dxa"/>
          </w:tblCellMar>
          <w:tblLook w:val="04A0"/>
        </w:tblPrEx>
        <w:trPr>
          <w:trHeight w:val="680"/>
        </w:trPr>
        <w:tc>
          <w:tcPr>
            <w:tcW w:w="2610" w:type="dxa"/>
            <w:gridSpan w:val="2"/>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32"/>
                <w:lang w:val="en-US" w:eastAsia="zh-CN" w:bidi="ar-SA"/>
              </w:rPr>
              <w:t>（1）</w:t>
            </w:r>
          </w:p>
        </w:tc>
        <w:tc>
          <w:tcPr>
            <w:tcW w:w="7965" w:type="dxa"/>
            <w:vAlign w:val="center"/>
          </w:tcPr>
          <w:p>
            <w:pPr>
              <w:keepNext w:val="0"/>
              <w:keepLines w:val="0"/>
              <w:widowControl w:val="0"/>
              <w:suppressLineNumbers w:val="0"/>
              <w:adjustRightInd w:val="0"/>
              <w:snapToGrid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snapToGrid w:val="0"/>
                <w:color w:val="auto"/>
                <w:kern w:val="0"/>
                <w:sz w:val="24"/>
                <w:szCs w:val="24"/>
                <w:lang w:val="en-US" w:eastAsia="zh-CN" w:bidi="ar-SA"/>
              </w:rPr>
              <w:t>踏勘：</w:t>
            </w:r>
            <w:r>
              <w:rPr>
                <w:rFonts w:ascii="宋体" w:eastAsia="宋体" w:hAnsi="宋体" w:cs="宋体" w:hint="eastAsia"/>
                <w:snapToGrid w:val="0"/>
                <w:color w:val="auto"/>
                <w:kern w:val="0"/>
                <w:sz w:val="24"/>
              </w:rPr>
              <w:fldChar w:fldCharType="begin"/>
            </w:r>
            <w:r>
              <w:rPr>
                <w:rFonts w:ascii="宋体" w:eastAsia="宋体" w:hAnsi="宋体" w:cs="宋体" w:hint="eastAsia"/>
                <w:snapToGrid w:val="0"/>
                <w:color w:val="auto"/>
                <w:kern w:val="0"/>
                <w:sz w:val="24"/>
                <w:szCs w:val="24"/>
                <w:lang w:val="en-US" w:eastAsia="zh-CN" w:bidi="ar-SA"/>
              </w:rPr>
              <w:instrText xml:space="preserve"> AUTOTEXT  input152 \* MERGEFORMAT </w:instrText>
            </w:r>
            <w:r>
              <w:rPr>
                <w:rFonts w:ascii="宋体" w:eastAsia="宋体" w:hAnsi="宋体" w:cs="宋体" w:hint="eastAsia"/>
                <w:snapToGrid w:val="0"/>
                <w:color w:val="auto"/>
                <w:kern w:val="0"/>
                <w:sz w:val="24"/>
              </w:rPr>
              <w:fldChar w:fldCharType="separate"/>
            </w:r>
            <w:r>
              <w:rPr>
                <w:rFonts w:ascii="宋体" w:eastAsia="宋体" w:hAnsi="宋体" w:cs="宋体" w:hint="eastAsia"/>
                <w:snapToGrid w:val="0"/>
                <w:color w:val="auto"/>
                <w:kern w:val="0"/>
                <w:sz w:val="24"/>
              </w:rPr>
              <w:fldChar w:fldCharType="end"/>
            </w:r>
            <w:r>
              <w:rPr>
                <w:rFonts w:ascii="宋体" w:eastAsia="宋体" w:hAnsi="宋体" w:cs="宋体" w:hint="eastAsia"/>
                <w:snapToGrid w:val="0"/>
                <w:color w:val="auto"/>
                <w:kern w:val="0"/>
                <w:sz w:val="24"/>
              </w:rPr>
              <w:fldChar w:fldCharType="begin"/>
            </w:r>
            <w:r>
              <w:rPr>
                <w:rFonts w:ascii="宋体" w:eastAsia="宋体" w:hAnsi="宋体" w:cs="宋体" w:hint="eastAsia"/>
                <w:snapToGrid w:val="0"/>
                <w:color w:val="auto"/>
                <w:kern w:val="0"/>
                <w:sz w:val="24"/>
                <w:szCs w:val="24"/>
                <w:lang w:val="en-US" w:eastAsia="zh-CN" w:bidi="ar-SA"/>
              </w:rPr>
              <w:instrText xml:space="preserve"> AUTOTEXT  input153 \* MERGEFORMAT </w:instrText>
            </w:r>
            <w:r>
              <w:rPr>
                <w:rFonts w:ascii="宋体" w:eastAsia="宋体" w:hAnsi="宋体" w:cs="宋体" w:hint="eastAsia"/>
                <w:snapToGrid w:val="0"/>
                <w:color w:val="auto"/>
                <w:kern w:val="0"/>
                <w:sz w:val="24"/>
              </w:rPr>
              <w:fldChar w:fldCharType="separate"/>
            </w:r>
            <w:r>
              <w:rPr>
                <w:rFonts w:ascii="宋体" w:eastAsia="宋体" w:hAnsi="宋体" w:cs="宋体" w:hint="eastAsia"/>
                <w:snapToGrid w:val="0"/>
                <w:color w:val="auto"/>
                <w:kern w:val="0"/>
                <w:sz w:val="24"/>
              </w:rPr>
              <w:fldChar w:fldCharType="end"/>
            </w:r>
            <w:r>
              <w:rPr>
                <w:rFonts w:ascii="宋体" w:eastAsia="宋体" w:hAnsi="宋体" w:cs="宋体" w:hint="eastAsia"/>
                <w:snapToGrid w:val="0"/>
                <w:color w:val="auto"/>
                <w:kern w:val="0"/>
                <w:sz w:val="24"/>
                <w:szCs w:val="24"/>
                <w:lang w:val="en-US" w:eastAsia="zh-CN" w:bidi="ar-SA"/>
              </w:rPr>
              <w:t>不组织</w:t>
            </w:r>
          </w:p>
        </w:tc>
      </w:tr>
      <w:tr>
        <w:tblPrEx>
          <w:tblW w:w="10575" w:type="dxa"/>
          <w:tblInd w:w="-606" w:type="dxa"/>
          <w:tblLayout w:type="fixed"/>
          <w:tblCellMar>
            <w:top w:w="0" w:type="dxa"/>
            <w:left w:w="108" w:type="dxa"/>
            <w:bottom w:w="0" w:type="dxa"/>
            <w:right w:w="108" w:type="dxa"/>
          </w:tblCellMar>
          <w:tblLook w:val="04A0"/>
        </w:tblPrEx>
        <w:trPr>
          <w:trHeight w:val="680"/>
        </w:trPr>
        <w:tc>
          <w:tcPr>
            <w:tcW w:w="2610" w:type="dxa"/>
            <w:gridSpan w:val="2"/>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32"/>
                <w:lang w:val="en-US" w:eastAsia="zh-CN" w:bidi="ar-SA"/>
              </w:rPr>
              <w:t>（2）</w:t>
            </w:r>
          </w:p>
        </w:tc>
        <w:tc>
          <w:tcPr>
            <w:tcW w:w="7965" w:type="dxa"/>
            <w:vAlign w:val="center"/>
          </w:tcPr>
          <w:p>
            <w:pPr>
              <w:pStyle w:val="PlainText"/>
              <w:keepNext w:val="0"/>
              <w:keepLines w:val="0"/>
              <w:widowControl w:val="0"/>
              <w:suppressLineNumbers w:val="0"/>
              <w:snapToGrid w:val="0"/>
              <w:spacing w:before="0" w:beforeAutospacing="0" w:after="0" w:afterAutospacing="0" w:line="360" w:lineRule="auto"/>
              <w:ind w:left="0" w:right="0" w:firstLine="0"/>
              <w:jc w:val="left"/>
              <w:rPr>
                <w:rStyle w:val="DefaultParagraphFont"/>
                <w:rFonts w:ascii="宋体" w:eastAsia="宋体" w:hAnsi="宋体" w:cs="宋体" w:hint="default"/>
                <w:b/>
                <w:snapToGrid w:val="0"/>
                <w:color w:val="auto"/>
                <w:kern w:val="0"/>
                <w:sz w:val="24"/>
                <w:szCs w:val="24"/>
                <w:lang w:val="en-US" w:eastAsia="zh-CN" w:bidi="ar-SA"/>
              </w:rPr>
            </w:pPr>
            <w:r>
              <w:rPr>
                <w:rFonts w:ascii="宋体" w:eastAsia="宋体" w:hAnsi="宋体" w:cs="宋体" w:hint="eastAsia"/>
                <w:b/>
                <w:snapToGrid w:val="0"/>
                <w:color w:val="auto"/>
                <w:kern w:val="0"/>
                <w:sz w:val="24"/>
                <w:szCs w:val="24"/>
                <w:u w:val="thick"/>
                <w:lang w:val="en-US" w:eastAsia="zh-CN" w:bidi="ar-SA"/>
              </w:rPr>
              <w:t>供应商的法定代表人或其委托代理人须携带用于加密电子响应文件的CA证书按时到西双版纳州公共资源交易中心现场参加磋商开标会议</w:t>
            </w:r>
            <w:r>
              <w:rPr>
                <w:rFonts w:ascii="宋体" w:eastAsia="宋体" w:hAnsi="宋体" w:cs="宋体" w:hint="eastAsia"/>
                <w:b/>
                <w:snapToGrid w:val="0"/>
                <w:color w:val="auto"/>
                <w:kern w:val="0"/>
                <w:sz w:val="24"/>
                <w:szCs w:val="24"/>
                <w:lang w:val="en-US" w:eastAsia="zh-CN" w:bidi="ar-SA"/>
              </w:rPr>
              <w:t>，供应商应同时提交以下核验的证照：</w:t>
            </w:r>
          </w:p>
          <w:p>
            <w:pPr>
              <w:keepNext w:val="0"/>
              <w:keepLines w:val="0"/>
              <w:widowControl w:val="0"/>
              <w:suppressLineNumbers w:val="0"/>
              <w:autoSpaceDE w:val="0"/>
              <w:autoSpaceDN w:val="0"/>
              <w:spacing w:before="0" w:beforeAutospacing="0" w:after="0" w:afterAutospacing="0" w:line="360" w:lineRule="auto"/>
              <w:ind w:left="0" w:right="0"/>
              <w:contextualSpacing/>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1.法定代表人或授权委托代理人身份证原件；</w:t>
            </w:r>
          </w:p>
          <w:p>
            <w:pPr>
              <w:keepNext w:val="0"/>
              <w:keepLines w:val="0"/>
              <w:widowControl w:val="0"/>
              <w:suppressLineNumbers w:val="0"/>
              <w:autoSpaceDE w:val="0"/>
              <w:autoSpaceDN w:val="0"/>
              <w:spacing w:before="0" w:beforeAutospacing="0" w:after="0" w:afterAutospacing="0" w:line="360" w:lineRule="auto"/>
              <w:ind w:left="0" w:right="0"/>
              <w:contextualSpacing/>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2.法定代表人身份证明书及法定代表人授权委托书原件（按竞争性磋商文件中相关格式要求，法定代表人投标的无需提供法定代表人授权委托书）；</w:t>
            </w:r>
          </w:p>
          <w:p>
            <w:pPr>
              <w:keepNext w:val="0"/>
              <w:keepLines w:val="0"/>
              <w:widowControl w:val="0"/>
              <w:suppressLineNumbers w:val="0"/>
              <w:autoSpaceDE w:val="0"/>
              <w:autoSpaceDN w:val="0"/>
              <w:spacing w:before="60" w:beforeAutospacing="0" w:after="60" w:afterAutospacing="0" w:line="360" w:lineRule="auto"/>
              <w:ind w:left="0" w:right="0"/>
              <w:contextualSpacing/>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3.保证金缴纳成功回执单。</w:t>
            </w:r>
          </w:p>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以上提供的证明材料，如因遗漏或不符合要求，由此造成的后果责任自负。</w:t>
            </w:r>
          </w:p>
        </w:tc>
      </w:tr>
      <w:tr>
        <w:tblPrEx>
          <w:tblW w:w="10575" w:type="dxa"/>
          <w:tblInd w:w="-606" w:type="dxa"/>
          <w:tblLayout w:type="fixed"/>
          <w:tblCellMar>
            <w:top w:w="0" w:type="dxa"/>
            <w:left w:w="108" w:type="dxa"/>
            <w:bottom w:w="0" w:type="dxa"/>
            <w:right w:w="108" w:type="dxa"/>
          </w:tblCellMar>
          <w:tblLook w:val="04A0"/>
        </w:tblPrEx>
        <w:trPr>
          <w:trHeight w:val="90"/>
        </w:trPr>
        <w:tc>
          <w:tcPr>
            <w:tcW w:w="2610" w:type="dxa"/>
            <w:gridSpan w:val="2"/>
            <w:vAlign w:val="center"/>
          </w:tcPr>
          <w:p>
            <w:pPr>
              <w:pStyle w:val="PlainText"/>
              <w:keepNext w:val="0"/>
              <w:keepLines w:val="0"/>
              <w:widowControl w:val="0"/>
              <w:suppressLineNumbers w:val="0"/>
              <w:snapToGrid w:val="0"/>
              <w:spacing w:before="0" w:beforeAutospacing="0" w:after="0" w:afterAutospacing="0" w:line="360" w:lineRule="auto"/>
              <w:ind w:left="0" w:right="0" w:firstLine="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snapToGrid w:val="0"/>
                <w:color w:val="auto"/>
                <w:kern w:val="0"/>
                <w:sz w:val="24"/>
                <w:szCs w:val="24"/>
                <w:lang w:val="en-US" w:eastAsia="zh-CN" w:bidi="ar-SA"/>
              </w:rPr>
              <w:t>（3）</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磋商顺序：</w:t>
            </w:r>
          </w:p>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1.磋商顺序在磋商开标会议中供应商的签到顺序确定磋商顺序。</w:t>
            </w:r>
          </w:p>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2.根据确定的磋商顺序进行单独逐一磋商。</w:t>
            </w:r>
          </w:p>
        </w:tc>
      </w:tr>
      <w:tr>
        <w:tblPrEx>
          <w:tblW w:w="10575" w:type="dxa"/>
          <w:tblInd w:w="-606" w:type="dxa"/>
          <w:tblLayout w:type="fixed"/>
          <w:tblCellMar>
            <w:top w:w="0" w:type="dxa"/>
            <w:left w:w="108" w:type="dxa"/>
            <w:bottom w:w="0" w:type="dxa"/>
            <w:right w:w="108" w:type="dxa"/>
          </w:tblCellMar>
          <w:tblLook w:val="04A0"/>
        </w:tblPrEx>
        <w:trPr>
          <w:trHeight w:val="680"/>
        </w:trPr>
        <w:tc>
          <w:tcPr>
            <w:tcW w:w="2610" w:type="dxa"/>
            <w:gridSpan w:val="2"/>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bCs/>
                <w:color w:val="auto"/>
                <w:kern w:val="0"/>
                <w:sz w:val="24"/>
                <w:szCs w:val="24"/>
                <w:lang w:val="en-US" w:eastAsia="zh-CN" w:bidi="ar-SA"/>
              </w:rPr>
            </w:pPr>
            <w:r>
              <w:rPr>
                <w:rFonts w:ascii="宋体" w:eastAsia="宋体" w:hAnsi="宋体" w:cs="宋体" w:hint="eastAsia"/>
                <w:color w:val="auto"/>
                <w:kern w:val="2"/>
                <w:sz w:val="24"/>
                <w:szCs w:val="32"/>
                <w:lang w:val="en-US" w:eastAsia="zh-CN" w:bidi="ar-SA"/>
              </w:rPr>
              <w:t>（4）</w:t>
            </w:r>
          </w:p>
        </w:tc>
        <w:tc>
          <w:tcPr>
            <w:tcW w:w="7965" w:type="dxa"/>
            <w:vAlign w:val="center"/>
          </w:tcPr>
          <w:p>
            <w:pPr>
              <w:keepNext w:val="0"/>
              <w:keepLines w:val="0"/>
              <w:widowControl w:val="0"/>
              <w:suppressLineNumbers w:val="0"/>
              <w:spacing w:before="0" w:beforeAutospacing="0" w:after="0" w:afterAutospacing="0" w:line="360" w:lineRule="auto"/>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根据《财政部关于在政府采购活动中查询及使用信用记录有关问题的通知》（财库〔2016〕125号）的规定，供应商企业信用信息查询的具体要求如下：</w:t>
            </w:r>
          </w:p>
          <w:p>
            <w:pPr>
              <w:pStyle w:val="BalloonText"/>
              <w:keepNext w:val="0"/>
              <w:keepLines w:val="0"/>
              <w:widowControl w:val="0"/>
              <w:suppressLineNumbers w:val="0"/>
              <w:autoSpaceDE w:val="0"/>
              <w:autoSpaceDN w:val="0"/>
              <w:spacing w:before="0" w:beforeAutospacing="0" w:after="0" w:afterAutospacing="0" w:line="360" w:lineRule="auto"/>
              <w:ind w:left="0" w:right="0"/>
              <w:jc w:val="both"/>
              <w:textAlignment w:val="bottom"/>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1.信用信息查询渠道：中国执行信息公开网（http://zxgk.court.gov.cn）、</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信用中国</w:t>
            </w:r>
            <w:r>
              <w:rPr>
                <w:rFonts w:ascii="宋体" w:eastAsia="宋体" w:hAnsi="宋体" w:cs="宋体" w:hint="eastAsia"/>
                <w:color w:val="auto"/>
                <w:kern w:val="2"/>
                <w:sz w:val="24"/>
                <w:szCs w:val="24"/>
                <w:lang w:val="en-US" w:eastAsia="zh-CN" w:bidi="ar-SA"/>
              </w:rPr>
              <w:t>”</w:t>
            </w:r>
            <w:r>
              <w:rPr>
                <w:rFonts w:ascii="宋体" w:eastAsia="宋体" w:hAnsi="宋体" w:cs="宋体" w:hint="eastAsia"/>
                <w:color w:val="auto"/>
                <w:kern w:val="2"/>
                <w:sz w:val="24"/>
                <w:szCs w:val="24"/>
                <w:lang w:val="en-US" w:eastAsia="zh-CN" w:bidi="ar-SA"/>
              </w:rPr>
              <w:t>网站（https://www.creditchina.gov.cn）、中国政府采购网（http://www.ccgp.gov.cn）、国家企业信用信息公示系统（http://www.gsxt.gov.cn）和中国裁判文书网（wenshu.court.gov.cn）。</w:t>
            </w:r>
          </w:p>
          <w:p>
            <w:pPr>
              <w:pStyle w:val="BalloonText"/>
              <w:keepNext w:val="0"/>
              <w:keepLines w:val="0"/>
              <w:widowControl w:val="0"/>
              <w:suppressLineNumbers w:val="0"/>
              <w:autoSpaceDE w:val="0"/>
              <w:autoSpaceDN w:val="0"/>
              <w:spacing w:before="0" w:beforeAutospacing="0" w:after="0" w:afterAutospacing="0" w:line="360" w:lineRule="auto"/>
              <w:ind w:left="0" w:right="0"/>
              <w:jc w:val="both"/>
              <w:textAlignment w:val="bottom"/>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2.由采购人或采购代理机构在评审结束后，在上述网站对各供应商的企业信用信息进行查询。</w:t>
            </w:r>
          </w:p>
          <w:p>
            <w:pPr>
              <w:pStyle w:val="BalloonText"/>
              <w:keepNext w:val="0"/>
              <w:keepLines w:val="0"/>
              <w:widowControl w:val="0"/>
              <w:suppressLineNumbers w:val="0"/>
              <w:autoSpaceDE w:val="0"/>
              <w:autoSpaceDN w:val="0"/>
              <w:spacing w:before="0" w:beforeAutospacing="0" w:after="0" w:afterAutospacing="0" w:line="360" w:lineRule="auto"/>
              <w:ind w:left="0" w:right="0"/>
              <w:jc w:val="both"/>
              <w:textAlignment w:val="bottom"/>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3.信用信息的使用规则：采购人或者采购代理机构对供应商信用记录进行甄别，一旦查询到供应商存在以下情形，将按照相关法律法规进行处理：</w:t>
            </w:r>
          </w:p>
          <w:p>
            <w:pPr>
              <w:pStyle w:val="BalloonText"/>
              <w:keepNext w:val="0"/>
              <w:keepLines w:val="0"/>
              <w:widowControl w:val="0"/>
              <w:suppressLineNumbers w:val="0"/>
              <w:autoSpaceDE w:val="0"/>
              <w:autoSpaceDN w:val="0"/>
              <w:spacing w:before="0" w:beforeAutospacing="0" w:after="0" w:afterAutospacing="0" w:line="360" w:lineRule="auto"/>
              <w:ind w:left="0" w:right="0"/>
              <w:jc w:val="both"/>
              <w:textAlignment w:val="bottom"/>
              <w:rPr>
                <w:rStyle w:val="DefaultParagraphFont"/>
                <w:rFonts w:ascii="宋体" w:eastAsia="宋体" w:hAnsi="宋体" w:cs="宋体" w:hint="default"/>
                <w:color w:val="auto"/>
                <w:kern w:val="2"/>
                <w:sz w:val="24"/>
                <w:szCs w:val="18"/>
                <w:lang w:val="en-US" w:eastAsia="zh-CN" w:bidi="ar-SA"/>
              </w:rPr>
            </w:pPr>
            <w:r>
              <w:rPr>
                <w:rFonts w:ascii="宋体" w:eastAsia="宋体" w:hAnsi="宋体" w:cs="宋体" w:hint="eastAsia"/>
                <w:color w:val="auto"/>
                <w:kern w:val="2"/>
                <w:sz w:val="24"/>
                <w:szCs w:val="18"/>
                <w:lang w:val="en-US" w:eastAsia="zh-CN" w:bidi="ar-SA"/>
              </w:rPr>
              <w:t>（1）被列入失信被执行人；</w:t>
            </w:r>
          </w:p>
          <w:p>
            <w:pPr>
              <w:pStyle w:val="BalloonText"/>
              <w:keepNext w:val="0"/>
              <w:keepLines w:val="0"/>
              <w:widowControl w:val="0"/>
              <w:suppressLineNumbers w:val="0"/>
              <w:autoSpaceDE w:val="0"/>
              <w:autoSpaceDN w:val="0"/>
              <w:spacing w:before="0" w:beforeAutospacing="0" w:after="0" w:afterAutospacing="0" w:line="360" w:lineRule="auto"/>
              <w:ind w:left="0" w:right="0"/>
              <w:jc w:val="both"/>
              <w:textAlignment w:val="bottom"/>
              <w:rPr>
                <w:rStyle w:val="DefaultParagraphFont"/>
                <w:rFonts w:ascii="宋体" w:eastAsia="宋体" w:hAnsi="宋体" w:cs="宋体" w:hint="default"/>
                <w:color w:val="auto"/>
                <w:kern w:val="2"/>
                <w:sz w:val="24"/>
                <w:szCs w:val="18"/>
                <w:lang w:val="en-US" w:eastAsia="zh-CN" w:bidi="ar-SA"/>
              </w:rPr>
            </w:pPr>
            <w:r>
              <w:rPr>
                <w:rFonts w:ascii="宋体" w:eastAsia="宋体" w:hAnsi="宋体" w:cs="宋体" w:hint="eastAsia"/>
                <w:color w:val="auto"/>
                <w:kern w:val="2"/>
                <w:sz w:val="24"/>
                <w:szCs w:val="18"/>
                <w:lang w:val="en-US" w:eastAsia="zh-CN" w:bidi="ar-SA"/>
              </w:rPr>
              <w:t>（2）被列入税收违法黑名单；</w:t>
            </w:r>
          </w:p>
          <w:p>
            <w:pPr>
              <w:pStyle w:val="BalloonText"/>
              <w:keepNext w:val="0"/>
              <w:keepLines w:val="0"/>
              <w:widowControl w:val="0"/>
              <w:suppressLineNumbers w:val="0"/>
              <w:autoSpaceDE w:val="0"/>
              <w:autoSpaceDN w:val="0"/>
              <w:spacing w:before="0" w:beforeAutospacing="0" w:after="0" w:afterAutospacing="0" w:line="360" w:lineRule="auto"/>
              <w:ind w:left="0" w:right="0"/>
              <w:jc w:val="both"/>
              <w:textAlignment w:val="bottom"/>
              <w:rPr>
                <w:rStyle w:val="DefaultParagraphFont"/>
                <w:rFonts w:ascii="宋体" w:eastAsia="宋体" w:hAnsi="宋体" w:cs="宋体" w:hint="default"/>
                <w:color w:val="auto"/>
                <w:kern w:val="2"/>
                <w:sz w:val="24"/>
                <w:szCs w:val="18"/>
                <w:lang w:val="en-US" w:eastAsia="zh-CN" w:bidi="ar-SA"/>
              </w:rPr>
            </w:pPr>
            <w:r>
              <w:rPr>
                <w:rFonts w:ascii="宋体" w:eastAsia="宋体" w:hAnsi="宋体" w:cs="宋体" w:hint="eastAsia"/>
                <w:color w:val="auto"/>
                <w:kern w:val="2"/>
                <w:sz w:val="24"/>
                <w:szCs w:val="18"/>
                <w:lang w:val="en-US" w:eastAsia="zh-CN" w:bidi="ar-SA"/>
              </w:rPr>
              <w:t>（3）被列入政府采购严重违法失信行为记录名单；</w:t>
            </w:r>
          </w:p>
          <w:p>
            <w:pPr>
              <w:pStyle w:val="BalloonText"/>
              <w:keepNext w:val="0"/>
              <w:keepLines w:val="0"/>
              <w:widowControl w:val="0"/>
              <w:suppressLineNumbers w:val="0"/>
              <w:autoSpaceDE w:val="0"/>
              <w:autoSpaceDN w:val="0"/>
              <w:spacing w:before="0" w:beforeAutospacing="0" w:after="0" w:afterAutospacing="0" w:line="360" w:lineRule="auto"/>
              <w:ind w:left="0" w:right="0"/>
              <w:jc w:val="both"/>
              <w:textAlignment w:val="bottom"/>
              <w:rPr>
                <w:rStyle w:val="DefaultParagraphFont"/>
                <w:rFonts w:ascii="宋体" w:eastAsia="宋体" w:hAnsi="宋体" w:cs="宋体" w:hint="default"/>
                <w:color w:val="auto"/>
                <w:kern w:val="2"/>
                <w:sz w:val="24"/>
                <w:szCs w:val="18"/>
                <w:lang w:val="en-US" w:eastAsia="zh-CN" w:bidi="ar-SA"/>
              </w:rPr>
            </w:pPr>
            <w:r>
              <w:rPr>
                <w:rFonts w:ascii="宋体" w:eastAsia="宋体" w:hAnsi="宋体" w:cs="宋体" w:hint="eastAsia"/>
                <w:color w:val="auto"/>
                <w:kern w:val="2"/>
                <w:sz w:val="24"/>
                <w:szCs w:val="18"/>
                <w:lang w:val="en-US" w:eastAsia="zh-CN" w:bidi="ar-SA"/>
              </w:rPr>
              <w:t>（4）被列入经营异常名录；</w:t>
            </w:r>
          </w:p>
          <w:p>
            <w:pPr>
              <w:pStyle w:val="BalloonText"/>
              <w:keepNext w:val="0"/>
              <w:keepLines w:val="0"/>
              <w:widowControl w:val="0"/>
              <w:suppressLineNumbers w:val="0"/>
              <w:autoSpaceDE w:val="0"/>
              <w:autoSpaceDN w:val="0"/>
              <w:spacing w:before="0" w:beforeAutospacing="0" w:after="0" w:afterAutospacing="0" w:line="360" w:lineRule="auto"/>
              <w:ind w:left="0" w:right="0"/>
              <w:jc w:val="both"/>
              <w:textAlignment w:val="bottom"/>
              <w:rPr>
                <w:rStyle w:val="DefaultParagraphFont"/>
                <w:rFonts w:ascii="宋体" w:eastAsia="宋体" w:hAnsi="宋体" w:cs="宋体" w:hint="eastAsia"/>
                <w:color w:val="auto"/>
                <w:kern w:val="2"/>
                <w:sz w:val="24"/>
                <w:szCs w:val="18"/>
                <w:lang w:val="en-US" w:eastAsia="zh-CN" w:bidi="ar-SA"/>
              </w:rPr>
            </w:pPr>
            <w:r>
              <w:rPr>
                <w:rFonts w:ascii="宋体" w:eastAsia="宋体" w:hAnsi="宋体" w:cs="宋体" w:hint="eastAsia"/>
                <w:color w:val="auto"/>
                <w:kern w:val="2"/>
                <w:sz w:val="24"/>
                <w:szCs w:val="18"/>
                <w:lang w:val="en-US" w:eastAsia="zh-CN" w:bidi="ar-SA"/>
              </w:rPr>
              <w:t>（5）被列入严重违法失信名单（黑名单）；</w:t>
            </w:r>
          </w:p>
          <w:p>
            <w:pPr>
              <w:pStyle w:val="BalloonText"/>
              <w:keepNext w:val="0"/>
              <w:keepLines w:val="0"/>
              <w:widowControl w:val="0"/>
              <w:suppressLineNumbers w:val="0"/>
              <w:autoSpaceDE w:val="0"/>
              <w:autoSpaceDN w:val="0"/>
              <w:spacing w:before="0" w:beforeAutospacing="0" w:after="0" w:afterAutospacing="0" w:line="360" w:lineRule="auto"/>
              <w:ind w:left="0" w:right="0"/>
              <w:jc w:val="both"/>
              <w:textAlignment w:val="bottom"/>
              <w:rPr>
                <w:rStyle w:val="DefaultParagraphFont"/>
                <w:rFonts w:ascii="宋体" w:eastAsia="宋体" w:hAnsi="宋体" w:cs="宋体" w:hint="default"/>
                <w:color w:val="auto"/>
                <w:kern w:val="2"/>
                <w:sz w:val="24"/>
                <w:szCs w:val="18"/>
                <w:lang w:val="en-US" w:eastAsia="zh-CN" w:bidi="ar-SA"/>
              </w:rPr>
            </w:pPr>
            <w:r>
              <w:rPr>
                <w:rFonts w:ascii="宋体" w:eastAsia="宋体" w:hAnsi="宋体" w:cs="宋体" w:hint="eastAsia"/>
                <w:color w:val="auto"/>
                <w:kern w:val="2"/>
                <w:sz w:val="24"/>
                <w:szCs w:val="18"/>
                <w:lang w:val="en-US" w:eastAsia="zh-CN" w:bidi="ar-SA"/>
              </w:rPr>
              <w:t>（6）有行贿犯罪记录的；</w:t>
            </w:r>
          </w:p>
          <w:p>
            <w:pPr>
              <w:pStyle w:val="BalloonText"/>
              <w:keepNext w:val="0"/>
              <w:keepLines w:val="0"/>
              <w:widowControl w:val="0"/>
              <w:suppressLineNumbers w:val="0"/>
              <w:autoSpaceDE w:val="0"/>
              <w:autoSpaceDN w:val="0"/>
              <w:spacing w:before="0" w:beforeAutospacing="0" w:after="0" w:afterAutospacing="0" w:line="360" w:lineRule="auto"/>
              <w:ind w:left="0" w:right="0"/>
              <w:jc w:val="both"/>
              <w:textAlignment w:val="bottom"/>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18"/>
                <w:lang w:val="en-US" w:eastAsia="zh-CN" w:bidi="ar-SA"/>
              </w:rPr>
              <w:t>（7）其他不符合《中华人民共和国政府采购法》第二十二条规定条件。</w:t>
            </w:r>
          </w:p>
          <w:p>
            <w:pPr>
              <w:keepNext w:val="0"/>
              <w:keepLines w:val="0"/>
              <w:widowControl w:val="0"/>
              <w:suppressLineNumbers w:val="0"/>
              <w:wordWrap w:val="0"/>
              <w:snapToGrid w:val="0"/>
              <w:spacing w:before="0" w:beforeAutospacing="0" w:after="0" w:afterAutospacing="0" w:line="360" w:lineRule="auto"/>
              <w:ind w:left="0" w:right="0"/>
              <w:jc w:val="left"/>
              <w:rPr>
                <w:rStyle w:val="DefaultParagraphFont"/>
                <w:rFonts w:ascii="宋体" w:eastAsia="宋体" w:hAnsi="宋体" w:cs="宋体" w:hint="default"/>
                <w:color w:val="auto"/>
                <w:kern w:val="2"/>
                <w:sz w:val="21"/>
                <w:szCs w:val="24"/>
                <w:lang w:val="en-US" w:eastAsia="zh-CN" w:bidi="ar-SA"/>
              </w:rPr>
            </w:pPr>
            <w:r>
              <w:rPr>
                <w:rFonts w:ascii="宋体" w:eastAsia="宋体" w:hAnsi="宋体" w:cs="宋体" w:hint="eastAsia"/>
                <w:color w:val="auto"/>
                <w:kern w:val="2"/>
                <w:sz w:val="24"/>
                <w:szCs w:val="24"/>
                <w:lang w:val="en-US" w:eastAsia="zh-CN" w:bidi="ar-SA"/>
              </w:rPr>
              <w:t>4.信用信息查询记录和证据留存的具体方式：采购代理机构采取</w:t>
            </w:r>
            <w:r>
              <w:rPr>
                <w:rFonts w:ascii="宋体" w:eastAsia="宋体" w:hAnsi="宋体" w:cs="宋体" w:hint="eastAsia"/>
                <w:b/>
                <w:bCs/>
                <w:color w:val="auto"/>
                <w:kern w:val="2"/>
                <w:sz w:val="24"/>
                <w:szCs w:val="24"/>
                <w:u w:val="single"/>
                <w:lang w:val="en-US" w:eastAsia="zh-CN" w:bidi="ar-SA"/>
              </w:rPr>
              <w:t>纸质文档方式</w:t>
            </w:r>
            <w:r>
              <w:rPr>
                <w:rFonts w:ascii="宋体" w:eastAsia="宋体" w:hAnsi="宋体" w:cs="宋体" w:hint="eastAsia"/>
                <w:color w:val="auto"/>
                <w:kern w:val="2"/>
                <w:sz w:val="24"/>
                <w:szCs w:val="24"/>
                <w:lang w:val="en-US" w:eastAsia="zh-CN" w:bidi="ar-SA"/>
              </w:rPr>
              <w:t>将各供应商的信用信息查询记录和证据留存。</w:t>
            </w:r>
          </w:p>
        </w:tc>
      </w:tr>
      <w:tr>
        <w:tblPrEx>
          <w:tblW w:w="10575" w:type="dxa"/>
          <w:tblInd w:w="-606" w:type="dxa"/>
          <w:tblLayout w:type="fixed"/>
          <w:tblCellMar>
            <w:top w:w="0" w:type="dxa"/>
            <w:left w:w="108" w:type="dxa"/>
            <w:bottom w:w="0" w:type="dxa"/>
            <w:right w:w="108" w:type="dxa"/>
          </w:tblCellMar>
          <w:tblLook w:val="04A0"/>
        </w:tblPrEx>
        <w:trPr>
          <w:trHeight w:val="680"/>
        </w:trPr>
        <w:tc>
          <w:tcPr>
            <w:tcW w:w="2610" w:type="dxa"/>
            <w:gridSpan w:val="2"/>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（5）</w:t>
            </w:r>
          </w:p>
        </w:tc>
        <w:tc>
          <w:tcPr>
            <w:tcW w:w="7965" w:type="dxa"/>
            <w:vAlign w:val="center"/>
          </w:tcPr>
          <w:p>
            <w:pPr>
              <w:pStyle w:val="PlainText"/>
              <w:keepNext w:val="0"/>
              <w:keepLines w:val="0"/>
              <w:widowControl w:val="0"/>
              <w:suppressLineNumbers w:val="0"/>
              <w:autoSpaceDE w:val="0"/>
              <w:autoSpaceDN w:val="0"/>
              <w:adjustRightInd w:val="0"/>
              <w:snapToGrid w:val="0"/>
              <w:spacing w:before="0" w:beforeAutospacing="0" w:after="0" w:afterAutospacing="0" w:line="360" w:lineRule="auto"/>
              <w:ind w:left="0" w:right="0" w:firstLine="0"/>
              <w:jc w:val="left"/>
              <w:rPr>
                <w:rStyle w:val="DefaultParagraphFont"/>
                <w:rFonts w:ascii="宋体" w:eastAsia="宋体" w:hAnsi="宋体" w:cs="宋体" w:hint="default"/>
                <w:b/>
                <w:snapToGrid w:val="0"/>
                <w:color w:val="auto"/>
                <w:kern w:val="2"/>
                <w:sz w:val="24"/>
                <w:szCs w:val="24"/>
                <w:lang w:val="en-US" w:eastAsia="zh-CN" w:bidi="ar-SA"/>
              </w:rPr>
            </w:pPr>
            <w:r>
              <w:rPr>
                <w:rFonts w:ascii="宋体" w:eastAsia="宋体" w:hAnsi="宋体" w:cs="宋体" w:hint="eastAsia"/>
                <w:b/>
                <w:snapToGrid w:val="0"/>
                <w:color w:val="auto"/>
                <w:kern w:val="2"/>
                <w:sz w:val="24"/>
                <w:szCs w:val="24"/>
                <w:lang w:val="en-US" w:eastAsia="zh-CN" w:bidi="ar-SA"/>
              </w:rPr>
              <w:t>关于中小企业：</w:t>
            </w:r>
          </w:p>
          <w:p>
            <w:pPr>
              <w:pStyle w:val="PlainText"/>
              <w:keepNext w:val="0"/>
              <w:keepLines w:val="0"/>
              <w:widowControl w:val="0"/>
              <w:suppressLineNumbers w:val="0"/>
              <w:autoSpaceDE w:val="0"/>
              <w:autoSpaceDN w:val="0"/>
              <w:adjustRightInd w:val="0"/>
              <w:snapToGrid w:val="0"/>
              <w:spacing w:before="0" w:beforeAutospacing="0" w:after="0" w:afterAutospacing="0" w:line="360" w:lineRule="auto"/>
              <w:ind w:left="0" w:right="0" w:firstLine="480" w:firstLineChars="200"/>
              <w:jc w:val="left"/>
              <w:rPr>
                <w:rStyle w:val="DefaultParagraphFont"/>
                <w:rFonts w:ascii="宋体" w:eastAsia="宋体" w:hAnsi="宋体" w:cs="宋体" w:hint="default"/>
                <w:snapToGrid w:val="0"/>
                <w:color w:val="auto"/>
                <w:kern w:val="2"/>
                <w:sz w:val="24"/>
                <w:szCs w:val="24"/>
                <w:lang w:val="en-US" w:eastAsia="zh-CN" w:bidi="ar-SA"/>
              </w:rPr>
            </w:pPr>
            <w:r>
              <w:rPr>
                <w:rFonts w:ascii="宋体" w:eastAsia="宋体" w:hAnsi="宋体" w:cs="宋体" w:hint="eastAsia"/>
                <w:snapToGrid w:val="0"/>
                <w:color w:val="auto"/>
                <w:kern w:val="2"/>
                <w:sz w:val="24"/>
                <w:szCs w:val="24"/>
                <w:lang w:val="en-US" w:eastAsia="zh-CN" w:bidi="ar-SA"/>
              </w:rPr>
              <w:t>1.根据《财政部、工业和信息化部关于印发《政府采购促进中小企业发展管理办法》的通知》（财库〔2020〕46号）的规定，在政府采购活动中，供应商提供的货物、工程或者服务符合下列情形的，享受中小企业扶持政策：</w:t>
            </w:r>
          </w:p>
          <w:p>
            <w:pPr>
              <w:pStyle w:val="PlainText"/>
              <w:keepNext w:val="0"/>
              <w:keepLines w:val="0"/>
              <w:widowControl w:val="0"/>
              <w:suppressLineNumbers w:val="0"/>
              <w:autoSpaceDE w:val="0"/>
              <w:autoSpaceDN w:val="0"/>
              <w:adjustRightInd w:val="0"/>
              <w:snapToGrid w:val="0"/>
              <w:spacing w:before="0" w:beforeAutospacing="0" w:after="0" w:afterAutospacing="0" w:line="360" w:lineRule="auto"/>
              <w:ind w:left="0" w:right="0" w:firstLine="480" w:firstLineChars="200"/>
              <w:jc w:val="left"/>
              <w:rPr>
                <w:rStyle w:val="DefaultParagraphFont"/>
                <w:rFonts w:ascii="宋体" w:eastAsia="宋体" w:hAnsi="宋体" w:cs="宋体" w:hint="default"/>
                <w:snapToGrid w:val="0"/>
                <w:color w:val="auto"/>
                <w:kern w:val="2"/>
                <w:sz w:val="24"/>
                <w:szCs w:val="24"/>
                <w:lang w:val="en-US" w:eastAsia="zh-CN" w:bidi="ar-SA"/>
              </w:rPr>
            </w:pPr>
            <w:r>
              <w:rPr>
                <w:rFonts w:ascii="宋体" w:eastAsia="宋体" w:hAnsi="宋体" w:cs="宋体" w:hint="eastAsia"/>
                <w:snapToGrid w:val="0"/>
                <w:color w:val="auto"/>
                <w:kern w:val="2"/>
                <w:sz w:val="24"/>
                <w:szCs w:val="24"/>
                <w:lang w:val="en-US" w:eastAsia="zh-CN" w:bidi="ar-SA"/>
              </w:rPr>
              <w:t>（一）在货物采购项目中，货物由中小企业制造，即货物由中小企业生产且使用该中小企业商号或者注册商标；</w:t>
            </w:r>
          </w:p>
          <w:p>
            <w:pPr>
              <w:pStyle w:val="PlainText"/>
              <w:keepNext w:val="0"/>
              <w:keepLines w:val="0"/>
              <w:widowControl w:val="0"/>
              <w:suppressLineNumbers w:val="0"/>
              <w:autoSpaceDE w:val="0"/>
              <w:autoSpaceDN w:val="0"/>
              <w:adjustRightInd w:val="0"/>
              <w:snapToGrid w:val="0"/>
              <w:spacing w:before="0" w:beforeAutospacing="0" w:after="0" w:afterAutospacing="0" w:line="360" w:lineRule="auto"/>
              <w:ind w:left="0" w:right="0" w:firstLine="480" w:firstLineChars="200"/>
              <w:jc w:val="left"/>
              <w:rPr>
                <w:rStyle w:val="DefaultParagraphFont"/>
                <w:rFonts w:ascii="宋体" w:eastAsia="宋体" w:hAnsi="宋体" w:cs="宋体" w:hint="default"/>
                <w:snapToGrid w:val="0"/>
                <w:color w:val="auto"/>
                <w:kern w:val="2"/>
                <w:sz w:val="24"/>
                <w:szCs w:val="24"/>
                <w:lang w:val="en-US" w:eastAsia="zh-CN" w:bidi="ar-SA"/>
              </w:rPr>
            </w:pPr>
            <w:r>
              <w:rPr>
                <w:rFonts w:ascii="宋体" w:eastAsia="宋体" w:hAnsi="宋体" w:cs="宋体" w:hint="eastAsia"/>
                <w:snapToGrid w:val="0"/>
                <w:color w:val="auto"/>
                <w:kern w:val="2"/>
                <w:sz w:val="24"/>
                <w:szCs w:val="24"/>
                <w:lang w:val="en-US" w:eastAsia="zh-CN" w:bidi="ar-SA"/>
              </w:rPr>
              <w:t>（二）在工程采购项目中，工程由中小企业承建，即工程施工单位为中小企业；</w:t>
            </w:r>
          </w:p>
          <w:p>
            <w:pPr>
              <w:pStyle w:val="PlainText"/>
              <w:keepNext w:val="0"/>
              <w:keepLines w:val="0"/>
              <w:widowControl w:val="0"/>
              <w:suppressLineNumbers w:val="0"/>
              <w:autoSpaceDE w:val="0"/>
              <w:autoSpaceDN w:val="0"/>
              <w:adjustRightInd w:val="0"/>
              <w:snapToGrid w:val="0"/>
              <w:spacing w:before="0" w:beforeAutospacing="0" w:after="0" w:afterAutospacing="0" w:line="360" w:lineRule="auto"/>
              <w:ind w:left="0" w:right="0" w:firstLine="480" w:firstLineChars="200"/>
              <w:jc w:val="left"/>
              <w:rPr>
                <w:rStyle w:val="DefaultParagraphFont"/>
                <w:rFonts w:ascii="宋体" w:eastAsia="宋体" w:hAnsi="宋体" w:cs="宋体" w:hint="default"/>
                <w:snapToGrid w:val="0"/>
                <w:color w:val="auto"/>
                <w:kern w:val="2"/>
                <w:sz w:val="24"/>
                <w:szCs w:val="24"/>
                <w:lang w:val="en-US" w:eastAsia="zh-CN" w:bidi="ar-SA"/>
              </w:rPr>
            </w:pPr>
            <w:r>
              <w:rPr>
                <w:rFonts w:ascii="宋体" w:eastAsia="宋体" w:hAnsi="宋体" w:cs="宋体" w:hint="eastAsia"/>
                <w:snapToGrid w:val="0"/>
                <w:color w:val="auto"/>
                <w:kern w:val="2"/>
                <w:sz w:val="24"/>
                <w:szCs w:val="24"/>
                <w:lang w:val="en-US" w:eastAsia="zh-CN" w:bidi="ar-SA"/>
              </w:rPr>
              <w:t>（三）在服务采购项目中，服务由中小企业承接，即提供服务的人员为中小企业依照《中华人民共和国劳动合同法》订立劳动合同的从业人员。</w:t>
            </w:r>
          </w:p>
          <w:p>
            <w:pPr>
              <w:pStyle w:val="PlainText"/>
              <w:keepNext w:val="0"/>
              <w:keepLines w:val="0"/>
              <w:widowControl w:val="0"/>
              <w:suppressLineNumbers w:val="0"/>
              <w:autoSpaceDE w:val="0"/>
              <w:autoSpaceDN w:val="0"/>
              <w:adjustRightInd w:val="0"/>
              <w:snapToGrid w:val="0"/>
              <w:spacing w:before="0" w:beforeAutospacing="0" w:after="0" w:afterAutospacing="0" w:line="360" w:lineRule="auto"/>
              <w:ind w:left="0" w:right="0" w:firstLine="480" w:firstLineChars="200"/>
              <w:jc w:val="left"/>
              <w:rPr>
                <w:rStyle w:val="DefaultParagraphFont"/>
                <w:rFonts w:ascii="宋体" w:eastAsia="宋体" w:hAnsi="宋体" w:cs="宋体" w:hint="default"/>
                <w:snapToGrid w:val="0"/>
                <w:color w:val="auto"/>
                <w:kern w:val="2"/>
                <w:sz w:val="24"/>
                <w:szCs w:val="24"/>
                <w:lang w:val="en-US" w:eastAsia="zh-CN" w:bidi="ar-SA"/>
              </w:rPr>
            </w:pPr>
            <w:r>
              <w:rPr>
                <w:rFonts w:ascii="宋体" w:eastAsia="宋体" w:hAnsi="宋体" w:cs="宋体" w:hint="eastAsia"/>
                <w:snapToGrid w:val="0"/>
                <w:color w:val="auto"/>
                <w:kern w:val="2"/>
                <w:sz w:val="24"/>
                <w:szCs w:val="24"/>
                <w:lang w:val="en-US" w:eastAsia="zh-CN" w:bidi="ar-SA"/>
              </w:rPr>
              <w:t>在货物采购项目中，供应商提供的货物既有中小企业制造货物，也有大型企业制造货物的，不享受中小企业扶持政策。</w:t>
            </w:r>
          </w:p>
          <w:p>
            <w:pPr>
              <w:pStyle w:val="PlainText"/>
              <w:keepNext w:val="0"/>
              <w:keepLines w:val="0"/>
              <w:widowControl w:val="0"/>
              <w:suppressLineNumbers w:val="0"/>
              <w:autoSpaceDE w:val="0"/>
              <w:autoSpaceDN w:val="0"/>
              <w:adjustRightInd w:val="0"/>
              <w:snapToGrid w:val="0"/>
              <w:spacing w:before="0" w:beforeAutospacing="0" w:after="0" w:afterAutospacing="0" w:line="360" w:lineRule="auto"/>
              <w:ind w:left="0" w:right="0" w:firstLine="480" w:firstLineChars="200"/>
              <w:jc w:val="left"/>
              <w:rPr>
                <w:rStyle w:val="DefaultParagraphFont"/>
                <w:rFonts w:ascii="宋体" w:eastAsia="宋体" w:hAnsi="宋体" w:cs="宋体" w:hint="default"/>
                <w:snapToGrid w:val="0"/>
                <w:color w:val="auto"/>
                <w:kern w:val="2"/>
                <w:sz w:val="24"/>
                <w:szCs w:val="24"/>
                <w:lang w:val="en-US" w:eastAsia="zh-CN" w:bidi="ar-SA"/>
              </w:rPr>
            </w:pPr>
            <w:r>
              <w:rPr>
                <w:rFonts w:ascii="宋体" w:eastAsia="宋体" w:hAnsi="宋体" w:cs="宋体" w:hint="eastAsia"/>
                <w:snapToGrid w:val="0"/>
                <w:color w:val="auto"/>
                <w:kern w:val="2"/>
                <w:sz w:val="24"/>
                <w:szCs w:val="24"/>
                <w:lang w:val="en-US" w:eastAsia="zh-CN" w:bidi="ar-SA"/>
              </w:rPr>
              <w:t>以联合体形式参加政府采购活动，联合体各方均为中小企业的，联合体视同中小企业。其中，联合体各方均为小微企业的，联合体视同小微企业。</w:t>
            </w:r>
          </w:p>
          <w:p>
            <w:pPr>
              <w:pStyle w:val="PlainText"/>
              <w:keepNext w:val="0"/>
              <w:keepLines w:val="0"/>
              <w:widowControl w:val="0"/>
              <w:suppressLineNumbers w:val="0"/>
              <w:autoSpaceDE w:val="0"/>
              <w:autoSpaceDN w:val="0"/>
              <w:adjustRightInd w:val="0"/>
              <w:snapToGrid w:val="0"/>
              <w:spacing w:before="0" w:beforeAutospacing="0" w:after="0" w:afterAutospacing="0" w:line="360" w:lineRule="auto"/>
              <w:ind w:left="0" w:right="0" w:firstLine="480" w:firstLineChars="200"/>
              <w:jc w:val="left"/>
              <w:rPr>
                <w:rStyle w:val="DefaultParagraphFont"/>
                <w:rFonts w:ascii="宋体" w:eastAsia="宋体" w:hAnsi="宋体" w:cs="宋体" w:hint="default"/>
                <w:color w:val="auto"/>
                <w:kern w:val="2"/>
                <w:sz w:val="24"/>
                <w:szCs w:val="20"/>
                <w:lang w:val="en-US" w:eastAsia="zh-CN" w:bidi="ar-SA"/>
              </w:rPr>
            </w:pPr>
            <w:r>
              <w:rPr>
                <w:rFonts w:ascii="宋体" w:eastAsia="宋体" w:hAnsi="宋体" w:cs="宋体" w:hint="eastAsia"/>
                <w:color w:val="auto"/>
                <w:kern w:val="2"/>
                <w:sz w:val="24"/>
                <w:szCs w:val="20"/>
                <w:lang w:val="en-US" w:eastAsia="zh-CN" w:bidi="ar-SA"/>
              </w:rPr>
              <w:t>组成联合体或者接受分包合同的中小企业与联合体内其他企业、分包企业之间不得存在直接控股、管理关系。</w:t>
            </w:r>
          </w:p>
          <w:p>
            <w:pPr>
              <w:pStyle w:val="PlainText"/>
              <w:keepNext w:val="0"/>
              <w:keepLines w:val="0"/>
              <w:widowControl w:val="0"/>
              <w:suppressLineNumbers w:val="0"/>
              <w:autoSpaceDE w:val="0"/>
              <w:autoSpaceDN w:val="0"/>
              <w:adjustRightInd w:val="0"/>
              <w:snapToGrid w:val="0"/>
              <w:spacing w:before="0" w:beforeAutospacing="0" w:after="0" w:afterAutospacing="0" w:line="360" w:lineRule="auto"/>
              <w:ind w:left="0" w:right="0" w:firstLine="480" w:firstLineChars="200"/>
              <w:jc w:val="left"/>
              <w:rPr>
                <w:rStyle w:val="DefaultParagraphFont"/>
                <w:rFonts w:ascii="宋体" w:eastAsia="宋体" w:hAnsi="宋体" w:cs="宋体" w:hint="default"/>
                <w:snapToGrid w:val="0"/>
                <w:color w:val="auto"/>
                <w:kern w:val="2"/>
                <w:sz w:val="24"/>
                <w:szCs w:val="24"/>
                <w:lang w:val="en-US" w:eastAsia="zh-CN" w:bidi="ar-SA"/>
              </w:rPr>
            </w:pPr>
            <w:r>
              <w:rPr>
                <w:rFonts w:ascii="宋体" w:eastAsia="宋体" w:hAnsi="宋体" w:cs="宋体" w:hint="eastAsia"/>
                <w:snapToGrid w:val="0"/>
                <w:color w:val="auto"/>
                <w:kern w:val="2"/>
                <w:sz w:val="24"/>
                <w:szCs w:val="24"/>
                <w:lang w:val="en-US" w:eastAsia="zh-CN" w:bidi="ar-SA"/>
              </w:rPr>
              <w:t>3.中小企业参加政府采购活动，应当出具《中小企业声明函》，否则不得享受相关中小企业扶持政策。</w:t>
            </w:r>
          </w:p>
          <w:p>
            <w:pPr>
              <w:keepNext w:val="0"/>
              <w:keepLines w:val="0"/>
              <w:widowControl w:val="0"/>
              <w:suppressLineNumbers w:val="0"/>
              <w:spacing w:before="0" w:beforeAutospacing="0" w:after="0" w:afterAutospacing="0" w:line="360" w:lineRule="auto"/>
              <w:ind w:left="0" w:right="0" w:firstLine="480" w:firstLineChars="20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snapToGrid w:val="0"/>
                <w:color w:val="auto"/>
                <w:kern w:val="2"/>
                <w:sz w:val="24"/>
                <w:szCs w:val="24"/>
                <w:lang w:val="en-US" w:eastAsia="zh-CN" w:bidi="ar-SA"/>
              </w:rPr>
              <w:t>4.按规定享受扶持政策获得政府采购合同的，小微企业不得将合同分包给大中型企业，中型企业不得将合同分包给大型企业。</w:t>
            </w:r>
          </w:p>
        </w:tc>
      </w:tr>
      <w:tr>
        <w:tblPrEx>
          <w:tblW w:w="10575" w:type="dxa"/>
          <w:tblInd w:w="-606" w:type="dxa"/>
          <w:tblLayout w:type="fixed"/>
          <w:tblCellMar>
            <w:top w:w="0" w:type="dxa"/>
            <w:left w:w="108" w:type="dxa"/>
            <w:bottom w:w="0" w:type="dxa"/>
            <w:right w:w="108" w:type="dxa"/>
          </w:tblCellMar>
          <w:tblLook w:val="04A0"/>
        </w:tblPrEx>
        <w:trPr>
          <w:trHeight w:val="680"/>
        </w:trPr>
        <w:tc>
          <w:tcPr>
            <w:tcW w:w="2610" w:type="dxa"/>
            <w:gridSpan w:val="2"/>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（6）</w:t>
            </w:r>
          </w:p>
        </w:tc>
        <w:tc>
          <w:tcPr>
            <w:tcW w:w="7965" w:type="dxa"/>
            <w:vAlign w:val="center"/>
          </w:tcPr>
          <w:p>
            <w:pPr>
              <w:pStyle w:val="PlainText"/>
              <w:keepNext w:val="0"/>
              <w:keepLines w:val="0"/>
              <w:widowControl w:val="0"/>
              <w:suppressLineNumbers w:val="0"/>
              <w:autoSpaceDE w:val="0"/>
              <w:autoSpaceDN w:val="0"/>
              <w:adjustRightInd w:val="0"/>
              <w:snapToGrid w:val="0"/>
              <w:spacing w:before="0" w:beforeAutospacing="0" w:after="0" w:afterAutospacing="0" w:line="360" w:lineRule="auto"/>
              <w:ind w:left="0" w:right="0" w:firstLine="0"/>
              <w:jc w:val="left"/>
              <w:rPr>
                <w:rStyle w:val="DefaultParagraphFont"/>
                <w:rFonts w:ascii="宋体" w:eastAsia="宋体" w:hAnsi="宋体" w:cs="宋体" w:hint="default"/>
                <w:b/>
                <w:snapToGrid w:val="0"/>
                <w:color w:val="auto"/>
                <w:kern w:val="2"/>
                <w:sz w:val="24"/>
                <w:szCs w:val="24"/>
                <w:lang w:val="en-US" w:eastAsia="zh-CN" w:bidi="ar-SA"/>
              </w:rPr>
            </w:pPr>
            <w:r>
              <w:rPr>
                <w:rFonts w:ascii="宋体" w:eastAsia="宋体" w:hAnsi="宋体" w:cs="宋体" w:hint="eastAsia"/>
                <w:b/>
                <w:snapToGrid w:val="0"/>
                <w:color w:val="auto"/>
                <w:kern w:val="2"/>
                <w:sz w:val="24"/>
                <w:szCs w:val="24"/>
                <w:lang w:val="en-US" w:eastAsia="zh-CN" w:bidi="ar-SA"/>
              </w:rPr>
              <w:t>关于监狱企业:</w:t>
            </w:r>
          </w:p>
          <w:p>
            <w:pPr>
              <w:pStyle w:val="PlainText"/>
              <w:keepNext w:val="0"/>
              <w:keepLines w:val="0"/>
              <w:widowControl w:val="0"/>
              <w:suppressLineNumbers w:val="0"/>
              <w:autoSpaceDE w:val="0"/>
              <w:autoSpaceDN w:val="0"/>
              <w:adjustRightInd w:val="0"/>
              <w:snapToGrid w:val="0"/>
              <w:spacing w:before="0" w:beforeAutospacing="0" w:after="0" w:afterAutospacing="0" w:line="360" w:lineRule="auto"/>
              <w:ind w:left="0" w:right="0" w:firstLine="480" w:firstLineChars="200"/>
              <w:jc w:val="left"/>
              <w:rPr>
                <w:rStyle w:val="DefaultParagraphFont"/>
                <w:rFonts w:ascii="宋体" w:eastAsia="宋体" w:hAnsi="宋体" w:cs="宋体" w:hint="default"/>
                <w:snapToGrid w:val="0"/>
                <w:color w:val="auto"/>
                <w:kern w:val="2"/>
                <w:sz w:val="24"/>
                <w:szCs w:val="24"/>
                <w:lang w:val="en-US" w:eastAsia="zh-CN" w:bidi="ar-SA"/>
              </w:rPr>
            </w:pPr>
            <w:r>
              <w:rPr>
                <w:rFonts w:ascii="宋体" w:eastAsia="宋体" w:hAnsi="宋体" w:cs="宋体" w:hint="eastAsia"/>
                <w:snapToGrid w:val="0"/>
                <w:color w:val="auto"/>
                <w:kern w:val="2"/>
                <w:sz w:val="24"/>
                <w:szCs w:val="24"/>
                <w:lang w:val="en-US" w:eastAsia="zh-CN" w:bidi="ar-SA"/>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pStyle w:val="PlainText"/>
              <w:keepNext w:val="0"/>
              <w:keepLines w:val="0"/>
              <w:widowControl w:val="0"/>
              <w:suppressLineNumbers w:val="0"/>
              <w:autoSpaceDE w:val="0"/>
              <w:autoSpaceDN w:val="0"/>
              <w:adjustRightInd w:val="0"/>
              <w:snapToGrid w:val="0"/>
              <w:spacing w:before="0" w:beforeAutospacing="0" w:after="0" w:afterAutospacing="0" w:line="360" w:lineRule="auto"/>
              <w:ind w:left="0" w:right="0" w:firstLine="480" w:firstLineChars="200"/>
              <w:jc w:val="left"/>
              <w:rPr>
                <w:rStyle w:val="DefaultParagraphFont"/>
                <w:rFonts w:ascii="宋体" w:eastAsia="宋体" w:hAnsi="宋体" w:cs="宋体" w:hint="default"/>
                <w:snapToGrid w:val="0"/>
                <w:color w:val="auto"/>
                <w:kern w:val="2"/>
                <w:sz w:val="24"/>
                <w:szCs w:val="24"/>
                <w:lang w:val="en-US" w:eastAsia="zh-CN" w:bidi="ar-SA"/>
              </w:rPr>
            </w:pPr>
            <w:r>
              <w:rPr>
                <w:rFonts w:ascii="宋体" w:eastAsia="宋体" w:hAnsi="宋体" w:cs="宋体" w:hint="eastAsia"/>
                <w:snapToGrid w:val="0"/>
                <w:color w:val="auto"/>
                <w:kern w:val="2"/>
                <w:sz w:val="24"/>
                <w:szCs w:val="24"/>
                <w:lang w:val="en-US" w:eastAsia="zh-CN" w:bidi="ar-SA"/>
              </w:rPr>
              <w:t>2.监狱企业参加政府采购活动时，应当提供由省级以上监狱管理局、戒毒管理局（含新疆生产建设兵团）出具的属于监狱企业的证明文件。</w:t>
            </w:r>
          </w:p>
          <w:p>
            <w:pPr>
              <w:keepNext w:val="0"/>
              <w:keepLines w:val="0"/>
              <w:widowControl w:val="0"/>
              <w:suppressLineNumbers w:val="0"/>
              <w:spacing w:before="0" w:beforeAutospacing="0" w:after="0" w:afterAutospacing="0" w:line="360" w:lineRule="auto"/>
              <w:ind w:left="0" w:right="0" w:firstLine="480" w:firstLineChars="200"/>
              <w:jc w:val="both"/>
              <w:rPr>
                <w:rStyle w:val="DefaultParagraphFont"/>
                <w:rFonts w:ascii="宋体" w:eastAsia="宋体" w:hAnsi="宋体" w:cs="宋体" w:hint="default"/>
                <w:snapToGrid w:val="0"/>
                <w:color w:val="auto"/>
                <w:kern w:val="2"/>
                <w:sz w:val="22"/>
                <w:szCs w:val="22"/>
                <w:lang w:val="en-US" w:eastAsia="zh-CN" w:bidi="ar-SA"/>
              </w:rPr>
            </w:pPr>
            <w:r>
              <w:rPr>
                <w:rFonts w:ascii="宋体" w:eastAsia="宋体" w:hAnsi="宋体" w:cs="宋体" w:hint="eastAsia"/>
                <w:snapToGrid w:val="0"/>
                <w:color w:val="auto"/>
                <w:kern w:val="2"/>
                <w:sz w:val="24"/>
                <w:szCs w:val="24"/>
                <w:lang w:val="en-US" w:eastAsia="zh-CN" w:bidi="ar-SA"/>
              </w:rPr>
              <w:t>3.在政府采购活动中，监狱企业视同小型、微型企业，享受预留份额、评审中价格扣除等政府采购促进中小企业发展的政府采购政策。</w:t>
            </w:r>
          </w:p>
        </w:tc>
      </w:tr>
      <w:tr>
        <w:tblPrEx>
          <w:tblW w:w="10575" w:type="dxa"/>
          <w:tblInd w:w="-606" w:type="dxa"/>
          <w:tblLayout w:type="fixed"/>
          <w:tblCellMar>
            <w:top w:w="0" w:type="dxa"/>
            <w:left w:w="108" w:type="dxa"/>
            <w:bottom w:w="0" w:type="dxa"/>
            <w:right w:w="108" w:type="dxa"/>
          </w:tblCellMar>
          <w:tblLook w:val="04A0"/>
        </w:tblPrEx>
        <w:trPr>
          <w:trHeight w:val="680"/>
        </w:trPr>
        <w:tc>
          <w:tcPr>
            <w:tcW w:w="2610" w:type="dxa"/>
            <w:gridSpan w:val="2"/>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（7）</w:t>
            </w:r>
          </w:p>
        </w:tc>
        <w:tc>
          <w:tcPr>
            <w:tcW w:w="7965" w:type="dxa"/>
            <w:vAlign w:val="center"/>
          </w:tcPr>
          <w:p>
            <w:pPr>
              <w:pStyle w:val="PlainText"/>
              <w:keepNext w:val="0"/>
              <w:keepLines w:val="0"/>
              <w:widowControl w:val="0"/>
              <w:suppressLineNumbers w:val="0"/>
              <w:snapToGrid w:val="0"/>
              <w:spacing w:before="0" w:beforeAutospacing="0" w:after="0" w:afterAutospacing="0" w:line="360" w:lineRule="auto"/>
              <w:ind w:left="0" w:right="0" w:firstLine="0"/>
              <w:jc w:val="left"/>
              <w:rPr>
                <w:rStyle w:val="DefaultParagraphFont"/>
                <w:rFonts w:ascii="宋体" w:eastAsia="宋体" w:hAnsi="宋体" w:cs="宋体" w:hint="default"/>
                <w:b/>
                <w:snapToGrid w:val="0"/>
                <w:color w:val="000000"/>
                <w:kern w:val="2"/>
                <w:sz w:val="24"/>
                <w:szCs w:val="24"/>
                <w:lang w:val="en-US" w:eastAsia="zh-CN" w:bidi="ar-SA"/>
              </w:rPr>
            </w:pPr>
            <w:r>
              <w:rPr>
                <w:rFonts w:ascii="宋体" w:eastAsia="宋体" w:hAnsi="宋体" w:cs="宋体" w:hint="eastAsia"/>
                <w:b/>
                <w:snapToGrid w:val="0"/>
                <w:color w:val="000000"/>
                <w:kern w:val="2"/>
                <w:sz w:val="24"/>
                <w:szCs w:val="24"/>
                <w:lang w:val="en-US" w:eastAsia="zh-CN" w:bidi="ar-SA"/>
              </w:rPr>
              <w:t>关于残疾人福利性单位：</w:t>
            </w:r>
          </w:p>
          <w:p>
            <w:pPr>
              <w:keepNext w:val="0"/>
              <w:keepLines w:val="0"/>
              <w:widowControl w:val="0"/>
              <w:suppressLineNumbers w:val="0"/>
              <w:snapToGrid w:val="0"/>
              <w:spacing w:before="0" w:beforeAutospacing="0" w:after="0" w:afterAutospacing="0" w:line="360" w:lineRule="auto"/>
              <w:ind w:left="0" w:right="0" w:firstLine="480" w:firstLineChars="200"/>
              <w:jc w:val="left"/>
              <w:rPr>
                <w:rStyle w:val="DefaultParagraphFont"/>
                <w:rFonts w:ascii="宋体" w:eastAsia="宋体" w:hAnsi="宋体" w:cs="宋体" w:hint="default"/>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1.根据《三部门联合发布关于促进残疾人就业政府采购政策的通知》（财库〔2017〕141号）的规定，享受政府采购支持政策的残疾人福利性单位应当同时满足以下条件：</w:t>
            </w:r>
          </w:p>
          <w:p>
            <w:pPr>
              <w:keepNext w:val="0"/>
              <w:keepLines w:val="0"/>
              <w:widowControl w:val="0"/>
              <w:suppressLineNumbers w:val="0"/>
              <w:snapToGrid w:val="0"/>
              <w:spacing w:before="0" w:beforeAutospacing="0" w:after="0" w:afterAutospacing="0" w:line="360" w:lineRule="auto"/>
              <w:ind w:left="0" w:right="0" w:firstLine="480" w:firstLineChars="200"/>
              <w:jc w:val="left"/>
              <w:rPr>
                <w:rStyle w:val="DefaultParagraphFont"/>
                <w:rFonts w:ascii="宋体" w:eastAsia="宋体" w:hAnsi="宋体" w:cs="宋体" w:hint="default"/>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（一）安置的残疾人占本单位在职职工人数的比例不低于25%（含25%），并且安置的残疾人人数不少于10人（含10人）；</w:t>
            </w:r>
          </w:p>
          <w:p>
            <w:pPr>
              <w:keepNext w:val="0"/>
              <w:keepLines w:val="0"/>
              <w:widowControl w:val="0"/>
              <w:suppressLineNumbers w:val="0"/>
              <w:snapToGrid w:val="0"/>
              <w:spacing w:before="0" w:beforeAutospacing="0" w:after="0" w:afterAutospacing="0" w:line="360" w:lineRule="auto"/>
              <w:ind w:left="0" w:right="0" w:firstLine="480" w:firstLineChars="200"/>
              <w:jc w:val="left"/>
              <w:rPr>
                <w:rStyle w:val="DefaultParagraphFont"/>
                <w:rFonts w:ascii="宋体" w:eastAsia="宋体" w:hAnsi="宋体" w:cs="宋体" w:hint="default"/>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（二）依法与安置的每位残疾人签订了一年以上（含一年）的劳动合同或服务协议；</w:t>
            </w:r>
          </w:p>
          <w:p>
            <w:pPr>
              <w:keepNext w:val="0"/>
              <w:keepLines w:val="0"/>
              <w:widowControl w:val="0"/>
              <w:suppressLineNumbers w:val="0"/>
              <w:snapToGrid w:val="0"/>
              <w:spacing w:before="0" w:beforeAutospacing="0" w:after="0" w:afterAutospacing="0" w:line="360" w:lineRule="auto"/>
              <w:ind w:left="0" w:right="0" w:firstLine="480" w:firstLineChars="200"/>
              <w:jc w:val="left"/>
              <w:rPr>
                <w:rStyle w:val="DefaultParagraphFont"/>
                <w:rFonts w:ascii="宋体" w:eastAsia="宋体" w:hAnsi="宋体" w:cs="宋体" w:hint="default"/>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（三）为安置的每位残疾人按月足额缴纳了基本养老保险、基本医疗保险、失业保险、工伤保险和生育保险等社会保险费；</w:t>
            </w:r>
          </w:p>
          <w:p>
            <w:pPr>
              <w:keepNext w:val="0"/>
              <w:keepLines w:val="0"/>
              <w:widowControl w:val="0"/>
              <w:suppressLineNumbers w:val="0"/>
              <w:snapToGrid w:val="0"/>
              <w:spacing w:before="0" w:beforeAutospacing="0" w:after="0" w:afterAutospacing="0" w:line="360" w:lineRule="auto"/>
              <w:ind w:left="0" w:right="0" w:firstLine="480" w:firstLineChars="200"/>
              <w:jc w:val="left"/>
              <w:rPr>
                <w:rStyle w:val="DefaultParagraphFont"/>
                <w:rFonts w:ascii="宋体" w:eastAsia="宋体" w:hAnsi="宋体" w:cs="宋体" w:hint="default"/>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（四）通过银行等金融机构向安置的每位残疾人，按月支付了不低于单位所在区县适用的经省级人民政府批准的月最低工资标准的工资；</w:t>
            </w:r>
          </w:p>
          <w:p>
            <w:pPr>
              <w:keepNext w:val="0"/>
              <w:keepLines w:val="0"/>
              <w:widowControl w:val="0"/>
              <w:suppressLineNumbers w:val="0"/>
              <w:snapToGrid w:val="0"/>
              <w:spacing w:before="0" w:beforeAutospacing="0" w:after="0" w:afterAutospacing="0" w:line="360" w:lineRule="auto"/>
              <w:ind w:left="0" w:right="0" w:firstLine="480" w:firstLineChars="200"/>
              <w:jc w:val="left"/>
              <w:rPr>
                <w:rStyle w:val="DefaultParagraphFont"/>
                <w:rFonts w:ascii="宋体" w:eastAsia="宋体" w:hAnsi="宋体" w:cs="宋体" w:hint="default"/>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（五）提供本单位制造的货物、承担的工程或者服务（以下简称产品），或者提供其他残疾人福利性单位制造的货物（不包括使用非残疾人福利性单位注册商标的货物）。</w:t>
            </w:r>
          </w:p>
          <w:p>
            <w:pPr>
              <w:keepNext w:val="0"/>
              <w:keepLines w:val="0"/>
              <w:widowControl w:val="0"/>
              <w:suppressLineNumbers w:val="0"/>
              <w:snapToGrid w:val="0"/>
              <w:spacing w:before="0" w:beforeAutospacing="0" w:after="0" w:afterAutospacing="0" w:line="360" w:lineRule="auto"/>
              <w:ind w:left="0" w:right="0" w:firstLine="480" w:firstLineChars="200"/>
              <w:jc w:val="left"/>
              <w:rPr>
                <w:rStyle w:val="DefaultParagraphFont"/>
                <w:rFonts w:ascii="宋体" w:eastAsia="宋体" w:hAnsi="宋体" w:cs="宋体" w:hint="default"/>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keepNext w:val="0"/>
              <w:keepLines w:val="0"/>
              <w:widowControl w:val="0"/>
              <w:suppressLineNumbers w:val="0"/>
              <w:snapToGrid w:val="0"/>
              <w:spacing w:before="0" w:beforeAutospacing="0" w:after="0" w:afterAutospacing="0" w:line="360" w:lineRule="auto"/>
              <w:ind w:left="0" w:right="0" w:firstLine="480" w:firstLineChars="200"/>
              <w:jc w:val="left"/>
              <w:rPr>
                <w:rStyle w:val="DefaultParagraphFont"/>
                <w:rFonts w:ascii="宋体" w:eastAsia="宋体" w:hAnsi="宋体" w:cs="宋体" w:hint="default"/>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2.符合条件的残疾人福利性单位在参加政府采购活动时，应当按《三部门联合发布关于促进残疾人就业政府采购政策的通知》（财库〔2017〕141号）提供规定的《残疾人福利性单位声明函》，并对声明的真实性负责。</w:t>
            </w:r>
          </w:p>
          <w:p>
            <w:pPr>
              <w:keepNext w:val="0"/>
              <w:keepLines w:val="0"/>
              <w:widowControl w:val="0"/>
              <w:suppressLineNumbers w:val="0"/>
              <w:snapToGrid w:val="0"/>
              <w:spacing w:before="0" w:beforeAutospacing="0" w:after="0" w:afterAutospacing="0" w:line="360" w:lineRule="auto"/>
              <w:ind w:left="0" w:right="0" w:firstLine="480" w:firstLineChars="200"/>
              <w:jc w:val="left"/>
              <w:rPr>
                <w:rStyle w:val="DefaultParagraphFont"/>
                <w:rFonts w:ascii="宋体" w:eastAsia="宋体" w:hAnsi="宋体" w:cs="宋体" w:hint="default"/>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3.本项目针对残疾人福利性单位产品的价格给予3%的扣除，用扣除后的价格参与评审。残疾人福利性单位属于小型、微型企业的，不重复享受政策。</w:t>
            </w:r>
          </w:p>
          <w:p>
            <w:pPr>
              <w:keepNext w:val="0"/>
              <w:keepLines w:val="0"/>
              <w:widowControl w:val="0"/>
              <w:suppressLineNumbers w:val="0"/>
              <w:spacing w:before="0" w:beforeAutospacing="0" w:after="0" w:afterAutospacing="0" w:line="360" w:lineRule="auto"/>
              <w:ind w:left="0" w:right="0" w:firstLine="480" w:firstLineChars="200"/>
              <w:jc w:val="both"/>
              <w:rPr>
                <w:rStyle w:val="DefaultParagraphFont"/>
                <w:rFonts w:ascii="宋体" w:eastAsia="宋体" w:hAnsi="宋体" w:cs="宋体" w:hint="default"/>
                <w:snapToGrid w:val="0"/>
                <w:color w:val="000000"/>
                <w:kern w:val="2"/>
                <w:sz w:val="24"/>
                <w:szCs w:val="24"/>
                <w:lang w:val="en-US" w:eastAsia="zh-CN" w:bidi="ar-SA"/>
              </w:rPr>
            </w:pPr>
            <w:r>
              <w:rPr>
                <w:rFonts w:ascii="宋体" w:eastAsia="宋体" w:hAnsi="宋体" w:cs="宋体" w:hint="eastAsia"/>
                <w:snapToGrid w:val="0"/>
                <w:color w:val="000000"/>
                <w:kern w:val="0"/>
                <w:sz w:val="24"/>
                <w:szCs w:val="24"/>
                <w:lang w:val="en-US" w:eastAsia="zh-CN" w:bidi="ar-SA"/>
              </w:rPr>
              <w:t>4.根据《中华人民共和国政府采购法》、《中华人民共和国政府采购法实施条例》、《政府采购货物和服务招标投标管理办法》(财政部令第87号)的规定，采购人应当在货物服务招标投标活动中落实节约能源、保护环境、扶持不发达地区和少数民族地区、促进中小企业发展等政府采购政策。</w:t>
            </w:r>
          </w:p>
        </w:tc>
      </w:tr>
      <w:tr>
        <w:tblPrEx>
          <w:tblW w:w="10575" w:type="dxa"/>
          <w:tblInd w:w="-606" w:type="dxa"/>
          <w:tblLayout w:type="fixed"/>
          <w:tblCellMar>
            <w:top w:w="0" w:type="dxa"/>
            <w:left w:w="108" w:type="dxa"/>
            <w:bottom w:w="0" w:type="dxa"/>
            <w:right w:w="108" w:type="dxa"/>
          </w:tblCellMar>
          <w:tblLook w:val="04A0"/>
        </w:tblPrEx>
        <w:trPr>
          <w:trHeight w:val="680"/>
        </w:trPr>
        <w:tc>
          <w:tcPr>
            <w:tcW w:w="2610" w:type="dxa"/>
            <w:gridSpan w:val="2"/>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eastAsia"/>
                <w:color w:val="auto"/>
                <w:kern w:val="2"/>
                <w:sz w:val="24"/>
                <w:szCs w:val="32"/>
                <w:lang w:val="en-US" w:eastAsia="zh-CN" w:bidi="ar-SA"/>
              </w:rPr>
            </w:pPr>
            <w:r>
              <w:rPr>
                <w:rFonts w:ascii="宋体" w:eastAsia="宋体" w:hAnsi="宋体" w:cs="宋体" w:hint="eastAsia"/>
                <w:color w:val="auto"/>
                <w:kern w:val="2"/>
                <w:sz w:val="24"/>
                <w:szCs w:val="32"/>
                <w:lang w:val="en-US" w:eastAsia="zh-CN" w:bidi="ar-SA"/>
              </w:rPr>
              <w:t>（8）</w:t>
            </w:r>
          </w:p>
        </w:tc>
        <w:tc>
          <w:tcPr>
            <w:tcW w:w="7965" w:type="dxa"/>
            <w:vAlign w:val="center"/>
          </w:tcPr>
          <w:p>
            <w:pPr>
              <w:keepNext w:val="0"/>
              <w:keepLines w:val="0"/>
              <w:widowControl w:val="0"/>
              <w:suppressLineNumbers w:val="0"/>
              <w:spacing w:before="0" w:beforeAutospacing="0" w:after="0" w:afterAutospacing="0" w:line="360" w:lineRule="auto"/>
              <w:ind w:left="0" w:right="0" w:firstLine="480" w:firstLineChars="200"/>
              <w:jc w:val="both"/>
              <w:rPr>
                <w:rStyle w:val="DefaultParagraphFont"/>
                <w:rFonts w:ascii="宋体" w:eastAsia="宋体" w:hAnsi="宋体" w:cs="宋体" w:hint="eastAsia"/>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提供样品</w:t>
            </w:r>
          </w:p>
          <w:p>
            <w:pPr>
              <w:keepNext w:val="0"/>
              <w:keepLines w:val="0"/>
              <w:widowControl w:val="0"/>
              <w:suppressLineNumbers w:val="0"/>
              <w:spacing w:before="0" w:beforeAutospacing="0" w:after="0" w:afterAutospacing="0" w:line="360" w:lineRule="auto"/>
              <w:ind w:left="0" w:right="0" w:firstLine="480" w:firstLineChars="200"/>
              <w:jc w:val="both"/>
              <w:rPr>
                <w:rStyle w:val="DefaultParagraphFont"/>
                <w:rFonts w:ascii="宋体" w:eastAsia="宋体" w:hAnsi="宋体" w:cs="宋体" w:hint="eastAsia"/>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1、供应商需在响应文件提交截止时间前，提供以下样品：</w:t>
            </w:r>
          </w:p>
          <w:p>
            <w:pPr>
              <w:keepNext w:val="0"/>
              <w:keepLines w:val="0"/>
              <w:widowControl w:val="0"/>
              <w:suppressLineNumbers w:val="0"/>
              <w:spacing w:before="0" w:beforeAutospacing="0" w:after="0" w:afterAutospacing="0" w:line="360" w:lineRule="auto"/>
              <w:ind w:left="0" w:right="0" w:firstLine="480" w:firstLineChars="200"/>
              <w:jc w:val="both"/>
              <w:rPr>
                <w:rStyle w:val="DefaultParagraphFont"/>
                <w:rFonts w:ascii="宋体" w:eastAsia="宋体" w:hAnsi="宋体" w:cs="宋体" w:hint="default"/>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全身安全吊带(带胸式上升器)、</w:t>
            </w:r>
            <w:r>
              <w:rPr>
                <w:rFonts w:ascii="宋体" w:eastAsia="宋体" w:hAnsi="宋体" w:cs="宋体" w:hint="default"/>
                <w:snapToGrid w:val="0"/>
                <w:color w:val="000000"/>
                <w:kern w:val="0"/>
                <w:sz w:val="24"/>
                <w:szCs w:val="24"/>
                <w:lang w:val="en-US" w:eastAsia="zh-CN" w:bidi="ar-SA"/>
              </w:rPr>
              <w:t>自动止停下降器</w:t>
            </w:r>
            <w:r>
              <w:rPr>
                <w:rFonts w:ascii="宋体" w:eastAsia="宋体" w:hAnsi="宋体" w:cs="宋体" w:hint="eastAsia"/>
                <w:snapToGrid w:val="0"/>
                <w:color w:val="000000"/>
                <w:kern w:val="0"/>
                <w:sz w:val="24"/>
                <w:szCs w:val="24"/>
                <w:lang w:val="en-US" w:eastAsia="zh-CN" w:bidi="ar-SA"/>
              </w:rPr>
              <w:t>、</w:t>
            </w:r>
            <w:r>
              <w:rPr>
                <w:rFonts w:ascii="宋体" w:eastAsia="宋体" w:hAnsi="宋体" w:cs="宋体" w:hint="default"/>
                <w:snapToGrid w:val="0"/>
                <w:color w:val="000000"/>
                <w:kern w:val="0"/>
                <w:sz w:val="24"/>
                <w:szCs w:val="24"/>
                <w:lang w:val="en-US" w:eastAsia="zh-CN" w:bidi="ar-SA"/>
              </w:rPr>
              <w:t>止坠器</w:t>
            </w:r>
            <w:r>
              <w:rPr>
                <w:rFonts w:ascii="宋体" w:eastAsia="宋体" w:hAnsi="宋体" w:cs="宋体" w:hint="eastAsia"/>
                <w:snapToGrid w:val="0"/>
                <w:color w:val="000000"/>
                <w:kern w:val="0"/>
                <w:sz w:val="24"/>
                <w:szCs w:val="24"/>
                <w:lang w:val="en-US" w:eastAsia="zh-CN" w:bidi="ar-SA"/>
              </w:rPr>
              <w:t>、止坠器专用势能吸收装置、</w:t>
            </w:r>
            <w:r>
              <w:rPr>
                <w:rFonts w:ascii="宋体" w:eastAsia="宋体" w:hAnsi="宋体" w:cs="宋体" w:hint="default"/>
                <w:snapToGrid w:val="0"/>
                <w:color w:val="000000"/>
                <w:kern w:val="0"/>
                <w:sz w:val="24"/>
                <w:szCs w:val="24"/>
                <w:lang w:val="en-US" w:eastAsia="zh-CN" w:bidi="ar-SA"/>
              </w:rPr>
              <w:t>安全钩</w:t>
            </w:r>
            <w:r>
              <w:rPr>
                <w:rFonts w:ascii="宋体" w:eastAsia="宋体" w:hAnsi="宋体" w:cs="宋体" w:hint="eastAsia"/>
                <w:snapToGrid w:val="0"/>
                <w:color w:val="000000"/>
                <w:kern w:val="0"/>
                <w:sz w:val="24"/>
                <w:szCs w:val="24"/>
                <w:lang w:val="en-US" w:eastAsia="zh-CN" w:bidi="ar-SA"/>
              </w:rPr>
              <w:t>、</w:t>
            </w:r>
            <w:r>
              <w:rPr>
                <w:rFonts w:ascii="宋体" w:eastAsia="宋体" w:hAnsi="宋体" w:cs="宋体" w:hint="default"/>
                <w:snapToGrid w:val="0"/>
                <w:color w:val="000000"/>
                <w:kern w:val="0"/>
                <w:sz w:val="24"/>
                <w:szCs w:val="24"/>
                <w:lang w:val="en-US" w:eastAsia="zh-CN" w:bidi="ar-SA"/>
              </w:rPr>
              <w:t>救援型下降器</w:t>
            </w:r>
            <w:r>
              <w:rPr>
                <w:rFonts w:ascii="宋体" w:eastAsia="宋体" w:hAnsi="宋体" w:cs="宋体" w:hint="eastAsia"/>
                <w:snapToGrid w:val="0"/>
                <w:color w:val="000000"/>
                <w:kern w:val="0"/>
                <w:sz w:val="24"/>
                <w:szCs w:val="24"/>
                <w:lang w:val="en-US" w:eastAsia="zh-CN" w:bidi="ar-SA"/>
              </w:rPr>
              <w:t>、200米静力绳（截取一段作为样品，长度1M,具有绳头标识）、扁带（80cm）、</w:t>
            </w:r>
            <w:r>
              <w:rPr>
                <w:rFonts w:ascii="宋体" w:eastAsia="宋体" w:hAnsi="宋体" w:cs="宋体" w:hint="default"/>
                <w:snapToGrid w:val="0"/>
                <w:color w:val="000000"/>
                <w:kern w:val="0"/>
                <w:sz w:val="24"/>
                <w:szCs w:val="24"/>
                <w:lang w:val="en-US" w:eastAsia="zh-CN" w:bidi="ar-SA"/>
              </w:rPr>
              <w:t>过结滑轮</w:t>
            </w:r>
            <w:r>
              <w:rPr>
                <w:rFonts w:ascii="宋体" w:eastAsia="宋体" w:hAnsi="宋体" w:cs="宋体" w:hint="eastAsia"/>
                <w:snapToGrid w:val="0"/>
                <w:color w:val="000000"/>
                <w:kern w:val="0"/>
                <w:sz w:val="24"/>
                <w:szCs w:val="24"/>
                <w:lang w:val="en-US" w:eastAsia="zh-CN" w:bidi="ar-SA"/>
              </w:rPr>
              <w:t>、挂片及膨胀螺栓。以上数量各一；</w:t>
            </w:r>
          </w:p>
          <w:p>
            <w:pPr>
              <w:keepNext w:val="0"/>
              <w:keepLines w:val="0"/>
              <w:widowControl w:val="0"/>
              <w:suppressLineNumbers w:val="0"/>
              <w:spacing w:before="0" w:beforeAutospacing="0" w:after="0" w:afterAutospacing="0" w:line="360" w:lineRule="auto"/>
              <w:ind w:left="0" w:right="0" w:firstLine="480" w:firstLineChars="200"/>
              <w:jc w:val="both"/>
              <w:rPr>
                <w:rStyle w:val="DefaultParagraphFont"/>
                <w:rFonts w:ascii="宋体" w:eastAsia="宋体" w:hAnsi="宋体" w:cs="宋体" w:hint="eastAsia"/>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2、样品递交地点：西双版纳州公共资源交易中心；</w:t>
            </w:r>
          </w:p>
          <w:p>
            <w:pPr>
              <w:keepNext w:val="0"/>
              <w:keepLines w:val="0"/>
              <w:widowControl w:val="0"/>
              <w:suppressLineNumbers w:val="0"/>
              <w:spacing w:before="0" w:beforeAutospacing="0" w:after="0" w:afterAutospacing="0" w:line="360" w:lineRule="auto"/>
              <w:ind w:left="0" w:right="0" w:firstLine="480" w:firstLineChars="200"/>
              <w:jc w:val="both"/>
              <w:rPr>
                <w:rStyle w:val="DefaultParagraphFont"/>
                <w:rFonts w:ascii="宋体" w:eastAsia="宋体" w:hAnsi="宋体" w:cs="宋体" w:hint="eastAsia"/>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3、样品递交所产生的运输、搬运等所有费用由供应商自行承担；</w:t>
            </w:r>
          </w:p>
          <w:p>
            <w:pPr>
              <w:keepNext w:val="0"/>
              <w:keepLines w:val="0"/>
              <w:widowControl w:val="0"/>
              <w:suppressLineNumbers w:val="0"/>
              <w:spacing w:before="0" w:beforeAutospacing="0" w:after="0" w:afterAutospacing="0" w:line="360" w:lineRule="auto"/>
              <w:ind w:left="0" w:right="0" w:firstLine="480" w:firstLineChars="200"/>
              <w:jc w:val="both"/>
              <w:rPr>
                <w:rStyle w:val="DefaultParagraphFont"/>
                <w:rFonts w:ascii="宋体" w:eastAsia="宋体" w:hAnsi="宋体" w:cs="宋体" w:hint="eastAsia"/>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4、样品不能标明供应商名称及生产厂家、品牌（样品上的技术参数可不用遮挡），若刻意体现以上所述标识可能导致投标被拒绝，供应商自行承担责任。样品不要求进行密封，但必须遮盖所属供应商、生产厂家名称；</w:t>
            </w:r>
          </w:p>
          <w:p>
            <w:pPr>
              <w:keepNext w:val="0"/>
              <w:keepLines w:val="0"/>
              <w:widowControl w:val="0"/>
              <w:suppressLineNumbers w:val="0"/>
              <w:spacing w:before="0" w:beforeAutospacing="0" w:after="0" w:afterAutospacing="0" w:line="360" w:lineRule="auto"/>
              <w:ind w:left="0" w:right="0" w:firstLine="480" w:firstLineChars="200"/>
              <w:jc w:val="both"/>
              <w:rPr>
                <w:rStyle w:val="DefaultParagraphFont"/>
                <w:rFonts w:ascii="宋体" w:eastAsia="宋体" w:hAnsi="宋体" w:cs="宋体" w:hint="eastAsia"/>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5、开标时采购代理机构提供实物样品编号标签，实物样品编号在磋商开标会议中以抽签的方式确定样品编号标签；</w:t>
            </w:r>
          </w:p>
          <w:p>
            <w:pPr>
              <w:keepNext w:val="0"/>
              <w:keepLines w:val="0"/>
              <w:widowControl w:val="0"/>
              <w:suppressLineNumbers w:val="0"/>
              <w:spacing w:before="0" w:beforeAutospacing="0" w:after="0" w:afterAutospacing="0" w:line="360" w:lineRule="auto"/>
              <w:ind w:left="0" w:right="0" w:firstLine="480" w:firstLineChars="200"/>
              <w:jc w:val="both"/>
              <w:rPr>
                <w:rStyle w:val="DefaultParagraphFont"/>
                <w:rFonts w:ascii="宋体" w:eastAsia="宋体" w:hAnsi="宋体" w:cs="宋体" w:hint="eastAsia"/>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6、样品退还时间将在评审结束后由采购代理机构通知供应商自取，对逾期不取而造成损坏或损失的样品采购人、采购代理机构不予负责；</w:t>
            </w:r>
          </w:p>
          <w:p>
            <w:pPr>
              <w:keepNext w:val="0"/>
              <w:keepLines w:val="0"/>
              <w:widowControl w:val="0"/>
              <w:suppressLineNumbers w:val="0"/>
              <w:spacing w:before="0" w:beforeAutospacing="0" w:after="0" w:afterAutospacing="0" w:line="360" w:lineRule="auto"/>
              <w:ind w:left="0" w:right="0" w:firstLine="480" w:firstLineChars="200"/>
              <w:jc w:val="both"/>
              <w:rPr>
                <w:rStyle w:val="DefaultParagraphFont"/>
                <w:rFonts w:ascii="宋体" w:eastAsia="宋体" w:hAnsi="宋体" w:cs="宋体" w:hint="eastAsia"/>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7、推荐第一成交候选人的样品需在评标结束后搬运至采购人指定的样品封存地点。</w:t>
            </w:r>
          </w:p>
        </w:tc>
      </w:tr>
    </w:tbl>
    <w:p>
      <w:pPr>
        <w:rPr>
          <w:rFonts w:ascii="宋体" w:eastAsia="宋体" w:hAnsi="宋体" w:cs="宋体" w:hint="eastAsia"/>
          <w:b/>
          <w:bCs/>
          <w:color w:val="auto"/>
          <w:kern w:val="0"/>
          <w:sz w:val="24"/>
        </w:rPr>
      </w:pPr>
    </w:p>
    <w:p>
      <w:pPr>
        <w:rPr>
          <w:rFonts w:ascii="宋体" w:eastAsia="宋体" w:hAnsi="宋体" w:cs="宋体"/>
          <w:color w:val="auto"/>
          <w:kern w:val="0"/>
          <w:sz w:val="24"/>
        </w:rPr>
      </w:pPr>
      <w:r>
        <w:rPr>
          <w:rFonts w:ascii="宋体" w:eastAsia="宋体" w:hAnsi="宋体" w:cs="宋体" w:hint="eastAsia"/>
          <w:b/>
          <w:bCs/>
          <w:color w:val="auto"/>
          <w:kern w:val="0"/>
          <w:sz w:val="24"/>
        </w:rPr>
        <w:t>一、说   明</w:t>
      </w:r>
      <w:bookmarkEnd w:id="44"/>
      <w:bookmarkEnd w:id="45"/>
    </w:p>
    <w:p>
      <w:pPr>
        <w:widowControl/>
        <w:spacing w:line="560" w:lineRule="exact"/>
        <w:ind w:firstLine="480" w:firstLineChars="200"/>
        <w:jc w:val="left"/>
        <w:outlineLvl w:val="2"/>
        <w:rPr>
          <w:rFonts w:ascii="宋体" w:eastAsia="宋体" w:hAnsi="宋体" w:cs="宋体"/>
          <w:b/>
          <w:color w:val="auto"/>
          <w:kern w:val="0"/>
          <w:sz w:val="24"/>
        </w:rPr>
      </w:pPr>
      <w:r>
        <w:rPr>
          <w:rFonts w:ascii="宋体" w:eastAsia="宋体" w:hAnsi="宋体" w:cs="宋体" w:hint="eastAsia"/>
          <w:b/>
          <w:color w:val="auto"/>
          <w:kern w:val="0"/>
          <w:sz w:val="24"/>
        </w:rPr>
        <w:t>1.适用范围</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根据《中华人民共和国政府采购法》、《中华人民共和国政府采购法实施条例》和《政府采购竞争性磋商采购方式管理暂行办法》等有关法律法规的规定，现对本项目采用竞争性磋商方式进行采购。</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1.1本磋商文件仅适用于本次磋商所涉及的项目和内容。</w:t>
      </w:r>
    </w:p>
    <w:p>
      <w:pPr>
        <w:widowControl/>
        <w:spacing w:line="560" w:lineRule="exact"/>
        <w:ind w:right="-174" w:firstLine="480" w:rightChars="-83" w:firstLineChars="200"/>
        <w:jc w:val="left"/>
        <w:rPr>
          <w:rFonts w:ascii="宋体" w:eastAsia="宋体" w:hAnsi="宋体" w:cs="宋体"/>
          <w:color w:val="auto"/>
          <w:sz w:val="24"/>
        </w:rPr>
      </w:pPr>
      <w:r>
        <w:rPr>
          <w:rFonts w:ascii="宋体" w:eastAsia="宋体" w:hAnsi="宋体" w:cs="宋体" w:hint="eastAsia"/>
          <w:color w:val="auto"/>
          <w:kern w:val="0"/>
          <w:sz w:val="24"/>
        </w:rPr>
        <w:t>1.2本磋商文件的解释权为：</w:t>
      </w:r>
      <w:r>
        <w:rPr>
          <w:rFonts w:ascii="宋体" w:eastAsia="宋体" w:hAnsi="宋体" w:cs="宋体" w:hint="eastAsia"/>
          <w:color w:val="auto"/>
          <w:sz w:val="24"/>
        </w:rPr>
        <w:t>旺和招标咨询有限公司。</w:t>
      </w:r>
    </w:p>
    <w:p>
      <w:pPr>
        <w:widowControl/>
        <w:spacing w:line="560" w:lineRule="exact"/>
        <w:ind w:firstLine="480" w:firstLineChars="200"/>
        <w:jc w:val="left"/>
        <w:rPr>
          <w:rFonts w:ascii="宋体" w:eastAsia="宋体" w:hAnsi="宋体" w:cs="宋体"/>
          <w:b/>
          <w:color w:val="auto"/>
          <w:kern w:val="0"/>
          <w:sz w:val="24"/>
        </w:rPr>
      </w:pPr>
      <w:r>
        <w:rPr>
          <w:rFonts w:ascii="宋体" w:eastAsia="宋体" w:hAnsi="宋体" w:cs="宋体" w:hint="eastAsia"/>
          <w:b/>
          <w:color w:val="auto"/>
          <w:kern w:val="0"/>
          <w:sz w:val="24"/>
        </w:rPr>
        <w:t>2.定义</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2.1</w:t>
      </w:r>
      <w:r>
        <w:rPr>
          <w:rFonts w:ascii="宋体" w:eastAsia="宋体" w:hAnsi="宋体" w:cs="宋体" w:hint="eastAsia"/>
          <w:color w:val="auto"/>
          <w:kern w:val="0"/>
          <w:sz w:val="24"/>
        </w:rPr>
        <w:t>“</w:t>
      </w:r>
      <w:r>
        <w:rPr>
          <w:rFonts w:ascii="宋体" w:eastAsia="宋体" w:hAnsi="宋体" w:cs="宋体" w:hint="eastAsia"/>
          <w:color w:val="auto"/>
          <w:kern w:val="0"/>
          <w:sz w:val="24"/>
        </w:rPr>
        <w:t>采购人</w:t>
      </w:r>
      <w:r>
        <w:rPr>
          <w:rFonts w:ascii="宋体" w:eastAsia="宋体" w:hAnsi="宋体" w:cs="宋体" w:hint="eastAsia"/>
          <w:color w:val="auto"/>
          <w:kern w:val="0"/>
          <w:sz w:val="24"/>
        </w:rPr>
        <w:t>”</w:t>
      </w:r>
      <w:r>
        <w:rPr>
          <w:rFonts w:ascii="宋体" w:eastAsia="宋体" w:hAnsi="宋体" w:cs="宋体" w:hint="eastAsia"/>
          <w:color w:val="auto"/>
          <w:kern w:val="0"/>
          <w:sz w:val="24"/>
        </w:rPr>
        <w:t>系指</w:t>
      </w:r>
      <w:r>
        <w:rPr>
          <w:rFonts w:ascii="宋体" w:eastAsia="宋体" w:hAnsi="宋体" w:cs="宋体" w:hint="eastAsia"/>
          <w:color w:val="auto"/>
          <w:kern w:val="0"/>
          <w:sz w:val="24"/>
          <w:lang w:eastAsia="zh-CN"/>
        </w:rPr>
        <w:t>西双版纳傣族自治州消防救援支队</w:t>
      </w:r>
      <w:r>
        <w:rPr>
          <w:rFonts w:ascii="宋体" w:eastAsia="宋体" w:hAnsi="宋体" w:cs="宋体" w:hint="eastAsia"/>
          <w:color w:val="auto"/>
          <w:kern w:val="0"/>
          <w:sz w:val="24"/>
        </w:rPr>
        <w:t>。</w:t>
      </w:r>
    </w:p>
    <w:p>
      <w:pPr>
        <w:widowControl/>
        <w:spacing w:line="560" w:lineRule="exact"/>
        <w:ind w:firstLine="480" w:firstLineChars="200"/>
        <w:jc w:val="left"/>
        <w:rPr>
          <w:rFonts w:ascii="宋体" w:eastAsia="宋体" w:hAnsi="宋体" w:cs="宋体"/>
          <w:color w:val="auto"/>
          <w:sz w:val="24"/>
        </w:rPr>
      </w:pPr>
      <w:r>
        <w:rPr>
          <w:rFonts w:ascii="宋体" w:eastAsia="宋体" w:hAnsi="宋体" w:cs="宋体" w:hint="eastAsia"/>
          <w:color w:val="auto"/>
          <w:kern w:val="0"/>
          <w:sz w:val="24"/>
        </w:rPr>
        <w:t>2.2</w:t>
      </w:r>
      <w:r>
        <w:rPr>
          <w:rFonts w:ascii="宋体" w:eastAsia="宋体" w:hAnsi="宋体" w:cs="宋体" w:hint="eastAsia"/>
          <w:color w:val="auto"/>
          <w:kern w:val="0"/>
          <w:sz w:val="24"/>
        </w:rPr>
        <w:t>“</w:t>
      </w:r>
      <w:r>
        <w:rPr>
          <w:rFonts w:ascii="宋体" w:eastAsia="宋体" w:hAnsi="宋体" w:cs="宋体" w:hint="eastAsia"/>
          <w:color w:val="auto"/>
          <w:kern w:val="0"/>
          <w:sz w:val="24"/>
        </w:rPr>
        <w:t>采购代理机构</w:t>
      </w:r>
      <w:r>
        <w:rPr>
          <w:rFonts w:ascii="宋体" w:eastAsia="宋体" w:hAnsi="宋体" w:cs="宋体" w:hint="eastAsia"/>
          <w:color w:val="auto"/>
          <w:kern w:val="0"/>
          <w:sz w:val="24"/>
        </w:rPr>
        <w:t>”</w:t>
      </w:r>
      <w:r>
        <w:rPr>
          <w:rFonts w:ascii="宋体" w:eastAsia="宋体" w:hAnsi="宋体" w:cs="宋体" w:hint="eastAsia"/>
          <w:color w:val="auto"/>
          <w:kern w:val="0"/>
          <w:sz w:val="24"/>
        </w:rPr>
        <w:t>系指组织本次磋商工作的公司即</w:t>
      </w:r>
      <w:r>
        <w:rPr>
          <w:rFonts w:ascii="宋体" w:eastAsia="宋体" w:hAnsi="宋体" w:cs="宋体" w:hint="eastAsia"/>
          <w:color w:val="auto"/>
          <w:sz w:val="24"/>
        </w:rPr>
        <w:t>旺和招标咨询有限公司。</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2.3</w:t>
      </w:r>
      <w:r>
        <w:rPr>
          <w:rFonts w:ascii="宋体" w:eastAsia="宋体" w:hAnsi="宋体" w:cs="宋体" w:hint="eastAsia"/>
          <w:color w:val="auto"/>
          <w:kern w:val="0"/>
          <w:sz w:val="24"/>
        </w:rPr>
        <w:t>“</w:t>
      </w:r>
      <w:r>
        <w:rPr>
          <w:rFonts w:ascii="宋体" w:eastAsia="宋体" w:hAnsi="宋体" w:cs="宋体" w:hint="eastAsia"/>
          <w:color w:val="auto"/>
          <w:kern w:val="0"/>
          <w:sz w:val="24"/>
        </w:rPr>
        <w:t>供应商</w:t>
      </w:r>
      <w:r>
        <w:rPr>
          <w:rFonts w:ascii="宋体" w:eastAsia="宋体" w:hAnsi="宋体" w:cs="宋体" w:hint="eastAsia"/>
          <w:color w:val="auto"/>
          <w:kern w:val="0"/>
          <w:sz w:val="24"/>
        </w:rPr>
        <w:t>”</w:t>
      </w:r>
      <w:r>
        <w:rPr>
          <w:rFonts w:ascii="宋体" w:eastAsia="宋体" w:hAnsi="宋体" w:cs="宋体" w:hint="eastAsia"/>
          <w:color w:val="auto"/>
          <w:kern w:val="0"/>
          <w:sz w:val="24"/>
        </w:rPr>
        <w:t>系指响应磋商文件要求，向采购代理机构提交响应文件的供应商。</w:t>
      </w:r>
    </w:p>
    <w:p>
      <w:pPr>
        <w:widowControl/>
        <w:spacing w:line="560" w:lineRule="exact"/>
        <w:ind w:firstLine="480" w:firstLineChars="200"/>
        <w:jc w:val="left"/>
        <w:rPr>
          <w:rFonts w:ascii="宋体" w:eastAsia="宋体" w:hAnsi="宋体" w:cs="宋体"/>
          <w:b/>
          <w:bCs/>
          <w:color w:val="auto"/>
          <w:kern w:val="0"/>
          <w:sz w:val="24"/>
        </w:rPr>
      </w:pPr>
      <w:r>
        <w:rPr>
          <w:rFonts w:ascii="宋体" w:eastAsia="宋体" w:hAnsi="宋体" w:cs="宋体" w:hint="eastAsia"/>
          <w:b/>
          <w:bCs/>
          <w:color w:val="auto"/>
          <w:kern w:val="0"/>
          <w:sz w:val="24"/>
        </w:rPr>
        <w:t>2.4</w:t>
      </w:r>
      <w:r>
        <w:rPr>
          <w:rFonts w:ascii="宋体" w:eastAsia="宋体" w:hAnsi="宋体" w:cs="宋体" w:hint="eastAsia"/>
          <w:b/>
          <w:bCs/>
          <w:color w:val="auto"/>
          <w:kern w:val="0"/>
          <w:sz w:val="24"/>
        </w:rPr>
        <w:t>“</w:t>
      </w:r>
      <w:r>
        <w:rPr>
          <w:rFonts w:ascii="宋体" w:eastAsia="宋体" w:hAnsi="宋体" w:cs="宋体" w:hint="eastAsia"/>
          <w:b/>
          <w:bCs/>
          <w:color w:val="auto"/>
          <w:kern w:val="0"/>
          <w:sz w:val="24"/>
        </w:rPr>
        <w:t>合格的供应商</w:t>
      </w:r>
      <w:r>
        <w:rPr>
          <w:rFonts w:ascii="宋体" w:eastAsia="宋体" w:hAnsi="宋体" w:cs="宋体" w:hint="eastAsia"/>
          <w:b/>
          <w:bCs/>
          <w:color w:val="auto"/>
          <w:kern w:val="0"/>
          <w:sz w:val="24"/>
        </w:rPr>
        <w:t>”</w:t>
      </w:r>
      <w:r>
        <w:rPr>
          <w:rFonts w:ascii="宋体" w:eastAsia="宋体" w:hAnsi="宋体" w:cs="宋体" w:hint="eastAsia"/>
          <w:b/>
          <w:bCs/>
          <w:color w:val="auto"/>
          <w:kern w:val="0"/>
          <w:sz w:val="24"/>
        </w:rPr>
        <w:t>系指响应以下条件：</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2.4.1资格要求:详见供应商须知前附表。</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2.4.2供应商不得存在下列情形之一：</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(1) 不具有独立法人资格的附属机构（单位）；</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(2) 被责令停产停业的；</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(3) 被暂停或取消投标资格的；</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(4) 财产被接管或冻结的；</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(5) 在最近三年内有骗取中标或严重违约的；</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(6) 与采购人存在利害关系可能影响采购公正性的法人、其他组织或者个人，不得参加投标。</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(7)单位负责人为同一人或者存在控股、管理关系的不同单位，不得参加同一标段投标或者未划分标段的同一采购项目投标。</w:t>
      </w:r>
    </w:p>
    <w:p>
      <w:pPr>
        <w:widowControl/>
        <w:spacing w:line="560" w:lineRule="exact"/>
        <w:ind w:firstLine="480" w:firstLineChars="200"/>
        <w:jc w:val="left"/>
        <w:outlineLvl w:val="2"/>
        <w:rPr>
          <w:rFonts w:ascii="宋体" w:eastAsia="宋体" w:hAnsi="宋体" w:cs="宋体"/>
          <w:color w:val="auto"/>
          <w:kern w:val="0"/>
          <w:sz w:val="24"/>
        </w:rPr>
      </w:pPr>
      <w:r>
        <w:rPr>
          <w:rFonts w:ascii="宋体" w:eastAsia="宋体" w:hAnsi="宋体" w:cs="宋体" w:hint="eastAsia"/>
          <w:color w:val="auto"/>
          <w:kern w:val="0"/>
          <w:sz w:val="24"/>
        </w:rPr>
        <w:t>2.4.3信用信息查询</w:t>
      </w:r>
    </w:p>
    <w:p>
      <w:pPr>
        <w:snapToGrid w:val="0"/>
        <w:spacing w:line="480" w:lineRule="exact"/>
        <w:ind w:firstLine="561"/>
        <w:jc w:val="left"/>
        <w:rPr>
          <w:rFonts w:ascii="宋体" w:eastAsia="宋体" w:hAnsi="宋体" w:cs="宋体"/>
          <w:color w:val="auto"/>
          <w:kern w:val="0"/>
          <w:sz w:val="24"/>
        </w:rPr>
      </w:pPr>
      <w:r>
        <w:rPr>
          <w:rFonts w:ascii="宋体" w:eastAsia="宋体" w:hAnsi="宋体" w:cs="宋体" w:hint="eastAsia"/>
          <w:color w:val="auto"/>
          <w:kern w:val="0"/>
          <w:sz w:val="24"/>
        </w:rPr>
        <w:t>详见供应商须知前附表。</w:t>
      </w:r>
    </w:p>
    <w:p>
      <w:pPr>
        <w:widowControl/>
        <w:spacing w:line="560" w:lineRule="exact"/>
        <w:ind w:firstLine="480" w:firstLineChars="200"/>
        <w:jc w:val="left"/>
        <w:outlineLvl w:val="2"/>
        <w:rPr>
          <w:rFonts w:ascii="宋体" w:eastAsia="宋体" w:hAnsi="宋体" w:cs="宋体"/>
          <w:b/>
          <w:color w:val="auto"/>
          <w:kern w:val="0"/>
          <w:sz w:val="24"/>
        </w:rPr>
      </w:pPr>
      <w:r>
        <w:rPr>
          <w:rFonts w:ascii="宋体" w:eastAsia="宋体" w:hAnsi="宋体" w:cs="宋体" w:hint="eastAsia"/>
          <w:b/>
          <w:color w:val="auto"/>
          <w:kern w:val="0"/>
          <w:sz w:val="24"/>
        </w:rPr>
        <w:t>3.项目说明</w:t>
      </w:r>
    </w:p>
    <w:p>
      <w:pPr>
        <w:widowControl/>
        <w:spacing w:line="360" w:lineRule="auto"/>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3.1 项目名称：</w:t>
      </w:r>
      <w:r>
        <w:rPr>
          <w:rFonts w:ascii="宋体" w:eastAsia="宋体" w:hAnsi="宋体" w:cs="宋体" w:hint="eastAsia"/>
          <w:color w:val="auto"/>
          <w:kern w:val="0"/>
          <w:sz w:val="24"/>
          <w:lang w:eastAsia="zh-CN"/>
        </w:rPr>
        <w:t>西双版纳傣族自治州消防救援支队山难专业队装备采购项目</w:t>
      </w:r>
      <w:r>
        <w:rPr>
          <w:rFonts w:ascii="宋体" w:hAnsi="宋体" w:cs="宋体" w:hint="eastAsia"/>
          <w:color w:val="auto"/>
          <w:kern w:val="0"/>
          <w:sz w:val="24"/>
          <w:lang w:eastAsia="zh-CN"/>
        </w:rPr>
        <w:t>（</w:t>
      </w:r>
      <w:r>
        <w:rPr>
          <w:rFonts w:ascii="宋体" w:hAnsi="宋体" w:cs="宋体" w:hint="eastAsia"/>
          <w:color w:val="auto"/>
          <w:kern w:val="0"/>
          <w:sz w:val="24"/>
          <w:lang w:val="en-US" w:eastAsia="zh-CN"/>
        </w:rPr>
        <w:t>二次</w:t>
      </w:r>
      <w:r>
        <w:rPr>
          <w:rFonts w:ascii="宋体" w:hAnsi="宋体" w:cs="宋体" w:hint="eastAsia"/>
          <w:color w:val="auto"/>
          <w:kern w:val="0"/>
          <w:sz w:val="24"/>
          <w:lang w:eastAsia="zh-CN"/>
        </w:rPr>
        <w:t>）</w:t>
      </w:r>
      <w:r>
        <w:rPr>
          <w:rFonts w:ascii="宋体" w:eastAsia="宋体" w:hAnsi="宋体" w:cs="宋体" w:hint="eastAsia"/>
          <w:color w:val="auto"/>
          <w:kern w:val="0"/>
          <w:sz w:val="24"/>
        </w:rPr>
        <w:t>；</w:t>
      </w:r>
    </w:p>
    <w:p>
      <w:pPr>
        <w:widowControl/>
        <w:spacing w:line="360" w:lineRule="auto"/>
        <w:ind w:firstLine="480" w:firstLineChars="200"/>
        <w:outlineLvl w:val="0"/>
        <w:rPr>
          <w:rFonts w:ascii="宋体" w:eastAsia="宋体" w:hAnsi="宋体" w:cs="宋体"/>
          <w:color w:val="auto"/>
          <w:kern w:val="0"/>
          <w:sz w:val="24"/>
        </w:rPr>
      </w:pPr>
      <w:r>
        <w:rPr>
          <w:rFonts w:ascii="宋体" w:eastAsia="宋体" w:hAnsi="宋体" w:cs="宋体" w:hint="eastAsia"/>
          <w:color w:val="auto"/>
          <w:kern w:val="0"/>
          <w:sz w:val="24"/>
        </w:rPr>
        <w:t xml:space="preserve">3.2 </w:t>
      </w:r>
      <w:r>
        <w:rPr>
          <w:rFonts w:ascii="宋体" w:eastAsia="宋体" w:hAnsi="宋体" w:cs="宋体" w:hint="eastAsia"/>
          <w:color w:val="auto"/>
          <w:sz w:val="24"/>
          <w:lang w:eastAsia="zh-CN"/>
        </w:rPr>
        <w:t>供货时间</w:t>
      </w:r>
      <w:r>
        <w:rPr>
          <w:rFonts w:ascii="宋体" w:eastAsia="宋体" w:hAnsi="宋体" w:cs="宋体" w:hint="eastAsia"/>
          <w:color w:val="auto"/>
          <w:sz w:val="24"/>
        </w:rPr>
        <w:t>、</w:t>
      </w:r>
      <w:r>
        <w:rPr>
          <w:rFonts w:ascii="宋体" w:eastAsia="宋体" w:hAnsi="宋体" w:cs="宋体" w:hint="eastAsia"/>
          <w:color w:val="auto"/>
          <w:sz w:val="24"/>
          <w:lang w:eastAsia="zh-CN"/>
        </w:rPr>
        <w:t>供货地点</w:t>
      </w:r>
      <w:r>
        <w:rPr>
          <w:rFonts w:ascii="宋体" w:eastAsia="宋体" w:hAnsi="宋体" w:cs="宋体" w:hint="eastAsia"/>
          <w:color w:val="auto"/>
          <w:sz w:val="24"/>
        </w:rPr>
        <w:t>及质量要求</w:t>
      </w:r>
    </w:p>
    <w:p>
      <w:pPr>
        <w:spacing w:line="360" w:lineRule="auto"/>
        <w:ind w:firstLine="480" w:firstLineChars="200"/>
        <w:rPr>
          <w:rFonts w:ascii="宋体" w:eastAsia="宋体" w:hAnsi="宋体" w:cs="宋体"/>
          <w:bCs/>
          <w:color w:val="auto"/>
          <w:kern w:val="0"/>
          <w:sz w:val="24"/>
          <w:highlight w:val="none"/>
        </w:rPr>
      </w:pPr>
      <w:r>
        <w:rPr>
          <w:rFonts w:ascii="宋体" w:eastAsia="宋体" w:hAnsi="宋体" w:cs="宋体" w:hint="eastAsia"/>
          <w:bCs/>
          <w:color w:val="auto"/>
          <w:kern w:val="0"/>
          <w:sz w:val="24"/>
        </w:rPr>
        <w:t>3.2.1</w:t>
      </w:r>
      <w:r>
        <w:rPr>
          <w:rFonts w:ascii="宋体" w:eastAsia="宋体" w:hAnsi="宋体" w:cs="宋体" w:hint="eastAsia"/>
          <w:bCs/>
          <w:color w:val="auto"/>
          <w:kern w:val="0"/>
          <w:sz w:val="24"/>
          <w:lang w:eastAsia="zh-CN"/>
        </w:rPr>
        <w:t>供货时间</w:t>
      </w:r>
      <w:r>
        <w:rPr>
          <w:rFonts w:ascii="宋体" w:eastAsia="宋体" w:hAnsi="宋体" w:cs="宋体" w:hint="eastAsia"/>
          <w:bCs/>
          <w:color w:val="auto"/>
          <w:kern w:val="0"/>
          <w:sz w:val="24"/>
        </w:rPr>
        <w:t>：</w:t>
      </w:r>
      <w:r>
        <w:rPr>
          <w:rFonts w:ascii="宋体" w:eastAsia="宋体" w:hAnsi="宋体" w:cs="宋体" w:hint="eastAsia"/>
          <w:color w:val="auto"/>
          <w:sz w:val="24"/>
          <w:highlight w:val="none"/>
        </w:rPr>
        <w:t>合同签订之日起</w:t>
      </w:r>
      <w:r>
        <w:rPr>
          <w:rFonts w:ascii="宋体" w:eastAsia="宋体" w:hAnsi="宋体" w:cs="宋体" w:hint="eastAsia"/>
          <w:color w:val="auto"/>
          <w:sz w:val="24"/>
          <w:highlight w:val="none"/>
          <w:lang w:val="en-US" w:eastAsia="zh-CN"/>
        </w:rPr>
        <w:t>15日历天内</w:t>
      </w:r>
      <w:r>
        <w:rPr>
          <w:rStyle w:val="articletitle1"/>
          <w:rFonts w:ascii="宋体" w:eastAsia="宋体" w:hAnsi="宋体" w:cs="宋体" w:hint="default"/>
          <w:b w:val="0"/>
          <w:color w:val="auto"/>
          <w:sz w:val="24"/>
          <w:szCs w:val="24"/>
          <w:highlight w:val="none"/>
        </w:rPr>
        <w:t>；</w:t>
      </w:r>
    </w:p>
    <w:p>
      <w:pPr>
        <w:widowControl/>
        <w:spacing w:line="360" w:lineRule="auto"/>
        <w:ind w:firstLine="480" w:firstLineChars="200"/>
        <w:jc w:val="left"/>
        <w:rPr>
          <w:rFonts w:ascii="宋体" w:eastAsia="宋体" w:hAnsi="宋体" w:cs="宋体"/>
          <w:bCs/>
          <w:color w:val="auto"/>
          <w:sz w:val="24"/>
        </w:rPr>
      </w:pPr>
      <w:r>
        <w:rPr>
          <w:rFonts w:ascii="宋体" w:eastAsia="宋体" w:hAnsi="宋体" w:cs="宋体" w:hint="eastAsia"/>
          <w:bCs/>
          <w:color w:val="auto"/>
          <w:kern w:val="0"/>
          <w:sz w:val="24"/>
        </w:rPr>
        <w:t>3</w:t>
      </w:r>
      <w:r>
        <w:rPr>
          <w:rFonts w:ascii="宋体" w:eastAsia="宋体" w:hAnsi="宋体" w:cs="宋体" w:hint="eastAsia"/>
          <w:bCs/>
          <w:color w:val="auto"/>
          <w:sz w:val="24"/>
        </w:rPr>
        <w:t>.2.2</w:t>
      </w:r>
      <w:r>
        <w:rPr>
          <w:rFonts w:ascii="宋体" w:eastAsia="宋体" w:hAnsi="宋体" w:cs="宋体" w:hint="eastAsia"/>
          <w:bCs/>
          <w:color w:val="auto"/>
          <w:sz w:val="24"/>
          <w:lang w:eastAsia="zh-CN"/>
        </w:rPr>
        <w:t>供货地点</w:t>
      </w:r>
      <w:r>
        <w:rPr>
          <w:rFonts w:ascii="宋体" w:eastAsia="宋体" w:hAnsi="宋体" w:cs="宋体" w:hint="eastAsia"/>
          <w:bCs/>
          <w:color w:val="auto"/>
          <w:sz w:val="24"/>
        </w:rPr>
        <w:t>：</w:t>
      </w:r>
      <w:r>
        <w:rPr>
          <w:rFonts w:ascii="宋体" w:eastAsia="宋体" w:hAnsi="宋体" w:cs="宋体" w:hint="eastAsia"/>
          <w:color w:val="auto"/>
          <w:sz w:val="24"/>
          <w:lang w:eastAsia="zh-CN"/>
        </w:rPr>
        <w:t>西双版纳傣族自治州消防救援支队</w:t>
      </w:r>
      <w:r>
        <w:rPr>
          <w:rFonts w:ascii="宋体" w:eastAsia="宋体" w:hAnsi="宋体" w:cs="宋体" w:hint="eastAsia"/>
          <w:color w:val="auto"/>
          <w:sz w:val="24"/>
          <w:lang w:val="en-US" w:eastAsia="zh-CN"/>
        </w:rPr>
        <w:t>指定地点</w:t>
      </w:r>
      <w:r>
        <w:rPr>
          <w:rFonts w:ascii="宋体" w:eastAsia="宋体" w:hAnsi="宋体" w:cs="宋体" w:hint="eastAsia"/>
          <w:bCs/>
          <w:color w:val="auto"/>
          <w:sz w:val="24"/>
        </w:rPr>
        <w:t>；</w:t>
      </w:r>
    </w:p>
    <w:p>
      <w:pPr>
        <w:widowControl/>
        <w:spacing w:line="360" w:lineRule="auto"/>
        <w:ind w:firstLine="480" w:firstLineChars="200"/>
        <w:jc w:val="left"/>
        <w:rPr>
          <w:rFonts w:ascii="宋体" w:eastAsia="宋体" w:hAnsi="宋体" w:cs="宋体"/>
          <w:bCs/>
          <w:color w:val="auto"/>
          <w:sz w:val="24"/>
        </w:rPr>
      </w:pPr>
      <w:r>
        <w:rPr>
          <w:rFonts w:ascii="宋体" w:eastAsia="宋体" w:hAnsi="宋体" w:cs="宋体" w:hint="eastAsia"/>
          <w:bCs/>
          <w:color w:val="auto"/>
          <w:sz w:val="24"/>
        </w:rPr>
        <w:t>3.2.3质量要求：</w:t>
      </w:r>
      <w:r>
        <w:rPr>
          <w:rFonts w:ascii="宋体" w:eastAsia="宋体" w:hAnsi="宋体" w:cs="宋体" w:hint="eastAsia"/>
          <w:color w:val="auto"/>
          <w:sz w:val="24"/>
        </w:rPr>
        <w:t>符合国家及行业现行标准</w:t>
      </w:r>
      <w:r>
        <w:rPr>
          <w:rFonts w:ascii="宋体" w:eastAsia="宋体" w:hAnsi="宋体" w:cs="宋体" w:hint="eastAsia"/>
          <w:color w:val="auto"/>
          <w:sz w:val="24"/>
          <w:lang w:eastAsia="zh-CN"/>
        </w:rPr>
        <w:t>，</w:t>
      </w:r>
      <w:r>
        <w:rPr>
          <w:rFonts w:ascii="宋体" w:eastAsia="宋体" w:hAnsi="宋体" w:cs="宋体" w:hint="eastAsia"/>
          <w:color w:val="auto"/>
          <w:sz w:val="24"/>
          <w:lang w:val="en-US" w:eastAsia="zh-CN"/>
        </w:rPr>
        <w:t>一次性验收合格</w:t>
      </w:r>
      <w:r>
        <w:rPr>
          <w:rFonts w:ascii="宋体" w:eastAsia="宋体" w:hAnsi="宋体" w:cs="宋体" w:hint="eastAsia"/>
          <w:color w:val="auto"/>
          <w:sz w:val="24"/>
        </w:rPr>
        <w:t>。</w:t>
      </w:r>
    </w:p>
    <w:p>
      <w:pPr>
        <w:widowControl/>
        <w:spacing w:line="560" w:lineRule="exact"/>
        <w:ind w:firstLine="480" w:firstLineChars="200"/>
        <w:jc w:val="left"/>
        <w:outlineLvl w:val="3"/>
        <w:rPr>
          <w:rFonts w:ascii="宋体" w:eastAsia="宋体" w:hAnsi="宋体" w:cs="宋体"/>
          <w:b/>
          <w:color w:val="auto"/>
          <w:kern w:val="0"/>
          <w:sz w:val="24"/>
        </w:rPr>
      </w:pPr>
      <w:r>
        <w:rPr>
          <w:rFonts w:ascii="宋体" w:eastAsia="宋体" w:hAnsi="宋体" w:cs="宋体" w:hint="eastAsia"/>
          <w:b/>
          <w:color w:val="auto"/>
          <w:kern w:val="0"/>
          <w:sz w:val="24"/>
        </w:rPr>
        <w:t>4.磋商费用</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无论磋商活动的结果如何，供应商将承担所有与准备和递交响应文件有关的费用。</w:t>
      </w:r>
    </w:p>
    <w:p>
      <w:pPr>
        <w:spacing w:line="520" w:lineRule="exact"/>
        <w:ind w:firstLine="480" w:firstLineChars="200"/>
        <w:rPr>
          <w:rFonts w:ascii="宋体" w:eastAsia="宋体" w:hAnsi="宋体" w:cs="宋体"/>
          <w:b/>
          <w:color w:val="auto"/>
          <w:sz w:val="24"/>
        </w:rPr>
      </w:pPr>
      <w:r>
        <w:rPr>
          <w:rFonts w:ascii="宋体" w:eastAsia="宋体" w:hAnsi="宋体" w:cs="宋体" w:hint="eastAsia"/>
          <w:b/>
          <w:color w:val="auto"/>
          <w:sz w:val="24"/>
        </w:rPr>
        <w:t>5.保密</w:t>
      </w:r>
    </w:p>
    <w:p>
      <w:pPr>
        <w:spacing w:line="480" w:lineRule="exact"/>
        <w:ind w:firstLine="480" w:firstLineChars="200"/>
        <w:rPr>
          <w:rFonts w:ascii="宋体" w:eastAsia="宋体" w:hAnsi="宋体" w:cs="宋体"/>
          <w:color w:val="auto"/>
          <w:kern w:val="0"/>
          <w:sz w:val="24"/>
        </w:rPr>
      </w:pPr>
      <w:bookmarkStart w:id="46" w:name="_Toc234588852"/>
      <w:bookmarkStart w:id="47" w:name="_Toc293921813"/>
      <w:r>
        <w:rPr>
          <w:rFonts w:ascii="宋体" w:eastAsia="宋体" w:hAnsi="宋体" w:cs="宋体" w:hint="eastAsia"/>
          <w:color w:val="auto"/>
          <w:kern w:val="0"/>
          <w:sz w:val="24"/>
        </w:rPr>
        <w:t>5.1 凡属于对响应文件的审查、评价和比较的有关资料以及成交候选供应商的推荐情况，与评审有关的其他任何情况均严格保密。</w:t>
      </w:r>
    </w:p>
    <w:p>
      <w:pPr>
        <w:spacing w:line="480" w:lineRule="exact"/>
        <w:ind w:firstLine="480" w:firstLineChars="200"/>
        <w:rPr>
          <w:rFonts w:ascii="宋体" w:eastAsia="宋体" w:hAnsi="宋体" w:cs="宋体"/>
          <w:color w:val="auto"/>
          <w:kern w:val="0"/>
          <w:sz w:val="24"/>
        </w:rPr>
      </w:pPr>
      <w:r>
        <w:rPr>
          <w:rFonts w:ascii="宋体" w:eastAsia="宋体" w:hAnsi="宋体" w:cs="宋体" w:hint="eastAsia"/>
          <w:color w:val="auto"/>
          <w:kern w:val="0"/>
          <w:sz w:val="24"/>
        </w:rPr>
        <w:t>5.2 在响应文件的评审和比较、成交候选供应商推荐以及授予合同的过程中，供应商向采购人和竞争性磋商小组施加影响的任何行为，都将会导致其磋商被拒绝。</w:t>
      </w:r>
    </w:p>
    <w:p>
      <w:pPr>
        <w:spacing w:line="480" w:lineRule="exact"/>
        <w:ind w:firstLine="480" w:firstLineChars="200"/>
        <w:rPr>
          <w:rFonts w:ascii="宋体" w:eastAsia="宋体" w:hAnsi="宋体" w:cs="宋体"/>
          <w:color w:val="auto"/>
          <w:kern w:val="0"/>
          <w:sz w:val="24"/>
        </w:rPr>
      </w:pPr>
      <w:r>
        <w:rPr>
          <w:rFonts w:ascii="宋体" w:eastAsia="宋体" w:hAnsi="宋体" w:cs="宋体" w:hint="eastAsia"/>
          <w:color w:val="auto"/>
          <w:kern w:val="0"/>
          <w:sz w:val="24"/>
        </w:rPr>
        <w:t>5.3 成交供应商确定后，采购人不对未成交供应商就评审过程以及未成交原因作出任何解释。未成交供应商不得向竞争性磋商小组成员或其他有关人员索问评审过程的情况和材料。</w:t>
      </w:r>
    </w:p>
    <w:p>
      <w:pPr>
        <w:spacing w:line="520" w:lineRule="exact"/>
        <w:ind w:firstLine="480" w:firstLineChars="200"/>
        <w:rPr>
          <w:rFonts w:ascii="宋体" w:eastAsia="宋体" w:hAnsi="宋体" w:cs="宋体"/>
          <w:b/>
          <w:color w:val="auto"/>
          <w:sz w:val="24"/>
        </w:rPr>
      </w:pPr>
      <w:r>
        <w:rPr>
          <w:rFonts w:ascii="宋体" w:eastAsia="宋体" w:hAnsi="宋体" w:cs="宋体" w:hint="eastAsia"/>
          <w:b/>
          <w:color w:val="auto"/>
          <w:sz w:val="24"/>
        </w:rPr>
        <w:t>6. 语言文字</w:t>
      </w:r>
    </w:p>
    <w:p>
      <w:pPr>
        <w:spacing w:line="480" w:lineRule="exact"/>
        <w:ind w:firstLine="480" w:firstLineChars="200"/>
        <w:rPr>
          <w:rFonts w:ascii="宋体" w:eastAsia="宋体" w:hAnsi="宋体" w:cs="宋体"/>
          <w:color w:val="auto"/>
          <w:kern w:val="0"/>
          <w:sz w:val="24"/>
        </w:rPr>
      </w:pPr>
      <w:r>
        <w:rPr>
          <w:rFonts w:ascii="宋体" w:eastAsia="宋体" w:hAnsi="宋体" w:cs="宋体" w:hint="eastAsia"/>
          <w:color w:val="auto"/>
          <w:kern w:val="0"/>
          <w:sz w:val="24"/>
        </w:rPr>
        <w:t>除专用术语外，与采购活动有关的语言均使用中文。必要时专用术语应附有中文注释。</w:t>
      </w:r>
    </w:p>
    <w:p>
      <w:pPr>
        <w:spacing w:line="480" w:lineRule="exact"/>
        <w:ind w:firstLine="560" w:firstLineChars="200"/>
        <w:rPr>
          <w:rFonts w:ascii="宋体" w:eastAsia="宋体" w:hAnsi="宋体" w:cs="宋体"/>
          <w:b/>
          <w:color w:val="auto"/>
          <w:sz w:val="28"/>
          <w:szCs w:val="28"/>
        </w:rPr>
      </w:pPr>
      <w:r>
        <w:rPr>
          <w:rFonts w:ascii="宋体" w:eastAsia="宋体" w:hAnsi="宋体" w:cs="宋体" w:hint="eastAsia"/>
          <w:b/>
          <w:color w:val="auto"/>
          <w:sz w:val="28"/>
          <w:szCs w:val="28"/>
        </w:rPr>
        <w:t>7.计量单位</w:t>
      </w:r>
    </w:p>
    <w:p>
      <w:pPr>
        <w:spacing w:line="480" w:lineRule="exact"/>
        <w:ind w:firstLine="480" w:firstLineChars="200"/>
        <w:rPr>
          <w:rFonts w:ascii="宋体" w:eastAsia="宋体" w:hAnsi="宋体" w:cs="宋体"/>
          <w:color w:val="auto"/>
          <w:kern w:val="0"/>
          <w:sz w:val="24"/>
        </w:rPr>
      </w:pPr>
      <w:r>
        <w:rPr>
          <w:rFonts w:ascii="宋体" w:eastAsia="宋体" w:hAnsi="宋体" w:cs="宋体" w:hint="eastAsia"/>
          <w:color w:val="auto"/>
          <w:kern w:val="0"/>
          <w:sz w:val="24"/>
        </w:rPr>
        <w:t>所有计量均采用中华人民共和国法定计量单位。</w:t>
      </w:r>
    </w:p>
    <w:p>
      <w:pPr>
        <w:spacing w:line="480" w:lineRule="exact"/>
        <w:ind w:firstLine="560" w:firstLineChars="200"/>
        <w:rPr>
          <w:rFonts w:ascii="宋体" w:eastAsia="宋体" w:hAnsi="宋体" w:cs="宋体"/>
          <w:b/>
          <w:color w:val="auto"/>
          <w:sz w:val="28"/>
          <w:szCs w:val="28"/>
        </w:rPr>
      </w:pPr>
      <w:r>
        <w:rPr>
          <w:rFonts w:ascii="宋体" w:eastAsia="宋体" w:hAnsi="宋体" w:cs="宋体" w:hint="eastAsia"/>
          <w:b/>
          <w:color w:val="auto"/>
          <w:sz w:val="28"/>
          <w:szCs w:val="28"/>
        </w:rPr>
        <w:t>8.分包</w:t>
      </w:r>
    </w:p>
    <w:p>
      <w:pPr>
        <w:spacing w:line="480" w:lineRule="exact"/>
        <w:ind w:firstLine="480" w:firstLineChars="200"/>
        <w:rPr>
          <w:rFonts w:ascii="宋体" w:eastAsia="宋体" w:hAnsi="宋体" w:cs="宋体"/>
          <w:color w:val="auto"/>
          <w:kern w:val="0"/>
          <w:sz w:val="24"/>
        </w:rPr>
      </w:pPr>
      <w:r>
        <w:rPr>
          <w:rFonts w:ascii="宋体" w:eastAsia="宋体" w:hAnsi="宋体" w:cs="宋体" w:hint="eastAsia"/>
          <w:color w:val="auto"/>
          <w:kern w:val="0"/>
          <w:sz w:val="24"/>
        </w:rPr>
        <w:t>本项目不允许分包。</w:t>
      </w:r>
    </w:p>
    <w:p>
      <w:pPr>
        <w:widowControl/>
        <w:spacing w:before="120" w:beforeLines="50" w:after="120" w:afterLines="50" w:line="560" w:lineRule="exact"/>
        <w:ind w:firstLine="480" w:firstLineChars="200"/>
        <w:jc w:val="left"/>
        <w:outlineLvl w:val="1"/>
        <w:rPr>
          <w:rFonts w:ascii="宋体" w:eastAsia="宋体" w:hAnsi="宋体" w:cs="宋体"/>
          <w:b/>
          <w:bCs/>
          <w:color w:val="auto"/>
          <w:kern w:val="0"/>
          <w:sz w:val="24"/>
        </w:rPr>
      </w:pPr>
      <w:r>
        <w:rPr>
          <w:rFonts w:ascii="宋体" w:eastAsia="宋体" w:hAnsi="宋体" w:cs="宋体" w:hint="eastAsia"/>
          <w:b/>
          <w:bCs/>
          <w:color w:val="auto"/>
          <w:kern w:val="0"/>
          <w:sz w:val="24"/>
        </w:rPr>
        <w:t>二、竞争性磋商文件</w:t>
      </w:r>
      <w:bookmarkEnd w:id="46"/>
      <w:bookmarkEnd w:id="47"/>
    </w:p>
    <w:p>
      <w:pPr>
        <w:widowControl/>
        <w:spacing w:line="560" w:lineRule="exact"/>
        <w:ind w:firstLine="480" w:firstLineChars="200"/>
        <w:jc w:val="left"/>
        <w:outlineLvl w:val="2"/>
        <w:rPr>
          <w:rFonts w:ascii="宋体" w:eastAsia="宋体" w:hAnsi="宋体" w:cs="宋体"/>
          <w:b/>
          <w:color w:val="auto"/>
          <w:kern w:val="0"/>
          <w:sz w:val="24"/>
        </w:rPr>
      </w:pPr>
      <w:r>
        <w:rPr>
          <w:rFonts w:ascii="宋体" w:eastAsia="宋体" w:hAnsi="宋体" w:cs="宋体" w:hint="eastAsia"/>
          <w:b/>
          <w:color w:val="auto"/>
          <w:kern w:val="0"/>
          <w:sz w:val="24"/>
        </w:rPr>
        <w:t>1. 竞争性磋商文件的构成</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1.1竞争性磋商文件由磋商文件总目录所列内容组成，包括：</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第一章 竞争性磋商公告</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第二章 供应商须知</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第三章 采购内容与要求</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第四章 评审办法</w:t>
      </w:r>
    </w:p>
    <w:p>
      <w:pPr>
        <w:widowControl/>
        <w:spacing w:line="560" w:lineRule="exact"/>
        <w:ind w:firstLine="480" w:firstLineChars="200"/>
        <w:jc w:val="left"/>
        <w:rPr>
          <w:rFonts w:ascii="宋体" w:eastAsia="宋体" w:hAnsi="宋体" w:cs="宋体" w:hint="eastAsia"/>
          <w:color w:val="auto"/>
          <w:kern w:val="0"/>
          <w:sz w:val="24"/>
          <w:lang w:eastAsia="zh-CN"/>
        </w:rPr>
      </w:pPr>
      <w:r>
        <w:rPr>
          <w:rFonts w:ascii="宋体" w:eastAsia="宋体" w:hAnsi="宋体" w:cs="宋体" w:hint="eastAsia"/>
          <w:color w:val="auto"/>
          <w:kern w:val="0"/>
          <w:sz w:val="24"/>
        </w:rPr>
        <w:t>第五章 合同</w:t>
      </w:r>
      <w:r>
        <w:rPr>
          <w:rFonts w:ascii="宋体" w:eastAsia="宋体" w:hAnsi="宋体" w:cs="宋体" w:hint="eastAsia"/>
          <w:color w:val="auto"/>
          <w:kern w:val="0"/>
          <w:sz w:val="24"/>
          <w:lang w:eastAsia="zh-CN"/>
        </w:rPr>
        <w:t>条款及样式</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第六章 响应文件格式</w:t>
      </w:r>
    </w:p>
    <w:p>
      <w:pPr>
        <w:spacing w:line="480" w:lineRule="exact"/>
        <w:ind w:firstLine="480" w:firstLineChars="200"/>
        <w:rPr>
          <w:rFonts w:ascii="宋体" w:eastAsia="宋体" w:hAnsi="宋体" w:cs="宋体"/>
          <w:color w:val="auto"/>
          <w:kern w:val="0"/>
          <w:sz w:val="24"/>
        </w:rPr>
      </w:pPr>
      <w:r>
        <w:rPr>
          <w:rFonts w:ascii="宋体" w:eastAsia="宋体" w:hAnsi="宋体" w:cs="宋体" w:hint="eastAsia"/>
          <w:color w:val="auto"/>
          <w:kern w:val="0"/>
          <w:sz w:val="24"/>
        </w:rPr>
        <w:t>1.2 除第1.1款内容外，采购人以书面形式发出的对竞争性磋商文件的澄清或修改内容，均为竞争性磋商文件的组成部分，对采购人和供应商起约束作用。</w:t>
      </w:r>
    </w:p>
    <w:p>
      <w:pPr>
        <w:widowControl/>
        <w:spacing w:line="560" w:lineRule="exact"/>
        <w:ind w:firstLine="480" w:firstLineChars="200"/>
        <w:jc w:val="left"/>
        <w:outlineLvl w:val="2"/>
        <w:rPr>
          <w:rFonts w:ascii="宋体" w:eastAsia="宋体" w:hAnsi="宋体" w:cs="宋体"/>
          <w:b/>
          <w:color w:val="auto"/>
          <w:kern w:val="0"/>
          <w:sz w:val="24"/>
        </w:rPr>
      </w:pPr>
      <w:r>
        <w:rPr>
          <w:rFonts w:ascii="宋体" w:eastAsia="宋体" w:hAnsi="宋体" w:cs="宋体" w:hint="eastAsia"/>
          <w:b/>
          <w:color w:val="auto"/>
          <w:kern w:val="0"/>
          <w:sz w:val="24"/>
        </w:rPr>
        <w:t>2. 磋商文件的修改和澄清</w:t>
      </w:r>
    </w:p>
    <w:p>
      <w:pPr>
        <w:spacing w:line="480" w:lineRule="exact"/>
        <w:ind w:firstLine="480" w:firstLineChars="200"/>
        <w:rPr>
          <w:rFonts w:ascii="宋体" w:eastAsia="宋体" w:hAnsi="宋体" w:cs="宋体" w:hint="eastAsia"/>
          <w:color w:val="auto"/>
          <w:kern w:val="0"/>
          <w:sz w:val="24"/>
        </w:rPr>
      </w:pPr>
      <w:bookmarkStart w:id="48" w:name="_Toc234588853"/>
      <w:bookmarkStart w:id="49" w:name="_Toc293921814"/>
      <w:r>
        <w:rPr>
          <w:rFonts w:ascii="宋体" w:eastAsia="宋体" w:hAnsi="宋体" w:cs="宋体" w:hint="eastAsia"/>
          <w:color w:val="auto"/>
          <w:kern w:val="0"/>
          <w:sz w:val="24"/>
        </w:rPr>
        <w:t>2.2.1供应商应仔细阅读和检查竞争性磋商文件的全部内容。如发现缺页或附件不全，应及时向采购人提出，以便补齐。供应商对竞争性磋商文件有疑问的，可以向采购人、采购代理机构提出询问；采购人、采购代理机构在3个工作日内对供应商依法提出的询问作出答复，但答复的内容不得涉及商业秘密。</w:t>
      </w:r>
    </w:p>
    <w:p>
      <w:pPr>
        <w:spacing w:line="480" w:lineRule="exact"/>
        <w:ind w:firstLine="480" w:firstLineChars="200"/>
        <w:rPr>
          <w:rFonts w:ascii="宋体" w:eastAsia="宋体" w:hAnsi="宋体" w:cs="宋体" w:hint="eastAsia"/>
          <w:color w:val="auto"/>
          <w:kern w:val="0"/>
          <w:sz w:val="24"/>
        </w:rPr>
      </w:pPr>
      <w:r>
        <w:rPr>
          <w:rFonts w:ascii="宋体" w:eastAsia="宋体" w:hAnsi="宋体" w:cs="宋体" w:hint="eastAsia"/>
          <w:color w:val="auto"/>
          <w:kern w:val="0"/>
          <w:sz w:val="24"/>
        </w:rPr>
        <w:t>2.2.2采购人、采购代理机构可以对已发出的竞争性磋商文件进行必要的澄清或者修改，澄清或者修改的内容作为竞争性磋商文件的组成部分。澄清或者修改的内容可能影响响应文件编制的，采购人、采购代理机构在提交响应文件截止时间5日前，通过</w:t>
      </w:r>
      <w:r>
        <w:rPr>
          <w:rFonts w:ascii="宋体" w:eastAsia="宋体" w:hAnsi="宋体" w:cs="宋体" w:hint="eastAsia"/>
          <w:color w:val="auto"/>
          <w:kern w:val="0"/>
          <w:sz w:val="24"/>
          <w:lang w:val="zh-CN"/>
        </w:rPr>
        <w:t>西双版纳州公共资源交易电子服务系统（http://ggzy.yn.gov.cn/ynggfwpt-home-web/#/homePage）</w:t>
      </w:r>
      <w:r>
        <w:rPr>
          <w:rFonts w:ascii="宋体" w:eastAsia="宋体" w:hAnsi="宋体" w:cs="宋体" w:hint="eastAsia"/>
          <w:color w:val="auto"/>
          <w:kern w:val="0"/>
          <w:sz w:val="24"/>
        </w:rPr>
        <w:t>以书面形式通知所有获取竞争性磋商文件的供应商；不足5日的，采购人、采购代理机构将顺延提交响应文件截止时间。</w:t>
      </w:r>
    </w:p>
    <w:p>
      <w:pPr>
        <w:spacing w:line="480" w:lineRule="exact"/>
        <w:ind w:firstLine="480" w:firstLineChars="200"/>
        <w:rPr>
          <w:rFonts w:ascii="宋体" w:eastAsia="宋体" w:hAnsi="宋体" w:cs="宋体" w:hint="eastAsia"/>
          <w:color w:val="auto"/>
          <w:kern w:val="0"/>
          <w:sz w:val="24"/>
        </w:rPr>
      </w:pPr>
      <w:r>
        <w:rPr>
          <w:rFonts w:ascii="宋体" w:eastAsia="宋体" w:hAnsi="宋体" w:cs="宋体" w:hint="eastAsia"/>
          <w:color w:val="auto"/>
          <w:kern w:val="0"/>
          <w:sz w:val="24"/>
        </w:rPr>
        <w:t>2.2.3供应商应及时登录西双版纳州公共资源交易电子服务系统（https://ggzy.yn.gov.cn/ynggfwpt-home-web/#/homePage）中查看有关该项目竞争性磋商文件的澄清或者修改内容。因供应商自身原因未及时获知澄清或者修改内容而导致的任何后果将由供应商自行承担。</w:t>
      </w:r>
    </w:p>
    <w:p>
      <w:pPr>
        <w:spacing w:line="480" w:lineRule="exact"/>
        <w:ind w:firstLine="480" w:firstLineChars="200"/>
        <w:rPr>
          <w:rFonts w:ascii="宋体" w:eastAsia="宋体" w:hAnsi="宋体" w:cs="宋体" w:hint="eastAsia"/>
          <w:b/>
          <w:bCs/>
          <w:color w:val="auto"/>
          <w:kern w:val="0"/>
          <w:sz w:val="24"/>
        </w:rPr>
      </w:pPr>
      <w:r>
        <w:rPr>
          <w:rFonts w:ascii="宋体" w:eastAsia="宋体" w:hAnsi="宋体" w:cs="宋体" w:hint="eastAsia"/>
          <w:color w:val="auto"/>
          <w:kern w:val="0"/>
          <w:sz w:val="24"/>
        </w:rPr>
        <w:t>2.2.4竞争性磋商文件澄清、竞争性磋商文件修改文件内容均以网上电子文件为准，当竞争性磋商文件澄清、竞争性磋商文件修改文件内容前后相互矛盾时，以最后发出的为准。</w:t>
      </w:r>
    </w:p>
    <w:p>
      <w:pPr>
        <w:widowControl/>
        <w:spacing w:before="120" w:beforeLines="50" w:after="120" w:afterLines="50" w:line="560" w:lineRule="exact"/>
        <w:ind w:firstLine="480" w:firstLineChars="200"/>
        <w:jc w:val="left"/>
        <w:outlineLvl w:val="1"/>
        <w:rPr>
          <w:rFonts w:ascii="宋体" w:eastAsia="宋体" w:hAnsi="宋体" w:cs="宋体"/>
          <w:b/>
          <w:bCs/>
          <w:color w:val="auto"/>
          <w:kern w:val="0"/>
          <w:sz w:val="24"/>
        </w:rPr>
      </w:pPr>
      <w:r>
        <w:rPr>
          <w:rFonts w:ascii="宋体" w:eastAsia="宋体" w:hAnsi="宋体" w:cs="宋体" w:hint="eastAsia"/>
          <w:b/>
          <w:bCs/>
          <w:color w:val="auto"/>
          <w:kern w:val="0"/>
          <w:sz w:val="24"/>
        </w:rPr>
        <w:t>三、</w:t>
      </w:r>
      <w:bookmarkEnd w:id="48"/>
      <w:bookmarkEnd w:id="49"/>
      <w:r>
        <w:rPr>
          <w:rFonts w:ascii="宋体" w:eastAsia="宋体" w:hAnsi="宋体" w:cs="宋体" w:hint="eastAsia"/>
          <w:b/>
          <w:bCs/>
          <w:color w:val="auto"/>
          <w:kern w:val="0"/>
          <w:sz w:val="24"/>
        </w:rPr>
        <w:t>响应文件</w:t>
      </w:r>
    </w:p>
    <w:p>
      <w:pPr>
        <w:widowControl/>
        <w:spacing w:line="560" w:lineRule="exact"/>
        <w:ind w:firstLine="480" w:firstLineChars="200"/>
        <w:jc w:val="left"/>
        <w:outlineLvl w:val="2"/>
        <w:rPr>
          <w:rFonts w:ascii="宋体" w:eastAsia="宋体" w:hAnsi="宋体" w:cs="宋体"/>
          <w:b/>
          <w:color w:val="auto"/>
          <w:kern w:val="0"/>
          <w:sz w:val="24"/>
        </w:rPr>
      </w:pPr>
      <w:r>
        <w:rPr>
          <w:rFonts w:ascii="宋体" w:eastAsia="宋体" w:hAnsi="宋体" w:cs="宋体" w:hint="eastAsia"/>
          <w:b/>
          <w:color w:val="auto"/>
          <w:kern w:val="0"/>
          <w:sz w:val="24"/>
        </w:rPr>
        <w:t>1．响应文件的编写</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1.1要求：供应商应仔细阅读磋商文件的所有内容，按磋商文件的要求提供响应文件，并保证所提供的全部资料的真实性，以使其响应可以对磋商文件做出实质性响应。</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1.2供应商编写的文件和往来信件应以中文书写。如果响应文件或与磋商有关的其它文件、信件及来往函电以其它语言书写，供应商应将其译成中文。</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1.3磋商报价和结算均使用人民币。</w:t>
      </w:r>
    </w:p>
    <w:p>
      <w:pPr>
        <w:adjustRightInd w:val="0"/>
        <w:snapToGrid w:val="0"/>
        <w:spacing w:line="500" w:lineRule="exact"/>
        <w:ind w:firstLine="480" w:firstLineChars="200"/>
        <w:jc w:val="left"/>
        <w:rPr>
          <w:rFonts w:ascii="宋体" w:eastAsia="宋体" w:hAnsi="宋体" w:cs="宋体" w:hint="eastAsia"/>
          <w:color w:val="auto"/>
          <w:kern w:val="0"/>
          <w:sz w:val="24"/>
        </w:rPr>
      </w:pPr>
      <w:r>
        <w:rPr>
          <w:rFonts w:ascii="宋体" w:eastAsia="宋体" w:hAnsi="宋体" w:cs="宋体" w:hint="eastAsia"/>
          <w:color w:val="auto"/>
          <w:kern w:val="0"/>
          <w:sz w:val="24"/>
        </w:rPr>
        <w:t>1.4供应商有下列情形之一的，采购人不予退还其交纳的磋商保证金：</w:t>
      </w:r>
    </w:p>
    <w:p>
      <w:pPr>
        <w:adjustRightInd w:val="0"/>
        <w:snapToGrid w:val="0"/>
        <w:spacing w:line="500" w:lineRule="exact"/>
        <w:ind w:firstLine="480" w:firstLineChars="200"/>
        <w:jc w:val="left"/>
        <w:rPr>
          <w:rFonts w:ascii="宋体" w:eastAsia="宋体" w:hAnsi="宋体" w:cs="宋体" w:hint="eastAsia"/>
          <w:color w:val="auto"/>
          <w:kern w:val="0"/>
          <w:sz w:val="24"/>
        </w:rPr>
      </w:pPr>
      <w:r>
        <w:rPr>
          <w:rFonts w:ascii="宋体" w:eastAsia="宋体" w:hAnsi="宋体" w:cs="宋体" w:hint="eastAsia"/>
          <w:color w:val="auto"/>
          <w:kern w:val="0"/>
          <w:sz w:val="24"/>
        </w:rPr>
        <w:t> </w:t>
      </w:r>
      <w:r>
        <w:rPr>
          <w:rFonts w:ascii="宋体" w:eastAsia="宋体" w:hAnsi="宋体" w:cs="宋体" w:hint="eastAsia"/>
          <w:color w:val="auto"/>
          <w:kern w:val="0"/>
          <w:sz w:val="24"/>
        </w:rPr>
        <w:t>（1）成交（中标）后无正当理由不与采购人签订合同的；</w:t>
      </w:r>
    </w:p>
    <w:p>
      <w:pPr>
        <w:adjustRightInd w:val="0"/>
        <w:snapToGrid w:val="0"/>
        <w:spacing w:line="500" w:lineRule="exact"/>
        <w:ind w:firstLine="720" w:firstLineChars="300"/>
        <w:jc w:val="left"/>
        <w:rPr>
          <w:rFonts w:ascii="宋体" w:eastAsia="宋体" w:hAnsi="宋体" w:cs="宋体" w:hint="eastAsia"/>
          <w:color w:val="auto"/>
          <w:kern w:val="0"/>
          <w:sz w:val="24"/>
        </w:rPr>
      </w:pPr>
      <w:r>
        <w:rPr>
          <w:rFonts w:ascii="宋体" w:eastAsia="宋体" w:hAnsi="宋体" w:cs="宋体" w:hint="eastAsia"/>
          <w:color w:val="auto"/>
          <w:kern w:val="0"/>
          <w:sz w:val="24"/>
        </w:rPr>
        <w:t>（2）将成交（中标）项目转让给他人，或者在响应文件中未说明，且未经采购人同意，将成交（中标）项目分包给他人的；</w:t>
      </w:r>
    </w:p>
    <w:p>
      <w:pPr>
        <w:adjustRightInd w:val="0"/>
        <w:snapToGrid w:val="0"/>
        <w:spacing w:line="500" w:lineRule="exact"/>
        <w:ind w:firstLine="720" w:firstLineChars="300"/>
        <w:jc w:val="left"/>
        <w:rPr>
          <w:rFonts w:ascii="宋体" w:eastAsia="宋体" w:hAnsi="宋体" w:cs="宋体" w:hint="eastAsia"/>
          <w:color w:val="auto"/>
          <w:kern w:val="0"/>
          <w:sz w:val="24"/>
        </w:rPr>
      </w:pPr>
      <w:r>
        <w:rPr>
          <w:rFonts w:ascii="宋体" w:eastAsia="宋体" w:hAnsi="宋体" w:cs="宋体" w:hint="eastAsia"/>
          <w:color w:val="auto"/>
          <w:kern w:val="0"/>
          <w:sz w:val="24"/>
        </w:rPr>
        <w:t>（3）拒绝履行合同义务的。</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1.5供应商的响应文件具有法律效力。供应商与采购代理机构或采购人任何的口头协议不影响响应文件的任何条款和内容。</w:t>
      </w:r>
    </w:p>
    <w:p>
      <w:pPr>
        <w:widowControl/>
        <w:numPr>
          <w:ilvl w:val="0"/>
          <w:numId w:val="3"/>
        </w:numPr>
        <w:spacing w:line="560" w:lineRule="exact"/>
        <w:ind w:firstLine="482"/>
        <w:jc w:val="left"/>
        <w:outlineLvl w:val="2"/>
        <w:rPr>
          <w:rFonts w:ascii="宋体" w:eastAsia="宋体" w:hAnsi="宋体" w:cs="宋体"/>
          <w:b/>
          <w:color w:val="auto"/>
          <w:kern w:val="0"/>
          <w:sz w:val="24"/>
        </w:rPr>
      </w:pPr>
      <w:r>
        <w:rPr>
          <w:rFonts w:ascii="宋体" w:eastAsia="宋体" w:hAnsi="宋体" w:cs="宋体" w:hint="eastAsia"/>
          <w:b/>
          <w:color w:val="auto"/>
          <w:kern w:val="0"/>
          <w:sz w:val="24"/>
        </w:rPr>
        <w:t>响应文件</w:t>
      </w:r>
    </w:p>
    <w:p>
      <w:pPr>
        <w:pStyle w:val="BodyText"/>
        <w:rPr>
          <w:rFonts w:ascii="宋体" w:eastAsia="宋体" w:hAnsi="宋体" w:cs="宋体"/>
          <w:b/>
          <w:color w:val="auto"/>
          <w:kern w:val="0"/>
          <w:sz w:val="24"/>
        </w:rPr>
      </w:pPr>
      <w:r>
        <w:rPr>
          <w:rFonts w:ascii="宋体" w:eastAsia="宋体" w:hAnsi="宋体" w:cs="宋体" w:hint="eastAsia"/>
          <w:b/>
          <w:color w:val="auto"/>
          <w:kern w:val="0"/>
          <w:sz w:val="24"/>
        </w:rPr>
        <w:t xml:space="preserve">    2.1响应文件的组成</w:t>
      </w:r>
    </w:p>
    <w:p>
      <w:pPr>
        <w:widowControl/>
        <w:spacing w:line="360" w:lineRule="auto"/>
        <w:ind w:left="420" w:firstLine="420"/>
        <w:jc w:val="left"/>
        <w:outlineLvl w:val="2"/>
        <w:rPr>
          <w:rFonts w:ascii="宋体" w:eastAsia="宋体" w:hAnsi="宋体" w:cs="宋体"/>
          <w:color w:val="auto"/>
          <w:kern w:val="0"/>
          <w:sz w:val="24"/>
        </w:rPr>
      </w:pPr>
      <w:r>
        <w:rPr>
          <w:rFonts w:ascii="宋体" w:eastAsia="宋体" w:hAnsi="宋体" w:cs="宋体" w:hint="eastAsia"/>
          <w:color w:val="auto"/>
          <w:kern w:val="0"/>
          <w:sz w:val="24"/>
        </w:rPr>
        <w:t>封面</w:t>
      </w:r>
    </w:p>
    <w:p>
      <w:pPr>
        <w:widowControl/>
        <w:spacing w:line="360" w:lineRule="auto"/>
        <w:jc w:val="left"/>
        <w:outlineLvl w:val="2"/>
        <w:rPr>
          <w:rFonts w:ascii="宋体" w:eastAsia="宋体" w:hAnsi="宋体" w:cs="宋体"/>
          <w:color w:val="auto"/>
          <w:kern w:val="0"/>
          <w:sz w:val="24"/>
        </w:rPr>
      </w:pPr>
      <w:r>
        <w:rPr>
          <w:rFonts w:ascii="宋体" w:eastAsia="宋体" w:hAnsi="宋体" w:cs="宋体" w:hint="eastAsia"/>
          <w:color w:val="auto"/>
          <w:kern w:val="0"/>
          <w:sz w:val="24"/>
        </w:rPr>
        <w:t xml:space="preserve">       目录</w:t>
      </w:r>
    </w:p>
    <w:p>
      <w:pPr>
        <w:widowControl/>
        <w:spacing w:line="360" w:lineRule="auto"/>
        <w:ind w:firstLine="480" w:firstLineChars="200"/>
        <w:jc w:val="left"/>
        <w:outlineLvl w:val="2"/>
        <w:rPr>
          <w:rFonts w:ascii="宋体" w:eastAsia="宋体" w:hAnsi="宋体" w:cs="宋体" w:hint="eastAsia"/>
          <w:color w:val="auto"/>
          <w:kern w:val="0"/>
          <w:sz w:val="24"/>
        </w:rPr>
      </w:pPr>
      <w:r>
        <w:rPr>
          <w:rFonts w:ascii="宋体" w:eastAsia="宋体" w:hAnsi="宋体" w:cs="宋体" w:hint="eastAsia"/>
          <w:color w:val="auto"/>
          <w:kern w:val="0"/>
          <w:sz w:val="24"/>
        </w:rPr>
        <w:t>一、磋商一览表</w:t>
      </w:r>
    </w:p>
    <w:p>
      <w:pPr>
        <w:widowControl/>
        <w:spacing w:line="360" w:lineRule="auto"/>
        <w:ind w:firstLine="480" w:firstLineChars="200"/>
        <w:jc w:val="left"/>
        <w:outlineLvl w:val="2"/>
        <w:rPr>
          <w:rFonts w:ascii="宋体" w:eastAsia="宋体" w:hAnsi="宋体" w:cs="宋体" w:hint="eastAsia"/>
          <w:color w:val="auto"/>
          <w:kern w:val="0"/>
          <w:sz w:val="24"/>
        </w:rPr>
      </w:pPr>
      <w:r>
        <w:rPr>
          <w:rFonts w:ascii="宋体" w:eastAsia="宋体" w:hAnsi="宋体" w:cs="宋体" w:hint="eastAsia"/>
          <w:color w:val="auto"/>
          <w:kern w:val="0"/>
          <w:sz w:val="24"/>
        </w:rPr>
        <w:t>二、磋商书</w:t>
      </w:r>
    </w:p>
    <w:p>
      <w:pPr>
        <w:widowControl/>
        <w:spacing w:line="360" w:lineRule="auto"/>
        <w:ind w:firstLine="480" w:firstLineChars="200"/>
        <w:jc w:val="left"/>
        <w:outlineLvl w:val="2"/>
        <w:rPr>
          <w:rFonts w:ascii="宋体" w:eastAsia="宋体" w:hAnsi="宋体" w:cs="宋体" w:hint="eastAsia"/>
          <w:color w:val="auto"/>
          <w:kern w:val="0"/>
          <w:sz w:val="24"/>
        </w:rPr>
      </w:pPr>
      <w:r>
        <w:rPr>
          <w:rFonts w:ascii="宋体" w:eastAsia="宋体" w:hAnsi="宋体" w:cs="宋体" w:hint="eastAsia"/>
          <w:color w:val="auto"/>
          <w:kern w:val="0"/>
          <w:sz w:val="24"/>
        </w:rPr>
        <w:t>三、磋商保证书</w:t>
      </w:r>
    </w:p>
    <w:p>
      <w:pPr>
        <w:widowControl/>
        <w:spacing w:line="360" w:lineRule="auto"/>
        <w:ind w:firstLine="480" w:firstLineChars="200"/>
        <w:jc w:val="left"/>
        <w:outlineLvl w:val="2"/>
        <w:rPr>
          <w:rFonts w:ascii="宋体" w:eastAsia="宋体" w:hAnsi="宋体" w:cs="宋体" w:hint="eastAsia"/>
          <w:color w:val="auto"/>
          <w:kern w:val="0"/>
          <w:sz w:val="24"/>
        </w:rPr>
      </w:pPr>
      <w:r>
        <w:rPr>
          <w:rFonts w:ascii="宋体" w:eastAsia="宋体" w:hAnsi="宋体" w:cs="宋体" w:hint="eastAsia"/>
          <w:color w:val="auto"/>
          <w:kern w:val="0"/>
          <w:sz w:val="24"/>
        </w:rPr>
        <w:t>四、法定代表人身份证明书</w:t>
      </w:r>
    </w:p>
    <w:p>
      <w:pPr>
        <w:widowControl/>
        <w:spacing w:line="360" w:lineRule="auto"/>
        <w:ind w:firstLine="480" w:firstLineChars="200"/>
        <w:jc w:val="left"/>
        <w:outlineLvl w:val="2"/>
        <w:rPr>
          <w:rFonts w:ascii="宋体" w:eastAsia="宋体" w:hAnsi="宋体" w:cs="宋体" w:hint="eastAsia"/>
          <w:color w:val="auto"/>
          <w:kern w:val="0"/>
          <w:sz w:val="24"/>
        </w:rPr>
      </w:pPr>
      <w:r>
        <w:rPr>
          <w:rFonts w:ascii="宋体" w:eastAsia="宋体" w:hAnsi="宋体" w:cs="宋体" w:hint="eastAsia"/>
          <w:color w:val="auto"/>
          <w:kern w:val="0"/>
          <w:sz w:val="24"/>
        </w:rPr>
        <w:t>五、法定代表人授权委托书</w:t>
      </w:r>
    </w:p>
    <w:p>
      <w:pPr>
        <w:widowControl/>
        <w:spacing w:line="360" w:lineRule="auto"/>
        <w:ind w:firstLine="480" w:firstLineChars="200"/>
        <w:jc w:val="left"/>
        <w:outlineLvl w:val="2"/>
        <w:rPr>
          <w:rFonts w:ascii="宋体" w:eastAsia="宋体" w:hAnsi="宋体" w:cs="宋体" w:hint="eastAsia"/>
          <w:color w:val="auto"/>
          <w:kern w:val="0"/>
          <w:sz w:val="24"/>
          <w:lang w:val="en-US" w:eastAsia="zh-CN"/>
        </w:rPr>
      </w:pPr>
      <w:r>
        <w:rPr>
          <w:rFonts w:ascii="宋体" w:eastAsia="宋体" w:hAnsi="宋体" w:cs="宋体" w:hint="eastAsia"/>
          <w:color w:val="auto"/>
          <w:kern w:val="0"/>
          <w:sz w:val="24"/>
        </w:rPr>
        <w:t>六、</w:t>
      </w:r>
      <w:r>
        <w:rPr>
          <w:rFonts w:ascii="宋体" w:eastAsia="宋体" w:hAnsi="宋体" w:cs="宋体" w:hint="eastAsia"/>
          <w:color w:val="auto"/>
          <w:kern w:val="0"/>
          <w:sz w:val="24"/>
          <w:lang w:val="en-US" w:eastAsia="zh-CN"/>
        </w:rPr>
        <w:t>分项报价表</w:t>
      </w:r>
    </w:p>
    <w:p>
      <w:pPr>
        <w:pStyle w:val="BodyTextFirstIndent"/>
        <w:spacing w:line="360" w:lineRule="auto"/>
        <w:ind w:left="0" w:firstLine="480" w:leftChars="0" w:firstLineChars="200"/>
        <w:rPr>
          <w:rFonts w:hint="default"/>
          <w:lang w:val="en-US" w:eastAsia="zh-CN"/>
        </w:rPr>
      </w:pPr>
      <w:r>
        <w:rPr>
          <w:rFonts w:ascii="宋体" w:hAnsi="宋体" w:cs="宋体" w:hint="eastAsia"/>
          <w:color w:val="auto"/>
          <w:kern w:val="0"/>
          <w:sz w:val="24"/>
          <w:lang w:val="en-US" w:eastAsia="zh-CN"/>
        </w:rPr>
        <w:t>七、技术参数偏离表</w:t>
      </w:r>
    </w:p>
    <w:p>
      <w:pPr>
        <w:widowControl/>
        <w:spacing w:line="360" w:lineRule="auto"/>
        <w:ind w:firstLine="480" w:firstLineChars="200"/>
        <w:jc w:val="left"/>
        <w:outlineLvl w:val="2"/>
        <w:rPr>
          <w:rFonts w:ascii="宋体" w:eastAsia="宋体" w:hAnsi="宋体" w:cs="宋体" w:hint="eastAsia"/>
          <w:color w:val="auto"/>
          <w:kern w:val="0"/>
          <w:sz w:val="24"/>
        </w:rPr>
      </w:pPr>
      <w:r>
        <w:rPr>
          <w:rFonts w:ascii="宋体" w:hAnsi="宋体" w:cs="宋体" w:hint="eastAsia"/>
          <w:color w:val="auto"/>
          <w:kern w:val="0"/>
          <w:sz w:val="24"/>
          <w:lang w:val="en-US" w:eastAsia="zh-CN"/>
        </w:rPr>
        <w:t>八</w:t>
      </w:r>
      <w:r>
        <w:rPr>
          <w:rFonts w:ascii="宋体" w:eastAsia="宋体" w:hAnsi="宋体" w:cs="宋体" w:hint="eastAsia"/>
          <w:color w:val="auto"/>
          <w:kern w:val="0"/>
          <w:sz w:val="24"/>
        </w:rPr>
        <w:t>、供应商基本情况表</w:t>
      </w:r>
    </w:p>
    <w:p>
      <w:pPr>
        <w:widowControl/>
        <w:spacing w:line="360" w:lineRule="auto"/>
        <w:ind w:firstLine="480" w:firstLineChars="200"/>
        <w:jc w:val="left"/>
        <w:outlineLvl w:val="2"/>
        <w:rPr>
          <w:rFonts w:ascii="宋体" w:eastAsia="宋体" w:hAnsi="宋体" w:cs="宋体" w:hint="eastAsia"/>
          <w:color w:val="auto"/>
          <w:kern w:val="0"/>
          <w:sz w:val="24"/>
        </w:rPr>
      </w:pPr>
      <w:r>
        <w:rPr>
          <w:rFonts w:ascii="宋体" w:hAnsi="宋体" w:cs="宋体" w:hint="eastAsia"/>
          <w:color w:val="auto"/>
          <w:kern w:val="0"/>
          <w:sz w:val="24"/>
          <w:lang w:val="en-US" w:eastAsia="zh-CN"/>
        </w:rPr>
        <w:t>九</w:t>
      </w:r>
      <w:r>
        <w:rPr>
          <w:rFonts w:ascii="宋体" w:eastAsia="宋体" w:hAnsi="宋体" w:cs="宋体" w:hint="eastAsia"/>
          <w:color w:val="auto"/>
          <w:kern w:val="0"/>
          <w:sz w:val="24"/>
        </w:rPr>
        <w:t>、供应商相关证件及资料</w:t>
      </w:r>
    </w:p>
    <w:p>
      <w:pPr>
        <w:widowControl/>
        <w:spacing w:line="360" w:lineRule="auto"/>
        <w:ind w:firstLine="480" w:firstLineChars="200"/>
        <w:jc w:val="left"/>
        <w:outlineLvl w:val="2"/>
        <w:rPr>
          <w:rFonts w:ascii="宋体" w:eastAsia="宋体" w:hAnsi="宋体" w:cs="宋体" w:hint="eastAsia"/>
          <w:color w:val="auto"/>
          <w:kern w:val="0"/>
          <w:sz w:val="24"/>
        </w:rPr>
      </w:pPr>
      <w:r>
        <w:rPr>
          <w:rFonts w:ascii="宋体" w:hAnsi="宋体" w:cs="宋体" w:hint="eastAsia"/>
          <w:color w:val="auto"/>
          <w:kern w:val="0"/>
          <w:sz w:val="24"/>
          <w:lang w:val="en-US" w:eastAsia="zh-CN"/>
        </w:rPr>
        <w:t>十</w:t>
      </w:r>
      <w:r>
        <w:rPr>
          <w:rFonts w:ascii="宋体" w:eastAsia="宋体" w:hAnsi="宋体" w:cs="宋体" w:hint="eastAsia"/>
          <w:color w:val="auto"/>
          <w:kern w:val="0"/>
          <w:sz w:val="24"/>
        </w:rPr>
        <w:t>、类似项目业绩表</w:t>
      </w:r>
    </w:p>
    <w:p>
      <w:pPr>
        <w:widowControl/>
        <w:spacing w:line="360" w:lineRule="auto"/>
        <w:ind w:firstLine="480" w:firstLineChars="200"/>
        <w:jc w:val="left"/>
        <w:outlineLvl w:val="2"/>
        <w:rPr>
          <w:rFonts w:ascii="宋体" w:eastAsia="宋体" w:hAnsi="宋体" w:cs="宋体" w:hint="eastAsia"/>
          <w:color w:val="auto"/>
          <w:kern w:val="0"/>
          <w:sz w:val="24"/>
          <w:lang w:val="en-US" w:eastAsia="zh-CN"/>
        </w:rPr>
      </w:pPr>
      <w:r>
        <w:rPr>
          <w:rFonts w:ascii="宋体" w:eastAsia="宋体" w:hAnsi="宋体" w:cs="宋体" w:hint="eastAsia"/>
          <w:color w:val="auto"/>
          <w:kern w:val="0"/>
          <w:sz w:val="24"/>
        </w:rPr>
        <w:t>十</w:t>
      </w:r>
      <w:r>
        <w:rPr>
          <w:rFonts w:ascii="宋体" w:hAnsi="宋体" w:cs="宋体" w:hint="eastAsia"/>
          <w:color w:val="auto"/>
          <w:kern w:val="0"/>
          <w:sz w:val="24"/>
          <w:lang w:val="en-US" w:eastAsia="zh-CN"/>
        </w:rPr>
        <w:t>一</w:t>
      </w:r>
      <w:r>
        <w:rPr>
          <w:rFonts w:ascii="宋体" w:eastAsia="宋体" w:hAnsi="宋体" w:cs="宋体" w:hint="eastAsia"/>
          <w:color w:val="auto"/>
          <w:kern w:val="0"/>
          <w:sz w:val="24"/>
        </w:rPr>
        <w:t>、</w:t>
      </w:r>
      <w:r>
        <w:rPr>
          <w:rFonts w:ascii="宋体" w:eastAsia="宋体" w:hAnsi="宋体" w:cs="宋体" w:hint="eastAsia"/>
          <w:color w:val="auto"/>
          <w:kern w:val="0"/>
          <w:sz w:val="24"/>
          <w:lang w:val="en-US" w:eastAsia="zh-CN"/>
        </w:rPr>
        <w:t>售后服务承诺及保证措施</w:t>
      </w:r>
    </w:p>
    <w:p>
      <w:pPr>
        <w:widowControl/>
        <w:spacing w:line="360" w:lineRule="auto"/>
        <w:ind w:firstLine="480" w:firstLineChars="200"/>
        <w:jc w:val="left"/>
        <w:outlineLvl w:val="2"/>
        <w:rPr>
          <w:rFonts w:ascii="宋体" w:eastAsia="宋体" w:hAnsi="宋体" w:cs="宋体" w:hint="default"/>
          <w:color w:val="auto"/>
          <w:kern w:val="0"/>
          <w:sz w:val="24"/>
          <w:lang w:val="en-US" w:eastAsia="zh-CN"/>
        </w:rPr>
      </w:pPr>
      <w:r>
        <w:rPr>
          <w:rFonts w:ascii="宋体" w:eastAsia="宋体" w:hAnsi="宋体" w:cs="宋体" w:hint="eastAsia"/>
          <w:color w:val="auto"/>
          <w:kern w:val="0"/>
          <w:sz w:val="24"/>
        </w:rPr>
        <w:t>十</w:t>
      </w:r>
      <w:r>
        <w:rPr>
          <w:rFonts w:ascii="宋体" w:hAnsi="宋体" w:cs="宋体" w:hint="eastAsia"/>
          <w:color w:val="auto"/>
          <w:kern w:val="0"/>
          <w:sz w:val="24"/>
          <w:lang w:val="en-US" w:eastAsia="zh-CN"/>
        </w:rPr>
        <w:t>二</w:t>
      </w:r>
      <w:r>
        <w:rPr>
          <w:rFonts w:ascii="宋体" w:eastAsia="宋体" w:hAnsi="宋体" w:cs="宋体" w:hint="eastAsia"/>
          <w:color w:val="auto"/>
          <w:kern w:val="0"/>
          <w:sz w:val="24"/>
        </w:rPr>
        <w:t>、</w:t>
      </w:r>
      <w:r>
        <w:rPr>
          <w:rFonts w:ascii="宋体" w:eastAsia="宋体" w:hAnsi="宋体" w:cs="宋体" w:hint="eastAsia"/>
          <w:color w:val="auto"/>
          <w:kern w:val="0"/>
          <w:sz w:val="24"/>
          <w:lang w:val="en-US" w:eastAsia="zh-CN"/>
        </w:rPr>
        <w:t>人员组成</w:t>
      </w:r>
    </w:p>
    <w:p>
      <w:pPr>
        <w:widowControl/>
        <w:spacing w:line="360" w:lineRule="auto"/>
        <w:ind w:firstLine="480" w:firstLineChars="200"/>
        <w:jc w:val="left"/>
        <w:outlineLvl w:val="2"/>
        <w:rPr>
          <w:rFonts w:ascii="宋体" w:eastAsia="宋体" w:hAnsi="宋体" w:cs="宋体" w:hint="eastAsia"/>
          <w:color w:val="auto"/>
          <w:kern w:val="0"/>
          <w:sz w:val="24"/>
        </w:rPr>
      </w:pPr>
      <w:r>
        <w:rPr>
          <w:rFonts w:ascii="宋体" w:eastAsia="宋体" w:hAnsi="宋体" w:cs="宋体" w:hint="eastAsia"/>
          <w:color w:val="auto"/>
          <w:kern w:val="0"/>
          <w:sz w:val="24"/>
        </w:rPr>
        <w:t>十</w:t>
      </w:r>
      <w:r>
        <w:rPr>
          <w:rFonts w:ascii="宋体" w:hAnsi="宋体" w:cs="宋体" w:hint="eastAsia"/>
          <w:color w:val="auto"/>
          <w:kern w:val="0"/>
          <w:sz w:val="24"/>
          <w:lang w:val="en-US" w:eastAsia="zh-CN"/>
        </w:rPr>
        <w:t>三</w:t>
      </w:r>
      <w:r>
        <w:rPr>
          <w:rFonts w:ascii="宋体" w:eastAsia="宋体" w:hAnsi="宋体" w:cs="宋体" w:hint="eastAsia"/>
          <w:color w:val="auto"/>
          <w:kern w:val="0"/>
          <w:sz w:val="24"/>
        </w:rPr>
        <w:t>、磋商保证金凭据复印件/扫描件</w:t>
      </w:r>
    </w:p>
    <w:p>
      <w:pPr>
        <w:widowControl/>
        <w:spacing w:line="360" w:lineRule="auto"/>
        <w:ind w:firstLine="480" w:firstLineChars="200"/>
        <w:jc w:val="left"/>
        <w:outlineLvl w:val="2"/>
        <w:rPr>
          <w:rFonts w:ascii="宋体" w:eastAsia="宋体" w:hAnsi="宋体" w:cs="宋体" w:hint="eastAsia"/>
          <w:color w:val="auto"/>
          <w:kern w:val="0"/>
          <w:sz w:val="24"/>
        </w:rPr>
      </w:pPr>
      <w:r>
        <w:rPr>
          <w:rFonts w:ascii="宋体" w:eastAsia="宋体" w:hAnsi="宋体" w:cs="宋体" w:hint="eastAsia"/>
          <w:color w:val="auto"/>
          <w:kern w:val="0"/>
          <w:sz w:val="24"/>
        </w:rPr>
        <w:t>十</w:t>
      </w:r>
      <w:r>
        <w:rPr>
          <w:rFonts w:ascii="宋体" w:hAnsi="宋体" w:cs="宋体" w:hint="eastAsia"/>
          <w:color w:val="auto"/>
          <w:kern w:val="0"/>
          <w:sz w:val="24"/>
          <w:lang w:val="en-US" w:eastAsia="zh-CN"/>
        </w:rPr>
        <w:t>四</w:t>
      </w:r>
      <w:r>
        <w:rPr>
          <w:rFonts w:ascii="宋体" w:eastAsia="宋体" w:hAnsi="宋体" w:cs="宋体" w:hint="eastAsia"/>
          <w:color w:val="auto"/>
          <w:kern w:val="0"/>
          <w:sz w:val="24"/>
        </w:rPr>
        <w:t>、供应商认为需提供的其他材料</w:t>
      </w:r>
    </w:p>
    <w:p>
      <w:pPr>
        <w:widowControl/>
        <w:spacing w:line="360" w:lineRule="auto"/>
        <w:ind w:firstLine="480" w:firstLineChars="200"/>
        <w:jc w:val="left"/>
        <w:outlineLvl w:val="2"/>
        <w:rPr>
          <w:rFonts w:ascii="宋体" w:eastAsia="宋体" w:hAnsi="宋体" w:cs="宋体" w:hint="eastAsia"/>
          <w:color w:val="auto"/>
          <w:kern w:val="0"/>
          <w:sz w:val="24"/>
        </w:rPr>
      </w:pPr>
      <w:r>
        <w:rPr>
          <w:rFonts w:ascii="宋体" w:eastAsia="宋体" w:hAnsi="宋体" w:cs="宋体" w:hint="eastAsia"/>
          <w:color w:val="auto"/>
          <w:kern w:val="0"/>
          <w:sz w:val="24"/>
        </w:rPr>
        <w:t>第二次报价单</w:t>
      </w:r>
    </w:p>
    <w:p>
      <w:pPr>
        <w:widowControl/>
        <w:spacing w:line="560" w:lineRule="exact"/>
        <w:ind w:firstLine="480" w:firstLineChars="200"/>
        <w:jc w:val="left"/>
        <w:outlineLvl w:val="2"/>
        <w:rPr>
          <w:rFonts w:ascii="宋体" w:eastAsia="宋体" w:hAnsi="宋体" w:cs="宋体"/>
          <w:b/>
          <w:color w:val="auto"/>
          <w:kern w:val="0"/>
          <w:sz w:val="24"/>
        </w:rPr>
      </w:pPr>
      <w:r>
        <w:rPr>
          <w:rFonts w:ascii="宋体" w:eastAsia="宋体" w:hAnsi="宋体" w:cs="宋体" w:hint="eastAsia"/>
          <w:b/>
          <w:color w:val="auto"/>
          <w:kern w:val="0"/>
          <w:sz w:val="24"/>
        </w:rPr>
        <w:t>3．响应文件的格式</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3.1 供应商应按磋商文件中提供的响应文件格式编写响应文件。</w:t>
      </w:r>
    </w:p>
    <w:p>
      <w:pPr>
        <w:widowControl/>
        <w:spacing w:line="560" w:lineRule="exact"/>
        <w:ind w:firstLine="480" w:firstLineChars="200"/>
        <w:jc w:val="left"/>
        <w:rPr>
          <w:rFonts w:ascii="宋体" w:eastAsia="宋体" w:hAnsi="宋体" w:cs="宋体"/>
          <w:b/>
          <w:color w:val="auto"/>
          <w:kern w:val="0"/>
          <w:sz w:val="24"/>
        </w:rPr>
      </w:pPr>
      <w:r>
        <w:rPr>
          <w:rFonts w:ascii="宋体" w:eastAsia="宋体" w:hAnsi="宋体" w:cs="宋体" w:hint="eastAsia"/>
          <w:b/>
          <w:color w:val="auto"/>
          <w:kern w:val="0"/>
          <w:sz w:val="24"/>
        </w:rPr>
        <w:t>4．响应文件递交</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4.1网上递交：电子响应文件网上递交网址为</w:t>
      </w:r>
      <w:r>
        <w:rPr>
          <w:rFonts w:ascii="宋体" w:eastAsia="宋体" w:hAnsi="宋体" w:cs="宋体" w:hint="eastAsia"/>
          <w:color w:val="auto"/>
          <w:sz w:val="24"/>
        </w:rPr>
        <w:t>西双版纳州公共资源交易电子服务系统（https://ggzy.yn.gov.cn/ynggfwpt-home-web/#/homePage）</w:t>
      </w:r>
      <w:r>
        <w:rPr>
          <w:rFonts w:ascii="宋体" w:eastAsia="宋体" w:hAnsi="宋体" w:cs="宋体" w:hint="eastAsia"/>
          <w:color w:val="auto"/>
          <w:kern w:val="0"/>
          <w:sz w:val="24"/>
        </w:rPr>
        <w:t>，供应商须在磋商截止时间前完成所有响应文件的上传，网上确认电子签名，并打印</w:t>
      </w:r>
      <w:r>
        <w:rPr>
          <w:rFonts w:ascii="宋体" w:eastAsia="宋体" w:hAnsi="宋体" w:cs="宋体" w:hint="eastAsia"/>
          <w:color w:val="auto"/>
          <w:kern w:val="0"/>
          <w:sz w:val="24"/>
        </w:rPr>
        <w:t>“</w:t>
      </w:r>
      <w:r>
        <w:rPr>
          <w:rFonts w:ascii="宋体" w:eastAsia="宋体" w:hAnsi="宋体" w:cs="宋体" w:hint="eastAsia"/>
          <w:color w:val="auto"/>
          <w:kern w:val="0"/>
          <w:sz w:val="24"/>
        </w:rPr>
        <w:t>上传响应文件回执</w:t>
      </w:r>
      <w:r>
        <w:rPr>
          <w:rFonts w:ascii="宋体" w:eastAsia="宋体" w:hAnsi="宋体" w:cs="宋体" w:hint="eastAsia"/>
          <w:color w:val="auto"/>
          <w:kern w:val="0"/>
          <w:sz w:val="24"/>
        </w:rPr>
        <w:t>”</w:t>
      </w:r>
      <w:r>
        <w:rPr>
          <w:rFonts w:ascii="宋体" w:eastAsia="宋体" w:hAnsi="宋体" w:cs="宋体" w:hint="eastAsia"/>
          <w:color w:val="auto"/>
          <w:kern w:val="0"/>
          <w:sz w:val="24"/>
        </w:rPr>
        <w:t xml:space="preserve">，磋商响应截止时间前未完成响应文件传输的，视为撤回响应文件。 </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4.</w:t>
      </w:r>
      <w:r>
        <w:rPr>
          <w:rFonts w:ascii="宋体" w:hAnsi="宋体" w:cs="宋体" w:hint="eastAsia"/>
          <w:color w:val="auto"/>
          <w:kern w:val="0"/>
          <w:sz w:val="24"/>
          <w:lang w:val="en-US" w:eastAsia="zh-CN"/>
        </w:rPr>
        <w:t>2开标时应</w:t>
      </w:r>
      <w:r>
        <w:rPr>
          <w:rFonts w:ascii="宋体" w:eastAsia="宋体" w:hAnsi="宋体" w:cs="宋体" w:hint="eastAsia"/>
          <w:color w:val="auto"/>
          <w:kern w:val="0"/>
          <w:sz w:val="24"/>
        </w:rPr>
        <w:t>携带供应商的用于加密电子版响应文件的CA证书。</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4.</w:t>
      </w:r>
      <w:r>
        <w:rPr>
          <w:rFonts w:ascii="宋体" w:hAnsi="宋体" w:cs="宋体" w:hint="eastAsia"/>
          <w:color w:val="auto"/>
          <w:kern w:val="0"/>
          <w:sz w:val="24"/>
          <w:lang w:val="en-US" w:eastAsia="zh-CN"/>
        </w:rPr>
        <w:t>3</w:t>
      </w:r>
      <w:r>
        <w:rPr>
          <w:rFonts w:ascii="宋体" w:eastAsia="宋体" w:hAnsi="宋体" w:cs="宋体" w:hint="eastAsia"/>
          <w:color w:val="auto"/>
          <w:kern w:val="0"/>
          <w:sz w:val="24"/>
        </w:rPr>
        <w:t>未按指定方式上传或逾期上传的电子响应文件，采购人不予受理。</w:t>
      </w:r>
    </w:p>
    <w:p>
      <w:pPr>
        <w:widowControl/>
        <w:spacing w:line="560" w:lineRule="exact"/>
        <w:ind w:firstLine="480" w:firstLineChars="200"/>
        <w:jc w:val="left"/>
        <w:rPr>
          <w:rFonts w:ascii="宋体" w:eastAsia="宋体" w:hAnsi="宋体" w:cs="宋体"/>
          <w:b/>
          <w:bCs/>
          <w:color w:val="auto"/>
          <w:kern w:val="0"/>
          <w:sz w:val="24"/>
        </w:rPr>
      </w:pPr>
      <w:r>
        <w:rPr>
          <w:rFonts w:ascii="宋体" w:eastAsia="宋体" w:hAnsi="宋体" w:cs="宋体" w:hint="eastAsia"/>
          <w:b/>
          <w:bCs/>
          <w:color w:val="auto"/>
          <w:kern w:val="0"/>
          <w:sz w:val="24"/>
        </w:rPr>
        <w:t>注：不同单位的响应文件若芯片序列号、硬盘序列号、网卡序列号一致，视为由同一台电脑编制！逾期送达的或者未按指定方式上传的响应文件，采购人不予受理。</w:t>
      </w:r>
    </w:p>
    <w:p>
      <w:pPr>
        <w:widowControl/>
        <w:spacing w:line="560" w:lineRule="exact"/>
        <w:ind w:firstLine="480" w:firstLineChars="200"/>
        <w:jc w:val="left"/>
        <w:rPr>
          <w:rFonts w:ascii="宋体" w:eastAsia="宋体" w:hAnsi="宋体" w:cs="宋体" w:hint="eastAsia"/>
          <w:color w:val="auto"/>
          <w:kern w:val="0"/>
          <w:sz w:val="24"/>
        </w:rPr>
      </w:pPr>
      <w:r>
        <w:rPr>
          <w:rFonts w:ascii="宋体" w:eastAsia="宋体" w:hAnsi="宋体" w:cs="宋体" w:hint="eastAsia"/>
          <w:color w:val="auto"/>
          <w:kern w:val="0"/>
          <w:sz w:val="24"/>
        </w:rPr>
        <w:t>5．磋商报价</w:t>
      </w:r>
    </w:p>
    <w:p>
      <w:pPr>
        <w:widowControl/>
        <w:spacing w:line="560" w:lineRule="exact"/>
        <w:ind w:firstLine="480" w:firstLineChars="200"/>
        <w:jc w:val="left"/>
        <w:rPr>
          <w:rFonts w:ascii="宋体" w:eastAsia="宋体" w:hAnsi="宋体" w:cs="宋体" w:hint="eastAsia"/>
          <w:color w:val="auto"/>
          <w:kern w:val="0"/>
          <w:sz w:val="24"/>
        </w:rPr>
      </w:pPr>
      <w:r>
        <w:rPr>
          <w:rFonts w:ascii="宋体" w:eastAsia="宋体" w:hAnsi="宋体" w:cs="宋体" w:hint="eastAsia"/>
          <w:color w:val="auto"/>
          <w:kern w:val="0"/>
          <w:sz w:val="24"/>
        </w:rPr>
        <w:t>5.1磋商总报价为供应商在响应文件中提出的各项支付金额的总和，应是完成本项目的全部费用，包括：</w:t>
      </w:r>
      <w:r>
        <w:rPr>
          <w:rFonts w:ascii="宋体" w:eastAsia="宋体" w:hAnsi="宋体" w:cs="宋体" w:hint="eastAsia"/>
          <w:color w:val="auto"/>
          <w:kern w:val="0"/>
          <w:sz w:val="24"/>
          <w:lang w:val="en-US" w:eastAsia="zh-CN"/>
        </w:rPr>
        <w:t>货物成本、</w:t>
      </w:r>
      <w:r>
        <w:rPr>
          <w:rFonts w:ascii="宋体" w:eastAsia="宋体" w:hAnsi="宋体" w:cs="宋体" w:hint="eastAsia"/>
          <w:color w:val="auto"/>
          <w:kern w:val="0"/>
          <w:sz w:val="24"/>
        </w:rPr>
        <w:t>人员工资、差旅费、管理费、利润、税金、代理服务费等，供应商不得以任何理由予以重复计算。成交人负责按照采购人指定的地点和要求进行</w:t>
      </w:r>
      <w:r>
        <w:rPr>
          <w:rFonts w:ascii="宋体" w:eastAsia="宋体" w:hAnsi="宋体" w:cs="宋体" w:hint="eastAsia"/>
          <w:color w:val="auto"/>
          <w:kern w:val="0"/>
          <w:sz w:val="24"/>
          <w:lang w:val="en-US" w:eastAsia="zh-CN"/>
        </w:rPr>
        <w:t>供货</w:t>
      </w:r>
      <w:r>
        <w:rPr>
          <w:rFonts w:ascii="宋体" w:eastAsia="宋体" w:hAnsi="宋体" w:cs="宋体" w:hint="eastAsia"/>
          <w:color w:val="auto"/>
          <w:kern w:val="0"/>
          <w:sz w:val="24"/>
        </w:rPr>
        <w:t>。</w:t>
      </w:r>
    </w:p>
    <w:p>
      <w:pPr>
        <w:widowControl/>
        <w:spacing w:line="560" w:lineRule="exact"/>
        <w:ind w:firstLine="480" w:firstLineChars="200"/>
        <w:jc w:val="left"/>
        <w:rPr>
          <w:rFonts w:ascii="宋体" w:eastAsia="宋体" w:hAnsi="宋体" w:cs="宋体" w:hint="eastAsia"/>
          <w:color w:val="auto"/>
          <w:kern w:val="0"/>
          <w:sz w:val="24"/>
        </w:rPr>
      </w:pPr>
      <w:r>
        <w:rPr>
          <w:rFonts w:ascii="宋体" w:eastAsia="宋体" w:hAnsi="宋体" w:cs="宋体" w:hint="eastAsia"/>
          <w:color w:val="auto"/>
          <w:kern w:val="0"/>
          <w:sz w:val="24"/>
        </w:rPr>
        <w:t>5.2供应商应在磋商一览表上进行第一次报价（总价），其响应文件通过初步评审后，按照供应商须知前附表规定的顺序分别与竞争性磋商小组进行磋商，供应商根据磋商内容，进行第二次报价单（最后报价）及确认。</w:t>
      </w:r>
    </w:p>
    <w:p>
      <w:pPr>
        <w:spacing w:line="520" w:lineRule="exact"/>
        <w:ind w:firstLine="480" w:firstLineChars="200"/>
        <w:rPr>
          <w:rFonts w:ascii="宋体" w:eastAsia="宋体" w:hAnsi="宋体" w:cs="宋体"/>
          <w:color w:val="auto"/>
          <w:sz w:val="24"/>
        </w:rPr>
      </w:pPr>
      <w:r>
        <w:rPr>
          <w:rFonts w:ascii="宋体" w:eastAsia="宋体" w:hAnsi="宋体" w:cs="宋体" w:hint="eastAsia"/>
          <w:color w:val="auto"/>
          <w:sz w:val="24"/>
        </w:rPr>
        <w:t>5.3 编制依据</w:t>
      </w:r>
    </w:p>
    <w:p>
      <w:pPr>
        <w:spacing w:line="520" w:lineRule="exact"/>
        <w:ind w:firstLine="480" w:firstLineChars="200"/>
        <w:rPr>
          <w:rFonts w:ascii="宋体" w:eastAsia="宋体" w:hAnsi="宋体" w:cs="宋体"/>
          <w:color w:val="auto"/>
          <w:sz w:val="24"/>
        </w:rPr>
      </w:pPr>
      <w:r>
        <w:rPr>
          <w:rFonts w:ascii="宋体" w:eastAsia="宋体" w:hAnsi="宋体" w:cs="宋体" w:hint="eastAsia"/>
          <w:color w:val="auto"/>
          <w:sz w:val="24"/>
        </w:rPr>
        <w:t>（1）市场供求状况；</w:t>
      </w:r>
    </w:p>
    <w:p>
      <w:pPr>
        <w:spacing w:line="520" w:lineRule="exact"/>
        <w:ind w:firstLine="480" w:firstLineChars="200"/>
        <w:rPr>
          <w:rFonts w:ascii="宋体" w:eastAsia="宋体" w:hAnsi="宋体" w:cs="宋体"/>
          <w:color w:val="auto"/>
          <w:sz w:val="24"/>
        </w:rPr>
      </w:pPr>
      <w:r>
        <w:rPr>
          <w:rFonts w:ascii="宋体" w:eastAsia="宋体" w:hAnsi="宋体" w:cs="宋体" w:hint="eastAsia"/>
          <w:color w:val="auto"/>
          <w:sz w:val="24"/>
        </w:rPr>
        <w:t>（2）综合考虑</w:t>
      </w:r>
      <w:r>
        <w:rPr>
          <w:rFonts w:ascii="宋体" w:eastAsia="宋体" w:hAnsi="宋体" w:cs="宋体" w:hint="eastAsia"/>
          <w:color w:val="auto"/>
          <w:sz w:val="24"/>
          <w:lang w:eastAsia="zh-CN"/>
        </w:rPr>
        <w:t>供货时间</w:t>
      </w:r>
      <w:r>
        <w:rPr>
          <w:rFonts w:ascii="宋体" w:eastAsia="宋体" w:hAnsi="宋体" w:cs="宋体" w:hint="eastAsia"/>
          <w:color w:val="auto"/>
          <w:sz w:val="24"/>
        </w:rPr>
        <w:t>、地点和质量要求及其它要求，必要的技术措施和合同实施过程中可能发生的风险因素；</w:t>
      </w:r>
    </w:p>
    <w:p>
      <w:pPr>
        <w:widowControl/>
        <w:spacing w:line="560" w:lineRule="exact"/>
        <w:ind w:firstLine="480" w:firstLineChars="200"/>
        <w:jc w:val="left"/>
        <w:rPr>
          <w:rFonts w:ascii="宋体" w:eastAsia="宋体" w:hAnsi="宋体" w:cs="宋体"/>
          <w:color w:val="auto"/>
          <w:sz w:val="24"/>
        </w:rPr>
      </w:pPr>
      <w:r>
        <w:rPr>
          <w:rFonts w:ascii="宋体" w:eastAsia="宋体" w:hAnsi="宋体" w:cs="宋体" w:hint="eastAsia"/>
          <w:color w:val="auto"/>
          <w:sz w:val="24"/>
        </w:rPr>
        <w:t>（3）磋商报价由供应商结合市场价格和自身实力自报。</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5.4供应商应响应磋商文件</w:t>
      </w:r>
      <w:r>
        <w:rPr>
          <w:rFonts w:ascii="宋体" w:eastAsia="宋体" w:hAnsi="宋体" w:cs="宋体" w:hint="eastAsia"/>
          <w:color w:val="auto"/>
          <w:kern w:val="0"/>
          <w:sz w:val="24"/>
        </w:rPr>
        <w:t>“</w:t>
      </w:r>
      <w:r>
        <w:rPr>
          <w:rFonts w:ascii="宋体" w:eastAsia="宋体" w:hAnsi="宋体" w:cs="宋体" w:hint="eastAsia"/>
          <w:color w:val="auto"/>
          <w:kern w:val="0"/>
          <w:sz w:val="24"/>
        </w:rPr>
        <w:t>磋商一览表</w:t>
      </w:r>
      <w:r>
        <w:rPr>
          <w:rFonts w:ascii="宋体" w:eastAsia="宋体" w:hAnsi="宋体" w:cs="宋体" w:hint="eastAsia"/>
          <w:color w:val="auto"/>
          <w:kern w:val="0"/>
          <w:sz w:val="24"/>
        </w:rPr>
        <w:t>”</w:t>
      </w:r>
      <w:r>
        <w:rPr>
          <w:rFonts w:ascii="宋体" w:eastAsia="宋体" w:hAnsi="宋体" w:cs="宋体" w:hint="eastAsia"/>
          <w:color w:val="auto"/>
          <w:kern w:val="0"/>
          <w:sz w:val="24"/>
        </w:rPr>
        <w:t>要求的统一格式填写，并由法人代表或授权代表签字和盖章后生效，未按统一格式填写或缺漏项，响应为无效响应。</w:t>
      </w:r>
    </w:p>
    <w:p>
      <w:pPr>
        <w:spacing w:line="400" w:lineRule="exact"/>
        <w:ind w:firstLine="420" w:firstLineChars="175"/>
        <w:rPr>
          <w:rFonts w:ascii="宋体" w:eastAsia="宋体" w:hAnsi="宋体" w:cs="宋体"/>
          <w:b/>
          <w:bCs/>
          <w:color w:val="auto"/>
          <w:sz w:val="24"/>
        </w:rPr>
      </w:pPr>
      <w:r>
        <w:rPr>
          <w:rFonts w:ascii="宋体" w:eastAsia="宋体" w:hAnsi="宋体" w:cs="宋体" w:hint="eastAsia"/>
          <w:b/>
          <w:bCs/>
          <w:color w:val="auto"/>
          <w:sz w:val="24"/>
        </w:rPr>
        <w:t>6. 磋商保证金</w:t>
      </w:r>
    </w:p>
    <w:p>
      <w:pPr>
        <w:spacing w:line="480" w:lineRule="exact"/>
        <w:ind w:firstLine="480" w:firstLineChars="200"/>
        <w:rPr>
          <w:rFonts w:ascii="宋体" w:eastAsia="宋体" w:hAnsi="宋体" w:cs="宋体"/>
          <w:color w:val="auto"/>
          <w:sz w:val="24"/>
        </w:rPr>
      </w:pPr>
      <w:r>
        <w:rPr>
          <w:rFonts w:ascii="宋体" w:eastAsia="宋体" w:hAnsi="宋体" w:cs="宋体" w:hint="eastAsia"/>
          <w:color w:val="auto"/>
          <w:sz w:val="24"/>
        </w:rPr>
        <w:t>6.1 供应商须按照供应商须知前附表的规定提交磋商保证金，供应商未按要求提交磋商保证金的，其响应文件作无效标书处理。</w:t>
      </w:r>
    </w:p>
    <w:p>
      <w:pPr>
        <w:spacing w:line="480" w:lineRule="exact"/>
        <w:ind w:firstLine="480" w:firstLineChars="200"/>
        <w:rPr>
          <w:rFonts w:ascii="宋体" w:eastAsia="宋体" w:hAnsi="宋体" w:cs="宋体"/>
          <w:color w:val="auto"/>
          <w:sz w:val="24"/>
        </w:rPr>
      </w:pPr>
      <w:r>
        <w:rPr>
          <w:rFonts w:ascii="宋体" w:eastAsia="宋体" w:hAnsi="宋体" w:cs="宋体" w:hint="eastAsia"/>
          <w:color w:val="auto"/>
          <w:sz w:val="24"/>
        </w:rPr>
        <w:t>6.2 采购代理机构应当在成交通知书发出后5个工作日内退还未成交供应商的磋商保证金，在采购合同签订后5个工作日内退还成交供应商的磋商保证金。</w:t>
      </w:r>
    </w:p>
    <w:p>
      <w:pPr>
        <w:spacing w:line="480" w:lineRule="exact"/>
        <w:ind w:firstLine="480" w:firstLineChars="200"/>
        <w:rPr>
          <w:rFonts w:ascii="宋体" w:eastAsia="宋体" w:hAnsi="宋体" w:cs="宋体"/>
          <w:color w:val="auto"/>
          <w:sz w:val="24"/>
        </w:rPr>
      </w:pPr>
      <w:r>
        <w:rPr>
          <w:rFonts w:ascii="宋体" w:eastAsia="宋体" w:hAnsi="宋体" w:cs="宋体" w:hint="eastAsia"/>
          <w:color w:val="auto"/>
          <w:sz w:val="24"/>
        </w:rPr>
        <w:t>6.3 成交供应商有下列情形之一的，采购代理机构不予退还其提交的磋商保证金：</w:t>
      </w:r>
      <w:r>
        <w:rPr>
          <w:rFonts w:ascii="宋体" w:eastAsia="宋体" w:hAnsi="宋体" w:cs="宋体" w:hint="eastAsia"/>
          <w:color w:val="auto"/>
          <w:sz w:val="24"/>
        </w:rPr>
        <w:t> </w:t>
      </w:r>
    </w:p>
    <w:p>
      <w:pPr>
        <w:widowControl/>
        <w:shd w:val="clear" w:color="000000" w:fill="auto"/>
        <w:spacing w:line="480" w:lineRule="exact"/>
        <w:ind w:firstLine="480" w:firstLineChars="200"/>
        <w:rPr>
          <w:rFonts w:ascii="宋体" w:eastAsia="宋体" w:hAnsi="宋体" w:cs="宋体"/>
          <w:color w:val="auto"/>
          <w:sz w:val="24"/>
        </w:rPr>
      </w:pPr>
      <w:r>
        <w:rPr>
          <w:rFonts w:ascii="宋体" w:eastAsia="宋体" w:hAnsi="宋体" w:cs="宋体" w:hint="eastAsia"/>
          <w:color w:val="auto"/>
          <w:sz w:val="24"/>
        </w:rPr>
        <w:t>（1）供应商在提交响应文件截止时间后撤回响应文件的；</w:t>
      </w:r>
    </w:p>
    <w:p>
      <w:pPr>
        <w:shd w:val="clear" w:color="000000" w:fill="auto"/>
        <w:spacing w:line="480" w:lineRule="exact"/>
        <w:ind w:firstLine="480" w:firstLineChars="200"/>
        <w:rPr>
          <w:rFonts w:ascii="宋体" w:eastAsia="宋体" w:hAnsi="宋体" w:cs="宋体"/>
          <w:color w:val="auto"/>
          <w:sz w:val="24"/>
        </w:rPr>
      </w:pPr>
      <w:r>
        <w:rPr>
          <w:rFonts w:ascii="宋体" w:eastAsia="宋体" w:hAnsi="宋体" w:cs="宋体" w:hint="eastAsia"/>
          <w:color w:val="auto"/>
          <w:sz w:val="24"/>
        </w:rPr>
        <w:t>（2）供应商在响应文件中提供虚假材料的；</w:t>
      </w:r>
    </w:p>
    <w:p>
      <w:pPr>
        <w:shd w:val="clear" w:color="000000" w:fill="auto"/>
        <w:spacing w:line="480" w:lineRule="exact"/>
        <w:ind w:firstLine="480" w:firstLineChars="200"/>
        <w:rPr>
          <w:rFonts w:ascii="宋体" w:eastAsia="宋体" w:hAnsi="宋体" w:cs="宋体"/>
          <w:color w:val="auto"/>
          <w:sz w:val="24"/>
        </w:rPr>
      </w:pPr>
      <w:r>
        <w:rPr>
          <w:rFonts w:ascii="宋体" w:eastAsia="宋体" w:hAnsi="宋体" w:cs="宋体" w:hint="eastAsia"/>
          <w:color w:val="auto"/>
          <w:sz w:val="24"/>
        </w:rPr>
        <w:t>（3）除因不可抗力或竞争性磋商文件认可的情形以外，成交供应商不与采购人签订合同的；</w:t>
      </w:r>
    </w:p>
    <w:p>
      <w:pPr>
        <w:shd w:val="clear" w:color="000000" w:fill="auto"/>
        <w:spacing w:line="480" w:lineRule="exact"/>
        <w:ind w:firstLine="480" w:firstLineChars="200"/>
        <w:rPr>
          <w:rFonts w:ascii="宋体" w:eastAsia="宋体" w:hAnsi="宋体" w:cs="宋体"/>
          <w:color w:val="auto"/>
          <w:sz w:val="24"/>
        </w:rPr>
      </w:pPr>
      <w:r>
        <w:rPr>
          <w:rFonts w:ascii="宋体" w:eastAsia="宋体" w:hAnsi="宋体" w:cs="宋体" w:hint="eastAsia"/>
          <w:color w:val="auto"/>
          <w:sz w:val="24"/>
        </w:rPr>
        <w:t>（4）供应商与采购人、其他供应商或者采购代理机构恶意串通的。</w:t>
      </w:r>
    </w:p>
    <w:p>
      <w:pPr>
        <w:widowControl/>
        <w:spacing w:line="560" w:lineRule="exact"/>
        <w:jc w:val="left"/>
        <w:outlineLvl w:val="2"/>
        <w:rPr>
          <w:rFonts w:ascii="宋体" w:eastAsia="宋体" w:hAnsi="宋体" w:cs="宋体"/>
          <w:b/>
          <w:color w:val="auto"/>
          <w:kern w:val="0"/>
          <w:sz w:val="24"/>
        </w:rPr>
      </w:pPr>
      <w:r>
        <w:rPr>
          <w:rFonts w:ascii="宋体" w:eastAsia="宋体" w:hAnsi="宋体" w:cs="宋体" w:hint="eastAsia"/>
          <w:b/>
          <w:color w:val="auto"/>
          <w:kern w:val="0"/>
          <w:sz w:val="24"/>
        </w:rPr>
        <w:t>7. 磋商有效期</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7.1磋商有效期为60日历天（响应文件递交截止时间起计算）。</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7.2特殊情况下，在磋商有效期满之前，采购代理机构可以以书面形式要求供应商延长其磋商响应有效期。供应商可以以书面形式拒绝或接受上述要求。对于拒绝上述要求的供应商，其磋商保证金不被没收。对于接受该要求的供应商，采购代理机构既不要求也不允许其修改响应文件。</w:t>
      </w:r>
    </w:p>
    <w:p>
      <w:pPr>
        <w:widowControl/>
        <w:spacing w:before="120" w:beforeLines="50" w:after="120" w:afterLines="50" w:line="560" w:lineRule="exact"/>
        <w:ind w:firstLine="360" w:firstLineChars="150"/>
        <w:jc w:val="left"/>
        <w:outlineLvl w:val="1"/>
        <w:rPr>
          <w:rFonts w:ascii="宋体" w:eastAsia="宋体" w:hAnsi="宋体" w:cs="宋体"/>
          <w:b/>
          <w:bCs/>
          <w:color w:val="auto"/>
          <w:kern w:val="0"/>
          <w:sz w:val="24"/>
        </w:rPr>
      </w:pPr>
      <w:bookmarkStart w:id="50" w:name="_Toc234588854"/>
      <w:bookmarkStart w:id="51" w:name="_Toc293921815"/>
      <w:r>
        <w:rPr>
          <w:rFonts w:ascii="宋体" w:eastAsia="宋体" w:hAnsi="宋体" w:cs="宋体" w:hint="eastAsia"/>
          <w:b/>
          <w:bCs/>
          <w:color w:val="auto"/>
          <w:kern w:val="0"/>
          <w:sz w:val="24"/>
        </w:rPr>
        <w:t>四、磋商和</w:t>
      </w:r>
      <w:bookmarkEnd w:id="50"/>
      <w:bookmarkEnd w:id="51"/>
      <w:r>
        <w:rPr>
          <w:rFonts w:ascii="宋体" w:eastAsia="宋体" w:hAnsi="宋体" w:cs="宋体" w:hint="eastAsia"/>
          <w:b/>
          <w:bCs/>
          <w:color w:val="auto"/>
          <w:kern w:val="0"/>
          <w:sz w:val="24"/>
        </w:rPr>
        <w:t>评审</w:t>
      </w:r>
    </w:p>
    <w:p>
      <w:pPr>
        <w:widowControl/>
        <w:spacing w:line="560" w:lineRule="exact"/>
        <w:ind w:firstLine="480" w:firstLineChars="200"/>
        <w:jc w:val="left"/>
        <w:outlineLvl w:val="2"/>
        <w:rPr>
          <w:rFonts w:ascii="宋体" w:eastAsia="宋体" w:hAnsi="宋体" w:cs="宋体"/>
          <w:b/>
          <w:color w:val="auto"/>
          <w:kern w:val="0"/>
          <w:sz w:val="24"/>
        </w:rPr>
      </w:pPr>
      <w:r>
        <w:rPr>
          <w:rFonts w:ascii="宋体" w:eastAsia="宋体" w:hAnsi="宋体" w:cs="宋体" w:hint="eastAsia"/>
          <w:b/>
          <w:color w:val="auto"/>
          <w:kern w:val="0"/>
          <w:sz w:val="24"/>
        </w:rPr>
        <w:t>1.磋商</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1.1招标代理机构按磋商文件规定的时间和地点组织磋商。采购人代表、供应商代表、监督人员、招标代理机构工作人员参加磋商大会。参加磋商的各方代表应签名报到以证明其出席。</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1.2采购人将根据本项目的性质和特点依法组建磋商小组，竞争性磋商小组由</w:t>
      </w:r>
      <w:r>
        <w:rPr>
          <w:rFonts w:ascii="宋体" w:eastAsia="宋体" w:hAnsi="宋体" w:cs="宋体" w:hint="eastAsia"/>
          <w:color w:val="auto"/>
          <w:kern w:val="0"/>
          <w:sz w:val="24"/>
          <w:lang w:val="en-US" w:eastAsia="zh-CN"/>
        </w:rPr>
        <w:t>采购人代表1人，</w:t>
      </w:r>
      <w:r>
        <w:rPr>
          <w:rFonts w:ascii="宋体" w:eastAsia="宋体" w:hAnsi="宋体" w:cs="宋体" w:hint="eastAsia"/>
          <w:color w:val="auto"/>
          <w:kern w:val="0"/>
          <w:sz w:val="24"/>
        </w:rPr>
        <w:t>评审专家</w:t>
      </w:r>
      <w:r>
        <w:rPr>
          <w:rFonts w:ascii="宋体" w:eastAsia="宋体" w:hAnsi="宋体" w:cs="宋体" w:hint="eastAsia"/>
          <w:color w:val="auto"/>
          <w:sz w:val="24"/>
          <w:lang w:val="en-US" w:eastAsia="zh-CN"/>
        </w:rPr>
        <w:t>2</w:t>
      </w:r>
      <w:r>
        <w:rPr>
          <w:rFonts w:ascii="宋体" w:eastAsia="宋体" w:hAnsi="宋体" w:cs="宋体" w:hint="eastAsia"/>
          <w:color w:val="auto"/>
          <w:sz w:val="24"/>
        </w:rPr>
        <w:t>人</w:t>
      </w:r>
      <w:r>
        <w:rPr>
          <w:rFonts w:ascii="宋体" w:eastAsia="宋体" w:hAnsi="宋体" w:cs="宋体" w:hint="eastAsia"/>
          <w:color w:val="auto"/>
          <w:sz w:val="24"/>
          <w:lang w:val="en-US" w:eastAsia="zh-CN"/>
        </w:rPr>
        <w:t>构成</w:t>
      </w:r>
      <w:r>
        <w:rPr>
          <w:rFonts w:ascii="宋体" w:eastAsia="宋体" w:hAnsi="宋体" w:cs="宋体" w:hint="eastAsia"/>
          <w:color w:val="auto"/>
          <w:kern w:val="0"/>
          <w:sz w:val="24"/>
        </w:rPr>
        <w:t>；竞争性磋商小组按照法律、法规的规定，在全封闭的保密条件下进行评审，任何个人和单位不得干扰竞争性磋商小组的正常工作。</w:t>
      </w:r>
      <w:r>
        <w:rPr>
          <w:rFonts w:ascii="宋体" w:eastAsia="宋体" w:hAnsi="宋体" w:cs="宋体" w:hint="eastAsia"/>
          <w:color w:val="auto"/>
          <w:sz w:val="24"/>
        </w:rPr>
        <w:t>评审专家</w:t>
      </w:r>
      <w:r>
        <w:rPr>
          <w:rFonts w:ascii="宋体" w:eastAsia="宋体" w:hAnsi="宋体" w:cs="宋体" w:hint="eastAsia"/>
          <w:color w:val="auto"/>
          <w:sz w:val="24"/>
          <w:lang w:val="en-US" w:eastAsia="zh-CN"/>
        </w:rPr>
        <w:t>2人</w:t>
      </w:r>
      <w:r>
        <w:rPr>
          <w:rFonts w:ascii="宋体" w:eastAsia="宋体" w:hAnsi="宋体" w:cs="宋体" w:hint="eastAsia"/>
          <w:color w:val="auto"/>
          <w:sz w:val="24"/>
          <w:lang w:eastAsia="zh-CN"/>
        </w:rPr>
        <w:t>由采购人自行</w:t>
      </w:r>
      <w:r>
        <w:rPr>
          <w:rFonts w:ascii="宋体" w:eastAsia="宋体" w:hAnsi="宋体" w:cs="宋体" w:hint="eastAsia"/>
          <w:color w:val="auto"/>
          <w:sz w:val="24"/>
        </w:rPr>
        <w:t>从政府采购评审专家库中随机抽取。</w:t>
      </w:r>
    </w:p>
    <w:p>
      <w:pPr>
        <w:spacing w:line="480" w:lineRule="exact"/>
        <w:ind w:firstLine="560"/>
        <w:rPr>
          <w:rFonts w:ascii="宋体" w:eastAsia="宋体" w:hAnsi="宋体" w:cs="宋体"/>
          <w:color w:val="auto"/>
          <w:kern w:val="0"/>
          <w:sz w:val="24"/>
        </w:rPr>
      </w:pPr>
      <w:r>
        <w:rPr>
          <w:rFonts w:ascii="宋体" w:eastAsia="宋体" w:hAnsi="宋体" w:cs="宋体" w:hint="eastAsia"/>
          <w:color w:val="auto"/>
          <w:kern w:val="0"/>
          <w:sz w:val="24"/>
        </w:rPr>
        <w:t>1.3评审专家与参加采购活动的供应商存在下列利害关系之一的，应当回避:</w:t>
      </w:r>
    </w:p>
    <w:p>
      <w:pPr>
        <w:spacing w:line="480" w:lineRule="exact"/>
        <w:ind w:firstLine="560"/>
        <w:rPr>
          <w:rFonts w:ascii="宋体" w:eastAsia="宋体" w:hAnsi="宋体" w:cs="宋体"/>
          <w:color w:val="auto"/>
          <w:kern w:val="0"/>
          <w:sz w:val="24"/>
        </w:rPr>
      </w:pPr>
      <w:r>
        <w:rPr>
          <w:rFonts w:ascii="宋体" w:eastAsia="宋体" w:hAnsi="宋体" w:cs="宋体" w:hint="eastAsia"/>
          <w:color w:val="auto"/>
          <w:kern w:val="0"/>
          <w:sz w:val="24"/>
        </w:rPr>
        <w:t>(1)参加采购活动前三年内，与供应商存在劳动关系，或者担任过供应商的董事、监事，或者是供应商的控股股东或实际控制人。</w:t>
      </w:r>
    </w:p>
    <w:p>
      <w:pPr>
        <w:spacing w:line="480" w:lineRule="exact"/>
        <w:ind w:firstLine="560"/>
        <w:rPr>
          <w:rFonts w:ascii="宋体" w:eastAsia="宋体" w:hAnsi="宋体" w:cs="宋体"/>
          <w:color w:val="auto"/>
          <w:kern w:val="0"/>
          <w:sz w:val="24"/>
        </w:rPr>
      </w:pPr>
      <w:r>
        <w:rPr>
          <w:rFonts w:ascii="宋体" w:eastAsia="宋体" w:hAnsi="宋体" w:cs="宋体" w:hint="eastAsia"/>
          <w:color w:val="auto"/>
          <w:kern w:val="0"/>
          <w:sz w:val="24"/>
        </w:rPr>
        <w:t>(2)与供应商的法定代表人或者负责人有夫妻、直系血亲、三代以内旁系血亲或者近姻亲关系。</w:t>
      </w:r>
    </w:p>
    <w:p>
      <w:pPr>
        <w:spacing w:line="480" w:lineRule="exact"/>
        <w:ind w:firstLine="560"/>
        <w:rPr>
          <w:rFonts w:ascii="宋体" w:eastAsia="宋体" w:hAnsi="宋体" w:cs="宋体"/>
          <w:color w:val="auto"/>
          <w:kern w:val="0"/>
          <w:sz w:val="24"/>
        </w:rPr>
      </w:pPr>
      <w:r>
        <w:rPr>
          <w:rFonts w:ascii="宋体" w:eastAsia="宋体" w:hAnsi="宋体" w:cs="宋体" w:hint="eastAsia"/>
          <w:color w:val="auto"/>
          <w:kern w:val="0"/>
          <w:sz w:val="24"/>
        </w:rPr>
        <w:t>(3)与供应商有其他可能影响政府采购活动公平、公正进行的关系。</w:t>
      </w:r>
    </w:p>
    <w:p>
      <w:pPr>
        <w:spacing w:line="480" w:lineRule="exact"/>
        <w:ind w:firstLine="560"/>
        <w:rPr>
          <w:rFonts w:ascii="宋体" w:eastAsia="宋体" w:hAnsi="宋体" w:cs="宋体"/>
          <w:color w:val="auto"/>
          <w:kern w:val="0"/>
          <w:sz w:val="24"/>
        </w:rPr>
      </w:pPr>
      <w:r>
        <w:rPr>
          <w:rFonts w:ascii="宋体" w:eastAsia="宋体" w:hAnsi="宋体" w:cs="宋体" w:hint="eastAsia"/>
          <w:color w:val="auto"/>
          <w:kern w:val="0"/>
          <w:sz w:val="24"/>
        </w:rPr>
        <w:t>评审专家发现本人与参加采购活动的供应商有利害关系的，应当主动提出回避。采购人或者采购代理机构发现评审专家与参加采购活动的供应商有利害关系的，应当要求其回避。</w:t>
      </w:r>
    </w:p>
    <w:p>
      <w:pPr>
        <w:spacing w:line="480" w:lineRule="exact"/>
        <w:ind w:firstLine="560"/>
        <w:rPr>
          <w:rFonts w:ascii="宋体" w:eastAsia="宋体" w:hAnsi="宋体" w:cs="宋体"/>
          <w:color w:val="auto"/>
          <w:kern w:val="0"/>
          <w:sz w:val="24"/>
        </w:rPr>
      </w:pPr>
      <w:r>
        <w:rPr>
          <w:rFonts w:ascii="宋体" w:eastAsia="宋体" w:hAnsi="宋体" w:cs="宋体" w:hint="eastAsia"/>
          <w:color w:val="auto"/>
          <w:kern w:val="0"/>
          <w:sz w:val="24"/>
        </w:rPr>
        <w:t>1.4评审中因竞争性磋商小组成员缺席、回避或者健康等特殊原因导致竞争性磋商小组组成不符合竞争性磋商文件规定的，采购人或者采购代理机构应当按规定补足后继续评审。被更换的竞争性磋商小组成员所作出的评审意见无效。无法及时补足竞争性磋商小组成员的，采购人或者采购代理机构应当停止评审活动，封存所有响应文件和评审资料，重新组建竞争性磋商小组进行评审。原竞争性磋商小组所作出的评审意见无效。采购人或者采购代理机构应当将变更、重新组建竞争性磋商小组的情况予以记录，并随竞争性磋商文件一并存档。</w:t>
      </w:r>
    </w:p>
    <w:p>
      <w:pPr>
        <w:spacing w:line="480" w:lineRule="exact"/>
        <w:ind w:firstLine="480" w:firstLineChars="200"/>
        <w:rPr>
          <w:rFonts w:ascii="宋体" w:eastAsia="宋体" w:hAnsi="宋体" w:cs="宋体"/>
          <w:color w:val="auto"/>
          <w:kern w:val="0"/>
          <w:sz w:val="24"/>
        </w:rPr>
      </w:pPr>
      <w:r>
        <w:rPr>
          <w:rFonts w:ascii="宋体" w:eastAsia="宋体" w:hAnsi="宋体" w:cs="宋体" w:hint="eastAsia"/>
          <w:color w:val="auto"/>
          <w:kern w:val="0"/>
          <w:sz w:val="24"/>
        </w:rPr>
        <w:t>1.5竞争性磋商小组应当根据综合评分情况，按照评审得分由高到低顺序推荐3名以上成交候选供应商，并编写评审报告。市场竞争不充分的科研项目，需要扶持的科技成果转化项目，以及采用竞争性磋商采购方式采购的政府购买服务项目（含政府和社会资本合作项目），在采购过程中符合要求的供应商（社会资本）只有2家的，竞争性磋商采购活动可以继续进行。评审得分相同的，按照最后报价由低到高的顺序推荐。评审得分及最后报价相同的，按照技术指标优劣顺序推荐。</w:t>
      </w:r>
    </w:p>
    <w:p>
      <w:pPr>
        <w:widowControl/>
        <w:spacing w:line="560" w:lineRule="exact"/>
        <w:ind w:left="420"/>
        <w:jc w:val="left"/>
        <w:outlineLvl w:val="2"/>
        <w:rPr>
          <w:rFonts w:ascii="宋体" w:eastAsia="宋体" w:hAnsi="宋体" w:cs="宋体"/>
          <w:color w:val="auto"/>
        </w:rPr>
      </w:pPr>
      <w:r>
        <w:rPr>
          <w:rFonts w:ascii="宋体" w:eastAsia="宋体" w:hAnsi="宋体" w:cs="宋体" w:hint="eastAsia"/>
          <w:b/>
          <w:color w:val="auto"/>
          <w:kern w:val="0"/>
          <w:sz w:val="24"/>
        </w:rPr>
        <w:t>2.磋商程序和方法</w:t>
      </w:r>
    </w:p>
    <w:p>
      <w:pPr>
        <w:spacing w:line="480" w:lineRule="exact"/>
        <w:ind w:firstLine="560"/>
        <w:rPr>
          <w:rFonts w:ascii="宋体" w:eastAsia="宋体" w:hAnsi="宋体" w:cs="宋体"/>
          <w:color w:val="auto"/>
          <w:kern w:val="0"/>
          <w:sz w:val="24"/>
        </w:rPr>
      </w:pPr>
      <w:r>
        <w:rPr>
          <w:rFonts w:ascii="宋体" w:eastAsia="宋体" w:hAnsi="宋体" w:cs="宋体" w:hint="eastAsia"/>
          <w:color w:val="auto"/>
          <w:kern w:val="0"/>
          <w:sz w:val="24"/>
        </w:rPr>
        <w:t xml:space="preserve">2.1磋商小组按照 </w:t>
      </w:r>
      <w:r>
        <w:rPr>
          <w:rFonts w:ascii="宋体" w:eastAsia="宋体" w:hAnsi="宋体" w:cs="宋体" w:hint="eastAsia"/>
          <w:color w:val="auto"/>
          <w:kern w:val="0"/>
          <w:sz w:val="24"/>
        </w:rPr>
        <w:t>“</w:t>
      </w:r>
      <w:r>
        <w:rPr>
          <w:rFonts w:ascii="宋体" w:eastAsia="宋体" w:hAnsi="宋体" w:cs="宋体" w:hint="eastAsia"/>
          <w:color w:val="auto"/>
          <w:kern w:val="0"/>
          <w:sz w:val="24"/>
        </w:rPr>
        <w:t>第四章评审办法</w:t>
      </w:r>
      <w:r>
        <w:rPr>
          <w:rFonts w:ascii="宋体" w:eastAsia="宋体" w:hAnsi="宋体" w:cs="宋体" w:hint="eastAsia"/>
          <w:color w:val="auto"/>
          <w:kern w:val="0"/>
          <w:sz w:val="24"/>
        </w:rPr>
        <w:t>”</w:t>
      </w:r>
      <w:r>
        <w:rPr>
          <w:rFonts w:ascii="宋体" w:eastAsia="宋体" w:hAnsi="宋体" w:cs="宋体" w:hint="eastAsia"/>
          <w:color w:val="auto"/>
          <w:kern w:val="0"/>
          <w:sz w:val="24"/>
        </w:rPr>
        <w:t>规定的方法、因素、标准和程序进行磋商。</w:t>
      </w:r>
      <w:r>
        <w:rPr>
          <w:rFonts w:ascii="宋体" w:eastAsia="宋体" w:hAnsi="宋体" w:cs="宋体" w:hint="eastAsia"/>
          <w:color w:val="auto"/>
          <w:kern w:val="0"/>
          <w:sz w:val="24"/>
        </w:rPr>
        <w:t>“</w:t>
      </w:r>
      <w:r>
        <w:rPr>
          <w:rFonts w:ascii="宋体" w:eastAsia="宋体" w:hAnsi="宋体" w:cs="宋体" w:hint="eastAsia"/>
          <w:color w:val="auto"/>
          <w:kern w:val="0"/>
          <w:sz w:val="24"/>
        </w:rPr>
        <w:t>第四章评审办法</w:t>
      </w:r>
      <w:r>
        <w:rPr>
          <w:rFonts w:ascii="宋体" w:eastAsia="宋体" w:hAnsi="宋体" w:cs="宋体" w:hint="eastAsia"/>
          <w:color w:val="auto"/>
          <w:kern w:val="0"/>
          <w:sz w:val="24"/>
        </w:rPr>
        <w:t>”</w:t>
      </w:r>
      <w:r>
        <w:rPr>
          <w:rFonts w:ascii="宋体" w:eastAsia="宋体" w:hAnsi="宋体" w:cs="宋体" w:hint="eastAsia"/>
          <w:color w:val="auto"/>
          <w:kern w:val="0"/>
          <w:sz w:val="24"/>
        </w:rPr>
        <w:t>没有规定的评审因素和评审标准，不作为评审依据。</w:t>
      </w:r>
    </w:p>
    <w:p>
      <w:pPr>
        <w:pStyle w:val="CommentText"/>
        <w:spacing w:line="480" w:lineRule="exact"/>
        <w:ind w:firstLine="480" w:firstLineChars="200"/>
        <w:jc w:val="both"/>
        <w:rPr>
          <w:rFonts w:ascii="宋体" w:eastAsia="宋体" w:hAnsi="宋体" w:cs="宋体"/>
          <w:color w:val="auto"/>
          <w:kern w:val="0"/>
          <w:sz w:val="24"/>
        </w:rPr>
      </w:pPr>
      <w:r>
        <w:rPr>
          <w:rFonts w:ascii="宋体" w:eastAsia="宋体" w:hAnsi="宋体" w:cs="宋体" w:hint="eastAsia"/>
          <w:color w:val="auto"/>
          <w:kern w:val="0"/>
          <w:sz w:val="24"/>
        </w:rPr>
        <w:t>2.2评审完成后，竞争性磋商小组应向采购人提交书面评审报告。</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2.3响应文件属下列情况之一的，其响应为无效响应，供应商即失去进入详评的权力：</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2.3.1未交磋商保证金或金额不足的；</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2.3.2资格证明文件不全或过期的；</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2.3.3法定代表人不能参加投标，又无法定代表人授权书的；</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2.3.4未按照磋商文件规定要求密封、签署、盖章的；</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2.3.5不符合法律、法规和磋商文件中规定的其他实质性要求的；</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2.3.6供应商的报价超过采购预算的，采购人不能接受。</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 xml:space="preserve">2.4询问及对响应文件的澄清 </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2.4.1开启磋商后，磋商小组将对响应文件进行审查、质疑、评估和比较，并对响应文件尚未表述清楚的问题向供应商进行询问。</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2.4.2询问是评审中的重要环节，供应商法人代表或其授权人必须接受磋商小组的询问。</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2.4.3为了有助于对磋商文件进行审查、评估和比较，采购代理机构有权向供应商质疑，请供应商澄清其响应内容。供应商须按采购代理机构的通知派技术或商务人员进行答疑和澄清。</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2.4.4 重要澄清的答复应是书面的，并由法人代表或授权代表签署，但不得对响应内容进行实质性修改。此书面文件是响应文件的组成部分。</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2.5评标内容</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详见</w:t>
      </w:r>
      <w:r>
        <w:rPr>
          <w:rFonts w:ascii="宋体" w:eastAsia="宋体" w:hAnsi="宋体" w:cs="宋体" w:hint="eastAsia"/>
          <w:color w:val="auto"/>
          <w:kern w:val="0"/>
          <w:sz w:val="24"/>
        </w:rPr>
        <w:t>“</w:t>
      </w:r>
      <w:r>
        <w:rPr>
          <w:rFonts w:ascii="宋体" w:eastAsia="宋体" w:hAnsi="宋体" w:cs="宋体" w:hint="eastAsia"/>
          <w:color w:val="auto"/>
          <w:kern w:val="0"/>
          <w:sz w:val="24"/>
        </w:rPr>
        <w:t>第四章评审办法</w:t>
      </w:r>
      <w:r>
        <w:rPr>
          <w:rFonts w:ascii="宋体" w:eastAsia="宋体" w:hAnsi="宋体" w:cs="宋体" w:hint="eastAsia"/>
          <w:color w:val="auto"/>
          <w:kern w:val="0"/>
          <w:sz w:val="24"/>
        </w:rPr>
        <w:t>”</w:t>
      </w:r>
      <w:r>
        <w:rPr>
          <w:rFonts w:ascii="宋体" w:eastAsia="宋体" w:hAnsi="宋体" w:cs="宋体" w:hint="eastAsia"/>
          <w:color w:val="auto"/>
          <w:kern w:val="0"/>
          <w:sz w:val="24"/>
        </w:rPr>
        <w:t>。</w:t>
      </w:r>
    </w:p>
    <w:p>
      <w:pPr>
        <w:widowControl/>
        <w:spacing w:line="560" w:lineRule="exact"/>
        <w:ind w:left="420"/>
        <w:jc w:val="left"/>
        <w:outlineLvl w:val="2"/>
        <w:rPr>
          <w:rFonts w:ascii="宋体" w:eastAsia="宋体" w:hAnsi="宋体" w:cs="宋体"/>
          <w:b/>
          <w:color w:val="auto"/>
          <w:kern w:val="0"/>
          <w:sz w:val="24"/>
        </w:rPr>
      </w:pPr>
      <w:bookmarkStart w:id="52" w:name="_Toc234588855"/>
      <w:bookmarkStart w:id="53" w:name="_Toc293921816"/>
      <w:r>
        <w:rPr>
          <w:rFonts w:ascii="宋体" w:eastAsia="宋体" w:hAnsi="宋体" w:cs="宋体" w:hint="eastAsia"/>
          <w:b/>
          <w:color w:val="auto"/>
          <w:kern w:val="0"/>
          <w:sz w:val="24"/>
        </w:rPr>
        <w:t>3.无效标书情形</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3.1不符合本竞争性磋商文件第三章</w:t>
      </w:r>
      <w:r>
        <w:rPr>
          <w:rFonts w:ascii="宋体" w:eastAsia="宋体" w:hAnsi="宋体" w:cs="宋体" w:hint="eastAsia"/>
          <w:color w:val="auto"/>
          <w:kern w:val="0"/>
          <w:sz w:val="24"/>
        </w:rPr>
        <w:t>“</w:t>
      </w:r>
      <w:r>
        <w:rPr>
          <w:rFonts w:ascii="宋体" w:eastAsia="宋体" w:hAnsi="宋体" w:cs="宋体" w:hint="eastAsia"/>
          <w:color w:val="auto"/>
          <w:kern w:val="0"/>
          <w:sz w:val="24"/>
        </w:rPr>
        <w:t>评审办法</w:t>
      </w:r>
      <w:r>
        <w:rPr>
          <w:rFonts w:ascii="宋体" w:eastAsia="宋体" w:hAnsi="宋体" w:cs="宋体" w:hint="eastAsia"/>
          <w:color w:val="auto"/>
          <w:kern w:val="0"/>
          <w:sz w:val="24"/>
        </w:rPr>
        <w:t>”</w:t>
      </w:r>
      <w:r>
        <w:rPr>
          <w:rFonts w:ascii="宋体" w:eastAsia="宋体" w:hAnsi="宋体" w:cs="宋体" w:hint="eastAsia"/>
          <w:color w:val="auto"/>
          <w:kern w:val="0"/>
          <w:sz w:val="24"/>
        </w:rPr>
        <w:t>中资格审查和符合性审查要求之一的，属于无效标书的情形。</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3.2竞争性磋商小组认为供应商的最后报价明显低于其他供应商的报价，有可能</w:t>
      </w:r>
      <w:r>
        <w:rPr>
          <w:rFonts w:ascii="宋体" w:eastAsia="宋体" w:hAnsi="宋体" w:cs="宋体" w:hint="eastAsia"/>
          <w:color w:val="auto"/>
          <w:kern w:val="0"/>
          <w:sz w:val="24"/>
          <w:lang w:val="en-US" w:eastAsia="zh-CN"/>
        </w:rPr>
        <w:t>货物</w:t>
      </w:r>
      <w:r>
        <w:rPr>
          <w:rFonts w:ascii="宋体" w:eastAsia="宋体" w:hAnsi="宋体" w:cs="宋体" w:hint="eastAsia"/>
          <w:color w:val="auto"/>
          <w:kern w:val="0"/>
          <w:sz w:val="24"/>
        </w:rPr>
        <w:t>质量或者不能诚信履约的，应当要求其在评审现场合理的时间内提供书面说明，必要时提交相关证明材料；供应商不能证明其报价合理性的，其响应文件可能会被拒绝。</w:t>
      </w:r>
    </w:p>
    <w:p>
      <w:pPr>
        <w:widowControl/>
        <w:spacing w:line="56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3.3存在供应商须知第2.3条规定的任一情形。</w:t>
      </w:r>
    </w:p>
    <w:p>
      <w:pPr>
        <w:spacing w:line="480" w:lineRule="exact"/>
        <w:ind w:firstLine="480" w:firstLineChars="200"/>
        <w:jc w:val="left"/>
        <w:rPr>
          <w:rFonts w:ascii="宋体" w:eastAsia="宋体" w:hAnsi="宋体" w:cs="宋体"/>
          <w:b/>
          <w:color w:val="auto"/>
          <w:kern w:val="0"/>
          <w:sz w:val="24"/>
        </w:rPr>
      </w:pPr>
      <w:bookmarkEnd w:id="52"/>
      <w:bookmarkEnd w:id="53"/>
      <w:r>
        <w:rPr>
          <w:rFonts w:ascii="宋体" w:eastAsia="宋体" w:hAnsi="宋体" w:cs="宋体" w:hint="eastAsia"/>
          <w:b/>
          <w:color w:val="auto"/>
          <w:kern w:val="0"/>
          <w:sz w:val="24"/>
        </w:rPr>
        <w:t>4. 终止采购活动的情形</w:t>
      </w:r>
    </w:p>
    <w:p>
      <w:pPr>
        <w:spacing w:line="48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4.1因情况变化，不再符合规定的竞争性磋商采购方式适用情形的。</w:t>
      </w:r>
    </w:p>
    <w:p>
      <w:pPr>
        <w:spacing w:line="48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4.2出现影响采购公正的违法、违规行为的。</w:t>
      </w:r>
    </w:p>
    <w:p>
      <w:pPr>
        <w:spacing w:line="48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4.3除市场竞争不充分的科研项目和需要扶持的科技成果转化项目外，在采购过程中符合要求的供应商或者报价未超过采购预算的供应商不足3家的。</w:t>
      </w:r>
    </w:p>
    <w:p>
      <w:pPr>
        <w:spacing w:line="480" w:lineRule="exact"/>
        <w:ind w:firstLine="480" w:firstLineChars="200"/>
        <w:rPr>
          <w:rFonts w:ascii="宋体" w:eastAsia="宋体" w:hAnsi="宋体" w:cs="宋体"/>
          <w:color w:val="auto"/>
          <w:sz w:val="28"/>
          <w:szCs w:val="28"/>
        </w:rPr>
      </w:pPr>
      <w:r>
        <w:rPr>
          <w:rFonts w:ascii="宋体" w:eastAsia="宋体" w:hAnsi="宋体" w:cs="宋体" w:hint="eastAsia"/>
          <w:color w:val="auto"/>
          <w:kern w:val="0"/>
          <w:sz w:val="24"/>
        </w:rPr>
        <w:t>4.4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将终止竞争性磋商采购活动，发布项目终止公告并说明原因，重新开展采购活动。</w:t>
      </w:r>
    </w:p>
    <w:p>
      <w:pPr>
        <w:widowControl/>
        <w:spacing w:line="560" w:lineRule="exact"/>
        <w:ind w:firstLine="480" w:firstLineChars="200"/>
        <w:jc w:val="left"/>
        <w:outlineLvl w:val="2"/>
        <w:rPr>
          <w:rFonts w:ascii="宋体" w:eastAsia="宋体" w:hAnsi="宋体" w:cs="宋体"/>
          <w:b/>
          <w:bCs/>
          <w:color w:val="auto"/>
          <w:kern w:val="0"/>
          <w:sz w:val="24"/>
        </w:rPr>
      </w:pPr>
      <w:r>
        <w:rPr>
          <w:rFonts w:ascii="宋体" w:eastAsia="宋体" w:hAnsi="宋体" w:cs="宋体" w:hint="eastAsia"/>
          <w:b/>
          <w:bCs/>
          <w:color w:val="auto"/>
          <w:kern w:val="0"/>
          <w:sz w:val="24"/>
        </w:rPr>
        <w:t xml:space="preserve">五.成交结果公示 </w:t>
      </w:r>
    </w:p>
    <w:p>
      <w:pPr>
        <w:spacing w:line="480" w:lineRule="exact"/>
        <w:ind w:firstLine="480" w:firstLineChars="200"/>
        <w:jc w:val="left"/>
        <w:rPr>
          <w:rFonts w:ascii="宋体" w:eastAsia="宋体" w:hAnsi="宋体" w:cs="宋体"/>
          <w:color w:val="auto"/>
          <w:kern w:val="0"/>
          <w:sz w:val="24"/>
        </w:rPr>
      </w:pPr>
      <w:r>
        <w:rPr>
          <w:rFonts w:ascii="宋体" w:eastAsia="宋体" w:hAnsi="宋体" w:cs="宋体" w:hint="eastAsia"/>
          <w:color w:val="auto"/>
          <w:kern w:val="0"/>
          <w:sz w:val="24"/>
        </w:rPr>
        <w:t>采购人从评审报告提出的成交候选供应商中，按照排序由高到低的原则确定成交供应商。成交供应商确定后，成交结果同时在</w:t>
      </w:r>
      <w:r>
        <w:rPr>
          <w:rFonts w:ascii="宋体" w:eastAsia="宋体" w:hAnsi="宋体" w:cs="宋体" w:hint="eastAsia"/>
          <w:bCs/>
          <w:color w:val="auto"/>
          <w:sz w:val="24"/>
          <w:szCs w:val="24"/>
          <w:lang w:eastAsia="zh-CN"/>
        </w:rPr>
        <w:t>中国政府采购网（http://www.ccgp.gov.cn/）</w:t>
      </w:r>
      <w:r>
        <w:rPr>
          <w:rFonts w:ascii="宋体" w:eastAsia="宋体" w:hAnsi="宋体" w:cs="宋体" w:hint="eastAsia"/>
          <w:bCs/>
          <w:color w:val="auto"/>
          <w:sz w:val="24"/>
          <w:szCs w:val="24"/>
        </w:rPr>
        <w:t>、云南省公共资源交易信息网（https://ggzy.yn.gov.cn/#/homePage）、西双版纳州公共资源交易电子服务系统（https://ggzy.yn.gov.cn/ynggfwpt-home-web/#/homePage）</w:t>
      </w:r>
      <w:r>
        <w:rPr>
          <w:rFonts w:ascii="宋体" w:eastAsia="宋体" w:hAnsi="宋体" w:cs="宋体" w:hint="eastAsia"/>
          <w:color w:val="auto"/>
          <w:kern w:val="0"/>
          <w:sz w:val="24"/>
        </w:rPr>
        <w:t>上进行公告。在发布公告结束后，采购人向成交供应商发出成交通知书，成交通知书对采购人和成交供应商具有同等法律效力。</w:t>
      </w:r>
    </w:p>
    <w:p>
      <w:pPr>
        <w:widowControl/>
        <w:spacing w:line="560" w:lineRule="exact"/>
        <w:ind w:firstLine="480" w:firstLineChars="200"/>
        <w:jc w:val="left"/>
        <w:outlineLvl w:val="2"/>
        <w:rPr>
          <w:rFonts w:ascii="宋体" w:eastAsia="宋体" w:hAnsi="宋体" w:cs="宋体"/>
          <w:b/>
          <w:color w:val="auto"/>
          <w:kern w:val="0"/>
          <w:sz w:val="24"/>
        </w:rPr>
      </w:pPr>
      <w:r>
        <w:rPr>
          <w:rFonts w:ascii="宋体" w:eastAsia="宋体" w:hAnsi="宋体" w:cs="宋体" w:hint="eastAsia"/>
          <w:b/>
          <w:color w:val="auto"/>
          <w:kern w:val="0"/>
          <w:sz w:val="24"/>
        </w:rPr>
        <w:t>六.合同的签订</w:t>
      </w:r>
    </w:p>
    <w:p>
      <w:pPr>
        <w:spacing w:line="480" w:lineRule="exact"/>
        <w:ind w:firstLine="480" w:firstLineChars="200"/>
        <w:rPr>
          <w:rFonts w:ascii="宋体" w:eastAsia="宋体" w:hAnsi="宋体" w:cs="宋体"/>
          <w:color w:val="auto"/>
          <w:kern w:val="0"/>
          <w:sz w:val="24"/>
        </w:rPr>
      </w:pPr>
      <w:bookmarkStart w:id="54" w:name="_Toc293921817"/>
      <w:r>
        <w:rPr>
          <w:rFonts w:ascii="宋体" w:eastAsia="宋体" w:hAnsi="宋体" w:cs="宋体" w:hint="eastAsia"/>
          <w:color w:val="auto"/>
          <w:kern w:val="0"/>
          <w:sz w:val="24"/>
        </w:rPr>
        <w:t>6.1采购人和成交供应商应当自成交通知书发出之日起30日内与采购人签订政府采购合同。成交供应商拒绝与采购人签订合同的，采购人可以按照评审报告推荐的成交候选人名单排序，确定下一候选人为成交供应商，也可以重新开展政府采购活动。</w:t>
      </w:r>
    </w:p>
    <w:p>
      <w:pPr>
        <w:spacing w:line="480" w:lineRule="exact"/>
        <w:ind w:firstLine="480" w:firstLineChars="200"/>
        <w:rPr>
          <w:rFonts w:ascii="宋体" w:eastAsia="宋体" w:hAnsi="宋体" w:cs="宋体"/>
          <w:color w:val="auto"/>
          <w:kern w:val="0"/>
          <w:sz w:val="24"/>
        </w:rPr>
      </w:pPr>
      <w:r>
        <w:rPr>
          <w:rFonts w:ascii="宋体" w:eastAsia="宋体" w:hAnsi="宋体" w:cs="宋体" w:hint="eastAsia"/>
          <w:color w:val="auto"/>
          <w:kern w:val="0"/>
          <w:sz w:val="24"/>
        </w:rPr>
        <w:t>6.2除因不可抗力或竞争性磋商文件认可的情形以外，成交供应商不与采购人签订合同的，其磋商保证金不予退还；给采购人造成的损失超过磋商保证金数额的，成交供应商还应当对超过部分予以赔偿。</w:t>
      </w:r>
    </w:p>
    <w:p>
      <w:pPr>
        <w:spacing w:line="480" w:lineRule="exact"/>
        <w:ind w:firstLine="480" w:firstLineChars="200"/>
        <w:rPr>
          <w:rFonts w:ascii="宋体" w:eastAsia="宋体" w:hAnsi="宋体" w:cs="宋体"/>
          <w:color w:val="auto"/>
          <w:kern w:val="0"/>
          <w:sz w:val="24"/>
        </w:rPr>
      </w:pPr>
      <w:r>
        <w:rPr>
          <w:rFonts w:ascii="宋体" w:eastAsia="宋体" w:hAnsi="宋体" w:cs="宋体" w:hint="eastAsia"/>
          <w:color w:val="auto"/>
          <w:kern w:val="0"/>
          <w:sz w:val="24"/>
        </w:rPr>
        <w:t xml:space="preserve">6.3供应商成交后无正当理由拒不与采购人签订政府采购合同，依照《中华人民共和国政府采购法》第七十七条第一款的规定追究法律责任。 </w:t>
      </w:r>
    </w:p>
    <w:p>
      <w:pPr>
        <w:widowControl/>
        <w:spacing w:line="560" w:lineRule="exact"/>
        <w:ind w:firstLine="480" w:firstLineChars="200"/>
        <w:jc w:val="left"/>
        <w:outlineLvl w:val="2"/>
        <w:rPr>
          <w:rFonts w:ascii="宋体" w:eastAsia="宋体" w:hAnsi="宋体" w:cs="宋体"/>
          <w:b/>
          <w:color w:val="auto"/>
          <w:kern w:val="0"/>
          <w:sz w:val="24"/>
        </w:rPr>
      </w:pPr>
      <w:r>
        <w:rPr>
          <w:rFonts w:ascii="宋体" w:eastAsia="宋体" w:hAnsi="宋体" w:cs="宋体" w:hint="eastAsia"/>
          <w:b/>
          <w:color w:val="auto"/>
          <w:kern w:val="0"/>
          <w:sz w:val="24"/>
        </w:rPr>
        <w:t>七.质疑和投诉</w:t>
      </w:r>
    </w:p>
    <w:p>
      <w:pPr>
        <w:spacing w:line="480" w:lineRule="exact"/>
        <w:ind w:firstLine="480" w:firstLineChars="200"/>
        <w:rPr>
          <w:rFonts w:ascii="宋体" w:eastAsia="宋体" w:hAnsi="宋体" w:cs="宋体"/>
          <w:color w:val="auto"/>
          <w:sz w:val="24"/>
        </w:rPr>
      </w:pPr>
      <w:r>
        <w:rPr>
          <w:rFonts w:ascii="宋体" w:eastAsia="宋体" w:hAnsi="宋体" w:cs="宋体" w:hint="eastAsia"/>
          <w:color w:val="auto"/>
          <w:sz w:val="24"/>
        </w:rPr>
        <w:t>7.1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w:t>
      </w:r>
    </w:p>
    <w:p>
      <w:pPr>
        <w:spacing w:line="480" w:lineRule="exact"/>
        <w:ind w:firstLine="480" w:firstLineChars="200"/>
        <w:rPr>
          <w:rFonts w:ascii="宋体" w:eastAsia="宋体" w:hAnsi="宋体" w:cs="宋体"/>
          <w:color w:val="auto"/>
          <w:sz w:val="24"/>
        </w:rPr>
      </w:pPr>
      <w:r>
        <w:rPr>
          <w:rFonts w:ascii="宋体" w:eastAsia="宋体" w:hAnsi="宋体" w:cs="宋体" w:hint="eastAsia"/>
          <w:color w:val="auto"/>
          <w:sz w:val="24"/>
        </w:rPr>
        <w:t xml:space="preserve">7.2质疑函的接收 </w:t>
      </w:r>
    </w:p>
    <w:p>
      <w:pPr>
        <w:spacing w:line="480" w:lineRule="exact"/>
        <w:ind w:firstLine="480" w:firstLineChars="200"/>
        <w:rPr>
          <w:rFonts w:ascii="宋体" w:eastAsia="宋体" w:hAnsi="宋体" w:cs="宋体"/>
          <w:color w:val="auto"/>
          <w:sz w:val="24"/>
        </w:rPr>
      </w:pPr>
      <w:r>
        <w:rPr>
          <w:rFonts w:ascii="宋体" w:eastAsia="宋体" w:hAnsi="宋体" w:cs="宋体" w:hint="eastAsia"/>
          <w:color w:val="auto"/>
          <w:sz w:val="24"/>
        </w:rPr>
        <w:t>7.2.1接收质疑函的方式：供应商通过西双版纳州公共资源交易电子服务系统（https://ggzy.yn.gov.cn/ynggfwpt-home-web/#/homePage）提出。</w:t>
      </w:r>
    </w:p>
    <w:p>
      <w:pPr>
        <w:spacing w:line="480" w:lineRule="exact"/>
        <w:ind w:firstLine="480" w:firstLineChars="200"/>
        <w:rPr>
          <w:rFonts w:ascii="宋体" w:eastAsia="宋体" w:hAnsi="宋体" w:cs="宋体"/>
          <w:bCs/>
          <w:color w:val="auto"/>
          <w:sz w:val="24"/>
        </w:rPr>
      </w:pPr>
      <w:r>
        <w:rPr>
          <w:rFonts w:ascii="宋体" w:eastAsia="宋体" w:hAnsi="宋体" w:cs="宋体" w:hint="eastAsia"/>
          <w:bCs/>
          <w:color w:val="auto"/>
          <w:sz w:val="24"/>
        </w:rPr>
        <w:t>7.2.2采购人、采购代理机构接收质疑函的联系部门、联系电话和通讯地址：详见竞争性磋商公告。</w:t>
      </w:r>
    </w:p>
    <w:p>
      <w:pPr>
        <w:spacing w:line="480" w:lineRule="exact"/>
        <w:ind w:firstLine="480" w:firstLineChars="200"/>
        <w:rPr>
          <w:rFonts w:ascii="宋体" w:eastAsia="宋体" w:hAnsi="宋体" w:cs="宋体"/>
          <w:bCs/>
          <w:color w:val="auto"/>
          <w:sz w:val="24"/>
        </w:rPr>
      </w:pPr>
      <w:r>
        <w:rPr>
          <w:rFonts w:ascii="宋体" w:eastAsia="宋体" w:hAnsi="宋体" w:cs="宋体" w:hint="eastAsia"/>
          <w:bCs/>
          <w:color w:val="auto"/>
          <w:sz w:val="24"/>
        </w:rPr>
        <w:t>7.3供应商提出质疑应当提交质疑函和必要的证明材料。质疑函应当包括下列内容：</w:t>
      </w:r>
    </w:p>
    <w:p>
      <w:pPr>
        <w:spacing w:line="480" w:lineRule="exact"/>
        <w:ind w:firstLine="480" w:firstLineChars="200"/>
        <w:rPr>
          <w:rFonts w:ascii="宋体" w:eastAsia="宋体" w:hAnsi="宋体" w:cs="宋体"/>
          <w:bCs/>
          <w:color w:val="auto"/>
          <w:sz w:val="24"/>
        </w:rPr>
      </w:pPr>
      <w:r>
        <w:rPr>
          <w:rFonts w:ascii="宋体" w:eastAsia="宋体" w:hAnsi="宋体" w:cs="宋体" w:hint="eastAsia"/>
          <w:bCs/>
          <w:color w:val="auto"/>
          <w:sz w:val="24"/>
        </w:rPr>
        <w:t>7.3.1供应商的姓名或者名称、地址、邮编、联系人及联系电话。</w:t>
      </w:r>
    </w:p>
    <w:p>
      <w:pPr>
        <w:spacing w:line="480" w:lineRule="exact"/>
        <w:ind w:firstLine="480" w:firstLineChars="200"/>
        <w:rPr>
          <w:rFonts w:ascii="宋体" w:eastAsia="宋体" w:hAnsi="宋体" w:cs="宋体"/>
          <w:bCs/>
          <w:color w:val="auto"/>
          <w:sz w:val="24"/>
        </w:rPr>
      </w:pPr>
      <w:r>
        <w:rPr>
          <w:rFonts w:ascii="宋体" w:eastAsia="宋体" w:hAnsi="宋体" w:cs="宋体" w:hint="eastAsia"/>
          <w:bCs/>
          <w:color w:val="auto"/>
          <w:sz w:val="24"/>
        </w:rPr>
        <w:t>7.3.2质疑项目的名称、编号。</w:t>
      </w:r>
    </w:p>
    <w:p>
      <w:pPr>
        <w:spacing w:line="480" w:lineRule="exact"/>
        <w:ind w:firstLine="480" w:firstLineChars="200"/>
        <w:rPr>
          <w:rFonts w:ascii="宋体" w:eastAsia="宋体" w:hAnsi="宋体" w:cs="宋体"/>
          <w:bCs/>
          <w:color w:val="auto"/>
          <w:sz w:val="24"/>
        </w:rPr>
      </w:pPr>
      <w:r>
        <w:rPr>
          <w:rFonts w:ascii="宋体" w:eastAsia="宋体" w:hAnsi="宋体" w:cs="宋体" w:hint="eastAsia"/>
          <w:bCs/>
          <w:color w:val="auto"/>
          <w:sz w:val="24"/>
        </w:rPr>
        <w:t>7.3.3具体、明确的质疑事项和与质疑事项相关的请求。</w:t>
      </w:r>
    </w:p>
    <w:p>
      <w:pPr>
        <w:spacing w:line="480" w:lineRule="exact"/>
        <w:ind w:firstLine="480" w:firstLineChars="200"/>
        <w:rPr>
          <w:rFonts w:ascii="宋体" w:eastAsia="宋体" w:hAnsi="宋体" w:cs="宋体"/>
          <w:bCs/>
          <w:color w:val="auto"/>
          <w:sz w:val="24"/>
        </w:rPr>
      </w:pPr>
      <w:r>
        <w:rPr>
          <w:rFonts w:ascii="宋体" w:eastAsia="宋体" w:hAnsi="宋体" w:cs="宋体" w:hint="eastAsia"/>
          <w:bCs/>
          <w:color w:val="auto"/>
          <w:sz w:val="24"/>
        </w:rPr>
        <w:t>7.3.4事实依据。</w:t>
      </w:r>
    </w:p>
    <w:p>
      <w:pPr>
        <w:spacing w:line="480" w:lineRule="exact"/>
        <w:ind w:firstLine="480" w:firstLineChars="200"/>
        <w:rPr>
          <w:rFonts w:ascii="宋体" w:eastAsia="宋体" w:hAnsi="宋体" w:cs="宋体"/>
          <w:bCs/>
          <w:color w:val="auto"/>
          <w:sz w:val="24"/>
        </w:rPr>
      </w:pPr>
      <w:r>
        <w:rPr>
          <w:rFonts w:ascii="宋体" w:eastAsia="宋体" w:hAnsi="宋体" w:cs="宋体" w:hint="eastAsia"/>
          <w:bCs/>
          <w:color w:val="auto"/>
          <w:sz w:val="24"/>
        </w:rPr>
        <w:t>7.3.5必要的法律依据。</w:t>
      </w:r>
    </w:p>
    <w:p>
      <w:pPr>
        <w:spacing w:line="480" w:lineRule="exact"/>
        <w:ind w:firstLine="480" w:firstLineChars="200"/>
        <w:rPr>
          <w:rFonts w:ascii="宋体" w:eastAsia="宋体" w:hAnsi="宋体" w:cs="宋体"/>
          <w:bCs/>
          <w:color w:val="auto"/>
          <w:sz w:val="24"/>
        </w:rPr>
      </w:pPr>
      <w:r>
        <w:rPr>
          <w:rFonts w:ascii="宋体" w:eastAsia="宋体" w:hAnsi="宋体" w:cs="宋体" w:hint="eastAsia"/>
          <w:bCs/>
          <w:color w:val="auto"/>
          <w:sz w:val="24"/>
        </w:rPr>
        <w:t>7.3.6提出质疑的日期。</w:t>
      </w:r>
    </w:p>
    <w:p>
      <w:pPr>
        <w:pStyle w:val="BodyText"/>
        <w:spacing w:line="480" w:lineRule="exact"/>
        <w:ind w:firstLine="480" w:firstLineChars="200"/>
        <w:rPr>
          <w:rFonts w:ascii="宋体" w:eastAsia="宋体" w:hAnsi="宋体" w:cs="宋体"/>
          <w:bCs/>
          <w:color w:val="auto"/>
          <w:sz w:val="24"/>
        </w:rPr>
      </w:pPr>
      <w:r>
        <w:rPr>
          <w:rFonts w:ascii="宋体" w:eastAsia="宋体" w:hAnsi="宋体" w:cs="宋体" w:hint="eastAsia"/>
          <w:bCs/>
          <w:color w:val="auto"/>
          <w:sz w:val="24"/>
        </w:rPr>
        <w:t>供应商为自然人的，应当由本人签字；供应商为法人或者其他组织的，应当由法定代表人、主要负责人，或者其授权代表签字或者盖章，并加盖公章。</w:t>
      </w:r>
    </w:p>
    <w:p>
      <w:pPr>
        <w:spacing w:line="480" w:lineRule="exact"/>
        <w:ind w:firstLine="480" w:firstLineChars="200"/>
        <w:rPr>
          <w:rFonts w:ascii="宋体" w:eastAsia="宋体" w:hAnsi="宋体" w:cs="宋体"/>
          <w:bCs/>
          <w:color w:val="auto"/>
          <w:sz w:val="24"/>
        </w:rPr>
      </w:pPr>
      <w:r>
        <w:rPr>
          <w:rFonts w:ascii="宋体" w:eastAsia="宋体" w:hAnsi="宋体" w:cs="宋体" w:hint="eastAsia"/>
          <w:bCs/>
          <w:color w:val="auto"/>
          <w:sz w:val="24"/>
        </w:rPr>
        <w:t>7.4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pPr>
        <w:spacing w:line="480" w:lineRule="exact"/>
        <w:ind w:firstLine="480" w:firstLineChars="200"/>
        <w:rPr>
          <w:rFonts w:ascii="宋体" w:eastAsia="宋体" w:hAnsi="宋体" w:cs="宋体"/>
          <w:bCs/>
          <w:color w:val="auto"/>
          <w:sz w:val="24"/>
        </w:rPr>
      </w:pPr>
      <w:r>
        <w:rPr>
          <w:rFonts w:ascii="宋体" w:eastAsia="宋体" w:hAnsi="宋体" w:cs="宋体" w:hint="eastAsia"/>
          <w:bCs/>
          <w:color w:val="auto"/>
          <w:sz w:val="24"/>
        </w:rPr>
        <w:t>7.5采购人、采购代理机构在收到质疑函后7个工作日内作出答复，并通过西双版纳州公共资源交易电子服务系统（https://ggzy.yn.gov.cn/ynggfwpt-home-web/#/homePage）通知质疑供应商和其他有关供应商。</w:t>
      </w:r>
    </w:p>
    <w:p>
      <w:pPr>
        <w:widowControl/>
        <w:spacing w:line="408" w:lineRule="auto"/>
        <w:jc w:val="center"/>
        <w:outlineLvl w:val="0"/>
        <w:rPr>
          <w:rFonts w:ascii="宋体" w:eastAsia="宋体" w:hAnsi="宋体" w:cs="宋体"/>
          <w:color w:val="auto"/>
          <w:sz w:val="24"/>
        </w:rPr>
      </w:pPr>
      <w:bookmarkStart w:id="55" w:name="_Toc25116"/>
    </w:p>
    <w:p>
      <w:pPr>
        <w:widowControl/>
        <w:spacing w:line="408" w:lineRule="auto"/>
        <w:jc w:val="center"/>
        <w:outlineLvl w:val="0"/>
        <w:rPr>
          <w:rFonts w:ascii="宋体" w:eastAsia="宋体" w:hAnsi="宋体" w:cs="宋体"/>
          <w:color w:val="auto"/>
          <w:sz w:val="24"/>
        </w:rPr>
      </w:pPr>
    </w:p>
    <w:p>
      <w:pPr>
        <w:pStyle w:val="Heading1"/>
        <w:jc w:val="both"/>
        <w:rPr>
          <w:rFonts w:ascii="宋体" w:eastAsia="宋体" w:hAnsi="宋体" w:cs="宋体"/>
          <w:b w:val="0"/>
          <w:color w:val="auto"/>
          <w:spacing w:val="0"/>
          <w:kern w:val="2"/>
          <w:sz w:val="24"/>
        </w:rPr>
      </w:pPr>
    </w:p>
    <w:p>
      <w:pPr>
        <w:rPr>
          <w:rFonts w:ascii="宋体" w:eastAsia="宋体" w:hAnsi="宋体" w:cs="宋体"/>
          <w:color w:val="auto"/>
        </w:rPr>
      </w:pPr>
    </w:p>
    <w:p>
      <w:pPr>
        <w:pStyle w:val="BodyTextFirstIndent"/>
        <w:ind w:firstLine="210"/>
        <w:rPr>
          <w:rFonts w:ascii="宋体" w:eastAsia="宋体" w:hAnsi="宋体" w:cs="宋体"/>
          <w:color w:val="auto"/>
        </w:rPr>
      </w:pPr>
    </w:p>
    <w:p>
      <w:pPr>
        <w:rPr>
          <w:rFonts w:ascii="宋体" w:eastAsia="宋体" w:hAnsi="宋体" w:cs="宋体"/>
          <w:color w:val="auto"/>
        </w:rPr>
      </w:pPr>
    </w:p>
    <w:p>
      <w:pPr>
        <w:pStyle w:val="a3"/>
        <w:rPr>
          <w:rFonts w:ascii="宋体" w:eastAsia="宋体" w:hAnsi="宋体" w:cs="宋体"/>
          <w:color w:val="auto"/>
        </w:rPr>
      </w:pPr>
    </w:p>
    <w:p>
      <w:pPr>
        <w:pStyle w:val="BodyText"/>
        <w:rPr>
          <w:rFonts w:ascii="宋体" w:eastAsia="宋体" w:hAnsi="宋体" w:cs="宋体"/>
          <w:color w:val="auto"/>
        </w:rPr>
      </w:pPr>
    </w:p>
    <w:p>
      <w:pPr>
        <w:pStyle w:val="BodyTextFirstIndent"/>
        <w:rPr>
          <w:rFonts w:ascii="宋体" w:eastAsia="宋体" w:hAnsi="宋体" w:cs="宋体"/>
          <w:color w:val="auto"/>
        </w:rPr>
      </w:pPr>
    </w:p>
    <w:p>
      <w:pPr>
        <w:rPr>
          <w:rFonts w:ascii="宋体" w:eastAsia="宋体" w:hAnsi="宋体" w:cs="宋体" w:hint="eastAsia"/>
          <w:b/>
          <w:bCs/>
          <w:color w:val="auto"/>
          <w:sz w:val="24"/>
        </w:rPr>
      </w:pPr>
      <w:r>
        <w:rPr>
          <w:rFonts w:ascii="宋体" w:eastAsia="宋体" w:hAnsi="宋体" w:cs="宋体" w:hint="eastAsia"/>
          <w:color w:val="auto"/>
          <w:lang w:eastAsia="zh-CN"/>
        </w:rPr>
        <w:t>、</w:t>
      </w:r>
      <w:bookmarkStart w:id="56" w:name="_Toc21646"/>
      <w:bookmarkStart w:id="57" w:name="_Toc234588857"/>
      <w:bookmarkStart w:id="58" w:name="_Toc293921818"/>
      <w:bookmarkStart w:id="59" w:name="_Toc234588858"/>
      <w:bookmarkEnd w:id="54"/>
      <w:bookmarkEnd w:id="55"/>
    </w:p>
    <w:p>
      <w:pPr>
        <w:pStyle w:val="Heading1"/>
        <w:bidi w:val="0"/>
        <w:rPr>
          <w:rFonts w:hint="eastAsia"/>
        </w:rPr>
      </w:pPr>
      <w:r>
        <w:rPr>
          <w:rFonts w:hint="eastAsia"/>
          <w:lang w:val="en-US" w:eastAsia="zh-CN"/>
        </w:rPr>
        <w:t xml:space="preserve">第三章 </w:t>
      </w:r>
      <w:r>
        <w:rPr>
          <w:rFonts w:hint="eastAsia"/>
        </w:rPr>
        <w:t>采购内容与要求</w:t>
      </w:r>
    </w:p>
    <w:p>
      <w:pPr>
        <w:snapToGrid w:val="0"/>
        <w:spacing w:line="360" w:lineRule="auto"/>
        <w:ind w:firstLine="480" w:firstLineChars="200"/>
        <w:jc w:val="left"/>
        <w:rPr>
          <w:rFonts w:ascii="宋体" w:eastAsia="宋体" w:hAnsi="宋体" w:cs="宋体" w:hint="eastAsia"/>
          <w:b/>
          <w:bCs/>
          <w:color w:val="auto"/>
          <w:sz w:val="24"/>
        </w:rPr>
      </w:pPr>
    </w:p>
    <w:p>
      <w:pPr>
        <w:snapToGrid w:val="0"/>
        <w:spacing w:line="360" w:lineRule="auto"/>
        <w:ind w:firstLine="480" w:firstLineChars="200"/>
        <w:jc w:val="left"/>
        <w:rPr>
          <w:rFonts w:ascii="宋体" w:eastAsia="宋体" w:hAnsi="宋体" w:cs="宋体"/>
          <w:b/>
          <w:bCs/>
          <w:color w:val="auto"/>
          <w:sz w:val="24"/>
        </w:rPr>
      </w:pPr>
      <w:r>
        <w:rPr>
          <w:rFonts w:ascii="宋体" w:eastAsia="宋体" w:hAnsi="宋体" w:cs="宋体" w:hint="eastAsia"/>
          <w:b/>
          <w:bCs/>
          <w:color w:val="auto"/>
          <w:sz w:val="24"/>
        </w:rPr>
        <w:t>1、采购需求：</w:t>
      </w:r>
      <w:r>
        <w:rPr>
          <w:rFonts w:ascii="宋体" w:eastAsia="宋体" w:hAnsi="宋体" w:cs="宋体" w:hint="eastAsia"/>
          <w:color w:val="auto"/>
          <w:sz w:val="24"/>
        </w:rPr>
        <w:t>对西双版纳傣族自治州消防救援支队</w:t>
      </w:r>
      <w:r>
        <w:rPr>
          <w:rFonts w:ascii="宋体" w:eastAsia="宋体" w:hAnsi="宋体" w:cs="宋体" w:hint="eastAsia"/>
          <w:color w:val="auto"/>
          <w:sz w:val="24"/>
          <w:lang w:eastAsia="zh-CN"/>
        </w:rPr>
        <w:t>山难专业队装备</w:t>
      </w:r>
      <w:r>
        <w:rPr>
          <w:rFonts w:ascii="宋体" w:eastAsia="宋体" w:hAnsi="宋体" w:cs="宋体" w:hint="eastAsia"/>
          <w:color w:val="auto"/>
          <w:sz w:val="24"/>
          <w:lang w:val="en-US" w:eastAsia="zh-CN"/>
        </w:rPr>
        <w:t>进行供货，具体详见采购清单。</w:t>
      </w:r>
    </w:p>
    <w:p>
      <w:pPr>
        <w:spacing w:line="360" w:lineRule="auto"/>
        <w:ind w:firstLine="480" w:firstLineChars="200"/>
        <w:rPr>
          <w:rFonts w:ascii="宋体" w:eastAsia="宋体" w:hAnsi="宋体" w:cs="宋体"/>
          <w:color w:val="auto"/>
          <w:sz w:val="24"/>
        </w:rPr>
      </w:pPr>
      <w:r>
        <w:rPr>
          <w:rFonts w:ascii="宋体" w:eastAsia="宋体" w:hAnsi="宋体" w:cs="宋体" w:hint="eastAsia"/>
          <w:b/>
          <w:bCs/>
          <w:color w:val="auto"/>
          <w:sz w:val="24"/>
        </w:rPr>
        <w:t>2、</w:t>
      </w:r>
      <w:r>
        <w:rPr>
          <w:rFonts w:ascii="宋体" w:eastAsia="宋体" w:hAnsi="宋体" w:cs="宋体" w:hint="eastAsia"/>
          <w:b/>
          <w:bCs/>
          <w:color w:val="auto"/>
          <w:sz w:val="24"/>
          <w:lang w:eastAsia="zh-CN"/>
        </w:rPr>
        <w:t>供货时间</w:t>
      </w:r>
      <w:r>
        <w:rPr>
          <w:rFonts w:ascii="宋体" w:eastAsia="宋体" w:hAnsi="宋体" w:cs="宋体" w:hint="eastAsia"/>
          <w:b/>
          <w:bCs/>
          <w:color w:val="auto"/>
          <w:sz w:val="24"/>
        </w:rPr>
        <w:t>：</w:t>
      </w:r>
      <w:r>
        <w:rPr>
          <w:rFonts w:ascii="宋体" w:eastAsia="宋体" w:hAnsi="宋体" w:cs="宋体" w:hint="eastAsia"/>
          <w:color w:val="auto"/>
          <w:sz w:val="24"/>
        </w:rPr>
        <w:t>合同签订之日起</w:t>
      </w:r>
      <w:r>
        <w:rPr>
          <w:rFonts w:ascii="宋体" w:eastAsia="宋体" w:hAnsi="宋体" w:cs="宋体" w:hint="eastAsia"/>
          <w:color w:val="auto"/>
          <w:sz w:val="24"/>
          <w:lang w:val="en-US" w:eastAsia="zh-CN"/>
        </w:rPr>
        <w:t>15日历天内</w:t>
      </w:r>
      <w:r>
        <w:rPr>
          <w:rFonts w:ascii="宋体" w:eastAsia="宋体" w:hAnsi="宋体" w:cs="宋体" w:hint="eastAsia"/>
          <w:color w:val="auto"/>
          <w:sz w:val="24"/>
        </w:rPr>
        <w:t>。</w:t>
      </w:r>
    </w:p>
    <w:p>
      <w:pPr>
        <w:pStyle w:val="BodyTextFirstIndent"/>
        <w:spacing w:line="360" w:lineRule="auto"/>
        <w:ind w:firstLine="480" w:firstLineChars="200"/>
        <w:rPr>
          <w:rFonts w:ascii="宋体" w:eastAsia="宋体" w:hAnsi="宋体" w:cs="宋体" w:hint="eastAsia"/>
          <w:color w:val="auto"/>
          <w:sz w:val="24"/>
        </w:rPr>
      </w:pPr>
      <w:r>
        <w:rPr>
          <w:rFonts w:ascii="宋体" w:eastAsia="宋体" w:hAnsi="宋体" w:cs="宋体" w:hint="eastAsia"/>
          <w:b/>
          <w:bCs/>
          <w:color w:val="auto"/>
          <w:sz w:val="24"/>
        </w:rPr>
        <w:t>3、</w:t>
      </w:r>
      <w:r>
        <w:rPr>
          <w:rFonts w:ascii="宋体" w:eastAsia="宋体" w:hAnsi="宋体" w:cs="宋体" w:hint="eastAsia"/>
          <w:b/>
          <w:bCs/>
          <w:color w:val="auto"/>
          <w:sz w:val="24"/>
          <w:lang w:eastAsia="zh-CN"/>
        </w:rPr>
        <w:t>供货地点</w:t>
      </w:r>
      <w:r>
        <w:rPr>
          <w:rFonts w:ascii="宋体" w:eastAsia="宋体" w:hAnsi="宋体" w:cs="宋体" w:hint="eastAsia"/>
          <w:b/>
          <w:bCs/>
          <w:color w:val="auto"/>
          <w:sz w:val="24"/>
        </w:rPr>
        <w:t>：</w:t>
      </w:r>
      <w:r>
        <w:rPr>
          <w:rFonts w:ascii="宋体" w:eastAsia="宋体" w:hAnsi="宋体" w:cs="宋体" w:hint="eastAsia"/>
          <w:color w:val="auto"/>
          <w:sz w:val="24"/>
          <w:lang w:eastAsia="zh-CN"/>
        </w:rPr>
        <w:t>西双版纳傣族自治州消防救援支队</w:t>
      </w:r>
      <w:r>
        <w:rPr>
          <w:rFonts w:ascii="宋体" w:eastAsia="宋体" w:hAnsi="宋体" w:cs="宋体" w:hint="eastAsia"/>
          <w:color w:val="auto"/>
          <w:sz w:val="24"/>
          <w:lang w:val="en-US" w:eastAsia="zh-CN"/>
        </w:rPr>
        <w:t>指定地点</w:t>
      </w:r>
      <w:r>
        <w:rPr>
          <w:rFonts w:ascii="宋体" w:eastAsia="宋体" w:hAnsi="宋体" w:cs="宋体" w:hint="eastAsia"/>
          <w:color w:val="auto"/>
          <w:sz w:val="24"/>
        </w:rPr>
        <w:t>。</w:t>
      </w:r>
    </w:p>
    <w:p>
      <w:pPr>
        <w:ind w:firstLine="480" w:firstLineChars="200"/>
        <w:rPr>
          <w:rFonts w:ascii="宋体" w:eastAsia="宋体" w:hAnsi="宋体" w:cs="宋体" w:hint="default"/>
          <w:b/>
          <w:bCs/>
          <w:color w:val="auto"/>
          <w:kern w:val="2"/>
          <w:sz w:val="24"/>
          <w:szCs w:val="24"/>
          <w:lang w:val="en-US" w:eastAsia="zh-CN" w:bidi="ar-SA"/>
        </w:rPr>
      </w:pPr>
      <w:r>
        <w:rPr>
          <w:rFonts w:ascii="宋体" w:eastAsia="宋体" w:hAnsi="宋体" w:cs="宋体" w:hint="eastAsia"/>
          <w:b/>
          <w:bCs/>
          <w:color w:val="auto"/>
          <w:kern w:val="2"/>
          <w:sz w:val="24"/>
          <w:szCs w:val="24"/>
          <w:lang w:val="en-US" w:eastAsia="zh-CN" w:bidi="ar-SA"/>
        </w:rPr>
        <w:t>4、采购清单：</w:t>
      </w:r>
    </w:p>
    <w:tbl>
      <w:tblPr>
        <w:tblStyle w:val="TableNormal"/>
        <w:tblW w:w="833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ayout w:type="fixed"/>
        <w:tblCellMar>
          <w:top w:w="15" w:type="dxa"/>
          <w:left w:w="15" w:type="dxa"/>
          <w:bottom w:w="15" w:type="dxa"/>
          <w:right w:w="15" w:type="dxa"/>
        </w:tblCellMar>
        <w:tblLook w:val="04A0"/>
      </w:tblPr>
      <w:tblGrid>
        <w:gridCol w:w="420"/>
        <w:gridCol w:w="1908"/>
        <w:gridCol w:w="5350"/>
        <w:gridCol w:w="658"/>
      </w:tblGrid>
      <w:tr>
        <w:tblPrEx>
          <w:tblW w:w="833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ayout w:type="fixed"/>
          <w:tblCellMar>
            <w:top w:w="15" w:type="dxa"/>
            <w:left w:w="15" w:type="dxa"/>
            <w:bottom w:w="15" w:type="dxa"/>
            <w:right w:w="15" w:type="dxa"/>
          </w:tblCellMar>
          <w:tblLook w:val="04A0"/>
        </w:tblPrEx>
        <w:trPr>
          <w:trHeight w:val="405"/>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序号</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名称</w:t>
            </w:r>
          </w:p>
        </w:tc>
        <w:tc>
          <w:tcPr>
            <w:tcW w:w="535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主要性能参数</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数量</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2046"/>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1</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山岳救援头盔</w:t>
            </w:r>
          </w:p>
        </w:tc>
        <w:tc>
          <w:tcPr>
            <w:tcW w:w="535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color w:val="auto"/>
                <w:kern w:val="0"/>
                <w:sz w:val="20"/>
                <w:szCs w:val="20"/>
                <w:u w:val="none"/>
                <w:lang w:val="en-US" w:eastAsia="zh-CN" w:bidi="ar"/>
              </w:rPr>
            </w:pPr>
            <w:r>
              <w:rPr>
                <w:rFonts w:ascii="宋体" w:eastAsia="宋体" w:hAnsi="宋体" w:cs="宋体" w:hint="eastAsia"/>
                <w:color w:val="auto"/>
                <w:kern w:val="0"/>
                <w:sz w:val="20"/>
                <w:szCs w:val="20"/>
                <w:u w:val="none"/>
                <w:lang w:val="en-US" w:eastAsia="zh-CN" w:bidi="ar"/>
              </w:rPr>
              <w:t>★</w:t>
            </w:r>
            <w:r>
              <w:rPr>
                <w:rFonts w:ascii="宋体" w:eastAsia="宋体" w:hAnsi="宋体" w:cs="宋体" w:hint="eastAsia"/>
                <w:color w:val="auto"/>
                <w:kern w:val="0"/>
                <w:sz w:val="20"/>
                <w:szCs w:val="20"/>
                <w:u w:val="none"/>
                <w:lang w:val="en-US" w:eastAsia="zh-CN" w:bidi="ar"/>
              </w:rPr>
              <w:t>1、符合高空救援头盔相关认证及标准。</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color w:val="auto"/>
                <w:kern w:val="0"/>
                <w:sz w:val="20"/>
                <w:szCs w:val="20"/>
                <w:u w:val="none"/>
                <w:lang w:val="en-US" w:eastAsia="zh-CN" w:bidi="ar"/>
              </w:rPr>
            </w:pPr>
            <w:r>
              <w:rPr>
                <w:rFonts w:ascii="宋体" w:eastAsia="宋体" w:hAnsi="宋体" w:cs="宋体" w:hint="eastAsia"/>
                <w:color w:val="auto"/>
                <w:kern w:val="0"/>
                <w:sz w:val="20"/>
                <w:szCs w:val="20"/>
                <w:u w:val="none"/>
                <w:lang w:val="en-US" w:eastAsia="zh-CN" w:bidi="ar"/>
              </w:rPr>
              <w:t>2、ABS外壳设计有宽大透气孔，内衬选用具有可吸收冲击力的高密度聚笨乙烯材料；快速旋转调节尺寸范围54-62cm，内衬可拆卸清洗；备有头灯固定卡槽或外置卡扣，可装置头灯、防晒帽檐等，下鄂带可调节。</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color w:val="auto"/>
                <w:kern w:val="0"/>
                <w:sz w:val="20"/>
                <w:szCs w:val="20"/>
                <w:u w:val="none"/>
                <w:lang w:val="en-US" w:eastAsia="zh-CN" w:bidi="ar"/>
              </w:rPr>
            </w:pPr>
            <w:r>
              <w:rPr>
                <w:rFonts w:ascii="宋体" w:eastAsia="宋体" w:hAnsi="宋体" w:cs="宋体" w:hint="eastAsia"/>
                <w:color w:val="auto"/>
                <w:kern w:val="0"/>
                <w:sz w:val="20"/>
                <w:szCs w:val="20"/>
                <w:u w:val="none"/>
                <w:lang w:val="en-US" w:eastAsia="zh-CN" w:bidi="ar"/>
              </w:rPr>
              <w:t>3、重量</w:t>
            </w:r>
            <w:r>
              <w:rPr>
                <w:rFonts w:ascii="宋体" w:eastAsia="宋体" w:hAnsi="宋体" w:cs="宋体" w:hint="eastAsia"/>
                <w:color w:val="auto"/>
                <w:kern w:val="0"/>
                <w:sz w:val="20"/>
                <w:szCs w:val="20"/>
                <w:u w:val="none"/>
                <w:lang w:val="en-US" w:eastAsia="zh-CN" w:bidi="ar"/>
              </w:rPr>
              <w:t>≤</w:t>
            </w:r>
            <w:r>
              <w:rPr>
                <w:rFonts w:ascii="宋体" w:eastAsia="宋体" w:hAnsi="宋体" w:cs="宋体" w:hint="eastAsia"/>
                <w:color w:val="auto"/>
                <w:kern w:val="0"/>
                <w:sz w:val="20"/>
                <w:szCs w:val="20"/>
                <w:u w:val="none"/>
                <w:lang w:val="en-US" w:eastAsia="zh-CN" w:bidi="ar"/>
              </w:rPr>
              <w:t>400g。</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color w:val="auto"/>
                <w:kern w:val="0"/>
                <w:sz w:val="20"/>
                <w:szCs w:val="20"/>
                <w:u w:val="none"/>
                <w:lang w:val="en-US" w:eastAsia="zh-CN" w:bidi="ar"/>
              </w:rPr>
              <w:t>4、颜色</w:t>
            </w:r>
            <w:r>
              <w:rPr>
                <w:rStyle w:val="font141"/>
                <w:rFonts w:ascii="宋体" w:eastAsia="宋体" w:hAnsi="宋体" w:cs="宋体" w:hint="eastAsia"/>
                <w:color w:val="auto"/>
                <w:kern w:val="2"/>
                <w:sz w:val="20"/>
                <w:szCs w:val="20"/>
                <w:u w:val="none"/>
                <w:lang w:val="en-US" w:eastAsia="zh-CN" w:bidi="ar"/>
              </w:rPr>
              <w:t>按采购使用单位要求提供。</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50</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2505"/>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2</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救援手套</w:t>
            </w:r>
          </w:p>
        </w:tc>
        <w:tc>
          <w:tcPr>
            <w:tcW w:w="535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1、材质：山羊皮+涤纶等材质，具有防割防滑作用；</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Fonts w:ascii="宋体" w:eastAsia="宋体" w:hAnsi="宋体" w:cs="宋体" w:hint="eastAsia"/>
                <w:color w:val="auto"/>
                <w:kern w:val="0"/>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2、皮革撕裂力</w:t>
            </w: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25N（在检验报告中体现）；</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Fonts w:ascii="宋体" w:eastAsia="宋体" w:hAnsi="宋体" w:cs="宋体" w:hint="eastAsia"/>
                <w:color w:val="auto"/>
                <w:kern w:val="0"/>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 xml:space="preserve">3、整体外观：整体平服，松紧适宜，无线头外露，整体不应有污渍、烫痕、划破、掉扣、拉链头脱落损坏、严重异味等；大拇指、食指第一节具有镂空设计。  </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4、手背使用弹力涤纶面料，操作灵活方便；</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 xml:space="preserve">5、检验执行标准：QB/T1616-2005；                                              </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2"/>
                <w:sz w:val="20"/>
                <w:szCs w:val="20"/>
                <w:u w:val="none"/>
                <w:lang w:val="en-US" w:eastAsia="zh-CN" w:bidi="ar-SA"/>
              </w:rPr>
            </w:pPr>
            <w:r>
              <w:rPr>
                <w:rStyle w:val="font141"/>
                <w:rFonts w:ascii="宋体" w:eastAsia="宋体" w:hAnsi="宋体" w:cs="宋体" w:hint="eastAsia"/>
                <w:color w:val="auto"/>
                <w:kern w:val="2"/>
                <w:sz w:val="20"/>
                <w:szCs w:val="20"/>
                <w:u w:val="none"/>
                <w:lang w:val="en-US" w:eastAsia="zh-CN" w:bidi="ar"/>
              </w:rPr>
              <w:t>6、颜色、尺码按采购使用单位要求提供。</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52</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585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3</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Style w:val="font101"/>
                <w:rFonts w:ascii="宋体" w:eastAsia="宋体" w:hAnsi="宋体" w:cs="宋体" w:hint="eastAsia"/>
                <w:color w:val="auto"/>
                <w:kern w:val="2"/>
                <w:sz w:val="20"/>
                <w:szCs w:val="20"/>
                <w:u w:val="none"/>
                <w:lang w:val="en-US" w:eastAsia="zh-CN" w:bidi="ar"/>
              </w:rPr>
              <w:t>全身安全吊带</w:t>
            </w:r>
            <w:r>
              <w:rPr>
                <w:rStyle w:val="font12"/>
                <w:rFonts w:ascii="宋体" w:eastAsia="宋体" w:hAnsi="宋体" w:cs="宋体" w:hint="eastAsia"/>
                <w:color w:val="auto"/>
                <w:kern w:val="2"/>
                <w:sz w:val="20"/>
                <w:szCs w:val="20"/>
                <w:u w:val="none"/>
                <w:lang w:val="en-US" w:eastAsia="zh-CN" w:bidi="ar"/>
              </w:rPr>
              <w:t>(</w:t>
            </w:r>
            <w:r>
              <w:rPr>
                <w:rStyle w:val="font101"/>
                <w:rFonts w:ascii="宋体" w:eastAsia="宋体" w:hAnsi="宋体" w:cs="宋体" w:hint="eastAsia"/>
                <w:color w:val="auto"/>
                <w:kern w:val="2"/>
                <w:sz w:val="20"/>
                <w:szCs w:val="20"/>
                <w:u w:val="none"/>
                <w:lang w:val="en-US" w:eastAsia="zh-CN" w:bidi="ar"/>
              </w:rPr>
              <w:t>带胸式上升器</w:t>
            </w:r>
            <w:r>
              <w:rPr>
                <w:rStyle w:val="font12"/>
                <w:rFonts w:ascii="宋体" w:eastAsia="宋体" w:hAnsi="宋体" w:cs="宋体" w:hint="eastAsia"/>
                <w:color w:val="auto"/>
                <w:kern w:val="2"/>
                <w:sz w:val="20"/>
                <w:szCs w:val="20"/>
                <w:u w:val="none"/>
                <w:lang w:val="en-US" w:eastAsia="zh-CN" w:bidi="ar"/>
              </w:rPr>
              <w:t>)</w:t>
            </w:r>
          </w:p>
        </w:tc>
        <w:tc>
          <w:tcPr>
            <w:tcW w:w="535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1、符合XF494-2004《消防用防坠落装备》标准要求，具有国家消防装备质量监督检验中心出具的检验报告。全身安全吊带（带胸式上升器）由织带、前部拉环、后背拉环、后背衬垫和带扣等零部件构成，为全身式安全吊带，固定于腰部、大腿或臀部以下部位和上身肩部、胸部等部位，连体结构（带胸式上升器）；</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2、后腰部位有3个器材挂环，单个承重</w:t>
            </w: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15kg；配备5个吊挂点，5个吊挂点分别位于前胸部位、腰部前方、背部、腰部两侧，吊带有大、中、小三种尺寸型号可选，并备有1个专用存储袋；</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3、设计负荷</w:t>
            </w: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2.67kN，正立方向静负荷性能</w:t>
            </w: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22 kN，倒立方向静负荷性能</w:t>
            </w: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10 kN，水平方向静负荷性能</w:t>
            </w: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10 kN，抗冲击性能冲击高度为</w:t>
            </w: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1m，承重织带宽度不应小于40mm且不大于70mm,腰环尺寸70-130cm,脚环尺寸45-75cm；</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4、安全吊带上的带扣和调节装置滑移距离不应超过10mm，而且安全吊带不应出现影响其安全性的明显损伤；腿部固定带配有飞机扣设计。</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5、耐高温性能，安全吊带的织带和缝线不应出现熔融、焦化现象；</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6、安全带的带扣的边角半径不应小于6mm；</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2"/>
                <w:sz w:val="20"/>
                <w:szCs w:val="20"/>
                <w:u w:val="none"/>
                <w:lang w:val="en-US" w:eastAsia="zh-CN" w:bidi="ar-SA"/>
              </w:rPr>
            </w:pPr>
            <w:r>
              <w:rPr>
                <w:rStyle w:val="font141"/>
                <w:rFonts w:ascii="宋体" w:eastAsia="宋体" w:hAnsi="宋体" w:cs="宋体" w:hint="eastAsia"/>
                <w:color w:val="auto"/>
                <w:kern w:val="2"/>
                <w:sz w:val="20"/>
                <w:szCs w:val="20"/>
                <w:u w:val="none"/>
                <w:lang w:val="en-US" w:eastAsia="zh-CN" w:bidi="ar"/>
              </w:rPr>
              <w:t xml:space="preserve">7、背部D环设计，配置1个安全背包。                                           </w:t>
            </w: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8、提供样品，根据安全性、先进性和性能进行评比，并出具检验报告。</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13</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231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4</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自动止停下降器</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font141"/>
                <w:rFonts w:ascii="宋体" w:eastAsia="宋体" w:hAnsi="宋体" w:cs="宋体" w:hint="eastAsia"/>
                <w:color w:val="auto"/>
                <w:kern w:val="2"/>
                <w:sz w:val="20"/>
                <w:szCs w:val="20"/>
                <w:u w:val="none"/>
                <w:lang w:val="en-US" w:eastAsia="zh-CN" w:bidi="ar"/>
              </w:rPr>
            </w:pPr>
            <w:r>
              <w:rPr>
                <w:rStyle w:val="font81"/>
                <w:rFonts w:ascii="宋体" w:eastAsia="宋体" w:hAnsi="宋体" w:cs="宋体" w:hint="eastAsia"/>
                <w:color w:val="auto"/>
                <w:kern w:val="2"/>
                <w:sz w:val="20"/>
                <w:szCs w:val="20"/>
                <w:u w:val="none"/>
                <w:lang w:val="en-US" w:eastAsia="zh-CN" w:bidi="ar"/>
              </w:rPr>
              <w:t>★</w:t>
            </w:r>
            <w:r>
              <w:rPr>
                <w:rStyle w:val="font81"/>
                <w:rFonts w:ascii="宋体" w:eastAsia="宋体" w:hAnsi="宋体" w:cs="宋体" w:hint="eastAsia"/>
                <w:color w:val="auto"/>
                <w:kern w:val="2"/>
                <w:sz w:val="20"/>
                <w:szCs w:val="20"/>
                <w:u w:val="none"/>
                <w:lang w:val="en-US" w:eastAsia="zh-CN" w:bidi="ar"/>
              </w:rPr>
              <w:t>1、提供样品，</w:t>
            </w:r>
            <w:r>
              <w:rPr>
                <w:rStyle w:val="font141"/>
                <w:rFonts w:ascii="宋体" w:eastAsia="宋体" w:hAnsi="宋体" w:cs="宋体" w:hint="eastAsia"/>
                <w:color w:val="auto"/>
                <w:kern w:val="2"/>
                <w:sz w:val="20"/>
                <w:szCs w:val="20"/>
                <w:u w:val="none"/>
                <w:lang w:val="en-US" w:eastAsia="zh-CN" w:bidi="ar"/>
              </w:rPr>
              <w:t>根据安全性、先进性和性能进行评比，可提供产品彩页、说明书、合格证、原厂公开发表的证明文件复印件或者厂家出具的技术参数说明函。</w:t>
            </w:r>
          </w:p>
          <w:p>
            <w:pPr>
              <w:keepNext w:val="0"/>
              <w:keepLines w:val="0"/>
              <w:widowControl/>
              <w:suppressLineNumbers w:val="0"/>
              <w:spacing w:before="0" w:beforeAutospacing="0" w:after="0" w:afterAutospacing="0"/>
              <w:ind w:left="0" w:right="0"/>
              <w:jc w:val="left"/>
              <w:textAlignment w:val="top"/>
              <w:rPr>
                <w:rStyle w:val="font81"/>
                <w:rFonts w:ascii="宋体" w:eastAsia="宋体" w:hAnsi="宋体" w:cs="宋体" w:hint="eastAsia"/>
                <w:color w:val="auto"/>
                <w:kern w:val="2"/>
                <w:sz w:val="20"/>
                <w:szCs w:val="20"/>
                <w:u w:val="none"/>
                <w:lang w:val="en-US" w:eastAsia="zh-CN" w:bidi="ar"/>
              </w:rPr>
            </w:pPr>
            <w:r>
              <w:rPr>
                <w:rStyle w:val="font81"/>
                <w:rFonts w:ascii="宋体" w:eastAsia="宋体" w:hAnsi="宋体" w:cs="宋体" w:hint="eastAsia"/>
                <w:color w:val="auto"/>
                <w:kern w:val="2"/>
                <w:sz w:val="20"/>
                <w:szCs w:val="20"/>
                <w:u w:val="none"/>
                <w:lang w:val="en-US" w:eastAsia="zh-CN" w:bidi="ar"/>
              </w:rPr>
              <w:t>2、外壳和手柄用坚固的热锻造铝合金材质。</w:t>
            </w:r>
          </w:p>
          <w:p>
            <w:pPr>
              <w:keepNext w:val="0"/>
              <w:keepLines w:val="0"/>
              <w:widowControl/>
              <w:suppressLineNumbers w:val="0"/>
              <w:spacing w:before="0" w:beforeAutospacing="0" w:after="0" w:afterAutospacing="0"/>
              <w:ind w:left="0" w:right="0"/>
              <w:jc w:val="left"/>
              <w:textAlignment w:val="top"/>
              <w:rPr>
                <w:rStyle w:val="font81"/>
                <w:rFonts w:ascii="宋体" w:eastAsia="宋体" w:hAnsi="宋体" w:cs="宋体" w:hint="eastAsia"/>
                <w:color w:val="auto"/>
                <w:kern w:val="2"/>
                <w:sz w:val="20"/>
                <w:szCs w:val="20"/>
                <w:u w:val="none"/>
                <w:lang w:val="en-US" w:eastAsia="zh-CN" w:bidi="ar"/>
              </w:rPr>
            </w:pPr>
            <w:r>
              <w:rPr>
                <w:rStyle w:val="font81"/>
                <w:rFonts w:ascii="宋体" w:eastAsia="宋体" w:hAnsi="宋体" w:cs="宋体" w:hint="eastAsia"/>
                <w:color w:val="auto"/>
                <w:kern w:val="2"/>
                <w:sz w:val="20"/>
                <w:szCs w:val="20"/>
                <w:u w:val="none"/>
                <w:lang w:val="en-US" w:eastAsia="zh-CN" w:bidi="ar"/>
              </w:rPr>
              <w:t>3、机械零件精密为不锈钢材质。</w:t>
            </w:r>
          </w:p>
          <w:p>
            <w:pPr>
              <w:keepNext w:val="0"/>
              <w:keepLines w:val="0"/>
              <w:widowControl/>
              <w:suppressLineNumbers w:val="0"/>
              <w:spacing w:before="0" w:beforeAutospacing="0" w:after="0" w:afterAutospacing="0"/>
              <w:ind w:left="0" w:right="0"/>
              <w:jc w:val="left"/>
              <w:textAlignment w:val="top"/>
              <w:rPr>
                <w:rStyle w:val="font81"/>
                <w:rFonts w:ascii="宋体" w:eastAsia="宋体" w:hAnsi="宋体" w:cs="宋体" w:hint="eastAsia"/>
                <w:color w:val="auto"/>
                <w:kern w:val="2"/>
                <w:sz w:val="20"/>
                <w:szCs w:val="20"/>
                <w:u w:val="none"/>
                <w:lang w:val="en-US" w:eastAsia="zh-CN" w:bidi="ar"/>
              </w:rPr>
            </w:pPr>
            <w:r>
              <w:rPr>
                <w:rStyle w:val="font81"/>
                <w:rFonts w:ascii="宋体" w:eastAsia="宋体" w:hAnsi="宋体" w:cs="宋体" w:hint="eastAsia"/>
                <w:color w:val="auto"/>
                <w:kern w:val="2"/>
                <w:sz w:val="20"/>
                <w:szCs w:val="20"/>
                <w:u w:val="none"/>
                <w:lang w:val="en-US" w:eastAsia="zh-CN" w:bidi="ar"/>
              </w:rPr>
              <w:t>4、凸轮设计使绳索顺滑滑动且抵抗磨损。</w:t>
            </w:r>
          </w:p>
          <w:p>
            <w:pPr>
              <w:keepNext w:val="0"/>
              <w:keepLines w:val="0"/>
              <w:widowControl/>
              <w:suppressLineNumbers w:val="0"/>
              <w:spacing w:before="0" w:beforeAutospacing="0" w:after="0" w:afterAutospacing="0"/>
              <w:ind w:left="0" w:right="0"/>
              <w:jc w:val="left"/>
              <w:textAlignment w:val="top"/>
              <w:rPr>
                <w:rStyle w:val="font81"/>
                <w:rFonts w:ascii="宋体" w:eastAsia="宋体" w:hAnsi="宋体" w:cs="宋体" w:hint="eastAsia"/>
                <w:color w:val="auto"/>
                <w:kern w:val="2"/>
                <w:sz w:val="20"/>
                <w:szCs w:val="20"/>
                <w:u w:val="none"/>
                <w:lang w:val="en-US" w:eastAsia="zh-CN" w:bidi="ar"/>
              </w:rPr>
            </w:pPr>
            <w:r>
              <w:rPr>
                <w:rStyle w:val="font81"/>
                <w:rFonts w:ascii="宋体" w:eastAsia="宋体" w:hAnsi="宋体" w:cs="宋体" w:hint="eastAsia"/>
                <w:color w:val="auto"/>
                <w:kern w:val="2"/>
                <w:sz w:val="20"/>
                <w:szCs w:val="20"/>
                <w:u w:val="none"/>
                <w:lang w:val="en-US" w:eastAsia="zh-CN" w:bidi="ar"/>
              </w:rPr>
              <w:t>★</w:t>
            </w:r>
            <w:r>
              <w:rPr>
                <w:rStyle w:val="font81"/>
                <w:rFonts w:ascii="宋体" w:eastAsia="宋体" w:hAnsi="宋体" w:cs="宋体" w:hint="eastAsia"/>
                <w:color w:val="auto"/>
                <w:kern w:val="2"/>
                <w:sz w:val="20"/>
                <w:szCs w:val="20"/>
                <w:u w:val="none"/>
                <w:lang w:val="en-US" w:eastAsia="zh-CN" w:bidi="ar"/>
              </w:rPr>
              <w:t>5、凸轮锁定控纽设计；同样可做为面保护使用，适合绳索直径：10-11.5mm；</w:t>
            </w:r>
          </w:p>
          <w:p>
            <w:pPr>
              <w:keepNext w:val="0"/>
              <w:keepLines w:val="0"/>
              <w:widowControl/>
              <w:suppressLineNumbers w:val="0"/>
              <w:spacing w:before="0" w:beforeAutospacing="0" w:after="0" w:afterAutospacing="0"/>
              <w:ind w:left="0" w:right="0"/>
              <w:jc w:val="left"/>
              <w:textAlignment w:val="top"/>
              <w:rPr>
                <w:rStyle w:val="font81"/>
                <w:rFonts w:ascii="宋体" w:eastAsia="宋体" w:hAnsi="宋体" w:cs="宋体" w:hint="eastAsia"/>
                <w:color w:val="auto"/>
                <w:kern w:val="2"/>
                <w:sz w:val="20"/>
                <w:szCs w:val="20"/>
                <w:u w:val="none"/>
                <w:lang w:val="en-US" w:eastAsia="zh-CN" w:bidi="ar"/>
              </w:rPr>
            </w:pPr>
            <w:r>
              <w:rPr>
                <w:rStyle w:val="font81"/>
                <w:rFonts w:ascii="宋体" w:eastAsia="宋体" w:hAnsi="宋体" w:cs="宋体" w:hint="eastAsia"/>
                <w:color w:val="auto"/>
                <w:kern w:val="2"/>
                <w:sz w:val="20"/>
                <w:szCs w:val="20"/>
                <w:u w:val="none"/>
                <w:lang w:val="en-US" w:eastAsia="zh-CN" w:bidi="ar"/>
              </w:rPr>
              <w:t>6、重量：</w:t>
            </w:r>
            <w:r>
              <w:rPr>
                <w:rStyle w:val="font81"/>
                <w:rFonts w:ascii="宋体" w:eastAsia="宋体" w:hAnsi="宋体" w:cs="宋体" w:hint="eastAsia"/>
                <w:color w:val="auto"/>
                <w:kern w:val="2"/>
                <w:sz w:val="20"/>
                <w:szCs w:val="20"/>
                <w:u w:val="none"/>
                <w:lang w:val="en-US" w:eastAsia="zh-CN" w:bidi="ar"/>
              </w:rPr>
              <w:t>≤</w:t>
            </w:r>
            <w:r>
              <w:rPr>
                <w:rStyle w:val="font81"/>
                <w:rFonts w:ascii="宋体" w:eastAsia="宋体" w:hAnsi="宋体" w:cs="宋体" w:hint="eastAsia"/>
                <w:color w:val="auto"/>
                <w:kern w:val="2"/>
                <w:sz w:val="20"/>
                <w:szCs w:val="20"/>
                <w:u w:val="none"/>
                <w:lang w:val="en-US" w:eastAsia="zh-CN" w:bidi="ar"/>
              </w:rPr>
              <w:t>800g。</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color w:val="auto"/>
                <w:kern w:val="0"/>
                <w:sz w:val="20"/>
                <w:szCs w:val="20"/>
                <w:u w:val="none"/>
                <w:lang w:val="en-US" w:eastAsia="zh-CN" w:bidi="ar"/>
              </w:rPr>
              <w:t>★</w:t>
            </w:r>
            <w:r>
              <w:rPr>
                <w:rStyle w:val="font81"/>
                <w:rFonts w:ascii="宋体" w:eastAsia="宋体" w:hAnsi="宋体" w:cs="宋体" w:hint="eastAsia"/>
                <w:color w:val="auto"/>
                <w:kern w:val="2"/>
                <w:sz w:val="20"/>
                <w:szCs w:val="20"/>
                <w:u w:val="none"/>
                <w:lang w:val="en-US" w:eastAsia="zh-CN" w:bidi="ar"/>
              </w:rPr>
              <w:t>7、最大负荷</w:t>
            </w:r>
            <w:r>
              <w:rPr>
                <w:rStyle w:val="font81"/>
                <w:rFonts w:ascii="宋体" w:eastAsia="宋体" w:hAnsi="宋体" w:cs="宋体" w:hint="eastAsia"/>
                <w:color w:val="auto"/>
                <w:kern w:val="2"/>
                <w:sz w:val="20"/>
                <w:szCs w:val="20"/>
                <w:u w:val="none"/>
                <w:lang w:val="en-US" w:eastAsia="zh-CN" w:bidi="ar"/>
              </w:rPr>
              <w:t>≥</w:t>
            </w:r>
            <w:r>
              <w:rPr>
                <w:rStyle w:val="font81"/>
                <w:rFonts w:ascii="宋体" w:eastAsia="宋体" w:hAnsi="宋体" w:cs="宋体" w:hint="eastAsia"/>
                <w:color w:val="auto"/>
                <w:kern w:val="2"/>
                <w:sz w:val="20"/>
                <w:szCs w:val="20"/>
                <w:u w:val="none"/>
                <w:lang w:val="en-US" w:eastAsia="zh-CN" w:bidi="ar"/>
              </w:rPr>
              <w:t>150kg。</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40</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320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5</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止坠器</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1、内置锁定功能，允许使用者锁定该器械以缩短坠落距离。</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2、制停坠落，下滑或不受控制的下降，用于备用救生绳索，即使坠落时紧握此装备也不影响其锁定功能，无论垂直或倾斜的绳索上均可工作，无需人工干预即可在绳索上自由上下移动，在绳索的任何位置均可便捷的安装和移除，可与势能吸收器挽索一起使用建立与安全绳所需的距离，腾出工作空间，并且保护绳索（防止尖锐工具或熔融金属飞溅物等）。</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3、需与防坠落缓冲带连接使用。绳索使用范围(10-13mm)。</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4、重量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450克，制动距离：20cm。</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5、需提供产品质量检测报告或质量证明。</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6、带双人用释能吸收包。</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7、提供样品，</w:t>
            </w:r>
            <w:r>
              <w:rPr>
                <w:rStyle w:val="font141"/>
                <w:rFonts w:ascii="宋体" w:eastAsia="宋体" w:hAnsi="宋体" w:cs="宋体" w:hint="eastAsia"/>
                <w:color w:val="auto"/>
                <w:kern w:val="2"/>
                <w:sz w:val="20"/>
                <w:szCs w:val="20"/>
                <w:u w:val="none"/>
                <w:lang w:val="en-US" w:eastAsia="zh-CN" w:bidi="ar"/>
              </w:rPr>
              <w:t>根据安全性、先进性和性能进行评</w:t>
            </w:r>
            <w:r>
              <w:rPr>
                <w:rFonts w:ascii="宋体" w:eastAsia="宋体" w:hAnsi="宋体" w:cs="宋体" w:hint="eastAsia"/>
                <w:i w:val="0"/>
                <w:color w:val="auto"/>
                <w:kern w:val="0"/>
                <w:sz w:val="20"/>
                <w:szCs w:val="20"/>
                <w:u w:val="none"/>
                <w:lang w:val="en-US" w:eastAsia="zh-CN" w:bidi="ar"/>
              </w:rPr>
              <w:t>比，可提供产品彩页、说明书、合格证、原厂公开发表的证明文件复印件或者厂家出具的技术参数说明函。</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51</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234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6</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止坠器专用势能吸收装置</w:t>
            </w:r>
          </w:p>
        </w:tc>
        <w:tc>
          <w:tcPr>
            <w:tcW w:w="5350" w:type="dxa"/>
            <w:tcBorders>
              <w:top w:val="single" w:sz="4" w:space="0" w:color="000000"/>
              <w:left w:val="single" w:sz="4" w:space="0" w:color="000000"/>
              <w:bottom w:val="single" w:sz="4" w:space="0" w:color="000000"/>
              <w:right w:val="single" w:sz="4" w:space="0" w:color="000000"/>
            </w:tcBorders>
            <w:shd w:val="clear" w:color="auto" w:fill="FFFFFF"/>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1、符合相关标准，提供检验机构出具的检验报告复印件或认证证书复印件；</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2、配合用于移动止坠器，可双人救援使用，配有撕裂式扁带，装于拉链式包内，可视化管理，便于安全检查，遇冲坠时势能吸收器通过织带撕裂吸收对使用者的冲击力；</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3、两端配有织带保护器，用于将连接器固定到位并保护织带免受磨损；</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4、长度：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30cm，重量：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300g，最大负荷：</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150kg。</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5、</w:t>
            </w:r>
            <w:r>
              <w:rPr>
                <w:rStyle w:val="font141"/>
                <w:rFonts w:ascii="宋体" w:eastAsia="宋体" w:hAnsi="宋体" w:cs="宋体" w:hint="eastAsia"/>
                <w:color w:val="auto"/>
                <w:kern w:val="2"/>
                <w:sz w:val="20"/>
                <w:szCs w:val="20"/>
                <w:u w:val="none"/>
                <w:lang w:val="en-US" w:eastAsia="zh-CN" w:bidi="ar"/>
              </w:rPr>
              <w:t>提供样品，根据安全性、先进性和性能进行评比，并出具检验报告</w:t>
            </w:r>
            <w:r>
              <w:rPr>
                <w:rFonts w:ascii="宋体" w:eastAsia="宋体" w:hAnsi="宋体" w:cs="宋体" w:hint="eastAsia"/>
                <w:i w:val="0"/>
                <w:color w:val="auto"/>
                <w:kern w:val="0"/>
                <w:sz w:val="20"/>
                <w:szCs w:val="20"/>
                <w:u w:val="none"/>
                <w:lang w:val="en-US" w:eastAsia="zh-CN" w:bidi="ar"/>
              </w:rPr>
              <w:t>复印件或认证证书复印件</w:t>
            </w:r>
            <w:r>
              <w:rPr>
                <w:rStyle w:val="font141"/>
                <w:rFonts w:ascii="宋体" w:eastAsia="宋体" w:hAnsi="宋体" w:cs="宋体" w:hint="eastAsia"/>
                <w:color w:val="auto"/>
                <w:kern w:val="2"/>
                <w:sz w:val="20"/>
                <w:szCs w:val="20"/>
                <w:u w:val="none"/>
                <w:lang w:val="en-US" w:eastAsia="zh-CN" w:bidi="ar"/>
              </w:rPr>
              <w:t>。</w:t>
            </w:r>
          </w:p>
        </w:tc>
        <w:tc>
          <w:tcPr>
            <w:tcW w:w="658" w:type="dxa"/>
            <w:tcBorders>
              <w:top w:val="single" w:sz="4" w:space="0" w:color="000000"/>
              <w:left w:val="single" w:sz="4" w:space="0" w:color="000000"/>
              <w:bottom w:val="single" w:sz="4" w:space="0" w:color="000000"/>
              <w:right w:val="single" w:sz="4" w:space="0" w:color="00000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35</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195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7</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可调挽索</w:t>
            </w:r>
          </w:p>
        </w:tc>
        <w:tc>
          <w:tcPr>
            <w:tcW w:w="5350" w:type="dxa"/>
            <w:tcBorders>
              <w:top w:val="single" w:sz="4" w:space="0" w:color="000000"/>
              <w:left w:val="single" w:sz="4" w:space="0" w:color="000000"/>
              <w:bottom w:val="single" w:sz="4" w:space="0" w:color="000000"/>
              <w:right w:val="single" w:sz="4" w:space="0" w:color="000000"/>
            </w:tcBorders>
            <w:shd w:val="clear" w:color="auto" w:fill="FFFFFF"/>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 xml:space="preserve">1、可调式行进双挽索，动力绳需可吸收冲击力，直径 </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10.5mm，并且要求可以在各种行进方式下提供连接保护（绳索上升、生命线移动等）。</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2、需配备调节器，可便于调节挽索长度。锁扣的位置要求固定，方便钩挂。</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 xml:space="preserve">3、重量 </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230g，1X65cm固定臂，单臂可调节</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95cm。</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4、材质：纺织品-尼龙，金属配件</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铝合金</w:t>
            </w:r>
          </w:p>
        </w:tc>
        <w:tc>
          <w:tcPr>
            <w:tcW w:w="658" w:type="dxa"/>
            <w:tcBorders>
              <w:top w:val="single" w:sz="4" w:space="0" w:color="000000"/>
              <w:left w:val="single" w:sz="4" w:space="0" w:color="000000"/>
              <w:bottom w:val="single" w:sz="4" w:space="0" w:color="000000"/>
              <w:right w:val="single" w:sz="4" w:space="0" w:color="00000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34</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236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8</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脚踏带</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1、材质：大力马纤维，长度：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143cm，调节长度：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35cm-140cm，直径：</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6mm，重量：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50g；</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2、可调节长度脚踏圈，连接多类上升器，脚底接触扁绳具有极高的抗磨损性同时具有一定硬度便于踩踏弹性带保证脚始终在环中；</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3、可调节高度，所以适合所有类型的鞋子，同时方便储藏。高强度合金卡扣可简单快速调节长度。</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4、承载力</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300kg</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35</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526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9</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个人装备包</w:t>
            </w:r>
          </w:p>
        </w:tc>
        <w:tc>
          <w:tcPr>
            <w:tcW w:w="535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1、容量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36L；</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2、重量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2500g；</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3、用于绳索救援，存放装备或绳索；</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4、装备包缝合强度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240N；</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5、塑料插扣耐用性能：1000 次后能正常使用，无异常；</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6、振荡冲击性能：在规定负重条件下进行试验，测试后目测包体无开裂；各部件不变形，无断裂、损坏，不开线；固定件、连接件不松动；插接件、磁扣件等能正常开关，无异常；包锁开启正常，密码锁无卡死、跳号、脱勾、乱号及密码失控现象（在检验报告中体现）；</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7、检验执行标准： QB/T1333-2018  GB/2912.1-2009；                                8、采用聚氯乙烯（PVC）夹网布、织物材料，使用拉链及扣具，两侧可通铺隔断式网袋，10个以上挂钩挂点，外部有3条及以上横向固定扣带，顶包有头盔固定链接。低吸水带有衬垫背负，加厚腰带和肩带，包面有ID卡位和10个以上实用挂点；                        9、在包适当位置冷印印制队伍LOGO及字体标识，保证长时间不褪色、不掉落,具体根据使用单位要求印制，增加姓名牌粘贴位。</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28</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280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10</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双滑轮</w:t>
            </w:r>
          </w:p>
        </w:tc>
        <w:tc>
          <w:tcPr>
            <w:tcW w:w="535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1、 带有万向结的一体式双滑轮，可360</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旋转，避免绳索缠绕。规格</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170mm*70mm*50mm。</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2、超大承重连接孔，可同时连接3只主锁。</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3、采用高效率密封滚珠轴承，工作寿命长，效率</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90%。</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4、滑轮直径</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60mm，最大过绳直径</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13mm。</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5、材质铝合金。</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6、工作负荷</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12KN，断裂负荷</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35kN，重量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450g。</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7、符合相关行业标准，提供国家级质量监督检验机构出具的质量检验报告复印件。</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1</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230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11</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安全钩</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1、轻型O型锁扣，椭圆外形可使较宽的装备如滑轮、上升器和移动止坠器位于最佳位置；</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2、H型轮廓有助于更好的抓力，保护标记不受磨损，减轻重量；其可与CAPTIV固定杆配合使用，能使锁扣在主轴受力，减少翻转的风险，并保持与装备的连接；</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3、上锁类型为三段自锁；</w:t>
            </w:r>
          </w:p>
          <w:p>
            <w:pPr>
              <w:keepNext w:val="0"/>
              <w:keepLines w:val="0"/>
              <w:widowControl w:val="0"/>
              <w:suppressLineNumbers w:val="0"/>
              <w:spacing w:before="0" w:beforeAutospacing="0" w:after="0" w:afterAutospacing="0"/>
              <w:ind w:left="0" w:right="0"/>
              <w:jc w:val="both"/>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4、开口尺寸：</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20mm， 纵向拉力：</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22KN， 横向拉力：</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8KN，开口拉力：</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7KN，重量：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 xml:space="preserve">80g。                      </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5、</w:t>
            </w:r>
            <w:r>
              <w:rPr>
                <w:rStyle w:val="font81"/>
                <w:rFonts w:ascii="宋体" w:eastAsia="宋体" w:hAnsi="宋体" w:cs="宋体" w:hint="eastAsia"/>
                <w:color w:val="auto"/>
                <w:kern w:val="2"/>
                <w:sz w:val="20"/>
                <w:szCs w:val="20"/>
                <w:u w:val="none"/>
                <w:lang w:val="en-US" w:eastAsia="zh-CN" w:bidi="ar"/>
              </w:rPr>
              <w:t>提供样品，</w:t>
            </w:r>
            <w:r>
              <w:rPr>
                <w:rStyle w:val="font141"/>
                <w:rFonts w:ascii="宋体" w:eastAsia="宋体" w:hAnsi="宋体" w:cs="宋体" w:hint="eastAsia"/>
                <w:color w:val="auto"/>
                <w:kern w:val="2"/>
                <w:sz w:val="20"/>
                <w:szCs w:val="20"/>
                <w:u w:val="none"/>
                <w:lang w:val="en-US" w:eastAsia="zh-CN" w:bidi="ar"/>
              </w:rPr>
              <w:t>根据安全性、先进性和性能进行评比，可提供产品彩页、说明书、合格证、原厂公开发表的证明文件复印件或者厂家出具的技术参数说明函。</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210</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78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12</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短连接</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1、带两个铝合金连接点，具备自锁功能；</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2、重量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360g，长度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120mm，断裂负荷</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25kN，扁带宽度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40mm。</w:t>
            </w:r>
          </w:p>
        </w:tc>
        <w:tc>
          <w:tcPr>
            <w:tcW w:w="658" w:type="dxa"/>
            <w:tcBorders>
              <w:top w:val="single" w:sz="4" w:space="0" w:color="000000"/>
              <w:left w:val="single" w:sz="4" w:space="0" w:color="000000"/>
              <w:bottom w:val="single" w:sz="4" w:space="0" w:color="000000"/>
              <w:right w:val="single" w:sz="4" w:space="0" w:color="00000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23</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260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13</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班组装备包</w:t>
            </w:r>
          </w:p>
        </w:tc>
        <w:tc>
          <w:tcPr>
            <w:tcW w:w="5350" w:type="dxa"/>
            <w:tcBorders>
              <w:top w:val="single" w:sz="4" w:space="0" w:color="000000"/>
              <w:left w:val="single" w:sz="4" w:space="0" w:color="000000"/>
              <w:bottom w:val="single" w:sz="4" w:space="0" w:color="000000"/>
              <w:right w:val="single" w:sz="4" w:space="0" w:color="000000"/>
            </w:tcBorders>
            <w:shd w:val="clear" w:color="auto" w:fill="FFFFFF"/>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1、材质:聚氯乙烯(pvc)夹网布，织物外尺寸:</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80x30x25cm。</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2、容量：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60L。</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3、重量：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3Kg。</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4、可卷放，可平铺展开，内置</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3个拉链分装袋，</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6个通铺隔断式网袋，</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18个主锁挂点，</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3条绳索固定扣带，顶包有头盔固定链接，实现模块化分装。</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5、低吸水带有衬垫背负，加厚腰带和肩带的舒适性，适合长距离承重背负，包面设有ID卡位及</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12个实用挂点。</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6、要求产品链扣采用名牌拉链，及扣具。</w:t>
            </w:r>
          </w:p>
        </w:tc>
        <w:tc>
          <w:tcPr>
            <w:tcW w:w="658" w:type="dxa"/>
            <w:tcBorders>
              <w:top w:val="single" w:sz="4" w:space="0" w:color="000000"/>
              <w:left w:val="single" w:sz="4" w:space="0" w:color="000000"/>
              <w:bottom w:val="single" w:sz="4" w:space="0" w:color="000000"/>
              <w:right w:val="single" w:sz="4" w:space="0" w:color="00000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4</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568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14</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救援型下降器</w:t>
            </w:r>
          </w:p>
        </w:tc>
        <w:tc>
          <w:tcPr>
            <w:tcW w:w="535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1、集成下降、上升、提升、拖拽功能于一体的专业绳索救援设备，前面板挂点采取可开放设计，便于操作人员在不摘下设备的情况下，直接安装、拆取绳索；</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2、可以作为个人上升、下降设备，操作方便；</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3、也带救援功能，采用止退滚动滑轮+锁止块设计，可由救援人员协助其他人上升或下降，迅速到达目标位置；</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4、需要高空下放操作时，通过控制手柄实现顺畅下降。当下降环境受限时，松开手柄可立即停止下降，锁止灵敏；</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5、 优于常规下降器的上升功能，采用滚动滑轮作为锁止机构的核心部件，短距离上升操作更容易；</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6、具有止退提升功能，止退滚动滑轮+锁止块设计，下端设有吊物孔，可实现高效率的重物提升，节省人力；</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7、拖拽操作时，即使牵引端突然失控或释放，重物会迅速锁止在系统中，不会自由下降；</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Fonts w:ascii="宋体" w:eastAsia="宋体" w:hAnsi="宋体" w:cs="宋体" w:hint="eastAsia"/>
                <w:color w:val="auto"/>
                <w:kern w:val="0"/>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8、最大工作载荷：</w:t>
            </w: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200kg；</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9、重量</w:t>
            </w: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1200g；</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10、材质为航空铝合金、不锈钢；</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Fonts w:ascii="宋体" w:eastAsia="宋体" w:hAnsi="宋体" w:cs="宋体" w:hint="eastAsia"/>
                <w:color w:val="auto"/>
                <w:kern w:val="0"/>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11、断裂强大</w:t>
            </w: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16KN；</w:t>
            </w:r>
          </w:p>
          <w:p>
            <w:pPr>
              <w:keepNext w:val="0"/>
              <w:keepLines w:val="0"/>
              <w:widowControl w:val="0"/>
              <w:suppressLineNumbers w:val="0"/>
              <w:spacing w:before="0" w:beforeAutospacing="0" w:after="0" w:afterAutospacing="0"/>
              <w:ind w:left="0" w:right="0"/>
              <w:jc w:val="both"/>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 xml:space="preserve">12、通过CE认证，认证标准：EN12841 C。                </w:t>
            </w:r>
          </w:p>
          <w:p>
            <w:pPr>
              <w:keepNext w:val="0"/>
              <w:keepLines w:val="0"/>
              <w:widowControl w:val="0"/>
              <w:suppressLineNumbers w:val="0"/>
              <w:spacing w:before="0" w:beforeAutospacing="0" w:after="0" w:afterAutospacing="0"/>
              <w:ind w:left="0" w:right="0"/>
              <w:jc w:val="both"/>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13、</w:t>
            </w:r>
            <w:r>
              <w:rPr>
                <w:rStyle w:val="font141"/>
                <w:rFonts w:ascii="宋体" w:eastAsia="宋体" w:hAnsi="宋体" w:cs="宋体" w:hint="eastAsia"/>
                <w:color w:val="auto"/>
                <w:kern w:val="2"/>
                <w:sz w:val="20"/>
                <w:szCs w:val="20"/>
                <w:u w:val="none"/>
                <w:lang w:val="en-US" w:eastAsia="zh-CN" w:bidi="ar"/>
              </w:rPr>
              <w:t>提供样品，根据安全性、先进性和性能进行评比，并出具检验报告。</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10</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1145"/>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15</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Style w:val="font12"/>
                <w:rFonts w:ascii="宋体" w:eastAsia="宋体" w:hAnsi="宋体" w:cs="宋体" w:hint="eastAsia"/>
                <w:color w:val="auto"/>
                <w:kern w:val="2"/>
                <w:sz w:val="20"/>
                <w:szCs w:val="20"/>
                <w:u w:val="none"/>
                <w:lang w:val="en-US" w:eastAsia="zh-CN" w:bidi="ar"/>
              </w:rPr>
              <w:t>200</w:t>
            </w:r>
            <w:r>
              <w:rPr>
                <w:rStyle w:val="font141"/>
                <w:rFonts w:ascii="宋体" w:eastAsia="宋体" w:hAnsi="宋体" w:cs="宋体" w:hint="eastAsia"/>
                <w:color w:val="auto"/>
                <w:kern w:val="2"/>
                <w:sz w:val="20"/>
                <w:szCs w:val="20"/>
                <w:u w:val="none"/>
                <w:lang w:val="en-US" w:eastAsia="zh-CN" w:bidi="ar"/>
              </w:rPr>
              <w:t>米静力绳</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1、10.5-11.5mm静力绳，认证标准：国际通用认证。</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2、断裂强度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22KN(2200kg)。</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3、受重</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150kg，静延展率</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5%,</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4、绳皮滑动率0，绳皮比重40%，缩水率1、3%，</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5、每米重量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 xml:space="preserve"> 81g，焦化温度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250</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6、存储寿命</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10年，</w:t>
            </w:r>
          </w:p>
          <w:p>
            <w:pPr>
              <w:keepNext w:val="0"/>
              <w:keepLines w:val="0"/>
              <w:widowControl w:val="0"/>
              <w:suppressLineNumbers w:val="0"/>
              <w:spacing w:before="0" w:beforeAutospacing="0" w:after="0" w:afterAutospacing="0"/>
              <w:ind w:left="0" w:right="0"/>
              <w:jc w:val="left"/>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 xml:space="preserve">7、具有绳头标识。                                                             </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8、</w:t>
            </w:r>
            <w:r>
              <w:rPr>
                <w:rStyle w:val="font141"/>
                <w:rFonts w:ascii="宋体" w:eastAsia="宋体" w:hAnsi="宋体" w:cs="宋体" w:hint="eastAsia"/>
                <w:color w:val="auto"/>
                <w:kern w:val="2"/>
                <w:sz w:val="20"/>
                <w:szCs w:val="20"/>
                <w:u w:val="none"/>
                <w:lang w:val="en-US" w:eastAsia="zh-CN" w:bidi="ar"/>
              </w:rPr>
              <w:t>提供样品，根据安全性、先进性和性能进行评比，并出具检验报告</w:t>
            </w:r>
            <w:r>
              <w:rPr>
                <w:rFonts w:ascii="宋体" w:eastAsia="宋体" w:hAnsi="宋体" w:cs="宋体" w:hint="eastAsia"/>
                <w:i w:val="0"/>
                <w:color w:val="auto"/>
                <w:kern w:val="0"/>
                <w:sz w:val="20"/>
                <w:szCs w:val="20"/>
                <w:u w:val="none"/>
                <w:lang w:val="en-US" w:eastAsia="zh-CN" w:bidi="ar"/>
              </w:rPr>
              <w:t>，为便于运输，截取一段作为样品，长度1M,具有绳头标识。                                           9、颜色按采购使用单位要求提供</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6</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2082"/>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16</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Style w:val="font12"/>
                <w:rFonts w:ascii="宋体" w:eastAsia="宋体" w:hAnsi="宋体" w:cs="宋体" w:hint="eastAsia"/>
                <w:color w:val="auto"/>
                <w:kern w:val="2"/>
                <w:sz w:val="20"/>
                <w:szCs w:val="20"/>
                <w:u w:val="none"/>
                <w:lang w:val="en-US" w:eastAsia="zh-CN" w:bidi="ar"/>
              </w:rPr>
              <w:t>100</w:t>
            </w:r>
            <w:r>
              <w:rPr>
                <w:rStyle w:val="font141"/>
                <w:rFonts w:ascii="宋体" w:eastAsia="宋体" w:hAnsi="宋体" w:cs="宋体" w:hint="eastAsia"/>
                <w:color w:val="auto"/>
                <w:kern w:val="2"/>
                <w:sz w:val="20"/>
                <w:szCs w:val="20"/>
                <w:u w:val="none"/>
                <w:lang w:val="en-US" w:eastAsia="zh-CN" w:bidi="ar"/>
              </w:rPr>
              <w:t>米静力绳</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1、10.5-11.5mm静力绳，认证标准：国际通用认证。</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2、断裂强度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22KN(2200kg)。</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3、受重</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150kg，静延展率</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5%,</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4、绳皮滑动率0，绳皮比重40%，缩水率1、3%，</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5、每米重量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 xml:space="preserve"> 81g，焦化温度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250</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6、存储寿命</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10年，</w:t>
            </w:r>
          </w:p>
          <w:p>
            <w:pPr>
              <w:keepNext w:val="0"/>
              <w:keepLines w:val="0"/>
              <w:widowControl/>
              <w:suppressLineNumbers w:val="0"/>
              <w:spacing w:before="0" w:beforeAutospacing="0" w:after="0" w:afterAutospacing="0"/>
              <w:ind w:left="200" w:right="0" w:hanging="200" w:hangingChars="10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 xml:space="preserve">7、具有绳头标识。                                    </w:t>
            </w:r>
          </w:p>
          <w:p>
            <w:pPr>
              <w:keepNext w:val="0"/>
              <w:keepLines w:val="0"/>
              <w:widowControl/>
              <w:suppressLineNumbers w:val="0"/>
              <w:spacing w:before="0" w:beforeAutospacing="0" w:after="0" w:afterAutospacing="0"/>
              <w:ind w:left="200" w:right="0" w:hanging="200" w:hangingChars="10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8、颜色按采购使用单位要求提供</w:t>
            </w:r>
          </w:p>
        </w:tc>
        <w:tc>
          <w:tcPr>
            <w:tcW w:w="658" w:type="dxa"/>
            <w:tcBorders>
              <w:top w:val="single" w:sz="4" w:space="0" w:color="000000"/>
              <w:left w:val="single" w:sz="4" w:space="0" w:color="000000"/>
              <w:bottom w:val="single" w:sz="4" w:space="0" w:color="000000"/>
              <w:right w:val="single" w:sz="4" w:space="0" w:color="00000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4</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1693"/>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17</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Style w:val="font12"/>
                <w:rFonts w:ascii="宋体" w:eastAsia="宋体" w:hAnsi="宋体" w:cs="宋体" w:hint="eastAsia"/>
                <w:color w:val="auto"/>
                <w:kern w:val="2"/>
                <w:sz w:val="20"/>
                <w:szCs w:val="20"/>
                <w:u w:val="none"/>
                <w:lang w:val="en-US" w:eastAsia="zh-CN" w:bidi="ar"/>
              </w:rPr>
              <w:t>50</w:t>
            </w:r>
            <w:r>
              <w:rPr>
                <w:rStyle w:val="font141"/>
                <w:rFonts w:ascii="宋体" w:eastAsia="宋体" w:hAnsi="宋体" w:cs="宋体" w:hint="eastAsia"/>
                <w:color w:val="auto"/>
                <w:kern w:val="2"/>
                <w:sz w:val="20"/>
                <w:szCs w:val="20"/>
                <w:u w:val="none"/>
                <w:lang w:val="en-US" w:eastAsia="zh-CN" w:bidi="ar"/>
              </w:rPr>
              <w:t>米静力绳</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1、1、10.5-11、5mm静力绳，认证标准：国际通用认证。</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2、断裂强度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22KN(2200kg)。</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3、受重</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150kg，静延展率</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5%,</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4、绳皮滑动率0，绳皮比重40%，缩水率1、3%，</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5、每米重量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 xml:space="preserve"> 81g，焦化温度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250</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6、存储寿命</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10年。                                   7、颜色按采购使用单位要求提供</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8</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2039"/>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18</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Style w:val="font12"/>
                <w:rFonts w:ascii="宋体" w:eastAsia="宋体" w:hAnsi="宋体" w:cs="宋体" w:hint="eastAsia"/>
                <w:color w:val="auto"/>
                <w:kern w:val="2"/>
                <w:sz w:val="20"/>
                <w:szCs w:val="20"/>
                <w:u w:val="none"/>
                <w:lang w:val="en-US" w:eastAsia="zh-CN" w:bidi="ar"/>
              </w:rPr>
              <w:t>30</w:t>
            </w:r>
            <w:r>
              <w:rPr>
                <w:rStyle w:val="font141"/>
                <w:rFonts w:ascii="宋体" w:eastAsia="宋体" w:hAnsi="宋体" w:cs="宋体" w:hint="eastAsia"/>
                <w:color w:val="auto"/>
                <w:kern w:val="2"/>
                <w:sz w:val="20"/>
                <w:szCs w:val="20"/>
                <w:u w:val="none"/>
                <w:lang w:val="en-US" w:eastAsia="zh-CN" w:bidi="ar"/>
              </w:rPr>
              <w:t>米静力绳</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1、1、10.5-11、5mm静力绳，认证标准：国际通用认证。</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2、断裂强度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22KN(2200kg)。</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3、受重</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150kg，静延展率</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5%,</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4、绳皮滑动率0，绳皮比重40%，缩水率1、3%，</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5、每米重量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 xml:space="preserve"> 81g，焦化温度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250</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6、存储寿命</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10年，</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7、具有绳头标识。                                     8、颜色按采购使用单位要求提供</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8</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2035"/>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19</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Style w:val="font12"/>
                <w:rFonts w:ascii="宋体" w:eastAsia="宋体" w:hAnsi="宋体" w:cs="宋体" w:hint="eastAsia"/>
                <w:color w:val="auto"/>
                <w:kern w:val="2"/>
                <w:sz w:val="20"/>
                <w:szCs w:val="20"/>
                <w:u w:val="none"/>
                <w:lang w:val="en-US" w:eastAsia="zh-CN" w:bidi="ar"/>
              </w:rPr>
              <w:t>4</w:t>
            </w:r>
            <w:r>
              <w:rPr>
                <w:rStyle w:val="font141"/>
                <w:rFonts w:ascii="宋体" w:eastAsia="宋体" w:hAnsi="宋体" w:cs="宋体" w:hint="eastAsia"/>
                <w:color w:val="auto"/>
                <w:kern w:val="2"/>
                <w:sz w:val="20"/>
                <w:szCs w:val="20"/>
                <w:u w:val="none"/>
                <w:lang w:val="en-US" w:eastAsia="zh-CN" w:bidi="ar"/>
              </w:rPr>
              <w:t>米静力绳</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1、1、10.5-11.5mm静力绳，认证标准：国际通用认证。</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2、断裂强度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22KN(2200kg)。</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3、受重</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150kg，静延展率</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5%,</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4、绳皮滑动率0，绳皮比重40%，缩水率1、3%，</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5、每米重量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 xml:space="preserve"> 81g，焦化温度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250</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6、存储寿命</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10年，</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7、具有绳头标识。                                     8、颜色按采购使用单位要求提供</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16</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228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20</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绳包</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1、用于绳子的携带；</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2、可提拉（1000D）防磨面料，带防水涂层；</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3、双肩背包，袋口使用受力收紧式绳扣；</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4、包身备挂环，可挂在安全带上；</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5、可装入直径11mm绳</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100m；</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6、尺寸：</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25</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25</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57cm;</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7、容量：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25L ;</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8、重量：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350g。</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13</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117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21</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Style w:val="font12"/>
                <w:rFonts w:ascii="宋体" w:eastAsia="宋体" w:hAnsi="宋体" w:cs="宋体" w:hint="eastAsia"/>
                <w:color w:val="auto"/>
                <w:kern w:val="2"/>
                <w:sz w:val="20"/>
                <w:szCs w:val="20"/>
                <w:u w:val="none"/>
                <w:lang w:val="en-US" w:eastAsia="zh-CN" w:bidi="ar"/>
              </w:rPr>
              <w:t>扁带（80cm</w:t>
            </w:r>
            <w:r>
              <w:rPr>
                <w:rStyle w:val="font141"/>
                <w:rFonts w:ascii="宋体" w:eastAsia="宋体" w:hAnsi="宋体" w:cs="宋体" w:hint="eastAsia"/>
                <w:color w:val="auto"/>
                <w:kern w:val="2"/>
                <w:sz w:val="20"/>
                <w:szCs w:val="20"/>
                <w:u w:val="none"/>
                <w:lang w:val="en-US" w:eastAsia="zh-CN" w:bidi="ar"/>
              </w:rPr>
              <w:t>）</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1、认证标准：国际通用认证。扁带环，用于设置简易临时确定点。材质采用强力尼龙纤维编制，超强耐磨，颜色蓝色，偏于识别；</w:t>
            </w:r>
          </w:p>
          <w:p>
            <w:pPr>
              <w:keepNext w:val="0"/>
              <w:keepLines w:val="0"/>
              <w:widowControl w:val="0"/>
              <w:suppressLineNumbers w:val="0"/>
              <w:spacing w:before="0" w:beforeAutospacing="0" w:after="0" w:afterAutospacing="0"/>
              <w:ind w:left="0" w:right="0"/>
              <w:jc w:val="both"/>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2、长度80cm</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1cm，宽</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20mm，重量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80g，断裂负荷</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22KN。                                                3、</w:t>
            </w:r>
            <w:r>
              <w:rPr>
                <w:rStyle w:val="font141"/>
                <w:rFonts w:ascii="宋体" w:eastAsia="宋体" w:hAnsi="宋体" w:cs="宋体" w:hint="eastAsia"/>
                <w:color w:val="auto"/>
                <w:kern w:val="2"/>
                <w:sz w:val="20"/>
                <w:szCs w:val="20"/>
                <w:u w:val="none"/>
                <w:lang w:val="en-US" w:eastAsia="zh-CN" w:bidi="ar"/>
              </w:rPr>
              <w:t>提供样品，根据安全性、先进性和性能进行评比，并出具检验报告。</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44</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117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22</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Style w:val="font12"/>
                <w:rFonts w:ascii="宋体" w:eastAsia="宋体" w:hAnsi="宋体" w:cs="宋体" w:hint="eastAsia"/>
                <w:color w:val="auto"/>
                <w:kern w:val="2"/>
                <w:sz w:val="20"/>
                <w:szCs w:val="20"/>
                <w:u w:val="none"/>
                <w:lang w:val="en-US" w:eastAsia="zh-CN" w:bidi="ar"/>
              </w:rPr>
              <w:t>扁带（120cm</w:t>
            </w:r>
            <w:r>
              <w:rPr>
                <w:rStyle w:val="font141"/>
                <w:rFonts w:ascii="宋体" w:eastAsia="宋体" w:hAnsi="宋体" w:cs="宋体" w:hint="eastAsia"/>
                <w:color w:val="auto"/>
                <w:kern w:val="2"/>
                <w:sz w:val="20"/>
                <w:szCs w:val="20"/>
                <w:u w:val="none"/>
                <w:lang w:val="en-US" w:eastAsia="zh-CN" w:bidi="ar"/>
              </w:rPr>
              <w:t>）</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1、认证标准：国际通用认证。扁带环，用于设置简易临时确定点。材质采用强力尼龙纤维编制，超强耐磨，颜色绿色，偏于识别；</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2、长度120cm</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1cm，宽</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20mm，重量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100g，断裂负荷</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22KN。</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44</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118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23</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Style w:val="font12"/>
                <w:rFonts w:ascii="宋体" w:eastAsia="宋体" w:hAnsi="宋体" w:cs="宋体" w:hint="eastAsia"/>
                <w:color w:val="auto"/>
                <w:kern w:val="2"/>
                <w:sz w:val="20"/>
                <w:szCs w:val="20"/>
                <w:u w:val="none"/>
                <w:lang w:val="en-US" w:eastAsia="zh-CN" w:bidi="ar"/>
              </w:rPr>
              <w:t>100</w:t>
            </w:r>
            <w:r>
              <w:rPr>
                <w:rStyle w:val="font141"/>
                <w:rFonts w:ascii="宋体" w:eastAsia="宋体" w:hAnsi="宋体" w:cs="宋体" w:hint="eastAsia"/>
                <w:color w:val="auto"/>
                <w:kern w:val="2"/>
                <w:sz w:val="20"/>
                <w:szCs w:val="20"/>
                <w:u w:val="none"/>
                <w:lang w:val="en-US" w:eastAsia="zh-CN" w:bidi="ar"/>
              </w:rPr>
              <w:t>米扁带卷</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1、非缝合，散扁带。</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2、宽度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20mm；长度100m。</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3、极限负荷：</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22kN。</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 xml:space="preserve">4、材质：涤纶或尼龙纤维。                                                    </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4</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120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24</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Style w:val="font12"/>
                <w:rFonts w:ascii="宋体" w:eastAsia="宋体" w:hAnsi="宋体" w:cs="宋体" w:hint="eastAsia"/>
                <w:color w:val="auto"/>
                <w:kern w:val="2"/>
                <w:sz w:val="20"/>
                <w:szCs w:val="20"/>
                <w:u w:val="none"/>
                <w:lang w:val="en-US" w:eastAsia="zh-CN" w:bidi="ar"/>
              </w:rPr>
              <w:t>100</w:t>
            </w:r>
            <w:r>
              <w:rPr>
                <w:rStyle w:val="font141"/>
                <w:rFonts w:ascii="宋体" w:eastAsia="宋体" w:hAnsi="宋体" w:cs="宋体" w:hint="eastAsia"/>
                <w:color w:val="auto"/>
                <w:kern w:val="2"/>
                <w:sz w:val="20"/>
                <w:szCs w:val="20"/>
                <w:u w:val="none"/>
                <w:lang w:val="en-US" w:eastAsia="zh-CN" w:bidi="ar"/>
              </w:rPr>
              <w:t>米</w:t>
            </w:r>
            <w:r>
              <w:rPr>
                <w:rStyle w:val="font61"/>
                <w:rFonts w:ascii="宋体" w:eastAsia="宋体" w:hAnsi="宋体" w:cs="宋体" w:hint="eastAsia"/>
                <w:color w:val="auto"/>
                <w:kern w:val="2"/>
                <w:sz w:val="20"/>
                <w:szCs w:val="20"/>
                <w:u w:val="none"/>
                <w:lang w:val="en-US" w:eastAsia="zh-CN" w:bidi="ar"/>
              </w:rPr>
              <w:t>6</w:t>
            </w:r>
            <w:r>
              <w:rPr>
                <w:rStyle w:val="font141"/>
                <w:rFonts w:ascii="宋体" w:eastAsia="宋体" w:hAnsi="宋体" w:cs="宋体" w:hint="eastAsia"/>
                <w:color w:val="auto"/>
                <w:kern w:val="2"/>
                <w:sz w:val="20"/>
                <w:szCs w:val="20"/>
                <w:u w:val="none"/>
                <w:lang w:val="en-US" w:eastAsia="zh-CN" w:bidi="ar"/>
              </w:rPr>
              <w:t>毫米抓绳</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1、直径：6mm，长度100m。</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2、材质：尼龙。</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3、破断强度：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5kN。</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4、每米重量：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25g/m。</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4</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122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25</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Style w:val="font12"/>
                <w:rFonts w:ascii="宋体" w:eastAsia="宋体" w:hAnsi="宋体" w:cs="宋体" w:hint="eastAsia"/>
                <w:color w:val="auto"/>
                <w:kern w:val="2"/>
                <w:sz w:val="20"/>
                <w:szCs w:val="20"/>
                <w:u w:val="none"/>
                <w:lang w:val="en-US" w:eastAsia="zh-CN" w:bidi="ar"/>
              </w:rPr>
              <w:t>100</w:t>
            </w:r>
            <w:r>
              <w:rPr>
                <w:rStyle w:val="font141"/>
                <w:rFonts w:ascii="宋体" w:eastAsia="宋体" w:hAnsi="宋体" w:cs="宋体" w:hint="eastAsia"/>
                <w:color w:val="auto"/>
                <w:kern w:val="2"/>
                <w:sz w:val="20"/>
                <w:szCs w:val="20"/>
                <w:u w:val="none"/>
                <w:lang w:val="en-US" w:eastAsia="zh-CN" w:bidi="ar"/>
              </w:rPr>
              <w:t>米</w:t>
            </w:r>
            <w:r>
              <w:rPr>
                <w:rStyle w:val="font61"/>
                <w:rFonts w:ascii="宋体" w:eastAsia="宋体" w:hAnsi="宋体" w:cs="宋体" w:hint="eastAsia"/>
                <w:color w:val="auto"/>
                <w:kern w:val="2"/>
                <w:sz w:val="20"/>
                <w:szCs w:val="20"/>
                <w:u w:val="none"/>
                <w:lang w:val="en-US" w:eastAsia="zh-CN" w:bidi="ar"/>
              </w:rPr>
              <w:t>8</w:t>
            </w:r>
            <w:r>
              <w:rPr>
                <w:rStyle w:val="font141"/>
                <w:rFonts w:ascii="宋体" w:eastAsia="宋体" w:hAnsi="宋体" w:cs="宋体" w:hint="eastAsia"/>
                <w:color w:val="auto"/>
                <w:kern w:val="2"/>
                <w:sz w:val="20"/>
                <w:szCs w:val="20"/>
                <w:u w:val="none"/>
                <w:lang w:val="en-US" w:eastAsia="zh-CN" w:bidi="ar"/>
              </w:rPr>
              <w:t>毫米抓绳</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1、直径：8mm，长度100m。</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2、材质：尼龙。</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3、破断强度：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15kN。</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4、每米重量：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45g/m。</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4</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212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26</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分力板（中）</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font81"/>
                <w:rFonts w:ascii="宋体" w:eastAsia="宋体" w:hAnsi="宋体" w:cs="宋体" w:hint="eastAsia"/>
                <w:color w:val="auto"/>
                <w:kern w:val="2"/>
                <w:sz w:val="20"/>
                <w:szCs w:val="20"/>
                <w:u w:val="none"/>
                <w:lang w:val="en-US" w:eastAsia="zh-CN" w:bidi="ar"/>
              </w:rPr>
            </w:pPr>
            <w:r>
              <w:rPr>
                <w:rStyle w:val="font81"/>
                <w:rFonts w:ascii="宋体" w:eastAsia="宋体" w:hAnsi="宋体" w:cs="宋体" w:hint="eastAsia"/>
                <w:color w:val="auto"/>
                <w:kern w:val="2"/>
                <w:sz w:val="20"/>
                <w:szCs w:val="20"/>
                <w:u w:val="none"/>
                <w:lang w:val="en-US" w:eastAsia="zh-CN" w:bidi="ar"/>
              </w:rPr>
              <w:t>1、8孔铝合金锚固点；</w:t>
            </w:r>
          </w:p>
          <w:p>
            <w:pPr>
              <w:keepNext w:val="0"/>
              <w:keepLines w:val="0"/>
              <w:widowControl/>
              <w:suppressLineNumbers w:val="0"/>
              <w:spacing w:before="0" w:beforeAutospacing="0" w:after="0" w:afterAutospacing="0"/>
              <w:ind w:left="0" w:right="0"/>
              <w:jc w:val="left"/>
              <w:textAlignment w:val="top"/>
              <w:rPr>
                <w:rStyle w:val="font81"/>
                <w:rFonts w:ascii="宋体" w:eastAsia="宋体" w:hAnsi="宋体" w:cs="宋体" w:hint="eastAsia"/>
                <w:color w:val="auto"/>
                <w:kern w:val="2"/>
                <w:sz w:val="20"/>
                <w:szCs w:val="20"/>
                <w:u w:val="none"/>
                <w:lang w:val="en-US" w:eastAsia="zh-CN" w:bidi="ar"/>
              </w:rPr>
            </w:pPr>
            <w:r>
              <w:rPr>
                <w:rStyle w:val="font81"/>
                <w:rFonts w:ascii="宋体" w:eastAsia="宋体" w:hAnsi="宋体" w:cs="宋体" w:hint="eastAsia"/>
                <w:color w:val="auto"/>
                <w:kern w:val="2"/>
                <w:sz w:val="20"/>
                <w:szCs w:val="20"/>
                <w:u w:val="none"/>
                <w:lang w:val="en-US" w:eastAsia="zh-CN" w:bidi="ar"/>
              </w:rPr>
              <w:t>2、尺寸</w:t>
            </w:r>
            <w:r>
              <w:rPr>
                <w:rStyle w:val="font81"/>
                <w:rFonts w:ascii="宋体" w:eastAsia="宋体" w:hAnsi="宋体" w:cs="宋体" w:hint="eastAsia"/>
                <w:color w:val="auto"/>
                <w:kern w:val="2"/>
                <w:sz w:val="20"/>
                <w:szCs w:val="20"/>
                <w:u w:val="none"/>
                <w:lang w:val="en-US" w:eastAsia="zh-CN" w:bidi="ar"/>
              </w:rPr>
              <w:t>≤</w:t>
            </w:r>
            <w:r>
              <w:rPr>
                <w:rStyle w:val="font81"/>
                <w:rFonts w:ascii="宋体" w:eastAsia="宋体" w:hAnsi="宋体" w:cs="宋体" w:hint="eastAsia"/>
                <w:color w:val="auto"/>
                <w:kern w:val="2"/>
                <w:sz w:val="20"/>
                <w:szCs w:val="20"/>
                <w:u w:val="none"/>
                <w:lang w:val="en-US" w:eastAsia="zh-CN" w:bidi="ar"/>
              </w:rPr>
              <w:t>175</w:t>
            </w:r>
            <w:r>
              <w:rPr>
                <w:rStyle w:val="font81"/>
                <w:rFonts w:ascii="宋体" w:eastAsia="宋体" w:hAnsi="宋体" w:cs="宋体" w:hint="eastAsia"/>
                <w:color w:val="auto"/>
                <w:kern w:val="2"/>
                <w:sz w:val="20"/>
                <w:szCs w:val="20"/>
                <w:u w:val="none"/>
                <w:lang w:val="en-US" w:eastAsia="zh-CN" w:bidi="ar"/>
              </w:rPr>
              <w:t>×</w:t>
            </w:r>
            <w:r>
              <w:rPr>
                <w:rStyle w:val="font81"/>
                <w:rFonts w:ascii="宋体" w:eastAsia="宋体" w:hAnsi="宋体" w:cs="宋体" w:hint="eastAsia"/>
                <w:color w:val="auto"/>
                <w:kern w:val="2"/>
                <w:sz w:val="20"/>
                <w:szCs w:val="20"/>
                <w:u w:val="none"/>
                <w:lang w:val="en-US" w:eastAsia="zh-CN" w:bidi="ar"/>
              </w:rPr>
              <w:t>100</w:t>
            </w:r>
            <w:r>
              <w:rPr>
                <w:rStyle w:val="font81"/>
                <w:rFonts w:ascii="宋体" w:eastAsia="宋体" w:hAnsi="宋体" w:cs="宋体" w:hint="eastAsia"/>
                <w:color w:val="auto"/>
                <w:kern w:val="2"/>
                <w:sz w:val="20"/>
                <w:szCs w:val="20"/>
                <w:u w:val="none"/>
                <w:lang w:val="en-US" w:eastAsia="zh-CN" w:bidi="ar"/>
              </w:rPr>
              <w:t>×</w:t>
            </w:r>
            <w:r>
              <w:rPr>
                <w:rStyle w:val="font81"/>
                <w:rFonts w:ascii="宋体" w:eastAsia="宋体" w:hAnsi="宋体" w:cs="宋体" w:hint="eastAsia"/>
                <w:color w:val="auto"/>
                <w:kern w:val="2"/>
                <w:sz w:val="20"/>
                <w:szCs w:val="20"/>
                <w:u w:val="none"/>
                <w:lang w:val="en-US" w:eastAsia="zh-CN" w:bidi="ar"/>
              </w:rPr>
              <w:t>10mm;</w:t>
            </w:r>
          </w:p>
          <w:p>
            <w:pPr>
              <w:keepNext w:val="0"/>
              <w:keepLines w:val="0"/>
              <w:widowControl/>
              <w:suppressLineNumbers w:val="0"/>
              <w:spacing w:before="0" w:beforeAutospacing="0" w:after="0" w:afterAutospacing="0"/>
              <w:ind w:left="0" w:right="0"/>
              <w:jc w:val="left"/>
              <w:textAlignment w:val="top"/>
              <w:rPr>
                <w:rStyle w:val="font81"/>
                <w:rFonts w:ascii="宋体" w:eastAsia="宋体" w:hAnsi="宋体" w:cs="宋体" w:hint="eastAsia"/>
                <w:color w:val="auto"/>
                <w:kern w:val="2"/>
                <w:sz w:val="20"/>
                <w:szCs w:val="20"/>
                <w:u w:val="none"/>
                <w:lang w:val="en-US" w:eastAsia="zh-CN" w:bidi="ar"/>
              </w:rPr>
            </w:pPr>
            <w:r>
              <w:rPr>
                <w:rStyle w:val="font81"/>
                <w:rFonts w:ascii="宋体" w:eastAsia="宋体" w:hAnsi="宋体" w:cs="宋体" w:hint="eastAsia"/>
                <w:color w:val="auto"/>
                <w:kern w:val="2"/>
                <w:sz w:val="20"/>
                <w:szCs w:val="20"/>
                <w:u w:val="none"/>
                <w:lang w:val="en-US" w:eastAsia="zh-CN" w:bidi="ar"/>
              </w:rPr>
              <w:t>3、孔径</w:t>
            </w:r>
            <w:r>
              <w:rPr>
                <w:rStyle w:val="font81"/>
                <w:rFonts w:ascii="宋体" w:eastAsia="宋体" w:hAnsi="宋体" w:cs="宋体" w:hint="eastAsia"/>
                <w:color w:val="auto"/>
                <w:kern w:val="2"/>
                <w:sz w:val="20"/>
                <w:szCs w:val="20"/>
                <w:u w:val="none"/>
                <w:lang w:val="en-US" w:eastAsia="zh-CN" w:bidi="ar"/>
              </w:rPr>
              <w:t>≥</w:t>
            </w:r>
            <w:r>
              <w:rPr>
                <w:rStyle w:val="font81"/>
                <w:rFonts w:ascii="宋体" w:eastAsia="宋体" w:hAnsi="宋体" w:cs="宋体" w:hint="eastAsia"/>
                <w:color w:val="auto"/>
                <w:kern w:val="2"/>
                <w:sz w:val="20"/>
                <w:szCs w:val="20"/>
                <w:u w:val="none"/>
                <w:lang w:val="en-US" w:eastAsia="zh-CN" w:bidi="ar"/>
              </w:rPr>
              <w:t>19mm，适合用于救援时设置锚点；</w:t>
            </w:r>
          </w:p>
          <w:p>
            <w:pPr>
              <w:keepNext w:val="0"/>
              <w:keepLines w:val="0"/>
              <w:widowControl/>
              <w:suppressLineNumbers w:val="0"/>
              <w:spacing w:before="0" w:beforeAutospacing="0" w:after="0" w:afterAutospacing="0"/>
              <w:ind w:left="0" w:right="0"/>
              <w:jc w:val="left"/>
              <w:textAlignment w:val="top"/>
              <w:rPr>
                <w:rStyle w:val="font81"/>
                <w:rFonts w:ascii="宋体" w:eastAsia="宋体" w:hAnsi="宋体" w:cs="宋体" w:hint="eastAsia"/>
                <w:color w:val="auto"/>
                <w:kern w:val="2"/>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Style w:val="font81"/>
                <w:rFonts w:ascii="宋体" w:eastAsia="宋体" w:hAnsi="宋体" w:cs="宋体" w:hint="eastAsia"/>
                <w:color w:val="auto"/>
                <w:kern w:val="2"/>
                <w:sz w:val="20"/>
                <w:szCs w:val="20"/>
                <w:u w:val="none"/>
                <w:lang w:val="en-US" w:eastAsia="zh-CN" w:bidi="ar"/>
              </w:rPr>
              <w:t>4、断裂负荷</w:t>
            </w:r>
            <w:r>
              <w:rPr>
                <w:rStyle w:val="font81"/>
                <w:rFonts w:ascii="宋体" w:eastAsia="宋体" w:hAnsi="宋体" w:cs="宋体" w:hint="eastAsia"/>
                <w:color w:val="auto"/>
                <w:kern w:val="2"/>
                <w:sz w:val="20"/>
                <w:szCs w:val="20"/>
                <w:u w:val="none"/>
                <w:lang w:val="en-US" w:eastAsia="zh-CN" w:bidi="ar"/>
              </w:rPr>
              <w:t>≥</w:t>
            </w:r>
            <w:r>
              <w:rPr>
                <w:rStyle w:val="font81"/>
                <w:rFonts w:ascii="宋体" w:eastAsia="宋体" w:hAnsi="宋体" w:cs="宋体" w:hint="eastAsia"/>
                <w:color w:val="auto"/>
                <w:kern w:val="2"/>
                <w:sz w:val="20"/>
                <w:szCs w:val="20"/>
                <w:u w:val="none"/>
                <w:lang w:val="en-US" w:eastAsia="zh-CN" w:bidi="ar"/>
              </w:rPr>
              <w:t>35KN；</w:t>
            </w:r>
          </w:p>
          <w:p>
            <w:pPr>
              <w:keepNext w:val="0"/>
              <w:keepLines w:val="0"/>
              <w:widowControl/>
              <w:suppressLineNumbers w:val="0"/>
              <w:spacing w:before="0" w:beforeAutospacing="0" w:after="0" w:afterAutospacing="0"/>
              <w:ind w:left="0" w:right="0"/>
              <w:jc w:val="left"/>
              <w:textAlignment w:val="top"/>
              <w:rPr>
                <w:rStyle w:val="font81"/>
                <w:rFonts w:ascii="宋体" w:eastAsia="宋体" w:hAnsi="宋体" w:cs="宋体" w:hint="eastAsia"/>
                <w:color w:val="auto"/>
                <w:kern w:val="2"/>
                <w:sz w:val="20"/>
                <w:szCs w:val="20"/>
                <w:u w:val="none"/>
                <w:lang w:val="en-US" w:eastAsia="zh-CN" w:bidi="ar"/>
              </w:rPr>
            </w:pPr>
            <w:r>
              <w:rPr>
                <w:rStyle w:val="font81"/>
                <w:rFonts w:ascii="宋体" w:eastAsia="宋体" w:hAnsi="宋体" w:cs="宋体" w:hint="eastAsia"/>
                <w:color w:val="auto"/>
                <w:kern w:val="2"/>
                <w:sz w:val="20"/>
                <w:szCs w:val="20"/>
                <w:u w:val="none"/>
                <w:lang w:val="en-US" w:eastAsia="zh-CN" w:bidi="ar"/>
              </w:rPr>
              <w:t>5、重量</w:t>
            </w:r>
            <w:r>
              <w:rPr>
                <w:rStyle w:val="font81"/>
                <w:rFonts w:ascii="宋体" w:eastAsia="宋体" w:hAnsi="宋体" w:cs="宋体" w:hint="eastAsia"/>
                <w:color w:val="auto"/>
                <w:kern w:val="2"/>
                <w:sz w:val="20"/>
                <w:szCs w:val="20"/>
                <w:u w:val="none"/>
                <w:lang w:val="en-US" w:eastAsia="zh-CN" w:bidi="ar"/>
              </w:rPr>
              <w:t>≤</w:t>
            </w:r>
            <w:r>
              <w:rPr>
                <w:rStyle w:val="font81"/>
                <w:rFonts w:ascii="宋体" w:eastAsia="宋体" w:hAnsi="宋体" w:cs="宋体" w:hint="eastAsia"/>
                <w:color w:val="auto"/>
                <w:kern w:val="2"/>
                <w:sz w:val="20"/>
                <w:szCs w:val="20"/>
                <w:u w:val="none"/>
                <w:lang w:val="en-US" w:eastAsia="zh-CN" w:bidi="ar"/>
              </w:rPr>
              <w:t>210g。</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Style w:val="font81"/>
                <w:rFonts w:ascii="宋体" w:eastAsia="宋体" w:hAnsi="宋体" w:cs="宋体" w:hint="eastAsia"/>
                <w:color w:val="auto"/>
                <w:kern w:val="2"/>
                <w:sz w:val="20"/>
                <w:szCs w:val="20"/>
                <w:u w:val="none"/>
                <w:lang w:val="en-US" w:eastAsia="zh-CN" w:bidi="ar"/>
              </w:rPr>
              <w:t>★</w:t>
            </w:r>
            <w:r>
              <w:rPr>
                <w:rStyle w:val="font81"/>
                <w:rFonts w:ascii="宋体" w:eastAsia="宋体" w:hAnsi="宋体" w:cs="宋体" w:hint="eastAsia"/>
                <w:color w:val="auto"/>
                <w:kern w:val="2"/>
                <w:sz w:val="20"/>
                <w:szCs w:val="20"/>
                <w:u w:val="none"/>
                <w:lang w:val="en-US" w:eastAsia="zh-CN" w:bidi="ar"/>
              </w:rPr>
              <w:t>6、提供国家级质量监督检验机构出具完整的质量检验报告复印件。</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9</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195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27</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分力板（大）</w:t>
            </w:r>
          </w:p>
        </w:tc>
        <w:tc>
          <w:tcPr>
            <w:tcW w:w="535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1、15孔确定点扣板，19mm洞口直径，容许大部份安全扣闸门通过。</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2、断裂负荷</w:t>
            </w: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35 KN。</w:t>
            </w:r>
          </w:p>
          <w:p>
            <w:pPr>
              <w:keepNext w:val="0"/>
              <w:keepLines w:val="0"/>
              <w:widowControl/>
              <w:suppressLineNumbers w:val="0"/>
              <w:spacing w:before="0" w:beforeAutospacing="0" w:after="0" w:afterAutospacing="0"/>
              <w:ind w:left="0" w:right="0"/>
              <w:jc w:val="left"/>
              <w:textAlignment w:val="center"/>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3、铝合金材质。</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2"/>
                <w:sz w:val="20"/>
                <w:szCs w:val="20"/>
                <w:u w:val="none"/>
                <w:lang w:val="en-US" w:eastAsia="zh-CN" w:bidi="ar-SA"/>
              </w:rPr>
            </w:pP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4、符合相关行业标准，提供国家级质量监督检验机构出具的质量检验报告复印件。</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8</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179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28</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机械抓结</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1、材质：铝合金。</w:t>
            </w:r>
          </w:p>
          <w:p>
            <w:pPr>
              <w:keepNext w:val="0"/>
              <w:keepLines w:val="0"/>
              <w:widowControl/>
              <w:suppressLineNumbers w:val="0"/>
              <w:spacing w:before="0" w:beforeAutospacing="0" w:after="0" w:afterAutospacing="0"/>
              <w:ind w:left="0" w:right="0"/>
              <w:jc w:val="left"/>
              <w:textAlignment w:val="top"/>
              <w:rPr>
                <w:rStyle w:val="font141"/>
                <w:rFonts w:ascii="宋体" w:eastAsia="宋体" w:hAnsi="宋体" w:cs="宋体" w:hint="eastAsia"/>
                <w:color w:val="auto"/>
                <w:kern w:val="2"/>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2、工作负荷：</w:t>
            </w: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5kN，极限负荷：</w:t>
            </w: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11kN。</w:t>
            </w:r>
          </w:p>
          <w:p>
            <w:pPr>
              <w:keepNext w:val="0"/>
              <w:keepLines w:val="0"/>
              <w:widowControl/>
              <w:suppressLineNumbers w:val="0"/>
              <w:spacing w:before="0" w:beforeAutospacing="0" w:after="0" w:afterAutospacing="0"/>
              <w:ind w:left="0" w:right="0"/>
              <w:jc w:val="left"/>
              <w:textAlignment w:val="top"/>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3、适合绳径：8-13mm。</w:t>
            </w:r>
          </w:p>
          <w:p>
            <w:pPr>
              <w:keepNext w:val="0"/>
              <w:keepLines w:val="0"/>
              <w:widowControl/>
              <w:suppressLineNumbers w:val="0"/>
              <w:spacing w:before="0" w:beforeAutospacing="0" w:after="0" w:afterAutospacing="0"/>
              <w:ind w:left="0" w:right="0"/>
              <w:jc w:val="left"/>
              <w:textAlignment w:val="top"/>
              <w:rPr>
                <w:rStyle w:val="font141"/>
                <w:rFonts w:ascii="宋体" w:eastAsia="宋体" w:hAnsi="宋体" w:cs="宋体" w:hint="eastAsia"/>
                <w:color w:val="auto"/>
                <w:kern w:val="2"/>
                <w:sz w:val="20"/>
                <w:szCs w:val="20"/>
                <w:u w:val="none"/>
                <w:lang w:val="en-US" w:eastAsia="zh-CN" w:bidi="ar"/>
              </w:rPr>
            </w:pPr>
            <w:r>
              <w:rPr>
                <w:rStyle w:val="font141"/>
                <w:rFonts w:ascii="宋体" w:eastAsia="宋体" w:hAnsi="宋体" w:cs="宋体" w:hint="eastAsia"/>
                <w:color w:val="auto"/>
                <w:kern w:val="2"/>
                <w:sz w:val="20"/>
                <w:szCs w:val="20"/>
                <w:u w:val="none"/>
                <w:lang w:val="en-US" w:eastAsia="zh-CN" w:bidi="ar"/>
              </w:rPr>
              <w:t>4、重量：</w:t>
            </w: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95g。</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Style w:val="font141"/>
                <w:rFonts w:ascii="宋体" w:eastAsia="宋体" w:hAnsi="宋体" w:cs="宋体" w:hint="eastAsia"/>
                <w:color w:val="auto"/>
                <w:kern w:val="2"/>
                <w:sz w:val="20"/>
                <w:szCs w:val="20"/>
                <w:u w:val="none"/>
                <w:lang w:val="en-US" w:eastAsia="zh-CN" w:bidi="ar"/>
              </w:rPr>
              <w:t>★</w:t>
            </w:r>
            <w:r>
              <w:rPr>
                <w:rStyle w:val="font141"/>
                <w:rFonts w:ascii="宋体" w:eastAsia="宋体" w:hAnsi="宋体" w:cs="宋体" w:hint="eastAsia"/>
                <w:color w:val="auto"/>
                <w:kern w:val="2"/>
                <w:sz w:val="20"/>
                <w:szCs w:val="20"/>
                <w:u w:val="none"/>
                <w:lang w:val="en-US" w:eastAsia="zh-CN" w:bidi="ar"/>
              </w:rPr>
              <w:t>5、提供国家级质量监督检验机构出具完整的质量检验报告复印件。</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10</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199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29</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过结滑轮</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1、认证标准：符合国际通用认证，用于架空横渡、救援、高空作业等活动，滑轮带有可拆卸的销钉，可以固定滑轮令其无法转动，以便作为锚点使用。尺寸：</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270mm*130mm*85mm；</w:t>
            </w:r>
          </w:p>
          <w:p>
            <w:pPr>
              <w:keepNext w:val="0"/>
              <w:keepLines w:val="0"/>
              <w:widowControl/>
              <w:suppressLineNumbers w:val="0"/>
              <w:spacing w:before="0" w:beforeAutospacing="0" w:after="0" w:afterAutospacing="0"/>
              <w:ind w:left="0" w:right="0"/>
              <w:jc w:val="left"/>
              <w:textAlignment w:val="top"/>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2、滑轮厚度</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6cm，滑轮直径</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70mm；</w:t>
            </w:r>
          </w:p>
          <w:p>
            <w:pPr>
              <w:keepNext w:val="0"/>
              <w:keepLines w:val="0"/>
              <w:widowControl/>
              <w:suppressLineNumbers w:val="0"/>
              <w:spacing w:before="0" w:beforeAutospacing="0" w:after="0" w:afterAutospacing="0"/>
              <w:ind w:left="0" w:right="0"/>
              <w:jc w:val="left"/>
              <w:textAlignment w:val="top"/>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3、重量：</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1400g；</w:t>
            </w:r>
          </w:p>
          <w:p>
            <w:pPr>
              <w:keepNext w:val="0"/>
              <w:keepLines w:val="0"/>
              <w:widowControl/>
              <w:suppressLineNumbers w:val="0"/>
              <w:spacing w:before="0" w:beforeAutospacing="0" w:after="0" w:afterAutospacing="0"/>
              <w:ind w:left="0" w:right="0"/>
              <w:jc w:val="left"/>
              <w:textAlignment w:val="top"/>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4、兼容绳索直径：8-13mm；</w:t>
            </w:r>
          </w:p>
          <w:p>
            <w:pPr>
              <w:keepNext w:val="0"/>
              <w:keepLines w:val="0"/>
              <w:widowControl w:val="0"/>
              <w:suppressLineNumbers w:val="0"/>
              <w:spacing w:before="0" w:beforeAutospacing="0" w:after="0" w:afterAutospacing="0"/>
              <w:ind w:left="0" w:right="0"/>
              <w:jc w:val="left"/>
              <w:rPr>
                <w:rStyle w:val="DefaultParagraphFont"/>
                <w:rFonts w:ascii="宋体" w:eastAsia="宋体" w:hAnsi="宋体" w:cs="宋体" w:hint="eastAsia"/>
                <w:i w:val="0"/>
                <w:color w:val="auto"/>
                <w:kern w:val="2"/>
                <w:sz w:val="20"/>
                <w:szCs w:val="20"/>
                <w:u w:val="none"/>
                <w:lang w:val="en-US" w:eastAsia="zh-CN" w:bidi="ar-SA"/>
              </w:rPr>
            </w:pP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5、工作负荷：</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 xml:space="preserve">10kN。                                                      </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6、</w:t>
            </w:r>
            <w:r>
              <w:rPr>
                <w:rStyle w:val="font141"/>
                <w:rFonts w:ascii="宋体" w:eastAsia="宋体" w:hAnsi="宋体" w:cs="宋体" w:hint="eastAsia"/>
                <w:color w:val="auto"/>
                <w:kern w:val="2"/>
                <w:sz w:val="20"/>
                <w:szCs w:val="20"/>
                <w:u w:val="none"/>
                <w:lang w:val="en-US" w:eastAsia="zh-CN" w:bidi="ar"/>
              </w:rPr>
              <w:t>提供样品，根据安全性、先进性和性能进行评比，并出具检验报告。</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3</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234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30</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滑轮组救援提拉套装</w:t>
            </w:r>
          </w:p>
        </w:tc>
        <w:tc>
          <w:tcPr>
            <w:tcW w:w="535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1、产品配置包含：万向滑轮1对，绳索直径8mm</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0.2mm，长度</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20米的绳1根，缝合抓结2个，两侧拉链腿包1个，快速插销2个，限位盖+螺丝1套；</w:t>
            </w:r>
          </w:p>
          <w:p>
            <w:pPr>
              <w:keepNext w:val="0"/>
              <w:keepLines w:val="0"/>
              <w:widowControl/>
              <w:suppressLineNumbers w:val="0"/>
              <w:spacing w:before="0" w:beforeAutospacing="0" w:after="0" w:afterAutospacing="0"/>
              <w:ind w:left="0" w:right="0"/>
              <w:jc w:val="left"/>
              <w:textAlignment w:val="center"/>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2、套装绳使用8mm聚酯纤维材质绳索，产品耐磨性好；</w:t>
            </w:r>
          </w:p>
          <w:p>
            <w:pPr>
              <w:keepNext w:val="0"/>
              <w:keepLines w:val="0"/>
              <w:widowControl/>
              <w:suppressLineNumbers w:val="0"/>
              <w:spacing w:before="0" w:beforeAutospacing="0" w:after="0" w:afterAutospacing="0"/>
              <w:ind w:left="0" w:right="0"/>
              <w:jc w:val="left"/>
              <w:textAlignment w:val="center"/>
              <w:rPr>
                <w:rStyle w:val="font71"/>
                <w:rFonts w:ascii="宋体" w:eastAsia="宋体" w:hAnsi="宋体" w:cs="宋体" w:hint="eastAsia"/>
                <w:color w:val="auto"/>
                <w:kern w:val="2"/>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3、提拉滑轮套装，材质为航空铝，配置高效滚珠轴承，滑轮断裂强度</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35KN（双滑轮状态下）；</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2"/>
                <w:sz w:val="20"/>
                <w:szCs w:val="20"/>
                <w:u w:val="none"/>
                <w:lang w:val="en-US" w:eastAsia="zh-CN" w:bidi="ar-SA"/>
              </w:rPr>
            </w:pPr>
            <w:r>
              <w:rPr>
                <w:rStyle w:val="font71"/>
                <w:rFonts w:ascii="宋体" w:eastAsia="宋体" w:hAnsi="宋体" w:cs="宋体" w:hint="eastAsia"/>
                <w:color w:val="auto"/>
                <w:kern w:val="2"/>
                <w:sz w:val="20"/>
                <w:szCs w:val="20"/>
                <w:u w:val="none"/>
                <w:lang w:val="en-US" w:eastAsia="zh-CN" w:bidi="ar"/>
              </w:rPr>
              <w:t>4、配一对抓结，插销、便于抓结上下转换。</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5</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156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31</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救援三角安全吊带</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1、认证标准：符合国际通用认证；</w:t>
            </w:r>
          </w:p>
          <w:p>
            <w:pPr>
              <w:keepNext w:val="0"/>
              <w:keepLines w:val="0"/>
              <w:widowControl/>
              <w:suppressLineNumbers w:val="0"/>
              <w:spacing w:before="0" w:beforeAutospacing="0" w:after="0" w:afterAutospacing="0"/>
              <w:ind w:left="0" w:right="0"/>
              <w:jc w:val="left"/>
              <w:textAlignment w:val="top"/>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2、承载重量：</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2.5KN</w:t>
            </w:r>
          </w:p>
          <w:p>
            <w:pPr>
              <w:keepNext w:val="0"/>
              <w:keepLines w:val="0"/>
              <w:widowControl/>
              <w:suppressLineNumbers w:val="0"/>
              <w:spacing w:before="0" w:beforeAutospacing="0" w:after="0" w:afterAutospacing="0"/>
              <w:ind w:left="0" w:right="0"/>
              <w:jc w:val="left"/>
              <w:textAlignment w:val="top"/>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3、三种尺寸调节适用于不同体型人群；</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Style w:val="font71"/>
                <w:rFonts w:ascii="宋体" w:eastAsia="宋体" w:hAnsi="宋体" w:cs="宋体" w:hint="eastAsia"/>
                <w:color w:val="auto"/>
                <w:kern w:val="2"/>
                <w:sz w:val="20"/>
                <w:szCs w:val="20"/>
                <w:u w:val="none"/>
                <w:lang w:val="en-US" w:eastAsia="zh-CN" w:bidi="ar"/>
              </w:rPr>
              <w:t>4、中心环设计有把手便于被救人员保持稳定，备安全肩带，重量：</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550g。</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4</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156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32</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绳索保护垫</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 xml:space="preserve">1、用于绳索救援和山岳救援时对绳索摩擦部位进行保护，避免绳索受损； </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2、帆布和棉麻混纺材质，保证垫布耐磨性。</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3、垫布四个角有孔洞并用金属件套洞方便进行固定。</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4、厚度不小于4mm，长</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宽：</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1*1m。</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4</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234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33</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绳索保护器</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1、产品经过中性盐雾测试之后，表面无生锈腐蚀现象，镀层无起泡、脱落等不良现象，具体检验标准及测试方法执行以下标准：GB/T228、1-2010 ，GB/T10125-2012；（在检验报告中体现）。</w:t>
            </w:r>
          </w:p>
          <w:p>
            <w:pPr>
              <w:keepNext w:val="0"/>
              <w:keepLines w:val="0"/>
              <w:widowControl/>
              <w:suppressLineNumbers w:val="0"/>
              <w:spacing w:before="0" w:beforeAutospacing="0" w:after="0" w:afterAutospacing="0"/>
              <w:ind w:left="0" w:right="0"/>
              <w:jc w:val="left"/>
              <w:textAlignment w:val="top"/>
              <w:rPr>
                <w:rStyle w:val="font71"/>
                <w:rFonts w:ascii="宋体" w:eastAsia="宋体" w:hAnsi="宋体" w:cs="宋体" w:hint="eastAsia"/>
                <w:color w:val="auto"/>
                <w:kern w:val="2"/>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2、重量</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1310g，有效承重</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345kg；</w:t>
            </w:r>
          </w:p>
          <w:p>
            <w:pPr>
              <w:keepNext w:val="0"/>
              <w:keepLines w:val="0"/>
              <w:widowControl/>
              <w:suppressLineNumbers w:val="0"/>
              <w:spacing w:before="0" w:beforeAutospacing="0" w:after="0" w:afterAutospacing="0"/>
              <w:ind w:left="0" w:right="0"/>
              <w:jc w:val="left"/>
              <w:textAlignment w:val="top"/>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3、产品必须通过承重不变形测试（在检验报告中体现）；</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4、可以多个连接，单个产品最大破断拉力</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22KN（在检验报告中体现）。</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4</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156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34</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绳索保护套</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1、防止绳索受到磨损和尖锐边缘的切割，胶套缝魔术贴，方便安装和拆收。</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2、长度：</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70cm。</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3、材质：PVC。</w:t>
            </w:r>
          </w:p>
          <w:p>
            <w:pPr>
              <w:keepNext w:val="0"/>
              <w:keepLines w:val="0"/>
              <w:widowControl/>
              <w:suppressLineNumbers w:val="0"/>
              <w:spacing w:before="0" w:beforeAutospacing="0" w:after="0" w:afterAutospacing="0"/>
              <w:ind w:left="0" w:right="0"/>
              <w:jc w:val="left"/>
              <w:textAlignment w:val="top"/>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4、重量：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90g。</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15</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156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35</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highlight w:val="none"/>
                <w:u w:val="none"/>
                <w:lang w:val="en-US" w:eastAsia="zh-CN" w:bidi="ar"/>
              </w:rPr>
              <w:t>篮式担架</w:t>
            </w:r>
          </w:p>
        </w:tc>
        <w:tc>
          <w:tcPr>
            <w:tcW w:w="5350" w:type="dxa"/>
            <w:tcBorders>
              <w:top w:val="single" w:sz="4" w:space="0" w:color="000000"/>
              <w:left w:val="single" w:sz="4" w:space="0" w:color="000000"/>
              <w:bottom w:val="single" w:sz="4" w:space="0" w:color="000000"/>
              <w:right w:val="single" w:sz="4" w:space="0" w:color="000000"/>
            </w:tcBorders>
            <w:shd w:val="clear" w:color="auto" w:fill="auto"/>
          </w:tcPr>
          <w:p>
            <w:pPr>
              <w:keepNext w:val="0"/>
              <w:keepLines w:val="0"/>
              <w:widowControl/>
              <w:suppressLineNumbers w:val="0"/>
              <w:spacing w:before="0" w:beforeAutospacing="0" w:after="0" w:afterAutospacing="0"/>
              <w:ind w:left="0" w:right="0"/>
              <w:jc w:val="left"/>
              <w:textAlignment w:val="top"/>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1、认证标准：符合国际通用认证；</w:t>
            </w:r>
          </w:p>
          <w:p>
            <w:pPr>
              <w:keepNext w:val="0"/>
              <w:keepLines w:val="0"/>
              <w:widowControl/>
              <w:suppressLineNumbers w:val="0"/>
              <w:spacing w:before="0" w:beforeAutospacing="0" w:after="0" w:afterAutospacing="0"/>
              <w:ind w:left="0" w:right="0"/>
              <w:jc w:val="left"/>
              <w:textAlignment w:val="top"/>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2、分体式船型担架，额定承受重量：</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615kg；材质：钛合金；</w:t>
            </w:r>
          </w:p>
          <w:p>
            <w:pPr>
              <w:keepNext w:val="0"/>
              <w:keepLines w:val="0"/>
              <w:widowControl/>
              <w:suppressLineNumbers w:val="0"/>
              <w:spacing w:before="0" w:beforeAutospacing="0" w:after="0" w:afterAutospacing="0"/>
              <w:ind w:left="0" w:right="0"/>
              <w:jc w:val="left"/>
              <w:textAlignment w:val="top"/>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3、尺寸：</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2100</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600</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190毫米（</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20mm）重量：</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14公斤；</w:t>
            </w:r>
          </w:p>
          <w:p>
            <w:pPr>
              <w:keepNext w:val="0"/>
              <w:keepLines w:val="0"/>
              <w:widowControl w:val="0"/>
              <w:suppressLineNumbers w:val="0"/>
              <w:spacing w:before="0" w:beforeAutospacing="0" w:after="0" w:afterAutospacing="0"/>
              <w:ind w:left="0" w:right="0"/>
              <w:jc w:val="left"/>
              <w:rPr>
                <w:rStyle w:val="DefaultParagraphFont"/>
                <w:rFonts w:ascii="宋体" w:eastAsia="宋体" w:hAnsi="宋体" w:cs="宋体" w:hint="eastAsia"/>
                <w:i w:val="0"/>
                <w:color w:val="auto"/>
                <w:kern w:val="2"/>
                <w:sz w:val="20"/>
                <w:szCs w:val="20"/>
                <w:u w:val="none"/>
                <w:lang w:val="en-US" w:eastAsia="zh-CN" w:bidi="ar-SA"/>
              </w:rPr>
            </w:pPr>
            <w:r>
              <w:rPr>
                <w:rStyle w:val="font71"/>
                <w:rFonts w:ascii="宋体" w:eastAsia="宋体" w:hAnsi="宋体" w:cs="宋体" w:hint="eastAsia"/>
                <w:color w:val="auto"/>
                <w:kern w:val="2"/>
                <w:sz w:val="20"/>
                <w:szCs w:val="20"/>
                <w:u w:val="none"/>
                <w:lang w:val="en-US" w:eastAsia="zh-CN" w:bidi="ar"/>
              </w:rPr>
              <w:t xml:space="preserve">4、满足横式或竖式吊升需要。                                                  </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5、</w:t>
            </w:r>
            <w:r>
              <w:rPr>
                <w:rStyle w:val="font141"/>
                <w:rFonts w:ascii="宋体" w:eastAsia="宋体" w:hAnsi="宋体" w:cs="宋体" w:hint="eastAsia"/>
                <w:color w:val="auto"/>
                <w:kern w:val="2"/>
                <w:sz w:val="20"/>
                <w:szCs w:val="20"/>
                <w:u w:val="none"/>
                <w:lang w:val="en-US" w:eastAsia="zh-CN" w:bidi="ar"/>
              </w:rPr>
              <w:t>提供样品图片，可提供产品彩页、说明书、合格证、原厂公开发表的证明文件复印件或者厂家出具的技术参数说明函。</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3</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195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36</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电锤</w:t>
            </w:r>
          </w:p>
        </w:tc>
        <w:tc>
          <w:tcPr>
            <w:tcW w:w="535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1、冲击能量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1.5焦耳；</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2、最大钻孔直径：混凝土</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20mm、钢材</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10mm、木材</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25mm；</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3、最佳钻孔范围：6-12mm之间；</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0"/>
                <w:sz w:val="20"/>
                <w:szCs w:val="20"/>
                <w:u w:val="none"/>
                <w:lang w:val="en-US" w:eastAsia="zh-CN" w:bidi="ar"/>
              </w:rPr>
            </w:pPr>
            <w:r>
              <w:rPr>
                <w:rFonts w:ascii="宋体" w:eastAsia="宋体" w:hAnsi="宋体" w:cs="宋体" w:hint="eastAsia"/>
                <w:i w:val="0"/>
                <w:color w:val="auto"/>
                <w:kern w:val="0"/>
                <w:sz w:val="20"/>
                <w:szCs w:val="20"/>
                <w:u w:val="none"/>
                <w:lang w:val="en-US" w:eastAsia="zh-CN" w:bidi="ar"/>
              </w:rPr>
              <w:t>4、蓄电池类型：锂电池，充电电压（伏）：220-240之间，电池电压（伏）</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20；</w:t>
            </w:r>
          </w:p>
          <w:p>
            <w:pPr>
              <w:keepNext w:val="0"/>
              <w:keepLines w:val="0"/>
              <w:widowControl/>
              <w:suppressLineNumbers w:val="0"/>
              <w:spacing w:before="0" w:beforeAutospacing="0" w:after="0" w:afterAutospacing="0"/>
              <w:ind w:left="0" w:right="0"/>
              <w:jc w:val="left"/>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5、充电温度范围在5</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-40</w:t>
            </w:r>
            <w:r>
              <w:rPr>
                <w:rFonts w:ascii="宋体" w:eastAsia="宋体" w:hAnsi="宋体" w:cs="宋体" w:hint="eastAsia"/>
                <w:i w:val="0"/>
                <w:color w:val="auto"/>
                <w:kern w:val="0"/>
                <w:sz w:val="20"/>
                <w:szCs w:val="20"/>
                <w:u w:val="none"/>
                <w:lang w:val="en-US" w:eastAsia="zh-CN" w:bidi="ar"/>
              </w:rPr>
              <w:t>℃</w:t>
            </w:r>
            <w:r>
              <w:rPr>
                <w:rFonts w:ascii="宋体" w:eastAsia="宋体" w:hAnsi="宋体" w:cs="宋体" w:hint="eastAsia"/>
                <w:i w:val="0"/>
                <w:color w:val="auto"/>
                <w:kern w:val="0"/>
                <w:sz w:val="20"/>
                <w:szCs w:val="20"/>
                <w:u w:val="none"/>
                <w:lang w:val="en-US" w:eastAsia="zh-CN" w:bidi="ar"/>
              </w:rPr>
              <w:t>之间。</w:t>
            </w:r>
          </w:p>
        </w:tc>
        <w:tc>
          <w:tcPr>
            <w:tcW w:w="658" w:type="dxa"/>
            <w:tcBorders>
              <w:top w:val="single" w:sz="4" w:space="0" w:color="000000"/>
              <w:left w:val="single" w:sz="4" w:space="0" w:color="000000"/>
              <w:bottom w:val="single" w:sz="4" w:space="0" w:color="000000"/>
              <w:right w:val="single" w:sz="4" w:space="0" w:color="000000"/>
            </w:tcBorders>
            <w:shd w:val="clear" w:color="auto" w:fill="FFFFFF"/>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2</w:t>
            </w:r>
          </w:p>
        </w:tc>
      </w:tr>
      <w:tr>
        <w:tblPrEx>
          <w:tblW w:w="8336" w:type="dxa"/>
          <w:tblInd w:w="0" w:type="dxa"/>
          <w:shd w:val="clear" w:color="auto" w:fill="auto"/>
          <w:tblLayout w:type="fixed"/>
          <w:tblCellMar>
            <w:top w:w="15" w:type="dxa"/>
            <w:left w:w="15" w:type="dxa"/>
            <w:bottom w:w="15" w:type="dxa"/>
            <w:right w:w="15" w:type="dxa"/>
          </w:tblCellMar>
          <w:tblLook w:val="04A0"/>
        </w:tblPrEx>
        <w:trPr>
          <w:trHeight w:val="4500"/>
        </w:trPr>
        <w:tc>
          <w:tcPr>
            <w:tcW w:w="42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37</w:t>
            </w:r>
          </w:p>
        </w:tc>
        <w:tc>
          <w:tcPr>
            <w:tcW w:w="190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挂片及膨胀螺栓</w:t>
            </w:r>
          </w:p>
        </w:tc>
        <w:tc>
          <w:tcPr>
            <w:tcW w:w="5350"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left"/>
              <w:textAlignment w:val="center"/>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膨胀螺栓</w:t>
            </w:r>
          </w:p>
          <w:p>
            <w:pPr>
              <w:keepNext w:val="0"/>
              <w:keepLines w:val="0"/>
              <w:widowControl/>
              <w:suppressLineNumbers w:val="0"/>
              <w:spacing w:before="0" w:beforeAutospacing="0" w:after="0" w:afterAutospacing="0"/>
              <w:ind w:left="0" w:right="0"/>
              <w:jc w:val="left"/>
              <w:textAlignment w:val="center"/>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1、材质：316不锈钢；</w:t>
            </w:r>
          </w:p>
          <w:p>
            <w:pPr>
              <w:keepNext w:val="0"/>
              <w:keepLines w:val="0"/>
              <w:widowControl/>
              <w:suppressLineNumbers w:val="0"/>
              <w:spacing w:before="0" w:beforeAutospacing="0" w:after="0" w:afterAutospacing="0"/>
              <w:ind w:left="0" w:right="0"/>
              <w:jc w:val="left"/>
              <w:textAlignment w:val="center"/>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2、直径10mm；</w:t>
            </w:r>
          </w:p>
          <w:p>
            <w:pPr>
              <w:keepNext w:val="0"/>
              <w:keepLines w:val="0"/>
              <w:widowControl/>
              <w:suppressLineNumbers w:val="0"/>
              <w:spacing w:before="0" w:beforeAutospacing="0" w:after="0" w:afterAutospacing="0"/>
              <w:ind w:left="0" w:right="0"/>
              <w:jc w:val="left"/>
              <w:textAlignment w:val="center"/>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3、扭断强度</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8KN</w:t>
            </w:r>
          </w:p>
          <w:p>
            <w:pPr>
              <w:keepNext w:val="0"/>
              <w:keepLines w:val="0"/>
              <w:widowControl/>
              <w:suppressLineNumbers w:val="0"/>
              <w:spacing w:before="0" w:beforeAutospacing="0" w:after="0" w:afterAutospacing="0"/>
              <w:ind w:left="0" w:right="0"/>
              <w:jc w:val="left"/>
              <w:textAlignment w:val="center"/>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挂片</w:t>
            </w:r>
          </w:p>
          <w:p>
            <w:pPr>
              <w:keepNext w:val="0"/>
              <w:keepLines w:val="0"/>
              <w:widowControl/>
              <w:suppressLineNumbers w:val="0"/>
              <w:spacing w:before="0" w:beforeAutospacing="0" w:after="0" w:afterAutospacing="0"/>
              <w:ind w:left="0" w:right="0"/>
              <w:jc w:val="left"/>
              <w:textAlignment w:val="center"/>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1、新型铝合金挂片；</w:t>
            </w:r>
          </w:p>
          <w:p>
            <w:pPr>
              <w:keepNext w:val="0"/>
              <w:keepLines w:val="0"/>
              <w:widowControl/>
              <w:suppressLineNumbers w:val="0"/>
              <w:spacing w:before="0" w:beforeAutospacing="0" w:after="0" w:afterAutospacing="0"/>
              <w:ind w:left="0" w:right="0"/>
              <w:jc w:val="left"/>
              <w:textAlignment w:val="center"/>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2、直径：8mm</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0、5mm；</w:t>
            </w:r>
          </w:p>
          <w:p>
            <w:pPr>
              <w:keepNext w:val="0"/>
              <w:keepLines w:val="0"/>
              <w:widowControl/>
              <w:suppressLineNumbers w:val="0"/>
              <w:spacing w:before="0" w:beforeAutospacing="0" w:after="0" w:afterAutospacing="0"/>
              <w:ind w:left="0" w:right="0"/>
              <w:jc w:val="left"/>
              <w:textAlignment w:val="center"/>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3、拉力</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20KN；</w:t>
            </w:r>
          </w:p>
          <w:p>
            <w:pPr>
              <w:keepNext w:val="0"/>
              <w:keepLines w:val="0"/>
              <w:widowControl/>
              <w:suppressLineNumbers w:val="0"/>
              <w:spacing w:before="0" w:beforeAutospacing="0" w:after="0" w:afterAutospacing="0"/>
              <w:ind w:left="0" w:right="0"/>
              <w:jc w:val="left"/>
              <w:textAlignment w:val="center"/>
              <w:rPr>
                <w:rStyle w:val="font71"/>
                <w:rFonts w:ascii="宋体" w:eastAsia="宋体" w:hAnsi="宋体" w:cs="宋体" w:hint="eastAsia"/>
                <w:color w:val="auto"/>
                <w:kern w:val="2"/>
                <w:sz w:val="20"/>
                <w:szCs w:val="20"/>
                <w:u w:val="none"/>
                <w:lang w:val="en-US" w:eastAsia="zh-CN" w:bidi="ar"/>
              </w:rPr>
            </w:pPr>
            <w:r>
              <w:rPr>
                <w:rStyle w:val="font71"/>
                <w:rFonts w:ascii="宋体" w:eastAsia="宋体" w:hAnsi="宋体" w:cs="宋体" w:hint="eastAsia"/>
                <w:color w:val="auto"/>
                <w:kern w:val="2"/>
                <w:sz w:val="20"/>
                <w:szCs w:val="20"/>
                <w:u w:val="none"/>
                <w:lang w:val="en-US" w:eastAsia="zh-CN" w:bidi="ar"/>
              </w:rPr>
              <w:t>4、材质：316不锈钢；</w:t>
            </w:r>
          </w:p>
          <w:p>
            <w:pPr>
              <w:keepNext w:val="0"/>
              <w:keepLines w:val="0"/>
              <w:widowControl w:val="0"/>
              <w:suppressLineNumbers w:val="0"/>
              <w:spacing w:before="0" w:beforeAutospacing="0" w:after="0" w:afterAutospacing="0"/>
              <w:ind w:left="0" w:right="0"/>
              <w:jc w:val="left"/>
              <w:rPr>
                <w:rStyle w:val="DefaultParagraphFont"/>
                <w:rFonts w:ascii="宋体" w:eastAsia="宋体" w:hAnsi="宋体" w:cs="宋体" w:hint="eastAsia"/>
                <w:i w:val="0"/>
                <w:color w:val="auto"/>
                <w:kern w:val="2"/>
                <w:sz w:val="20"/>
                <w:szCs w:val="20"/>
                <w:u w:val="none"/>
                <w:lang w:val="en-US" w:eastAsia="zh-CN" w:bidi="ar-SA"/>
              </w:rPr>
            </w:pPr>
            <w:r>
              <w:rPr>
                <w:rStyle w:val="font71"/>
                <w:rFonts w:ascii="宋体" w:eastAsia="宋体" w:hAnsi="宋体" w:cs="宋体" w:hint="eastAsia"/>
                <w:color w:val="auto"/>
                <w:kern w:val="2"/>
                <w:sz w:val="20"/>
                <w:szCs w:val="20"/>
                <w:u w:val="none"/>
                <w:lang w:val="en-US" w:eastAsia="zh-CN" w:bidi="ar"/>
              </w:rPr>
              <w:t>5、重量</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 xml:space="preserve">21g。                                        </w:t>
            </w:r>
            <w:r>
              <w:rPr>
                <w:rStyle w:val="font71"/>
                <w:rFonts w:ascii="宋体" w:eastAsia="宋体" w:hAnsi="宋体" w:cs="宋体" w:hint="eastAsia"/>
                <w:color w:val="auto"/>
                <w:kern w:val="2"/>
                <w:sz w:val="20"/>
                <w:szCs w:val="20"/>
                <w:u w:val="none"/>
                <w:lang w:val="en-US" w:eastAsia="zh-CN" w:bidi="ar"/>
              </w:rPr>
              <w:t>★</w:t>
            </w:r>
            <w:r>
              <w:rPr>
                <w:rStyle w:val="font71"/>
                <w:rFonts w:ascii="宋体" w:eastAsia="宋体" w:hAnsi="宋体" w:cs="宋体" w:hint="eastAsia"/>
                <w:color w:val="auto"/>
                <w:kern w:val="2"/>
                <w:sz w:val="20"/>
                <w:szCs w:val="20"/>
                <w:u w:val="none"/>
                <w:lang w:val="en-US" w:eastAsia="zh-CN" w:bidi="ar"/>
              </w:rPr>
              <w:t>6、</w:t>
            </w:r>
            <w:r>
              <w:rPr>
                <w:rStyle w:val="font81"/>
                <w:rFonts w:ascii="宋体" w:eastAsia="宋体" w:hAnsi="宋体" w:cs="宋体" w:hint="eastAsia"/>
                <w:color w:val="auto"/>
                <w:kern w:val="2"/>
                <w:sz w:val="20"/>
                <w:szCs w:val="20"/>
                <w:u w:val="none"/>
                <w:lang w:val="en-US" w:eastAsia="zh-CN" w:bidi="ar"/>
              </w:rPr>
              <w:t>提供样品，</w:t>
            </w:r>
            <w:r>
              <w:rPr>
                <w:rStyle w:val="font141"/>
                <w:rFonts w:ascii="宋体" w:eastAsia="宋体" w:hAnsi="宋体" w:cs="宋体" w:hint="eastAsia"/>
                <w:color w:val="auto"/>
                <w:kern w:val="2"/>
                <w:sz w:val="20"/>
                <w:szCs w:val="20"/>
                <w:u w:val="none"/>
                <w:lang w:val="en-US" w:eastAsia="zh-CN" w:bidi="ar"/>
              </w:rPr>
              <w:t>根据安全性、先进性和性能进行评比，可提供产品彩页、说明书、合格证、原厂公开发表的证明文件复印件或者厂家出具的技术参数说明函。</w:t>
            </w:r>
          </w:p>
        </w:tc>
        <w:tc>
          <w:tcPr>
            <w:tcW w:w="658" w:type="dxa"/>
            <w:tcBorders>
              <w:top w:val="single" w:sz="4" w:space="0" w:color="000000"/>
              <w:left w:val="single" w:sz="4" w:space="0" w:color="000000"/>
              <w:bottom w:val="single" w:sz="4" w:space="0" w:color="000000"/>
              <w:right w:val="single" w:sz="4" w:space="0" w:color="00000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Style w:val="DefaultParagraphFont"/>
                <w:rFonts w:ascii="宋体" w:eastAsia="宋体" w:hAnsi="宋体" w:cs="宋体" w:hint="eastAsia"/>
                <w:i w:val="0"/>
                <w:color w:val="auto"/>
                <w:kern w:val="2"/>
                <w:sz w:val="20"/>
                <w:szCs w:val="20"/>
                <w:u w:val="none"/>
                <w:lang w:val="en-US" w:eastAsia="zh-CN" w:bidi="ar-SA"/>
              </w:rPr>
            </w:pPr>
            <w:r>
              <w:rPr>
                <w:rFonts w:ascii="宋体" w:eastAsia="宋体" w:hAnsi="宋体" w:cs="宋体" w:hint="eastAsia"/>
                <w:i w:val="0"/>
                <w:color w:val="auto"/>
                <w:kern w:val="0"/>
                <w:sz w:val="20"/>
                <w:szCs w:val="20"/>
                <w:u w:val="none"/>
                <w:lang w:val="en-US" w:eastAsia="zh-CN" w:bidi="ar"/>
              </w:rPr>
              <w:t>250</w:t>
            </w:r>
          </w:p>
        </w:tc>
      </w:tr>
    </w:tbl>
    <w:p>
      <w:pPr>
        <w:rPr>
          <w:color w:val="auto"/>
        </w:rPr>
      </w:pPr>
    </w:p>
    <w:p>
      <w:pPr>
        <w:keepNext w:val="0"/>
        <w:keepLines w:val="0"/>
        <w:widowControl/>
        <w:suppressLineNumbers w:val="0"/>
        <w:spacing w:line="360" w:lineRule="auto"/>
        <w:ind w:firstLine="480" w:firstLineChars="200"/>
        <w:jc w:val="left"/>
        <w:rPr>
          <w:color w:val="auto"/>
        </w:rPr>
      </w:pPr>
      <w:r>
        <w:rPr>
          <w:rFonts w:ascii="宋体" w:eastAsia="宋体" w:hAnsi="宋体" w:cs="宋体" w:hint="eastAsia"/>
          <w:b/>
          <w:bCs/>
          <w:color w:val="auto"/>
          <w:sz w:val="24"/>
          <w:lang w:val="en-US" w:eastAsia="zh-CN"/>
        </w:rPr>
        <w:t>5</w:t>
      </w:r>
      <w:r>
        <w:rPr>
          <w:rFonts w:ascii="宋体" w:eastAsia="宋体" w:hAnsi="宋体" w:cs="宋体" w:hint="eastAsia"/>
          <w:b/>
          <w:bCs/>
          <w:color w:val="auto"/>
          <w:sz w:val="24"/>
        </w:rPr>
        <w:t>、</w:t>
      </w:r>
      <w:r>
        <w:rPr>
          <w:rStyle w:val="NormalCharacter"/>
          <w:rFonts w:ascii="宋体" w:eastAsia="宋体" w:hAnsi="宋体" w:cs="Times New Roman"/>
          <w:b/>
          <w:bCs/>
          <w:color w:val="auto"/>
          <w:sz w:val="24"/>
        </w:rPr>
        <w:t>验收</w:t>
      </w:r>
      <w:r>
        <w:rPr>
          <w:rStyle w:val="NormalCharacter"/>
          <w:rFonts w:ascii="宋体" w:hAnsi="宋体" w:cs="Times New Roman" w:hint="eastAsia"/>
          <w:b/>
          <w:bCs/>
          <w:color w:val="auto"/>
          <w:sz w:val="24"/>
          <w:lang w:eastAsia="zh-CN"/>
        </w:rPr>
        <w:t>要求</w:t>
      </w:r>
      <w:r>
        <w:rPr>
          <w:rStyle w:val="NormalCharacter"/>
          <w:rFonts w:ascii="宋体" w:eastAsia="宋体" w:hAnsi="宋体" w:cs="Times New Roman"/>
          <w:b/>
          <w:bCs/>
          <w:color w:val="auto"/>
          <w:sz w:val="24"/>
        </w:rPr>
        <w:t>：</w:t>
      </w:r>
    </w:p>
    <w:p>
      <w:pPr>
        <w:spacing w:line="360" w:lineRule="auto"/>
        <w:ind w:firstLine="420"/>
        <w:rPr>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供应商提供的产品须符合国家及行业现行执行标准，一次性验收合格。（2）供应商应保证货物是全新、未使用过的，完全符合合同规定的质量、规格、性能和技术规范的要求；具有生产产品质量合格证，国家有关质量检测部门检测合格、手续齐全且合法的产品；保证所提供的货物经正确安装、正常运转和保养，在合质量要求和产品说明书的性能。依照密封的样品作为验收的依据。（3）货物到达指定交货地点后，由采购人和供应商进行集中验货，若开箱发现不合格的装备，供应商必须在5个工作日内予以更换。（4）在货物最终验收后的质量保证期内，供应商应对由于设计、工艺或者材料的缺陷而发生的任何不足或故障负责，费用由供应商承担。</w:t>
      </w:r>
    </w:p>
    <w:p>
      <w:pPr>
        <w:spacing w:line="360" w:lineRule="auto"/>
        <w:ind w:firstLine="420"/>
        <w:rPr>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6、售后服务：1. 中标人保证设备自验收合格之日起，免费保修期为不少于12个月（不受任何厂商装运期开始计算方法的限制）。保修期满后，由中标人负责实行终身优质售后服务。对于保修期截止后的维修服务，中标人应提出明确的维修单位及联系方式，并对维修费用等内容作出承诺。</w:t>
      </w:r>
    </w:p>
    <w:p>
      <w:pPr>
        <w:spacing w:line="360" w:lineRule="auto"/>
        <w:ind w:firstLine="420"/>
        <w:rPr>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2. 中标人保证在接到采购人报修通知后2小时响应，如有需要，24小时内到达现场检修，中标人提供专用的报修电话。零配件最长供货时间不超过一星期。</w:t>
      </w:r>
    </w:p>
    <w:p>
      <w:pPr>
        <w:spacing w:line="360" w:lineRule="auto"/>
        <w:ind w:firstLine="420"/>
        <w:rPr>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3. 随机资料包括操作说明书、维修说明书等。</w:t>
      </w:r>
    </w:p>
    <w:p>
      <w:pPr>
        <w:spacing w:line="360" w:lineRule="auto"/>
        <w:ind w:firstLine="420"/>
        <w:rPr>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4. 免费提供定期巡检、维护保养和技术咨询服务。</w:t>
      </w:r>
    </w:p>
    <w:p>
      <w:pPr>
        <w:spacing w:line="360" w:lineRule="auto"/>
        <w:ind w:firstLine="420"/>
        <w:rPr>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5. 所有器材装备均应负责使用前的必要培训，并做到在整个产品使用寿命期间的技术咨询，并应书面承诺不低于国家有关规定所应提供的售后服务作为标书和合同文件的相关内容，对售后服务内容、时限、方式及违约责任等要件予以明确。</w:t>
      </w:r>
    </w:p>
    <w:p>
      <w:pPr>
        <w:spacing w:line="360" w:lineRule="auto"/>
        <w:ind w:firstLine="420"/>
        <w:rPr>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6. 设备安装后，经过一定时期试运行，设备的各项性能指标均能达到要求，双方即签署验收文件，设备即视为验收通过。保修期从验收通过第二天起计算。</w:t>
      </w:r>
    </w:p>
    <w:p>
      <w:pPr>
        <w:spacing w:line="360" w:lineRule="auto"/>
        <w:ind w:firstLine="420"/>
        <w:rPr>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 xml:space="preserve">7. 中标人所提供的货物或设备，若在保修期内发生质量问题由中标人负责维修或更换，保修期的起始时间更改为修复好的第二天起计算（保修期为12个月）。 </w:t>
      </w:r>
    </w:p>
    <w:p>
      <w:pPr>
        <w:spacing w:line="360" w:lineRule="auto"/>
        <w:ind w:firstLine="420"/>
        <w:rPr>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8. 提供所有消耗品价格清单，并附上需要的相关产品资证，未列出的部分将被视为非消耗品，属于设备保修范围内。</w:t>
      </w:r>
    </w:p>
    <w:p>
      <w:pPr>
        <w:spacing w:line="360" w:lineRule="auto"/>
        <w:ind w:firstLine="420"/>
        <w:rPr>
          <w:rFonts w:ascii="宋体" w:eastAsia="宋体" w:hAnsi="宋体" w:cs="宋体" w:hint="eastAsia"/>
          <w:color w:val="auto"/>
          <w:kern w:val="2"/>
          <w:sz w:val="24"/>
          <w:szCs w:val="24"/>
          <w:lang w:val="en-US" w:eastAsia="zh-CN" w:bidi="ar-SA"/>
        </w:rPr>
      </w:pPr>
    </w:p>
    <w:p>
      <w:pPr>
        <w:pStyle w:val="BodyTextFirstIndent"/>
        <w:ind w:firstLine="0" w:firstLineChars="0"/>
        <w:rPr>
          <w:rFonts w:ascii="宋体" w:eastAsia="宋体" w:hAnsi="宋体" w:cs="宋体"/>
          <w:color w:val="auto"/>
          <w:kern w:val="0"/>
        </w:rPr>
      </w:pPr>
    </w:p>
    <w:p>
      <w:pPr>
        <w:rPr>
          <w:rFonts w:ascii="宋体" w:eastAsia="宋体" w:hAnsi="宋体" w:cs="宋体"/>
          <w:color w:val="auto"/>
          <w:kern w:val="0"/>
        </w:rPr>
      </w:pPr>
    </w:p>
    <w:p>
      <w:pPr>
        <w:pStyle w:val="BodyTextFirstIndent"/>
        <w:rPr>
          <w:rFonts w:ascii="宋体" w:eastAsia="宋体" w:hAnsi="宋体" w:cs="宋体"/>
          <w:color w:val="auto"/>
          <w:kern w:val="0"/>
        </w:rPr>
      </w:pPr>
    </w:p>
    <w:p>
      <w:pPr>
        <w:rPr>
          <w:color w:val="auto"/>
        </w:rPr>
      </w:pPr>
    </w:p>
    <w:p>
      <w:pPr>
        <w:pStyle w:val="Heading1"/>
        <w:bidi w:val="0"/>
        <w:rPr>
          <w:rFonts w:hint="eastAsia"/>
        </w:rPr>
      </w:pPr>
    </w:p>
    <w:p>
      <w:pPr>
        <w:pStyle w:val="Heading1"/>
        <w:bidi w:val="0"/>
      </w:pPr>
      <w:r>
        <w:rPr>
          <w:rFonts w:hint="eastAsia"/>
        </w:rPr>
        <w:t>第四章  评审办法</w:t>
      </w:r>
      <w:bookmarkEnd w:id="56"/>
      <w:bookmarkEnd w:id="57"/>
      <w:bookmarkEnd w:id="58"/>
    </w:p>
    <w:p>
      <w:pPr>
        <w:spacing w:line="360" w:lineRule="auto"/>
        <w:ind w:firstLine="480" w:firstLineChars="200"/>
        <w:outlineLvl w:val="1"/>
        <w:rPr>
          <w:rFonts w:ascii="宋体" w:eastAsia="宋体" w:hAnsi="宋体" w:cs="宋体"/>
          <w:color w:val="auto"/>
          <w:sz w:val="24"/>
        </w:rPr>
      </w:pPr>
      <w:bookmarkStart w:id="60" w:name="_Toc293921819"/>
      <w:r>
        <w:rPr>
          <w:rFonts w:ascii="宋体" w:eastAsia="宋体" w:hAnsi="宋体" w:cs="宋体" w:hint="eastAsia"/>
          <w:color w:val="auto"/>
          <w:sz w:val="24"/>
        </w:rPr>
        <w:t>本评审办法仅适用于</w:t>
      </w:r>
      <w:r>
        <w:rPr>
          <w:rFonts w:ascii="宋体" w:eastAsia="宋体" w:hAnsi="宋体" w:cs="宋体" w:hint="eastAsia"/>
          <w:color w:val="auto"/>
          <w:sz w:val="24"/>
          <w:lang w:eastAsia="zh-CN"/>
        </w:rPr>
        <w:t>西双版纳傣族自治州消防救援支队山难专业队装备采购项目</w:t>
      </w:r>
      <w:r>
        <w:rPr>
          <w:rFonts w:ascii="宋体" w:hAnsi="宋体" w:cs="宋体" w:hint="eastAsia"/>
          <w:color w:val="auto"/>
          <w:sz w:val="24"/>
          <w:lang w:eastAsia="zh-CN"/>
        </w:rPr>
        <w:t>（</w:t>
      </w:r>
      <w:r>
        <w:rPr>
          <w:rFonts w:ascii="宋体" w:hAnsi="宋体" w:cs="宋体" w:hint="eastAsia"/>
          <w:color w:val="auto"/>
          <w:sz w:val="24"/>
          <w:lang w:val="en-US" w:eastAsia="zh-CN"/>
        </w:rPr>
        <w:t>二次</w:t>
      </w:r>
      <w:r>
        <w:rPr>
          <w:rFonts w:ascii="宋体" w:hAnsi="宋体" w:cs="宋体" w:hint="eastAsia"/>
          <w:color w:val="auto"/>
          <w:sz w:val="24"/>
          <w:lang w:eastAsia="zh-CN"/>
        </w:rPr>
        <w:t>）</w:t>
      </w:r>
      <w:r>
        <w:rPr>
          <w:rFonts w:ascii="宋体" w:eastAsia="宋体" w:hAnsi="宋体" w:cs="宋体" w:hint="eastAsia"/>
          <w:color w:val="auto"/>
          <w:sz w:val="24"/>
        </w:rPr>
        <w:t>，项目编号：</w:t>
      </w:r>
      <w:r>
        <w:rPr>
          <w:rFonts w:ascii="宋体" w:eastAsia="宋体" w:hAnsi="宋体" w:cs="宋体" w:hint="eastAsia"/>
          <w:color w:val="auto"/>
          <w:sz w:val="24"/>
          <w:lang w:eastAsia="zh-CN"/>
        </w:rPr>
        <w:t>XFZD-2023-ZFJZCGXM-3A</w:t>
      </w:r>
      <w:r>
        <w:rPr>
          <w:rFonts w:ascii="宋体" w:eastAsia="宋体" w:hAnsi="宋体" w:cs="宋体" w:hint="eastAsia"/>
          <w:color w:val="auto"/>
          <w:sz w:val="24"/>
        </w:rPr>
        <w:t>。根据《中华人民共和国政府采购法》、《中华人民共和国政府采购法实施条例》和《政府采购竞争性磋商采购方式管理暂行办法》等有关法律法规的规定，结合本项目实际情况制定本办法。</w:t>
      </w:r>
    </w:p>
    <w:p>
      <w:pPr>
        <w:spacing w:line="360" w:lineRule="auto"/>
        <w:ind w:firstLine="480" w:firstLineChars="200"/>
        <w:outlineLvl w:val="1"/>
        <w:rPr>
          <w:rFonts w:ascii="宋体" w:eastAsia="宋体" w:hAnsi="宋体" w:cs="宋体"/>
          <w:b/>
          <w:bCs/>
          <w:color w:val="auto"/>
          <w:sz w:val="24"/>
        </w:rPr>
      </w:pPr>
      <w:r>
        <w:rPr>
          <w:rFonts w:ascii="宋体" w:eastAsia="宋体" w:hAnsi="宋体" w:cs="宋体" w:hint="eastAsia"/>
          <w:b/>
          <w:bCs/>
          <w:color w:val="auto"/>
          <w:sz w:val="24"/>
        </w:rPr>
        <w:t>1.评标机构</w:t>
      </w:r>
      <w:bookmarkEnd w:id="60"/>
    </w:p>
    <w:p>
      <w:pPr>
        <w:pStyle w:val="Default"/>
        <w:spacing w:line="360" w:lineRule="auto"/>
        <w:ind w:firstLine="480" w:firstLineChars="200"/>
        <w:rPr>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1.1评审机构为磋商小组，磋商小组由3人</w:t>
      </w:r>
      <w:bookmarkStart w:id="61" w:name="_Toc293921820"/>
      <w:r>
        <w:rPr>
          <w:rFonts w:ascii="宋体" w:eastAsia="宋体" w:hAnsi="宋体" w:cs="宋体" w:hint="eastAsia"/>
          <w:color w:val="auto"/>
          <w:kern w:val="2"/>
          <w:sz w:val="24"/>
          <w:szCs w:val="24"/>
          <w:lang w:val="en-US" w:eastAsia="zh-CN" w:bidi="ar-SA"/>
        </w:rPr>
        <w:t>组成。</w:t>
      </w:r>
    </w:p>
    <w:p>
      <w:pPr>
        <w:keepNext w:val="0"/>
        <w:keepLines w:val="0"/>
        <w:suppressLineNumbers w:val="0"/>
        <w:spacing w:before="0" w:beforeAutospacing="0" w:after="0" w:afterAutospacing="0" w:line="360" w:lineRule="auto"/>
        <w:ind w:left="0" w:right="0" w:firstLine="480" w:firstLineChars="200"/>
        <w:rPr>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1.2评审专家确定方式：磋商小组由采购人在磋商前依法组建；磋商小组成员构成： 3 人，其中采购人代表 1人，评审专家2人，从政府采购评审专家库中随机抽取。</w:t>
      </w:r>
    </w:p>
    <w:p>
      <w:pPr>
        <w:pStyle w:val="Default"/>
        <w:spacing w:line="540" w:lineRule="exact"/>
        <w:ind w:left="559" w:leftChars="266"/>
        <w:rPr>
          <w:rFonts w:ascii="宋体" w:eastAsia="宋体" w:hAnsi="宋体" w:cs="宋体"/>
          <w:b/>
          <w:bCs/>
          <w:color w:val="auto"/>
        </w:rPr>
      </w:pPr>
      <w:r>
        <w:rPr>
          <w:rFonts w:ascii="宋体" w:eastAsia="宋体" w:hAnsi="宋体" w:cs="宋体" w:hint="eastAsia"/>
          <w:b/>
          <w:bCs/>
          <w:color w:val="auto"/>
        </w:rPr>
        <w:t>2.评标原则</w:t>
      </w:r>
      <w:bookmarkEnd w:id="61"/>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2.1评审将遵循下列原则：</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2.1.1坚持公平、公证、科学，择优的原则，本着实事求是的精神，不带有任何主观意愿和偏见，认真负责地做好评审工作，公平、公证地对待每一个供应商。</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2.1.2全面分析，综合评审。</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2.1.3评审只对供应商的响应文件进行评审。响应文件以外的资料、信息不应作为评审的依据。</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2.1.4 评审程序：磋商小组在进行评审前，应认真阅读磋商文件，了解和熟悉以下内容：</w:t>
      </w:r>
    </w:p>
    <w:p>
      <w:pPr>
        <w:spacing w:line="360" w:lineRule="auto"/>
        <w:ind w:firstLine="480" w:firstLineChars="200"/>
        <w:rPr>
          <w:rFonts w:ascii="宋体" w:eastAsia="宋体" w:hAnsi="宋体" w:cs="宋体" w:hint="eastAsia"/>
          <w:color w:val="auto"/>
          <w:sz w:val="24"/>
          <w:lang w:eastAsia="zh-CN"/>
        </w:rPr>
      </w:pPr>
      <w:r>
        <w:rPr>
          <w:rFonts w:ascii="宋体" w:eastAsia="宋体" w:hAnsi="宋体" w:cs="宋体" w:hint="eastAsia"/>
          <w:color w:val="auto"/>
          <w:sz w:val="24"/>
        </w:rPr>
        <w:t>2.1.4.1磋商目的</w:t>
      </w:r>
      <w:r>
        <w:rPr>
          <w:rFonts w:ascii="宋体" w:eastAsia="宋体" w:hAnsi="宋体" w:cs="宋体" w:hint="eastAsia"/>
          <w:color w:val="auto"/>
          <w:sz w:val="24"/>
          <w:lang w:eastAsia="zh-CN"/>
        </w:rPr>
        <w:t>。</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2.1.4.2磋商项目的范围及性质。</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2.1.4.3磋商文件中规定的主要工作要求、标准和报价。</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2.1.4.4磋商文件规定的评审办法和评标过程中考虑的相关因素。</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2.2 评审过程中如遇特殊问题，由磋商小组根据有关法律、法规研究决定。</w:t>
      </w:r>
    </w:p>
    <w:p>
      <w:pPr>
        <w:spacing w:line="360" w:lineRule="auto"/>
        <w:ind w:left="645"/>
        <w:outlineLvl w:val="1"/>
        <w:rPr>
          <w:rFonts w:ascii="宋体" w:eastAsia="宋体" w:hAnsi="宋体" w:cs="宋体"/>
          <w:b/>
          <w:bCs/>
          <w:color w:val="auto"/>
          <w:sz w:val="24"/>
        </w:rPr>
      </w:pPr>
      <w:bookmarkStart w:id="62" w:name="_Toc293921821"/>
      <w:r>
        <w:rPr>
          <w:rFonts w:ascii="宋体" w:eastAsia="宋体" w:hAnsi="宋体" w:cs="宋体" w:hint="eastAsia"/>
          <w:b/>
          <w:bCs/>
          <w:color w:val="auto"/>
          <w:sz w:val="24"/>
        </w:rPr>
        <w:t>3.评审纪律</w:t>
      </w:r>
      <w:bookmarkEnd w:id="62"/>
    </w:p>
    <w:p>
      <w:pPr>
        <w:spacing w:line="360" w:lineRule="auto"/>
        <w:ind w:firstLine="576" w:firstLineChars="240"/>
        <w:rPr>
          <w:rFonts w:ascii="宋体" w:eastAsia="宋体" w:hAnsi="宋体" w:cs="宋体"/>
          <w:color w:val="auto"/>
          <w:sz w:val="24"/>
        </w:rPr>
      </w:pPr>
      <w:r>
        <w:rPr>
          <w:rFonts w:ascii="宋体" w:eastAsia="宋体" w:hAnsi="宋体" w:cs="宋体" w:hint="eastAsia"/>
          <w:color w:val="auto"/>
          <w:sz w:val="24"/>
        </w:rPr>
        <w:t>3.1对评审内容和评审过程要严格保密，不得向供应商或与该过程无关的其他人员泄露；</w:t>
      </w:r>
    </w:p>
    <w:p>
      <w:pPr>
        <w:spacing w:line="360" w:lineRule="auto"/>
        <w:ind w:firstLine="576" w:firstLineChars="240"/>
        <w:rPr>
          <w:rFonts w:ascii="宋体" w:eastAsia="宋体" w:hAnsi="宋体" w:cs="宋体"/>
          <w:color w:val="auto"/>
          <w:sz w:val="24"/>
        </w:rPr>
      </w:pPr>
      <w:r>
        <w:rPr>
          <w:rFonts w:ascii="宋体" w:eastAsia="宋体" w:hAnsi="宋体" w:cs="宋体" w:hint="eastAsia"/>
          <w:color w:val="auto"/>
          <w:sz w:val="24"/>
        </w:rPr>
        <w:t>3.2评审期间的一切资料，包括评审意见、评审记录和评审结论，一律不得向外传和泄露；</w:t>
      </w:r>
    </w:p>
    <w:p>
      <w:pPr>
        <w:spacing w:line="360" w:lineRule="auto"/>
        <w:ind w:firstLine="600" w:firstLineChars="250"/>
        <w:rPr>
          <w:rFonts w:ascii="宋体" w:eastAsia="宋体" w:hAnsi="宋体" w:cs="宋体"/>
          <w:color w:val="auto"/>
          <w:sz w:val="24"/>
        </w:rPr>
      </w:pPr>
      <w:r>
        <w:rPr>
          <w:rFonts w:ascii="宋体" w:eastAsia="宋体" w:hAnsi="宋体" w:cs="宋体" w:hint="eastAsia"/>
          <w:color w:val="auto"/>
          <w:sz w:val="24"/>
        </w:rPr>
        <w:t>3.3任何属于磋商文件审查、澄清、评价和比较的资料，不得向供应商或与该过程无关的其他人员泄露；</w:t>
      </w:r>
    </w:p>
    <w:p>
      <w:pPr>
        <w:spacing w:line="360" w:lineRule="auto"/>
        <w:ind w:firstLine="576" w:firstLineChars="240"/>
        <w:rPr>
          <w:rFonts w:ascii="宋体" w:eastAsia="宋体" w:hAnsi="宋体" w:cs="宋体"/>
          <w:color w:val="auto"/>
          <w:sz w:val="24"/>
        </w:rPr>
      </w:pPr>
      <w:r>
        <w:rPr>
          <w:rFonts w:ascii="宋体" w:eastAsia="宋体" w:hAnsi="宋体" w:cs="宋体" w:hint="eastAsia"/>
          <w:color w:val="auto"/>
          <w:sz w:val="24"/>
        </w:rPr>
        <w:t>3.4所有资料（包括磋商文件、响应文件、评审文件及各种文字记录）在评审结束后均应分别整理、存档备查，任何人不得复制和保留；</w:t>
      </w:r>
    </w:p>
    <w:p>
      <w:pPr>
        <w:spacing w:line="360" w:lineRule="auto"/>
        <w:ind w:firstLine="576" w:firstLineChars="240"/>
        <w:rPr>
          <w:rFonts w:ascii="宋体" w:eastAsia="宋体" w:hAnsi="宋体" w:cs="宋体"/>
          <w:color w:val="auto"/>
          <w:sz w:val="24"/>
        </w:rPr>
      </w:pPr>
      <w:r>
        <w:rPr>
          <w:rFonts w:ascii="宋体" w:eastAsia="宋体" w:hAnsi="宋体" w:cs="宋体" w:hint="eastAsia"/>
          <w:color w:val="auto"/>
          <w:sz w:val="24"/>
        </w:rPr>
        <w:t>3.5评审结束后，与会人员不得向外泄露评审人员的评审意见，如因此造成的后果由责任者承担；</w:t>
      </w:r>
    </w:p>
    <w:p>
      <w:pPr>
        <w:spacing w:line="360" w:lineRule="auto"/>
        <w:ind w:firstLine="576" w:firstLineChars="240"/>
        <w:rPr>
          <w:rFonts w:ascii="宋体" w:eastAsia="宋体" w:hAnsi="宋体" w:cs="宋体"/>
          <w:color w:val="auto"/>
          <w:sz w:val="24"/>
        </w:rPr>
      </w:pPr>
      <w:r>
        <w:rPr>
          <w:rFonts w:ascii="宋体" w:eastAsia="宋体" w:hAnsi="宋体" w:cs="宋体" w:hint="eastAsia"/>
          <w:color w:val="auto"/>
          <w:sz w:val="24"/>
        </w:rPr>
        <w:t>3.6评审期间，评审人员不得外出，确需外出时应事先请假；</w:t>
      </w:r>
    </w:p>
    <w:p>
      <w:pPr>
        <w:spacing w:line="360" w:lineRule="auto"/>
        <w:ind w:left="120" w:firstLine="480" w:leftChars="57" w:firstLineChars="200"/>
        <w:rPr>
          <w:rFonts w:ascii="宋体" w:eastAsia="宋体" w:hAnsi="宋体" w:cs="宋体"/>
          <w:color w:val="auto"/>
          <w:sz w:val="24"/>
        </w:rPr>
      </w:pPr>
      <w:r>
        <w:rPr>
          <w:rFonts w:ascii="宋体" w:eastAsia="宋体" w:hAnsi="宋体" w:cs="宋体" w:hint="eastAsia"/>
          <w:color w:val="auto"/>
          <w:sz w:val="24"/>
        </w:rPr>
        <w:t>3.7评审期间，所有与会人员均不得私自以任何方式和供应商进行联系，需询问、澄清的问题由磋商小组统一组织办理；</w:t>
      </w:r>
    </w:p>
    <w:p>
      <w:pPr>
        <w:spacing w:line="360" w:lineRule="auto"/>
        <w:ind w:left="120" w:firstLine="480" w:leftChars="57" w:firstLineChars="200"/>
        <w:rPr>
          <w:rFonts w:ascii="宋体" w:eastAsia="宋体" w:hAnsi="宋体" w:cs="宋体"/>
          <w:color w:val="auto"/>
          <w:sz w:val="24"/>
        </w:rPr>
      </w:pPr>
      <w:r>
        <w:rPr>
          <w:rFonts w:ascii="宋体" w:eastAsia="宋体" w:hAnsi="宋体" w:cs="宋体" w:hint="eastAsia"/>
          <w:color w:val="auto"/>
          <w:sz w:val="24"/>
        </w:rPr>
        <w:t>3.8评审期间，未经允许磋商小组以外的任何单位或部门不得参加评审和采访评审工作。</w:t>
      </w:r>
    </w:p>
    <w:p>
      <w:pPr>
        <w:spacing w:line="360" w:lineRule="auto"/>
        <w:ind w:firstLine="600" w:firstLineChars="250"/>
        <w:outlineLvl w:val="1"/>
        <w:rPr>
          <w:rFonts w:ascii="宋体" w:eastAsia="宋体" w:hAnsi="宋体" w:cs="宋体"/>
          <w:b/>
          <w:bCs/>
          <w:color w:val="auto"/>
          <w:sz w:val="24"/>
        </w:rPr>
      </w:pPr>
      <w:bookmarkStart w:id="63" w:name="_Toc293921822"/>
      <w:r>
        <w:rPr>
          <w:rFonts w:ascii="宋体" w:eastAsia="宋体" w:hAnsi="宋体" w:cs="宋体" w:hint="eastAsia"/>
          <w:b/>
          <w:bCs/>
          <w:color w:val="auto"/>
          <w:sz w:val="24"/>
        </w:rPr>
        <w:t>4. 评审目的</w:t>
      </w:r>
      <w:bookmarkEnd w:id="63"/>
    </w:p>
    <w:p>
      <w:pPr>
        <w:spacing w:line="360" w:lineRule="auto"/>
        <w:rPr>
          <w:rFonts w:ascii="宋体" w:eastAsia="宋体" w:hAnsi="宋体" w:cs="宋体"/>
          <w:color w:val="auto"/>
          <w:sz w:val="24"/>
        </w:rPr>
      </w:pPr>
      <w:r>
        <w:rPr>
          <w:rFonts w:ascii="宋体" w:eastAsia="宋体" w:hAnsi="宋体" w:cs="宋体" w:hint="eastAsia"/>
          <w:color w:val="auto"/>
          <w:sz w:val="24"/>
        </w:rPr>
        <w:t xml:space="preserve">     4.1评审工作的目的：审查供应商的响应文件与磋商文件的所有条款、条件是否相符；是否已提供了必备的资料、文件、证书，做出实质性响应；按评审程序和评审方法推荐出合格的成交候选人。</w:t>
      </w:r>
    </w:p>
    <w:p>
      <w:pPr>
        <w:spacing w:line="360" w:lineRule="auto"/>
        <w:ind w:firstLine="600" w:firstLineChars="250"/>
        <w:outlineLvl w:val="1"/>
        <w:rPr>
          <w:rFonts w:ascii="宋体" w:eastAsia="宋体" w:hAnsi="宋体" w:cs="宋体"/>
          <w:b/>
          <w:bCs/>
          <w:color w:val="auto"/>
          <w:sz w:val="24"/>
        </w:rPr>
      </w:pPr>
      <w:bookmarkStart w:id="64" w:name="_Toc293921823"/>
      <w:r>
        <w:rPr>
          <w:rFonts w:ascii="宋体" w:eastAsia="宋体" w:hAnsi="宋体" w:cs="宋体" w:hint="eastAsia"/>
          <w:b/>
          <w:bCs/>
          <w:color w:val="auto"/>
          <w:sz w:val="24"/>
        </w:rPr>
        <w:t>5. 评审程序</w:t>
      </w:r>
      <w:bookmarkEnd w:id="64"/>
    </w:p>
    <w:p>
      <w:pPr>
        <w:spacing w:line="360" w:lineRule="auto"/>
        <w:ind w:firstLine="600" w:firstLineChars="250"/>
        <w:rPr>
          <w:rFonts w:ascii="宋体" w:eastAsia="宋体" w:hAnsi="宋体" w:cs="宋体"/>
          <w:color w:val="auto"/>
          <w:sz w:val="24"/>
        </w:rPr>
      </w:pPr>
      <w:r>
        <w:rPr>
          <w:rFonts w:ascii="宋体" w:eastAsia="宋体" w:hAnsi="宋体" w:cs="宋体" w:hint="eastAsia"/>
          <w:color w:val="auto"/>
          <w:sz w:val="24"/>
        </w:rPr>
        <w:t>5.1磋商小组只对有效响应文件进行评审。评审按：</w:t>
      </w:r>
      <w:r>
        <w:rPr>
          <w:rFonts w:ascii="宋体" w:eastAsia="宋体" w:hAnsi="宋体" w:cs="宋体" w:hint="eastAsia"/>
          <w:b/>
          <w:bCs/>
          <w:color w:val="auto"/>
          <w:kern w:val="0"/>
          <w:sz w:val="24"/>
        </w:rPr>
        <w:t>资格性审查和</w:t>
      </w:r>
      <w:r>
        <w:rPr>
          <w:rFonts w:ascii="宋体" w:eastAsia="宋体" w:hAnsi="宋体" w:cs="宋体" w:hint="eastAsia"/>
          <w:b/>
          <w:bCs/>
          <w:color w:val="auto"/>
          <w:sz w:val="24"/>
        </w:rPr>
        <w:t>符合性审查</w:t>
      </w:r>
      <w:r>
        <w:rPr>
          <w:rFonts w:ascii="宋体" w:eastAsia="宋体" w:hAnsi="宋体" w:cs="宋体" w:hint="eastAsia"/>
          <w:b/>
          <w:bCs/>
          <w:color w:val="auto"/>
          <w:sz w:val="24"/>
        </w:rPr>
        <w:t>→</w:t>
      </w:r>
      <w:r>
        <w:rPr>
          <w:rFonts w:ascii="宋体" w:eastAsia="宋体" w:hAnsi="宋体" w:cs="宋体" w:hint="eastAsia"/>
          <w:b/>
          <w:bCs/>
          <w:color w:val="auto"/>
          <w:sz w:val="24"/>
        </w:rPr>
        <w:t>第二轮磋商报价</w:t>
      </w:r>
      <w:r>
        <w:rPr>
          <w:rFonts w:ascii="宋体" w:eastAsia="宋体" w:hAnsi="宋体" w:cs="宋体" w:hint="eastAsia"/>
          <w:b/>
          <w:bCs/>
          <w:color w:val="auto"/>
          <w:sz w:val="24"/>
        </w:rPr>
        <w:t>→</w:t>
      </w:r>
      <w:r>
        <w:rPr>
          <w:rFonts w:ascii="宋体" w:eastAsia="宋体" w:hAnsi="宋体" w:cs="宋体" w:hint="eastAsia"/>
          <w:b/>
          <w:bCs/>
          <w:color w:val="auto"/>
          <w:sz w:val="24"/>
        </w:rPr>
        <w:t>综合评分</w:t>
      </w:r>
      <w:r>
        <w:rPr>
          <w:rFonts w:ascii="宋体" w:eastAsia="宋体" w:hAnsi="宋体" w:cs="宋体" w:hint="eastAsia"/>
          <w:b/>
          <w:bCs/>
          <w:color w:val="auto"/>
          <w:sz w:val="24"/>
        </w:rPr>
        <w:t>→</w:t>
      </w:r>
      <w:r>
        <w:rPr>
          <w:rFonts w:ascii="宋体" w:eastAsia="宋体" w:hAnsi="宋体" w:cs="宋体" w:hint="eastAsia"/>
          <w:b/>
          <w:bCs/>
          <w:color w:val="auto"/>
          <w:sz w:val="24"/>
        </w:rPr>
        <w:t>评审报告的程序进行，第二轮磋商顺序按供应商的签到顺序确定磋商顺序。</w:t>
      </w:r>
    </w:p>
    <w:p>
      <w:pPr>
        <w:pStyle w:val="BodyTextIndent2"/>
        <w:tabs>
          <w:tab w:val="left" w:pos="540"/>
        </w:tabs>
        <w:adjustRightInd w:val="0"/>
        <w:snapToGrid w:val="0"/>
        <w:spacing w:after="0" w:line="360" w:lineRule="auto"/>
        <w:ind w:left="0" w:firstLine="480" w:leftChars="0" w:firstLineChars="200"/>
        <w:rPr>
          <w:rFonts w:ascii="宋体" w:eastAsia="宋体" w:hAnsi="宋体" w:cs="宋体"/>
          <w:b/>
          <w:bCs/>
          <w:color w:val="auto"/>
          <w:sz w:val="24"/>
        </w:rPr>
      </w:pPr>
      <w:bookmarkStart w:id="65" w:name="_Toc293921824"/>
      <w:r>
        <w:rPr>
          <w:rFonts w:ascii="宋体" w:eastAsia="宋体" w:hAnsi="宋体" w:cs="宋体" w:hint="eastAsia"/>
          <w:b/>
          <w:bCs/>
          <w:color w:val="auto"/>
          <w:sz w:val="24"/>
        </w:rPr>
        <w:t>6.政府采购政策</w:t>
      </w:r>
    </w:p>
    <w:p>
      <w:pPr>
        <w:snapToGrid w:val="0"/>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6.1中小企业</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6.1.1根据《关于印发〈政府采购促进中小企业发展管理办法〉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在政府采购活动中，供应商提供的货物、工程或者服务符合下列情形的，享受中小企业扶持政策：</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（1）在货物采购项目中，货物由中小企业制造，即货物由中小企业生产且使用该中小企业商号或者注册商标；</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（2）在工程采购项目中，工程由中小企业承建，即工程施工单位为中小企业；</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（3）在服务采购项目中，服务由中小企业承接，即提供服务的人员为中小企业依照《中华人民共和国劳动合同法》订立劳动合同的从业人员。</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在货物采购项目中，供应商提供的货物既有中小企业制造货物，也有大型企业制造货物的，不享受中小企业扶持政策。</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以联合体形式参加政府采购活动，联合体各方均为中小企业的，联合体视同中小企业。其中，联合体各方均为小微企业的，联合体视同小微企业。</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组成联合体或者接受分包合同的中小企业与联合体内其他企业、分包企业之间不得存在直接控股、管理关系。</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6.1.2中小企业参加政府采购活动，应当出具文件中规定的《中小企业声明函》，否则不得享受相关中小企业扶持政策。</w:t>
      </w:r>
    </w:p>
    <w:p>
      <w:pPr>
        <w:snapToGrid w:val="0"/>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6.1.3依据规定享受扶持政策获得政府采购合同的，小微企业不得将合同分包给大中型企业，中型企业不得将合同分包给大型企业。</w:t>
      </w:r>
    </w:p>
    <w:p>
      <w:pPr>
        <w:pStyle w:val="PlainText"/>
        <w:tabs>
          <w:tab w:val="left" w:pos="2472"/>
        </w:tabs>
        <w:snapToGrid w:val="0"/>
        <w:rPr>
          <w:rFonts w:ascii="宋体" w:eastAsia="宋体" w:hAnsi="宋体" w:cs="宋体"/>
          <w:color w:val="auto"/>
          <w:szCs w:val="24"/>
        </w:rPr>
      </w:pPr>
      <w:r>
        <w:rPr>
          <w:rFonts w:ascii="宋体" w:eastAsia="宋体" w:hAnsi="宋体" w:cs="宋体" w:hint="eastAsia"/>
          <w:color w:val="auto"/>
          <w:szCs w:val="24"/>
        </w:rPr>
        <w:t>6.2监狱企业</w:t>
      </w:r>
    </w:p>
    <w:p>
      <w:pPr>
        <w:pStyle w:val="PlainText"/>
        <w:tabs>
          <w:tab w:val="left" w:pos="2472"/>
        </w:tabs>
        <w:snapToGrid w:val="0"/>
        <w:rPr>
          <w:rFonts w:ascii="宋体" w:eastAsia="宋体" w:hAnsi="宋体" w:cs="宋体"/>
          <w:color w:val="auto"/>
          <w:szCs w:val="24"/>
        </w:rPr>
      </w:pPr>
      <w:r>
        <w:rPr>
          <w:rFonts w:ascii="宋体" w:eastAsia="宋体" w:hAnsi="宋体" w:cs="宋体" w:hint="eastAsia"/>
          <w:color w:val="auto"/>
          <w:szCs w:val="24"/>
        </w:rPr>
        <w:t>6.2.1根据财政部《司法部关于政府采购支持监狱企业发展有关问题》的通知（财库〔2014〕68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pStyle w:val="PlainText"/>
        <w:tabs>
          <w:tab w:val="left" w:pos="2472"/>
        </w:tabs>
        <w:snapToGrid w:val="0"/>
        <w:rPr>
          <w:rFonts w:ascii="宋体" w:eastAsia="宋体" w:hAnsi="宋体" w:cs="宋体"/>
          <w:color w:val="auto"/>
          <w:szCs w:val="24"/>
        </w:rPr>
      </w:pPr>
      <w:r>
        <w:rPr>
          <w:rFonts w:ascii="宋体" w:eastAsia="宋体" w:hAnsi="宋体" w:cs="宋体" w:hint="eastAsia"/>
          <w:color w:val="auto"/>
          <w:szCs w:val="24"/>
        </w:rPr>
        <w:t>6.3残疾人福利性单位</w:t>
      </w:r>
    </w:p>
    <w:p>
      <w:pPr>
        <w:pStyle w:val="PlainText"/>
        <w:tabs>
          <w:tab w:val="left" w:pos="2472"/>
        </w:tabs>
        <w:snapToGrid w:val="0"/>
        <w:rPr>
          <w:rFonts w:ascii="宋体" w:eastAsia="宋体" w:hAnsi="宋体" w:cs="宋体"/>
          <w:color w:val="auto"/>
          <w:szCs w:val="24"/>
        </w:rPr>
      </w:pPr>
      <w:r>
        <w:rPr>
          <w:rFonts w:ascii="宋体" w:eastAsia="宋体" w:hAnsi="宋体" w:cs="宋体" w:hint="eastAsia"/>
          <w:color w:val="auto"/>
          <w:szCs w:val="24"/>
        </w:rPr>
        <w:t>6.3.1根据《财政部 民政部 中国残疾人联合会关于促进残疾人就业政府采购政策的通知》（财库〔2017〕141号），享受政府采购支持政策的残疾人福利性单位应当同时满足以下条件：</w:t>
      </w:r>
    </w:p>
    <w:p>
      <w:pPr>
        <w:pStyle w:val="PlainText"/>
        <w:tabs>
          <w:tab w:val="left" w:pos="2472"/>
        </w:tabs>
        <w:snapToGrid w:val="0"/>
        <w:ind w:firstLine="480" w:firstLineChars="200"/>
        <w:rPr>
          <w:rFonts w:ascii="宋体" w:eastAsia="宋体" w:hAnsi="宋体" w:cs="宋体"/>
          <w:color w:val="auto"/>
          <w:szCs w:val="24"/>
        </w:rPr>
      </w:pPr>
      <w:r>
        <w:rPr>
          <w:rFonts w:ascii="宋体" w:eastAsia="宋体" w:hAnsi="宋体" w:cs="宋体" w:hint="eastAsia"/>
          <w:color w:val="auto"/>
          <w:szCs w:val="24"/>
        </w:rPr>
        <w:t>（1）安置的残疾人占本单位在职职工人数的比例不低于25%（含25%），并且安置的残疾人人数不少于10人（含10人）；</w:t>
      </w:r>
    </w:p>
    <w:p>
      <w:pPr>
        <w:pStyle w:val="PlainText"/>
        <w:tabs>
          <w:tab w:val="left" w:pos="2472"/>
        </w:tabs>
        <w:snapToGrid w:val="0"/>
        <w:rPr>
          <w:rFonts w:ascii="宋体" w:eastAsia="宋体" w:hAnsi="宋体" w:cs="宋体"/>
          <w:color w:val="auto"/>
          <w:szCs w:val="24"/>
        </w:rPr>
      </w:pPr>
      <w:r>
        <w:rPr>
          <w:rFonts w:ascii="宋体" w:eastAsia="宋体" w:hAnsi="宋体" w:cs="宋体" w:hint="eastAsia"/>
          <w:color w:val="auto"/>
          <w:szCs w:val="24"/>
        </w:rPr>
        <w:t>（2）依法与安置的每位残疾人签订了一年以上（含一年）的劳动合同或服务协议；</w:t>
      </w:r>
    </w:p>
    <w:p>
      <w:pPr>
        <w:pStyle w:val="PlainText"/>
        <w:tabs>
          <w:tab w:val="left" w:pos="2472"/>
        </w:tabs>
        <w:snapToGrid w:val="0"/>
        <w:rPr>
          <w:rFonts w:ascii="宋体" w:eastAsia="宋体" w:hAnsi="宋体" w:cs="宋体"/>
          <w:color w:val="auto"/>
          <w:szCs w:val="24"/>
        </w:rPr>
      </w:pPr>
      <w:r>
        <w:rPr>
          <w:rFonts w:ascii="宋体" w:eastAsia="宋体" w:hAnsi="宋体" w:cs="宋体" w:hint="eastAsia"/>
          <w:color w:val="auto"/>
          <w:szCs w:val="24"/>
        </w:rPr>
        <w:t>（3）为安置的每位残疾人按月足额缴纳了基本养老保险、基本医疗保险、失业保险、工伤保险和生育保险等社会保险费；</w:t>
      </w:r>
    </w:p>
    <w:p>
      <w:pPr>
        <w:pStyle w:val="PlainText"/>
        <w:tabs>
          <w:tab w:val="left" w:pos="2472"/>
        </w:tabs>
        <w:snapToGrid w:val="0"/>
        <w:rPr>
          <w:rFonts w:ascii="宋体" w:eastAsia="宋体" w:hAnsi="宋体" w:cs="宋体"/>
          <w:color w:val="auto"/>
          <w:szCs w:val="24"/>
        </w:rPr>
      </w:pPr>
      <w:r>
        <w:rPr>
          <w:rFonts w:ascii="宋体" w:eastAsia="宋体" w:hAnsi="宋体" w:cs="宋体" w:hint="eastAsia"/>
          <w:color w:val="auto"/>
          <w:szCs w:val="24"/>
        </w:rPr>
        <w:t>（4）通过银行等金融机构向安置的每位残疾人，按月支付了不低于单位所在区县适用的经省级人民政府批准的月最低工资标准的工资；</w:t>
      </w:r>
    </w:p>
    <w:p>
      <w:pPr>
        <w:pStyle w:val="PlainText"/>
        <w:tabs>
          <w:tab w:val="left" w:pos="2472"/>
        </w:tabs>
        <w:snapToGrid w:val="0"/>
        <w:rPr>
          <w:rFonts w:ascii="宋体" w:eastAsia="宋体" w:hAnsi="宋体" w:cs="宋体"/>
          <w:color w:val="auto"/>
          <w:szCs w:val="24"/>
        </w:rPr>
      </w:pPr>
      <w:r>
        <w:rPr>
          <w:rFonts w:ascii="宋体" w:eastAsia="宋体" w:hAnsi="宋体" w:cs="宋体" w:hint="eastAsia"/>
          <w:color w:val="auto"/>
          <w:szCs w:val="24"/>
        </w:rPr>
        <w:t>（5）提供本单位制造的货物、承担的工程或者服务（以下简称产品），或者提供其他残疾人福利性单位制造的货物（不包括使用非残疾人福利性单位注册商标的货物）。</w:t>
      </w:r>
    </w:p>
    <w:p>
      <w:pPr>
        <w:pStyle w:val="PlainText"/>
        <w:tabs>
          <w:tab w:val="left" w:pos="2472"/>
        </w:tabs>
        <w:snapToGrid w:val="0"/>
        <w:ind w:firstLine="480" w:firstLineChars="200"/>
        <w:rPr>
          <w:rFonts w:ascii="宋体" w:eastAsia="宋体" w:hAnsi="宋体" w:cs="宋体"/>
          <w:color w:val="auto"/>
          <w:szCs w:val="24"/>
        </w:rPr>
      </w:pPr>
      <w:r>
        <w:rPr>
          <w:rFonts w:ascii="宋体" w:eastAsia="宋体" w:hAnsi="宋体" w:cs="宋体" w:hint="eastAsia"/>
          <w:color w:val="auto"/>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spacing w:line="360" w:lineRule="auto"/>
        <w:ind w:firstLine="480" w:firstLineChars="200"/>
        <w:jc w:val="left"/>
        <w:outlineLvl w:val="1"/>
        <w:rPr>
          <w:rFonts w:ascii="宋体" w:eastAsia="宋体" w:hAnsi="宋体" w:cs="宋体"/>
          <w:color w:val="auto"/>
          <w:sz w:val="24"/>
        </w:rPr>
      </w:pPr>
      <w:r>
        <w:rPr>
          <w:rFonts w:ascii="宋体" w:eastAsia="宋体" w:hAnsi="宋体" w:cs="宋体" w:hint="eastAsia"/>
          <w:color w:val="auto"/>
          <w:sz w:val="24"/>
        </w:rPr>
        <w:t>6.3.2符合条件的残疾人福利性单位在参加政府采购活动时，应当提供《残疾人福利性单位声明函》，并对声明的真实性负责。</w:t>
      </w:r>
    </w:p>
    <w:p>
      <w:pPr>
        <w:pStyle w:val="BodyTextIndent2"/>
        <w:tabs>
          <w:tab w:val="left" w:pos="540"/>
        </w:tabs>
        <w:adjustRightInd w:val="0"/>
        <w:snapToGrid w:val="0"/>
        <w:spacing w:after="0" w:line="360" w:lineRule="auto"/>
        <w:ind w:left="0" w:firstLine="480" w:leftChars="0" w:firstLineChars="200"/>
        <w:rPr>
          <w:rFonts w:ascii="宋体" w:eastAsia="宋体" w:hAnsi="宋体" w:cs="宋体"/>
          <w:b/>
          <w:bCs/>
          <w:color w:val="auto"/>
          <w:sz w:val="24"/>
        </w:rPr>
      </w:pPr>
      <w:r>
        <w:rPr>
          <w:rFonts w:ascii="宋体" w:eastAsia="宋体" w:hAnsi="宋体" w:cs="宋体" w:hint="eastAsia"/>
          <w:b/>
          <w:bCs/>
          <w:color w:val="auto"/>
          <w:sz w:val="24"/>
        </w:rPr>
        <w:t>7. 评审办法及打分细则</w:t>
      </w:r>
      <w:bookmarkEnd w:id="65"/>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7.1本次磋商所采用的评审方法为综合评分法结合政府采购促进中小企业发展暂行办法。综合评分法是指最大限度的满足磋商文件实质性要求前提下，按照磋商文件中规定的各项因素进行综合评审后，以评标总得分最高的供应商作为成交候选供应商或者成交供应商的评标办法。政府采购促进中小企业发展暂行办法是指在满足文件要求的最终报价基础上，根据政府采购促进中小企业发展暂行办法扣除比例（10%）计算各投标供应商的评审价格</w:t>
      </w:r>
      <w:r>
        <w:rPr>
          <w:rFonts w:ascii="宋体" w:eastAsia="宋体" w:hAnsi="宋体" w:cs="宋体" w:hint="eastAsia"/>
          <w:b/>
          <w:color w:val="auto"/>
          <w:sz w:val="24"/>
        </w:rPr>
        <w:t>。</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7.2</w:t>
      </w:r>
      <w:r>
        <w:rPr>
          <w:rFonts w:ascii="宋体" w:eastAsia="宋体" w:hAnsi="宋体" w:cs="宋体" w:hint="eastAsia"/>
          <w:color w:val="auto"/>
          <w:kern w:val="0"/>
          <w:sz w:val="24"/>
        </w:rPr>
        <w:t>资格性审查和</w:t>
      </w:r>
      <w:r>
        <w:rPr>
          <w:rFonts w:ascii="宋体" w:eastAsia="宋体" w:hAnsi="宋体" w:cs="宋体" w:hint="eastAsia"/>
          <w:color w:val="auto"/>
          <w:sz w:val="24"/>
        </w:rPr>
        <w:t>符合性审查</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7.2.1在综合评分前，先审查每份响应文件是否实质上响应了磋商文件的要求。如果响应文件实质上没有响应磋商文件的要求将予以拒绝，供应商不得通过修正或撤销不合要求的偏离或保留从而使其响应成为实质上响应的磋商。</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7.2.2在需要时可要求供应商对响应文件中含义不明确的内容作必要的澄清或说明，澄清或说明应采用书面形式。澄清或说明不得超出磋商文件的范围或者改变磋商文件的实质性内容。</w:t>
      </w:r>
    </w:p>
    <w:p>
      <w:pPr>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7.2.3磋商小组首先对供应商的响应文件进行资格性检查，通过资格性检查的供应商方可进入符合性检查。符合以下检查标准的，通过资格性检查：</w:t>
      </w:r>
    </w:p>
    <w:p>
      <w:pPr>
        <w:pStyle w:val="1"/>
        <w:rPr>
          <w:rFonts w:ascii="宋体" w:eastAsia="宋体" w:hAnsi="宋体" w:cs="宋体"/>
          <w:color w:val="auto"/>
        </w:rPr>
      </w:pPr>
    </w:p>
    <w:tbl>
      <w:tblPr>
        <w:tblStyle w:val="TableNormal"/>
        <w:tblW w:w="99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
      <w:tblGrid>
        <w:gridCol w:w="5917"/>
        <w:gridCol w:w="1221"/>
        <w:gridCol w:w="1418"/>
        <w:gridCol w:w="1436"/>
      </w:tblGrid>
      <w:tr>
        <w:tblPrEx>
          <w:tblW w:w="99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Ex>
        <w:trPr>
          <w:trHeight w:val="507"/>
          <w:jc w:val="center"/>
        </w:trPr>
        <w:tc>
          <w:tcPr>
            <w:tcW w:w="5917" w:type="dxa"/>
            <w:vMerge w:val="restart"/>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600" w:lineRule="exact"/>
              <w:ind w:left="0" w:right="0"/>
              <w:jc w:val="center"/>
              <w:rPr>
                <w:rStyle w:val="DefaultParagraphFont"/>
                <w:rFonts w:ascii="宋体" w:eastAsia="宋体" w:hAnsi="宋体" w:cs="宋体" w:hint="default"/>
                <w:b/>
                <w:color w:val="auto"/>
                <w:kern w:val="2"/>
                <w:sz w:val="24"/>
                <w:szCs w:val="24"/>
                <w:lang w:val="en-US" w:eastAsia="zh-CN" w:bidi="ar-SA"/>
              </w:rPr>
            </w:pPr>
            <w:bookmarkStart w:id="66" w:name="_Toc326829212"/>
            <w:r>
              <w:rPr>
                <w:rFonts w:ascii="宋体" w:eastAsia="宋体" w:hAnsi="宋体" w:cs="宋体" w:hint="eastAsia"/>
                <w:b/>
                <w:color w:val="auto"/>
                <w:kern w:val="2"/>
                <w:sz w:val="24"/>
                <w:szCs w:val="24"/>
                <w:lang w:val="en-US" w:eastAsia="zh-CN" w:bidi="ar-SA"/>
              </w:rPr>
              <w:t>资格性审查</w:t>
            </w:r>
          </w:p>
        </w:tc>
        <w:tc>
          <w:tcPr>
            <w:tcW w:w="4075" w:type="dxa"/>
            <w:gridSpan w:val="3"/>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600" w:lineRule="exact"/>
              <w:ind w:left="0" w:right="0"/>
              <w:jc w:val="center"/>
              <w:rPr>
                <w:rStyle w:val="DefaultParagraphFont"/>
                <w:rFonts w:ascii="宋体" w:eastAsia="宋体" w:hAnsi="宋体" w:cs="宋体" w:hint="default"/>
                <w:b/>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供应商名称</w:t>
            </w:r>
          </w:p>
        </w:tc>
      </w:tr>
      <w:tr>
        <w:tblPrEx>
          <w:tblW w:w="9992" w:type="dxa"/>
          <w:jc w:val="center"/>
          <w:tblLayout w:type="fixed"/>
          <w:tblCellMar>
            <w:top w:w="0" w:type="dxa"/>
            <w:left w:w="108" w:type="dxa"/>
            <w:bottom w:w="0" w:type="dxa"/>
            <w:right w:w="108" w:type="dxa"/>
          </w:tblCellMar>
          <w:tblLook w:val="04A0"/>
        </w:tblPrEx>
        <w:trPr>
          <w:trHeight w:val="329"/>
          <w:jc w:val="center"/>
        </w:trPr>
        <w:tc>
          <w:tcPr>
            <w:tcW w:w="5917" w:type="dxa"/>
            <w:vMerge/>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b/>
                <w:color w:val="auto"/>
                <w:kern w:val="2"/>
                <w:sz w:val="24"/>
                <w:szCs w:val="24"/>
                <w:lang w:val="en-US" w:eastAsia="zh-CN" w:bidi="ar-SA"/>
              </w:rPr>
            </w:pPr>
          </w:p>
        </w:tc>
        <w:tc>
          <w:tcPr>
            <w:tcW w:w="1221"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600" w:lineRule="exact"/>
              <w:ind w:left="0" w:right="0"/>
              <w:jc w:val="center"/>
              <w:rPr>
                <w:rStyle w:val="DefaultParagraphFont"/>
                <w:rFonts w:ascii="宋体" w:eastAsia="宋体" w:hAnsi="宋体" w:cs="宋体" w:hint="default"/>
                <w:b/>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申请人1</w:t>
            </w:r>
          </w:p>
        </w:tc>
        <w:tc>
          <w:tcPr>
            <w:tcW w:w="1418"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600" w:lineRule="exact"/>
              <w:ind w:left="0" w:right="0"/>
              <w:jc w:val="center"/>
              <w:rPr>
                <w:rStyle w:val="DefaultParagraphFont"/>
                <w:rFonts w:ascii="宋体" w:eastAsia="宋体" w:hAnsi="宋体" w:cs="宋体" w:hint="default"/>
                <w:b/>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申请人2</w:t>
            </w:r>
          </w:p>
        </w:tc>
        <w:tc>
          <w:tcPr>
            <w:tcW w:w="1436"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600" w:lineRule="exact"/>
              <w:ind w:left="0" w:right="0"/>
              <w:jc w:val="center"/>
              <w:rPr>
                <w:rStyle w:val="DefaultParagraphFont"/>
                <w:rFonts w:ascii="宋体" w:eastAsia="宋体" w:hAnsi="宋体" w:cs="宋体" w:hint="default"/>
                <w:b/>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申请人N</w:t>
            </w:r>
            <w:r>
              <w:rPr>
                <w:rFonts w:ascii="宋体" w:eastAsia="宋体" w:hAnsi="宋体" w:cs="宋体" w:hint="eastAsia"/>
                <w:b/>
                <w:color w:val="auto"/>
                <w:kern w:val="2"/>
                <w:sz w:val="24"/>
                <w:szCs w:val="24"/>
                <w:lang w:val="en-US" w:eastAsia="zh-CN" w:bidi="ar-SA"/>
              </w:rPr>
              <w:t>…</w:t>
            </w:r>
          </w:p>
        </w:tc>
      </w:tr>
      <w:tr>
        <w:tblPrEx>
          <w:tblW w:w="9992" w:type="dxa"/>
          <w:jc w:val="center"/>
          <w:tblLayout w:type="fixed"/>
          <w:tblCellMar>
            <w:top w:w="0" w:type="dxa"/>
            <w:left w:w="108" w:type="dxa"/>
            <w:bottom w:w="0" w:type="dxa"/>
            <w:right w:w="108" w:type="dxa"/>
          </w:tblCellMar>
          <w:tblLook w:val="04A0"/>
        </w:tblPrEx>
        <w:trPr>
          <w:trHeight w:val="637"/>
          <w:jc w:val="center"/>
        </w:trPr>
        <w:tc>
          <w:tcPr>
            <w:tcW w:w="5917"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提供有效的《营业执照》</w:t>
            </w:r>
          </w:p>
        </w:tc>
        <w:tc>
          <w:tcPr>
            <w:tcW w:w="1221"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18"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36"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9992" w:type="dxa"/>
          <w:jc w:val="center"/>
          <w:tblLayout w:type="fixed"/>
          <w:tblCellMar>
            <w:top w:w="0" w:type="dxa"/>
            <w:left w:w="108" w:type="dxa"/>
            <w:bottom w:w="0" w:type="dxa"/>
            <w:right w:w="108" w:type="dxa"/>
          </w:tblCellMar>
          <w:tblLook w:val="04A0"/>
        </w:tblPrEx>
        <w:trPr>
          <w:trHeight w:val="446"/>
          <w:jc w:val="center"/>
        </w:trPr>
        <w:tc>
          <w:tcPr>
            <w:tcW w:w="5917"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提供具有独立承担民事责任的能力的声明函或证明材料</w:t>
            </w:r>
          </w:p>
        </w:tc>
        <w:tc>
          <w:tcPr>
            <w:tcW w:w="1221"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18"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36"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9992" w:type="dxa"/>
          <w:jc w:val="center"/>
          <w:tblLayout w:type="fixed"/>
          <w:tblCellMar>
            <w:top w:w="0" w:type="dxa"/>
            <w:left w:w="108" w:type="dxa"/>
            <w:bottom w:w="0" w:type="dxa"/>
            <w:right w:w="108" w:type="dxa"/>
          </w:tblCellMar>
          <w:tblLook w:val="04A0"/>
        </w:tblPrEx>
        <w:trPr>
          <w:trHeight w:val="446"/>
          <w:jc w:val="center"/>
        </w:trPr>
        <w:tc>
          <w:tcPr>
            <w:tcW w:w="5917"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具有良好的商业信誉和健全的财务会计制度，提供企业2022年度经审计的财务报告及其相关报表，或者基本开户行出具的资信证明,或者财政部门认可专业担保机构出具的投标担保函扫描件。</w:t>
            </w:r>
            <w:r>
              <w:rPr>
                <w:rFonts w:ascii="宋体" w:eastAsia="宋体" w:hAnsi="宋体" w:cs="宋体" w:hint="eastAsia"/>
                <w:bCs/>
                <w:color w:val="auto"/>
                <w:kern w:val="2"/>
                <w:sz w:val="24"/>
                <w:szCs w:val="24"/>
                <w:lang w:val="en-US" w:eastAsia="zh-CN" w:bidi="ar-SA"/>
              </w:rPr>
              <w:t>扫描件应清晰可辨，否则视为未提供。</w:t>
            </w:r>
            <w:r>
              <w:rPr>
                <w:rFonts w:ascii="宋体" w:eastAsia="宋体" w:hAnsi="宋体" w:cs="宋体" w:hint="eastAsia"/>
                <w:color w:val="auto"/>
                <w:kern w:val="2"/>
                <w:sz w:val="24"/>
                <w:szCs w:val="24"/>
                <w:lang w:val="en-US" w:eastAsia="zh-CN" w:bidi="ar-SA"/>
              </w:rPr>
              <w:t>（若为新成立的公司应作出说明）</w:t>
            </w:r>
          </w:p>
        </w:tc>
        <w:tc>
          <w:tcPr>
            <w:tcW w:w="1221"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18"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36"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9992" w:type="dxa"/>
          <w:jc w:val="center"/>
          <w:tblLayout w:type="fixed"/>
          <w:tblCellMar>
            <w:top w:w="0" w:type="dxa"/>
            <w:left w:w="108" w:type="dxa"/>
            <w:bottom w:w="0" w:type="dxa"/>
            <w:right w:w="108" w:type="dxa"/>
          </w:tblCellMar>
          <w:tblLook w:val="04A0"/>
        </w:tblPrEx>
        <w:trPr>
          <w:trHeight w:val="446"/>
          <w:jc w:val="center"/>
        </w:trPr>
        <w:tc>
          <w:tcPr>
            <w:tcW w:w="5917"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具有履行合同所必需的设备或专业技术能力(提供声明函或证明材料)</w:t>
            </w:r>
          </w:p>
        </w:tc>
        <w:tc>
          <w:tcPr>
            <w:tcW w:w="1221"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18"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36"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9992" w:type="dxa"/>
          <w:jc w:val="center"/>
          <w:tblLayout w:type="fixed"/>
          <w:tblCellMar>
            <w:top w:w="0" w:type="dxa"/>
            <w:left w:w="108" w:type="dxa"/>
            <w:bottom w:w="0" w:type="dxa"/>
            <w:right w:w="108" w:type="dxa"/>
          </w:tblCellMar>
          <w:tblLook w:val="04A0"/>
        </w:tblPrEx>
        <w:trPr>
          <w:trHeight w:val="446"/>
          <w:jc w:val="center"/>
        </w:trPr>
        <w:tc>
          <w:tcPr>
            <w:tcW w:w="5917"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有依法缴纳税收和社会保障资金的良好记录（</w:t>
            </w:r>
            <w:r>
              <w:rPr>
                <w:rFonts w:ascii="宋体" w:eastAsia="宋体" w:hAnsi="宋体" w:cs="宋体" w:hint="eastAsia"/>
                <w:color w:val="auto"/>
                <w:kern w:val="2"/>
                <w:sz w:val="24"/>
                <w:szCs w:val="24"/>
                <w:lang w:val="en-US" w:eastAsia="zh-CN" w:bidi="ar-SA"/>
              </w:rPr>
              <w:t>①</w:t>
            </w:r>
            <w:r>
              <w:rPr>
                <w:rFonts w:ascii="宋体" w:eastAsia="宋体" w:hAnsi="宋体" w:cs="宋体" w:hint="eastAsia"/>
                <w:color w:val="auto"/>
                <w:kern w:val="2"/>
                <w:sz w:val="24"/>
                <w:szCs w:val="24"/>
                <w:lang w:val="en-US" w:eastAsia="zh-CN" w:bidi="ar-SA"/>
              </w:rPr>
              <w:t>提供参加政府采购活动前段时间（2023年任意一个月）依法缴纳税收凭据（税务局税收通用缴款书或银行电子缴税(费)凭证或税务局出具纳税情况缴税的证明等），如在参加政府采购活动前段时间上税为零，提供该段时间税收为零的税款申报表或者网上办税受理通知单的复印件。依法免税的供应商，提供相应的免税文件证明资料（若为新成立的公司应作出说明）；</w:t>
            </w:r>
            <w:r>
              <w:rPr>
                <w:rFonts w:ascii="宋体" w:eastAsia="宋体" w:hAnsi="宋体" w:cs="宋体" w:hint="eastAsia"/>
                <w:color w:val="auto"/>
                <w:kern w:val="2"/>
                <w:sz w:val="24"/>
                <w:szCs w:val="24"/>
                <w:lang w:val="en-US" w:eastAsia="zh-CN" w:bidi="ar-SA"/>
              </w:rPr>
              <w:t>②</w:t>
            </w:r>
            <w:r>
              <w:rPr>
                <w:rFonts w:ascii="宋体" w:eastAsia="宋体" w:hAnsi="宋体" w:cs="宋体" w:hint="eastAsia"/>
                <w:color w:val="auto"/>
                <w:kern w:val="2"/>
                <w:sz w:val="24"/>
                <w:szCs w:val="24"/>
                <w:lang w:val="en-US" w:eastAsia="zh-CN" w:bidi="ar-SA"/>
              </w:rPr>
              <w:t>提供缴费所属时间在（2023年任意一个月）依法缴纳社会保障资金凭据（社会保险缴纳清单或社会保障专用收据或社保管理部门出具的有效的缴款证明等）。依法不需要缴纳的，提供不需要缴纳社会保障资金文件证明资料的（若为新成立的公司应作出说明）</w:t>
            </w:r>
          </w:p>
        </w:tc>
        <w:tc>
          <w:tcPr>
            <w:tcW w:w="1221"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18"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36"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9992" w:type="dxa"/>
          <w:jc w:val="center"/>
          <w:tblLayout w:type="fixed"/>
          <w:tblCellMar>
            <w:top w:w="0" w:type="dxa"/>
            <w:left w:w="108" w:type="dxa"/>
            <w:bottom w:w="0" w:type="dxa"/>
            <w:right w:w="108" w:type="dxa"/>
          </w:tblCellMar>
          <w:tblLook w:val="04A0"/>
        </w:tblPrEx>
        <w:trPr>
          <w:trHeight w:val="446"/>
          <w:jc w:val="center"/>
        </w:trPr>
        <w:tc>
          <w:tcPr>
            <w:tcW w:w="5917"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参加政府采购活动前三年内，在经营活动中没有重大违法记录(提供声明函)</w:t>
            </w:r>
          </w:p>
        </w:tc>
        <w:tc>
          <w:tcPr>
            <w:tcW w:w="1221"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18"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36"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9992" w:type="dxa"/>
          <w:jc w:val="center"/>
          <w:tblLayout w:type="fixed"/>
          <w:tblCellMar>
            <w:top w:w="0" w:type="dxa"/>
            <w:left w:w="108" w:type="dxa"/>
            <w:bottom w:w="0" w:type="dxa"/>
            <w:right w:w="108" w:type="dxa"/>
          </w:tblCellMar>
          <w:tblLook w:val="04A0"/>
        </w:tblPrEx>
        <w:trPr>
          <w:trHeight w:val="446"/>
          <w:jc w:val="center"/>
        </w:trPr>
        <w:tc>
          <w:tcPr>
            <w:tcW w:w="5917"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both"/>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不存在单位负责人为同一人或者存在直接控股、管理关系的不同供应商，参加同一合同项下的采购活动的情形。（</w:t>
            </w:r>
            <w:r>
              <w:rPr>
                <w:rFonts w:ascii="宋体" w:eastAsia="宋体" w:hAnsi="宋体" w:cs="宋体" w:hint="eastAsia"/>
                <w:bCs/>
                <w:color w:val="000000"/>
                <w:kern w:val="2"/>
                <w:sz w:val="24"/>
                <w:szCs w:val="24"/>
                <w:lang w:val="en-US" w:eastAsia="zh-CN" w:bidi="ar-SA"/>
              </w:rPr>
              <w:t>提供书面承诺，以及提供国家企业信用信息公示系统中基础信息（体现股东及出资详细信息，或体现主管部门（出资人）信息）的网页截图或由法定的社会验资机构出具的验资报告或注册地工商部门出具的股东出资情況证明</w:t>
            </w:r>
            <w:r>
              <w:rPr>
                <w:rFonts w:ascii="宋体" w:eastAsia="宋体" w:hAnsi="宋体" w:cs="宋体" w:hint="eastAsia"/>
                <w:color w:val="000000"/>
                <w:kern w:val="2"/>
                <w:sz w:val="24"/>
                <w:szCs w:val="24"/>
                <w:lang w:val="en-US" w:eastAsia="zh-CN" w:bidi="ar-SA"/>
              </w:rPr>
              <w:t>或其他相关部门出具的证明材料</w:t>
            </w:r>
            <w:r>
              <w:rPr>
                <w:rFonts w:ascii="宋体" w:eastAsia="宋体" w:hAnsi="宋体" w:cs="宋体" w:hint="eastAsia"/>
                <w:bCs/>
                <w:color w:val="000000"/>
                <w:kern w:val="2"/>
                <w:sz w:val="24"/>
                <w:szCs w:val="24"/>
                <w:lang w:val="en-US" w:eastAsia="zh-CN" w:bidi="ar-SA"/>
              </w:rPr>
              <w:t>扫描件。）</w:t>
            </w:r>
          </w:p>
          <w:p>
            <w:pPr>
              <w:keepNext w:val="0"/>
              <w:keepLines w:val="0"/>
              <w:widowControl w:val="0"/>
              <w:suppressLineNumbers w:val="0"/>
              <w:spacing w:before="0" w:beforeAutospacing="0" w:after="0" w:afterAutospacing="0" w:line="500" w:lineRule="exact"/>
              <w:ind w:left="0" w:right="0"/>
              <w:jc w:val="both"/>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不为联合体磋商。</w:t>
            </w:r>
          </w:p>
        </w:tc>
        <w:tc>
          <w:tcPr>
            <w:tcW w:w="1221"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18"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36"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r>
    </w:tbl>
    <w:p>
      <w:pPr>
        <w:spacing w:line="360" w:lineRule="auto"/>
        <w:ind w:firstLine="480" w:firstLineChars="200"/>
        <w:rPr>
          <w:rFonts w:ascii="宋体" w:eastAsia="宋体" w:hAnsi="宋体" w:cs="宋体" w:hint="eastAsia"/>
          <w:color w:val="auto"/>
          <w:sz w:val="24"/>
        </w:rPr>
      </w:pPr>
      <w:bookmarkEnd w:id="66"/>
      <w:r>
        <w:rPr>
          <w:rFonts w:ascii="宋体" w:eastAsia="宋体" w:hAnsi="宋体" w:cs="宋体" w:hint="eastAsia"/>
          <w:color w:val="auto"/>
          <w:sz w:val="24"/>
        </w:rPr>
        <w:t>7.2.4磋商小组成员要认真审阅供应商的响应文件，对响应文件中含义不明确、表述不一致或有明细文字和计算错误的内容做必要的澄清，通过符合性检查的供应商方可进入综合评分。符合以下检查标准的，通过符合性检查：</w:t>
      </w:r>
    </w:p>
    <w:p>
      <w:pPr>
        <w:pStyle w:val="BodyTextFirstIndent"/>
        <w:rPr>
          <w:rFonts w:ascii="宋体" w:eastAsia="宋体" w:hAnsi="宋体" w:cs="宋体" w:hint="eastAsia"/>
          <w:color w:val="auto"/>
          <w:sz w:val="24"/>
        </w:rPr>
      </w:pPr>
    </w:p>
    <w:p>
      <w:pPr>
        <w:rPr>
          <w:color w:val="auto"/>
        </w:rPr>
      </w:pPr>
    </w:p>
    <w:tbl>
      <w:tblPr>
        <w:tblStyle w:val="TableNormal"/>
        <w:tblW w:w="10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
      <w:tblGrid>
        <w:gridCol w:w="6084"/>
        <w:gridCol w:w="1360"/>
        <w:gridCol w:w="1273"/>
        <w:gridCol w:w="1433"/>
      </w:tblGrid>
      <w:tr>
        <w:tblPrEx>
          <w:tblW w:w="10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Ex>
        <w:trPr>
          <w:trHeight w:val="660"/>
          <w:jc w:val="center"/>
        </w:trPr>
        <w:tc>
          <w:tcPr>
            <w:tcW w:w="6084" w:type="dxa"/>
            <w:vMerge w:val="restart"/>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600" w:lineRule="exact"/>
              <w:ind w:left="0" w:right="0"/>
              <w:jc w:val="center"/>
              <w:rPr>
                <w:rStyle w:val="DefaultParagraphFont"/>
                <w:rFonts w:ascii="宋体" w:eastAsia="宋体" w:hAnsi="宋体" w:cs="宋体" w:hint="default"/>
                <w:b/>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符合性审查</w:t>
            </w:r>
          </w:p>
        </w:tc>
        <w:tc>
          <w:tcPr>
            <w:tcW w:w="4066" w:type="dxa"/>
            <w:gridSpan w:val="3"/>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600" w:lineRule="exact"/>
              <w:ind w:left="0" w:right="0"/>
              <w:jc w:val="center"/>
              <w:rPr>
                <w:rStyle w:val="DefaultParagraphFont"/>
                <w:rFonts w:ascii="宋体" w:eastAsia="宋体" w:hAnsi="宋体" w:cs="宋体" w:hint="default"/>
                <w:b/>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供应商名称</w:t>
            </w:r>
          </w:p>
        </w:tc>
      </w:tr>
      <w:tr>
        <w:tblPrEx>
          <w:tblW w:w="10150" w:type="dxa"/>
          <w:jc w:val="center"/>
          <w:tblLayout w:type="fixed"/>
          <w:tblCellMar>
            <w:top w:w="0" w:type="dxa"/>
            <w:left w:w="108" w:type="dxa"/>
            <w:bottom w:w="0" w:type="dxa"/>
            <w:right w:w="108" w:type="dxa"/>
          </w:tblCellMar>
          <w:tblLook w:val="04A0"/>
        </w:tblPrEx>
        <w:trPr>
          <w:trHeight w:val="660"/>
          <w:jc w:val="center"/>
        </w:trPr>
        <w:tc>
          <w:tcPr>
            <w:tcW w:w="6084" w:type="dxa"/>
            <w:vMerge/>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b/>
                <w:color w:val="auto"/>
                <w:kern w:val="2"/>
                <w:sz w:val="24"/>
                <w:szCs w:val="24"/>
                <w:lang w:val="en-US" w:eastAsia="zh-CN" w:bidi="ar-SA"/>
              </w:rPr>
            </w:pPr>
          </w:p>
        </w:tc>
        <w:tc>
          <w:tcPr>
            <w:tcW w:w="1360"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600" w:lineRule="exact"/>
              <w:ind w:left="0" w:right="0"/>
              <w:jc w:val="center"/>
              <w:rPr>
                <w:rStyle w:val="DefaultParagraphFont"/>
                <w:rFonts w:ascii="宋体" w:eastAsia="宋体" w:hAnsi="宋体" w:cs="宋体" w:hint="default"/>
                <w:b/>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申请人1</w:t>
            </w:r>
          </w:p>
        </w:tc>
        <w:tc>
          <w:tcPr>
            <w:tcW w:w="127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600" w:lineRule="exact"/>
              <w:ind w:left="0" w:right="0"/>
              <w:jc w:val="center"/>
              <w:rPr>
                <w:rStyle w:val="DefaultParagraphFont"/>
                <w:rFonts w:ascii="宋体" w:eastAsia="宋体" w:hAnsi="宋体" w:cs="宋体" w:hint="default"/>
                <w:b/>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申请人2</w:t>
            </w:r>
          </w:p>
        </w:tc>
        <w:tc>
          <w:tcPr>
            <w:tcW w:w="143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600" w:lineRule="exact"/>
              <w:ind w:left="0" w:right="0"/>
              <w:jc w:val="center"/>
              <w:rPr>
                <w:rStyle w:val="DefaultParagraphFont"/>
                <w:rFonts w:ascii="宋体" w:eastAsia="宋体" w:hAnsi="宋体" w:cs="宋体" w:hint="default"/>
                <w:b/>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申请人N</w:t>
            </w:r>
            <w:r>
              <w:rPr>
                <w:rFonts w:ascii="宋体" w:eastAsia="宋体" w:hAnsi="宋体" w:cs="宋体" w:hint="eastAsia"/>
                <w:b/>
                <w:color w:val="auto"/>
                <w:kern w:val="2"/>
                <w:sz w:val="24"/>
                <w:szCs w:val="24"/>
                <w:lang w:val="en-US" w:eastAsia="zh-CN" w:bidi="ar-SA"/>
              </w:rPr>
              <w:t>…</w:t>
            </w:r>
          </w:p>
        </w:tc>
      </w:tr>
      <w:tr>
        <w:tblPrEx>
          <w:tblW w:w="10150" w:type="dxa"/>
          <w:jc w:val="center"/>
          <w:tblLayout w:type="fixed"/>
          <w:tblCellMar>
            <w:top w:w="0" w:type="dxa"/>
            <w:left w:w="108" w:type="dxa"/>
            <w:bottom w:w="0" w:type="dxa"/>
            <w:right w:w="108" w:type="dxa"/>
          </w:tblCellMar>
          <w:tblLook w:val="04A0"/>
        </w:tblPrEx>
        <w:trPr>
          <w:trHeight w:val="1088"/>
          <w:jc w:val="center"/>
        </w:trPr>
        <w:tc>
          <w:tcPr>
            <w:tcW w:w="6084"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提供有效的法定代表人身份证明书及法定代表人授权委托书（法定代表人递交响应文件的无需授权）</w:t>
            </w:r>
          </w:p>
        </w:tc>
        <w:tc>
          <w:tcPr>
            <w:tcW w:w="1360"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27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3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10150" w:type="dxa"/>
          <w:jc w:val="center"/>
          <w:tblLayout w:type="fixed"/>
          <w:tblCellMar>
            <w:top w:w="0" w:type="dxa"/>
            <w:left w:w="108" w:type="dxa"/>
            <w:bottom w:w="0" w:type="dxa"/>
            <w:right w:w="108" w:type="dxa"/>
          </w:tblCellMar>
          <w:tblLook w:val="04A0"/>
        </w:tblPrEx>
        <w:trPr>
          <w:trHeight w:val="1088"/>
          <w:jc w:val="center"/>
        </w:trPr>
        <w:tc>
          <w:tcPr>
            <w:tcW w:w="6084"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对磋商文件提出的供货时间、供货地点、质量要求及其它要求实质性条件和要求做出了响应</w:t>
            </w:r>
          </w:p>
        </w:tc>
        <w:tc>
          <w:tcPr>
            <w:tcW w:w="1360"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27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3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10150" w:type="dxa"/>
          <w:jc w:val="center"/>
          <w:tblLayout w:type="fixed"/>
          <w:tblCellMar>
            <w:top w:w="0" w:type="dxa"/>
            <w:left w:w="108" w:type="dxa"/>
            <w:bottom w:w="0" w:type="dxa"/>
            <w:right w:w="108" w:type="dxa"/>
          </w:tblCellMar>
          <w:tblLook w:val="04A0"/>
        </w:tblPrEx>
        <w:trPr>
          <w:trHeight w:val="554"/>
          <w:jc w:val="center"/>
        </w:trPr>
        <w:tc>
          <w:tcPr>
            <w:tcW w:w="6084"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提供了缴纳磋商保证金凭据</w:t>
            </w:r>
          </w:p>
        </w:tc>
        <w:tc>
          <w:tcPr>
            <w:tcW w:w="1360"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27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3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10150" w:type="dxa"/>
          <w:jc w:val="center"/>
          <w:tblLayout w:type="fixed"/>
          <w:tblCellMar>
            <w:top w:w="0" w:type="dxa"/>
            <w:left w:w="108" w:type="dxa"/>
            <w:bottom w:w="0" w:type="dxa"/>
            <w:right w:w="108" w:type="dxa"/>
          </w:tblCellMar>
          <w:tblLook w:val="04A0"/>
        </w:tblPrEx>
        <w:trPr>
          <w:trHeight w:val="554"/>
          <w:jc w:val="center"/>
        </w:trPr>
        <w:tc>
          <w:tcPr>
            <w:tcW w:w="6084"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响应文件按规定的格式填写或编制，内容完整、未出现有关键内容字迹模糊、无法辨认的情形且组成格式、签字和盖章等符合竞争性磋商文件的要求</w:t>
            </w:r>
          </w:p>
        </w:tc>
        <w:tc>
          <w:tcPr>
            <w:tcW w:w="1360"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27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3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10150" w:type="dxa"/>
          <w:jc w:val="center"/>
          <w:tblLayout w:type="fixed"/>
          <w:tblCellMar>
            <w:top w:w="0" w:type="dxa"/>
            <w:left w:w="108" w:type="dxa"/>
            <w:bottom w:w="0" w:type="dxa"/>
            <w:right w:w="108" w:type="dxa"/>
          </w:tblCellMar>
          <w:tblLook w:val="04A0"/>
        </w:tblPrEx>
        <w:trPr>
          <w:trHeight w:val="554"/>
          <w:jc w:val="center"/>
        </w:trPr>
        <w:tc>
          <w:tcPr>
            <w:tcW w:w="6084"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磋商报价未超过本项目的采购预算</w:t>
            </w:r>
          </w:p>
        </w:tc>
        <w:tc>
          <w:tcPr>
            <w:tcW w:w="1360"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27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3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10150" w:type="dxa"/>
          <w:jc w:val="center"/>
          <w:tblLayout w:type="fixed"/>
          <w:tblCellMar>
            <w:top w:w="0" w:type="dxa"/>
            <w:left w:w="108" w:type="dxa"/>
            <w:bottom w:w="0" w:type="dxa"/>
            <w:right w:w="108" w:type="dxa"/>
          </w:tblCellMar>
          <w:tblLook w:val="04A0"/>
        </w:tblPrEx>
        <w:trPr>
          <w:trHeight w:val="575"/>
          <w:jc w:val="center"/>
        </w:trPr>
        <w:tc>
          <w:tcPr>
            <w:tcW w:w="6084"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响应文件未附有采购人不能接受的条件</w:t>
            </w:r>
          </w:p>
        </w:tc>
        <w:tc>
          <w:tcPr>
            <w:tcW w:w="1360"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27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43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500" w:lineRule="exact"/>
              <w:ind w:left="0" w:right="0"/>
              <w:jc w:val="center"/>
              <w:rPr>
                <w:rStyle w:val="DefaultParagraphFont"/>
                <w:rFonts w:ascii="宋体" w:eastAsia="宋体" w:hAnsi="宋体" w:cs="宋体" w:hint="default"/>
                <w:color w:val="auto"/>
                <w:kern w:val="2"/>
                <w:sz w:val="24"/>
                <w:szCs w:val="24"/>
                <w:lang w:val="en-US" w:eastAsia="zh-CN" w:bidi="ar-SA"/>
              </w:rPr>
            </w:pPr>
          </w:p>
        </w:tc>
      </w:tr>
    </w:tbl>
    <w:p>
      <w:pPr>
        <w:spacing w:line="360" w:lineRule="auto"/>
        <w:ind w:firstLine="480" w:firstLineChars="200"/>
        <w:rPr>
          <w:rFonts w:ascii="宋体" w:eastAsia="宋体" w:hAnsi="宋体" w:cs="宋体"/>
          <w:bCs/>
          <w:color w:val="auto"/>
          <w:kern w:val="0"/>
          <w:sz w:val="24"/>
        </w:rPr>
      </w:pPr>
      <w:bookmarkStart w:id="67" w:name="_Toc293921827"/>
      <w:r>
        <w:rPr>
          <w:rFonts w:ascii="宋体" w:eastAsia="宋体" w:hAnsi="宋体" w:cs="宋体" w:hint="eastAsia"/>
          <w:bCs/>
          <w:color w:val="auto"/>
          <w:kern w:val="0"/>
          <w:sz w:val="24"/>
        </w:rPr>
        <w:t>7.3综合评分</w:t>
      </w:r>
    </w:p>
    <w:p>
      <w:pPr>
        <w:widowControl/>
        <w:spacing w:line="360" w:lineRule="auto"/>
        <w:ind w:firstLine="480" w:firstLineChars="200"/>
        <w:rPr>
          <w:rFonts w:ascii="宋体" w:eastAsia="宋体" w:hAnsi="宋体" w:cs="宋体"/>
          <w:color w:val="auto"/>
          <w:kern w:val="0"/>
          <w:sz w:val="24"/>
        </w:rPr>
      </w:pPr>
      <w:r>
        <w:rPr>
          <w:rFonts w:ascii="宋体" w:eastAsia="宋体" w:hAnsi="宋体" w:cs="宋体" w:hint="eastAsia"/>
          <w:color w:val="auto"/>
          <w:kern w:val="0"/>
          <w:sz w:val="24"/>
        </w:rPr>
        <w:t>评标委员会按以下公式计算出各供应商的总得分，推荐中标候选人按评标总得分由高到低顺序排列；评标总得分相同的，按投标报价由低到高顺序排列；评标总得分且投标报价相同的，按技术指标优劣顺序排列。</w:t>
      </w:r>
    </w:p>
    <w:p>
      <w:pPr>
        <w:widowControl/>
        <w:spacing w:line="360" w:lineRule="auto"/>
        <w:ind w:firstLine="480" w:firstLineChars="200"/>
        <w:rPr>
          <w:rFonts w:ascii="宋体" w:eastAsia="宋体" w:hAnsi="宋体" w:cs="宋体"/>
          <w:color w:val="auto"/>
          <w:kern w:val="0"/>
          <w:sz w:val="24"/>
        </w:rPr>
      </w:pPr>
      <w:r>
        <w:rPr>
          <w:rFonts w:ascii="宋体" w:eastAsia="宋体" w:hAnsi="宋体" w:cs="宋体" w:hint="eastAsia"/>
          <w:b/>
          <w:bCs/>
          <w:color w:val="auto"/>
          <w:kern w:val="0"/>
          <w:sz w:val="24"/>
        </w:rPr>
        <w:t>评标总得分=报价部分评分＋技术部分评审＋</w:t>
      </w:r>
      <w:r>
        <w:rPr>
          <w:rFonts w:ascii="宋体" w:eastAsia="宋体" w:hAnsi="宋体" w:cs="宋体" w:hint="eastAsia"/>
          <w:b/>
          <w:bCs/>
          <w:color w:val="auto"/>
          <w:sz w:val="24"/>
        </w:rPr>
        <w:t>商务部分评审</w:t>
      </w:r>
    </w:p>
    <w:p>
      <w:pPr>
        <w:pStyle w:val="BodyTextIndent2"/>
        <w:tabs>
          <w:tab w:val="left" w:pos="540"/>
        </w:tabs>
        <w:adjustRightInd w:val="0"/>
        <w:snapToGrid w:val="0"/>
        <w:spacing w:after="0" w:line="360" w:lineRule="auto"/>
        <w:ind w:left="0" w:firstLine="480" w:leftChars="0" w:firstLineChars="200"/>
        <w:rPr>
          <w:rFonts w:ascii="宋体" w:eastAsia="宋体" w:hAnsi="宋体" w:cs="宋体"/>
          <w:color w:val="auto"/>
        </w:rPr>
      </w:pPr>
      <w:r>
        <w:rPr>
          <w:rFonts w:ascii="宋体" w:eastAsia="宋体" w:hAnsi="宋体" w:cs="宋体" w:hint="eastAsia"/>
          <w:b/>
          <w:bCs/>
          <w:color w:val="auto"/>
          <w:sz w:val="24"/>
        </w:rPr>
        <w:t>8.综合评分法（满分100分）</w:t>
      </w:r>
    </w:p>
    <w:tbl>
      <w:tblPr>
        <w:tblStyle w:val="TableNormal"/>
        <w:tblW w:w="9265" w:type="dxa"/>
        <w:tblInd w:w="0" w:type="dxa"/>
        <w:tblLayout w:type="fixed"/>
        <w:tblCellMar>
          <w:top w:w="0" w:type="dxa"/>
          <w:left w:w="108" w:type="dxa"/>
          <w:bottom w:w="0" w:type="dxa"/>
          <w:right w:w="108" w:type="dxa"/>
        </w:tblCellMar>
        <w:tblLook w:val="04A0"/>
      </w:tblPr>
      <w:tblGrid>
        <w:gridCol w:w="954"/>
        <w:gridCol w:w="1140"/>
        <w:gridCol w:w="7171"/>
      </w:tblGrid>
      <w:tr>
        <w:tblPrEx>
          <w:tblW w:w="9265" w:type="dxa"/>
          <w:tblInd w:w="0" w:type="dxa"/>
          <w:tblLayout w:type="fixed"/>
          <w:tblCellMar>
            <w:top w:w="0" w:type="dxa"/>
            <w:left w:w="108" w:type="dxa"/>
            <w:bottom w:w="0" w:type="dxa"/>
            <w:right w:w="108" w:type="dxa"/>
          </w:tblCellMar>
          <w:tblLook w:val="04A0"/>
        </w:tblPrEx>
        <w:trPr>
          <w:trHeight w:val="323"/>
        </w:trPr>
        <w:tc>
          <w:tcPr>
            <w:tcW w:w="954" w:type="dxa"/>
            <w:tcBorders>
              <w:top w:val="single" w:sz="8" w:space="0" w:color="auto"/>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条款名称</w:t>
            </w:r>
          </w:p>
        </w:tc>
        <w:tc>
          <w:tcPr>
            <w:tcW w:w="1140" w:type="dxa"/>
            <w:tcBorders>
              <w:top w:val="single" w:sz="8" w:space="0" w:color="auto"/>
              <w:left w:val="nil"/>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评分项目</w:t>
            </w:r>
          </w:p>
        </w:tc>
        <w:tc>
          <w:tcPr>
            <w:tcW w:w="7171" w:type="dxa"/>
            <w:tcBorders>
              <w:top w:val="single" w:sz="8" w:space="0" w:color="auto"/>
              <w:left w:val="nil"/>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评分标准及分项分值</w:t>
            </w:r>
          </w:p>
        </w:tc>
      </w:tr>
      <w:tr>
        <w:tblPrEx>
          <w:tblW w:w="9265" w:type="dxa"/>
          <w:tblInd w:w="0" w:type="dxa"/>
          <w:tblLayout w:type="fixed"/>
          <w:tblCellMar>
            <w:top w:w="0" w:type="dxa"/>
            <w:left w:w="108" w:type="dxa"/>
            <w:bottom w:w="0" w:type="dxa"/>
            <w:right w:w="108" w:type="dxa"/>
          </w:tblCellMar>
          <w:tblLook w:val="04A0"/>
        </w:tblPrEx>
        <w:trPr>
          <w:trHeight w:val="570"/>
        </w:trPr>
        <w:tc>
          <w:tcPr>
            <w:tcW w:w="2094" w:type="dxa"/>
            <w:gridSpan w:val="2"/>
            <w:vMerge w:val="restart"/>
            <w:tcBorders>
              <w:top w:val="single" w:sz="8" w:space="0" w:color="auto"/>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报价部分评分</w:t>
              <w:br/>
              <w:t>（满分30分）</w:t>
            </w:r>
          </w:p>
        </w:tc>
        <w:tc>
          <w:tcPr>
            <w:tcW w:w="7171" w:type="dxa"/>
            <w:tcBorders>
              <w:top w:val="nil"/>
              <w:left w:val="nil"/>
              <w:bottom w:val="nil"/>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both"/>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综合评分法中价格分统一采用低价优先法计算，既满足磋商文件要求且最后报价最低的供应商的价格为磋商基准价，其价格分为满分。</w:t>
            </w:r>
          </w:p>
        </w:tc>
      </w:tr>
      <w:tr>
        <w:tblPrEx>
          <w:tblW w:w="9265" w:type="dxa"/>
          <w:tblInd w:w="0" w:type="dxa"/>
          <w:tblLayout w:type="fixed"/>
          <w:tblCellMar>
            <w:top w:w="0" w:type="dxa"/>
            <w:left w:w="108" w:type="dxa"/>
            <w:bottom w:w="0" w:type="dxa"/>
            <w:right w:w="108" w:type="dxa"/>
          </w:tblCellMar>
          <w:tblLook w:val="04A0"/>
        </w:tblPrEx>
        <w:trPr>
          <w:trHeight w:val="323"/>
        </w:trPr>
        <w:tc>
          <w:tcPr>
            <w:tcW w:w="2094" w:type="dxa"/>
            <w:gridSpan w:val="2"/>
            <w:vMerge/>
            <w:tcBorders>
              <w:top w:val="single" w:sz="8" w:space="0" w:color="auto"/>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color w:val="auto"/>
                <w:kern w:val="0"/>
                <w:sz w:val="24"/>
                <w:szCs w:val="24"/>
                <w:lang w:val="en-US" w:eastAsia="zh-CN" w:bidi="ar-SA"/>
              </w:rPr>
            </w:pPr>
          </w:p>
        </w:tc>
        <w:tc>
          <w:tcPr>
            <w:tcW w:w="7171" w:type="dxa"/>
            <w:tcBorders>
              <w:top w:val="nil"/>
              <w:left w:val="nil"/>
              <w:bottom w:val="nil"/>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both"/>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公式：</w:t>
            </w:r>
          </w:p>
        </w:tc>
      </w:tr>
      <w:tr>
        <w:tblPrEx>
          <w:tblW w:w="9265" w:type="dxa"/>
          <w:tblInd w:w="0" w:type="dxa"/>
          <w:tblLayout w:type="fixed"/>
          <w:tblCellMar>
            <w:top w:w="0" w:type="dxa"/>
            <w:left w:w="108" w:type="dxa"/>
            <w:bottom w:w="0" w:type="dxa"/>
            <w:right w:w="108" w:type="dxa"/>
          </w:tblCellMar>
          <w:tblLook w:val="04A0"/>
        </w:tblPrEx>
        <w:trPr>
          <w:trHeight w:val="323"/>
        </w:trPr>
        <w:tc>
          <w:tcPr>
            <w:tcW w:w="2094" w:type="dxa"/>
            <w:gridSpan w:val="2"/>
            <w:vMerge/>
            <w:tcBorders>
              <w:top w:val="single" w:sz="8" w:space="0" w:color="auto"/>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color w:val="auto"/>
                <w:kern w:val="0"/>
                <w:sz w:val="24"/>
                <w:szCs w:val="24"/>
                <w:lang w:val="en-US" w:eastAsia="zh-CN" w:bidi="ar-SA"/>
              </w:rPr>
            </w:pPr>
          </w:p>
        </w:tc>
        <w:tc>
          <w:tcPr>
            <w:tcW w:w="7171" w:type="dxa"/>
            <w:tcBorders>
              <w:top w:val="nil"/>
              <w:left w:val="nil"/>
              <w:bottom w:val="nil"/>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both"/>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磋商报价得分=（磋商基准价/最后磋商报价）</w:t>
            </w:r>
            <w:r>
              <w:rPr>
                <w:rFonts w:ascii="宋体" w:eastAsia="宋体" w:hAnsi="宋体" w:cs="宋体" w:hint="eastAsia"/>
                <w:b/>
                <w:bCs/>
                <w:color w:val="auto"/>
                <w:kern w:val="0"/>
                <w:sz w:val="24"/>
                <w:szCs w:val="24"/>
                <w:lang w:val="en-US" w:eastAsia="zh-CN" w:bidi="ar-SA"/>
              </w:rPr>
              <w:t>×</w:t>
            </w:r>
            <w:r>
              <w:rPr>
                <w:rFonts w:ascii="宋体" w:eastAsia="宋体" w:hAnsi="宋体" w:cs="宋体" w:hint="eastAsia"/>
                <w:b/>
                <w:bCs/>
                <w:color w:val="auto"/>
                <w:kern w:val="0"/>
                <w:sz w:val="24"/>
                <w:szCs w:val="24"/>
                <w:lang w:val="en-US" w:eastAsia="zh-CN" w:bidi="ar-SA"/>
              </w:rPr>
              <w:t>30</w:t>
            </w:r>
            <w:r>
              <w:rPr>
                <w:rFonts w:ascii="宋体" w:eastAsia="宋体" w:hAnsi="宋体" w:cs="宋体" w:hint="eastAsia"/>
                <w:color w:val="auto"/>
                <w:kern w:val="0"/>
                <w:sz w:val="24"/>
                <w:szCs w:val="24"/>
                <w:lang w:val="en-US" w:eastAsia="zh-CN" w:bidi="ar-SA"/>
              </w:rPr>
              <w:t>（计算到小数点后二位）</w:t>
            </w:r>
          </w:p>
        </w:tc>
      </w:tr>
      <w:tr>
        <w:tblPrEx>
          <w:tblW w:w="9265" w:type="dxa"/>
          <w:tblInd w:w="0" w:type="dxa"/>
          <w:tblLayout w:type="fixed"/>
          <w:tblCellMar>
            <w:top w:w="0" w:type="dxa"/>
            <w:left w:w="108" w:type="dxa"/>
            <w:bottom w:w="0" w:type="dxa"/>
            <w:right w:w="108" w:type="dxa"/>
          </w:tblCellMar>
          <w:tblLook w:val="04A0"/>
        </w:tblPrEx>
        <w:trPr>
          <w:trHeight w:val="818"/>
        </w:trPr>
        <w:tc>
          <w:tcPr>
            <w:tcW w:w="2094" w:type="dxa"/>
            <w:gridSpan w:val="2"/>
            <w:vMerge/>
            <w:tcBorders>
              <w:top w:val="single" w:sz="8" w:space="0" w:color="auto"/>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color w:val="auto"/>
                <w:kern w:val="0"/>
                <w:sz w:val="24"/>
                <w:szCs w:val="24"/>
                <w:lang w:val="en-US" w:eastAsia="zh-CN" w:bidi="ar-SA"/>
              </w:rPr>
            </w:pPr>
          </w:p>
        </w:tc>
        <w:tc>
          <w:tcPr>
            <w:tcW w:w="7171" w:type="dxa"/>
            <w:tcBorders>
              <w:top w:val="nil"/>
              <w:left w:val="nil"/>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both"/>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注：《关于印发〈政府采购促进中小企业发展管理办法〉的通知》（财库〔2020〕46号）、《财政部司法部关于政府采购支持监狱企业发展有关问题的通知》（财库〔2014〕68号）、《财政部民政部中国残疾人联合会关于促进残疾人就业政府采购政策的通知》（财库〔2017〕141号），本次磋商将对符合要求的小微企业、监狱投标单位和残疾人福利性单位的磋商报价进行10%的扣除，用扣除后的价格参加评审。</w:t>
            </w:r>
          </w:p>
        </w:tc>
      </w:tr>
      <w:tr>
        <w:tblPrEx>
          <w:tblW w:w="9265" w:type="dxa"/>
          <w:tblInd w:w="0" w:type="dxa"/>
          <w:tblLayout w:type="fixed"/>
          <w:tblCellMar>
            <w:top w:w="0" w:type="dxa"/>
            <w:left w:w="108" w:type="dxa"/>
            <w:bottom w:w="0" w:type="dxa"/>
            <w:right w:w="108" w:type="dxa"/>
          </w:tblCellMar>
          <w:tblLook w:val="04A0"/>
        </w:tblPrEx>
        <w:trPr>
          <w:trHeight w:val="323"/>
        </w:trPr>
        <w:tc>
          <w:tcPr>
            <w:tcW w:w="954" w:type="dxa"/>
            <w:tcBorders>
              <w:top w:val="nil"/>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条款名称</w:t>
            </w:r>
          </w:p>
        </w:tc>
        <w:tc>
          <w:tcPr>
            <w:tcW w:w="1140" w:type="dxa"/>
            <w:tcBorders>
              <w:top w:val="nil"/>
              <w:left w:val="nil"/>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评分项目</w:t>
            </w:r>
          </w:p>
        </w:tc>
        <w:tc>
          <w:tcPr>
            <w:tcW w:w="7171" w:type="dxa"/>
            <w:tcBorders>
              <w:top w:val="nil"/>
              <w:left w:val="nil"/>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评分标准及分项分值</w:t>
            </w:r>
          </w:p>
        </w:tc>
      </w:tr>
      <w:tr>
        <w:tblPrEx>
          <w:tblW w:w="9265" w:type="dxa"/>
          <w:tblInd w:w="0" w:type="dxa"/>
          <w:tblLayout w:type="fixed"/>
          <w:tblCellMar>
            <w:top w:w="0" w:type="dxa"/>
            <w:left w:w="108" w:type="dxa"/>
            <w:bottom w:w="0" w:type="dxa"/>
            <w:right w:w="108" w:type="dxa"/>
          </w:tblCellMar>
          <w:tblLook w:val="04A0"/>
        </w:tblPrEx>
        <w:trPr>
          <w:trHeight w:val="323"/>
        </w:trPr>
        <w:tc>
          <w:tcPr>
            <w:tcW w:w="954" w:type="dxa"/>
            <w:vMerge w:val="restart"/>
            <w:tcBorders>
              <w:top w:val="nil"/>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技术部分评审（满分</w:t>
            </w:r>
            <w:r>
              <w:rPr>
                <w:rFonts w:ascii="宋体" w:eastAsia="宋体" w:hAnsi="宋体" w:cs="宋体" w:hint="eastAsia"/>
                <w:color w:val="auto"/>
                <w:kern w:val="0"/>
                <w:sz w:val="24"/>
                <w:szCs w:val="24"/>
                <w:highlight w:val="none"/>
                <w:lang w:val="en-US" w:eastAsia="zh-CN" w:bidi="ar-SA"/>
              </w:rPr>
              <w:t>60分）</w:t>
            </w:r>
          </w:p>
        </w:tc>
        <w:tc>
          <w:tcPr>
            <w:tcW w:w="1140" w:type="dxa"/>
            <w:vMerge w:val="restart"/>
            <w:tcBorders>
              <w:top w:val="nil"/>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leftChars="0" w:rightChars="0"/>
              <w:jc w:val="left"/>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技术参数满足情况（30分）</w:t>
            </w:r>
          </w:p>
        </w:tc>
        <w:tc>
          <w:tcPr>
            <w:tcW w:w="7171" w:type="dxa"/>
            <w:tcBorders>
              <w:top w:val="single" w:sz="8" w:space="0" w:color="auto"/>
              <w:left w:val="nil"/>
              <w:bottom w:val="nil"/>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both"/>
              <w:rPr>
                <w:rStyle w:val="DefaultParagraphFont"/>
                <w:rFonts w:ascii="宋体" w:eastAsia="宋体" w:hAnsi="宋体" w:cs="宋体" w:hint="eastAsia"/>
                <w:color w:val="auto"/>
                <w:kern w:val="0"/>
                <w:sz w:val="24"/>
                <w:szCs w:val="24"/>
                <w:lang w:val="en-US" w:eastAsia="zh-CN" w:bidi="ar-SA"/>
              </w:rPr>
            </w:pPr>
          </w:p>
          <w:p>
            <w:pPr>
              <w:keepNext w:val="0"/>
              <w:keepLines w:val="0"/>
              <w:widowControl/>
              <w:suppressLineNumbers w:val="0"/>
              <w:spacing w:before="0" w:beforeAutospacing="0" w:after="0" w:afterAutospacing="0"/>
              <w:ind w:left="0" w:right="0"/>
              <w:jc w:val="both"/>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default"/>
                <w:color w:val="auto"/>
                <w:kern w:val="0"/>
                <w:sz w:val="24"/>
                <w:szCs w:val="24"/>
                <w:lang w:val="en-US" w:eastAsia="zh-CN" w:bidi="ar-SA"/>
              </w:rPr>
              <w:t>满足采购文件所有参数要求的得30分； 技术参数中普通项有一项不满足扣1分,扣完为止。</w:t>
            </w:r>
            <w:r>
              <w:rPr>
                <w:rFonts w:ascii="宋体" w:eastAsia="宋体" w:hAnsi="宋体" w:cs="宋体" w:hint="default"/>
                <w:color w:val="auto"/>
                <w:kern w:val="0"/>
                <w:sz w:val="24"/>
                <w:szCs w:val="24"/>
                <w:lang w:val="en-US" w:eastAsia="zh-CN" w:bidi="ar-SA"/>
              </w:rPr>
              <w:t>★</w:t>
            </w:r>
            <w:r>
              <w:rPr>
                <w:rFonts w:ascii="宋体" w:eastAsia="宋体" w:hAnsi="宋体" w:cs="宋体" w:hint="default"/>
                <w:color w:val="auto"/>
                <w:kern w:val="0"/>
                <w:sz w:val="24"/>
                <w:szCs w:val="24"/>
                <w:lang w:val="en-US" w:eastAsia="zh-CN" w:bidi="ar-SA"/>
              </w:rPr>
              <w:t>号项为重要参数</w:t>
            </w:r>
            <w:r>
              <w:rPr>
                <w:rFonts w:ascii="宋体" w:eastAsia="宋体" w:hAnsi="宋体" w:cs="宋体" w:hint="eastAsia"/>
                <w:color w:val="auto"/>
                <w:kern w:val="0"/>
                <w:sz w:val="24"/>
                <w:szCs w:val="24"/>
                <w:lang w:val="en-US" w:eastAsia="zh-CN" w:bidi="ar-SA"/>
              </w:rPr>
              <w:t>，</w:t>
            </w:r>
            <w:r>
              <w:rPr>
                <w:rFonts w:ascii="宋体" w:eastAsia="宋体" w:hAnsi="宋体" w:cs="宋体" w:hint="default"/>
                <w:color w:val="auto"/>
                <w:kern w:val="0"/>
                <w:sz w:val="24"/>
                <w:szCs w:val="24"/>
                <w:lang w:val="en-US" w:eastAsia="zh-CN" w:bidi="ar-SA"/>
              </w:rPr>
              <w:t>不满足</w:t>
            </w:r>
            <w:r>
              <w:rPr>
                <w:rFonts w:ascii="宋体" w:eastAsia="宋体" w:hAnsi="宋体" w:cs="宋体" w:hint="eastAsia"/>
                <w:color w:val="auto"/>
                <w:kern w:val="0"/>
                <w:sz w:val="24"/>
                <w:szCs w:val="24"/>
                <w:lang w:val="en-US" w:eastAsia="zh-CN" w:bidi="ar-SA"/>
              </w:rPr>
              <w:t>一项</w:t>
            </w:r>
            <w:r>
              <w:rPr>
                <w:rFonts w:ascii="宋体" w:eastAsia="宋体" w:hAnsi="宋体" w:cs="宋体" w:hint="default"/>
                <w:color w:val="auto"/>
                <w:kern w:val="0"/>
                <w:sz w:val="24"/>
                <w:szCs w:val="24"/>
                <w:lang w:val="en-US" w:eastAsia="zh-CN" w:bidi="ar-SA"/>
              </w:rPr>
              <w:t>扣</w:t>
            </w:r>
            <w:r>
              <w:rPr>
                <w:rFonts w:ascii="宋体" w:eastAsia="宋体" w:hAnsi="宋体" w:cs="宋体" w:hint="eastAsia"/>
                <w:color w:val="auto"/>
                <w:kern w:val="0"/>
                <w:sz w:val="24"/>
                <w:szCs w:val="24"/>
                <w:lang w:val="en-US" w:eastAsia="zh-CN" w:bidi="ar-SA"/>
              </w:rPr>
              <w:t>5</w:t>
            </w:r>
            <w:r>
              <w:rPr>
                <w:rFonts w:ascii="宋体" w:eastAsia="宋体" w:hAnsi="宋体" w:cs="宋体" w:hint="default"/>
                <w:color w:val="auto"/>
                <w:kern w:val="0"/>
                <w:sz w:val="24"/>
                <w:szCs w:val="24"/>
                <w:lang w:val="en-US" w:eastAsia="zh-CN" w:bidi="ar-SA"/>
              </w:rPr>
              <w:t>分,扣完为止</w:t>
            </w:r>
          </w:p>
        </w:tc>
      </w:tr>
      <w:tr>
        <w:tblPrEx>
          <w:tblW w:w="9265" w:type="dxa"/>
          <w:tblInd w:w="0" w:type="dxa"/>
          <w:tblLayout w:type="fixed"/>
          <w:tblCellMar>
            <w:top w:w="0" w:type="dxa"/>
            <w:left w:w="108" w:type="dxa"/>
            <w:bottom w:w="0" w:type="dxa"/>
            <w:right w:w="108" w:type="dxa"/>
          </w:tblCellMar>
          <w:tblLook w:val="04A0"/>
        </w:tblPrEx>
        <w:trPr>
          <w:trHeight w:val="323"/>
        </w:trPr>
        <w:tc>
          <w:tcPr>
            <w:tcW w:w="954" w:type="dxa"/>
            <w:vMerge/>
            <w:tcBorders>
              <w:top w:val="nil"/>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color w:val="auto"/>
                <w:kern w:val="0"/>
                <w:sz w:val="24"/>
                <w:szCs w:val="24"/>
                <w:lang w:val="en-US" w:eastAsia="zh-CN" w:bidi="ar-SA"/>
              </w:rPr>
            </w:pPr>
          </w:p>
        </w:tc>
        <w:tc>
          <w:tcPr>
            <w:tcW w:w="1140" w:type="dxa"/>
            <w:vMerge/>
            <w:tcBorders>
              <w:top w:val="nil"/>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leftChars="0" w:rightChars="0"/>
              <w:jc w:val="left"/>
              <w:rPr>
                <w:rStyle w:val="DefaultParagraphFont"/>
                <w:rFonts w:ascii="宋体" w:eastAsia="宋体" w:hAnsi="宋体" w:cs="宋体" w:hint="default"/>
                <w:color w:val="auto"/>
                <w:kern w:val="0"/>
                <w:sz w:val="24"/>
                <w:szCs w:val="24"/>
                <w:lang w:val="en-US" w:eastAsia="zh-CN" w:bidi="ar-SA"/>
              </w:rPr>
            </w:pPr>
          </w:p>
        </w:tc>
        <w:tc>
          <w:tcPr>
            <w:tcW w:w="7171" w:type="dxa"/>
            <w:tcBorders>
              <w:top w:val="nil"/>
              <w:left w:val="nil"/>
              <w:bottom w:val="nil"/>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both"/>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default"/>
                <w:color w:val="auto"/>
                <w:kern w:val="0"/>
                <w:sz w:val="24"/>
                <w:szCs w:val="24"/>
                <w:lang w:val="en-US" w:eastAsia="zh-CN" w:bidi="ar-SA"/>
              </w:rPr>
              <w:t>注</w:t>
            </w:r>
            <w:r>
              <w:rPr>
                <w:rFonts w:ascii="宋体" w:eastAsia="宋体" w:hAnsi="宋体" w:cs="宋体" w:hint="eastAsia"/>
                <w:color w:val="auto"/>
                <w:kern w:val="0"/>
                <w:sz w:val="24"/>
                <w:szCs w:val="24"/>
                <w:lang w:val="en-US" w:eastAsia="zh-CN" w:bidi="ar-SA"/>
              </w:rPr>
              <w:t>：（</w:t>
            </w:r>
            <w:r>
              <w:rPr>
                <w:rFonts w:ascii="宋体" w:eastAsia="宋体" w:hAnsi="宋体" w:cs="宋体" w:hint="default"/>
                <w:color w:val="auto"/>
                <w:kern w:val="0"/>
                <w:sz w:val="24"/>
                <w:szCs w:val="24"/>
                <w:lang w:val="en-US" w:eastAsia="zh-CN" w:bidi="ar-SA"/>
              </w:rPr>
              <w:t>要求</w:t>
            </w:r>
            <w:r>
              <w:rPr>
                <w:rFonts w:ascii="宋体" w:eastAsia="宋体" w:hAnsi="宋体" w:cs="宋体" w:hint="default"/>
                <w:color w:val="auto"/>
                <w:kern w:val="0"/>
                <w:sz w:val="24"/>
                <w:szCs w:val="24"/>
                <w:lang w:val="en-US" w:eastAsia="zh-CN" w:bidi="ar-SA"/>
              </w:rPr>
              <w:t>“</w:t>
            </w:r>
            <w:r>
              <w:rPr>
                <w:rFonts w:ascii="宋体" w:eastAsia="宋体" w:hAnsi="宋体" w:cs="宋体" w:hint="default"/>
                <w:color w:val="auto"/>
                <w:kern w:val="0"/>
                <w:sz w:val="24"/>
                <w:szCs w:val="24"/>
                <w:lang w:val="en-US" w:eastAsia="zh-CN" w:bidi="ar-SA"/>
              </w:rPr>
              <w:t>磋商时提供检验报告</w:t>
            </w:r>
            <w:r>
              <w:rPr>
                <w:rFonts w:ascii="宋体" w:eastAsia="宋体" w:hAnsi="宋体" w:cs="宋体" w:hint="eastAsia"/>
                <w:color w:val="auto"/>
                <w:kern w:val="0"/>
                <w:sz w:val="24"/>
                <w:szCs w:val="24"/>
                <w:lang w:val="en-US" w:eastAsia="zh-CN" w:bidi="ar-SA"/>
              </w:rPr>
              <w:t>”</w:t>
            </w:r>
            <w:r>
              <w:rPr>
                <w:rFonts w:ascii="宋体" w:eastAsia="宋体" w:hAnsi="宋体" w:cs="宋体" w:hint="default"/>
                <w:color w:val="auto"/>
                <w:kern w:val="0"/>
                <w:sz w:val="24"/>
                <w:szCs w:val="24"/>
                <w:lang w:val="en-US" w:eastAsia="zh-CN" w:bidi="ar-SA"/>
              </w:rPr>
              <w:t xml:space="preserve">的， 磋商小组将以检验报告中的数据作为评审依据；未要求提交检验报告的， 供应商可提供产品彩页、说明书、合格证、原厂公开发表的证明文件复印件或者厂家出具的技术参数说明函等任一。供应商须在上述证明材料的相应指标作出标记（例如用红色方框标记） 未做标记可能导致的漏评风险由供应商承担。 </w:t>
            </w:r>
          </w:p>
        </w:tc>
      </w:tr>
      <w:tr>
        <w:tblPrEx>
          <w:tblW w:w="9265" w:type="dxa"/>
          <w:tblInd w:w="0" w:type="dxa"/>
          <w:tblLayout w:type="fixed"/>
          <w:tblCellMar>
            <w:top w:w="0" w:type="dxa"/>
            <w:left w:w="108" w:type="dxa"/>
            <w:bottom w:w="0" w:type="dxa"/>
            <w:right w:w="108" w:type="dxa"/>
          </w:tblCellMar>
          <w:tblLook w:val="04A0"/>
        </w:tblPrEx>
        <w:trPr>
          <w:trHeight w:val="323"/>
        </w:trPr>
        <w:tc>
          <w:tcPr>
            <w:tcW w:w="954" w:type="dxa"/>
            <w:vMerge/>
            <w:tcBorders>
              <w:top w:val="nil"/>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color w:val="auto"/>
                <w:kern w:val="0"/>
                <w:sz w:val="24"/>
                <w:szCs w:val="24"/>
                <w:lang w:val="en-US" w:eastAsia="zh-CN" w:bidi="ar-SA"/>
              </w:rPr>
            </w:pPr>
          </w:p>
        </w:tc>
        <w:tc>
          <w:tcPr>
            <w:tcW w:w="1140" w:type="dxa"/>
            <w:vMerge/>
            <w:tcBorders>
              <w:top w:val="nil"/>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color w:val="auto"/>
                <w:kern w:val="0"/>
                <w:sz w:val="24"/>
                <w:szCs w:val="24"/>
                <w:lang w:val="en-US" w:eastAsia="zh-CN" w:bidi="ar-SA"/>
              </w:rPr>
            </w:pPr>
          </w:p>
        </w:tc>
        <w:tc>
          <w:tcPr>
            <w:tcW w:w="7171" w:type="dxa"/>
            <w:tcBorders>
              <w:top w:val="nil"/>
              <w:left w:val="nil"/>
              <w:bottom w:val="single" w:sz="4"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both"/>
              <w:rPr>
                <w:rStyle w:val="DefaultParagraphFont"/>
                <w:rFonts w:ascii="宋体" w:eastAsia="宋体" w:hAnsi="宋体" w:cs="宋体" w:hint="default"/>
                <w:color w:val="auto"/>
                <w:kern w:val="0"/>
                <w:sz w:val="24"/>
                <w:szCs w:val="24"/>
                <w:lang w:val="en-US" w:eastAsia="zh-CN" w:bidi="ar-SA"/>
              </w:rPr>
            </w:pPr>
          </w:p>
        </w:tc>
      </w:tr>
      <w:tr>
        <w:tblPrEx>
          <w:tblW w:w="9265" w:type="dxa"/>
          <w:tblInd w:w="0" w:type="dxa"/>
          <w:tblLayout w:type="fixed"/>
          <w:tblCellMar>
            <w:top w:w="0" w:type="dxa"/>
            <w:left w:w="108" w:type="dxa"/>
            <w:bottom w:w="0" w:type="dxa"/>
            <w:right w:w="108" w:type="dxa"/>
          </w:tblCellMar>
          <w:tblLook w:val="04A0"/>
        </w:tblPrEx>
        <w:trPr>
          <w:trHeight w:val="5601"/>
        </w:trPr>
        <w:tc>
          <w:tcPr>
            <w:tcW w:w="954" w:type="dxa"/>
            <w:vMerge/>
            <w:tcBorders>
              <w:top w:val="nil"/>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color w:val="auto"/>
                <w:kern w:val="0"/>
                <w:sz w:val="24"/>
                <w:szCs w:val="24"/>
                <w:lang w:val="en-US" w:eastAsia="zh-CN" w:bidi="ar-SA"/>
              </w:rPr>
            </w:pPr>
          </w:p>
        </w:tc>
        <w:tc>
          <w:tcPr>
            <w:tcW w:w="1140" w:type="dxa"/>
            <w:vMerge w:val="restart"/>
            <w:tcBorders>
              <w:top w:val="nil"/>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产品样品（20分）</w:t>
            </w:r>
          </w:p>
        </w:tc>
        <w:tc>
          <w:tcPr>
            <w:tcW w:w="7171" w:type="dxa"/>
            <w:tcBorders>
              <w:top w:val="nil"/>
              <w:left w:val="nil"/>
              <w:bottom w:val="nil"/>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both"/>
              <w:rPr>
                <w:rStyle w:val="DefaultParagraphFont"/>
                <w:rFonts w:ascii="宋体" w:eastAsia="宋体" w:hAnsi="宋体" w:cs="宋体" w:hint="eastAsia"/>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根据样品的质量、先进性、性能、安全性、构造、外观、触感、材质等进行对比评分：</w:t>
            </w:r>
          </w:p>
          <w:p>
            <w:pPr>
              <w:keepNext w:val="0"/>
              <w:keepLines w:val="0"/>
              <w:widowControl/>
              <w:numPr>
                <w:ilvl w:val="0"/>
                <w:numId w:val="4"/>
              </w:numPr>
              <w:suppressLineNumbers w:val="0"/>
              <w:spacing w:before="0" w:beforeAutospacing="0" w:after="0" w:afterAutospacing="0"/>
              <w:ind w:left="0" w:right="0"/>
              <w:jc w:val="both"/>
              <w:rPr>
                <w:rStyle w:val="DefaultParagraphFont"/>
                <w:rFonts w:ascii="宋体" w:eastAsia="宋体" w:hAnsi="宋体" w:cs="宋体" w:hint="eastAsia"/>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全身安全吊带(带胸式上升器)，优的得2分，较好的得1分，一般的得0.5分；</w:t>
            </w:r>
          </w:p>
          <w:p>
            <w:pPr>
              <w:keepNext w:val="0"/>
              <w:keepLines w:val="0"/>
              <w:widowControl/>
              <w:numPr>
                <w:ilvl w:val="0"/>
                <w:numId w:val="4"/>
              </w:numPr>
              <w:suppressLineNumbers w:val="0"/>
              <w:spacing w:before="0" w:beforeAutospacing="0" w:after="0" w:afterAutospacing="0"/>
              <w:ind w:left="0" w:right="0"/>
              <w:jc w:val="both"/>
              <w:rPr>
                <w:rStyle w:val="DefaultParagraphFont"/>
                <w:rFonts w:ascii="宋体" w:eastAsia="宋体" w:hAnsi="宋体" w:cs="宋体" w:hint="eastAsia"/>
                <w:snapToGrid w:val="0"/>
                <w:color w:val="000000"/>
                <w:kern w:val="0"/>
                <w:sz w:val="24"/>
                <w:szCs w:val="24"/>
                <w:lang w:val="en-US" w:eastAsia="zh-CN" w:bidi="ar-SA"/>
              </w:rPr>
            </w:pPr>
            <w:r>
              <w:rPr>
                <w:rFonts w:ascii="宋体" w:eastAsia="宋体" w:hAnsi="宋体" w:cs="宋体" w:hint="default"/>
                <w:snapToGrid w:val="0"/>
                <w:color w:val="000000"/>
                <w:kern w:val="0"/>
                <w:sz w:val="24"/>
                <w:szCs w:val="24"/>
                <w:lang w:val="en-US" w:eastAsia="zh-CN" w:bidi="ar-SA"/>
              </w:rPr>
              <w:t>自动止停下降器</w:t>
            </w:r>
            <w:r>
              <w:rPr>
                <w:rFonts w:ascii="宋体" w:eastAsia="宋体" w:hAnsi="宋体" w:cs="宋体" w:hint="eastAsia"/>
                <w:snapToGrid w:val="0"/>
                <w:color w:val="000000"/>
                <w:kern w:val="0"/>
                <w:sz w:val="24"/>
                <w:szCs w:val="24"/>
                <w:lang w:val="en-US" w:eastAsia="zh-CN" w:bidi="ar-SA"/>
              </w:rPr>
              <w:t>，优的得2分，较好的得1分，一般的得0.5分；</w:t>
            </w:r>
          </w:p>
          <w:p>
            <w:pPr>
              <w:keepNext w:val="0"/>
              <w:keepLines w:val="0"/>
              <w:widowControl/>
              <w:numPr>
                <w:ilvl w:val="0"/>
                <w:numId w:val="4"/>
              </w:numPr>
              <w:suppressLineNumbers w:val="0"/>
              <w:spacing w:before="0" w:beforeAutospacing="0" w:after="0" w:afterAutospacing="0"/>
              <w:ind w:left="0" w:right="0"/>
              <w:jc w:val="both"/>
              <w:rPr>
                <w:rStyle w:val="DefaultParagraphFont"/>
                <w:rFonts w:ascii="宋体" w:eastAsia="宋体" w:hAnsi="宋体" w:cs="宋体" w:hint="eastAsia"/>
                <w:snapToGrid w:val="0"/>
                <w:color w:val="000000"/>
                <w:kern w:val="0"/>
                <w:sz w:val="24"/>
                <w:szCs w:val="24"/>
                <w:lang w:val="en-US" w:eastAsia="zh-CN" w:bidi="ar-SA"/>
              </w:rPr>
            </w:pPr>
            <w:r>
              <w:rPr>
                <w:rFonts w:ascii="宋体" w:eastAsia="宋体" w:hAnsi="宋体" w:cs="宋体" w:hint="default"/>
                <w:snapToGrid w:val="0"/>
                <w:color w:val="000000"/>
                <w:kern w:val="0"/>
                <w:sz w:val="24"/>
                <w:szCs w:val="24"/>
                <w:lang w:val="en-US" w:eastAsia="zh-CN" w:bidi="ar-SA"/>
              </w:rPr>
              <w:t>止坠器</w:t>
            </w:r>
            <w:r>
              <w:rPr>
                <w:rFonts w:ascii="宋体" w:eastAsia="宋体" w:hAnsi="宋体" w:cs="宋体" w:hint="eastAsia"/>
                <w:snapToGrid w:val="0"/>
                <w:color w:val="000000"/>
                <w:kern w:val="0"/>
                <w:sz w:val="24"/>
                <w:szCs w:val="24"/>
                <w:lang w:val="en-US" w:eastAsia="zh-CN" w:bidi="ar-SA"/>
              </w:rPr>
              <w:t>，优的得2分，较好的得1分，一般的得0.5分；</w:t>
            </w:r>
          </w:p>
          <w:p>
            <w:pPr>
              <w:keepNext w:val="0"/>
              <w:keepLines w:val="0"/>
              <w:widowControl/>
              <w:numPr>
                <w:ilvl w:val="0"/>
                <w:numId w:val="4"/>
              </w:numPr>
              <w:suppressLineNumbers w:val="0"/>
              <w:spacing w:before="0" w:beforeAutospacing="0" w:after="0" w:afterAutospacing="0"/>
              <w:ind w:left="0" w:right="0"/>
              <w:jc w:val="both"/>
              <w:rPr>
                <w:rStyle w:val="DefaultParagraphFont"/>
                <w:rFonts w:ascii="宋体" w:eastAsia="宋体" w:hAnsi="宋体" w:cs="宋体" w:hint="eastAsia"/>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止坠器专用势能吸收装置，优的得2分，较好的得1分，一般的得0.5分；</w:t>
            </w:r>
          </w:p>
          <w:p>
            <w:pPr>
              <w:keepNext w:val="0"/>
              <w:keepLines w:val="0"/>
              <w:widowControl/>
              <w:numPr>
                <w:ilvl w:val="0"/>
                <w:numId w:val="4"/>
              </w:numPr>
              <w:suppressLineNumbers w:val="0"/>
              <w:spacing w:before="0" w:beforeAutospacing="0" w:after="0" w:afterAutospacing="0"/>
              <w:ind w:left="0" w:right="0"/>
              <w:jc w:val="both"/>
              <w:rPr>
                <w:rStyle w:val="DefaultParagraphFont"/>
                <w:rFonts w:ascii="宋体" w:eastAsia="宋体" w:hAnsi="宋体" w:cs="宋体" w:hint="eastAsia"/>
                <w:snapToGrid w:val="0"/>
                <w:color w:val="000000"/>
                <w:kern w:val="0"/>
                <w:sz w:val="24"/>
                <w:szCs w:val="24"/>
                <w:lang w:val="en-US" w:eastAsia="zh-CN" w:bidi="ar-SA"/>
              </w:rPr>
            </w:pPr>
            <w:r>
              <w:rPr>
                <w:rFonts w:ascii="宋体" w:eastAsia="宋体" w:hAnsi="宋体" w:cs="宋体" w:hint="default"/>
                <w:snapToGrid w:val="0"/>
                <w:color w:val="000000"/>
                <w:kern w:val="0"/>
                <w:sz w:val="24"/>
                <w:szCs w:val="24"/>
                <w:lang w:val="en-US" w:eastAsia="zh-CN" w:bidi="ar-SA"/>
              </w:rPr>
              <w:t>安全钩</w:t>
            </w:r>
            <w:r>
              <w:rPr>
                <w:rFonts w:ascii="宋体" w:eastAsia="宋体" w:hAnsi="宋体" w:cs="宋体" w:hint="eastAsia"/>
                <w:snapToGrid w:val="0"/>
                <w:color w:val="000000"/>
                <w:kern w:val="0"/>
                <w:sz w:val="24"/>
                <w:szCs w:val="24"/>
                <w:lang w:val="en-US" w:eastAsia="zh-CN" w:bidi="ar-SA"/>
              </w:rPr>
              <w:t>，优的得2分，较好的得1分，一般的得0.5分；</w:t>
            </w:r>
          </w:p>
          <w:p>
            <w:pPr>
              <w:keepNext w:val="0"/>
              <w:keepLines w:val="0"/>
              <w:widowControl/>
              <w:numPr>
                <w:ilvl w:val="0"/>
                <w:numId w:val="4"/>
              </w:numPr>
              <w:suppressLineNumbers w:val="0"/>
              <w:spacing w:before="0" w:beforeAutospacing="0" w:after="0" w:afterAutospacing="0"/>
              <w:ind w:left="0" w:right="0"/>
              <w:jc w:val="both"/>
              <w:rPr>
                <w:rStyle w:val="DefaultParagraphFont"/>
                <w:rFonts w:ascii="宋体" w:eastAsia="宋体" w:hAnsi="宋体" w:cs="宋体" w:hint="eastAsia"/>
                <w:snapToGrid w:val="0"/>
                <w:color w:val="000000"/>
                <w:kern w:val="0"/>
                <w:sz w:val="24"/>
                <w:szCs w:val="24"/>
                <w:lang w:val="en-US" w:eastAsia="zh-CN" w:bidi="ar-SA"/>
              </w:rPr>
            </w:pPr>
            <w:r>
              <w:rPr>
                <w:rFonts w:ascii="宋体" w:eastAsia="宋体" w:hAnsi="宋体" w:cs="宋体" w:hint="default"/>
                <w:snapToGrid w:val="0"/>
                <w:color w:val="000000"/>
                <w:kern w:val="0"/>
                <w:sz w:val="24"/>
                <w:szCs w:val="24"/>
                <w:lang w:val="en-US" w:eastAsia="zh-CN" w:bidi="ar-SA"/>
              </w:rPr>
              <w:t>救援型下降器</w:t>
            </w:r>
            <w:r>
              <w:rPr>
                <w:rFonts w:ascii="宋体" w:eastAsia="宋体" w:hAnsi="宋体" w:cs="宋体" w:hint="eastAsia"/>
                <w:snapToGrid w:val="0"/>
                <w:color w:val="000000"/>
                <w:kern w:val="0"/>
                <w:sz w:val="24"/>
                <w:szCs w:val="24"/>
                <w:lang w:val="en-US" w:eastAsia="zh-CN" w:bidi="ar-SA"/>
              </w:rPr>
              <w:t>，优的得2分，较好的得1分，一般的得0.5分；</w:t>
            </w:r>
          </w:p>
          <w:p>
            <w:pPr>
              <w:keepNext w:val="0"/>
              <w:keepLines w:val="0"/>
              <w:widowControl/>
              <w:numPr>
                <w:ilvl w:val="0"/>
                <w:numId w:val="4"/>
              </w:numPr>
              <w:suppressLineNumbers w:val="0"/>
              <w:spacing w:before="0" w:beforeAutospacing="0" w:after="0" w:afterAutospacing="0"/>
              <w:ind w:left="0" w:right="0"/>
              <w:jc w:val="both"/>
              <w:rPr>
                <w:rStyle w:val="DefaultParagraphFont"/>
                <w:rFonts w:ascii="宋体" w:eastAsia="宋体" w:hAnsi="宋体" w:cs="宋体" w:hint="eastAsia"/>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200米静力绳，优的得2分，较好的得1分，一般的得0.5分；</w:t>
            </w:r>
          </w:p>
          <w:p>
            <w:pPr>
              <w:keepNext w:val="0"/>
              <w:keepLines w:val="0"/>
              <w:widowControl/>
              <w:numPr>
                <w:ilvl w:val="0"/>
                <w:numId w:val="4"/>
              </w:numPr>
              <w:suppressLineNumbers w:val="0"/>
              <w:spacing w:before="0" w:beforeAutospacing="0" w:after="0" w:afterAutospacing="0"/>
              <w:ind w:left="0" w:right="0"/>
              <w:jc w:val="both"/>
              <w:rPr>
                <w:rStyle w:val="DefaultParagraphFont"/>
                <w:rFonts w:ascii="宋体" w:eastAsia="宋体" w:hAnsi="宋体" w:cs="宋体" w:hint="eastAsia"/>
                <w:snapToGrid w:val="0"/>
                <w:color w:val="000000"/>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扁带（80cm），优的得2分，较好的得1分，一般的得0.5分；</w:t>
            </w:r>
          </w:p>
          <w:p>
            <w:pPr>
              <w:keepNext w:val="0"/>
              <w:keepLines w:val="0"/>
              <w:widowControl/>
              <w:numPr>
                <w:ilvl w:val="0"/>
                <w:numId w:val="4"/>
              </w:numPr>
              <w:suppressLineNumbers w:val="0"/>
              <w:spacing w:before="0" w:beforeAutospacing="0" w:after="0" w:afterAutospacing="0"/>
              <w:ind w:left="0" w:right="0"/>
              <w:jc w:val="both"/>
              <w:rPr>
                <w:rStyle w:val="DefaultParagraphFont"/>
                <w:rFonts w:ascii="宋体" w:eastAsia="宋体" w:hAnsi="宋体" w:cs="宋体" w:hint="eastAsia"/>
                <w:snapToGrid w:val="0"/>
                <w:color w:val="000000"/>
                <w:kern w:val="0"/>
                <w:sz w:val="24"/>
                <w:szCs w:val="24"/>
                <w:lang w:val="en-US" w:eastAsia="zh-CN" w:bidi="ar-SA"/>
              </w:rPr>
            </w:pPr>
            <w:r>
              <w:rPr>
                <w:rFonts w:ascii="宋体" w:eastAsia="宋体" w:hAnsi="宋体" w:cs="宋体" w:hint="default"/>
                <w:snapToGrid w:val="0"/>
                <w:color w:val="000000"/>
                <w:kern w:val="0"/>
                <w:sz w:val="24"/>
                <w:szCs w:val="24"/>
                <w:lang w:val="en-US" w:eastAsia="zh-CN" w:bidi="ar-SA"/>
              </w:rPr>
              <w:t>过结滑轮</w:t>
            </w:r>
            <w:r>
              <w:rPr>
                <w:rFonts w:ascii="宋体" w:eastAsia="宋体" w:hAnsi="宋体" w:cs="宋体" w:hint="eastAsia"/>
                <w:snapToGrid w:val="0"/>
                <w:color w:val="000000"/>
                <w:kern w:val="0"/>
                <w:sz w:val="24"/>
                <w:szCs w:val="24"/>
                <w:lang w:val="en-US" w:eastAsia="zh-CN" w:bidi="ar-SA"/>
              </w:rPr>
              <w:t>，优的得2分，较好的得1分，一般的得0.5分；</w:t>
            </w:r>
          </w:p>
          <w:p>
            <w:pPr>
              <w:keepNext w:val="0"/>
              <w:keepLines w:val="0"/>
              <w:widowControl/>
              <w:numPr>
                <w:ilvl w:val="0"/>
                <w:numId w:val="4"/>
              </w:numPr>
              <w:suppressLineNumbers w:val="0"/>
              <w:spacing w:before="0" w:beforeAutospacing="0" w:after="0" w:afterAutospacing="0"/>
              <w:ind w:left="0" w:right="0"/>
              <w:jc w:val="both"/>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snapToGrid w:val="0"/>
                <w:color w:val="000000"/>
                <w:kern w:val="0"/>
                <w:sz w:val="24"/>
                <w:szCs w:val="24"/>
                <w:lang w:val="en-US" w:eastAsia="zh-CN" w:bidi="ar-SA"/>
              </w:rPr>
              <w:t>挂片及膨胀螺栓，优的得2分，较好的得1分，一般的得0.5分。</w:t>
            </w:r>
          </w:p>
        </w:tc>
      </w:tr>
      <w:tr>
        <w:tblPrEx>
          <w:tblW w:w="9265" w:type="dxa"/>
          <w:tblInd w:w="0" w:type="dxa"/>
          <w:tblLayout w:type="fixed"/>
          <w:tblCellMar>
            <w:top w:w="0" w:type="dxa"/>
            <w:left w:w="108" w:type="dxa"/>
            <w:bottom w:w="0" w:type="dxa"/>
            <w:right w:w="108" w:type="dxa"/>
          </w:tblCellMar>
          <w:tblLook w:val="04A0"/>
        </w:tblPrEx>
        <w:trPr>
          <w:trHeight w:val="638"/>
        </w:trPr>
        <w:tc>
          <w:tcPr>
            <w:tcW w:w="954" w:type="dxa"/>
            <w:vMerge/>
            <w:tcBorders>
              <w:top w:val="nil"/>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color w:val="auto"/>
                <w:kern w:val="0"/>
                <w:sz w:val="24"/>
                <w:szCs w:val="24"/>
                <w:lang w:val="en-US" w:eastAsia="zh-CN" w:bidi="ar-SA"/>
              </w:rPr>
            </w:pPr>
          </w:p>
        </w:tc>
        <w:tc>
          <w:tcPr>
            <w:tcW w:w="1140" w:type="dxa"/>
            <w:vMerge/>
            <w:tcBorders>
              <w:top w:val="nil"/>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color w:val="auto"/>
                <w:kern w:val="0"/>
                <w:sz w:val="24"/>
                <w:szCs w:val="24"/>
                <w:lang w:val="en-US" w:eastAsia="zh-CN" w:bidi="ar-SA"/>
              </w:rPr>
            </w:pPr>
          </w:p>
        </w:tc>
        <w:tc>
          <w:tcPr>
            <w:tcW w:w="7171" w:type="dxa"/>
            <w:tcBorders>
              <w:top w:val="nil"/>
              <w:left w:val="nil"/>
              <w:bottom w:val="nil"/>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both"/>
              <w:rPr>
                <w:rStyle w:val="DefaultParagraphFont"/>
                <w:rFonts w:ascii="宋体" w:eastAsia="宋体" w:hAnsi="宋体" w:cs="宋体" w:hint="eastAsia"/>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不提供投标样品或提供样品不全或不符合的不得分</w:t>
            </w:r>
          </w:p>
        </w:tc>
      </w:tr>
      <w:tr>
        <w:tblPrEx>
          <w:tblW w:w="9265" w:type="dxa"/>
          <w:tblInd w:w="0" w:type="dxa"/>
          <w:tblLayout w:type="fixed"/>
          <w:tblCellMar>
            <w:top w:w="0" w:type="dxa"/>
            <w:left w:w="108" w:type="dxa"/>
            <w:bottom w:w="0" w:type="dxa"/>
            <w:right w:w="108" w:type="dxa"/>
          </w:tblCellMar>
          <w:tblLook w:val="04A0"/>
        </w:tblPrEx>
        <w:trPr>
          <w:trHeight w:val="323"/>
        </w:trPr>
        <w:tc>
          <w:tcPr>
            <w:tcW w:w="954" w:type="dxa"/>
            <w:vMerge/>
            <w:tcBorders>
              <w:top w:val="nil"/>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color w:val="auto"/>
                <w:kern w:val="0"/>
                <w:sz w:val="24"/>
                <w:szCs w:val="24"/>
                <w:lang w:val="en-US" w:eastAsia="zh-CN" w:bidi="ar-SA"/>
              </w:rPr>
            </w:pPr>
          </w:p>
        </w:tc>
        <w:tc>
          <w:tcPr>
            <w:tcW w:w="1140" w:type="dxa"/>
            <w:vMerge/>
            <w:tcBorders>
              <w:top w:val="nil"/>
              <w:left w:val="single" w:sz="8" w:space="0" w:color="auto"/>
              <w:bottom w:val="single" w:sz="4"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color w:val="auto"/>
                <w:kern w:val="0"/>
                <w:sz w:val="24"/>
                <w:szCs w:val="24"/>
                <w:lang w:val="en-US" w:eastAsia="zh-CN" w:bidi="ar-SA"/>
              </w:rPr>
            </w:pPr>
          </w:p>
        </w:tc>
        <w:tc>
          <w:tcPr>
            <w:tcW w:w="7171" w:type="dxa"/>
            <w:tcBorders>
              <w:top w:val="nil"/>
              <w:left w:val="nil"/>
              <w:bottom w:val="single" w:sz="4"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both"/>
              <w:rPr>
                <w:rStyle w:val="DefaultParagraphFont"/>
                <w:rFonts w:ascii="宋体" w:eastAsia="宋体" w:hAnsi="宋体" w:cs="宋体" w:hint="default"/>
                <w:color w:val="auto"/>
                <w:kern w:val="0"/>
                <w:sz w:val="24"/>
                <w:szCs w:val="24"/>
                <w:lang w:val="en-US" w:eastAsia="zh-CN" w:bidi="ar-SA"/>
              </w:rPr>
            </w:pPr>
          </w:p>
        </w:tc>
      </w:tr>
      <w:tr>
        <w:tblPrEx>
          <w:tblW w:w="9265" w:type="dxa"/>
          <w:tblInd w:w="0" w:type="dxa"/>
          <w:tblLayout w:type="fixed"/>
          <w:tblCellMar>
            <w:top w:w="0" w:type="dxa"/>
            <w:left w:w="108" w:type="dxa"/>
            <w:bottom w:w="0" w:type="dxa"/>
            <w:right w:w="108" w:type="dxa"/>
          </w:tblCellMar>
          <w:tblLook w:val="04A0"/>
        </w:tblPrEx>
        <w:trPr>
          <w:trHeight w:val="557"/>
        </w:trPr>
        <w:tc>
          <w:tcPr>
            <w:tcW w:w="954" w:type="dxa"/>
            <w:vMerge/>
            <w:tcBorders>
              <w:top w:val="nil"/>
              <w:left w:val="single" w:sz="8" w:space="0" w:color="auto"/>
              <w:bottom w:val="single" w:sz="8" w:space="0" w:color="auto"/>
              <w:right w:val="single" w:sz="4"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color w:val="auto"/>
                <w:kern w:val="0"/>
                <w:sz w:val="24"/>
                <w:szCs w:val="24"/>
                <w:lang w:val="en-US" w:eastAsia="zh-CN" w:bidi="ar-SA"/>
              </w:rPr>
            </w:pPr>
          </w:p>
        </w:tc>
        <w:tc>
          <w:tcPr>
            <w:tcW w:w="1140" w:type="dxa"/>
            <w:tcBorders>
              <w:top w:val="single" w:sz="4" w:space="0" w:color="auto"/>
              <w:left w:val="single" w:sz="4" w:space="0" w:color="auto"/>
              <w:bottom w:val="single" w:sz="4"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售后服务（10分）</w:t>
            </w:r>
          </w:p>
        </w:tc>
        <w:tc>
          <w:tcPr>
            <w:tcW w:w="7171" w:type="dxa"/>
            <w:tcBorders>
              <w:top w:val="single" w:sz="4" w:space="0" w:color="auto"/>
              <w:left w:val="nil"/>
              <w:bottom w:val="single" w:sz="4" w:space="0" w:color="auto"/>
              <w:right w:val="single" w:sz="4" w:space="0" w:color="auto"/>
            </w:tcBorders>
            <w:shd w:val="clear" w:color="auto" w:fill="auto"/>
            <w:vAlign w:val="center"/>
          </w:tcPr>
          <w:p>
            <w:pPr>
              <w:keepNext w:val="0"/>
              <w:keepLines w:val="0"/>
              <w:widowControl/>
              <w:suppressLineNumbers w:val="0"/>
              <w:spacing w:before="0" w:beforeAutospacing="0" w:after="0" w:afterAutospacing="0"/>
              <w:ind w:left="0" w:right="0"/>
              <w:jc w:val="both"/>
              <w:rPr>
                <w:rStyle w:val="DefaultParagraphFont"/>
                <w:rFonts w:ascii="宋体" w:eastAsia="宋体" w:hAnsi="宋体" w:cs="宋体" w:hint="eastAsia"/>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（1）售后服务保证措施科学、合理、可行性强，能够较好的满足招标人的需求，且有具体的违约责任承诺，设有备件库并配备专业维修人员，能及时提供维修服务的并提供证明材料的，得10分；</w:t>
            </w:r>
          </w:p>
          <w:p>
            <w:pPr>
              <w:keepNext w:val="0"/>
              <w:keepLines w:val="0"/>
              <w:widowControl/>
              <w:suppressLineNumbers w:val="0"/>
              <w:spacing w:before="0" w:beforeAutospacing="0" w:after="0" w:afterAutospacing="0"/>
              <w:ind w:left="0" w:right="0"/>
              <w:jc w:val="both"/>
              <w:rPr>
                <w:rStyle w:val="DefaultParagraphFont"/>
                <w:rFonts w:ascii="宋体" w:eastAsia="宋体" w:hAnsi="宋体" w:cs="宋体" w:hint="eastAsia"/>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（2）售后服务保证措施科学、合理、可行性一般，基本能够满足招标人的需求，且有具体的违约责任承诺的，有售后服务联系人员的，得6分；</w:t>
            </w:r>
          </w:p>
          <w:p>
            <w:pPr>
              <w:keepNext w:val="0"/>
              <w:keepLines w:val="0"/>
              <w:widowControl/>
              <w:suppressLineNumbers w:val="0"/>
              <w:spacing w:before="0" w:beforeAutospacing="0" w:after="0" w:afterAutospacing="0"/>
              <w:ind w:left="0" w:right="0"/>
              <w:jc w:val="both"/>
              <w:rPr>
                <w:rStyle w:val="DefaultParagraphFont"/>
                <w:rFonts w:ascii="宋体" w:eastAsia="宋体" w:hAnsi="宋体" w:cs="宋体" w:hint="eastAsia"/>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（3）售后服务保证措施基本合理、可行性较差，不能满足招标人的需求，有简单的违约责任承诺的，得2分。</w:t>
            </w:r>
          </w:p>
          <w:p>
            <w:pPr>
              <w:keepNext w:val="0"/>
              <w:keepLines w:val="0"/>
              <w:widowControl/>
              <w:suppressLineNumbers w:val="0"/>
              <w:spacing w:before="0" w:beforeAutospacing="0" w:after="0" w:afterAutospacing="0"/>
              <w:ind w:left="0" w:right="0"/>
              <w:jc w:val="both"/>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注：无售后服务保证措施或无具体的违约责任承诺的，得0分。</w:t>
            </w:r>
          </w:p>
          <w:p>
            <w:pPr>
              <w:keepNext w:val="0"/>
              <w:keepLines w:val="0"/>
              <w:widowControl/>
              <w:suppressLineNumbers w:val="0"/>
              <w:spacing w:before="0" w:beforeAutospacing="0" w:after="0" w:afterAutospacing="0"/>
              <w:ind w:left="0" w:right="0"/>
              <w:jc w:val="both"/>
              <w:rPr>
                <w:rStyle w:val="DefaultParagraphFont"/>
                <w:rFonts w:ascii="Times New Roman" w:eastAsia="宋体" w:hAnsi="Times New Roman" w:cs="Times New Roman" w:hint="default"/>
                <w:color w:val="auto"/>
                <w:kern w:val="2"/>
                <w:sz w:val="21"/>
                <w:szCs w:val="24"/>
                <w:lang w:val="en-US" w:eastAsia="zh-CN" w:bidi="ar-SA"/>
              </w:rPr>
            </w:pPr>
          </w:p>
        </w:tc>
      </w:tr>
      <w:tr>
        <w:tblPrEx>
          <w:tblW w:w="9265" w:type="dxa"/>
          <w:tblInd w:w="0" w:type="dxa"/>
          <w:tblLayout w:type="fixed"/>
          <w:tblCellMar>
            <w:top w:w="0" w:type="dxa"/>
            <w:left w:w="108" w:type="dxa"/>
            <w:bottom w:w="0" w:type="dxa"/>
            <w:right w:w="108" w:type="dxa"/>
          </w:tblCellMar>
          <w:tblLook w:val="04A0"/>
        </w:tblPrEx>
        <w:trPr>
          <w:trHeight w:val="323"/>
        </w:trPr>
        <w:tc>
          <w:tcPr>
            <w:tcW w:w="954" w:type="dxa"/>
            <w:tcBorders>
              <w:top w:val="nil"/>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条款名称</w:t>
            </w:r>
          </w:p>
        </w:tc>
        <w:tc>
          <w:tcPr>
            <w:tcW w:w="1140" w:type="dxa"/>
            <w:tcBorders>
              <w:top w:val="single" w:sz="4" w:space="0" w:color="auto"/>
              <w:left w:val="nil"/>
              <w:bottom w:val="single" w:sz="4"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评分项目</w:t>
            </w:r>
          </w:p>
        </w:tc>
        <w:tc>
          <w:tcPr>
            <w:tcW w:w="7171" w:type="dxa"/>
            <w:tcBorders>
              <w:top w:val="single" w:sz="4" w:space="0" w:color="auto"/>
              <w:left w:val="nil"/>
              <w:bottom w:val="single" w:sz="4"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评分标准及分项分值</w:t>
            </w:r>
          </w:p>
        </w:tc>
      </w:tr>
      <w:tr>
        <w:tblPrEx>
          <w:tblW w:w="9265" w:type="dxa"/>
          <w:tblInd w:w="0" w:type="dxa"/>
          <w:tblLayout w:type="fixed"/>
          <w:tblCellMar>
            <w:top w:w="0" w:type="dxa"/>
            <w:left w:w="108" w:type="dxa"/>
            <w:bottom w:w="0" w:type="dxa"/>
            <w:right w:w="108" w:type="dxa"/>
          </w:tblCellMar>
          <w:tblLook w:val="04A0"/>
        </w:tblPrEx>
        <w:trPr>
          <w:trHeight w:val="638"/>
        </w:trPr>
        <w:tc>
          <w:tcPr>
            <w:tcW w:w="954" w:type="dxa"/>
            <w:vMerge w:val="restart"/>
            <w:tcBorders>
              <w:top w:val="nil"/>
              <w:left w:val="single" w:sz="8" w:space="0" w:color="auto"/>
              <w:bottom w:val="single" w:sz="8" w:space="0" w:color="auto"/>
              <w:right w:val="single" w:sz="4" w:space="0" w:color="auto"/>
            </w:tcBorders>
            <w:shd w:val="clear" w:color="auto" w:fill="auto"/>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商务部分评审（满分10分）</w:t>
            </w:r>
          </w:p>
        </w:tc>
        <w:tc>
          <w:tcPr>
            <w:tcW w:w="1140" w:type="dxa"/>
            <w:tcBorders>
              <w:top w:val="single" w:sz="4" w:space="0" w:color="auto"/>
              <w:left w:val="single" w:sz="4" w:space="0" w:color="auto"/>
              <w:bottom w:val="single" w:sz="4"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人员组成（6分）</w:t>
            </w:r>
          </w:p>
        </w:tc>
        <w:tc>
          <w:tcPr>
            <w:tcW w:w="7171" w:type="dxa"/>
            <w:tcBorders>
              <w:top w:val="single" w:sz="4" w:space="0" w:color="auto"/>
              <w:left w:val="nil"/>
              <w:bottom w:val="single" w:sz="4" w:space="0" w:color="auto"/>
              <w:right w:val="single" w:sz="4" w:space="0" w:color="auto"/>
            </w:tcBorders>
            <w:shd w:val="clear" w:color="auto" w:fill="auto"/>
            <w:vAlign w:val="center"/>
          </w:tcPr>
          <w:p>
            <w:pPr>
              <w:keepNext w:val="0"/>
              <w:keepLines w:val="0"/>
              <w:widowControl/>
              <w:suppressLineNumbers w:val="0"/>
              <w:spacing w:before="0" w:beforeAutospacing="0" w:after="0" w:afterAutospacing="0"/>
              <w:ind w:left="0" w:right="0"/>
              <w:jc w:val="both"/>
              <w:rPr>
                <w:rStyle w:val="DefaultParagraphFont"/>
                <w:rFonts w:ascii="宋体" w:eastAsia="宋体" w:hAnsi="宋体" w:cs="宋体" w:hint="default"/>
                <w:color w:val="auto"/>
                <w:kern w:val="0"/>
                <w:sz w:val="24"/>
                <w:szCs w:val="24"/>
                <w:lang w:val="en-US" w:eastAsia="zh-CN" w:bidi="ar-SA"/>
              </w:rPr>
            </w:pPr>
            <w:r>
              <w:rPr>
                <w:rFonts w:ascii="宋体" w:eastAsia="宋体" w:hAnsi="宋体" w:cs="Times New Roman" w:hint="eastAsia"/>
                <w:color w:val="auto"/>
                <w:kern w:val="2"/>
                <w:sz w:val="24"/>
                <w:szCs w:val="24"/>
                <w:lang w:val="en-US" w:eastAsia="zh-CN" w:bidi="ar-SA"/>
              </w:rPr>
              <w:t>投入本项目组织机构人员配备： 有具体项目负责人得1分； 有专门质检人员的得2分； 有专门售后服务人员的得2分； 有针对本项目的专职联络人的得1分。 提供以上人员名单、 联系方式。 不按要求提供不得分</w:t>
            </w:r>
          </w:p>
        </w:tc>
      </w:tr>
      <w:tr>
        <w:tblPrEx>
          <w:tblW w:w="9265" w:type="dxa"/>
          <w:tblInd w:w="0" w:type="dxa"/>
          <w:tblLayout w:type="fixed"/>
          <w:tblCellMar>
            <w:top w:w="0" w:type="dxa"/>
            <w:left w:w="108" w:type="dxa"/>
            <w:bottom w:w="0" w:type="dxa"/>
            <w:right w:w="108" w:type="dxa"/>
          </w:tblCellMar>
          <w:tblLook w:val="04A0"/>
        </w:tblPrEx>
        <w:trPr>
          <w:trHeight w:val="625"/>
        </w:trPr>
        <w:tc>
          <w:tcPr>
            <w:tcW w:w="954" w:type="dxa"/>
            <w:vMerge/>
            <w:tcBorders>
              <w:top w:val="nil"/>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color w:val="auto"/>
                <w:kern w:val="0"/>
                <w:sz w:val="24"/>
                <w:szCs w:val="24"/>
                <w:lang w:val="en-US" w:eastAsia="zh-CN" w:bidi="ar-SA"/>
              </w:rPr>
            </w:pPr>
          </w:p>
        </w:tc>
        <w:tc>
          <w:tcPr>
            <w:tcW w:w="1140" w:type="dxa"/>
            <w:vMerge w:val="restart"/>
            <w:tcBorders>
              <w:top w:val="single" w:sz="4" w:space="0" w:color="auto"/>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供货经验（满分4分）</w:t>
            </w:r>
          </w:p>
        </w:tc>
        <w:tc>
          <w:tcPr>
            <w:tcW w:w="7171" w:type="dxa"/>
            <w:tcBorders>
              <w:top w:val="single" w:sz="4" w:space="0" w:color="auto"/>
              <w:left w:val="nil"/>
              <w:bottom w:val="nil"/>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both"/>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供应商2020年6月至今每提供1个类似业绩的得2分，最高不超过4分，不提供不得分。</w:t>
            </w:r>
          </w:p>
        </w:tc>
      </w:tr>
      <w:tr>
        <w:tblPrEx>
          <w:tblW w:w="9265" w:type="dxa"/>
          <w:tblInd w:w="0" w:type="dxa"/>
          <w:tblLayout w:type="fixed"/>
          <w:tblCellMar>
            <w:top w:w="0" w:type="dxa"/>
            <w:left w:w="108" w:type="dxa"/>
            <w:bottom w:w="0" w:type="dxa"/>
            <w:right w:w="108" w:type="dxa"/>
          </w:tblCellMar>
          <w:tblLook w:val="04A0"/>
        </w:tblPrEx>
        <w:trPr>
          <w:trHeight w:val="1268"/>
        </w:trPr>
        <w:tc>
          <w:tcPr>
            <w:tcW w:w="954" w:type="dxa"/>
            <w:vMerge/>
            <w:tcBorders>
              <w:top w:val="nil"/>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color w:val="auto"/>
                <w:kern w:val="0"/>
                <w:sz w:val="24"/>
                <w:szCs w:val="24"/>
                <w:lang w:val="en-US" w:eastAsia="zh-CN" w:bidi="ar-SA"/>
              </w:rPr>
            </w:pPr>
          </w:p>
        </w:tc>
        <w:tc>
          <w:tcPr>
            <w:tcW w:w="1140" w:type="dxa"/>
            <w:vMerge/>
            <w:tcBorders>
              <w:top w:val="nil"/>
              <w:left w:val="single" w:sz="8" w:space="0" w:color="auto"/>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left"/>
              <w:rPr>
                <w:rStyle w:val="DefaultParagraphFont"/>
                <w:rFonts w:ascii="宋体" w:eastAsia="宋体" w:hAnsi="宋体" w:cs="宋体" w:hint="default"/>
                <w:color w:val="auto"/>
                <w:kern w:val="0"/>
                <w:sz w:val="24"/>
                <w:szCs w:val="24"/>
                <w:lang w:val="en-US" w:eastAsia="zh-CN" w:bidi="ar-SA"/>
              </w:rPr>
            </w:pPr>
          </w:p>
        </w:tc>
        <w:tc>
          <w:tcPr>
            <w:tcW w:w="7171" w:type="dxa"/>
            <w:tcBorders>
              <w:top w:val="nil"/>
              <w:left w:val="nil"/>
              <w:bottom w:val="single" w:sz="8" w:space="0" w:color="auto"/>
              <w:right w:val="single" w:sz="8" w:space="0" w:color="auto"/>
            </w:tcBorders>
            <w:shd w:val="clear" w:color="auto" w:fill="auto"/>
            <w:vAlign w:val="center"/>
          </w:tcPr>
          <w:p>
            <w:pPr>
              <w:keepNext w:val="0"/>
              <w:keepLines w:val="0"/>
              <w:widowControl/>
              <w:suppressLineNumbers w:val="0"/>
              <w:spacing w:before="0" w:beforeAutospacing="0" w:after="0" w:afterAutospacing="0"/>
              <w:ind w:left="0" w:right="0"/>
              <w:jc w:val="both"/>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注：响应文件中须提供中标通知书或合同协议书扫描件（（包括但不限于合同首页、标的及金额所在页及合同签字盖章页的扫描件）作为证明材料）。</w:t>
            </w:r>
          </w:p>
        </w:tc>
      </w:tr>
    </w:tbl>
    <w:p>
      <w:pPr>
        <w:pStyle w:val="BodyTextIndent2"/>
        <w:tabs>
          <w:tab w:val="left" w:pos="540"/>
        </w:tabs>
        <w:adjustRightInd w:val="0"/>
        <w:snapToGrid w:val="0"/>
        <w:spacing w:after="0" w:line="360" w:lineRule="auto"/>
        <w:ind w:left="0" w:firstLine="0" w:leftChars="0" w:firstLineChars="0"/>
        <w:rPr>
          <w:rFonts w:ascii="宋体" w:eastAsia="宋体" w:hAnsi="宋体" w:cs="宋体" w:hint="eastAsia"/>
          <w:b/>
          <w:bCs/>
          <w:color w:val="auto"/>
          <w:sz w:val="24"/>
        </w:rPr>
      </w:pPr>
      <w:bookmarkStart w:id="68" w:name="_Toc293921825"/>
    </w:p>
    <w:p>
      <w:pPr>
        <w:pStyle w:val="BodyTextIndent2"/>
        <w:tabs>
          <w:tab w:val="left" w:pos="540"/>
        </w:tabs>
        <w:adjustRightInd w:val="0"/>
        <w:snapToGrid w:val="0"/>
        <w:spacing w:after="0" w:line="360" w:lineRule="auto"/>
        <w:ind w:left="0" w:firstLine="480" w:leftChars="0" w:firstLineChars="200"/>
        <w:rPr>
          <w:rFonts w:ascii="宋体" w:eastAsia="宋体" w:hAnsi="宋体" w:cs="宋体"/>
          <w:b/>
          <w:bCs/>
          <w:color w:val="auto"/>
          <w:sz w:val="24"/>
        </w:rPr>
      </w:pPr>
      <w:r>
        <w:rPr>
          <w:rFonts w:ascii="宋体" w:eastAsia="宋体" w:hAnsi="宋体" w:cs="宋体" w:hint="eastAsia"/>
          <w:b/>
          <w:bCs/>
          <w:color w:val="auto"/>
          <w:sz w:val="24"/>
        </w:rPr>
        <w:t>9.统分原则</w:t>
      </w:r>
      <w:bookmarkEnd w:id="68"/>
    </w:p>
    <w:p>
      <w:pPr>
        <w:widowControl/>
        <w:spacing w:line="360" w:lineRule="auto"/>
        <w:ind w:firstLine="480" w:firstLineChars="200"/>
        <w:rPr>
          <w:rFonts w:ascii="宋体" w:eastAsia="宋体" w:hAnsi="宋体" w:cs="宋体"/>
          <w:color w:val="auto"/>
          <w:kern w:val="0"/>
          <w:sz w:val="24"/>
        </w:rPr>
      </w:pPr>
      <w:r>
        <w:rPr>
          <w:rFonts w:ascii="宋体" w:eastAsia="宋体" w:hAnsi="宋体" w:cs="宋体" w:hint="eastAsia"/>
          <w:color w:val="auto"/>
          <w:kern w:val="0"/>
          <w:sz w:val="24"/>
        </w:rPr>
        <w:t>（1）磋商小组应首先对各供应商响应文件技术部分和商务部分进行评审，按磋商文件规定分值及范围评分；</w:t>
      </w:r>
    </w:p>
    <w:p>
      <w:pPr>
        <w:widowControl/>
        <w:spacing w:line="360" w:lineRule="auto"/>
        <w:ind w:firstLine="480" w:firstLineChars="200"/>
        <w:rPr>
          <w:rFonts w:ascii="宋体" w:eastAsia="宋体" w:hAnsi="宋体" w:cs="宋体"/>
          <w:color w:val="auto"/>
          <w:kern w:val="0"/>
          <w:sz w:val="24"/>
        </w:rPr>
      </w:pPr>
      <w:r>
        <w:rPr>
          <w:rFonts w:ascii="宋体" w:eastAsia="宋体" w:hAnsi="宋体" w:cs="宋体" w:hint="eastAsia"/>
          <w:color w:val="auto"/>
          <w:kern w:val="0"/>
          <w:sz w:val="24"/>
        </w:rPr>
        <w:t>（2）各磋商小组成员自主评分；</w:t>
      </w:r>
    </w:p>
    <w:p>
      <w:pPr>
        <w:widowControl/>
        <w:spacing w:line="460" w:lineRule="exact"/>
        <w:ind w:firstLine="480" w:firstLineChars="200"/>
        <w:rPr>
          <w:rFonts w:ascii="宋体" w:eastAsia="宋体" w:hAnsi="宋体" w:cs="宋体"/>
          <w:color w:val="auto"/>
          <w:kern w:val="0"/>
          <w:sz w:val="24"/>
        </w:rPr>
      </w:pPr>
      <w:r>
        <w:rPr>
          <w:rFonts w:ascii="宋体" w:eastAsia="宋体" w:hAnsi="宋体" w:cs="宋体" w:hint="eastAsia"/>
          <w:color w:val="auto"/>
          <w:kern w:val="0"/>
          <w:sz w:val="24"/>
        </w:rPr>
        <w:t>（3）统分原则：计算算术平均值为供应商的该项评分因素的得分（小数点后保留两位）。</w:t>
      </w:r>
    </w:p>
    <w:p>
      <w:pPr>
        <w:widowControl/>
        <w:spacing w:line="460" w:lineRule="exact"/>
        <w:ind w:firstLine="480" w:firstLineChars="200"/>
        <w:outlineLvl w:val="1"/>
        <w:rPr>
          <w:rFonts w:ascii="宋体" w:eastAsia="宋体" w:hAnsi="宋体" w:cs="宋体"/>
          <w:b/>
          <w:bCs/>
          <w:color w:val="auto"/>
          <w:sz w:val="24"/>
        </w:rPr>
      </w:pPr>
      <w:bookmarkStart w:id="69" w:name="_Toc293921826"/>
      <w:r>
        <w:rPr>
          <w:rFonts w:ascii="宋体" w:eastAsia="宋体" w:hAnsi="宋体" w:cs="宋体" w:hint="eastAsia"/>
          <w:b/>
          <w:bCs/>
          <w:color w:val="auto"/>
          <w:sz w:val="24"/>
        </w:rPr>
        <w:t>10.推荐</w:t>
      </w:r>
      <w:bookmarkEnd w:id="69"/>
    </w:p>
    <w:p>
      <w:pPr>
        <w:widowControl/>
        <w:spacing w:line="560" w:lineRule="exact"/>
        <w:ind w:left="420"/>
        <w:jc w:val="left"/>
        <w:outlineLvl w:val="2"/>
        <w:rPr>
          <w:rFonts w:ascii="宋体" w:eastAsia="宋体" w:hAnsi="宋体" w:cs="宋体"/>
          <w:color w:val="auto"/>
          <w:kern w:val="0"/>
          <w:sz w:val="24"/>
        </w:rPr>
      </w:pPr>
      <w:r>
        <w:rPr>
          <w:rFonts w:ascii="宋体" w:eastAsia="宋体" w:hAnsi="宋体" w:cs="宋体" w:hint="eastAsia"/>
          <w:color w:val="auto"/>
          <w:kern w:val="0"/>
          <w:sz w:val="24"/>
        </w:rPr>
        <w:t>10.1</w:t>
      </w:r>
      <w:bookmarkEnd w:id="59"/>
      <w:bookmarkEnd w:id="67"/>
      <w:r>
        <w:rPr>
          <w:rFonts w:ascii="宋体" w:eastAsia="宋体" w:hAnsi="宋体" w:cs="宋体" w:hint="eastAsia"/>
          <w:color w:val="auto"/>
          <w:kern w:val="0"/>
          <w:sz w:val="24"/>
        </w:rPr>
        <w:t>竞争性磋商小组应当根据综合评分情况，按照评审得分由高到低顺序推荐3名</w:t>
      </w:r>
    </w:p>
    <w:p>
      <w:pPr>
        <w:widowControl/>
        <w:spacing w:line="560" w:lineRule="exact"/>
        <w:jc w:val="left"/>
        <w:outlineLvl w:val="2"/>
        <w:rPr>
          <w:rFonts w:ascii="宋体" w:eastAsia="宋体" w:hAnsi="宋体" w:cs="宋体"/>
          <w:color w:val="auto"/>
          <w:kern w:val="0"/>
          <w:sz w:val="24"/>
        </w:rPr>
      </w:pPr>
      <w:r>
        <w:rPr>
          <w:rFonts w:ascii="宋体" w:eastAsia="宋体" w:hAnsi="宋体" w:cs="宋体" w:hint="eastAsia"/>
          <w:color w:val="auto"/>
          <w:kern w:val="0"/>
          <w:sz w:val="24"/>
        </w:rPr>
        <w:t>成交候选供应商，并编写评审报告。市场竞争不充分的科研项目，需要扶持的科技成果转化项目，以及采用竞争性磋商采购方式采购的政府购买服务项目（含政府和社会资本合作项目），在采购过程中符合要求的供应商（社会资本）只有2家的，竞争性磋商采购活动可以继续进行。评审得分相同的，按照最后报价由低到高的顺序推荐。评审得分及最后报价相同的，按照技术指标优劣顺序推荐。</w:t>
      </w:r>
    </w:p>
    <w:p>
      <w:pPr>
        <w:widowControl/>
        <w:spacing w:line="560" w:lineRule="exact"/>
        <w:ind w:firstLine="360" w:firstLineChars="150"/>
        <w:jc w:val="left"/>
        <w:outlineLvl w:val="2"/>
        <w:rPr>
          <w:rFonts w:ascii="宋体" w:eastAsia="宋体" w:hAnsi="宋体" w:cs="宋体"/>
          <w:color w:val="auto"/>
          <w:kern w:val="0"/>
          <w:sz w:val="24"/>
        </w:rPr>
      </w:pPr>
      <w:r>
        <w:rPr>
          <w:rFonts w:ascii="宋体" w:eastAsia="宋体" w:hAnsi="宋体" w:cs="宋体" w:hint="eastAsia"/>
          <w:color w:val="auto"/>
          <w:kern w:val="0"/>
          <w:sz w:val="24"/>
        </w:rPr>
        <w:t>采购过程中符合要求的供应商（社会资本）只有1家的，</w:t>
      </w:r>
      <w:r>
        <w:rPr>
          <w:color w:val="auto"/>
        </w:rPr>
        <w:fldChar w:fldCharType="begin"/>
      </w:r>
      <w:r>
        <w:rPr>
          <w:color w:val="auto"/>
        </w:rPr>
        <w:instrText xml:space="preserve"> HYPERLINK "https://baike.baidu.com/item/%E9%87%87%E8%B4%AD%E4%BA%BA" \t "_blank" </w:instrText>
      </w:r>
      <w:r>
        <w:rPr>
          <w:color w:val="auto"/>
        </w:rPr>
        <w:fldChar w:fldCharType="separate"/>
      </w:r>
      <w:r>
        <w:rPr>
          <w:rFonts w:ascii="宋体" w:eastAsia="宋体" w:hAnsi="宋体" w:cs="宋体" w:hint="eastAsia"/>
          <w:color w:val="auto"/>
          <w:kern w:val="0"/>
          <w:sz w:val="24"/>
        </w:rPr>
        <w:t>采购人</w:t>
      </w:r>
      <w:r>
        <w:rPr>
          <w:color w:val="auto"/>
        </w:rPr>
        <w:fldChar w:fldCharType="end"/>
      </w:r>
      <w:r>
        <w:rPr>
          <w:rFonts w:ascii="宋体" w:eastAsia="宋体" w:hAnsi="宋体" w:cs="宋体" w:hint="eastAsia"/>
          <w:color w:val="auto"/>
          <w:kern w:val="0"/>
          <w:sz w:val="24"/>
        </w:rPr>
        <w:t>（项目实施机构）或者采购代理机构应当终止竞争性磋商采购活动，发布项目终止公告并说明原因，重新开展采购活动。</w:t>
      </w:r>
    </w:p>
    <w:p>
      <w:pPr>
        <w:spacing w:line="480" w:lineRule="exact"/>
        <w:ind w:firstLine="480" w:firstLineChars="200"/>
        <w:rPr>
          <w:rFonts w:ascii="宋体" w:eastAsia="宋体" w:hAnsi="宋体" w:cs="宋体"/>
          <w:color w:val="auto"/>
          <w:kern w:val="0"/>
          <w:sz w:val="24"/>
        </w:rPr>
      </w:pPr>
      <w:r>
        <w:rPr>
          <w:rFonts w:ascii="宋体" w:eastAsia="宋体" w:hAnsi="宋体" w:cs="宋体" w:hint="eastAsia"/>
          <w:color w:val="auto"/>
          <w:kern w:val="0"/>
          <w:sz w:val="24"/>
        </w:rPr>
        <w:t>10.2评审报告应当由竞争性磋商小组全体人员签字认可。竞争性磋商小组成员对评审报告有异议的，竞争性磋商小组按照少数服从多数的原则推荐成交候选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p>
    <w:p>
      <w:pPr>
        <w:spacing w:line="360" w:lineRule="auto"/>
        <w:rPr>
          <w:rFonts w:ascii="宋体" w:eastAsia="宋体" w:hAnsi="宋体" w:cs="宋体"/>
          <w:b/>
          <w:bCs/>
          <w:color w:val="auto"/>
          <w:sz w:val="28"/>
          <w:szCs w:val="28"/>
        </w:rPr>
      </w:pPr>
      <w:bookmarkStart w:id="70" w:name="_Toc25845"/>
      <w:r>
        <w:rPr>
          <w:rFonts w:ascii="宋体" w:eastAsia="宋体" w:hAnsi="宋体" w:cs="宋体" w:hint="eastAsia"/>
          <w:color w:val="auto"/>
        </w:rPr>
        <w:br w:type="page"/>
      </w:r>
    </w:p>
    <w:p>
      <w:pPr>
        <w:pStyle w:val="Heading1"/>
        <w:bidi w:val="0"/>
        <w:rPr>
          <w:rFonts w:hint="eastAsia"/>
        </w:rPr>
      </w:pPr>
      <w:bookmarkStart w:id="71" w:name="_Toc5004"/>
      <w:bookmarkStart w:id="72" w:name="_Toc234588859"/>
      <w:bookmarkStart w:id="73" w:name="_Toc293921829"/>
      <w:bookmarkEnd w:id="70"/>
      <w:r>
        <w:rPr>
          <w:rFonts w:hint="eastAsia"/>
        </w:rPr>
        <w:t>第</w:t>
      </w:r>
      <w:r>
        <w:rPr>
          <w:rFonts w:hint="eastAsia"/>
          <w:lang w:eastAsia="zh-CN"/>
        </w:rPr>
        <w:t>五</w:t>
      </w:r>
      <w:r>
        <w:rPr>
          <w:rFonts w:hint="eastAsia"/>
        </w:rPr>
        <w:t>章</w:t>
        <w:tab/>
        <w:t>合同条款及样式</w:t>
      </w:r>
    </w:p>
    <w:p>
      <w:pPr>
        <w:autoSpaceDE w:val="0"/>
        <w:autoSpaceDN w:val="0"/>
        <w:jc w:val="center"/>
        <w:rPr>
          <w:rFonts w:ascii="仿宋_GB2312" w:eastAsia="仿宋_GB2312" w:hAnsi="宋体" w:cs="宋体"/>
          <w:color w:val="auto"/>
          <w:kern w:val="0"/>
          <w:sz w:val="22"/>
        </w:rPr>
      </w:pPr>
    </w:p>
    <w:p>
      <w:pPr>
        <w:spacing w:after="200" w:line="460" w:lineRule="exact"/>
        <w:jc w:val="center"/>
        <w:rPr>
          <w:rFonts w:ascii="仿宋_GB2312" w:eastAsia="仿宋_GB2312" w:hAnsi="宋体" w:cs="Calibri"/>
          <w:color w:val="auto"/>
          <w:sz w:val="28"/>
          <w:szCs w:val="28"/>
        </w:rPr>
      </w:pPr>
      <w:r>
        <w:rPr>
          <w:rFonts w:ascii="仿宋_GB2312" w:eastAsia="仿宋_GB2312" w:hAnsi="宋体" w:cs="Calibri" w:hint="eastAsia"/>
          <w:b/>
          <w:color w:val="auto"/>
          <w:sz w:val="28"/>
          <w:szCs w:val="28"/>
        </w:rPr>
        <w:t>（本合同范本仅供参考，具体以实际签订合同为准）</w:t>
      </w:r>
    </w:p>
    <w:p>
      <w:pPr>
        <w:autoSpaceDE w:val="0"/>
        <w:autoSpaceDN w:val="0"/>
        <w:spacing w:after="200" w:line="460" w:lineRule="exact"/>
        <w:jc w:val="left"/>
        <w:rPr>
          <w:rFonts w:ascii="仿宋_GB2312" w:eastAsia="仿宋_GB2312" w:hAnsi="宋体" w:cs="Calibri"/>
          <w:color w:val="auto"/>
          <w:sz w:val="28"/>
          <w:szCs w:val="28"/>
        </w:rPr>
      </w:pPr>
    </w:p>
    <w:p>
      <w:pPr>
        <w:widowControl/>
        <w:autoSpaceDE w:val="0"/>
        <w:autoSpaceDN w:val="0"/>
        <w:spacing w:before="240" w:beforeLines="100" w:after="100" w:afterAutospacing="1" w:line="620" w:lineRule="exact"/>
        <w:jc w:val="center"/>
        <w:rPr>
          <w:rFonts w:ascii="仿宋_GB2312" w:eastAsia="仿宋_GB2312" w:hAnsi="宋体" w:cs="Calibri"/>
          <w:color w:val="auto"/>
          <w:sz w:val="28"/>
          <w:szCs w:val="28"/>
        </w:rPr>
      </w:pPr>
      <w:r>
        <w:rPr>
          <w:rFonts w:ascii="仿宋_GB2312" w:eastAsia="仿宋_GB2312" w:hAnsi="宋体" w:cs="宋体" w:hint="eastAsia"/>
          <w:color w:val="auto"/>
          <w:kern w:val="0"/>
          <w:sz w:val="24"/>
        </w:rPr>
        <w:t xml:space="preserve">合同编号：               项目编号：  </w:t>
      </w:r>
      <w:r>
        <w:rPr>
          <w:rFonts w:ascii="仿宋_GB2312" w:eastAsia="仿宋_GB2312" w:hAnsi="宋体" w:cs="宋体" w:hint="eastAsia"/>
          <w:color w:val="auto"/>
          <w:kern w:val="0"/>
          <w:sz w:val="24"/>
        </w:rPr>
        <w:t>●</w:t>
      </w:r>
      <w:r>
        <w:rPr>
          <w:rFonts w:ascii="仿宋_GB2312" w:eastAsia="仿宋_GB2312" w:hAnsi="宋体" w:cs="宋体" w:hint="eastAsia"/>
          <w:color w:val="auto"/>
          <w:kern w:val="0"/>
          <w:sz w:val="24"/>
        </w:rPr>
        <w:t>本合同须加盖甲乙双方骑缝章有效</w:t>
      </w:r>
    </w:p>
    <w:p>
      <w:pPr>
        <w:autoSpaceDE w:val="0"/>
        <w:autoSpaceDN w:val="0"/>
        <w:spacing w:after="200" w:line="460" w:lineRule="exact"/>
        <w:jc w:val="left"/>
        <w:rPr>
          <w:rFonts w:ascii="仿宋_GB2312" w:eastAsia="仿宋_GB2312" w:hAnsi="宋体" w:cs="Calibri"/>
          <w:color w:val="auto"/>
          <w:sz w:val="28"/>
          <w:szCs w:val="28"/>
        </w:rPr>
      </w:pPr>
    </w:p>
    <w:p>
      <w:pPr>
        <w:widowControl/>
        <w:autoSpaceDE w:val="0"/>
        <w:autoSpaceDN w:val="0"/>
        <w:spacing w:before="240" w:beforeLines="100" w:after="100" w:afterAutospacing="1" w:line="620" w:lineRule="exact"/>
        <w:jc w:val="center"/>
        <w:rPr>
          <w:rFonts w:ascii="仿宋_GB2312" w:eastAsia="仿宋_GB2312" w:hAnsi="宋体" w:cs="宋体"/>
          <w:b/>
          <w:bCs/>
          <w:color w:val="auto"/>
          <w:kern w:val="0"/>
          <w:sz w:val="28"/>
          <w:szCs w:val="28"/>
        </w:rPr>
      </w:pPr>
      <w:r>
        <w:rPr>
          <w:rFonts w:ascii="仿宋_GB2312" w:eastAsia="仿宋_GB2312" w:hAnsi="宋体" w:cs="宋体" w:hint="eastAsia"/>
          <w:b/>
          <w:bCs/>
          <w:color w:val="auto"/>
          <w:kern w:val="0"/>
          <w:sz w:val="28"/>
          <w:szCs w:val="28"/>
        </w:rPr>
        <w:t>项目名称</w:t>
      </w:r>
    </w:p>
    <w:p>
      <w:pPr>
        <w:autoSpaceDE w:val="0"/>
        <w:autoSpaceDN w:val="0"/>
        <w:adjustRightInd w:val="0"/>
        <w:spacing w:after="200" w:line="276" w:lineRule="auto"/>
        <w:jc w:val="left"/>
        <w:rPr>
          <w:rFonts w:ascii="仿宋_GB2312" w:eastAsia="仿宋_GB2312" w:hAnsi="宋体" w:cs="Times New Roman"/>
          <w:color w:val="auto"/>
          <w:kern w:val="0"/>
          <w:sz w:val="24"/>
          <w:szCs w:val="24"/>
        </w:rPr>
      </w:pPr>
    </w:p>
    <w:p>
      <w:pPr>
        <w:autoSpaceDE w:val="0"/>
        <w:autoSpaceDN w:val="0"/>
        <w:adjustRightInd w:val="0"/>
        <w:spacing w:after="200" w:line="276" w:lineRule="auto"/>
        <w:jc w:val="left"/>
        <w:rPr>
          <w:rFonts w:ascii="仿宋_GB2312" w:eastAsia="仿宋_GB2312" w:hAnsi="宋体" w:cs="Times New Roman"/>
          <w:color w:val="auto"/>
          <w:kern w:val="0"/>
          <w:sz w:val="24"/>
          <w:szCs w:val="24"/>
        </w:rPr>
      </w:pPr>
    </w:p>
    <w:p>
      <w:pPr>
        <w:widowControl/>
        <w:autoSpaceDE w:val="0"/>
        <w:autoSpaceDN w:val="0"/>
        <w:spacing w:before="240" w:beforeLines="100" w:after="100" w:afterAutospacing="1" w:line="620" w:lineRule="exact"/>
        <w:jc w:val="center"/>
        <w:rPr>
          <w:rFonts w:ascii="仿宋_GB2312" w:eastAsia="仿宋_GB2312" w:hAnsi="宋体" w:cs="宋体"/>
          <w:b/>
          <w:bCs/>
          <w:color w:val="auto"/>
          <w:kern w:val="0"/>
          <w:sz w:val="48"/>
          <w:szCs w:val="48"/>
        </w:rPr>
      </w:pPr>
      <w:r>
        <w:rPr>
          <w:rFonts w:ascii="仿宋_GB2312" w:eastAsia="仿宋_GB2312" w:hAnsi="宋体" w:cs="宋体" w:hint="eastAsia"/>
          <w:b/>
          <w:bCs/>
          <w:color w:val="auto"/>
          <w:kern w:val="0"/>
          <w:sz w:val="48"/>
          <w:szCs w:val="48"/>
        </w:rPr>
        <w:t>采</w:t>
      </w:r>
    </w:p>
    <w:p>
      <w:pPr>
        <w:widowControl/>
        <w:autoSpaceDE w:val="0"/>
        <w:autoSpaceDN w:val="0"/>
        <w:spacing w:before="240" w:beforeLines="100" w:after="100" w:afterAutospacing="1" w:line="620" w:lineRule="exact"/>
        <w:jc w:val="center"/>
        <w:rPr>
          <w:rFonts w:ascii="仿宋_GB2312" w:eastAsia="仿宋_GB2312" w:hAnsi="宋体" w:cs="宋体"/>
          <w:b/>
          <w:bCs/>
          <w:color w:val="auto"/>
          <w:kern w:val="0"/>
          <w:sz w:val="48"/>
          <w:szCs w:val="48"/>
        </w:rPr>
      </w:pPr>
      <w:r>
        <w:rPr>
          <w:rFonts w:ascii="仿宋_GB2312" w:eastAsia="仿宋_GB2312" w:hAnsi="宋体" w:cs="宋体" w:hint="eastAsia"/>
          <w:b/>
          <w:bCs/>
          <w:color w:val="auto"/>
          <w:kern w:val="0"/>
          <w:sz w:val="48"/>
          <w:szCs w:val="48"/>
        </w:rPr>
        <w:t>购</w:t>
      </w:r>
    </w:p>
    <w:p>
      <w:pPr>
        <w:widowControl/>
        <w:autoSpaceDE w:val="0"/>
        <w:autoSpaceDN w:val="0"/>
        <w:spacing w:before="240" w:beforeLines="100" w:after="100" w:afterAutospacing="1" w:line="620" w:lineRule="exact"/>
        <w:jc w:val="center"/>
        <w:rPr>
          <w:rFonts w:ascii="仿宋_GB2312" w:eastAsia="仿宋_GB2312" w:hAnsi="宋体" w:cs="宋体"/>
          <w:b/>
          <w:bCs/>
          <w:color w:val="auto"/>
          <w:kern w:val="0"/>
          <w:sz w:val="48"/>
          <w:szCs w:val="48"/>
        </w:rPr>
      </w:pPr>
      <w:r>
        <w:rPr>
          <w:rFonts w:ascii="仿宋_GB2312" w:eastAsia="仿宋_GB2312" w:hAnsi="宋体" w:cs="宋体" w:hint="eastAsia"/>
          <w:b/>
          <w:bCs/>
          <w:color w:val="auto"/>
          <w:kern w:val="0"/>
          <w:sz w:val="48"/>
          <w:szCs w:val="48"/>
        </w:rPr>
        <w:t>合</w:t>
      </w:r>
    </w:p>
    <w:p>
      <w:pPr>
        <w:widowControl/>
        <w:autoSpaceDE w:val="0"/>
        <w:autoSpaceDN w:val="0"/>
        <w:spacing w:before="240" w:beforeLines="100" w:after="100" w:afterAutospacing="1" w:line="620" w:lineRule="exact"/>
        <w:jc w:val="center"/>
        <w:rPr>
          <w:rFonts w:ascii="仿宋_GB2312" w:eastAsia="仿宋_GB2312" w:hAnsi="宋体" w:cs="宋体"/>
          <w:b/>
          <w:bCs/>
          <w:color w:val="auto"/>
          <w:kern w:val="0"/>
          <w:sz w:val="48"/>
          <w:szCs w:val="48"/>
        </w:rPr>
      </w:pPr>
      <w:r>
        <w:rPr>
          <w:rFonts w:ascii="仿宋_GB2312" w:eastAsia="仿宋_GB2312" w:hAnsi="宋体" w:cs="宋体" w:hint="eastAsia"/>
          <w:b/>
          <w:bCs/>
          <w:color w:val="auto"/>
          <w:kern w:val="0"/>
          <w:sz w:val="48"/>
          <w:szCs w:val="48"/>
        </w:rPr>
        <w:t>同</w:t>
      </w:r>
    </w:p>
    <w:p>
      <w:pPr>
        <w:widowControl/>
        <w:autoSpaceDE w:val="0"/>
        <w:autoSpaceDN w:val="0"/>
        <w:spacing w:before="240" w:beforeLines="100" w:after="100" w:afterAutospacing="1" w:line="620" w:lineRule="exact"/>
        <w:jc w:val="center"/>
        <w:rPr>
          <w:rFonts w:ascii="仿宋_GB2312" w:eastAsia="仿宋_GB2312" w:hAnsi="宋体" w:cs="宋体"/>
          <w:b/>
          <w:bCs/>
          <w:color w:val="auto"/>
          <w:kern w:val="0"/>
          <w:sz w:val="48"/>
          <w:szCs w:val="48"/>
        </w:rPr>
      </w:pPr>
      <w:r>
        <w:rPr>
          <w:rFonts w:ascii="仿宋_GB2312" w:eastAsia="仿宋_GB2312" w:hAnsi="宋体" w:cs="宋体" w:hint="eastAsia"/>
          <w:b/>
          <w:bCs/>
          <w:color w:val="auto"/>
          <w:kern w:val="0"/>
          <w:sz w:val="48"/>
          <w:szCs w:val="48"/>
        </w:rPr>
        <w:t>书</w:t>
      </w:r>
    </w:p>
    <w:p>
      <w:pPr>
        <w:widowControl/>
        <w:tabs>
          <w:tab w:val="left" w:pos="169"/>
        </w:tabs>
        <w:autoSpaceDE w:val="0"/>
        <w:autoSpaceDN w:val="0"/>
        <w:spacing w:after="240" w:line="620" w:lineRule="exact"/>
        <w:jc w:val="left"/>
        <w:rPr>
          <w:rFonts w:ascii="仿宋_GB2312" w:eastAsia="仿宋_GB2312" w:hAnsi="宋体" w:cs="宋体"/>
          <w:color w:val="auto"/>
          <w:kern w:val="0"/>
          <w:sz w:val="24"/>
        </w:rPr>
      </w:pPr>
    </w:p>
    <w:p>
      <w:pPr>
        <w:widowControl/>
        <w:autoSpaceDE w:val="0"/>
        <w:autoSpaceDN w:val="0"/>
        <w:spacing w:after="240" w:line="620" w:lineRule="exact"/>
        <w:ind w:firstLine="2976" w:firstLineChars="1240"/>
        <w:jc w:val="left"/>
        <w:rPr>
          <w:rFonts w:ascii="仿宋_GB2312" w:eastAsia="仿宋_GB2312" w:hAnsi="宋体" w:cs="宋体"/>
          <w:bCs/>
          <w:color w:val="auto"/>
          <w:kern w:val="0"/>
          <w:sz w:val="24"/>
          <w:u w:val="single"/>
        </w:rPr>
      </w:pPr>
      <w:r>
        <w:rPr>
          <w:rFonts w:ascii="仿宋_GB2312" w:eastAsia="仿宋_GB2312" w:hAnsi="宋体" w:cs="宋体" w:hint="eastAsia"/>
          <w:bCs/>
          <w:color w:val="auto"/>
          <w:kern w:val="0"/>
          <w:sz w:val="24"/>
        </w:rPr>
        <w:t>签订地点：</w:t>
      </w:r>
      <w:r>
        <w:rPr>
          <w:rFonts w:ascii="仿宋_GB2312" w:eastAsia="仿宋_GB2312" w:hAnsi="宋体" w:cs="宋体" w:hint="eastAsia"/>
          <w:bCs/>
          <w:color w:val="auto"/>
          <w:kern w:val="0"/>
          <w:sz w:val="24"/>
          <w:u w:val="single"/>
        </w:rPr>
        <w:t xml:space="preserve">               </w:t>
      </w:r>
    </w:p>
    <w:p>
      <w:pPr>
        <w:widowControl/>
        <w:autoSpaceDE w:val="0"/>
        <w:autoSpaceDN w:val="0"/>
        <w:spacing w:after="240" w:line="620" w:lineRule="exact"/>
        <w:ind w:firstLine="2976" w:firstLineChars="1240"/>
        <w:jc w:val="left"/>
        <w:rPr>
          <w:rFonts w:ascii="仿宋_GB2312" w:eastAsia="仿宋_GB2312" w:hAnsi="宋体" w:cs="宋体"/>
          <w:color w:val="auto"/>
          <w:kern w:val="0"/>
          <w:sz w:val="24"/>
        </w:rPr>
      </w:pPr>
      <w:r>
        <w:rPr>
          <w:rFonts w:ascii="仿宋_GB2312" w:eastAsia="仿宋_GB2312" w:hAnsi="宋体" w:cs="宋体" w:hint="eastAsia"/>
          <w:bCs/>
          <w:color w:val="auto"/>
          <w:kern w:val="0"/>
          <w:sz w:val="24"/>
        </w:rPr>
        <w:t>签订日期：   　年　  月　 日</w:t>
      </w:r>
    </w:p>
    <w:p>
      <w:pPr>
        <w:widowControl/>
        <w:autoSpaceDE w:val="0"/>
        <w:autoSpaceDN w:val="0"/>
        <w:jc w:val="center"/>
        <w:rPr>
          <w:rFonts w:ascii="仿宋_GB2312" w:eastAsia="仿宋_GB2312" w:hAnsi="宋体" w:cs="宋体"/>
          <w:b/>
          <w:bCs/>
          <w:color w:val="auto"/>
          <w:kern w:val="0"/>
          <w:sz w:val="24"/>
        </w:rPr>
      </w:pPr>
      <w:r>
        <w:rPr>
          <w:rFonts w:ascii="仿宋_GB2312" w:eastAsia="仿宋_GB2312" w:hAnsi="宋体" w:cs="宋体" w:hint="eastAsia"/>
          <w:b/>
          <w:bCs/>
          <w:color w:val="auto"/>
          <w:kern w:val="0"/>
          <w:sz w:val="24"/>
        </w:rPr>
        <w:br w:type="page"/>
      </w:r>
    </w:p>
    <w:p>
      <w:pPr>
        <w:pStyle w:val="Heading2"/>
        <w:spacing w:before="200" w:after="200" w:line="579" w:lineRule="exact"/>
        <w:jc w:val="both"/>
        <w:rPr>
          <w:rFonts w:ascii="方正仿宋_GBK" w:eastAsia="方正仿宋_GBK" w:hAnsi="方正仿宋_GBK" w:cs="方正仿宋_GBK"/>
          <w:b w:val="0"/>
          <w:bCs w:val="0"/>
          <w:color w:val="auto"/>
          <w:kern w:val="2"/>
          <w:sz w:val="30"/>
          <w:szCs w:val="30"/>
          <w:lang w:val="zh-CN" w:eastAsia="zh-CN"/>
        </w:rPr>
      </w:pPr>
      <w:r>
        <w:rPr>
          <w:rFonts w:ascii="方正仿宋_GBK" w:eastAsia="方正仿宋_GBK" w:hAnsi="方正仿宋_GBK" w:cs="方正仿宋_GBK" w:hint="eastAsia"/>
          <w:b w:val="0"/>
          <w:bCs w:val="0"/>
          <w:color w:val="auto"/>
          <w:kern w:val="2"/>
          <w:sz w:val="30"/>
          <w:szCs w:val="30"/>
          <w:lang w:val="zh-CN" w:eastAsia="zh-CN"/>
        </w:rPr>
        <w:t xml:space="preserve">甲方（采购人）名      称： </w:t>
      </w:r>
    </w:p>
    <w:p>
      <w:pPr>
        <w:wordWrap w:val="0"/>
        <w:spacing w:before="120" w:beforeLines="50" w:line="579" w:lineRule="exact"/>
        <w:rPr>
          <w:rFonts w:ascii="方正仿宋_GBK" w:eastAsia="方正仿宋_GBK" w:hAnsi="方正仿宋_GBK" w:cs="方正仿宋_GBK"/>
          <w:color w:val="auto"/>
          <w:sz w:val="30"/>
          <w:szCs w:val="30"/>
          <w:lang w:val="zh-CN"/>
        </w:rPr>
      </w:pPr>
      <w:r>
        <w:rPr>
          <w:rFonts w:ascii="方正仿宋_GBK" w:eastAsia="方正仿宋_GBK" w:hAnsi="方正仿宋_GBK" w:cs="方正仿宋_GBK" w:hint="eastAsia"/>
          <w:color w:val="auto"/>
          <w:sz w:val="30"/>
          <w:szCs w:val="30"/>
          <w:lang w:val="zh-CN"/>
        </w:rPr>
        <w:t xml:space="preserve">              地      址： </w:t>
      </w:r>
    </w:p>
    <w:p>
      <w:pPr>
        <w:wordWrap w:val="0"/>
        <w:spacing w:before="120" w:beforeLines="50" w:line="579" w:lineRule="exact"/>
        <w:rPr>
          <w:rFonts w:ascii="方正仿宋_GBK" w:eastAsia="方正仿宋_GBK" w:hAnsi="方正仿宋_GBK" w:cs="方正仿宋_GBK"/>
          <w:color w:val="auto"/>
          <w:sz w:val="30"/>
          <w:szCs w:val="30"/>
          <w:lang w:val="zh-CN"/>
        </w:rPr>
      </w:pPr>
      <w:r>
        <w:rPr>
          <w:rFonts w:ascii="方正仿宋_GBK" w:eastAsia="方正仿宋_GBK" w:hAnsi="方正仿宋_GBK" w:cs="方正仿宋_GBK" w:hint="eastAsia"/>
          <w:color w:val="auto"/>
          <w:sz w:val="30"/>
          <w:szCs w:val="30"/>
          <w:lang w:val="zh-CN"/>
        </w:rPr>
        <w:t xml:space="preserve">              邮 </w:t>
      </w:r>
      <w:r>
        <w:rPr>
          <w:rFonts w:ascii="方正仿宋_GBK" w:eastAsia="方正仿宋_GBK" w:hAnsi="方正仿宋_GBK" w:cs="方正仿宋_GBK" w:hint="eastAsia"/>
          <w:color w:val="auto"/>
          <w:sz w:val="30"/>
          <w:szCs w:val="30"/>
        </w:rPr>
        <w:t xml:space="preserve">   </w:t>
      </w:r>
      <w:r>
        <w:rPr>
          <w:rFonts w:ascii="方正仿宋_GBK" w:eastAsia="方正仿宋_GBK" w:hAnsi="方正仿宋_GBK" w:cs="方正仿宋_GBK" w:hint="eastAsia"/>
          <w:color w:val="auto"/>
          <w:sz w:val="30"/>
          <w:szCs w:val="30"/>
          <w:lang w:val="zh-CN"/>
        </w:rPr>
        <w:t xml:space="preserve">  编：</w:t>
      </w:r>
      <w:r>
        <w:rPr>
          <w:rFonts w:ascii="方正仿宋_GBK" w:eastAsia="方正仿宋_GBK" w:hAnsi="方正仿宋_GBK" w:cs="方正仿宋_GBK" w:hint="eastAsia"/>
          <w:color w:val="auto"/>
          <w:sz w:val="30"/>
          <w:szCs w:val="30"/>
        </w:rPr>
        <w:t xml:space="preserve"> </w:t>
      </w:r>
    </w:p>
    <w:p>
      <w:pPr>
        <w:wordWrap w:val="0"/>
        <w:spacing w:before="120" w:beforeLines="50" w:line="579" w:lineRule="exact"/>
        <w:rPr>
          <w:rFonts w:ascii="方正仿宋_GBK" w:eastAsia="方正仿宋_GBK" w:hAnsi="方正仿宋_GBK" w:cs="方正仿宋_GBK"/>
          <w:color w:val="auto"/>
          <w:sz w:val="30"/>
          <w:szCs w:val="30"/>
          <w:lang w:val="zh-CN"/>
        </w:rPr>
      </w:pPr>
      <w:r>
        <w:rPr>
          <w:rFonts w:ascii="方正仿宋_GBK" w:eastAsia="方正仿宋_GBK" w:hAnsi="方正仿宋_GBK" w:cs="方正仿宋_GBK" w:hint="eastAsia"/>
          <w:color w:val="auto"/>
          <w:sz w:val="30"/>
          <w:szCs w:val="30"/>
          <w:lang w:val="zh-CN"/>
        </w:rPr>
        <w:t xml:space="preserve">              负</w:t>
      </w:r>
      <w:r>
        <w:rPr>
          <w:rFonts w:ascii="方正仿宋_GBK" w:eastAsia="方正仿宋_GBK" w:hAnsi="方正仿宋_GBK" w:cs="方正仿宋_GBK" w:hint="eastAsia"/>
          <w:color w:val="auto"/>
          <w:sz w:val="30"/>
          <w:szCs w:val="30"/>
        </w:rPr>
        <w:t xml:space="preserve">  </w:t>
      </w:r>
      <w:r>
        <w:rPr>
          <w:rFonts w:ascii="方正仿宋_GBK" w:eastAsia="方正仿宋_GBK" w:hAnsi="方正仿宋_GBK" w:cs="方正仿宋_GBK" w:hint="eastAsia"/>
          <w:color w:val="auto"/>
          <w:sz w:val="30"/>
          <w:szCs w:val="30"/>
          <w:lang w:val="zh-CN"/>
        </w:rPr>
        <w:t>责</w:t>
      </w:r>
      <w:r>
        <w:rPr>
          <w:rFonts w:ascii="方正仿宋_GBK" w:eastAsia="方正仿宋_GBK" w:hAnsi="方正仿宋_GBK" w:cs="方正仿宋_GBK" w:hint="eastAsia"/>
          <w:color w:val="auto"/>
          <w:sz w:val="30"/>
          <w:szCs w:val="30"/>
        </w:rPr>
        <w:t xml:space="preserve">  </w:t>
      </w:r>
      <w:r>
        <w:rPr>
          <w:rFonts w:ascii="方正仿宋_GBK" w:eastAsia="方正仿宋_GBK" w:hAnsi="方正仿宋_GBK" w:cs="方正仿宋_GBK" w:hint="eastAsia"/>
          <w:color w:val="auto"/>
          <w:sz w:val="30"/>
          <w:szCs w:val="30"/>
          <w:lang w:val="zh-CN"/>
        </w:rPr>
        <w:t>人：</w:t>
      </w:r>
    </w:p>
    <w:p>
      <w:pPr>
        <w:wordWrap w:val="0"/>
        <w:spacing w:before="120" w:beforeLines="50" w:line="579" w:lineRule="exact"/>
        <w:ind w:firstLine="2100" w:firstLineChars="700"/>
        <w:rPr>
          <w:rFonts w:ascii="方正仿宋_GBK" w:eastAsia="方正仿宋_GBK" w:hAnsi="方正仿宋_GBK" w:cs="方正仿宋_GBK"/>
          <w:color w:val="auto"/>
          <w:sz w:val="30"/>
          <w:szCs w:val="30"/>
          <w:lang w:val="zh-CN"/>
        </w:rPr>
      </w:pPr>
      <w:r>
        <w:rPr>
          <w:rFonts w:ascii="方正仿宋_GBK" w:eastAsia="方正仿宋_GBK" w:hAnsi="方正仿宋_GBK" w:cs="方正仿宋_GBK" w:hint="eastAsia"/>
          <w:color w:val="auto"/>
          <w:sz w:val="30"/>
          <w:szCs w:val="30"/>
          <w:lang w:val="zh-CN"/>
        </w:rPr>
        <w:t>委托代理人：</w:t>
      </w:r>
    </w:p>
    <w:p>
      <w:pPr>
        <w:wordWrap w:val="0"/>
        <w:spacing w:before="120" w:beforeLines="50" w:line="579" w:lineRule="exact"/>
        <w:ind w:firstLine="2100" w:firstLineChars="7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lang w:val="zh-CN"/>
        </w:rPr>
        <w:t xml:space="preserve">经  办  人：   </w:t>
      </w:r>
      <w:r>
        <w:rPr>
          <w:rFonts w:ascii="方正仿宋_GBK" w:eastAsia="方正仿宋_GBK" w:hAnsi="方正仿宋_GBK" w:cs="方正仿宋_GBK" w:hint="eastAsia"/>
          <w:color w:val="auto"/>
          <w:sz w:val="30"/>
          <w:szCs w:val="30"/>
        </w:rPr>
        <w:t xml:space="preserve">    </w:t>
      </w:r>
      <w:r>
        <w:rPr>
          <w:rFonts w:ascii="方正仿宋_GBK" w:eastAsia="方正仿宋_GBK" w:hAnsi="方正仿宋_GBK" w:cs="方正仿宋_GBK" w:hint="eastAsia"/>
          <w:color w:val="auto"/>
          <w:sz w:val="30"/>
          <w:szCs w:val="30"/>
          <w:lang w:val="zh-CN"/>
        </w:rPr>
        <w:t xml:space="preserve">电话： </w:t>
      </w:r>
    </w:p>
    <w:p>
      <w:pPr>
        <w:wordWrap w:val="0"/>
        <w:spacing w:before="120" w:beforeLines="50" w:line="579" w:lineRule="exact"/>
        <w:ind w:firstLine="2400" w:firstLineChars="8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开户银行：</w:t>
      </w:r>
    </w:p>
    <w:p>
      <w:pPr>
        <w:wordWrap w:val="0"/>
        <w:spacing w:before="120" w:beforeLines="50" w:line="579" w:lineRule="exact"/>
        <w:ind w:firstLine="2400" w:firstLineChars="8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账</w:t>
      </w:r>
      <w:r>
        <w:rPr>
          <w:rFonts w:ascii="方正仿宋_GBK" w:eastAsia="方正仿宋_GBK" w:hAnsi="方正仿宋_GBK" w:cs="方正仿宋_GBK" w:hint="eastAsia"/>
          <w:color w:val="auto"/>
          <w:sz w:val="30"/>
          <w:szCs w:val="30"/>
          <w:lang w:val="zh-CN"/>
        </w:rPr>
        <w:t xml:space="preserve"> </w:t>
      </w:r>
      <w:r>
        <w:rPr>
          <w:rFonts w:ascii="方正仿宋_GBK" w:eastAsia="方正仿宋_GBK" w:hAnsi="方正仿宋_GBK" w:cs="方正仿宋_GBK" w:hint="eastAsia"/>
          <w:color w:val="auto"/>
          <w:sz w:val="30"/>
          <w:szCs w:val="30"/>
        </w:rPr>
        <w:t xml:space="preserve">  </w:t>
      </w:r>
      <w:r>
        <w:rPr>
          <w:rFonts w:ascii="方正仿宋_GBK" w:eastAsia="方正仿宋_GBK" w:hAnsi="方正仿宋_GBK" w:cs="方正仿宋_GBK" w:hint="eastAsia"/>
          <w:color w:val="auto"/>
          <w:sz w:val="30"/>
          <w:szCs w:val="30"/>
          <w:lang w:val="zh-CN"/>
        </w:rPr>
        <w:t xml:space="preserve"> </w:t>
      </w:r>
      <w:r>
        <w:rPr>
          <w:rFonts w:ascii="方正仿宋_GBK" w:eastAsia="方正仿宋_GBK" w:hAnsi="方正仿宋_GBK" w:cs="方正仿宋_GBK" w:hint="eastAsia"/>
          <w:color w:val="auto"/>
          <w:sz w:val="30"/>
          <w:szCs w:val="30"/>
        </w:rPr>
        <w:t>号：</w:t>
      </w:r>
    </w:p>
    <w:p>
      <w:pPr>
        <w:pStyle w:val="NormalIndent"/>
        <w:spacing w:line="579" w:lineRule="exact"/>
        <w:ind w:firstLine="600"/>
        <w:rPr>
          <w:rFonts w:ascii="方正仿宋_GBK" w:eastAsia="方正仿宋_GBK" w:hAnsi="方正仿宋_GBK" w:cs="方正仿宋_GBK"/>
          <w:color w:val="auto"/>
          <w:sz w:val="30"/>
          <w:szCs w:val="30"/>
        </w:rPr>
      </w:pPr>
    </w:p>
    <w:p>
      <w:pPr>
        <w:wordWrap w:val="0"/>
        <w:spacing w:before="120" w:beforeLines="50" w:line="579" w:lineRule="exact"/>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lang w:val="zh-CN"/>
        </w:rPr>
        <w:t>乙方（投标人）名      称：</w:t>
      </w:r>
    </w:p>
    <w:p>
      <w:pPr>
        <w:wordWrap w:val="0"/>
        <w:spacing w:before="120" w:beforeLines="50" w:line="579" w:lineRule="exact"/>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lang w:val="zh-CN"/>
        </w:rPr>
        <w:t xml:space="preserve">              地      址：</w:t>
      </w:r>
    </w:p>
    <w:p>
      <w:pPr>
        <w:wordWrap w:val="0"/>
        <w:spacing w:before="120" w:beforeLines="50" w:line="579" w:lineRule="exact"/>
        <w:rPr>
          <w:rFonts w:ascii="方正仿宋_GBK" w:eastAsia="方正仿宋_GBK" w:hAnsi="方正仿宋_GBK" w:cs="方正仿宋_GBK"/>
          <w:color w:val="auto"/>
          <w:sz w:val="30"/>
          <w:szCs w:val="30"/>
          <w:lang w:val="zh-CN"/>
        </w:rPr>
      </w:pPr>
      <w:r>
        <w:rPr>
          <w:rFonts w:ascii="方正仿宋_GBK" w:eastAsia="方正仿宋_GBK" w:hAnsi="方正仿宋_GBK" w:cs="方正仿宋_GBK" w:hint="eastAsia"/>
          <w:color w:val="auto"/>
          <w:sz w:val="30"/>
          <w:szCs w:val="30"/>
          <w:lang w:val="zh-CN"/>
        </w:rPr>
        <w:t xml:space="preserve">              邮      编：</w:t>
      </w:r>
    </w:p>
    <w:p>
      <w:pPr>
        <w:wordWrap w:val="0"/>
        <w:spacing w:before="120" w:beforeLines="50" w:line="579" w:lineRule="exact"/>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lang w:val="zh-CN"/>
        </w:rPr>
        <w:t xml:space="preserve">              法定代表人：</w:t>
      </w:r>
    </w:p>
    <w:p>
      <w:pPr>
        <w:wordWrap w:val="0"/>
        <w:spacing w:before="120" w:beforeLines="50" w:line="579" w:lineRule="exact"/>
        <w:ind w:firstLine="2100" w:firstLineChars="7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lang w:val="zh-CN"/>
        </w:rPr>
        <w:t>委托代理人：       电话：</w:t>
      </w:r>
    </w:p>
    <w:p>
      <w:pPr>
        <w:wordWrap w:val="0"/>
        <w:spacing w:before="120" w:beforeLines="50" w:line="579" w:lineRule="exact"/>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lang w:val="zh-CN"/>
        </w:rPr>
        <w:t xml:space="preserve">          售后技术联系人：</w:t>
      </w:r>
      <w:r>
        <w:rPr>
          <w:rFonts w:ascii="方正仿宋_GBK" w:eastAsia="方正仿宋_GBK" w:hAnsi="方正仿宋_GBK" w:cs="方正仿宋_GBK" w:hint="eastAsia"/>
          <w:color w:val="auto"/>
          <w:sz w:val="30"/>
          <w:szCs w:val="30"/>
        </w:rPr>
        <w:t xml:space="preserve">       </w:t>
      </w:r>
      <w:r>
        <w:rPr>
          <w:rFonts w:ascii="方正仿宋_GBK" w:eastAsia="方正仿宋_GBK" w:hAnsi="方正仿宋_GBK" w:cs="方正仿宋_GBK" w:hint="eastAsia"/>
          <w:color w:val="auto"/>
          <w:sz w:val="30"/>
          <w:szCs w:val="30"/>
          <w:lang w:val="zh-CN"/>
        </w:rPr>
        <w:t>电话：</w:t>
      </w:r>
    </w:p>
    <w:p>
      <w:pPr>
        <w:wordWrap w:val="0"/>
        <w:spacing w:before="120" w:beforeLines="50" w:line="579" w:lineRule="exact"/>
        <w:ind w:firstLine="2400" w:firstLineChars="8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开户银行：</w:t>
      </w:r>
    </w:p>
    <w:p>
      <w:pPr>
        <w:wordWrap w:val="0"/>
        <w:spacing w:before="120" w:beforeLines="50" w:line="579" w:lineRule="exact"/>
        <w:ind w:firstLine="2400" w:firstLineChars="8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账</w:t>
      </w:r>
      <w:r>
        <w:rPr>
          <w:rFonts w:ascii="方正仿宋_GBK" w:eastAsia="方正仿宋_GBK" w:hAnsi="方正仿宋_GBK" w:cs="方正仿宋_GBK" w:hint="eastAsia"/>
          <w:color w:val="auto"/>
          <w:sz w:val="30"/>
          <w:szCs w:val="30"/>
          <w:lang w:val="zh-CN"/>
        </w:rPr>
        <w:t xml:space="preserve"> </w:t>
      </w:r>
      <w:r>
        <w:rPr>
          <w:rFonts w:ascii="方正仿宋_GBK" w:eastAsia="方正仿宋_GBK" w:hAnsi="方正仿宋_GBK" w:cs="方正仿宋_GBK" w:hint="eastAsia"/>
          <w:color w:val="auto"/>
          <w:sz w:val="30"/>
          <w:szCs w:val="30"/>
        </w:rPr>
        <w:t xml:space="preserve">  </w:t>
      </w:r>
      <w:r>
        <w:rPr>
          <w:rFonts w:ascii="方正仿宋_GBK" w:eastAsia="方正仿宋_GBK" w:hAnsi="方正仿宋_GBK" w:cs="方正仿宋_GBK" w:hint="eastAsia"/>
          <w:color w:val="auto"/>
          <w:sz w:val="30"/>
          <w:szCs w:val="30"/>
          <w:lang w:val="zh-CN"/>
        </w:rPr>
        <w:t xml:space="preserve"> </w:t>
      </w:r>
      <w:r>
        <w:rPr>
          <w:rFonts w:ascii="方正仿宋_GBK" w:eastAsia="方正仿宋_GBK" w:hAnsi="方正仿宋_GBK" w:cs="方正仿宋_GBK" w:hint="eastAsia"/>
          <w:color w:val="auto"/>
          <w:sz w:val="30"/>
          <w:szCs w:val="30"/>
        </w:rPr>
        <w:t>号：</w:t>
      </w:r>
    </w:p>
    <w:p>
      <w:pPr>
        <w:spacing w:line="600" w:lineRule="exact"/>
        <w:ind w:firstLine="640" w:firstLineChars="200"/>
        <w:rPr>
          <w:rFonts w:ascii="方正仿宋_GBK" w:eastAsia="方正仿宋_GBK" w:hAnsi="方正仿宋_GBK" w:cs="方正仿宋_GBK"/>
          <w:color w:val="auto"/>
          <w:sz w:val="32"/>
          <w:szCs w:val="32"/>
          <w:lang w:val="zh-CN"/>
        </w:rPr>
      </w:pPr>
    </w:p>
    <w:p>
      <w:pPr>
        <w:spacing w:line="600" w:lineRule="exact"/>
        <w:ind w:firstLine="640" w:firstLineChars="200"/>
        <w:rPr>
          <w:rFonts w:ascii="方正仿宋_GBK" w:eastAsia="方正仿宋_GBK" w:hAnsi="方正仿宋_GBK" w:cs="方正仿宋_GBK"/>
          <w:color w:val="auto"/>
          <w:sz w:val="32"/>
          <w:szCs w:val="32"/>
          <w:lang w:val="zh-CN"/>
        </w:rPr>
      </w:pPr>
    </w:p>
    <w:p>
      <w:pPr>
        <w:spacing w:line="600" w:lineRule="exact"/>
        <w:ind w:firstLine="640" w:firstLineChars="200"/>
        <w:rPr>
          <w:rFonts w:ascii="方正仿宋_GBK" w:eastAsia="方正仿宋_GBK" w:hAnsi="方正仿宋_GBK" w:cs="方正仿宋_GBK"/>
          <w:color w:val="auto"/>
          <w:sz w:val="32"/>
          <w:szCs w:val="32"/>
          <w:lang w:val="zh-CN"/>
        </w:rPr>
      </w:pPr>
    </w:p>
    <w:p>
      <w:pPr>
        <w:spacing w:line="600" w:lineRule="exact"/>
        <w:rPr>
          <w:rFonts w:ascii="方正仿宋_GBK" w:eastAsia="方正仿宋_GBK" w:hAnsi="方正仿宋_GBK" w:cs="方正仿宋_GBK"/>
          <w:color w:val="auto"/>
          <w:sz w:val="32"/>
          <w:szCs w:val="32"/>
          <w:lang w:val="zh-CN"/>
        </w:rPr>
      </w:pPr>
    </w:p>
    <w:p>
      <w:pPr>
        <w:wordWrap w:val="0"/>
        <w:spacing w:line="579" w:lineRule="exact"/>
        <w:jc w:val="center"/>
        <w:rPr>
          <w:rFonts w:ascii="方正小标宋_GBK" w:eastAsia="方正小标宋_GBK" w:hAnsi="方正小标宋_GBK" w:cs="方正小标宋_GBK"/>
          <w:b/>
          <w:bCs/>
          <w:color w:val="auto"/>
          <w:sz w:val="40"/>
          <w:szCs w:val="40"/>
        </w:rPr>
      </w:pPr>
      <w:r>
        <w:rPr>
          <w:rFonts w:ascii="方正小标宋_GBK" w:eastAsia="方正小标宋_GBK" w:hAnsi="方正小标宋_GBK" w:cs="方正小标宋_GBK" w:hint="eastAsia"/>
          <w:b/>
          <w:bCs/>
          <w:color w:val="auto"/>
          <w:sz w:val="40"/>
          <w:szCs w:val="40"/>
        </w:rPr>
        <w:t>合 同 书</w:t>
      </w:r>
    </w:p>
    <w:p>
      <w:pPr>
        <w:wordWrap w:val="0"/>
        <w:spacing w:line="500" w:lineRule="exact"/>
        <w:ind w:firstLine="600" w:firstLineChars="200"/>
        <w:rPr>
          <w:rFonts w:ascii="方正黑体_GBK" w:eastAsia="方正黑体_GBK" w:hAnsi="方正黑体_GBK" w:cs="方正黑体_GBK"/>
          <w:b/>
          <w:bCs/>
          <w:color w:val="auto"/>
          <w:sz w:val="30"/>
          <w:szCs w:val="30"/>
        </w:rPr>
      </w:pPr>
      <w:r>
        <w:rPr>
          <w:rFonts w:ascii="方正仿宋_GBK" w:eastAsia="方正仿宋_GBK" w:hAnsi="方正仿宋_GBK" w:cs="方正仿宋_GBK" w:hint="eastAsia"/>
          <w:color w:val="auto"/>
          <w:sz w:val="30"/>
          <w:szCs w:val="30"/>
        </w:rPr>
        <w:t>根据《中华人民共和国招标投标法》、《中华人民共和国政府采购法》、《中华人民共和国民法典》等法律、法规和相关规定，通过</w:t>
      </w:r>
      <w:r>
        <w:rPr>
          <w:rFonts w:ascii="方正仿宋_GBK" w:eastAsia="方正仿宋_GBK" w:hAnsi="方正仿宋_GBK" w:cs="方正仿宋_GBK" w:hint="eastAsia"/>
          <w:color w:val="auto"/>
          <w:sz w:val="30"/>
          <w:szCs w:val="30"/>
          <w:u w:val="single"/>
        </w:rPr>
        <w:t xml:space="preserve">         </w:t>
      </w:r>
      <w:r>
        <w:rPr>
          <w:rFonts w:ascii="方正仿宋_GBK" w:eastAsia="方正仿宋_GBK" w:hAnsi="方正仿宋_GBK" w:cs="方正仿宋_GBK" w:hint="eastAsia"/>
          <w:color w:val="auto"/>
          <w:sz w:val="30"/>
          <w:szCs w:val="30"/>
        </w:rPr>
        <w:t>项目（项目编号：</w:t>
      </w:r>
      <w:r>
        <w:rPr>
          <w:rFonts w:ascii="方正仿宋_GBK" w:eastAsia="方正仿宋_GBK" w:hAnsi="方正仿宋_GBK" w:cs="方正仿宋_GBK" w:hint="eastAsia"/>
          <w:color w:val="auto"/>
          <w:sz w:val="30"/>
          <w:szCs w:val="30"/>
          <w:u w:val="single"/>
        </w:rPr>
        <w:t xml:space="preserve">        </w:t>
      </w:r>
      <w:r>
        <w:rPr>
          <w:rFonts w:ascii="方正仿宋_GBK" w:eastAsia="方正仿宋_GBK" w:hAnsi="方正仿宋_GBK" w:cs="方正仿宋_GBK" w:hint="eastAsia"/>
          <w:color w:val="auto"/>
          <w:sz w:val="30"/>
          <w:szCs w:val="30"/>
        </w:rPr>
        <w:t>）的招标并经评审专家评定，确定</w:t>
      </w:r>
      <w:r>
        <w:rPr>
          <w:rFonts w:ascii="方正仿宋_GBK" w:eastAsia="方正仿宋_GBK" w:hAnsi="方正仿宋_GBK" w:cs="方正仿宋_GBK" w:hint="eastAsia"/>
          <w:color w:val="auto"/>
          <w:sz w:val="30"/>
          <w:szCs w:val="30"/>
          <w:u w:val="single"/>
        </w:rPr>
        <w:t xml:space="preserve">          </w:t>
      </w:r>
      <w:r>
        <w:rPr>
          <w:rFonts w:ascii="方正仿宋_GBK" w:eastAsia="方正仿宋_GBK" w:hAnsi="方正仿宋_GBK" w:cs="方正仿宋_GBK" w:hint="eastAsia"/>
          <w:color w:val="auto"/>
          <w:sz w:val="30"/>
          <w:szCs w:val="30"/>
        </w:rPr>
        <w:t>为中标单位。</w:t>
      </w:r>
      <w:r>
        <w:rPr>
          <w:rFonts w:ascii="方正仿宋_GBK" w:eastAsia="方正仿宋_GBK" w:hAnsi="方正仿宋_GBK" w:cs="方正仿宋_GBK" w:hint="eastAsia"/>
          <w:color w:val="auto"/>
          <w:sz w:val="30"/>
          <w:szCs w:val="30"/>
          <w:u w:val="single"/>
        </w:rPr>
        <w:t xml:space="preserve">           </w:t>
      </w:r>
      <w:r>
        <w:rPr>
          <w:rFonts w:ascii="方正仿宋_GBK" w:eastAsia="方正仿宋_GBK" w:hAnsi="方正仿宋_GBK" w:cs="方正仿宋_GBK" w:hint="eastAsia"/>
          <w:color w:val="auto"/>
          <w:sz w:val="30"/>
          <w:szCs w:val="30"/>
        </w:rPr>
        <w:t xml:space="preserve"> （以下简称甲方）与</w:t>
      </w:r>
      <w:r>
        <w:rPr>
          <w:rFonts w:ascii="方正仿宋_GBK" w:eastAsia="方正仿宋_GBK" w:hAnsi="方正仿宋_GBK" w:cs="方正仿宋_GBK" w:hint="eastAsia"/>
          <w:color w:val="auto"/>
          <w:sz w:val="30"/>
          <w:szCs w:val="30"/>
          <w:u w:val="single"/>
        </w:rPr>
        <w:t xml:space="preserve">            </w:t>
      </w:r>
      <w:r>
        <w:rPr>
          <w:rFonts w:ascii="方正仿宋_GBK" w:eastAsia="方正仿宋_GBK" w:hAnsi="方正仿宋_GBK" w:cs="方正仿宋_GBK" w:hint="eastAsia"/>
          <w:color w:val="auto"/>
          <w:sz w:val="30"/>
          <w:szCs w:val="30"/>
        </w:rPr>
        <w:t>（以下简称乙方）经友好协商，在平等自愿、诚实守信的原则下，同意按照下面条款签署本合同。</w:t>
      </w:r>
    </w:p>
    <w:p>
      <w:pPr>
        <w:wordWrap w:val="0"/>
        <w:spacing w:line="500" w:lineRule="exact"/>
        <w:ind w:firstLine="600" w:firstLineChars="200"/>
        <w:rPr>
          <w:rFonts w:ascii="方正仿宋_GBK" w:eastAsia="方正仿宋_GBK" w:hAnsi="方正仿宋_GBK" w:cs="方正仿宋_GBK"/>
          <w:b/>
          <w:bCs/>
          <w:color w:val="auto"/>
          <w:sz w:val="30"/>
          <w:szCs w:val="30"/>
        </w:rPr>
      </w:pPr>
      <w:r>
        <w:rPr>
          <w:rFonts w:ascii="方正黑体_GBK" w:eastAsia="方正黑体_GBK" w:hAnsi="方正黑体_GBK" w:cs="方正黑体_GBK" w:hint="eastAsia"/>
          <w:b/>
          <w:bCs/>
          <w:color w:val="auto"/>
          <w:sz w:val="30"/>
          <w:szCs w:val="30"/>
        </w:rPr>
        <w:t>一、合同及相关文件</w:t>
      </w:r>
    </w:p>
    <w:p>
      <w:pPr>
        <w:wordWrap w:val="0"/>
        <w:spacing w:line="500"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下列文件构成本合同的组成部分，应该认为是一个整体，彼此相互解释，相互补充。组成合同的多个文件的优先支配地位的次序如下：</w:t>
      </w:r>
    </w:p>
    <w:p>
      <w:pPr>
        <w:wordWrap w:val="0"/>
        <w:spacing w:line="500"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1、本合同书；</w:t>
      </w:r>
    </w:p>
    <w:p>
      <w:pPr>
        <w:wordWrap w:val="0"/>
        <w:spacing w:line="500"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2、中标通知书；</w:t>
      </w:r>
    </w:p>
    <w:p>
      <w:pPr>
        <w:wordWrap w:val="0"/>
        <w:spacing w:line="500"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3、投标文件 (含澄清文件)；</w:t>
      </w:r>
    </w:p>
    <w:p>
      <w:pPr>
        <w:wordWrap w:val="0"/>
        <w:spacing w:line="500" w:lineRule="exact"/>
        <w:ind w:firstLine="600" w:firstLineChars="200"/>
        <w:rPr>
          <w:rFonts w:ascii="方正仿宋_GBK" w:eastAsia="方正仿宋_GBK" w:hAnsi="方正仿宋_GBK" w:cs="方正仿宋_GBK" w:hint="eastAsia"/>
          <w:color w:val="auto"/>
          <w:sz w:val="30"/>
          <w:szCs w:val="30"/>
        </w:rPr>
      </w:pPr>
      <w:r>
        <w:rPr>
          <w:rFonts w:ascii="方正仿宋_GBK" w:eastAsia="方正仿宋_GBK" w:hAnsi="方正仿宋_GBK" w:cs="方正仿宋_GBK" w:hint="eastAsia"/>
          <w:color w:val="auto"/>
          <w:sz w:val="30"/>
          <w:szCs w:val="30"/>
        </w:rPr>
        <w:t>4、</w:t>
      </w:r>
      <w:r>
        <w:rPr>
          <w:rFonts w:ascii="方正仿宋_GBK" w:eastAsia="方正仿宋_GBK" w:hAnsi="方正仿宋_GBK" w:cs="方正仿宋_GBK" w:hint="eastAsia"/>
          <w:color w:val="auto"/>
          <w:sz w:val="30"/>
          <w:szCs w:val="30"/>
          <w:lang w:eastAsia="zh-CN"/>
        </w:rPr>
        <w:t>竞争性磋商文件</w:t>
      </w:r>
      <w:r>
        <w:rPr>
          <w:rFonts w:ascii="方正仿宋_GBK" w:eastAsia="方正仿宋_GBK" w:hAnsi="方正仿宋_GBK" w:cs="方正仿宋_GBK" w:hint="eastAsia"/>
          <w:color w:val="auto"/>
          <w:sz w:val="30"/>
          <w:szCs w:val="30"/>
        </w:rPr>
        <w:t xml:space="preserve"> (含</w:t>
      </w:r>
      <w:r>
        <w:rPr>
          <w:rFonts w:ascii="方正仿宋_GBK" w:eastAsia="方正仿宋_GBK" w:hAnsi="方正仿宋_GBK" w:cs="方正仿宋_GBK" w:hint="eastAsia"/>
          <w:color w:val="auto"/>
          <w:sz w:val="30"/>
          <w:szCs w:val="30"/>
          <w:lang w:eastAsia="zh-CN"/>
        </w:rPr>
        <w:t>竞争性磋商文件</w:t>
      </w:r>
      <w:r>
        <w:rPr>
          <w:rFonts w:ascii="方正仿宋_GBK" w:eastAsia="方正仿宋_GBK" w:hAnsi="方正仿宋_GBK" w:cs="方正仿宋_GBK" w:hint="eastAsia"/>
          <w:color w:val="auto"/>
          <w:sz w:val="30"/>
          <w:szCs w:val="30"/>
        </w:rPr>
        <w:t>补充通知)</w:t>
      </w:r>
    </w:p>
    <w:p>
      <w:pPr>
        <w:wordWrap w:val="0"/>
        <w:spacing w:line="500"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根据</w:t>
      </w:r>
      <w:r>
        <w:rPr>
          <w:rFonts w:ascii="方正仿宋_GBK" w:eastAsia="方正仿宋_GBK" w:hAnsi="方正仿宋_GBK" w:cs="方正仿宋_GBK" w:hint="eastAsia"/>
          <w:color w:val="auto"/>
          <w:sz w:val="30"/>
          <w:szCs w:val="30"/>
          <w:u w:val="single"/>
        </w:rPr>
        <w:t>XXX</w:t>
      </w:r>
      <w:r>
        <w:rPr>
          <w:rFonts w:ascii="方正仿宋_GBK" w:eastAsia="方正仿宋_GBK" w:hAnsi="方正仿宋_GBK" w:cs="方正仿宋_GBK" w:hint="eastAsia"/>
          <w:color w:val="auto"/>
          <w:sz w:val="30"/>
          <w:szCs w:val="30"/>
        </w:rPr>
        <w:t>采购项目（</w:t>
      </w:r>
      <w:r>
        <w:rPr>
          <w:rFonts w:ascii="方正仿宋_GBK" w:eastAsia="方正仿宋_GBK" w:hAnsi="方正仿宋_GBK" w:cs="方正仿宋_GBK" w:hint="eastAsia"/>
          <w:color w:val="auto"/>
          <w:sz w:val="30"/>
          <w:szCs w:val="30"/>
          <w:u w:val="single"/>
        </w:rPr>
        <w:t>X</w:t>
      </w:r>
      <w:r>
        <w:rPr>
          <w:rFonts w:ascii="方正仿宋_GBK" w:eastAsia="方正仿宋_GBK" w:hAnsi="方正仿宋_GBK" w:cs="方正仿宋_GBK" w:hint="eastAsia"/>
          <w:color w:val="auto"/>
          <w:sz w:val="30"/>
          <w:szCs w:val="30"/>
        </w:rPr>
        <w:t>标段：</w:t>
      </w:r>
      <w:r>
        <w:rPr>
          <w:rFonts w:ascii="方正仿宋_GBK" w:eastAsia="方正仿宋_GBK" w:hAnsi="方正仿宋_GBK" w:cs="方正仿宋_GBK" w:hint="eastAsia"/>
          <w:color w:val="auto"/>
          <w:sz w:val="30"/>
          <w:szCs w:val="30"/>
          <w:u w:val="single"/>
        </w:rPr>
        <w:t>XXX</w:t>
      </w:r>
      <w:r>
        <w:rPr>
          <w:rFonts w:ascii="方正仿宋_GBK" w:eastAsia="方正仿宋_GBK" w:hAnsi="方正仿宋_GBK" w:cs="方正仿宋_GBK" w:hint="eastAsia"/>
          <w:color w:val="auto"/>
          <w:sz w:val="30"/>
          <w:szCs w:val="30"/>
        </w:rPr>
        <w:t>）的采购结果，按相关法律法规，经甲乙双方协商，签订本合同。</w:t>
      </w:r>
    </w:p>
    <w:p>
      <w:pPr>
        <w:wordWrap w:val="0"/>
        <w:spacing w:line="500" w:lineRule="exact"/>
        <w:ind w:firstLine="600" w:firstLineChars="200"/>
        <w:rPr>
          <w:rFonts w:ascii="方正黑体_GBK" w:eastAsia="方正黑体_GBK" w:hAnsi="方正黑体_GBK" w:cs="方正黑体_GBK"/>
          <w:color w:val="auto"/>
          <w:sz w:val="30"/>
          <w:szCs w:val="30"/>
        </w:rPr>
      </w:pPr>
      <w:r>
        <w:rPr>
          <w:rFonts w:ascii="方正黑体_GBK" w:eastAsia="方正黑体_GBK" w:hAnsi="方正黑体_GBK" w:cs="方正黑体_GBK" w:hint="eastAsia"/>
          <w:color w:val="auto"/>
          <w:sz w:val="30"/>
          <w:szCs w:val="30"/>
        </w:rPr>
        <w:t>二、采购概况</w:t>
      </w:r>
    </w:p>
    <w:p>
      <w:pPr>
        <w:spacing w:line="579" w:lineRule="exact"/>
        <w:ind w:firstLine="600" w:firstLineChars="200"/>
        <w:jc w:val="center"/>
        <w:rPr>
          <w:rFonts w:ascii="方正黑体_GBK" w:eastAsia="方正黑体_GBK" w:hAnsi="方正黑体_GBK" w:cs="方正黑体_GBK"/>
          <w:color w:val="auto"/>
          <w:sz w:val="30"/>
          <w:szCs w:val="30"/>
        </w:rPr>
      </w:pPr>
      <w:r>
        <w:rPr>
          <w:rFonts w:ascii="方正黑体_GBK" w:eastAsia="方正黑体_GBK" w:hAnsi="方正黑体_GBK" w:cs="方正黑体_GBK" w:hint="eastAsia"/>
          <w:color w:val="auto"/>
          <w:sz w:val="30"/>
          <w:szCs w:val="30"/>
        </w:rPr>
        <w:t>供</w:t>
      </w:r>
      <w:r>
        <w:rPr>
          <w:rFonts w:ascii="方正黑体_GBK" w:eastAsia="方正黑体_GBK" w:hAnsi="方正黑体_GBK" w:cs="方正黑体_GBK"/>
          <w:color w:val="auto"/>
          <w:sz w:val="30"/>
          <w:szCs w:val="30"/>
        </w:rPr>
        <w:t>货清单</w:t>
      </w:r>
    </w:p>
    <w:tbl>
      <w:tblPr>
        <w:tblStyle w:val="TableGrid"/>
        <w:tblW w:w="8416" w:type="dxa"/>
        <w:tblInd w:w="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
      <w:tblGrid>
        <w:gridCol w:w="1372"/>
        <w:gridCol w:w="709"/>
        <w:gridCol w:w="1180"/>
        <w:gridCol w:w="708"/>
        <w:gridCol w:w="947"/>
        <w:gridCol w:w="896"/>
        <w:gridCol w:w="726"/>
        <w:gridCol w:w="939"/>
        <w:gridCol w:w="939"/>
      </w:tblGrid>
      <w:tr>
        <w:tblPrEx>
          <w:tblW w:w="8416" w:type="dxa"/>
          <w:tblInd w:w="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Ex>
        <w:tc>
          <w:tcPr>
            <w:tcW w:w="1372" w:type="dxa"/>
            <w:vMerge w:val="restart"/>
          </w:tcPr>
          <w:p>
            <w:pPr>
              <w:keepNext w:val="0"/>
              <w:keepLines w:val="0"/>
              <w:widowControl w:val="0"/>
              <w:suppressLineNumbers w:val="0"/>
              <w:spacing w:before="0" w:beforeAutospacing="0" w:after="0" w:afterAutospacing="0"/>
              <w:ind w:left="0" w:right="0"/>
              <w:jc w:val="both"/>
              <w:rPr>
                <w:rStyle w:val="DefaultParagraphFont"/>
                <w:rFonts w:ascii="Calibri" w:eastAsia="宋体" w:hAnsi="Calibri" w:cs="Times New Roman" w:hint="default"/>
                <w:b/>
                <w:color w:val="auto"/>
                <w:kern w:val="0"/>
                <w:sz w:val="24"/>
                <w:szCs w:val="24"/>
                <w:lang w:val="en-US" w:eastAsia="zh-CN" w:bidi="ar-SA"/>
              </w:rPr>
            </w:pPr>
            <w:r>
              <w:rPr>
                <w:rFonts w:ascii="Calibri" w:eastAsia="宋体" w:hAnsi="Calibri" w:cs="Times New Roman" w:hint="eastAsia"/>
                <w:b/>
                <w:color w:val="auto"/>
                <w:kern w:val="0"/>
                <w:sz w:val="24"/>
                <w:szCs w:val="24"/>
                <w:lang w:val="en-US" w:eastAsia="zh-CN" w:bidi="ar-SA"/>
              </w:rPr>
              <w:t>货品名称</w:t>
            </w:r>
          </w:p>
        </w:tc>
        <w:tc>
          <w:tcPr>
            <w:tcW w:w="709" w:type="dxa"/>
            <w:vMerge w:val="restart"/>
          </w:tcPr>
          <w:p>
            <w:pPr>
              <w:keepNext w:val="0"/>
              <w:keepLines w:val="0"/>
              <w:widowControl w:val="0"/>
              <w:suppressLineNumbers w:val="0"/>
              <w:spacing w:before="0" w:beforeAutospacing="0" w:after="0" w:afterAutospacing="0"/>
              <w:ind w:left="0" w:right="0"/>
              <w:jc w:val="both"/>
              <w:rPr>
                <w:rStyle w:val="DefaultParagraphFont"/>
                <w:rFonts w:ascii="Calibri" w:eastAsia="宋体" w:hAnsi="Calibri" w:cs="Times New Roman" w:hint="default"/>
                <w:b/>
                <w:color w:val="auto"/>
                <w:kern w:val="0"/>
                <w:sz w:val="24"/>
                <w:szCs w:val="24"/>
                <w:lang w:val="en-US" w:eastAsia="zh-CN" w:bidi="ar-SA"/>
              </w:rPr>
            </w:pPr>
            <w:r>
              <w:rPr>
                <w:rFonts w:ascii="Calibri" w:eastAsia="宋体" w:hAnsi="Calibri" w:cs="Times New Roman" w:hint="default"/>
                <w:b/>
                <w:color w:val="auto"/>
                <w:kern w:val="0"/>
                <w:sz w:val="24"/>
                <w:szCs w:val="24"/>
                <w:lang w:val="en-US" w:eastAsia="zh-CN" w:bidi="ar-SA"/>
              </w:rPr>
              <w:t>品牌</w:t>
            </w:r>
          </w:p>
        </w:tc>
        <w:tc>
          <w:tcPr>
            <w:tcW w:w="1180" w:type="dxa"/>
            <w:vMerge w:val="restart"/>
          </w:tcPr>
          <w:p>
            <w:pPr>
              <w:keepNext w:val="0"/>
              <w:keepLines w:val="0"/>
              <w:widowControl w:val="0"/>
              <w:suppressLineNumbers w:val="0"/>
              <w:spacing w:before="0" w:beforeAutospacing="0" w:after="0" w:afterAutospacing="0"/>
              <w:ind w:left="0" w:right="0"/>
              <w:jc w:val="both"/>
              <w:rPr>
                <w:rStyle w:val="DefaultParagraphFont"/>
                <w:rFonts w:ascii="Calibri" w:eastAsia="宋体" w:hAnsi="Calibri" w:cs="Times New Roman" w:hint="default"/>
                <w:b/>
                <w:color w:val="auto"/>
                <w:kern w:val="0"/>
                <w:sz w:val="24"/>
                <w:szCs w:val="24"/>
                <w:lang w:val="en-US" w:eastAsia="zh-CN" w:bidi="ar-SA"/>
              </w:rPr>
            </w:pPr>
            <w:r>
              <w:rPr>
                <w:rFonts w:ascii="Calibri" w:eastAsia="宋体" w:hAnsi="Calibri" w:cs="Times New Roman" w:hint="default"/>
                <w:b/>
                <w:color w:val="auto"/>
                <w:kern w:val="0"/>
                <w:sz w:val="24"/>
                <w:szCs w:val="24"/>
                <w:lang w:val="en-US" w:eastAsia="zh-CN" w:bidi="ar-SA"/>
              </w:rPr>
              <w:t>型号规格</w:t>
            </w:r>
          </w:p>
        </w:tc>
        <w:tc>
          <w:tcPr>
            <w:tcW w:w="708" w:type="dxa"/>
            <w:vMerge w:val="restart"/>
          </w:tcPr>
          <w:p>
            <w:pPr>
              <w:keepNext w:val="0"/>
              <w:keepLines w:val="0"/>
              <w:widowControl w:val="0"/>
              <w:suppressLineNumbers w:val="0"/>
              <w:spacing w:before="0" w:beforeAutospacing="0" w:after="0" w:afterAutospacing="0"/>
              <w:ind w:left="0" w:right="0"/>
              <w:jc w:val="both"/>
              <w:rPr>
                <w:rStyle w:val="DefaultParagraphFont"/>
                <w:rFonts w:ascii="Calibri" w:eastAsia="宋体" w:hAnsi="Calibri" w:cs="Times New Roman" w:hint="default"/>
                <w:b/>
                <w:color w:val="auto"/>
                <w:kern w:val="0"/>
                <w:sz w:val="24"/>
                <w:szCs w:val="24"/>
                <w:lang w:val="en-US" w:eastAsia="zh-CN" w:bidi="ar-SA"/>
              </w:rPr>
            </w:pPr>
            <w:r>
              <w:rPr>
                <w:rFonts w:ascii="Calibri" w:eastAsia="宋体" w:hAnsi="Calibri" w:cs="Times New Roman" w:hint="default"/>
                <w:b/>
                <w:color w:val="auto"/>
                <w:kern w:val="0"/>
                <w:sz w:val="24"/>
                <w:szCs w:val="24"/>
                <w:lang w:val="en-US" w:eastAsia="zh-CN" w:bidi="ar-SA"/>
              </w:rPr>
              <w:t>产地</w:t>
            </w:r>
          </w:p>
        </w:tc>
        <w:tc>
          <w:tcPr>
            <w:tcW w:w="947" w:type="dxa"/>
            <w:vMerge w:val="restart"/>
          </w:tcPr>
          <w:p>
            <w:pPr>
              <w:keepNext w:val="0"/>
              <w:keepLines w:val="0"/>
              <w:widowControl w:val="0"/>
              <w:suppressLineNumbers w:val="0"/>
              <w:spacing w:before="0" w:beforeAutospacing="0" w:after="0" w:afterAutospacing="0"/>
              <w:ind w:left="0" w:right="0"/>
              <w:jc w:val="both"/>
              <w:rPr>
                <w:rStyle w:val="DefaultParagraphFont"/>
                <w:rFonts w:ascii="Calibri" w:eastAsia="宋体" w:hAnsi="Calibri" w:cs="Times New Roman" w:hint="default"/>
                <w:b/>
                <w:color w:val="auto"/>
                <w:kern w:val="0"/>
                <w:sz w:val="24"/>
                <w:szCs w:val="24"/>
                <w:lang w:val="en-US" w:eastAsia="zh-CN" w:bidi="ar-SA"/>
              </w:rPr>
            </w:pPr>
            <w:r>
              <w:rPr>
                <w:rFonts w:ascii="Calibri" w:eastAsia="宋体" w:hAnsi="Calibri" w:cs="Times New Roman" w:hint="default"/>
                <w:b/>
                <w:color w:val="auto"/>
                <w:kern w:val="0"/>
                <w:sz w:val="24"/>
                <w:szCs w:val="24"/>
                <w:lang w:val="en-US" w:eastAsia="zh-CN" w:bidi="ar-SA"/>
              </w:rPr>
              <w:t>制造商</w:t>
            </w:r>
          </w:p>
        </w:tc>
        <w:tc>
          <w:tcPr>
            <w:tcW w:w="896" w:type="dxa"/>
            <w:vMerge w:val="restart"/>
          </w:tcPr>
          <w:p>
            <w:pPr>
              <w:keepNext w:val="0"/>
              <w:keepLines w:val="0"/>
              <w:widowControl w:val="0"/>
              <w:suppressLineNumbers w:val="0"/>
              <w:spacing w:before="0" w:beforeAutospacing="0" w:after="0" w:afterAutospacing="0"/>
              <w:ind w:left="0" w:right="0"/>
              <w:jc w:val="both"/>
              <w:rPr>
                <w:rStyle w:val="DefaultParagraphFont"/>
                <w:rFonts w:ascii="Calibri" w:eastAsia="宋体" w:hAnsi="Calibri" w:cs="Times New Roman" w:hint="default"/>
                <w:b/>
                <w:color w:val="auto"/>
                <w:kern w:val="0"/>
                <w:sz w:val="24"/>
                <w:szCs w:val="24"/>
                <w:lang w:val="en-US" w:eastAsia="zh-CN" w:bidi="ar-SA"/>
              </w:rPr>
            </w:pPr>
            <w:r>
              <w:rPr>
                <w:rFonts w:ascii="Calibri" w:eastAsia="宋体" w:hAnsi="Calibri" w:cs="Times New Roman" w:hint="default"/>
                <w:b/>
                <w:color w:val="auto"/>
                <w:kern w:val="0"/>
                <w:sz w:val="24"/>
                <w:szCs w:val="24"/>
                <w:lang w:val="en-US" w:eastAsia="zh-CN" w:bidi="ar-SA"/>
              </w:rPr>
              <w:t>数量</w:t>
            </w:r>
          </w:p>
        </w:tc>
        <w:tc>
          <w:tcPr>
            <w:tcW w:w="726" w:type="dxa"/>
            <w:vMerge w:val="restart"/>
          </w:tcPr>
          <w:p>
            <w:pPr>
              <w:keepNext w:val="0"/>
              <w:keepLines w:val="0"/>
              <w:widowControl w:val="0"/>
              <w:suppressLineNumbers w:val="0"/>
              <w:spacing w:before="0" w:beforeAutospacing="0" w:after="0" w:afterAutospacing="0"/>
              <w:ind w:left="0" w:right="0"/>
              <w:jc w:val="both"/>
              <w:rPr>
                <w:rStyle w:val="DefaultParagraphFont"/>
                <w:rFonts w:ascii="Calibri" w:eastAsia="宋体" w:hAnsi="Calibri" w:cs="Times New Roman" w:hint="default"/>
                <w:b/>
                <w:color w:val="auto"/>
                <w:kern w:val="0"/>
                <w:sz w:val="24"/>
                <w:szCs w:val="24"/>
                <w:lang w:val="en-US" w:eastAsia="zh-CN" w:bidi="ar-SA"/>
              </w:rPr>
            </w:pPr>
            <w:r>
              <w:rPr>
                <w:rFonts w:ascii="Calibri" w:eastAsia="宋体" w:hAnsi="Calibri" w:cs="Times New Roman" w:hint="default"/>
                <w:b/>
                <w:color w:val="auto"/>
                <w:kern w:val="0"/>
                <w:sz w:val="24"/>
                <w:szCs w:val="24"/>
                <w:lang w:val="en-US" w:eastAsia="zh-CN" w:bidi="ar-SA"/>
              </w:rPr>
              <w:t>单位</w:t>
            </w:r>
          </w:p>
        </w:tc>
        <w:tc>
          <w:tcPr>
            <w:tcW w:w="939" w:type="dxa"/>
          </w:tcPr>
          <w:p>
            <w:pPr>
              <w:keepNext w:val="0"/>
              <w:keepLines w:val="0"/>
              <w:widowControl w:val="0"/>
              <w:suppressLineNumbers w:val="0"/>
              <w:spacing w:before="0" w:beforeAutospacing="0" w:after="0" w:afterAutospacing="0"/>
              <w:ind w:left="0" w:right="0"/>
              <w:jc w:val="both"/>
              <w:rPr>
                <w:rStyle w:val="DefaultParagraphFont"/>
                <w:rFonts w:ascii="Calibri" w:eastAsia="宋体" w:hAnsi="Calibri" w:cs="Times New Roman" w:hint="default"/>
                <w:b/>
                <w:color w:val="auto"/>
                <w:kern w:val="0"/>
                <w:sz w:val="24"/>
                <w:szCs w:val="24"/>
                <w:lang w:val="en-US" w:eastAsia="zh-CN" w:bidi="ar-SA"/>
              </w:rPr>
            </w:pPr>
            <w:r>
              <w:rPr>
                <w:rFonts w:ascii="Calibri" w:eastAsia="宋体" w:hAnsi="Calibri" w:cs="Times New Roman" w:hint="default"/>
                <w:b/>
                <w:color w:val="auto"/>
                <w:kern w:val="0"/>
                <w:sz w:val="24"/>
                <w:szCs w:val="24"/>
                <w:lang w:val="en-US" w:eastAsia="zh-CN" w:bidi="ar-SA"/>
              </w:rPr>
              <w:t>单价（元）</w:t>
            </w:r>
          </w:p>
        </w:tc>
        <w:tc>
          <w:tcPr>
            <w:tcW w:w="939" w:type="dxa"/>
          </w:tcPr>
          <w:p>
            <w:pPr>
              <w:keepNext w:val="0"/>
              <w:keepLines w:val="0"/>
              <w:widowControl w:val="0"/>
              <w:suppressLineNumbers w:val="0"/>
              <w:spacing w:before="0" w:beforeAutospacing="0" w:after="0" w:afterAutospacing="0"/>
              <w:ind w:left="0" w:right="0"/>
              <w:jc w:val="both"/>
              <w:rPr>
                <w:rStyle w:val="DefaultParagraphFont"/>
                <w:rFonts w:ascii="Calibri" w:eastAsia="宋体" w:hAnsi="Calibri" w:cs="Times New Roman" w:hint="default"/>
                <w:b/>
                <w:color w:val="auto"/>
                <w:kern w:val="0"/>
                <w:sz w:val="24"/>
                <w:szCs w:val="24"/>
                <w:lang w:val="en-US" w:eastAsia="zh-CN" w:bidi="ar-SA"/>
              </w:rPr>
            </w:pPr>
            <w:r>
              <w:rPr>
                <w:rFonts w:ascii="Calibri" w:eastAsia="宋体" w:hAnsi="Calibri" w:cs="Times New Roman" w:hint="default"/>
                <w:b/>
                <w:color w:val="auto"/>
                <w:kern w:val="0"/>
                <w:sz w:val="24"/>
                <w:szCs w:val="24"/>
                <w:lang w:val="en-US" w:eastAsia="zh-CN" w:bidi="ar-SA"/>
              </w:rPr>
              <w:t>总价（元）</w:t>
            </w:r>
          </w:p>
        </w:tc>
      </w:tr>
      <w:tr>
        <w:tblPrEx>
          <w:tblW w:w="8416" w:type="dxa"/>
          <w:tblInd w:w="554" w:type="dxa"/>
          <w:tblLayout w:type="fixed"/>
          <w:tblCellMar>
            <w:top w:w="0" w:type="dxa"/>
            <w:left w:w="108" w:type="dxa"/>
            <w:bottom w:w="0" w:type="dxa"/>
            <w:right w:w="108" w:type="dxa"/>
          </w:tblCellMar>
          <w:tblLook w:val="04A0"/>
        </w:tblPrEx>
        <w:tc>
          <w:tcPr>
            <w:tcW w:w="1372" w:type="dxa"/>
            <w:vMerge/>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b/>
                <w:color w:val="auto"/>
                <w:kern w:val="0"/>
                <w:sz w:val="24"/>
                <w:szCs w:val="24"/>
                <w:lang w:val="en-US" w:eastAsia="zh-CN" w:bidi="ar-SA"/>
              </w:rPr>
            </w:pPr>
          </w:p>
        </w:tc>
        <w:tc>
          <w:tcPr>
            <w:tcW w:w="709" w:type="dxa"/>
            <w:vMerge/>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b/>
                <w:color w:val="auto"/>
                <w:kern w:val="0"/>
                <w:sz w:val="24"/>
                <w:szCs w:val="24"/>
                <w:lang w:val="en-US" w:eastAsia="zh-CN" w:bidi="ar-SA"/>
              </w:rPr>
            </w:pPr>
          </w:p>
        </w:tc>
        <w:tc>
          <w:tcPr>
            <w:tcW w:w="1180" w:type="dxa"/>
            <w:vMerge/>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b/>
                <w:color w:val="auto"/>
                <w:kern w:val="0"/>
                <w:sz w:val="24"/>
                <w:szCs w:val="24"/>
                <w:lang w:val="en-US" w:eastAsia="zh-CN" w:bidi="ar-SA"/>
              </w:rPr>
            </w:pPr>
          </w:p>
        </w:tc>
        <w:tc>
          <w:tcPr>
            <w:tcW w:w="708" w:type="dxa"/>
            <w:vMerge/>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b/>
                <w:color w:val="auto"/>
                <w:kern w:val="0"/>
                <w:sz w:val="24"/>
                <w:szCs w:val="24"/>
                <w:lang w:val="en-US" w:eastAsia="zh-CN" w:bidi="ar-SA"/>
              </w:rPr>
            </w:pPr>
          </w:p>
        </w:tc>
        <w:tc>
          <w:tcPr>
            <w:tcW w:w="947" w:type="dxa"/>
            <w:vMerge/>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b/>
                <w:color w:val="auto"/>
                <w:kern w:val="0"/>
                <w:sz w:val="24"/>
                <w:szCs w:val="24"/>
                <w:lang w:val="en-US" w:eastAsia="zh-CN" w:bidi="ar-SA"/>
              </w:rPr>
            </w:pPr>
          </w:p>
        </w:tc>
        <w:tc>
          <w:tcPr>
            <w:tcW w:w="896" w:type="dxa"/>
            <w:vMerge/>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b/>
                <w:color w:val="auto"/>
                <w:kern w:val="0"/>
                <w:sz w:val="24"/>
                <w:szCs w:val="24"/>
                <w:lang w:val="en-US" w:eastAsia="zh-CN" w:bidi="ar-SA"/>
              </w:rPr>
            </w:pPr>
          </w:p>
        </w:tc>
        <w:tc>
          <w:tcPr>
            <w:tcW w:w="726" w:type="dxa"/>
            <w:vMerge/>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b/>
                <w:color w:val="auto"/>
                <w:kern w:val="0"/>
                <w:sz w:val="24"/>
                <w:szCs w:val="24"/>
                <w:lang w:val="en-US" w:eastAsia="zh-CN" w:bidi="ar-SA"/>
              </w:rPr>
            </w:pPr>
          </w:p>
        </w:tc>
        <w:tc>
          <w:tcPr>
            <w:tcW w:w="1878" w:type="dxa"/>
            <w:gridSpan w:val="2"/>
          </w:tcPr>
          <w:p>
            <w:pPr>
              <w:keepNext w:val="0"/>
              <w:keepLines w:val="0"/>
              <w:widowControl w:val="0"/>
              <w:suppressLineNumbers w:val="0"/>
              <w:spacing w:before="0" w:beforeAutospacing="0" w:after="0" w:afterAutospacing="0"/>
              <w:ind w:left="0" w:right="0" w:firstLine="600" w:firstLineChars="250"/>
              <w:jc w:val="both"/>
              <w:rPr>
                <w:rStyle w:val="DefaultParagraphFont"/>
                <w:rFonts w:ascii="方正黑体_GBK" w:eastAsia="方正黑体_GBK" w:hAnsi="方正黑体_GBK" w:cs="方正黑体_GBK" w:hint="default"/>
                <w:b/>
                <w:color w:val="auto"/>
                <w:kern w:val="0"/>
                <w:sz w:val="24"/>
                <w:szCs w:val="24"/>
                <w:lang w:val="en-US" w:eastAsia="zh-CN" w:bidi="ar-SA"/>
              </w:rPr>
            </w:pPr>
            <w:r>
              <w:rPr>
                <w:rFonts w:ascii="Calibri" w:eastAsia="宋体" w:hAnsi="Calibri" w:cs="Times New Roman" w:hint="eastAsia"/>
                <w:b/>
                <w:color w:val="auto"/>
                <w:kern w:val="0"/>
                <w:sz w:val="24"/>
                <w:szCs w:val="24"/>
                <w:lang w:val="en-US" w:eastAsia="zh-CN" w:bidi="ar-SA"/>
              </w:rPr>
              <w:t>含</w:t>
            </w:r>
            <w:r>
              <w:rPr>
                <w:rFonts w:ascii="Calibri" w:eastAsia="宋体" w:hAnsi="Calibri" w:cs="Times New Roman" w:hint="default"/>
                <w:b/>
                <w:color w:val="auto"/>
                <w:kern w:val="0"/>
                <w:sz w:val="24"/>
                <w:szCs w:val="24"/>
                <w:lang w:val="en-US" w:eastAsia="zh-CN" w:bidi="ar-SA"/>
              </w:rPr>
              <w:t>税价</w:t>
            </w:r>
          </w:p>
        </w:tc>
      </w:tr>
      <w:tr>
        <w:tblPrEx>
          <w:tblW w:w="8416" w:type="dxa"/>
          <w:tblInd w:w="554" w:type="dxa"/>
          <w:tblLayout w:type="fixed"/>
          <w:tblCellMar>
            <w:top w:w="0" w:type="dxa"/>
            <w:left w:w="108" w:type="dxa"/>
            <w:bottom w:w="0" w:type="dxa"/>
            <w:right w:w="108" w:type="dxa"/>
          </w:tblCellMar>
          <w:tblLook w:val="04A0"/>
        </w:tblPrEx>
        <w:tc>
          <w:tcPr>
            <w:tcW w:w="1372"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709"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1180"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708"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947"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896"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726"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939"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939"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r>
      <w:tr>
        <w:tblPrEx>
          <w:tblW w:w="8416" w:type="dxa"/>
          <w:tblInd w:w="554" w:type="dxa"/>
          <w:tblLayout w:type="fixed"/>
          <w:tblCellMar>
            <w:top w:w="0" w:type="dxa"/>
            <w:left w:w="108" w:type="dxa"/>
            <w:bottom w:w="0" w:type="dxa"/>
            <w:right w:w="108" w:type="dxa"/>
          </w:tblCellMar>
          <w:tblLook w:val="04A0"/>
        </w:tblPrEx>
        <w:tc>
          <w:tcPr>
            <w:tcW w:w="1372"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709"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1180"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708"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947"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896"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726"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939"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939"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r>
      <w:tr>
        <w:tblPrEx>
          <w:tblW w:w="8416" w:type="dxa"/>
          <w:tblInd w:w="554" w:type="dxa"/>
          <w:tblLayout w:type="fixed"/>
          <w:tblCellMar>
            <w:top w:w="0" w:type="dxa"/>
            <w:left w:w="108" w:type="dxa"/>
            <w:bottom w:w="0" w:type="dxa"/>
            <w:right w:w="108" w:type="dxa"/>
          </w:tblCellMar>
          <w:tblLook w:val="04A0"/>
        </w:tblPrEx>
        <w:tc>
          <w:tcPr>
            <w:tcW w:w="1372"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709"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1180"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708"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947"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896"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726"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939"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c>
          <w:tcPr>
            <w:tcW w:w="939" w:type="dxa"/>
          </w:tcPr>
          <w:p>
            <w:pPr>
              <w:keepNext w:val="0"/>
              <w:keepLines w:val="0"/>
              <w:widowControl w:val="0"/>
              <w:suppressLineNumbers w:val="0"/>
              <w:spacing w:before="0" w:beforeAutospacing="0" w:after="0" w:afterAutospacing="0" w:line="579" w:lineRule="exact"/>
              <w:ind w:left="0" w:right="0"/>
              <w:jc w:val="center"/>
              <w:rPr>
                <w:rStyle w:val="DefaultParagraphFont"/>
                <w:rFonts w:ascii="方正黑体_GBK" w:eastAsia="方正黑体_GBK" w:hAnsi="方正黑体_GBK" w:cs="方正黑体_GBK" w:hint="default"/>
                <w:color w:val="auto"/>
                <w:kern w:val="0"/>
                <w:sz w:val="30"/>
                <w:szCs w:val="30"/>
                <w:lang w:val="en-US" w:eastAsia="zh-CN" w:bidi="ar-SA"/>
              </w:rPr>
            </w:pPr>
          </w:p>
        </w:tc>
      </w:tr>
    </w:tbl>
    <w:p>
      <w:pPr>
        <w:wordWrap w:val="0"/>
        <w:spacing w:line="579" w:lineRule="exact"/>
        <w:ind w:firstLine="64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2"/>
          <w:szCs w:val="32"/>
        </w:rPr>
        <w:t>合</w:t>
      </w:r>
      <w:r>
        <w:rPr>
          <w:rFonts w:ascii="方正仿宋_GBK" w:eastAsia="方正仿宋_GBK" w:hAnsi="方正仿宋_GBK" w:cs="方正仿宋_GBK" w:hint="eastAsia"/>
          <w:color w:val="auto"/>
          <w:sz w:val="30"/>
          <w:szCs w:val="30"/>
        </w:rPr>
        <w:t>同总价：</w:t>
      </w:r>
      <w:r>
        <w:rPr>
          <w:rFonts w:ascii="方正仿宋_GBK" w:eastAsia="方正仿宋_GBK" w:hAnsi="方正仿宋_GBK" w:cs="方正仿宋_GBK" w:hint="eastAsia"/>
          <w:color w:val="auto"/>
          <w:sz w:val="30"/>
          <w:szCs w:val="30"/>
          <w:u w:val="single"/>
        </w:rPr>
        <w:t xml:space="preserve">                               </w:t>
      </w:r>
      <w:r>
        <w:rPr>
          <w:rFonts w:ascii="方正仿宋_GBK" w:eastAsia="方正仿宋_GBK" w:hAnsi="方正仿宋_GBK" w:cs="方正仿宋_GBK" w:hint="eastAsia"/>
          <w:color w:val="auto"/>
          <w:sz w:val="30"/>
          <w:szCs w:val="30"/>
        </w:rPr>
        <w:t xml:space="preserve">。 </w:t>
      </w:r>
    </w:p>
    <w:p>
      <w:pPr>
        <w:wordWrap w:val="0"/>
        <w:spacing w:line="579" w:lineRule="exact"/>
        <w:ind w:firstLine="600" w:firstLineChars="200"/>
        <w:rPr>
          <w:rFonts w:ascii="方正仿宋_GBK" w:eastAsia="方正仿宋_GBK" w:hAnsi="方正仿宋_GBK" w:cs="方正仿宋_GBK"/>
          <w:color w:val="auto"/>
          <w:sz w:val="30"/>
          <w:szCs w:val="30"/>
          <w:highlight w:val="none"/>
        </w:rPr>
      </w:pPr>
      <w:r>
        <w:rPr>
          <w:rFonts w:ascii="方正仿宋_GBK" w:eastAsia="方正仿宋_GBK" w:hAnsi="方正仿宋_GBK" w:cs="方正仿宋_GBK" w:hint="eastAsia"/>
          <w:color w:val="auto"/>
          <w:sz w:val="30"/>
          <w:szCs w:val="30"/>
        </w:rPr>
        <w:t>交 货 期：</w:t>
      </w:r>
      <w:r>
        <w:rPr>
          <w:rFonts w:ascii="方正仿宋_GBK" w:eastAsia="方正仿宋_GBK" w:hAnsi="方正仿宋_GBK" w:cs="方正仿宋_GBK" w:hint="eastAsia"/>
          <w:color w:val="auto"/>
          <w:sz w:val="30"/>
          <w:szCs w:val="30"/>
          <w:highlight w:val="none"/>
        </w:rPr>
        <w:t>合同签订后</w:t>
      </w:r>
      <w:r>
        <w:rPr>
          <w:rFonts w:ascii="方正仿宋_GBK" w:eastAsia="方正仿宋_GBK" w:hAnsi="方正仿宋_GBK" w:cs="方正仿宋_GBK" w:hint="eastAsia"/>
          <w:color w:val="auto"/>
          <w:sz w:val="30"/>
          <w:szCs w:val="30"/>
          <w:highlight w:val="none"/>
          <w:u w:val="single"/>
          <w:lang w:val="en-US" w:eastAsia="zh-CN"/>
        </w:rPr>
        <w:t>15</w:t>
      </w:r>
      <w:r>
        <w:rPr>
          <w:rFonts w:ascii="方正仿宋_GBK" w:eastAsia="方正仿宋_GBK" w:hAnsi="方正仿宋_GBK" w:cs="方正仿宋_GBK" w:hint="eastAsia"/>
          <w:color w:val="auto"/>
          <w:sz w:val="30"/>
          <w:szCs w:val="30"/>
          <w:highlight w:val="none"/>
        </w:rPr>
        <w:t>个日历天内完成供货。</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交货地点：</w:t>
      </w:r>
      <w:r>
        <w:rPr>
          <w:rFonts w:ascii="方正仿宋_GBK" w:eastAsia="方正仿宋_GBK" w:hAnsi="方正仿宋_GBK" w:cs="方正仿宋_GBK" w:hint="eastAsia"/>
          <w:color w:val="auto"/>
          <w:sz w:val="30"/>
          <w:szCs w:val="30"/>
          <w:u w:val="single"/>
        </w:rPr>
        <w:t>西双版纳傣族自治州消防救援支队指定地点。</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质 保 期：</w:t>
      </w:r>
      <w:r>
        <w:rPr>
          <w:rFonts w:ascii="方正仿宋_GBK" w:eastAsia="方正仿宋_GBK" w:hAnsi="方正仿宋_GBK" w:cs="方正仿宋_GBK" w:hint="eastAsia"/>
          <w:color w:val="auto"/>
          <w:sz w:val="30"/>
          <w:szCs w:val="30"/>
          <w:lang w:eastAsia="zh-CN"/>
        </w:rPr>
        <w:t>到货</w:t>
      </w:r>
      <w:r>
        <w:rPr>
          <w:rFonts w:ascii="方正仿宋_GBK" w:eastAsia="方正仿宋_GBK" w:hAnsi="方正仿宋_GBK" w:cs="方正仿宋_GBK" w:hint="eastAsia"/>
          <w:color w:val="auto"/>
          <w:sz w:val="30"/>
          <w:szCs w:val="30"/>
        </w:rPr>
        <w:t>验收合格之日起</w:t>
      </w:r>
      <w:r>
        <w:rPr>
          <w:rFonts w:ascii="方正仿宋_GBK" w:eastAsia="方正仿宋_GBK" w:hAnsi="方正仿宋_GBK" w:cs="方正仿宋_GBK" w:hint="eastAsia"/>
          <w:color w:val="auto"/>
          <w:sz w:val="30"/>
          <w:szCs w:val="30"/>
          <w:u w:val="single"/>
          <w:lang w:val="en-US" w:eastAsia="zh-CN"/>
        </w:rPr>
        <w:t>24</w:t>
      </w:r>
      <w:r>
        <w:rPr>
          <w:rFonts w:ascii="方正仿宋_GBK" w:eastAsia="方正仿宋_GBK" w:hAnsi="方正仿宋_GBK" w:cs="方正仿宋_GBK" w:hint="eastAsia"/>
          <w:color w:val="auto"/>
          <w:sz w:val="30"/>
          <w:szCs w:val="30"/>
          <w:lang w:eastAsia="zh-CN"/>
        </w:rPr>
        <w:t>个月</w:t>
      </w:r>
      <w:r>
        <w:rPr>
          <w:rFonts w:ascii="方正仿宋_GBK" w:eastAsia="方正仿宋_GBK" w:hAnsi="方正仿宋_GBK" w:cs="方正仿宋_GBK" w:hint="eastAsia"/>
          <w:color w:val="auto"/>
          <w:sz w:val="30"/>
          <w:szCs w:val="30"/>
        </w:rPr>
        <w:t>。</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乙方应在本合同约定的交货期前10个日历天内以电话或传真形式将合同号、货物名称、数量等备妥交货日期通知甲方。</w:t>
      </w:r>
    </w:p>
    <w:p>
      <w:pPr>
        <w:wordWrap w:val="0"/>
        <w:spacing w:before="120" w:beforeLines="50" w:after="120" w:afterLines="50" w:line="579" w:lineRule="exact"/>
        <w:ind w:firstLine="600" w:firstLineChars="200"/>
        <w:rPr>
          <w:rFonts w:ascii="方正黑体_GBK" w:eastAsia="方正黑体_GBK" w:hAnsi="方正黑体_GBK" w:cs="方正黑体_GBK"/>
          <w:b/>
          <w:color w:val="auto"/>
          <w:sz w:val="30"/>
          <w:szCs w:val="30"/>
        </w:rPr>
      </w:pPr>
      <w:r>
        <w:rPr>
          <w:rFonts w:ascii="方正黑体_GBK" w:eastAsia="方正黑体_GBK" w:hAnsi="方正黑体_GBK" w:cs="方正黑体_GBK" w:hint="eastAsia"/>
          <w:b/>
          <w:color w:val="auto"/>
          <w:sz w:val="30"/>
          <w:szCs w:val="30"/>
        </w:rPr>
        <w:t>三、履约保证金</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乙方于合同签订前向甲方提交合同金额的5%（金额： XXXXX元，大写：人民币XXXXXX 元整）作为履约保证金。</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甲方账户名：</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甲方开户行：</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账      号：</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履约保证金收取方式：银行汇款</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履约保证金退还：货物验收合格后，履约保证金转化为质量保证金，自验收合格之日起</w:t>
      </w:r>
      <w:r>
        <w:rPr>
          <w:rFonts w:ascii="方正仿宋_GBK" w:eastAsia="方正仿宋_GBK" w:hAnsi="方正仿宋_GBK" w:cs="方正仿宋_GBK" w:hint="eastAsia"/>
          <w:color w:val="auto"/>
          <w:sz w:val="30"/>
          <w:szCs w:val="30"/>
          <w:u w:val="single"/>
          <w:lang w:val="en-US" w:eastAsia="zh-CN"/>
        </w:rPr>
        <w:t>2</w:t>
      </w:r>
      <w:r>
        <w:rPr>
          <w:rFonts w:ascii="方正仿宋_GBK" w:eastAsia="方正仿宋_GBK" w:hAnsi="方正仿宋_GBK" w:cs="方正仿宋_GBK" w:hint="eastAsia"/>
          <w:color w:val="auto"/>
          <w:sz w:val="30"/>
          <w:szCs w:val="30"/>
        </w:rPr>
        <w:t>年期满后，无质量问题及无违约行为，甲方在30个</w:t>
      </w:r>
      <w:r>
        <w:rPr>
          <w:rFonts w:ascii="方正仿宋_GBK" w:eastAsia="方正仿宋_GBK" w:hAnsi="方正仿宋_GBK" w:cs="方正仿宋_GBK" w:hint="eastAsia"/>
          <w:color w:val="auto"/>
          <w:sz w:val="30"/>
          <w:szCs w:val="30"/>
          <w:lang w:val="en-US" w:eastAsia="zh-CN"/>
        </w:rPr>
        <w:t>日历天</w:t>
      </w:r>
      <w:r>
        <w:rPr>
          <w:rFonts w:ascii="方正仿宋_GBK" w:eastAsia="方正仿宋_GBK" w:hAnsi="方正仿宋_GBK" w:cs="方正仿宋_GBK" w:hint="eastAsia"/>
          <w:color w:val="auto"/>
          <w:sz w:val="30"/>
          <w:szCs w:val="30"/>
        </w:rPr>
        <w:t>内一次性无息退还。</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乙方账户名：</w:t>
      </w:r>
      <w:r>
        <w:rPr>
          <w:rFonts w:ascii="方正仿宋_GBK" w:eastAsia="方正仿宋_GBK" w:hAnsi="方正仿宋_GBK" w:cs="方正仿宋_GBK" w:hint="eastAsia"/>
          <w:color w:val="auto"/>
          <w:sz w:val="30"/>
          <w:szCs w:val="30"/>
          <w:u w:val="single"/>
        </w:rPr>
        <w:t>XXXXXXXXXXX</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乙方开户行：</w:t>
      </w:r>
      <w:r>
        <w:rPr>
          <w:rFonts w:ascii="方正仿宋_GBK" w:eastAsia="方正仿宋_GBK" w:hAnsi="方正仿宋_GBK" w:cs="方正仿宋_GBK" w:hint="eastAsia"/>
          <w:color w:val="auto"/>
          <w:sz w:val="30"/>
          <w:szCs w:val="30"/>
          <w:u w:val="single"/>
        </w:rPr>
        <w:t>XXXXXXXXXXX</w:t>
      </w:r>
      <w:r>
        <w:rPr>
          <w:rFonts w:ascii="方正仿宋_GBK" w:eastAsia="方正仿宋_GBK" w:hAnsi="方正仿宋_GBK" w:cs="方正仿宋_GBK" w:hint="eastAsia"/>
          <w:color w:val="auto"/>
          <w:sz w:val="30"/>
          <w:szCs w:val="30"/>
        </w:rPr>
        <w:t xml:space="preserve"> </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账      号：</w:t>
      </w:r>
      <w:r>
        <w:rPr>
          <w:rFonts w:ascii="方正仿宋_GBK" w:eastAsia="方正仿宋_GBK" w:hAnsi="方正仿宋_GBK" w:cs="方正仿宋_GBK" w:hint="eastAsia"/>
          <w:color w:val="auto"/>
          <w:sz w:val="30"/>
          <w:szCs w:val="30"/>
          <w:u w:val="single"/>
        </w:rPr>
        <w:t>XXXXXXXXXXX</w:t>
      </w:r>
    </w:p>
    <w:p>
      <w:pPr>
        <w:wordWrap w:val="0"/>
        <w:spacing w:line="579" w:lineRule="exact"/>
        <w:ind w:firstLine="600" w:firstLineChars="200"/>
        <w:rPr>
          <w:rFonts w:ascii="方正黑体_GBK" w:eastAsia="方正黑体_GBK" w:hAnsi="方正黑体_GBK" w:cs="方正黑体_GBK"/>
          <w:b/>
          <w:color w:val="auto"/>
          <w:sz w:val="30"/>
          <w:szCs w:val="30"/>
        </w:rPr>
      </w:pPr>
      <w:r>
        <w:rPr>
          <w:rFonts w:ascii="方正黑体_GBK" w:eastAsia="方正黑体_GBK" w:hAnsi="方正黑体_GBK" w:cs="方正黑体_GBK" w:hint="eastAsia"/>
          <w:b/>
          <w:color w:val="auto"/>
          <w:sz w:val="30"/>
          <w:szCs w:val="30"/>
        </w:rPr>
        <w:t>四、合同价款及支付</w:t>
      </w:r>
    </w:p>
    <w:p>
      <w:pPr>
        <w:wordWrap w:val="0"/>
        <w:spacing w:line="579" w:lineRule="exact"/>
        <w:ind w:left="-482"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 xml:space="preserve">预付款：甲方在收到乙方的履约保证金后，乙方应出具书面的付款申请，并内向甲方开具等额、真实、合法的有效发票。甲方在10个工作日内，支付合同价款的30%即 </w:t>
      </w:r>
      <w:r>
        <w:rPr>
          <w:rFonts w:ascii="方正仿宋_GBK" w:eastAsia="方正仿宋_GBK" w:hAnsi="方正仿宋_GBK" w:cs="方正仿宋_GBK" w:hint="eastAsia"/>
          <w:color w:val="auto"/>
          <w:sz w:val="30"/>
          <w:szCs w:val="30"/>
          <w:u w:val="single"/>
        </w:rPr>
        <w:t xml:space="preserve">                  </w:t>
      </w:r>
      <w:r>
        <w:rPr>
          <w:rFonts w:ascii="方正仿宋_GBK" w:eastAsia="方正仿宋_GBK" w:hAnsi="方正仿宋_GBK" w:cs="方正仿宋_GBK" w:hint="eastAsia"/>
          <w:color w:val="auto"/>
          <w:sz w:val="30"/>
          <w:szCs w:val="30"/>
        </w:rPr>
        <w:t>元（大写：人民币</w:t>
      </w:r>
      <w:r>
        <w:rPr>
          <w:rFonts w:ascii="方正仿宋_GBK" w:eastAsia="方正仿宋_GBK" w:hAnsi="方正仿宋_GBK" w:cs="方正仿宋_GBK" w:hint="eastAsia"/>
          <w:color w:val="auto"/>
          <w:sz w:val="30"/>
          <w:szCs w:val="30"/>
          <w:u w:val="single"/>
        </w:rPr>
        <w:t xml:space="preserve"> </w:t>
      </w:r>
      <w:r>
        <w:rPr>
          <w:rFonts w:ascii="方正仿宋_GBK" w:eastAsia="方正仿宋_GBK" w:hAnsi="方正仿宋_GBK" w:cs="方正仿宋_GBK" w:hint="eastAsia"/>
          <w:color w:val="auto"/>
          <w:sz w:val="30"/>
          <w:szCs w:val="30"/>
        </w:rPr>
        <w:t xml:space="preserve">元整）。验收款：甲方在到货并进行验收合格后，乙方应出具书面的付款申请，并向甲方开具等额、真实、合法的有效发票。甲方在30个工作日内，支付合同价款的70%，即 </w:t>
      </w:r>
      <w:r>
        <w:rPr>
          <w:rFonts w:ascii="方正仿宋_GBK" w:eastAsia="方正仿宋_GBK" w:hAnsi="方正仿宋_GBK" w:cs="方正仿宋_GBK" w:hint="eastAsia"/>
          <w:color w:val="auto"/>
          <w:sz w:val="30"/>
          <w:szCs w:val="30"/>
          <w:u w:val="single"/>
        </w:rPr>
        <w:t xml:space="preserve">                  </w:t>
      </w:r>
      <w:r>
        <w:rPr>
          <w:rFonts w:ascii="方正仿宋_GBK" w:eastAsia="方正仿宋_GBK" w:hAnsi="方正仿宋_GBK" w:cs="方正仿宋_GBK" w:hint="eastAsia"/>
          <w:color w:val="auto"/>
          <w:sz w:val="30"/>
          <w:szCs w:val="30"/>
        </w:rPr>
        <w:t>元（大写：人民币</w:t>
      </w:r>
      <w:r>
        <w:rPr>
          <w:rFonts w:ascii="方正仿宋_GBK" w:eastAsia="方正仿宋_GBK" w:hAnsi="方正仿宋_GBK" w:cs="方正仿宋_GBK" w:hint="eastAsia"/>
          <w:color w:val="auto"/>
          <w:sz w:val="30"/>
          <w:szCs w:val="30"/>
          <w:u w:val="single"/>
        </w:rPr>
        <w:t xml:space="preserve">    </w:t>
      </w:r>
      <w:r>
        <w:rPr>
          <w:rFonts w:ascii="方正仿宋_GBK" w:eastAsia="方正仿宋_GBK" w:hAnsi="方正仿宋_GBK" w:cs="方正仿宋_GBK" w:hint="eastAsia"/>
          <w:color w:val="auto"/>
          <w:sz w:val="30"/>
          <w:szCs w:val="30"/>
        </w:rPr>
        <w:t>元整。</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鉴于本项目甲方资金来源于财政部门的拨款，乙方理解并同意甲方按照本合同约定向乙方支付货款的前提条件为：甲方已收到相关政府部门支付的本合同项下的全部或相应资金或款项。如因政府部门未及时向甲方支付相关款项，导致甲方不能向乙方支付货款等相关费用的，不视为甲方违约，且甲方有权顺延向乙方支付费用的时间。</w:t>
      </w:r>
    </w:p>
    <w:p>
      <w:pPr>
        <w:wordWrap w:val="0"/>
        <w:spacing w:line="579" w:lineRule="exact"/>
        <w:ind w:firstLine="600" w:firstLineChars="200"/>
        <w:rPr>
          <w:rFonts w:ascii="方正黑体_GBK" w:eastAsia="方正黑体_GBK" w:hAnsi="方正黑体_GBK" w:cs="方正黑体_GBK"/>
          <w:b/>
          <w:color w:val="auto"/>
          <w:sz w:val="30"/>
          <w:szCs w:val="30"/>
        </w:rPr>
      </w:pPr>
      <w:r>
        <w:rPr>
          <w:rFonts w:ascii="方正黑体_GBK" w:eastAsia="方正黑体_GBK" w:hAnsi="方正黑体_GBK" w:cs="方正黑体_GBK" w:hint="eastAsia"/>
          <w:b/>
          <w:color w:val="auto"/>
          <w:sz w:val="30"/>
          <w:szCs w:val="30"/>
        </w:rPr>
        <w:t>五、验收及验收标准</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（一）乙方提供的货物或服务应符合国家规定的标准、行业标准、招投标文件及本合同约定，乙方提供的货物，应当是符合甲方要求的全新的、经出厂检验合格的产品。</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（二）全部货物运抵现场后，乙方应当于3个日历天内通知甲方验收，甲方应在接到乙方通知后</w:t>
      </w:r>
      <w:r>
        <w:rPr>
          <w:rFonts w:ascii="方正仿宋_GBK" w:eastAsia="方正仿宋_GBK" w:hAnsi="方正仿宋_GBK" w:cs="方正仿宋_GBK" w:hint="eastAsia"/>
          <w:color w:val="auto"/>
          <w:sz w:val="30"/>
          <w:szCs w:val="30"/>
          <w:lang w:val="en-US" w:eastAsia="zh-CN"/>
        </w:rPr>
        <w:t>7</w:t>
      </w:r>
      <w:r>
        <w:rPr>
          <w:rFonts w:ascii="方正仿宋_GBK" w:eastAsia="方正仿宋_GBK" w:hAnsi="方正仿宋_GBK" w:cs="方正仿宋_GBK" w:hint="eastAsia"/>
          <w:color w:val="auto"/>
          <w:sz w:val="30"/>
          <w:szCs w:val="30"/>
        </w:rPr>
        <w:t>个工作日内对货物进行验收，即为到货验收。本项目全部货物质量保证期届满后30个工作日内，由甲方对货物及乙方服务、履行本合同情况（有无违约、有无侵害甲方权益等事项）进行最终验收检验。验收或检验不合格的，甲方有权要求乙方限期履行合同义务、无偿给予更换、维修、退货、解除本合同及采取其他有效补救措施，乙方同意按照约定履行。</w:t>
      </w:r>
    </w:p>
    <w:p>
      <w:pPr>
        <w:pStyle w:val="BodyTextFirstIndent"/>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（三）验收和检验应当按照甲方要求及安排进行，乙方配合甲方做好验收工作，本合同货物及服务应当符合国家规定的标准以及行业标准</w:t>
      </w:r>
      <w:r>
        <w:rPr>
          <w:rFonts w:ascii="方正仿宋_GBK" w:eastAsia="方正仿宋_GBK" w:hAnsi="方正仿宋_GBK" w:cs="方正仿宋_GBK" w:hint="eastAsia"/>
          <w:color w:val="auto"/>
          <w:sz w:val="30"/>
          <w:szCs w:val="30"/>
          <w:lang w:eastAsia="zh-CN"/>
        </w:rPr>
        <w:t>，</w:t>
      </w:r>
      <w:r>
        <w:rPr>
          <w:rFonts w:ascii="方正仿宋_GBK" w:eastAsia="方正仿宋_GBK" w:hAnsi="方正仿宋_GBK" w:cs="方正仿宋_GBK" w:hint="eastAsia"/>
          <w:color w:val="auto"/>
          <w:sz w:val="30"/>
          <w:szCs w:val="30"/>
          <w:lang w:val="en-US" w:eastAsia="zh-CN"/>
        </w:rPr>
        <w:t>并按</w:t>
      </w:r>
      <w:r>
        <w:rPr>
          <w:rFonts w:ascii="方正仿宋_GBK" w:eastAsia="方正仿宋_GBK" w:hAnsi="方正仿宋_GBK" w:cs="方正仿宋_GBK" w:hint="eastAsia"/>
          <w:color w:val="auto"/>
          <w:sz w:val="30"/>
          <w:szCs w:val="30"/>
          <w:lang w:eastAsia="zh-CN"/>
        </w:rPr>
        <w:t>中标时所提供的样品进行验收。</w:t>
      </w:r>
      <w:r>
        <w:rPr>
          <w:rFonts w:ascii="方正仿宋_GBK" w:eastAsia="方正仿宋_GBK" w:hAnsi="方正仿宋_GBK" w:cs="方正仿宋_GBK" w:hint="eastAsia"/>
          <w:color w:val="auto"/>
          <w:sz w:val="30"/>
          <w:szCs w:val="30"/>
        </w:rPr>
        <w:t>若发现交付货物或完成的服务不符合要求或存在质量问题，乙方应当按照甲方要求采取有效补救措施，如果超过45个日历天仍未有效解决的，视为验收不合格，一律终止履行合同，所供产品由中标人自行带回，并根据合同违约条款，没收其履约保证金，纳入支队采购黑名单,并在政府采购网公示其违约事实；验收通过不免除产品隐藏的质量问题担保责任，如验收后发现产品存在隐藏的质量问题，乙方仍承担相应的产品质量责任，甲方有权要求乙方支付合同总价5%的违约金，因乙方所提供的货物及服务未能达到国家规定标准或者行业标准，亦或者因其他质量问题造成甲方及第三方造成损害的，一切后果则由乙方承担。</w:t>
      </w:r>
    </w:p>
    <w:p>
      <w:pPr>
        <w:wordWrap w:val="0"/>
        <w:spacing w:before="120" w:beforeLines="50" w:after="120" w:afterLines="50" w:line="579" w:lineRule="exact"/>
        <w:ind w:firstLine="600" w:firstLineChars="200"/>
        <w:rPr>
          <w:rFonts w:ascii="方正黑体_GBK" w:eastAsia="方正黑体_GBK" w:hAnsi="方正黑体_GBK" w:cs="方正黑体_GBK"/>
          <w:b/>
          <w:color w:val="auto"/>
          <w:sz w:val="30"/>
          <w:szCs w:val="30"/>
        </w:rPr>
      </w:pPr>
      <w:r>
        <w:rPr>
          <w:rFonts w:ascii="方正黑体_GBK" w:eastAsia="方正黑体_GBK" w:hAnsi="方正黑体_GBK" w:cs="方正黑体_GBK" w:hint="eastAsia"/>
          <w:b/>
          <w:color w:val="auto"/>
          <w:sz w:val="30"/>
          <w:szCs w:val="30"/>
        </w:rPr>
        <w:t>六、售后及技术服务</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售后服务内容：质保期内，免费上门保修或免费更换，同一货物、同一质量问题连续三次维修仍无法正常使用，乙方必须予以更换同品牌或不低于投标配置的其它产品；质保期外，收取成本费维修（人为故意损坏除外）。</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技术服务内容：甲方在设备使用过程中发生技术质量问题，乙方应提供及时有效的技术支持。乙方应向甲方提供在省内的维修服务中心、特约维修服务站等售后服务网点的名单、联系地址、联系电话。</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lang w:eastAsia="zh-CN"/>
        </w:rPr>
        <w:t>项目</w:t>
      </w:r>
      <w:r>
        <w:rPr>
          <w:rFonts w:ascii="方正仿宋_GBK" w:eastAsia="方正仿宋_GBK" w:hAnsi="方正仿宋_GBK" w:cs="方正仿宋_GBK" w:hint="eastAsia"/>
          <w:color w:val="auto"/>
          <w:sz w:val="30"/>
          <w:szCs w:val="30"/>
        </w:rPr>
        <w:t>联系人：XX     电话：XXXX</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lang w:eastAsia="zh-CN"/>
        </w:rPr>
        <w:t>售后</w:t>
      </w:r>
      <w:r>
        <w:rPr>
          <w:rFonts w:ascii="方正仿宋_GBK" w:eastAsia="方正仿宋_GBK" w:hAnsi="方正仿宋_GBK" w:cs="方正仿宋_GBK" w:hint="eastAsia"/>
          <w:color w:val="auto"/>
          <w:sz w:val="30"/>
          <w:szCs w:val="30"/>
        </w:rPr>
        <w:t>联系人：XX     电话：XXXX</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联系地址：</w:t>
      </w:r>
    </w:p>
    <w:p>
      <w:pPr>
        <w:wordWrap w:val="0"/>
        <w:spacing w:before="120" w:beforeLines="50" w:after="120" w:afterLines="50" w:line="579" w:lineRule="exact"/>
        <w:ind w:firstLine="600" w:firstLineChars="200"/>
        <w:rPr>
          <w:rFonts w:ascii="方正黑体_GBK" w:eastAsia="方正黑体_GBK" w:hAnsi="方正黑体_GBK" w:cs="方正黑体_GBK"/>
          <w:b/>
          <w:color w:val="auto"/>
          <w:sz w:val="30"/>
          <w:szCs w:val="30"/>
        </w:rPr>
      </w:pPr>
      <w:r>
        <w:rPr>
          <w:rFonts w:ascii="方正黑体_GBK" w:eastAsia="方正黑体_GBK" w:hAnsi="方正黑体_GBK" w:cs="方正黑体_GBK" w:hint="eastAsia"/>
          <w:b/>
          <w:color w:val="auto"/>
          <w:sz w:val="30"/>
          <w:szCs w:val="30"/>
        </w:rPr>
        <w:t>七、送货、安装调试等要求</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（一）合同总价格为甲方指定地点交货价并包含安装运输调试等全部费用。</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（二）本合同的供货范围，除包括上述货物外，还包括随机的备品备件，相应的技术服务与质量保证文件。</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（三）设备安装调试符合国家行业标准，并满足甲方技术要求，乙方负责进行设备的免费安装测试同时完成。</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（四）乙方应以收货单位共同完成货物数量当面清点、品牌型号核对、签收、验收、培训。双方当事人签字、盖章、留存（3份，收货单位1份，乙方1份，甲方1份）。</w:t>
      </w:r>
    </w:p>
    <w:p>
      <w:pPr>
        <w:wordWrap w:val="0"/>
        <w:spacing w:before="120" w:beforeLines="50" w:after="120" w:afterLines="50" w:line="579" w:lineRule="exact"/>
        <w:ind w:firstLine="600" w:firstLineChars="200"/>
        <w:rPr>
          <w:rFonts w:ascii="方正黑体_GBK" w:eastAsia="方正黑体_GBK" w:hAnsi="方正黑体_GBK" w:cs="方正黑体_GBK"/>
          <w:b/>
          <w:color w:val="auto"/>
          <w:sz w:val="30"/>
          <w:szCs w:val="30"/>
        </w:rPr>
      </w:pPr>
      <w:r>
        <w:rPr>
          <w:rFonts w:ascii="方正黑体_GBK" w:eastAsia="方正黑体_GBK" w:hAnsi="方正黑体_GBK" w:cs="方正黑体_GBK" w:hint="eastAsia"/>
          <w:b/>
          <w:color w:val="auto"/>
          <w:sz w:val="30"/>
          <w:szCs w:val="30"/>
        </w:rPr>
        <w:t>八、甲乙双方的权利和义务</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楷体_GBK" w:eastAsia="方正楷体_GBK" w:hAnsi="方正楷体_GBK" w:cs="方正楷体_GBK" w:hint="eastAsia"/>
          <w:color w:val="auto"/>
          <w:sz w:val="30"/>
          <w:szCs w:val="30"/>
        </w:rPr>
        <w:t>（一）甲方的权利和义务</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1、负责合同签订后项目协调的工作（如与乙方的具体联系和衔接，产品现场安装调试或项目建设施工时配备人员进行监管控制）；</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2、负责提供产品</w:t>
      </w:r>
      <w:r>
        <w:rPr>
          <w:rFonts w:ascii="方正仿宋_GBK" w:eastAsia="方正仿宋_GBK" w:hAnsi="方正仿宋_GBK" w:cs="方正仿宋_GBK" w:hint="eastAsia"/>
          <w:color w:val="auto"/>
          <w:sz w:val="30"/>
          <w:szCs w:val="30"/>
          <w:lang w:eastAsia="zh-CN"/>
        </w:rPr>
        <w:t>验收</w:t>
      </w:r>
      <w:r>
        <w:rPr>
          <w:rFonts w:ascii="方正仿宋_GBK" w:eastAsia="方正仿宋_GBK" w:hAnsi="方正仿宋_GBK" w:cs="方正仿宋_GBK" w:hint="eastAsia"/>
          <w:color w:val="auto"/>
          <w:sz w:val="30"/>
          <w:szCs w:val="30"/>
        </w:rPr>
        <w:t>的场地和环境；</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3、负责组织成立验收小组对产品或项目进行验收并签署验收报告；</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4、按合同规定享有乙方提供的设备或项目服务。</w:t>
      </w:r>
    </w:p>
    <w:p>
      <w:pPr>
        <w:wordWrap w:val="0"/>
        <w:spacing w:line="579" w:lineRule="exact"/>
        <w:ind w:firstLine="600" w:firstLineChars="200"/>
        <w:rPr>
          <w:rFonts w:ascii="方正楷体_GBK" w:eastAsia="方正楷体_GBK" w:hAnsi="方正楷体_GBK" w:cs="方正楷体_GBK"/>
          <w:color w:val="auto"/>
          <w:sz w:val="30"/>
          <w:szCs w:val="30"/>
        </w:rPr>
      </w:pPr>
      <w:r>
        <w:rPr>
          <w:rFonts w:ascii="方正楷体_GBK" w:eastAsia="方正楷体_GBK" w:hAnsi="方正楷体_GBK" w:cs="方正楷体_GBK" w:hint="eastAsia"/>
          <w:color w:val="auto"/>
          <w:sz w:val="30"/>
          <w:szCs w:val="30"/>
        </w:rPr>
        <w:t>（二）乙方的权利和义务</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1、乙方保证按本合同条款负责完成甲方项目，并保证提供的设备是全新（包括零部件）、符合</w:t>
      </w:r>
      <w:r>
        <w:rPr>
          <w:rFonts w:ascii="方正仿宋_GBK" w:eastAsia="方正仿宋_GBK" w:hAnsi="方正仿宋_GBK" w:cs="方正仿宋_GBK" w:hint="eastAsia"/>
          <w:color w:val="auto"/>
          <w:sz w:val="30"/>
          <w:szCs w:val="30"/>
          <w:lang w:eastAsia="zh-CN"/>
        </w:rPr>
        <w:t>竞争性磋商文件</w:t>
      </w:r>
      <w:r>
        <w:rPr>
          <w:rFonts w:ascii="方正仿宋_GBK" w:eastAsia="方正仿宋_GBK" w:hAnsi="方正仿宋_GBK" w:cs="方正仿宋_GBK" w:hint="eastAsia"/>
          <w:color w:val="auto"/>
          <w:sz w:val="30"/>
          <w:szCs w:val="30"/>
        </w:rPr>
        <w:t>规定、具有国家有关部门注册并符合国家质量检测标准（进口产品具有国家有关部门完整手续）和产品出厂标准的设备；按合同质保条款提供售后服务，终身负责保修。</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2、保证甲方在合同设备或项目（有配套软件的还包括软件产品）使用期间不受第三方提出侵犯其专利权、商标权和工业设计权的起诉，否则乙方予以处理并承担全部费用。</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3、严格遵守投标、技术澄清、商务谈判、中标所承诺的一切规定和条款；</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4、参与甲方共同进行设备和项目的验收。</w:t>
      </w:r>
    </w:p>
    <w:p>
      <w:pPr>
        <w:wordWrap w:val="0"/>
        <w:spacing w:before="120" w:beforeLines="50" w:after="120" w:afterLines="50" w:line="579" w:lineRule="exact"/>
        <w:ind w:firstLine="600" w:firstLineChars="200"/>
        <w:rPr>
          <w:rFonts w:ascii="方正黑体_GBK" w:eastAsia="方正黑体_GBK" w:hAnsi="方正黑体_GBK" w:cs="方正黑体_GBK"/>
          <w:b/>
          <w:color w:val="auto"/>
          <w:sz w:val="30"/>
          <w:szCs w:val="30"/>
        </w:rPr>
      </w:pPr>
      <w:r>
        <w:rPr>
          <w:rFonts w:ascii="方正黑体_GBK" w:eastAsia="方正黑体_GBK" w:hAnsi="方正黑体_GBK" w:cs="方正黑体_GBK" w:hint="eastAsia"/>
          <w:b/>
          <w:color w:val="auto"/>
          <w:sz w:val="30"/>
          <w:szCs w:val="30"/>
        </w:rPr>
        <w:t>九、违约责任</w:t>
      </w:r>
    </w:p>
    <w:p>
      <w:pPr>
        <w:pStyle w:val="CommentText"/>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（一）乙方逾期履行本合同供货约定义务时，每逾期一日，应当按本合同总价的</w:t>
      </w:r>
      <w:r>
        <w:rPr>
          <w:rFonts w:ascii="方正仿宋_GBK" w:eastAsia="方正仿宋_GBK" w:hAnsi="方正仿宋_GBK" w:cs="方正仿宋_GBK" w:hint="eastAsia"/>
          <w:color w:val="auto"/>
          <w:sz w:val="30"/>
          <w:szCs w:val="30"/>
          <w:lang w:val="en-US" w:eastAsia="zh-CN"/>
        </w:rPr>
        <w:t>2</w:t>
      </w:r>
      <w:r>
        <w:rPr>
          <w:rFonts w:ascii="方正仿宋_GBK" w:eastAsia="方正仿宋_GBK" w:hAnsi="方正仿宋_GBK" w:cs="方正仿宋_GBK" w:hint="eastAsia"/>
          <w:color w:val="auto"/>
          <w:sz w:val="30"/>
          <w:szCs w:val="30"/>
        </w:rPr>
        <w:t>‰</w:t>
      </w:r>
      <w:r>
        <w:rPr>
          <w:rFonts w:ascii="方正仿宋_GBK" w:eastAsia="方正仿宋_GBK" w:hAnsi="方正仿宋_GBK" w:cs="方正仿宋_GBK" w:hint="eastAsia"/>
          <w:color w:val="auto"/>
          <w:sz w:val="30"/>
          <w:szCs w:val="30"/>
        </w:rPr>
        <w:t>向甲方支付履约逾期违约金；逾期超过</w:t>
      </w:r>
      <w:r>
        <w:rPr>
          <w:rFonts w:ascii="方正仿宋_GBK" w:eastAsia="方正仿宋_GBK" w:hAnsi="方正仿宋_GBK" w:cs="方正仿宋_GBK" w:hint="eastAsia"/>
          <w:color w:val="auto"/>
          <w:sz w:val="30"/>
          <w:szCs w:val="30"/>
          <w:lang w:val="en-US" w:eastAsia="zh-CN"/>
        </w:rPr>
        <w:t>10</w:t>
      </w:r>
      <w:r>
        <w:rPr>
          <w:rFonts w:ascii="方正仿宋_GBK" w:eastAsia="方正仿宋_GBK" w:hAnsi="方正仿宋_GBK" w:cs="方正仿宋_GBK" w:hint="eastAsia"/>
          <w:color w:val="auto"/>
          <w:sz w:val="30"/>
          <w:szCs w:val="30"/>
        </w:rPr>
        <w:t>个工作日的，甲方有权单方解除本合同，并扣除全部履约保证金并要求乙方退还全部或部分已收合同款，如给甲方造成的经济损失的，乙方应当承担全部违约责任并按实际损失额以及因维权产生的损失（其中因维权产生的损失包括但不限于诉讼费、律师费（包括风险代理）、差旅费、鉴定费、评估费、公告费、公证费、执行费等费用）向甲方全额赔偿。</w:t>
        <w:br/>
        <w:t xml:space="preserve">    （二）除本合同另有约定，乙方违约的，甲方有权扣除履约保证金并限期催告乙方停止违约行为、采取有效补救措施（包括但不限于继续履行合同、扣除履约保证金、赔偿甲方经济损失等）。如乙方未在甲方指定期限内采取相关措施并经甲方验收合格的，甲方在告知乙方后有权单方解除本合同，并要求乙方退还全部或部分已收合同款，如给甲方造成经济损失的，乙方应当承担全部违约责任并按实际损失额以及因维权产生的损失（其中因维权产生的损失包括但不限于诉讼费、律师费（包括风险代理）、差旅费、鉴定费、评估费、公告费、公证费、执行费等费用）向甲方全额赔偿。</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（三）甲方有权将履约保证金等额抵扣乙方应支付的违约金或经济损失，剩余违约金或经济损失由乙方另行支付。乙方应当自履约保证金抵扣发生之日起二日内向甲方补足履约保证金。</w:t>
        <w:br/>
        <w:t xml:space="preserve">    （四）乙方必须向甲方提供全新的、经出厂检验合格的产品。若乙方所供货物是假货等非法来源货物的，甲方有权扣除履约保证金并无条件解除本合同，乙方必须无条件向甲方支付合同总价</w:t>
      </w:r>
      <w:r>
        <w:rPr>
          <w:rFonts w:ascii="方正仿宋_GBK" w:eastAsia="方正仿宋_GBK" w:hAnsi="方正仿宋_GBK" w:cs="方正仿宋_GBK" w:hint="eastAsia"/>
          <w:color w:val="auto"/>
          <w:sz w:val="30"/>
          <w:szCs w:val="30"/>
          <w:lang w:val="en-US" w:eastAsia="zh-CN"/>
        </w:rPr>
        <w:t>2</w:t>
      </w:r>
      <w:r>
        <w:rPr>
          <w:rFonts w:ascii="方正仿宋_GBK" w:eastAsia="方正仿宋_GBK" w:hAnsi="方正仿宋_GBK" w:cs="方正仿宋_GBK" w:hint="eastAsia"/>
          <w:color w:val="auto"/>
          <w:sz w:val="30"/>
          <w:szCs w:val="30"/>
        </w:rPr>
        <w:t>倍的违约赔偿金。</w:t>
      </w:r>
    </w:p>
    <w:p>
      <w:pPr>
        <w:widowControl/>
        <w:spacing w:before="100" w:beforeAutospacing="1" w:after="100" w:afterAutospacing="1"/>
        <w:ind w:firstLine="640"/>
        <w:rPr>
          <w:rFonts w:ascii="仿宋" w:eastAsia="仿宋" w:hAnsi="仿宋" w:cs="仿宋"/>
          <w:color w:val="auto"/>
          <w:sz w:val="30"/>
          <w:szCs w:val="30"/>
          <w:lang w:bidi="ar"/>
        </w:rPr>
      </w:pPr>
      <w:r>
        <w:rPr>
          <w:rFonts w:ascii="方正仿宋_GBK" w:eastAsia="方正仿宋_GBK" w:hAnsi="方正仿宋_GBK" w:cs="方正仿宋_GBK" w:hint="eastAsia"/>
          <w:color w:val="auto"/>
          <w:sz w:val="30"/>
          <w:szCs w:val="30"/>
        </w:rPr>
        <w:t>（五）乙方向甲方开具等额、真实、合法的有效发票，若乙方提供的发票存在虚假、过期、失效或违法等情形的，乙方向甲方支付合同总价双倍的违约金并承担由此而发生的全部违约责任。并根据国家相关法律、法规的规定赔偿甲方由此遭受的损失，其中包括但不限于诉讼法、律师费（包括风险代理）、差旅费、鉴定费、评估费、公告费、公证费等费用。</w:t>
      </w:r>
    </w:p>
    <w:p>
      <w:pPr>
        <w:wordWrap w:val="0"/>
        <w:spacing w:before="120" w:beforeLines="50" w:after="120" w:afterLines="50" w:line="579" w:lineRule="exact"/>
        <w:ind w:firstLine="600" w:firstLineChars="200"/>
        <w:rPr>
          <w:rFonts w:ascii="方正黑体_GBK" w:eastAsia="方正黑体_GBK" w:hAnsi="方正黑体_GBK" w:cs="方正黑体_GBK"/>
          <w:b/>
          <w:color w:val="auto"/>
          <w:sz w:val="30"/>
          <w:szCs w:val="30"/>
        </w:rPr>
      </w:pPr>
      <w:r>
        <w:rPr>
          <w:rFonts w:ascii="方正黑体_GBK" w:eastAsia="方正黑体_GBK" w:hAnsi="方正黑体_GBK" w:cs="方正黑体_GBK" w:hint="eastAsia"/>
          <w:b/>
          <w:color w:val="auto"/>
          <w:sz w:val="30"/>
          <w:szCs w:val="30"/>
        </w:rPr>
        <w:t>十、合同纠纷</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甲乙双方在履行合同过程中发生纠纷，应及时向有关监督管理部门反映，以便相关部门进行协调或处理；或按以下方式处理：（请在</w:t>
      </w:r>
      <w:r>
        <w:rPr>
          <w:rFonts w:ascii="方正仿宋_GBK" w:eastAsia="方正仿宋_GBK" w:hAnsi="方正仿宋_GBK" w:cs="方正仿宋_GBK" w:hint="eastAsia"/>
          <w:color w:val="auto"/>
          <w:sz w:val="30"/>
          <w:szCs w:val="30"/>
        </w:rPr>
        <w:t>□</w:t>
      </w:r>
      <w:r>
        <w:rPr>
          <w:rFonts w:ascii="方正仿宋_GBK" w:eastAsia="方正仿宋_GBK" w:hAnsi="方正仿宋_GBK" w:cs="方正仿宋_GBK" w:hint="eastAsia"/>
          <w:color w:val="auto"/>
          <w:sz w:val="30"/>
          <w:szCs w:val="30"/>
        </w:rPr>
        <w:t>内打</w:t>
      </w:r>
      <w:r>
        <w:rPr>
          <w:rFonts w:ascii="方正仿宋_GBK" w:eastAsia="方正仿宋_GBK" w:hAnsi="方正仿宋_GBK" w:cs="方正仿宋_GBK" w:hint="eastAsia"/>
          <w:color w:val="auto"/>
          <w:sz w:val="30"/>
          <w:szCs w:val="30"/>
        </w:rPr>
        <w:t>√</w:t>
      </w:r>
      <w:r>
        <w:rPr>
          <w:rFonts w:ascii="方正仿宋_GBK" w:eastAsia="方正仿宋_GBK" w:hAnsi="方正仿宋_GBK" w:cs="方正仿宋_GBK" w:hint="eastAsia"/>
          <w:color w:val="auto"/>
          <w:sz w:val="30"/>
          <w:szCs w:val="30"/>
        </w:rPr>
        <w:t>，其余打</w:t>
      </w:r>
      <w:r>
        <w:rPr>
          <w:rFonts w:ascii="方正仿宋_GBK" w:eastAsia="方正仿宋_GBK" w:hAnsi="方正仿宋_GBK" w:cs="方正仿宋_GBK" w:hint="eastAsia"/>
          <w:color w:val="auto"/>
          <w:sz w:val="30"/>
          <w:szCs w:val="30"/>
        </w:rPr>
        <w:t>×</w:t>
      </w:r>
      <w:r>
        <w:rPr>
          <w:rFonts w:ascii="方正仿宋_GBK" w:eastAsia="方正仿宋_GBK" w:hAnsi="方正仿宋_GBK" w:cs="方正仿宋_GBK" w:hint="eastAsia"/>
          <w:color w:val="auto"/>
          <w:sz w:val="30"/>
          <w:szCs w:val="30"/>
        </w:rPr>
        <w:t>）</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w:t>
      </w:r>
      <w:r>
        <w:rPr>
          <w:rFonts w:ascii="方正仿宋_GBK" w:eastAsia="方正仿宋_GBK" w:hAnsi="方正仿宋_GBK" w:cs="方正仿宋_GBK" w:hint="eastAsia"/>
          <w:color w:val="auto"/>
          <w:sz w:val="30"/>
          <w:szCs w:val="30"/>
        </w:rPr>
        <w:t>向合同签订地仲裁部门申请仲裁；</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fldChar w:fldCharType="begin"/>
      </w:r>
      <w:r>
        <w:rPr>
          <w:rFonts w:ascii="方正仿宋_GBK" w:eastAsia="方正仿宋_GBK" w:hAnsi="方正仿宋_GBK" w:cs="方正仿宋_GBK" w:hint="eastAsia"/>
          <w:color w:val="auto"/>
          <w:sz w:val="30"/>
          <w:szCs w:val="30"/>
        </w:rPr>
        <w:instrText xml:space="preserve"> EQ \o\ac(</w:instrText>
      </w:r>
      <w:r>
        <w:rPr>
          <w:rFonts w:ascii="方正仿宋_GBK" w:eastAsia="方正仿宋_GBK" w:hAnsi="方正仿宋_GBK" w:cs="方正仿宋_GBK" w:hint="eastAsia"/>
          <w:color w:val="auto"/>
          <w:sz w:val="30"/>
          <w:szCs w:val="30"/>
        </w:rPr>
        <w:instrText>□</w:instrText>
      </w:r>
      <w:r>
        <w:rPr>
          <w:rFonts w:ascii="方正仿宋_GBK" w:eastAsia="方正仿宋_GBK" w:hAnsi="方正仿宋_GBK" w:cs="方正仿宋_GBK" w:hint="eastAsia"/>
          <w:color w:val="auto"/>
          <w:sz w:val="30"/>
          <w:szCs w:val="30"/>
        </w:rPr>
        <w:instrText>,</w:instrText>
      </w:r>
      <w:r>
        <w:rPr>
          <w:rFonts w:ascii="方正仿宋_GBK" w:eastAsia="方正仿宋_GBK" w:hAnsi="方正仿宋_GBK" w:cs="方正仿宋_GBK" w:hint="eastAsia"/>
          <w:color w:val="auto"/>
          <w:sz w:val="30"/>
          <w:szCs w:val="30"/>
        </w:rPr>
        <w:instrText>√</w:instrText>
      </w:r>
      <w:r>
        <w:rPr>
          <w:rFonts w:ascii="方正仿宋_GBK" w:eastAsia="方正仿宋_GBK" w:hAnsi="方正仿宋_GBK" w:cs="方正仿宋_GBK" w:hint="eastAsia"/>
          <w:color w:val="auto"/>
          <w:sz w:val="30"/>
          <w:szCs w:val="30"/>
        </w:rPr>
        <w:instrText>)</w:instrText>
      </w:r>
      <w:r>
        <w:rPr>
          <w:rFonts w:ascii="方正仿宋_GBK" w:eastAsia="方正仿宋_GBK" w:hAnsi="方正仿宋_GBK" w:cs="方正仿宋_GBK" w:hint="eastAsia"/>
          <w:color w:val="auto"/>
          <w:sz w:val="30"/>
          <w:szCs w:val="30"/>
        </w:rPr>
        <w:fldChar w:fldCharType="separate"/>
      </w:r>
      <w:r>
        <w:rPr>
          <w:rFonts w:ascii="方正仿宋_GBK" w:eastAsia="方正仿宋_GBK" w:hAnsi="方正仿宋_GBK" w:cs="方正仿宋_GBK" w:hint="eastAsia"/>
          <w:color w:val="auto"/>
          <w:sz w:val="30"/>
          <w:szCs w:val="30"/>
        </w:rPr>
        <w:fldChar w:fldCharType="end"/>
      </w:r>
      <w:r>
        <w:rPr>
          <w:rFonts w:ascii="方正仿宋_GBK" w:eastAsia="方正仿宋_GBK" w:hAnsi="方正仿宋_GBK" w:cs="方正仿宋_GBK" w:hint="eastAsia"/>
          <w:color w:val="auto"/>
          <w:sz w:val="30"/>
          <w:szCs w:val="30"/>
        </w:rPr>
        <w:t>向甲方所在地人民法院提起诉讼。</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注：甲乙双方一致确认，本合同中甲乙双方的地址均为通知函、律师函、诉讼文书等书面文书材料送达地址。</w:t>
      </w:r>
    </w:p>
    <w:p>
      <w:pPr>
        <w:wordWrap w:val="0"/>
        <w:spacing w:before="120" w:beforeLines="50" w:after="120" w:afterLines="50" w:line="579" w:lineRule="exact"/>
        <w:ind w:firstLine="600" w:firstLineChars="200"/>
        <w:rPr>
          <w:rFonts w:ascii="方正黑体_GBK" w:eastAsia="方正黑体_GBK" w:hAnsi="方正黑体_GBK" w:cs="方正黑体_GBK"/>
          <w:b/>
          <w:color w:val="auto"/>
          <w:sz w:val="30"/>
          <w:szCs w:val="30"/>
        </w:rPr>
      </w:pPr>
      <w:r>
        <w:rPr>
          <w:rFonts w:ascii="方正黑体_GBK" w:eastAsia="方正黑体_GBK" w:hAnsi="方正黑体_GBK" w:cs="方正黑体_GBK" w:hint="eastAsia"/>
          <w:b/>
          <w:color w:val="auto"/>
          <w:sz w:val="30"/>
          <w:szCs w:val="30"/>
        </w:rPr>
        <w:t>十一、本合同其他未尽事宜</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本合同其他未尽事宜，按国家《中华人民共和国民法典》有关规定处理。</w:t>
      </w:r>
    </w:p>
    <w:p>
      <w:pPr>
        <w:tabs>
          <w:tab w:val="left" w:pos="5387"/>
        </w:tabs>
        <w:wordWrap w:val="0"/>
        <w:spacing w:line="579" w:lineRule="exact"/>
        <w:ind w:firstLine="600" w:firstLineChars="200"/>
        <w:rPr>
          <w:rFonts w:ascii="方正仿宋_GBK" w:eastAsia="方正仿宋_GBK" w:hAnsi="方正仿宋_GBK" w:cs="方正仿宋_GBK"/>
          <w:color w:val="auto"/>
          <w:sz w:val="30"/>
          <w:szCs w:val="30"/>
        </w:rPr>
      </w:pPr>
      <w:r>
        <w:rPr>
          <w:rFonts w:ascii="方正黑体_GBK" w:eastAsia="方正黑体_GBK" w:hAnsi="方正黑体_GBK" w:cs="方正黑体_GBK" w:hint="eastAsia"/>
          <w:b/>
          <w:color w:val="auto"/>
          <w:sz w:val="30"/>
          <w:szCs w:val="30"/>
        </w:rPr>
        <w:t>十二、保密责任</w:t>
        <w:br/>
        <w:t xml:space="preserve">    </w:t>
      </w:r>
      <w:r>
        <w:rPr>
          <w:rFonts w:ascii="方正仿宋_GBK" w:eastAsia="方正仿宋_GBK" w:hAnsi="方正仿宋_GBK" w:cs="方正仿宋_GBK" w:hint="eastAsia"/>
          <w:color w:val="auto"/>
          <w:sz w:val="30"/>
          <w:szCs w:val="30"/>
        </w:rPr>
        <w:t xml:space="preserve">（一）本合同内容以及乙方因签订、履行本合同所获悉的甲方、甲方下属单位、关联单位及合作单位的相关信息、资料（包括但不限于图纸、数据、文件、视频、图片等）均属于保密范围，未经甲方书面同意，乙方不得将保密内容泄露给任何第三方或用于本合同以外的用途；若因乙方泄漏上述保密内容，给甲方或者第三方造成损失的，乙方应赔偿因此给甲方或第三方造成的实际损失以及因维权产生的损失（其中因维权产生的损失包括但不限于诉讼费、律师费（包括风险代理）、差旅费、鉴定费、评估费、公告费、公证费、执行费等费用）。    </w:t>
      </w:r>
    </w:p>
    <w:p>
      <w:pPr>
        <w:tabs>
          <w:tab w:val="left" w:pos="5387"/>
        </w:tabs>
        <w:wordWrap w:val="0"/>
        <w:spacing w:line="579" w:lineRule="exact"/>
        <w:ind w:firstLine="600" w:firstLineChars="200"/>
        <w:rPr>
          <w:rFonts w:ascii="方正黑体_GBK" w:eastAsia="方正黑体_GBK" w:hAnsi="方正黑体_GBK" w:cs="方正黑体_GBK"/>
          <w:b/>
          <w:color w:val="auto"/>
          <w:sz w:val="30"/>
          <w:szCs w:val="30"/>
        </w:rPr>
      </w:pPr>
      <w:r>
        <w:rPr>
          <w:rFonts w:ascii="方正仿宋_GBK" w:eastAsia="方正仿宋_GBK" w:hAnsi="方正仿宋_GBK" w:cs="方正仿宋_GBK" w:hint="eastAsia"/>
          <w:color w:val="auto"/>
          <w:sz w:val="30"/>
          <w:szCs w:val="30"/>
        </w:rPr>
        <w:t>(二)乙方在本合同签订、履行期间及终止后，无条件负有本合同约定的保密义务。</w:t>
        <w:br/>
        <w:t xml:space="preserve">    </w:t>
      </w:r>
      <w:r>
        <w:rPr>
          <w:rFonts w:ascii="方正黑体_GBK" w:eastAsia="方正黑体_GBK" w:hAnsi="方正黑体_GBK" w:cs="方正黑体_GBK" w:hint="eastAsia"/>
          <w:b/>
          <w:color w:val="auto"/>
          <w:sz w:val="30"/>
          <w:szCs w:val="30"/>
        </w:rPr>
        <w:t>十三、不可抗力</w:t>
      </w:r>
    </w:p>
    <w:p>
      <w:pPr>
        <w:tabs>
          <w:tab w:val="left" w:pos="5387"/>
        </w:tabs>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一）如果甲乙双方中任何一方遭遇战争、自然灾害（火灾、水灾、台风、地震、重大疫情等）、动乱等不可抗力的因素，致使本合同履行受阻时，履行本合同的期限应予延长，延长的期限应相当于不可抗力所影响的时间。</w:t>
      </w:r>
    </w:p>
    <w:p>
      <w:pPr>
        <w:tabs>
          <w:tab w:val="left" w:pos="5387"/>
        </w:tabs>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（二）受不可抗力影响的一方应在不可抗力发生后，以最快的方式在最短的时间内通知另一方，并在不可抗力发生后10日内，将有关部门出具的证明文件直接送达另一方。</w:t>
      </w:r>
    </w:p>
    <w:p>
      <w:pPr>
        <w:tabs>
          <w:tab w:val="left" w:pos="5387"/>
        </w:tabs>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（三）如果不可抗力影响导致合同迟延履行30日以上的，甲乙双方应友好协商解决，协商不成的，按照甲方要求执行。</w:t>
      </w:r>
    </w:p>
    <w:p>
      <w:pPr>
        <w:wordWrap w:val="0"/>
        <w:spacing w:line="579" w:lineRule="exact"/>
        <w:ind w:firstLine="600" w:firstLineChars="200"/>
        <w:rPr>
          <w:rFonts w:ascii="方正黑体_GBK" w:eastAsia="方正黑体_GBK" w:hAnsi="方正黑体_GBK" w:cs="方正黑体_GBK"/>
          <w:b/>
          <w:color w:val="auto"/>
          <w:sz w:val="30"/>
          <w:szCs w:val="30"/>
        </w:rPr>
      </w:pPr>
      <w:r>
        <w:rPr>
          <w:rFonts w:ascii="方正黑体_GBK" w:eastAsia="方正黑体_GBK" w:hAnsi="方正黑体_GBK" w:cs="方正黑体_GBK" w:hint="eastAsia"/>
          <w:b/>
          <w:color w:val="auto"/>
          <w:sz w:val="30"/>
          <w:szCs w:val="30"/>
        </w:rPr>
        <w:t>十五、合同的生效</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本合同经双方签字并盖章后生效。本合同一式4份，甲方持3份，乙方持1份，具有同等法律效力。</w:t>
        <w:br/>
        <w:t xml:space="preserve">    </w:t>
      </w:r>
      <w:r>
        <w:rPr>
          <w:rFonts w:ascii="方正黑体_GBK" w:eastAsia="方正黑体_GBK" w:hAnsi="方正黑体_GBK" w:cs="方正黑体_GBK" w:hint="eastAsia"/>
          <w:b/>
          <w:color w:val="auto"/>
          <w:sz w:val="30"/>
          <w:szCs w:val="30"/>
        </w:rPr>
        <w:t>十六、货物质保期</w:t>
        <w:br/>
        <w:t xml:space="preserve">    </w:t>
      </w:r>
      <w:r>
        <w:rPr>
          <w:rFonts w:ascii="方正仿宋_GBK" w:eastAsia="方正仿宋_GBK" w:hAnsi="方正仿宋_GBK" w:cs="方正仿宋_GBK" w:hint="eastAsia"/>
          <w:color w:val="auto"/>
          <w:sz w:val="30"/>
          <w:szCs w:val="30"/>
        </w:rPr>
        <w:t>货物的质量保证期：自全部货物通过甲方到货验收合格之日起</w:t>
      </w:r>
      <w:r>
        <w:rPr>
          <w:rFonts w:ascii="方正仿宋_GBK" w:eastAsia="方正仿宋_GBK" w:hAnsi="方正仿宋_GBK" w:cs="方正仿宋_GBK" w:hint="eastAsia"/>
          <w:color w:val="auto"/>
          <w:sz w:val="30"/>
          <w:szCs w:val="30"/>
          <w:lang w:val="en-US" w:eastAsia="zh-CN"/>
        </w:rPr>
        <w:t>24</w:t>
      </w:r>
      <w:r>
        <w:rPr>
          <w:rFonts w:ascii="方正仿宋_GBK" w:eastAsia="方正仿宋_GBK" w:hAnsi="方正仿宋_GBK" w:cs="方正仿宋_GBK" w:hint="eastAsia"/>
          <w:color w:val="auto"/>
          <w:sz w:val="30"/>
          <w:szCs w:val="30"/>
        </w:rPr>
        <w:t>个月。</w:t>
      </w:r>
    </w:p>
    <w:p>
      <w:pPr>
        <w:wordWrap w:val="0"/>
        <w:spacing w:line="579" w:lineRule="exact"/>
        <w:ind w:firstLine="600" w:firstLineChars="200"/>
        <w:rPr>
          <w:rFonts w:ascii="方正仿宋_GBK" w:eastAsia="方正仿宋_GBK" w:hAnsi="方正仿宋_GBK" w:cs="方正仿宋_GBK"/>
          <w:color w:val="auto"/>
          <w:sz w:val="30"/>
          <w:szCs w:val="30"/>
        </w:rPr>
      </w:pPr>
      <w:r>
        <w:rPr>
          <w:rFonts w:ascii="方正黑体_GBK" w:eastAsia="方正黑体_GBK" w:hAnsi="方正黑体_GBK" w:cs="方正黑体_GBK" w:hint="eastAsia"/>
          <w:b/>
          <w:color w:val="auto"/>
          <w:sz w:val="30"/>
          <w:szCs w:val="30"/>
        </w:rPr>
        <w:t>十七、其它</w:t>
        <w:br/>
      </w:r>
      <w:r>
        <w:rPr>
          <w:color w:val="auto"/>
          <w:sz w:val="30"/>
          <w:szCs w:val="30"/>
        </w:rPr>
        <w:t>  </w:t>
      </w:r>
      <w:r>
        <w:rPr>
          <w:rFonts w:ascii="方正仿宋_GBK" w:eastAsia="方正仿宋_GBK" w:hAnsi="方正仿宋_GBK" w:cs="方正仿宋_GBK" w:hint="eastAsia"/>
          <w:color w:val="auto"/>
          <w:sz w:val="30"/>
          <w:szCs w:val="30"/>
        </w:rPr>
        <w:t>本合同未尽事宜可签署补充协议，补充协议是本合同的重要组成，与本合同具有同等法律效力。</w:t>
      </w:r>
    </w:p>
    <w:p>
      <w:pPr>
        <w:tabs>
          <w:tab w:val="left" w:pos="6930"/>
        </w:tabs>
        <w:wordWrap w:val="0"/>
        <w:spacing w:line="579" w:lineRule="exact"/>
        <w:ind w:firstLine="600" w:firstLineChars="200"/>
        <w:rPr>
          <w:b/>
          <w:bCs/>
          <w:color w:val="auto"/>
          <w:sz w:val="30"/>
          <w:szCs w:val="30"/>
        </w:rPr>
      </w:pPr>
      <w:r>
        <w:rPr>
          <w:rFonts w:ascii="方正黑体_GBK" w:eastAsia="方正黑体_GBK" w:hAnsi="方正黑体_GBK" w:cs="方正黑体_GBK" w:hint="eastAsia"/>
          <w:b/>
          <w:color w:val="auto"/>
          <w:sz w:val="30"/>
          <w:szCs w:val="30"/>
        </w:rPr>
        <w:t>十八、本合同不可分割之部分包括以下所列文件之内容：</w:t>
      </w:r>
    </w:p>
    <w:p>
      <w:pPr>
        <w:tabs>
          <w:tab w:val="left" w:pos="5387"/>
        </w:tabs>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1、合同书附件；2、</w:t>
      </w:r>
      <w:r>
        <w:rPr>
          <w:rFonts w:ascii="方正仿宋_GBK" w:eastAsia="方正仿宋_GBK" w:hAnsi="方正仿宋_GBK" w:cs="方正仿宋_GBK" w:hint="eastAsia"/>
          <w:color w:val="auto"/>
          <w:sz w:val="30"/>
          <w:szCs w:val="30"/>
          <w:lang w:eastAsia="zh-CN"/>
        </w:rPr>
        <w:t>竞争性磋商文件</w:t>
      </w:r>
      <w:r>
        <w:rPr>
          <w:rFonts w:ascii="方正仿宋_GBK" w:eastAsia="方正仿宋_GBK" w:hAnsi="方正仿宋_GBK" w:cs="方正仿宋_GBK" w:hint="eastAsia"/>
          <w:color w:val="auto"/>
          <w:sz w:val="30"/>
          <w:szCs w:val="30"/>
        </w:rPr>
        <w:t>；3、中标通知书；4、乙方投标文件；5、甲乙双方签订合同过程中形成的其他文件。</w:t>
      </w:r>
    </w:p>
    <w:p>
      <w:pPr>
        <w:pStyle w:val="Heading1"/>
        <w:spacing w:line="579" w:lineRule="exact"/>
        <w:rPr>
          <w:color w:val="auto"/>
          <w:sz w:val="30"/>
          <w:szCs w:val="30"/>
          <w:lang w:eastAsia="zh-CN"/>
        </w:rPr>
      </w:pPr>
    </w:p>
    <w:p>
      <w:pPr>
        <w:tabs>
          <w:tab w:val="left" w:pos="5387"/>
        </w:tabs>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附件一：产品技术参数</w:t>
      </w:r>
      <w:bookmarkStart w:id="74" w:name="_Toc21831"/>
    </w:p>
    <w:p>
      <w:pPr>
        <w:tabs>
          <w:tab w:val="left" w:pos="5387"/>
        </w:tabs>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附件二：售后服务承诺书</w:t>
      </w:r>
      <w:bookmarkEnd w:id="74"/>
    </w:p>
    <w:p>
      <w:pPr>
        <w:tabs>
          <w:tab w:val="left" w:pos="5387"/>
        </w:tabs>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附件三：产品检验报告</w:t>
      </w:r>
    </w:p>
    <w:p>
      <w:pPr>
        <w:tabs>
          <w:tab w:val="left" w:pos="5387"/>
        </w:tabs>
        <w:wordWrap w:val="0"/>
        <w:spacing w:line="579" w:lineRule="exact"/>
        <w:ind w:firstLine="600" w:firstLineChars="200"/>
        <w:rPr>
          <w:rFonts w:ascii="方正仿宋_GBK" w:eastAsia="方正仿宋_GBK" w:hAnsi="方正仿宋_GBK" w:cs="方正仿宋_GBK"/>
          <w:color w:val="auto"/>
          <w:sz w:val="30"/>
          <w:szCs w:val="30"/>
        </w:rPr>
      </w:pPr>
      <w:r>
        <w:rPr>
          <w:rFonts w:ascii="方正仿宋_GBK" w:eastAsia="方正仿宋_GBK" w:hAnsi="方正仿宋_GBK" w:cs="方正仿宋_GBK" w:hint="eastAsia"/>
          <w:color w:val="auto"/>
          <w:sz w:val="30"/>
          <w:szCs w:val="30"/>
        </w:rPr>
        <w:t>附件四：中标通知书</w:t>
      </w:r>
    </w:p>
    <w:p>
      <w:pPr>
        <w:spacing w:line="600" w:lineRule="exact"/>
        <w:rPr>
          <w:color w:val="auto"/>
          <w:sz w:val="30"/>
          <w:szCs w:val="30"/>
        </w:rPr>
      </w:pPr>
    </w:p>
    <w:p>
      <w:pPr>
        <w:widowControl/>
        <w:autoSpaceDE w:val="0"/>
        <w:autoSpaceDN w:val="0"/>
        <w:jc w:val="center"/>
        <w:rPr>
          <w:rFonts w:ascii="仿宋_GB2312" w:eastAsia="仿宋_GB2312" w:hAnsi="宋体" w:cs="宋体"/>
          <w:b/>
          <w:bCs/>
          <w:color w:val="auto"/>
          <w:kern w:val="0"/>
          <w:sz w:val="24"/>
        </w:rPr>
      </w:pPr>
    </w:p>
    <w:p>
      <w:pPr>
        <w:widowControl/>
        <w:autoSpaceDE w:val="0"/>
        <w:autoSpaceDN w:val="0"/>
        <w:jc w:val="center"/>
        <w:rPr>
          <w:rFonts w:ascii="宋体" w:eastAsia="宋体" w:hAnsi="宋体" w:cs="仿宋"/>
          <w:b/>
          <w:bCs/>
          <w:color w:val="auto"/>
          <w:kern w:val="0"/>
          <w:sz w:val="32"/>
          <w:szCs w:val="32"/>
        </w:rPr>
      </w:pPr>
    </w:p>
    <w:p>
      <w:pPr>
        <w:widowControl/>
        <w:autoSpaceDE w:val="0"/>
        <w:autoSpaceDN w:val="0"/>
        <w:jc w:val="center"/>
        <w:rPr>
          <w:rFonts w:ascii="宋体" w:eastAsia="宋体" w:hAnsi="宋体" w:cs="仿宋"/>
          <w:b/>
          <w:bCs/>
          <w:color w:val="auto"/>
          <w:kern w:val="0"/>
          <w:sz w:val="32"/>
          <w:szCs w:val="32"/>
        </w:rPr>
      </w:pPr>
    </w:p>
    <w:p>
      <w:pPr>
        <w:widowControl/>
        <w:autoSpaceDE w:val="0"/>
        <w:autoSpaceDN w:val="0"/>
        <w:jc w:val="center"/>
        <w:rPr>
          <w:rFonts w:ascii="宋体" w:eastAsia="宋体" w:hAnsi="宋体" w:cs="仿宋"/>
          <w:b/>
          <w:bCs/>
          <w:color w:val="auto"/>
          <w:kern w:val="0"/>
          <w:sz w:val="32"/>
          <w:szCs w:val="32"/>
        </w:rPr>
      </w:pPr>
    </w:p>
    <w:p>
      <w:pPr>
        <w:widowControl/>
        <w:autoSpaceDE w:val="0"/>
        <w:autoSpaceDN w:val="0"/>
        <w:rPr>
          <w:rFonts w:ascii="宋体" w:eastAsia="宋体" w:hAnsi="宋体" w:cs="仿宋"/>
          <w:b/>
          <w:bCs/>
          <w:color w:val="auto"/>
          <w:kern w:val="0"/>
          <w:sz w:val="32"/>
          <w:szCs w:val="32"/>
        </w:rPr>
      </w:pPr>
    </w:p>
    <w:p>
      <w:pPr>
        <w:pStyle w:val="BodyTextFirstIndent"/>
        <w:rPr>
          <w:rFonts w:ascii="宋体" w:eastAsia="宋体" w:hAnsi="宋体" w:cs="仿宋"/>
          <w:b/>
          <w:bCs/>
          <w:color w:val="auto"/>
          <w:kern w:val="0"/>
          <w:sz w:val="32"/>
          <w:szCs w:val="32"/>
        </w:rPr>
      </w:pPr>
    </w:p>
    <w:p>
      <w:pPr>
        <w:rPr>
          <w:rFonts w:ascii="宋体" w:eastAsia="宋体" w:hAnsi="宋体" w:cs="仿宋"/>
          <w:b/>
          <w:bCs/>
          <w:color w:val="auto"/>
          <w:kern w:val="0"/>
          <w:sz w:val="32"/>
          <w:szCs w:val="32"/>
        </w:rPr>
      </w:pPr>
    </w:p>
    <w:p>
      <w:pPr>
        <w:pStyle w:val="BodyTextFirstIndent"/>
        <w:rPr>
          <w:rFonts w:ascii="宋体" w:eastAsia="宋体" w:hAnsi="宋体" w:cs="仿宋"/>
          <w:b/>
          <w:bCs/>
          <w:color w:val="auto"/>
          <w:kern w:val="0"/>
          <w:sz w:val="32"/>
          <w:szCs w:val="32"/>
        </w:rPr>
      </w:pPr>
    </w:p>
    <w:p>
      <w:pPr>
        <w:rPr>
          <w:rFonts w:ascii="宋体" w:eastAsia="宋体" w:hAnsi="宋体" w:cs="仿宋"/>
          <w:b/>
          <w:bCs/>
          <w:color w:val="auto"/>
          <w:kern w:val="0"/>
          <w:sz w:val="32"/>
          <w:szCs w:val="32"/>
        </w:rPr>
      </w:pPr>
    </w:p>
    <w:p>
      <w:pPr>
        <w:pStyle w:val="BodyTextFirstIndent"/>
        <w:rPr>
          <w:rFonts w:ascii="宋体" w:eastAsia="宋体" w:hAnsi="宋体" w:cs="仿宋"/>
          <w:b/>
          <w:bCs/>
          <w:color w:val="auto"/>
          <w:kern w:val="0"/>
          <w:sz w:val="32"/>
          <w:szCs w:val="32"/>
        </w:rPr>
      </w:pPr>
    </w:p>
    <w:p>
      <w:pPr>
        <w:rPr>
          <w:rFonts w:ascii="宋体" w:eastAsia="宋体" w:hAnsi="宋体" w:cs="仿宋"/>
          <w:b/>
          <w:bCs/>
          <w:color w:val="auto"/>
          <w:kern w:val="0"/>
          <w:sz w:val="32"/>
          <w:szCs w:val="32"/>
        </w:rPr>
      </w:pPr>
    </w:p>
    <w:p>
      <w:pPr>
        <w:pStyle w:val="BodyTextFirstIndent"/>
        <w:rPr>
          <w:rFonts w:ascii="宋体" w:eastAsia="宋体" w:hAnsi="宋体" w:cs="仿宋"/>
          <w:b/>
          <w:bCs/>
          <w:color w:val="auto"/>
          <w:kern w:val="0"/>
          <w:sz w:val="32"/>
          <w:szCs w:val="32"/>
        </w:rPr>
      </w:pPr>
    </w:p>
    <w:p>
      <w:pPr>
        <w:rPr>
          <w:rFonts w:ascii="宋体" w:eastAsia="宋体" w:hAnsi="宋体" w:cs="仿宋"/>
          <w:b/>
          <w:bCs/>
          <w:color w:val="auto"/>
          <w:kern w:val="0"/>
          <w:sz w:val="32"/>
          <w:szCs w:val="32"/>
        </w:rPr>
      </w:pPr>
    </w:p>
    <w:p>
      <w:pPr>
        <w:pStyle w:val="BodyTextFirstIndent"/>
        <w:rPr>
          <w:rFonts w:ascii="宋体" w:eastAsia="宋体" w:hAnsi="宋体" w:cs="仿宋"/>
          <w:b/>
          <w:bCs/>
          <w:color w:val="auto"/>
          <w:kern w:val="0"/>
          <w:sz w:val="32"/>
          <w:szCs w:val="32"/>
        </w:rPr>
      </w:pPr>
    </w:p>
    <w:p>
      <w:pPr>
        <w:rPr>
          <w:rFonts w:ascii="宋体" w:eastAsia="宋体" w:hAnsi="宋体" w:cs="仿宋"/>
          <w:b/>
          <w:bCs/>
          <w:color w:val="auto"/>
          <w:kern w:val="0"/>
          <w:sz w:val="32"/>
          <w:szCs w:val="32"/>
        </w:rPr>
      </w:pPr>
    </w:p>
    <w:p>
      <w:pPr>
        <w:pStyle w:val="BodyTextFirstIndent"/>
        <w:rPr>
          <w:rFonts w:ascii="宋体" w:eastAsia="宋体" w:hAnsi="宋体" w:cs="仿宋"/>
          <w:b/>
          <w:bCs/>
          <w:color w:val="auto"/>
          <w:kern w:val="0"/>
          <w:sz w:val="32"/>
          <w:szCs w:val="32"/>
        </w:rPr>
      </w:pPr>
    </w:p>
    <w:p>
      <w:pPr>
        <w:rPr>
          <w:rFonts w:ascii="宋体" w:eastAsia="宋体" w:hAnsi="宋体" w:cs="仿宋"/>
          <w:b/>
          <w:bCs/>
          <w:color w:val="auto"/>
          <w:kern w:val="0"/>
          <w:sz w:val="32"/>
          <w:szCs w:val="32"/>
        </w:rPr>
      </w:pPr>
    </w:p>
    <w:p>
      <w:pPr>
        <w:pStyle w:val="BodyTextFirstIndent"/>
        <w:rPr>
          <w:rFonts w:ascii="宋体" w:eastAsia="宋体" w:hAnsi="宋体" w:cs="仿宋"/>
          <w:b/>
          <w:bCs/>
          <w:color w:val="auto"/>
          <w:kern w:val="0"/>
          <w:sz w:val="32"/>
          <w:szCs w:val="32"/>
        </w:rPr>
      </w:pPr>
    </w:p>
    <w:p/>
    <w:p>
      <w:pPr>
        <w:autoSpaceDE w:val="0"/>
        <w:autoSpaceDN w:val="0"/>
        <w:jc w:val="left"/>
        <w:rPr>
          <w:rFonts w:ascii="宋体" w:eastAsia="宋体" w:hAnsi="宋体" w:cs="宋体"/>
          <w:color w:val="auto"/>
          <w:kern w:val="0"/>
          <w:sz w:val="28"/>
          <w:szCs w:val="28"/>
          <w:lang w:eastAsia="en-US"/>
        </w:rPr>
      </w:pPr>
      <w:r>
        <w:rPr>
          <w:rFonts w:ascii="宋体" w:eastAsia="宋体" w:hAnsi="宋体" w:cs="宋体" w:hint="eastAsia"/>
          <w:color w:val="auto"/>
          <w:kern w:val="0"/>
          <w:sz w:val="28"/>
          <w:szCs w:val="28"/>
          <w:lang w:eastAsia="en-US"/>
        </w:rPr>
        <w:t>附件：</w:t>
      </w:r>
    </w:p>
    <w:tbl>
      <w:tblPr>
        <w:tblStyle w:val="TableNormal"/>
        <w:tblW w:w="9498" w:type="dxa"/>
        <w:jc w:val="center"/>
        <w:tblLayout w:type="fixed"/>
        <w:tblCellMar>
          <w:top w:w="15" w:type="dxa"/>
          <w:left w:w="15" w:type="dxa"/>
          <w:bottom w:w="15" w:type="dxa"/>
          <w:right w:w="15" w:type="dxa"/>
        </w:tblCellMar>
        <w:tblLook w:val="04A0"/>
      </w:tblPr>
      <w:tblGrid>
        <w:gridCol w:w="1559"/>
        <w:gridCol w:w="2657"/>
        <w:gridCol w:w="2160"/>
        <w:gridCol w:w="3122"/>
      </w:tblGrid>
      <w:tr>
        <w:tblPrEx>
          <w:tblW w:w="9498" w:type="dxa"/>
          <w:jc w:val="center"/>
          <w:tblLayout w:type="fixed"/>
          <w:tblCellMar>
            <w:top w:w="15" w:type="dxa"/>
            <w:left w:w="15" w:type="dxa"/>
            <w:bottom w:w="15" w:type="dxa"/>
            <w:right w:w="15" w:type="dxa"/>
          </w:tblCellMar>
          <w:tblLook w:val="04A0"/>
        </w:tblPrEx>
        <w:trPr>
          <w:trHeight w:hRule="exact" w:val="595"/>
          <w:jc w:val="center"/>
        </w:trPr>
        <w:tc>
          <w:tcPr>
            <w:tcW w:w="9498" w:type="dxa"/>
            <w:gridSpan w:val="4"/>
            <w:tcBorders>
              <w:bottom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36"/>
                <w:szCs w:val="36"/>
                <w:lang w:val="en-US" w:eastAsia="zh-CN" w:bidi="ar-SA"/>
              </w:rPr>
            </w:pPr>
            <w:r>
              <w:rPr>
                <w:rFonts w:ascii="仿宋_GB2312" w:eastAsia="仿宋_GB2312" w:hAnsi="宋体" w:cs="宋体" w:hint="eastAsia"/>
                <w:color w:val="auto"/>
                <w:kern w:val="0"/>
                <w:sz w:val="32"/>
                <w:szCs w:val="32"/>
                <w:lang w:val="en-US" w:eastAsia="zh-CN" w:bidi="ar"/>
              </w:rPr>
              <w:t>政府采购项目验收报告</w:t>
            </w:r>
          </w:p>
        </w:tc>
      </w:tr>
      <w:tr>
        <w:tblPrEx>
          <w:tblW w:w="9498" w:type="dxa"/>
          <w:jc w:val="center"/>
          <w:tblLayout w:type="fixed"/>
          <w:tblCellMar>
            <w:top w:w="15" w:type="dxa"/>
            <w:left w:w="15" w:type="dxa"/>
            <w:bottom w:w="15" w:type="dxa"/>
            <w:right w:w="15" w:type="dxa"/>
          </w:tblCellMar>
          <w:tblLook w:val="04A0"/>
        </w:tblPrEx>
        <w:trPr>
          <w:trHeight w:val="651"/>
          <w:jc w:val="center"/>
        </w:trPr>
        <w:tc>
          <w:tcPr>
            <w:tcW w:w="155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4"/>
                <w:szCs w:val="24"/>
                <w:lang w:val="en-US" w:eastAsia="zh-CN" w:bidi="ar-SA"/>
              </w:rPr>
            </w:pPr>
            <w:r>
              <w:rPr>
                <w:rFonts w:ascii="仿宋_GB2312" w:eastAsia="仿宋_GB2312" w:hAnsi="宋体" w:cs="宋体" w:hint="eastAsia"/>
                <w:color w:val="auto"/>
                <w:kern w:val="0"/>
                <w:sz w:val="24"/>
                <w:szCs w:val="24"/>
                <w:lang w:val="en-US" w:eastAsia="zh-CN" w:bidi="ar"/>
              </w:rPr>
              <w:t>采购单位名称（甲方）</w:t>
            </w:r>
          </w:p>
        </w:tc>
        <w:tc>
          <w:tcPr>
            <w:tcW w:w="2657"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val="0"/>
              <w:suppressLineNumbers w:val="0"/>
              <w:autoSpaceDE w:val="0"/>
              <w:autoSpaceDN w:val="0"/>
              <w:adjustRightInd w:val="0"/>
              <w:snapToGrid w:val="0"/>
              <w:spacing w:before="0" w:beforeAutospacing="0" w:after="0" w:afterAutospacing="0"/>
              <w:ind w:left="0" w:right="0"/>
              <w:jc w:val="left"/>
              <w:rPr>
                <w:rStyle w:val="DefaultParagraphFont"/>
                <w:rFonts w:ascii="仿宋_GB2312" w:eastAsia="仿宋_GB2312" w:hAnsi="宋体" w:cs="宋体" w:hint="default"/>
                <w:color w:val="auto"/>
                <w:kern w:val="0"/>
                <w:sz w:val="24"/>
                <w:szCs w:val="24"/>
                <w:lang w:val="en-US" w:eastAsia="zh-CN" w:bidi="ar-SA"/>
              </w:rPr>
            </w:pPr>
          </w:p>
        </w:tc>
        <w:tc>
          <w:tcPr>
            <w:tcW w:w="2160"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4"/>
                <w:szCs w:val="24"/>
                <w:lang w:val="en-US" w:eastAsia="en-US" w:bidi="ar"/>
              </w:rPr>
            </w:pPr>
            <w:r>
              <w:rPr>
                <w:rFonts w:ascii="仿宋_GB2312" w:eastAsia="仿宋_GB2312" w:hAnsi="宋体" w:cs="宋体" w:hint="eastAsia"/>
                <w:color w:val="auto"/>
                <w:kern w:val="0"/>
                <w:sz w:val="24"/>
                <w:szCs w:val="24"/>
                <w:lang w:val="en-US" w:eastAsia="en-US" w:bidi="ar"/>
              </w:rPr>
              <w:t>供应商单位名称</w:t>
            </w:r>
          </w:p>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4"/>
                <w:szCs w:val="24"/>
                <w:lang w:val="en-US" w:eastAsia="en-US" w:bidi="ar-SA"/>
              </w:rPr>
            </w:pPr>
            <w:r>
              <w:rPr>
                <w:rFonts w:ascii="仿宋_GB2312" w:eastAsia="仿宋_GB2312" w:hAnsi="宋体" w:cs="宋体" w:hint="eastAsia"/>
                <w:color w:val="auto"/>
                <w:kern w:val="0"/>
                <w:sz w:val="24"/>
                <w:szCs w:val="24"/>
                <w:lang w:val="en-US" w:eastAsia="en-US" w:bidi="ar"/>
              </w:rPr>
              <w:t>(乙方)</w:t>
            </w:r>
          </w:p>
        </w:tc>
        <w:tc>
          <w:tcPr>
            <w:tcW w:w="3122"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val="0"/>
              <w:suppressLineNumbers w:val="0"/>
              <w:autoSpaceDE w:val="0"/>
              <w:autoSpaceDN w:val="0"/>
              <w:adjustRightInd w:val="0"/>
              <w:snapToGrid w:val="0"/>
              <w:spacing w:before="0" w:beforeAutospacing="0" w:after="0" w:afterAutospacing="0"/>
              <w:ind w:left="0" w:right="0"/>
              <w:jc w:val="left"/>
              <w:rPr>
                <w:rStyle w:val="DefaultParagraphFont"/>
                <w:rFonts w:ascii="仿宋_GB2312" w:eastAsia="仿宋_GB2312" w:hAnsi="宋体" w:cs="宋体" w:hint="default"/>
                <w:color w:val="auto"/>
                <w:kern w:val="0"/>
                <w:sz w:val="24"/>
                <w:szCs w:val="24"/>
                <w:lang w:val="en-US" w:eastAsia="en-US" w:bidi="ar-SA"/>
              </w:rPr>
            </w:pPr>
          </w:p>
        </w:tc>
      </w:tr>
      <w:tr>
        <w:tblPrEx>
          <w:tblW w:w="9498" w:type="dxa"/>
          <w:jc w:val="center"/>
          <w:tblLayout w:type="fixed"/>
          <w:tblCellMar>
            <w:top w:w="15" w:type="dxa"/>
            <w:left w:w="15" w:type="dxa"/>
            <w:bottom w:w="15" w:type="dxa"/>
            <w:right w:w="15" w:type="dxa"/>
          </w:tblCellMar>
          <w:tblLook w:val="04A0"/>
        </w:tblPrEx>
        <w:trPr>
          <w:trHeight w:val="969"/>
          <w:jc w:val="center"/>
        </w:trPr>
        <w:tc>
          <w:tcPr>
            <w:tcW w:w="155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4"/>
                <w:szCs w:val="24"/>
                <w:lang w:val="en-US" w:eastAsia="zh-CN" w:bidi="ar-SA"/>
              </w:rPr>
            </w:pPr>
            <w:r>
              <w:rPr>
                <w:rFonts w:ascii="仿宋_GB2312" w:eastAsia="仿宋_GB2312" w:hAnsi="宋体" w:cs="宋体" w:hint="eastAsia"/>
                <w:color w:val="auto"/>
                <w:kern w:val="0"/>
                <w:sz w:val="24"/>
                <w:szCs w:val="24"/>
                <w:lang w:val="en-US" w:eastAsia="zh-CN" w:bidi="ar"/>
              </w:rPr>
              <w:t>采购项目名称及合同编号</w:t>
            </w:r>
          </w:p>
        </w:tc>
        <w:tc>
          <w:tcPr>
            <w:tcW w:w="2657"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val="0"/>
              <w:suppressLineNumbers w:val="0"/>
              <w:autoSpaceDE w:val="0"/>
              <w:autoSpaceDN w:val="0"/>
              <w:adjustRightInd w:val="0"/>
              <w:snapToGrid w:val="0"/>
              <w:spacing w:before="0" w:beforeAutospacing="0" w:after="0" w:afterAutospacing="0"/>
              <w:ind w:left="0" w:right="0"/>
              <w:jc w:val="center"/>
              <w:rPr>
                <w:rStyle w:val="DefaultParagraphFont"/>
                <w:rFonts w:ascii="仿宋_GB2312" w:eastAsia="仿宋_GB2312" w:hAnsi="宋体" w:cs="宋体" w:hint="default"/>
                <w:color w:val="auto"/>
                <w:kern w:val="0"/>
                <w:sz w:val="24"/>
                <w:szCs w:val="24"/>
                <w:lang w:val="en-US" w:eastAsia="zh-CN" w:bidi="ar-SA"/>
              </w:rPr>
            </w:pPr>
          </w:p>
        </w:tc>
        <w:tc>
          <w:tcPr>
            <w:tcW w:w="2160"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2"/>
                <w:szCs w:val="24"/>
                <w:lang w:val="en-US" w:eastAsia="zh-CN" w:bidi="ar"/>
              </w:rPr>
            </w:pPr>
            <w:r>
              <w:rPr>
                <w:rFonts w:ascii="仿宋_GB2312" w:eastAsia="仿宋_GB2312" w:hAnsi="宋体" w:cs="宋体" w:hint="eastAsia"/>
                <w:color w:val="auto"/>
                <w:kern w:val="0"/>
                <w:sz w:val="22"/>
                <w:szCs w:val="24"/>
                <w:lang w:val="en-US" w:eastAsia="zh-CN" w:bidi="ar"/>
              </w:rPr>
              <w:t>采购方式相应</w:t>
            </w:r>
          </w:p>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2"/>
                <w:szCs w:val="24"/>
                <w:lang w:val="en-US" w:eastAsia="zh-CN" w:bidi="ar-SA"/>
              </w:rPr>
            </w:pPr>
            <w:r>
              <w:rPr>
                <w:rFonts w:ascii="仿宋_GB2312" w:eastAsia="仿宋_GB2312" w:hAnsi="宋体" w:cs="宋体" w:hint="eastAsia"/>
                <w:color w:val="auto"/>
                <w:kern w:val="0"/>
                <w:sz w:val="22"/>
                <w:szCs w:val="24"/>
                <w:lang w:val="en-US" w:eastAsia="zh-CN" w:bidi="ar"/>
              </w:rPr>
              <w:t>（条款方框内打</w:t>
            </w:r>
            <w:r>
              <w:rPr>
                <w:rFonts w:ascii="仿宋_GB2312" w:eastAsia="仿宋_GB2312" w:hAnsi="宋体" w:cs="宋体" w:hint="eastAsia"/>
                <w:color w:val="auto"/>
                <w:kern w:val="0"/>
                <w:sz w:val="22"/>
                <w:szCs w:val="24"/>
                <w:lang w:val="en-US" w:eastAsia="zh-CN" w:bidi="ar"/>
              </w:rPr>
              <w:t>√</w:t>
            </w:r>
            <w:r>
              <w:rPr>
                <w:rFonts w:ascii="仿宋_GB2312" w:eastAsia="仿宋_GB2312" w:hAnsi="宋体" w:cs="宋体" w:hint="eastAsia"/>
                <w:color w:val="auto"/>
                <w:kern w:val="0"/>
                <w:sz w:val="22"/>
                <w:szCs w:val="24"/>
                <w:lang w:val="en-US" w:eastAsia="zh-CN" w:bidi="ar"/>
              </w:rPr>
              <w:t>）</w:t>
            </w:r>
          </w:p>
        </w:tc>
        <w:tc>
          <w:tcPr>
            <w:tcW w:w="3122"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left"/>
              <w:textAlignment w:val="center"/>
              <w:rPr>
                <w:rStyle w:val="DefaultParagraphFont"/>
                <w:rFonts w:ascii="仿宋_GB2312" w:eastAsia="仿宋_GB2312" w:hAnsi="宋体" w:cs="宋体" w:hint="default"/>
                <w:color w:val="auto"/>
                <w:kern w:val="0"/>
                <w:sz w:val="24"/>
                <w:szCs w:val="24"/>
                <w:lang w:val="en-US" w:eastAsia="zh-CN" w:bidi="ar-SA"/>
              </w:rPr>
            </w:pPr>
            <w:r>
              <w:rPr>
                <w:rFonts w:ascii="仿宋_GB2312" w:eastAsia="仿宋_GB2312" w:hAnsi="宋体" w:cs="宋体" w:hint="eastAsia"/>
                <w:color w:val="auto"/>
                <w:kern w:val="0"/>
                <w:sz w:val="24"/>
                <w:szCs w:val="24"/>
                <w:lang w:val="en-US" w:eastAsia="zh-CN" w:bidi="ar"/>
              </w:rPr>
              <w:t>公开招标</w:t>
            </w:r>
            <w:r>
              <w:rPr>
                <w:rFonts w:ascii="仿宋_GB2312" w:eastAsia="仿宋_GB2312" w:hAnsi="宋体" w:cs="宋体" w:hint="eastAsia"/>
                <w:color w:val="auto"/>
                <w:kern w:val="0"/>
                <w:sz w:val="24"/>
                <w:szCs w:val="24"/>
                <w:lang w:val="en-US" w:eastAsia="zh-CN" w:bidi="ar"/>
              </w:rPr>
              <w:t>□</w:t>
            </w:r>
            <w:r>
              <w:rPr>
                <w:rFonts w:ascii="仿宋_GB2312" w:eastAsia="仿宋_GB2312" w:hAnsi="宋体" w:cs="宋体" w:hint="eastAsia"/>
                <w:color w:val="auto"/>
                <w:kern w:val="0"/>
                <w:sz w:val="24"/>
                <w:szCs w:val="24"/>
                <w:lang w:val="en-US" w:eastAsia="zh-CN" w:bidi="ar"/>
              </w:rPr>
              <w:t>.询价</w:t>
            </w:r>
            <w:r>
              <w:rPr>
                <w:rFonts w:ascii="仿宋_GB2312" w:eastAsia="仿宋_GB2312" w:hAnsi="宋体" w:cs="宋体" w:hint="eastAsia"/>
                <w:color w:val="auto"/>
                <w:kern w:val="0"/>
                <w:sz w:val="24"/>
                <w:szCs w:val="24"/>
                <w:lang w:val="en-US" w:eastAsia="zh-CN" w:bidi="ar"/>
              </w:rPr>
              <w:t>□</w:t>
            </w:r>
            <w:r>
              <w:rPr>
                <w:rFonts w:ascii="仿宋_GB2312" w:eastAsia="仿宋_GB2312" w:hAnsi="宋体" w:cs="宋体" w:hint="eastAsia"/>
                <w:color w:val="auto"/>
                <w:kern w:val="0"/>
                <w:sz w:val="24"/>
                <w:szCs w:val="24"/>
                <w:lang w:val="en-US" w:eastAsia="zh-CN" w:bidi="ar"/>
              </w:rPr>
              <w:t>.竞争性谈判</w:t>
            </w:r>
            <w:r>
              <w:rPr>
                <w:rFonts w:ascii="仿宋_GB2312" w:eastAsia="仿宋_GB2312" w:hAnsi="宋体" w:cs="宋体" w:hint="eastAsia"/>
                <w:color w:val="auto"/>
                <w:kern w:val="0"/>
                <w:sz w:val="24"/>
                <w:szCs w:val="24"/>
                <w:lang w:val="en-US" w:eastAsia="zh-CN" w:bidi="ar"/>
              </w:rPr>
              <w:t>□</w:t>
            </w:r>
            <w:r>
              <w:rPr>
                <w:rFonts w:ascii="仿宋_GB2312" w:eastAsia="仿宋_GB2312" w:hAnsi="宋体" w:cs="宋体" w:hint="eastAsia"/>
                <w:color w:val="auto"/>
                <w:kern w:val="0"/>
                <w:sz w:val="24"/>
                <w:szCs w:val="24"/>
                <w:lang w:val="en-US" w:eastAsia="zh-CN" w:bidi="ar"/>
              </w:rPr>
              <w:t>.竞争性磋商</w:t>
            </w:r>
            <w:r>
              <w:rPr>
                <w:rFonts w:ascii="仿宋_GB2312" w:eastAsia="仿宋_GB2312" w:hAnsi="宋体" w:cs="宋体" w:hint="eastAsia"/>
                <w:color w:val="auto"/>
                <w:kern w:val="0"/>
                <w:sz w:val="24"/>
                <w:szCs w:val="24"/>
                <w:lang w:val="en-US" w:eastAsia="zh-CN" w:bidi="ar"/>
              </w:rPr>
              <w:t>□</w:t>
            </w:r>
            <w:r>
              <w:rPr>
                <w:rFonts w:ascii="仿宋_GB2312" w:eastAsia="仿宋_GB2312" w:hAnsi="宋体" w:cs="宋体" w:hint="eastAsia"/>
                <w:color w:val="auto"/>
                <w:kern w:val="0"/>
                <w:sz w:val="24"/>
                <w:szCs w:val="24"/>
                <w:lang w:val="en-US" w:eastAsia="zh-CN" w:bidi="ar"/>
              </w:rPr>
              <w:t>.单一来源</w:t>
            </w:r>
            <w:r>
              <w:rPr>
                <w:rFonts w:ascii="仿宋_GB2312" w:eastAsia="仿宋_GB2312" w:hAnsi="宋体" w:cs="宋体" w:hint="eastAsia"/>
                <w:color w:val="auto"/>
                <w:kern w:val="0"/>
                <w:sz w:val="24"/>
                <w:szCs w:val="24"/>
                <w:lang w:val="en-US" w:eastAsia="zh-CN" w:bidi="ar"/>
              </w:rPr>
              <w:t>□</w:t>
            </w:r>
            <w:r>
              <w:rPr>
                <w:rFonts w:ascii="仿宋_GB2312" w:eastAsia="仿宋_GB2312" w:hAnsi="宋体" w:cs="宋体" w:hint="eastAsia"/>
                <w:color w:val="auto"/>
                <w:kern w:val="0"/>
                <w:sz w:val="24"/>
                <w:szCs w:val="24"/>
                <w:lang w:val="en-US" w:eastAsia="zh-CN" w:bidi="ar"/>
              </w:rPr>
              <w:t>.自行采购</w:t>
            </w:r>
            <w:r>
              <w:rPr>
                <w:rFonts w:ascii="仿宋_GB2312" w:eastAsia="仿宋_GB2312" w:hAnsi="宋体" w:cs="宋体" w:hint="eastAsia"/>
                <w:color w:val="auto"/>
                <w:kern w:val="0"/>
                <w:sz w:val="24"/>
                <w:szCs w:val="24"/>
                <w:lang w:val="en-US" w:eastAsia="zh-CN" w:bidi="ar"/>
              </w:rPr>
              <w:t>□</w:t>
            </w:r>
            <w:r>
              <w:rPr>
                <w:rFonts w:ascii="仿宋_GB2312" w:eastAsia="仿宋_GB2312" w:hAnsi="宋体" w:cs="宋体" w:hint="eastAsia"/>
                <w:color w:val="auto"/>
                <w:kern w:val="0"/>
                <w:sz w:val="24"/>
                <w:szCs w:val="24"/>
                <w:lang w:val="en-US" w:eastAsia="zh-CN" w:bidi="ar"/>
              </w:rPr>
              <w:t>.其他</w:t>
            </w:r>
            <w:r>
              <w:rPr>
                <w:rFonts w:ascii="仿宋_GB2312" w:eastAsia="仿宋_GB2312" w:hAnsi="宋体" w:cs="宋体" w:hint="eastAsia"/>
                <w:color w:val="auto"/>
                <w:kern w:val="0"/>
                <w:sz w:val="24"/>
                <w:szCs w:val="24"/>
                <w:lang w:val="en-US" w:eastAsia="zh-CN" w:bidi="ar"/>
              </w:rPr>
              <w:t>□</w:t>
            </w:r>
            <w:r>
              <w:rPr>
                <w:rFonts w:ascii="仿宋_GB2312" w:eastAsia="仿宋_GB2312" w:hAnsi="宋体" w:cs="宋体" w:hint="eastAsia"/>
                <w:color w:val="auto"/>
                <w:kern w:val="0"/>
                <w:sz w:val="24"/>
                <w:szCs w:val="24"/>
                <w:lang w:val="en-US" w:eastAsia="zh-CN" w:bidi="ar"/>
              </w:rPr>
              <w:t>.</w:t>
            </w:r>
          </w:p>
        </w:tc>
      </w:tr>
      <w:tr>
        <w:tblPrEx>
          <w:tblW w:w="9498" w:type="dxa"/>
          <w:jc w:val="center"/>
          <w:tblLayout w:type="fixed"/>
          <w:tblCellMar>
            <w:top w:w="15" w:type="dxa"/>
            <w:left w:w="15" w:type="dxa"/>
            <w:bottom w:w="15" w:type="dxa"/>
            <w:right w:w="15" w:type="dxa"/>
          </w:tblCellMar>
          <w:tblLook w:val="04A0"/>
        </w:tblPrEx>
        <w:trPr>
          <w:trHeight w:val="732"/>
          <w:jc w:val="center"/>
        </w:trPr>
        <w:tc>
          <w:tcPr>
            <w:tcW w:w="155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4"/>
                <w:szCs w:val="24"/>
                <w:lang w:val="en-US" w:eastAsia="en-US" w:bidi="ar-SA"/>
              </w:rPr>
            </w:pPr>
            <w:r>
              <w:rPr>
                <w:rFonts w:ascii="仿宋_GB2312" w:eastAsia="仿宋_GB2312" w:hAnsi="宋体" w:cs="宋体" w:hint="eastAsia"/>
                <w:color w:val="auto"/>
                <w:kern w:val="0"/>
                <w:sz w:val="24"/>
                <w:szCs w:val="24"/>
                <w:lang w:val="en-US" w:eastAsia="en-US" w:bidi="ar"/>
              </w:rPr>
              <w:t>财政采购项目编号</w:t>
            </w:r>
          </w:p>
        </w:tc>
        <w:tc>
          <w:tcPr>
            <w:tcW w:w="2657"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val="0"/>
              <w:suppressLineNumbers w:val="0"/>
              <w:autoSpaceDE w:val="0"/>
              <w:autoSpaceDN w:val="0"/>
              <w:adjustRightInd w:val="0"/>
              <w:snapToGrid w:val="0"/>
              <w:spacing w:before="0" w:beforeAutospacing="0" w:after="0" w:afterAutospacing="0"/>
              <w:ind w:left="0" w:right="0"/>
              <w:jc w:val="left"/>
              <w:rPr>
                <w:rStyle w:val="DefaultParagraphFont"/>
                <w:rFonts w:ascii="仿宋_GB2312" w:eastAsia="仿宋_GB2312" w:hAnsi="宋体" w:cs="宋体" w:hint="default"/>
                <w:color w:val="auto"/>
                <w:kern w:val="0"/>
                <w:sz w:val="24"/>
                <w:szCs w:val="24"/>
                <w:lang w:val="en-US" w:eastAsia="en-US" w:bidi="ar-SA"/>
              </w:rPr>
            </w:pPr>
          </w:p>
        </w:tc>
        <w:tc>
          <w:tcPr>
            <w:tcW w:w="2160"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4"/>
                <w:szCs w:val="24"/>
                <w:lang w:val="en-US" w:eastAsia="zh-CN" w:bidi="ar-SA"/>
              </w:rPr>
            </w:pPr>
            <w:r>
              <w:rPr>
                <w:rFonts w:ascii="仿宋_GB2312" w:eastAsia="仿宋_GB2312" w:hAnsi="宋体" w:cs="宋体" w:hint="eastAsia"/>
                <w:color w:val="auto"/>
                <w:kern w:val="0"/>
                <w:sz w:val="24"/>
                <w:szCs w:val="24"/>
                <w:lang w:val="en-US" w:eastAsia="zh-CN" w:bidi="ar"/>
              </w:rPr>
              <w:t>委托代理机构名称及项目编号</w:t>
            </w:r>
          </w:p>
        </w:tc>
        <w:tc>
          <w:tcPr>
            <w:tcW w:w="3122"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val="0"/>
              <w:suppressLineNumbers w:val="0"/>
              <w:autoSpaceDE w:val="0"/>
              <w:autoSpaceDN w:val="0"/>
              <w:adjustRightInd w:val="0"/>
              <w:snapToGrid w:val="0"/>
              <w:spacing w:before="0" w:beforeAutospacing="0" w:after="0" w:afterAutospacing="0"/>
              <w:ind w:left="0" w:right="0"/>
              <w:jc w:val="left"/>
              <w:rPr>
                <w:rStyle w:val="DefaultParagraphFont"/>
                <w:rFonts w:ascii="仿宋_GB2312" w:eastAsia="仿宋_GB2312" w:hAnsi="宋体" w:cs="宋体" w:hint="default"/>
                <w:color w:val="auto"/>
                <w:kern w:val="0"/>
                <w:sz w:val="24"/>
                <w:szCs w:val="24"/>
                <w:lang w:val="en-US" w:eastAsia="zh-CN" w:bidi="ar-SA"/>
              </w:rPr>
            </w:pPr>
          </w:p>
        </w:tc>
      </w:tr>
      <w:tr>
        <w:tblPrEx>
          <w:tblW w:w="9498" w:type="dxa"/>
          <w:jc w:val="center"/>
          <w:tblLayout w:type="fixed"/>
          <w:tblCellMar>
            <w:top w:w="15" w:type="dxa"/>
            <w:left w:w="15" w:type="dxa"/>
            <w:bottom w:w="15" w:type="dxa"/>
            <w:right w:w="15" w:type="dxa"/>
          </w:tblCellMar>
          <w:tblLook w:val="04A0"/>
        </w:tblPrEx>
        <w:trPr>
          <w:trHeight w:val="608"/>
          <w:jc w:val="center"/>
        </w:trPr>
        <w:tc>
          <w:tcPr>
            <w:tcW w:w="1559" w:type="dxa"/>
            <w:tcBorders>
              <w:left w:val="single" w:sz="12"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4"/>
                <w:szCs w:val="24"/>
                <w:lang w:val="en-US" w:eastAsia="en-US" w:bidi="ar-SA"/>
              </w:rPr>
            </w:pPr>
            <w:r>
              <w:rPr>
                <w:rFonts w:ascii="仿宋_GB2312" w:eastAsia="仿宋_GB2312" w:hAnsi="宋体" w:cs="宋体" w:hint="eastAsia"/>
                <w:color w:val="auto"/>
                <w:kern w:val="0"/>
                <w:sz w:val="24"/>
                <w:szCs w:val="24"/>
                <w:lang w:val="en-US" w:eastAsia="en-US" w:bidi="ar"/>
              </w:rPr>
              <w:t>采购（成交）金额:</w:t>
            </w:r>
          </w:p>
        </w:tc>
        <w:tc>
          <w:tcPr>
            <w:tcW w:w="7939" w:type="dxa"/>
            <w:gridSpan w:val="3"/>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left"/>
              <w:textAlignment w:val="center"/>
              <w:rPr>
                <w:rStyle w:val="DefaultParagraphFont"/>
                <w:rFonts w:ascii="仿宋_GB2312" w:eastAsia="仿宋_GB2312" w:hAnsi="宋体" w:cs="宋体" w:hint="default"/>
                <w:color w:val="auto"/>
                <w:kern w:val="0"/>
                <w:sz w:val="24"/>
                <w:szCs w:val="24"/>
                <w:lang w:val="en-US" w:eastAsia="zh-CN" w:bidi="ar-SA"/>
              </w:rPr>
            </w:pPr>
            <w:r>
              <w:rPr>
                <w:rFonts w:ascii="仿宋_GB2312" w:eastAsia="仿宋_GB2312" w:hAnsi="宋体" w:cs="宋体" w:hint="eastAsia"/>
                <w:color w:val="auto"/>
                <w:kern w:val="0"/>
                <w:sz w:val="24"/>
                <w:szCs w:val="24"/>
                <w:lang w:val="en-US" w:eastAsia="zh-CN" w:bidi="ar"/>
              </w:rPr>
              <w:t xml:space="preserve">人民币大写：                    ；小写：            </w:t>
            </w:r>
            <w:r>
              <w:rPr>
                <w:rFonts w:ascii="仿宋_GB2312" w:eastAsia="仿宋_GB2312" w:hAnsi="Times New Roman" w:cs="Times New Roman" w:hint="default"/>
                <w:color w:val="auto"/>
                <w:kern w:val="0"/>
                <w:sz w:val="22"/>
                <w:szCs w:val="24"/>
                <w:lang w:val="en-US" w:eastAsia="zh-CN" w:bidi="ar"/>
              </w:rPr>
              <w:t>元。</w:t>
            </w:r>
          </w:p>
        </w:tc>
      </w:tr>
      <w:tr>
        <w:tblPrEx>
          <w:tblW w:w="9498" w:type="dxa"/>
          <w:jc w:val="center"/>
          <w:tblLayout w:type="fixed"/>
          <w:tblCellMar>
            <w:top w:w="15" w:type="dxa"/>
            <w:left w:w="15" w:type="dxa"/>
            <w:bottom w:w="15" w:type="dxa"/>
            <w:right w:w="15" w:type="dxa"/>
          </w:tblCellMar>
          <w:tblLook w:val="04A0"/>
        </w:tblPrEx>
        <w:trPr>
          <w:trHeight w:val="682"/>
          <w:jc w:val="center"/>
        </w:trPr>
        <w:tc>
          <w:tcPr>
            <w:tcW w:w="1559" w:type="dxa"/>
            <w:tcBorders>
              <w:top w:val="single" w:sz="4" w:space="0" w:color="000000"/>
              <w:left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4"/>
                <w:szCs w:val="24"/>
                <w:lang w:val="en-US" w:eastAsia="en-US" w:bidi="ar-SA"/>
              </w:rPr>
            </w:pPr>
            <w:r>
              <w:rPr>
                <w:rFonts w:ascii="仿宋_GB2312" w:eastAsia="仿宋_GB2312" w:hAnsi="宋体" w:cs="宋体" w:hint="eastAsia"/>
                <w:color w:val="auto"/>
                <w:kern w:val="0"/>
                <w:sz w:val="24"/>
                <w:szCs w:val="24"/>
                <w:lang w:val="en-US" w:eastAsia="en-US" w:bidi="ar"/>
              </w:rPr>
              <w:t>验收清单</w:t>
            </w:r>
          </w:p>
        </w:tc>
        <w:tc>
          <w:tcPr>
            <w:tcW w:w="7939" w:type="dxa"/>
            <w:gridSpan w:val="3"/>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left"/>
              <w:textAlignment w:val="center"/>
              <w:rPr>
                <w:rStyle w:val="DefaultParagraphFont"/>
                <w:rFonts w:ascii="仿宋_GB2312" w:eastAsia="仿宋_GB2312" w:hAnsi="宋体" w:cs="宋体" w:hint="default"/>
                <w:color w:val="auto"/>
                <w:kern w:val="0"/>
                <w:sz w:val="24"/>
                <w:szCs w:val="24"/>
                <w:lang w:val="en-US" w:eastAsia="zh-CN" w:bidi="ar-SA"/>
              </w:rPr>
            </w:pPr>
            <w:r>
              <w:rPr>
                <w:rFonts w:ascii="仿宋_GB2312" w:eastAsia="仿宋_GB2312" w:hAnsi="宋体" w:cs="宋体" w:hint="eastAsia"/>
                <w:color w:val="auto"/>
                <w:kern w:val="0"/>
                <w:sz w:val="24"/>
                <w:szCs w:val="24"/>
                <w:lang w:val="en-US" w:eastAsia="zh-CN" w:bidi="ar"/>
              </w:rPr>
              <w:t xml:space="preserve">验收清单是否与采购文件要求内容和采购合同一致（条款方框内打 </w:t>
            </w:r>
            <w:r>
              <w:rPr>
                <w:rFonts w:ascii="仿宋_GB2312" w:eastAsia="仿宋_GB2312" w:hAnsi="宋体" w:cs="宋体" w:hint="eastAsia"/>
                <w:color w:val="auto"/>
                <w:kern w:val="0"/>
                <w:sz w:val="24"/>
                <w:szCs w:val="24"/>
                <w:lang w:val="en-US" w:eastAsia="zh-CN" w:bidi="ar"/>
              </w:rPr>
              <w:t>√</w:t>
            </w:r>
            <w:r>
              <w:rPr>
                <w:rFonts w:ascii="仿宋_GB2312" w:eastAsia="仿宋_GB2312" w:hAnsi="宋体" w:cs="宋体" w:hint="eastAsia"/>
                <w:color w:val="auto"/>
                <w:kern w:val="0"/>
                <w:sz w:val="24"/>
                <w:szCs w:val="24"/>
                <w:lang w:val="en-US" w:eastAsia="zh-CN" w:bidi="ar"/>
              </w:rPr>
              <w:t>）。否</w:t>
            </w:r>
            <w:r>
              <w:rPr>
                <w:rFonts w:ascii="仿宋_GB2312" w:eastAsia="仿宋_GB2312" w:hAnsi="宋体" w:cs="宋体" w:hint="eastAsia"/>
                <w:color w:val="auto"/>
                <w:kern w:val="0"/>
                <w:sz w:val="24"/>
                <w:szCs w:val="24"/>
                <w:lang w:val="en-US" w:eastAsia="zh-CN" w:bidi="ar"/>
              </w:rPr>
              <w:t>□</w:t>
            </w:r>
            <w:r>
              <w:rPr>
                <w:rFonts w:ascii="仿宋_GB2312" w:eastAsia="仿宋_GB2312" w:hAnsi="宋体" w:cs="宋体" w:hint="eastAsia"/>
                <w:color w:val="auto"/>
                <w:kern w:val="0"/>
                <w:sz w:val="24"/>
                <w:szCs w:val="24"/>
                <w:lang w:val="en-US" w:eastAsia="zh-CN" w:bidi="ar"/>
              </w:rPr>
              <w:t>；是</w:t>
            </w:r>
            <w:r>
              <w:rPr>
                <w:rFonts w:ascii="仿宋_GB2312" w:eastAsia="仿宋_GB2312" w:hAnsi="宋体" w:cs="宋体" w:hint="eastAsia"/>
                <w:color w:val="auto"/>
                <w:kern w:val="0"/>
                <w:sz w:val="24"/>
                <w:szCs w:val="24"/>
                <w:lang w:val="en-US" w:eastAsia="zh-CN" w:bidi="ar"/>
              </w:rPr>
              <w:t>□</w:t>
            </w:r>
            <w:r>
              <w:rPr>
                <w:rFonts w:ascii="仿宋_GB2312" w:eastAsia="仿宋_GB2312" w:hAnsi="宋体" w:cs="宋体" w:hint="eastAsia"/>
                <w:color w:val="auto"/>
                <w:kern w:val="0"/>
                <w:sz w:val="24"/>
                <w:szCs w:val="24"/>
                <w:lang w:val="en-US" w:eastAsia="zh-CN" w:bidi="ar"/>
              </w:rPr>
              <w:t>（详细见附政府采购项目验收明细表）</w:t>
            </w:r>
          </w:p>
        </w:tc>
      </w:tr>
      <w:tr>
        <w:tblPrEx>
          <w:tblW w:w="9498" w:type="dxa"/>
          <w:jc w:val="center"/>
          <w:tblLayout w:type="fixed"/>
          <w:tblCellMar>
            <w:top w:w="15" w:type="dxa"/>
            <w:left w:w="15" w:type="dxa"/>
            <w:bottom w:w="15" w:type="dxa"/>
            <w:right w:w="15" w:type="dxa"/>
          </w:tblCellMar>
          <w:tblLook w:val="04A0"/>
        </w:tblPrEx>
        <w:trPr>
          <w:trHeight w:val="591"/>
          <w:jc w:val="center"/>
        </w:trPr>
        <w:tc>
          <w:tcPr>
            <w:tcW w:w="1559" w:type="dxa"/>
            <w:tcBorders>
              <w:top w:val="single" w:sz="4" w:space="0" w:color="000000"/>
              <w:left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2"/>
                <w:szCs w:val="28"/>
                <w:lang w:val="en-US" w:eastAsia="zh-CN" w:bidi="ar"/>
              </w:rPr>
            </w:pPr>
          </w:p>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2"/>
                <w:szCs w:val="28"/>
                <w:lang w:val="en-US" w:eastAsia="en-US" w:bidi="ar-SA"/>
              </w:rPr>
            </w:pPr>
            <w:r>
              <w:rPr>
                <w:rFonts w:ascii="仿宋_GB2312" w:eastAsia="仿宋_GB2312" w:hAnsi="宋体" w:cs="宋体" w:hint="eastAsia"/>
                <w:color w:val="auto"/>
                <w:kern w:val="0"/>
                <w:sz w:val="22"/>
                <w:szCs w:val="28"/>
                <w:lang w:val="en-US" w:eastAsia="en-US" w:bidi="ar"/>
              </w:rPr>
              <w:t>验</w:t>
            </w:r>
          </w:p>
        </w:tc>
        <w:tc>
          <w:tcPr>
            <w:tcW w:w="7939" w:type="dxa"/>
            <w:gridSpan w:val="3"/>
            <w:tcBorders>
              <w:top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left"/>
              <w:textAlignment w:val="center"/>
              <w:rPr>
                <w:rStyle w:val="DefaultParagraphFont"/>
                <w:rFonts w:ascii="仿宋_GB2312" w:eastAsia="仿宋_GB2312" w:hAnsi="宋体" w:cs="宋体" w:hint="default"/>
                <w:color w:val="auto"/>
                <w:kern w:val="0"/>
                <w:sz w:val="24"/>
                <w:szCs w:val="24"/>
                <w:lang w:val="en-US" w:eastAsia="zh-CN" w:bidi="ar-SA"/>
              </w:rPr>
            </w:pPr>
            <w:r>
              <w:rPr>
                <w:rFonts w:ascii="仿宋_GB2312" w:eastAsia="仿宋_GB2312" w:hAnsi="宋体" w:cs="宋体" w:hint="eastAsia"/>
                <w:color w:val="auto"/>
                <w:kern w:val="0"/>
                <w:sz w:val="24"/>
                <w:szCs w:val="24"/>
                <w:lang w:val="en-US" w:eastAsia="zh-CN" w:bidi="ar"/>
              </w:rPr>
              <w:t>□</w:t>
            </w:r>
            <w:r>
              <w:rPr>
                <w:rFonts w:ascii="仿宋_GB2312" w:eastAsia="仿宋_GB2312" w:hAnsi="宋体" w:cs="宋体" w:hint="eastAsia"/>
                <w:color w:val="auto"/>
                <w:kern w:val="0"/>
                <w:sz w:val="24"/>
                <w:szCs w:val="24"/>
                <w:lang w:val="en-US" w:eastAsia="zh-CN" w:bidi="ar"/>
              </w:rPr>
              <w:t>1、供应商提供货物的生产厂家 、品牌、规格、型号、配置、质量、数量、颜色、性能要求等是否与供应商的采购（中标）项目相符</w:t>
            </w:r>
          </w:p>
        </w:tc>
      </w:tr>
      <w:tr>
        <w:tblPrEx>
          <w:tblW w:w="9498" w:type="dxa"/>
          <w:jc w:val="center"/>
          <w:tblLayout w:type="fixed"/>
          <w:tblCellMar>
            <w:top w:w="15" w:type="dxa"/>
            <w:left w:w="15" w:type="dxa"/>
            <w:bottom w:w="15" w:type="dxa"/>
            <w:right w:w="15" w:type="dxa"/>
          </w:tblCellMar>
          <w:tblLook w:val="04A0"/>
        </w:tblPrEx>
        <w:trPr>
          <w:trHeight w:val="510"/>
          <w:jc w:val="center"/>
        </w:trPr>
        <w:tc>
          <w:tcPr>
            <w:tcW w:w="1559" w:type="dxa"/>
            <w:tcBorders>
              <w:left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2"/>
                <w:szCs w:val="28"/>
                <w:lang w:val="en-US" w:eastAsia="en-US" w:bidi="ar-SA"/>
              </w:rPr>
            </w:pPr>
            <w:r>
              <w:rPr>
                <w:rFonts w:ascii="仿宋_GB2312" w:eastAsia="仿宋_GB2312" w:hAnsi="宋体" w:cs="宋体" w:hint="eastAsia"/>
                <w:color w:val="auto"/>
                <w:kern w:val="0"/>
                <w:sz w:val="22"/>
                <w:szCs w:val="28"/>
                <w:lang w:val="en-US" w:eastAsia="en-US" w:bidi="ar"/>
              </w:rPr>
              <w:t>收</w:t>
            </w:r>
          </w:p>
        </w:tc>
        <w:tc>
          <w:tcPr>
            <w:tcW w:w="7939" w:type="dxa"/>
            <w:gridSpan w:val="3"/>
            <w:tcBorders>
              <w:top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left"/>
              <w:textAlignment w:val="center"/>
              <w:rPr>
                <w:rStyle w:val="DefaultParagraphFont"/>
                <w:rFonts w:ascii="仿宋_GB2312" w:eastAsia="仿宋_GB2312" w:hAnsi="宋体" w:cs="宋体" w:hint="default"/>
                <w:color w:val="auto"/>
                <w:kern w:val="0"/>
                <w:sz w:val="24"/>
                <w:szCs w:val="24"/>
                <w:lang w:val="en-US" w:eastAsia="zh-CN" w:bidi="ar-SA"/>
              </w:rPr>
            </w:pPr>
            <w:r>
              <w:rPr>
                <w:rFonts w:ascii="仿宋_GB2312" w:eastAsia="仿宋_GB2312" w:hAnsi="宋体" w:cs="宋体" w:hint="eastAsia"/>
                <w:color w:val="auto"/>
                <w:kern w:val="0"/>
                <w:sz w:val="24"/>
                <w:szCs w:val="24"/>
                <w:lang w:val="en-US" w:eastAsia="zh-CN" w:bidi="ar"/>
              </w:rPr>
              <w:t>□</w:t>
            </w:r>
            <w:r>
              <w:rPr>
                <w:rFonts w:ascii="仿宋_GB2312" w:eastAsia="仿宋_GB2312" w:hAnsi="宋体" w:cs="宋体" w:hint="eastAsia"/>
                <w:color w:val="auto"/>
                <w:kern w:val="0"/>
                <w:sz w:val="24"/>
                <w:szCs w:val="24"/>
                <w:lang w:val="en-US" w:eastAsia="zh-CN" w:bidi="ar"/>
              </w:rPr>
              <w:t>2、供应商是否按照协议和承诺的时间、地点交货</w:t>
            </w:r>
          </w:p>
        </w:tc>
      </w:tr>
      <w:tr>
        <w:tblPrEx>
          <w:tblW w:w="9498" w:type="dxa"/>
          <w:jc w:val="center"/>
          <w:tblLayout w:type="fixed"/>
          <w:tblCellMar>
            <w:top w:w="15" w:type="dxa"/>
            <w:left w:w="15" w:type="dxa"/>
            <w:bottom w:w="15" w:type="dxa"/>
            <w:right w:w="15" w:type="dxa"/>
          </w:tblCellMar>
          <w:tblLook w:val="04A0"/>
        </w:tblPrEx>
        <w:trPr>
          <w:trHeight w:val="360"/>
          <w:jc w:val="center"/>
        </w:trPr>
        <w:tc>
          <w:tcPr>
            <w:tcW w:w="1559" w:type="dxa"/>
            <w:tcBorders>
              <w:left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2"/>
                <w:szCs w:val="28"/>
                <w:lang w:val="en-US" w:eastAsia="en-US" w:bidi="ar-SA"/>
              </w:rPr>
            </w:pPr>
            <w:r>
              <w:rPr>
                <w:rFonts w:ascii="仿宋_GB2312" w:eastAsia="仿宋_GB2312" w:hAnsi="宋体" w:cs="宋体" w:hint="eastAsia"/>
                <w:color w:val="auto"/>
                <w:kern w:val="0"/>
                <w:sz w:val="22"/>
                <w:szCs w:val="28"/>
                <w:lang w:val="en-US" w:eastAsia="en-US" w:bidi="ar"/>
              </w:rPr>
              <w:t>意</w:t>
            </w:r>
          </w:p>
        </w:tc>
        <w:tc>
          <w:tcPr>
            <w:tcW w:w="7939" w:type="dxa"/>
            <w:gridSpan w:val="3"/>
            <w:tcBorders>
              <w:top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left"/>
              <w:textAlignment w:val="center"/>
              <w:rPr>
                <w:rStyle w:val="DefaultParagraphFont"/>
                <w:rFonts w:ascii="仿宋_GB2312" w:eastAsia="仿宋_GB2312" w:hAnsi="宋体" w:cs="宋体" w:hint="default"/>
                <w:color w:val="auto"/>
                <w:kern w:val="0"/>
                <w:sz w:val="24"/>
                <w:szCs w:val="24"/>
                <w:lang w:val="en-US" w:eastAsia="zh-CN" w:bidi="ar-SA"/>
              </w:rPr>
            </w:pPr>
            <w:r>
              <w:rPr>
                <w:rFonts w:ascii="仿宋_GB2312" w:eastAsia="仿宋_GB2312" w:hAnsi="宋体" w:cs="宋体" w:hint="eastAsia"/>
                <w:color w:val="auto"/>
                <w:kern w:val="0"/>
                <w:sz w:val="24"/>
                <w:szCs w:val="24"/>
                <w:lang w:val="en-US" w:eastAsia="zh-CN" w:bidi="ar"/>
              </w:rPr>
              <w:t>□</w:t>
            </w:r>
            <w:r>
              <w:rPr>
                <w:rFonts w:ascii="仿宋_GB2312" w:eastAsia="仿宋_GB2312" w:hAnsi="宋体" w:cs="宋体" w:hint="eastAsia"/>
                <w:color w:val="auto"/>
                <w:kern w:val="0"/>
                <w:sz w:val="24"/>
                <w:szCs w:val="24"/>
                <w:lang w:val="en-US" w:eastAsia="zh-CN" w:bidi="ar"/>
              </w:rPr>
              <w:t>3、货物安装调试是否完成</w:t>
            </w:r>
          </w:p>
        </w:tc>
      </w:tr>
      <w:tr>
        <w:tblPrEx>
          <w:tblW w:w="9498" w:type="dxa"/>
          <w:jc w:val="center"/>
          <w:tblLayout w:type="fixed"/>
          <w:tblCellMar>
            <w:top w:w="15" w:type="dxa"/>
            <w:left w:w="15" w:type="dxa"/>
            <w:bottom w:w="15" w:type="dxa"/>
            <w:right w:w="15" w:type="dxa"/>
          </w:tblCellMar>
          <w:tblLook w:val="04A0"/>
        </w:tblPrEx>
        <w:trPr>
          <w:trHeight w:val="360"/>
          <w:jc w:val="center"/>
        </w:trPr>
        <w:tc>
          <w:tcPr>
            <w:tcW w:w="1559" w:type="dxa"/>
            <w:tcBorders>
              <w:left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2"/>
                <w:szCs w:val="28"/>
                <w:lang w:val="en-US" w:eastAsia="en-US" w:bidi="ar-SA"/>
              </w:rPr>
            </w:pPr>
            <w:r>
              <w:rPr>
                <w:rFonts w:ascii="仿宋_GB2312" w:eastAsia="仿宋_GB2312" w:hAnsi="宋体" w:cs="宋体" w:hint="eastAsia"/>
                <w:color w:val="auto"/>
                <w:kern w:val="0"/>
                <w:sz w:val="22"/>
                <w:szCs w:val="28"/>
                <w:lang w:val="en-US" w:eastAsia="en-US" w:bidi="ar"/>
              </w:rPr>
              <w:t>见</w:t>
            </w:r>
          </w:p>
        </w:tc>
        <w:tc>
          <w:tcPr>
            <w:tcW w:w="7939" w:type="dxa"/>
            <w:gridSpan w:val="3"/>
            <w:tcBorders>
              <w:top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left"/>
              <w:textAlignment w:val="center"/>
              <w:rPr>
                <w:rStyle w:val="DefaultParagraphFont"/>
                <w:rFonts w:ascii="仿宋_GB2312" w:eastAsia="仿宋_GB2312" w:hAnsi="宋体" w:cs="宋体" w:hint="default"/>
                <w:color w:val="auto"/>
                <w:kern w:val="0"/>
                <w:sz w:val="24"/>
                <w:szCs w:val="24"/>
                <w:lang w:val="en-US" w:eastAsia="zh-CN" w:bidi="ar-SA"/>
              </w:rPr>
            </w:pPr>
            <w:r>
              <w:rPr>
                <w:rFonts w:ascii="仿宋_GB2312" w:eastAsia="仿宋_GB2312" w:hAnsi="宋体" w:cs="宋体" w:hint="eastAsia"/>
                <w:color w:val="auto"/>
                <w:kern w:val="0"/>
                <w:sz w:val="24"/>
                <w:szCs w:val="24"/>
                <w:lang w:val="en-US" w:eastAsia="zh-CN" w:bidi="ar"/>
              </w:rPr>
              <w:t>□</w:t>
            </w:r>
            <w:r>
              <w:rPr>
                <w:rFonts w:ascii="仿宋_GB2312" w:eastAsia="仿宋_GB2312" w:hAnsi="宋体" w:cs="宋体" w:hint="eastAsia"/>
                <w:color w:val="auto"/>
                <w:kern w:val="0"/>
                <w:sz w:val="24"/>
                <w:szCs w:val="24"/>
                <w:lang w:val="en-US" w:eastAsia="zh-CN" w:bidi="ar"/>
              </w:rPr>
              <w:t>4、设备是否能够正常运行</w:t>
            </w:r>
          </w:p>
        </w:tc>
      </w:tr>
      <w:tr>
        <w:tblPrEx>
          <w:tblW w:w="9498" w:type="dxa"/>
          <w:jc w:val="center"/>
          <w:tblLayout w:type="fixed"/>
          <w:tblCellMar>
            <w:top w:w="15" w:type="dxa"/>
            <w:left w:w="15" w:type="dxa"/>
            <w:bottom w:w="15" w:type="dxa"/>
            <w:right w:w="15" w:type="dxa"/>
          </w:tblCellMar>
          <w:tblLook w:val="04A0"/>
        </w:tblPrEx>
        <w:trPr>
          <w:trHeight w:val="510"/>
          <w:jc w:val="center"/>
        </w:trPr>
        <w:tc>
          <w:tcPr>
            <w:tcW w:w="1559" w:type="dxa"/>
            <w:tcBorders>
              <w:left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2"/>
                <w:szCs w:val="24"/>
                <w:lang w:val="en-US" w:eastAsia="en-US" w:bidi="ar-SA"/>
              </w:rPr>
            </w:pPr>
            <w:r>
              <w:rPr>
                <w:rFonts w:ascii="仿宋_GB2312" w:eastAsia="仿宋_GB2312" w:hAnsi="宋体" w:cs="宋体" w:hint="eastAsia"/>
                <w:color w:val="auto"/>
                <w:kern w:val="0"/>
                <w:sz w:val="22"/>
                <w:szCs w:val="24"/>
                <w:lang w:val="en-US" w:eastAsia="en-US" w:bidi="ar"/>
              </w:rPr>
              <w:t xml:space="preserve">（相应条款打 </w:t>
            </w:r>
            <w:r>
              <w:rPr>
                <w:rFonts w:ascii="仿宋_GB2312" w:eastAsia="仿宋_GB2312" w:hAnsi="宋体" w:cs="宋体" w:hint="eastAsia"/>
                <w:color w:val="auto"/>
                <w:kern w:val="0"/>
                <w:sz w:val="22"/>
                <w:szCs w:val="24"/>
                <w:lang w:val="en-US" w:eastAsia="en-US" w:bidi="ar"/>
              </w:rPr>
              <w:t>√</w:t>
            </w:r>
            <w:r>
              <w:rPr>
                <w:rFonts w:ascii="仿宋_GB2312" w:eastAsia="仿宋_GB2312" w:hAnsi="宋体" w:cs="宋体" w:hint="eastAsia"/>
                <w:color w:val="auto"/>
                <w:kern w:val="0"/>
                <w:sz w:val="22"/>
                <w:szCs w:val="24"/>
                <w:lang w:val="en-US" w:eastAsia="en-US" w:bidi="ar"/>
              </w:rPr>
              <w:t>）</w:t>
            </w:r>
          </w:p>
        </w:tc>
        <w:tc>
          <w:tcPr>
            <w:tcW w:w="7939" w:type="dxa"/>
            <w:gridSpan w:val="3"/>
            <w:tcBorders>
              <w:top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left"/>
              <w:textAlignment w:val="center"/>
              <w:rPr>
                <w:rStyle w:val="DefaultParagraphFont"/>
                <w:rFonts w:ascii="仿宋_GB2312" w:eastAsia="仿宋_GB2312" w:hAnsi="宋体" w:cs="宋体" w:hint="default"/>
                <w:color w:val="auto"/>
                <w:kern w:val="0"/>
                <w:sz w:val="24"/>
                <w:szCs w:val="24"/>
                <w:lang w:val="en-US" w:eastAsia="zh-CN" w:bidi="ar-SA"/>
              </w:rPr>
            </w:pPr>
            <w:r>
              <w:rPr>
                <w:rFonts w:ascii="仿宋_GB2312" w:eastAsia="仿宋_GB2312" w:hAnsi="宋体" w:cs="宋体" w:hint="eastAsia"/>
                <w:color w:val="auto"/>
                <w:kern w:val="0"/>
                <w:sz w:val="24"/>
                <w:szCs w:val="24"/>
                <w:lang w:val="en-US" w:eastAsia="zh-CN" w:bidi="ar"/>
              </w:rPr>
              <w:t>□</w:t>
            </w:r>
            <w:r>
              <w:rPr>
                <w:rFonts w:ascii="仿宋_GB2312" w:eastAsia="仿宋_GB2312" w:hAnsi="宋体" w:cs="宋体" w:hint="eastAsia"/>
                <w:color w:val="auto"/>
                <w:kern w:val="0"/>
                <w:sz w:val="24"/>
                <w:szCs w:val="24"/>
                <w:lang w:val="en-US" w:eastAsia="zh-CN" w:bidi="ar"/>
              </w:rPr>
              <w:t>5、供应商提供的发票是否真实</w:t>
            </w:r>
          </w:p>
        </w:tc>
      </w:tr>
      <w:tr>
        <w:tblPrEx>
          <w:tblW w:w="9498" w:type="dxa"/>
          <w:jc w:val="center"/>
          <w:tblLayout w:type="fixed"/>
          <w:tblCellMar>
            <w:top w:w="15" w:type="dxa"/>
            <w:left w:w="15" w:type="dxa"/>
            <w:bottom w:w="15" w:type="dxa"/>
            <w:right w:w="15" w:type="dxa"/>
          </w:tblCellMar>
          <w:tblLook w:val="04A0"/>
        </w:tblPrEx>
        <w:trPr>
          <w:trHeight w:val="360"/>
          <w:jc w:val="center"/>
        </w:trPr>
        <w:tc>
          <w:tcPr>
            <w:tcW w:w="1559" w:type="dxa"/>
            <w:tcBorders>
              <w:left w:val="single" w:sz="4" w:space="0" w:color="000000"/>
              <w:right w:val="single" w:sz="4" w:space="0" w:color="000000"/>
            </w:tcBorders>
            <w:vAlign w:val="center"/>
          </w:tcPr>
          <w:p>
            <w:pPr>
              <w:keepNext w:val="0"/>
              <w:keepLines w:val="0"/>
              <w:widowControl w:val="0"/>
              <w:suppressLineNumbers w:val="0"/>
              <w:autoSpaceDE w:val="0"/>
              <w:autoSpaceDN w:val="0"/>
              <w:adjustRightInd w:val="0"/>
              <w:snapToGrid w:val="0"/>
              <w:spacing w:before="0" w:beforeAutospacing="0" w:after="0" w:afterAutospacing="0"/>
              <w:ind w:left="0" w:right="0"/>
              <w:jc w:val="left"/>
              <w:rPr>
                <w:rStyle w:val="DefaultParagraphFont"/>
                <w:rFonts w:ascii="仿宋_GB2312" w:eastAsia="仿宋_GB2312" w:hAnsi="宋体" w:cs="宋体" w:hint="default"/>
                <w:color w:val="auto"/>
                <w:kern w:val="0"/>
                <w:sz w:val="24"/>
                <w:szCs w:val="24"/>
                <w:lang w:val="en-US" w:eastAsia="zh-CN" w:bidi="ar-SA"/>
              </w:rPr>
            </w:pPr>
          </w:p>
        </w:tc>
        <w:tc>
          <w:tcPr>
            <w:tcW w:w="7939" w:type="dxa"/>
            <w:gridSpan w:val="3"/>
            <w:tcBorders>
              <w:top w:val="single" w:sz="4" w:space="0" w:color="000000"/>
              <w:right w:val="single" w:sz="4" w:space="0" w:color="000000"/>
            </w:tcBorders>
          </w:tcPr>
          <w:p>
            <w:pPr>
              <w:keepNext w:val="0"/>
              <w:keepLines w:val="0"/>
              <w:widowControl/>
              <w:suppressLineNumbers w:val="0"/>
              <w:autoSpaceDE w:val="0"/>
              <w:autoSpaceDN w:val="0"/>
              <w:adjustRightInd w:val="0"/>
              <w:snapToGrid w:val="0"/>
              <w:spacing w:before="0" w:beforeAutospacing="0" w:after="0" w:afterAutospacing="0"/>
              <w:ind w:left="0" w:right="0"/>
              <w:jc w:val="left"/>
              <w:textAlignment w:val="top"/>
              <w:rPr>
                <w:rStyle w:val="DefaultParagraphFont"/>
                <w:rFonts w:ascii="仿宋_GB2312" w:eastAsia="仿宋_GB2312" w:hAnsi="宋体" w:cs="宋体" w:hint="default"/>
                <w:color w:val="auto"/>
                <w:kern w:val="0"/>
                <w:sz w:val="24"/>
                <w:szCs w:val="24"/>
                <w:lang w:val="en-US" w:eastAsia="zh-CN" w:bidi="ar-SA"/>
              </w:rPr>
            </w:pPr>
            <w:r>
              <w:rPr>
                <w:rFonts w:ascii="仿宋_GB2312" w:eastAsia="仿宋_GB2312" w:hAnsi="宋体" w:cs="宋体" w:hint="eastAsia"/>
                <w:color w:val="auto"/>
                <w:kern w:val="0"/>
                <w:sz w:val="24"/>
                <w:szCs w:val="24"/>
                <w:lang w:val="en-US" w:eastAsia="zh-CN" w:bidi="ar"/>
              </w:rPr>
              <w:t>□</w:t>
            </w:r>
            <w:r>
              <w:rPr>
                <w:rFonts w:ascii="仿宋_GB2312" w:eastAsia="仿宋_GB2312" w:hAnsi="宋体" w:cs="宋体" w:hint="eastAsia"/>
                <w:color w:val="auto"/>
                <w:kern w:val="0"/>
                <w:sz w:val="24"/>
                <w:szCs w:val="24"/>
                <w:lang w:val="en-US" w:eastAsia="zh-CN" w:bidi="ar"/>
              </w:rPr>
              <w:t>6、其他需要说明的事项</w:t>
            </w:r>
          </w:p>
        </w:tc>
      </w:tr>
      <w:tr>
        <w:tblPrEx>
          <w:tblW w:w="9498" w:type="dxa"/>
          <w:jc w:val="center"/>
          <w:tblLayout w:type="fixed"/>
          <w:tblCellMar>
            <w:top w:w="15" w:type="dxa"/>
            <w:left w:w="15" w:type="dxa"/>
            <w:bottom w:w="15" w:type="dxa"/>
            <w:right w:w="15" w:type="dxa"/>
          </w:tblCellMar>
          <w:tblLook w:val="04A0"/>
        </w:tblPrEx>
        <w:trPr>
          <w:trHeight w:val="495"/>
          <w:jc w:val="center"/>
        </w:trPr>
        <w:tc>
          <w:tcPr>
            <w:tcW w:w="1559" w:type="dxa"/>
            <w:tcBorders>
              <w:left w:val="single" w:sz="4" w:space="0" w:color="000000"/>
              <w:right w:val="single" w:sz="4" w:space="0" w:color="000000"/>
            </w:tcBorders>
            <w:vAlign w:val="center"/>
          </w:tcPr>
          <w:p>
            <w:pPr>
              <w:keepNext w:val="0"/>
              <w:keepLines w:val="0"/>
              <w:widowControl w:val="0"/>
              <w:suppressLineNumbers w:val="0"/>
              <w:autoSpaceDE w:val="0"/>
              <w:autoSpaceDN w:val="0"/>
              <w:adjustRightInd w:val="0"/>
              <w:snapToGrid w:val="0"/>
              <w:spacing w:before="0" w:beforeAutospacing="0" w:after="0" w:afterAutospacing="0"/>
              <w:ind w:left="0" w:right="0"/>
              <w:jc w:val="left"/>
              <w:rPr>
                <w:rStyle w:val="DefaultParagraphFont"/>
                <w:rFonts w:ascii="仿宋_GB2312" w:eastAsia="仿宋_GB2312" w:hAnsi="宋体" w:cs="宋体" w:hint="default"/>
                <w:color w:val="auto"/>
                <w:kern w:val="0"/>
                <w:sz w:val="24"/>
                <w:szCs w:val="24"/>
                <w:lang w:val="en-US" w:eastAsia="zh-CN" w:bidi="ar-SA"/>
              </w:rPr>
            </w:pPr>
          </w:p>
        </w:tc>
        <w:tc>
          <w:tcPr>
            <w:tcW w:w="7939" w:type="dxa"/>
            <w:gridSpan w:val="3"/>
            <w:tcBorders>
              <w:top w:val="single" w:sz="4" w:space="0" w:color="000000"/>
              <w:right w:val="single" w:sz="4" w:space="0" w:color="000000"/>
            </w:tcBorders>
          </w:tcPr>
          <w:p>
            <w:pPr>
              <w:keepNext w:val="0"/>
              <w:keepLines w:val="0"/>
              <w:widowControl/>
              <w:suppressLineNumbers w:val="0"/>
              <w:autoSpaceDE w:val="0"/>
              <w:autoSpaceDN w:val="0"/>
              <w:adjustRightInd w:val="0"/>
              <w:snapToGrid w:val="0"/>
              <w:spacing w:before="0" w:beforeAutospacing="0" w:after="0" w:afterAutospacing="0"/>
              <w:ind w:left="0" w:right="0"/>
              <w:jc w:val="left"/>
              <w:textAlignment w:val="top"/>
              <w:rPr>
                <w:rStyle w:val="DefaultParagraphFont"/>
                <w:rFonts w:ascii="仿宋_GB2312" w:eastAsia="仿宋_GB2312" w:hAnsi="宋体" w:cs="宋体" w:hint="default"/>
                <w:color w:val="auto"/>
                <w:kern w:val="0"/>
                <w:sz w:val="24"/>
                <w:szCs w:val="24"/>
                <w:lang w:val="en-US" w:eastAsia="en-US" w:bidi="ar-SA"/>
              </w:rPr>
            </w:pPr>
            <w:r>
              <w:rPr>
                <w:rFonts w:ascii="仿宋_GB2312" w:eastAsia="仿宋_GB2312" w:hAnsi="宋体" w:cs="宋体" w:hint="eastAsia"/>
                <w:color w:val="auto"/>
                <w:kern w:val="0"/>
                <w:sz w:val="24"/>
                <w:szCs w:val="24"/>
                <w:lang w:val="en-US" w:eastAsia="en-US" w:bidi="ar"/>
              </w:rPr>
              <w:t>□</w:t>
            </w:r>
            <w:r>
              <w:rPr>
                <w:rFonts w:ascii="仿宋_GB2312" w:eastAsia="仿宋_GB2312" w:hAnsi="宋体" w:cs="宋体" w:hint="eastAsia"/>
                <w:color w:val="auto"/>
                <w:kern w:val="0"/>
                <w:sz w:val="24"/>
                <w:szCs w:val="24"/>
                <w:lang w:val="en-US" w:eastAsia="en-US" w:bidi="ar"/>
              </w:rPr>
              <w:t>7、验收结论：</w:t>
            </w:r>
          </w:p>
        </w:tc>
      </w:tr>
      <w:tr>
        <w:tblPrEx>
          <w:tblW w:w="9498" w:type="dxa"/>
          <w:jc w:val="center"/>
          <w:tblLayout w:type="fixed"/>
          <w:tblCellMar>
            <w:top w:w="15" w:type="dxa"/>
            <w:left w:w="15" w:type="dxa"/>
            <w:bottom w:w="15" w:type="dxa"/>
            <w:right w:w="15" w:type="dxa"/>
          </w:tblCellMar>
          <w:tblLook w:val="04A0"/>
        </w:tblPrEx>
        <w:trPr>
          <w:trHeight w:val="320"/>
          <w:jc w:val="center"/>
        </w:trPr>
        <w:tc>
          <w:tcPr>
            <w:tcW w:w="1559" w:type="dxa"/>
            <w:tcBorders>
              <w:left w:val="single" w:sz="4" w:space="0" w:color="000000"/>
              <w:bottom w:val="single" w:sz="4" w:space="0" w:color="000000"/>
              <w:right w:val="single" w:sz="4" w:space="0" w:color="000000"/>
            </w:tcBorders>
            <w:vAlign w:val="center"/>
          </w:tcPr>
          <w:p>
            <w:pPr>
              <w:keepNext w:val="0"/>
              <w:keepLines w:val="0"/>
              <w:widowControl w:val="0"/>
              <w:suppressLineNumbers w:val="0"/>
              <w:autoSpaceDE w:val="0"/>
              <w:autoSpaceDN w:val="0"/>
              <w:adjustRightInd w:val="0"/>
              <w:snapToGrid w:val="0"/>
              <w:spacing w:before="0" w:beforeAutospacing="0" w:after="0" w:afterAutospacing="0"/>
              <w:ind w:left="0" w:right="0"/>
              <w:jc w:val="left"/>
              <w:rPr>
                <w:rStyle w:val="DefaultParagraphFont"/>
                <w:rFonts w:ascii="仿宋_GB2312" w:eastAsia="仿宋_GB2312" w:hAnsi="宋体" w:cs="宋体" w:hint="default"/>
                <w:color w:val="auto"/>
                <w:kern w:val="0"/>
                <w:sz w:val="24"/>
                <w:szCs w:val="24"/>
                <w:lang w:val="en-US" w:eastAsia="en-US" w:bidi="ar-SA"/>
              </w:rPr>
            </w:pPr>
          </w:p>
        </w:tc>
        <w:tc>
          <w:tcPr>
            <w:tcW w:w="7939" w:type="dxa"/>
            <w:gridSpan w:val="3"/>
            <w:tcBorders>
              <w:bottom w:val="single" w:sz="4" w:space="0" w:color="000000"/>
              <w:right w:val="single" w:sz="4" w:space="0" w:color="000000"/>
            </w:tcBorders>
          </w:tcPr>
          <w:p>
            <w:pPr>
              <w:keepNext w:val="0"/>
              <w:keepLines w:val="0"/>
              <w:widowControl w:val="0"/>
              <w:suppressLineNumbers w:val="0"/>
              <w:autoSpaceDE w:val="0"/>
              <w:autoSpaceDN w:val="0"/>
              <w:adjustRightInd w:val="0"/>
              <w:snapToGrid w:val="0"/>
              <w:spacing w:before="0" w:beforeAutospacing="0" w:after="0" w:afterAutospacing="0"/>
              <w:ind w:left="0" w:right="0"/>
              <w:jc w:val="left"/>
              <w:rPr>
                <w:rStyle w:val="DefaultParagraphFont"/>
                <w:rFonts w:ascii="仿宋_GB2312" w:eastAsia="仿宋_GB2312" w:hAnsi="宋体" w:cs="宋体" w:hint="default"/>
                <w:color w:val="auto"/>
                <w:kern w:val="0"/>
                <w:sz w:val="24"/>
                <w:szCs w:val="24"/>
                <w:lang w:val="en-US" w:eastAsia="en-US" w:bidi="ar-SA"/>
              </w:rPr>
            </w:pPr>
          </w:p>
        </w:tc>
      </w:tr>
      <w:tr>
        <w:tblPrEx>
          <w:tblW w:w="9498" w:type="dxa"/>
          <w:jc w:val="center"/>
          <w:tblLayout w:type="fixed"/>
          <w:tblCellMar>
            <w:top w:w="15" w:type="dxa"/>
            <w:left w:w="15" w:type="dxa"/>
            <w:bottom w:w="15" w:type="dxa"/>
            <w:right w:w="15" w:type="dxa"/>
          </w:tblCellMar>
          <w:tblLook w:val="04A0"/>
        </w:tblPrEx>
        <w:trPr>
          <w:trHeight w:val="847"/>
          <w:jc w:val="center"/>
        </w:trPr>
        <w:tc>
          <w:tcPr>
            <w:tcW w:w="1559" w:type="dxa"/>
            <w:tcBorders>
              <w:left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4"/>
                <w:szCs w:val="24"/>
                <w:lang w:val="en-US" w:eastAsia="en-US" w:bidi="ar-SA"/>
              </w:rPr>
            </w:pPr>
            <w:r>
              <w:rPr>
                <w:rFonts w:ascii="仿宋_GB2312" w:eastAsia="仿宋_GB2312" w:hAnsi="宋体" w:cs="宋体" w:hint="eastAsia"/>
                <w:color w:val="auto"/>
                <w:kern w:val="0"/>
                <w:sz w:val="24"/>
                <w:szCs w:val="24"/>
                <w:lang w:val="en-US" w:eastAsia="en-US" w:bidi="ar"/>
              </w:rPr>
              <w:t>验收小组责任人签字</w:t>
            </w:r>
          </w:p>
        </w:tc>
        <w:tc>
          <w:tcPr>
            <w:tcW w:w="7939" w:type="dxa"/>
            <w:gridSpan w:val="3"/>
            <w:tcBorders>
              <w:left w:val="single" w:sz="4" w:space="0" w:color="000000"/>
              <w:bottom w:val="single" w:sz="4" w:space="0" w:color="000000"/>
              <w:right w:val="single" w:sz="4" w:space="0" w:color="000000"/>
            </w:tcBorders>
          </w:tcPr>
          <w:p>
            <w:pPr>
              <w:keepNext w:val="0"/>
              <w:keepLines w:val="0"/>
              <w:widowControl/>
              <w:suppressLineNumbers w:val="0"/>
              <w:autoSpaceDE w:val="0"/>
              <w:autoSpaceDN w:val="0"/>
              <w:adjustRightInd w:val="0"/>
              <w:snapToGrid w:val="0"/>
              <w:spacing w:before="0" w:beforeAutospacing="0" w:after="0" w:afterAutospacing="0"/>
              <w:ind w:left="0" w:right="0"/>
              <w:jc w:val="left"/>
              <w:textAlignment w:val="top"/>
              <w:rPr>
                <w:rStyle w:val="DefaultParagraphFont"/>
                <w:rFonts w:ascii="仿宋_GB2312" w:eastAsia="仿宋_GB2312" w:hAnsi="宋体" w:cs="宋体" w:hint="default"/>
                <w:color w:val="auto"/>
                <w:kern w:val="0"/>
                <w:sz w:val="24"/>
                <w:szCs w:val="24"/>
                <w:lang w:val="en-US" w:eastAsia="zh-CN" w:bidi="ar-SA"/>
              </w:rPr>
            </w:pPr>
            <w:r>
              <w:rPr>
                <w:rFonts w:ascii="仿宋_GB2312" w:eastAsia="仿宋_GB2312" w:hAnsi="宋体" w:cs="宋体" w:hint="eastAsia"/>
                <w:color w:val="auto"/>
                <w:kern w:val="0"/>
                <w:sz w:val="24"/>
                <w:szCs w:val="24"/>
                <w:lang w:val="en-US" w:eastAsia="zh-CN" w:bidi="ar"/>
              </w:rPr>
              <w:t>采购单位验收小组责任人（签字）：     供应商验收责任人（签字）：</w:t>
            </w:r>
          </w:p>
        </w:tc>
      </w:tr>
      <w:tr>
        <w:tblPrEx>
          <w:tblW w:w="9498" w:type="dxa"/>
          <w:jc w:val="center"/>
          <w:tblLayout w:type="fixed"/>
          <w:tblCellMar>
            <w:top w:w="15" w:type="dxa"/>
            <w:left w:w="15" w:type="dxa"/>
            <w:bottom w:w="15" w:type="dxa"/>
            <w:right w:w="15" w:type="dxa"/>
          </w:tblCellMar>
          <w:tblLook w:val="04A0"/>
        </w:tblPrEx>
        <w:trPr>
          <w:trHeight w:val="785"/>
          <w:jc w:val="center"/>
        </w:trPr>
        <w:tc>
          <w:tcPr>
            <w:tcW w:w="155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4"/>
                <w:szCs w:val="24"/>
                <w:lang w:val="en-US" w:eastAsia="en-US" w:bidi="ar-SA"/>
              </w:rPr>
            </w:pPr>
            <w:r>
              <w:rPr>
                <w:rFonts w:ascii="仿宋_GB2312" w:eastAsia="仿宋_GB2312" w:hAnsi="宋体" w:cs="宋体" w:hint="eastAsia"/>
                <w:color w:val="auto"/>
                <w:kern w:val="0"/>
                <w:sz w:val="24"/>
                <w:szCs w:val="24"/>
                <w:lang w:val="en-US" w:eastAsia="en-US" w:bidi="ar"/>
              </w:rPr>
              <w:t>验收小组成员签字</w:t>
            </w:r>
          </w:p>
        </w:tc>
        <w:tc>
          <w:tcPr>
            <w:tcW w:w="7939" w:type="dxa"/>
            <w:gridSpan w:val="3"/>
            <w:tcBorders>
              <w:top w:val="single" w:sz="4" w:space="0" w:color="000000"/>
              <w:left w:val="single" w:sz="4" w:space="0" w:color="000000"/>
              <w:bottom w:val="single" w:sz="4" w:space="0" w:color="000000"/>
              <w:right w:val="single" w:sz="4" w:space="0" w:color="000000"/>
            </w:tcBorders>
          </w:tcPr>
          <w:p>
            <w:pPr>
              <w:keepNext w:val="0"/>
              <w:keepLines w:val="0"/>
              <w:widowControl/>
              <w:suppressLineNumbers w:val="0"/>
              <w:autoSpaceDE w:val="0"/>
              <w:autoSpaceDN w:val="0"/>
              <w:adjustRightInd w:val="0"/>
              <w:snapToGrid w:val="0"/>
              <w:spacing w:before="0" w:beforeAutospacing="0" w:after="0" w:afterAutospacing="0"/>
              <w:ind w:left="0" w:right="0"/>
              <w:jc w:val="left"/>
              <w:textAlignment w:val="top"/>
              <w:rPr>
                <w:rStyle w:val="DefaultParagraphFont"/>
                <w:rFonts w:ascii="仿宋_GB2312" w:eastAsia="仿宋_GB2312" w:hAnsi="宋体" w:cs="宋体" w:hint="default"/>
                <w:color w:val="auto"/>
                <w:kern w:val="0"/>
                <w:sz w:val="24"/>
                <w:szCs w:val="24"/>
                <w:lang w:val="en-US" w:eastAsia="zh-CN" w:bidi="ar-SA"/>
              </w:rPr>
            </w:pPr>
            <w:r>
              <w:rPr>
                <w:rFonts w:ascii="仿宋_GB2312" w:eastAsia="仿宋_GB2312" w:hAnsi="宋体" w:cs="宋体" w:hint="eastAsia"/>
                <w:color w:val="auto"/>
                <w:kern w:val="0"/>
                <w:sz w:val="24"/>
                <w:szCs w:val="24"/>
                <w:lang w:val="en-US" w:eastAsia="zh-CN" w:bidi="ar"/>
              </w:rPr>
              <w:t>验收小组成员单位和姓名（签字）：</w:t>
            </w:r>
          </w:p>
        </w:tc>
      </w:tr>
      <w:tr>
        <w:tblPrEx>
          <w:tblW w:w="9498" w:type="dxa"/>
          <w:jc w:val="center"/>
          <w:tblLayout w:type="fixed"/>
          <w:tblCellMar>
            <w:top w:w="15" w:type="dxa"/>
            <w:left w:w="15" w:type="dxa"/>
            <w:bottom w:w="15" w:type="dxa"/>
            <w:right w:w="15" w:type="dxa"/>
          </w:tblCellMar>
          <w:tblLook w:val="04A0"/>
        </w:tblPrEx>
        <w:trPr>
          <w:trHeight w:val="590"/>
          <w:jc w:val="center"/>
        </w:trPr>
        <w:tc>
          <w:tcPr>
            <w:tcW w:w="155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4"/>
                <w:szCs w:val="24"/>
                <w:lang w:val="en-US" w:eastAsia="en-US" w:bidi="ar-SA"/>
              </w:rPr>
            </w:pPr>
            <w:r>
              <w:rPr>
                <w:rFonts w:ascii="仿宋_GB2312" w:eastAsia="仿宋_GB2312" w:hAnsi="宋体" w:cs="宋体" w:hint="eastAsia"/>
                <w:color w:val="auto"/>
                <w:kern w:val="0"/>
                <w:sz w:val="24"/>
                <w:szCs w:val="24"/>
                <w:lang w:val="en-US" w:eastAsia="en-US" w:bidi="ar"/>
              </w:rPr>
              <w:t>单位公章</w:t>
            </w:r>
          </w:p>
        </w:tc>
        <w:tc>
          <w:tcPr>
            <w:tcW w:w="7939" w:type="dxa"/>
            <w:gridSpan w:val="3"/>
            <w:tcBorders>
              <w:top w:val="single" w:sz="4" w:space="0" w:color="000000"/>
              <w:left w:val="single" w:sz="4" w:space="0" w:color="000000"/>
              <w:bottom w:val="single" w:sz="4" w:space="0" w:color="000000"/>
              <w:right w:val="single" w:sz="4" w:space="0" w:color="000000"/>
            </w:tcBorders>
          </w:tcPr>
          <w:p>
            <w:pPr>
              <w:keepNext w:val="0"/>
              <w:keepLines w:val="0"/>
              <w:widowControl/>
              <w:suppressLineNumbers w:val="0"/>
              <w:autoSpaceDE w:val="0"/>
              <w:autoSpaceDN w:val="0"/>
              <w:adjustRightInd w:val="0"/>
              <w:snapToGrid w:val="0"/>
              <w:spacing w:before="0" w:beforeAutospacing="0" w:after="0" w:afterAutospacing="0"/>
              <w:ind w:left="0" w:right="0"/>
              <w:jc w:val="left"/>
              <w:textAlignment w:val="top"/>
              <w:rPr>
                <w:rStyle w:val="DefaultParagraphFont"/>
                <w:rFonts w:ascii="仿宋_GB2312" w:eastAsia="仿宋_GB2312" w:hAnsi="宋体" w:cs="宋体" w:hint="default"/>
                <w:color w:val="auto"/>
                <w:kern w:val="0"/>
                <w:sz w:val="24"/>
                <w:szCs w:val="24"/>
                <w:lang w:val="en-US" w:eastAsia="zh-CN" w:bidi="ar-SA"/>
              </w:rPr>
            </w:pPr>
            <w:r>
              <w:rPr>
                <w:rFonts w:ascii="仿宋_GB2312" w:eastAsia="仿宋_GB2312" w:hAnsi="宋体" w:cs="宋体" w:hint="eastAsia"/>
                <w:color w:val="auto"/>
                <w:kern w:val="0"/>
                <w:sz w:val="24"/>
                <w:szCs w:val="24"/>
                <w:lang w:val="en-US" w:eastAsia="zh-CN" w:bidi="ar"/>
              </w:rPr>
              <w:t>甲方采购单位盖章：               乙方供应商单位盖章：</w:t>
            </w:r>
          </w:p>
        </w:tc>
      </w:tr>
      <w:tr>
        <w:tblPrEx>
          <w:tblW w:w="9498" w:type="dxa"/>
          <w:jc w:val="center"/>
          <w:tblLayout w:type="fixed"/>
          <w:tblCellMar>
            <w:top w:w="15" w:type="dxa"/>
            <w:left w:w="15" w:type="dxa"/>
            <w:bottom w:w="15" w:type="dxa"/>
            <w:right w:w="15" w:type="dxa"/>
          </w:tblCellMar>
          <w:tblLook w:val="04A0"/>
        </w:tblPrEx>
        <w:trPr>
          <w:trHeight w:val="935"/>
          <w:jc w:val="center"/>
        </w:trPr>
        <w:tc>
          <w:tcPr>
            <w:tcW w:w="155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2"/>
                <w:szCs w:val="24"/>
                <w:lang w:val="en-US" w:eastAsia="zh-CN" w:bidi="ar-SA"/>
              </w:rPr>
            </w:pPr>
            <w:r>
              <w:rPr>
                <w:rFonts w:ascii="仿宋_GB2312" w:eastAsia="仿宋_GB2312" w:hAnsi="宋体" w:cs="宋体" w:hint="eastAsia"/>
                <w:color w:val="auto"/>
                <w:kern w:val="0"/>
                <w:sz w:val="22"/>
                <w:szCs w:val="24"/>
                <w:lang w:val="en-US" w:eastAsia="zh-CN" w:bidi="ar"/>
              </w:rPr>
              <w:t>负责人和法人或者授权委托人签字</w:t>
            </w:r>
          </w:p>
        </w:tc>
        <w:tc>
          <w:tcPr>
            <w:tcW w:w="7939" w:type="dxa"/>
            <w:gridSpan w:val="3"/>
            <w:tcBorders>
              <w:top w:val="single" w:sz="4" w:space="0" w:color="000000"/>
              <w:left w:val="single" w:sz="4" w:space="0" w:color="000000"/>
              <w:bottom w:val="single" w:sz="4" w:space="0" w:color="000000"/>
              <w:right w:val="single" w:sz="4" w:space="0" w:color="000000"/>
            </w:tcBorders>
          </w:tcPr>
          <w:p>
            <w:pPr>
              <w:keepNext w:val="0"/>
              <w:keepLines w:val="0"/>
              <w:widowControl/>
              <w:suppressLineNumbers w:val="0"/>
              <w:autoSpaceDE w:val="0"/>
              <w:autoSpaceDN w:val="0"/>
              <w:adjustRightInd w:val="0"/>
              <w:snapToGrid w:val="0"/>
              <w:spacing w:before="0" w:beforeAutospacing="0" w:after="0" w:afterAutospacing="0"/>
              <w:ind w:left="0" w:right="0"/>
              <w:jc w:val="left"/>
              <w:textAlignment w:val="top"/>
              <w:rPr>
                <w:rStyle w:val="DefaultParagraphFont"/>
                <w:rFonts w:ascii="仿宋_GB2312" w:eastAsia="仿宋_GB2312" w:hAnsi="宋体" w:cs="宋体" w:hint="default"/>
                <w:color w:val="auto"/>
                <w:kern w:val="0"/>
                <w:sz w:val="24"/>
                <w:szCs w:val="24"/>
                <w:lang w:val="en-US" w:eastAsia="zh-CN" w:bidi="ar-SA"/>
              </w:rPr>
            </w:pPr>
            <w:r>
              <w:rPr>
                <w:rFonts w:ascii="仿宋_GB2312" w:eastAsia="仿宋_GB2312" w:hAnsi="宋体" w:cs="宋体" w:hint="eastAsia"/>
                <w:color w:val="auto"/>
                <w:kern w:val="0"/>
                <w:sz w:val="24"/>
                <w:szCs w:val="24"/>
                <w:lang w:val="en-US" w:eastAsia="zh-CN" w:bidi="ar"/>
              </w:rPr>
              <w:t>甲方负责人签字：                 乙方法人或者授权委托人签字：</w:t>
            </w:r>
          </w:p>
        </w:tc>
      </w:tr>
      <w:tr>
        <w:tblPrEx>
          <w:tblW w:w="9498" w:type="dxa"/>
          <w:jc w:val="center"/>
          <w:tblLayout w:type="fixed"/>
          <w:tblCellMar>
            <w:top w:w="15" w:type="dxa"/>
            <w:left w:w="15" w:type="dxa"/>
            <w:bottom w:w="15" w:type="dxa"/>
            <w:right w:w="15" w:type="dxa"/>
          </w:tblCellMar>
          <w:tblLook w:val="04A0"/>
        </w:tblPrEx>
        <w:trPr>
          <w:trHeight w:val="675"/>
          <w:jc w:val="center"/>
        </w:trPr>
        <w:tc>
          <w:tcPr>
            <w:tcW w:w="1559" w:type="dxa"/>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center"/>
              <w:textAlignment w:val="center"/>
              <w:rPr>
                <w:rStyle w:val="DefaultParagraphFont"/>
                <w:rFonts w:ascii="仿宋_GB2312" w:eastAsia="仿宋_GB2312" w:hAnsi="宋体" w:cs="宋体" w:hint="default"/>
                <w:color w:val="auto"/>
                <w:kern w:val="0"/>
                <w:sz w:val="24"/>
                <w:szCs w:val="24"/>
                <w:lang w:val="en-US" w:eastAsia="en-US" w:bidi="ar-SA"/>
              </w:rPr>
            </w:pPr>
            <w:r>
              <w:rPr>
                <w:rFonts w:ascii="仿宋_GB2312" w:eastAsia="仿宋_GB2312" w:hAnsi="宋体" w:cs="宋体" w:hint="eastAsia"/>
                <w:color w:val="auto"/>
                <w:kern w:val="0"/>
                <w:sz w:val="24"/>
                <w:szCs w:val="24"/>
                <w:lang w:val="en-US" w:eastAsia="en-US" w:bidi="ar"/>
              </w:rPr>
              <w:t>验收日期</w:t>
            </w:r>
          </w:p>
        </w:tc>
        <w:tc>
          <w:tcPr>
            <w:tcW w:w="7939" w:type="dxa"/>
            <w:gridSpan w:val="3"/>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left"/>
              <w:textAlignment w:val="center"/>
              <w:rPr>
                <w:rStyle w:val="DefaultParagraphFont"/>
                <w:rFonts w:ascii="仿宋_GB2312" w:eastAsia="仿宋_GB2312" w:hAnsi="宋体" w:cs="宋体" w:hint="default"/>
                <w:color w:val="auto"/>
                <w:kern w:val="0"/>
                <w:sz w:val="24"/>
                <w:szCs w:val="24"/>
                <w:lang w:val="en-US" w:eastAsia="en-US" w:bidi="ar-SA"/>
              </w:rPr>
            </w:pPr>
            <w:r>
              <w:rPr>
                <w:rFonts w:ascii="仿宋_GB2312" w:eastAsia="仿宋_GB2312" w:hAnsi="宋体" w:cs="宋体" w:hint="eastAsia"/>
                <w:color w:val="auto"/>
                <w:kern w:val="0"/>
                <w:sz w:val="24"/>
                <w:szCs w:val="24"/>
                <w:lang w:val="en-US" w:eastAsia="en-US" w:bidi="ar"/>
              </w:rPr>
              <w:t>验收日期：     年       月       日</w:t>
            </w:r>
          </w:p>
        </w:tc>
      </w:tr>
      <w:tr>
        <w:tblPrEx>
          <w:tblW w:w="9498" w:type="dxa"/>
          <w:jc w:val="center"/>
          <w:tblLayout w:type="fixed"/>
          <w:tblCellMar>
            <w:top w:w="15" w:type="dxa"/>
            <w:left w:w="15" w:type="dxa"/>
            <w:bottom w:w="15" w:type="dxa"/>
            <w:right w:w="15" w:type="dxa"/>
          </w:tblCellMar>
          <w:tblLook w:val="04A0"/>
        </w:tblPrEx>
        <w:trPr>
          <w:trHeight w:val="405"/>
          <w:jc w:val="center"/>
        </w:trPr>
        <w:tc>
          <w:tcPr>
            <w:tcW w:w="9498" w:type="dxa"/>
            <w:gridSpan w:val="4"/>
            <w:tcBorders>
              <w:top w:val="single" w:sz="4" w:space="0" w:color="000000"/>
              <w:left w:val="single" w:sz="4" w:space="0" w:color="000000"/>
              <w:bottom w:val="single" w:sz="4" w:space="0" w:color="000000"/>
              <w:right w:val="single" w:sz="4" w:space="0" w:color="000000"/>
            </w:tcBorders>
            <w:vAlign w:val="center"/>
          </w:tcPr>
          <w:p>
            <w:pPr>
              <w:keepNext w:val="0"/>
              <w:keepLines w:val="0"/>
              <w:widowControl/>
              <w:suppressLineNumbers w:val="0"/>
              <w:autoSpaceDE w:val="0"/>
              <w:autoSpaceDN w:val="0"/>
              <w:adjustRightInd w:val="0"/>
              <w:snapToGrid w:val="0"/>
              <w:spacing w:before="0" w:beforeAutospacing="0" w:after="0" w:afterAutospacing="0"/>
              <w:ind w:left="0" w:right="0"/>
              <w:jc w:val="left"/>
              <w:textAlignment w:val="center"/>
              <w:rPr>
                <w:rStyle w:val="DefaultParagraphFont"/>
                <w:rFonts w:ascii="仿宋_GB2312" w:eastAsia="仿宋_GB2312" w:hAnsi="宋体" w:cs="宋体" w:hint="default"/>
                <w:color w:val="auto"/>
                <w:kern w:val="0"/>
                <w:sz w:val="24"/>
                <w:szCs w:val="24"/>
                <w:lang w:val="en-US" w:eastAsia="en-US" w:bidi="ar-SA"/>
              </w:rPr>
            </w:pPr>
            <w:r>
              <w:rPr>
                <w:rFonts w:ascii="仿宋_GB2312" w:eastAsia="仿宋_GB2312" w:hAnsi="宋体" w:cs="宋体" w:hint="eastAsia"/>
                <w:color w:val="auto"/>
                <w:kern w:val="0"/>
                <w:sz w:val="24"/>
                <w:szCs w:val="24"/>
                <w:lang w:val="en-US" w:eastAsia="zh-CN" w:bidi="ar"/>
              </w:rPr>
              <w:t>备注：此表一式三份，采购单位和供应商或部门各留存一份。</w:t>
            </w:r>
            <w:r>
              <w:rPr>
                <w:rFonts w:ascii="仿宋_GB2312" w:eastAsia="仿宋_GB2312" w:hAnsi="宋体" w:cs="宋体" w:hint="eastAsia"/>
                <w:color w:val="auto"/>
                <w:kern w:val="0"/>
                <w:sz w:val="24"/>
                <w:szCs w:val="24"/>
                <w:lang w:val="en-US" w:eastAsia="en-US" w:bidi="ar"/>
              </w:rPr>
              <w:t xml:space="preserve">相应条款打 </w:t>
            </w:r>
            <w:r>
              <w:rPr>
                <w:rFonts w:ascii="仿宋_GB2312" w:eastAsia="仿宋_GB2312" w:hAnsi="宋体" w:cs="宋体" w:hint="eastAsia"/>
                <w:color w:val="auto"/>
                <w:kern w:val="0"/>
                <w:sz w:val="24"/>
                <w:szCs w:val="24"/>
                <w:lang w:val="en-US" w:eastAsia="en-US" w:bidi="ar"/>
              </w:rPr>
              <w:t>√</w:t>
            </w:r>
            <w:r>
              <w:rPr>
                <w:rFonts w:ascii="仿宋_GB2312" w:eastAsia="仿宋_GB2312" w:hAnsi="宋体" w:cs="宋体" w:hint="eastAsia"/>
                <w:color w:val="auto"/>
                <w:kern w:val="0"/>
                <w:sz w:val="24"/>
                <w:szCs w:val="24"/>
                <w:lang w:val="en-US" w:eastAsia="en-US" w:bidi="ar"/>
              </w:rPr>
              <w:t>。</w:t>
            </w:r>
          </w:p>
        </w:tc>
      </w:tr>
    </w:tbl>
    <w:p>
      <w:pPr>
        <w:rPr>
          <w:rFonts w:ascii="宋体" w:eastAsia="宋体" w:hAnsi="宋体" w:cs="宋体" w:hint="eastAsia"/>
          <w:color w:val="auto"/>
          <w:kern w:val="0"/>
        </w:rPr>
      </w:pPr>
    </w:p>
    <w:p>
      <w:pPr>
        <w:pStyle w:val="Heading1"/>
        <w:jc w:val="both"/>
        <w:rPr>
          <w:rFonts w:ascii="宋体" w:eastAsia="宋体" w:hAnsi="宋体" w:cs="宋体" w:hint="eastAsia"/>
          <w:color w:val="auto"/>
          <w:kern w:val="0"/>
        </w:rPr>
      </w:pPr>
    </w:p>
    <w:p>
      <w:pPr>
        <w:pStyle w:val="Heading1"/>
        <w:bidi w:val="0"/>
        <w:rPr>
          <w:rFonts w:hint="eastAsia"/>
        </w:rPr>
      </w:pPr>
      <w:r>
        <w:rPr>
          <w:rFonts w:hint="eastAsia"/>
        </w:rPr>
        <w:t>第</w:t>
      </w:r>
      <w:r>
        <w:rPr>
          <w:rFonts w:hint="eastAsia"/>
          <w:lang w:eastAsia="zh-CN"/>
        </w:rPr>
        <w:t>六</w:t>
      </w:r>
      <w:r>
        <w:rPr>
          <w:rFonts w:hint="eastAsia"/>
        </w:rPr>
        <w:t>章  响应文件格式</w:t>
      </w:r>
      <w:bookmarkEnd w:id="71"/>
      <w:bookmarkEnd w:id="72"/>
      <w:bookmarkEnd w:id="73"/>
    </w:p>
    <w:p>
      <w:pPr>
        <w:widowControl/>
        <w:rPr>
          <w:rFonts w:ascii="宋体" w:eastAsia="宋体" w:hAnsi="宋体" w:cs="宋体"/>
          <w:b/>
          <w:bCs/>
          <w:color w:val="auto"/>
          <w:kern w:val="0"/>
          <w:sz w:val="28"/>
          <w:szCs w:val="28"/>
        </w:rPr>
      </w:pPr>
      <w:bookmarkStart w:id="75" w:name="_Toc234588860"/>
      <w:bookmarkStart w:id="76" w:name="_Toc293921830"/>
    </w:p>
    <w:p>
      <w:pPr>
        <w:widowControl/>
        <w:outlineLvl w:val="1"/>
        <w:rPr>
          <w:rFonts w:ascii="宋体" w:eastAsia="宋体" w:hAnsi="宋体" w:cs="宋体"/>
          <w:b/>
          <w:bCs/>
          <w:color w:val="auto"/>
          <w:spacing w:val="-16"/>
          <w:kern w:val="0"/>
          <w:sz w:val="28"/>
          <w:szCs w:val="28"/>
        </w:rPr>
      </w:pPr>
      <w:r>
        <w:rPr>
          <w:rFonts w:ascii="宋体" w:eastAsia="宋体" w:hAnsi="宋体" w:cs="宋体" w:hint="eastAsia"/>
          <w:b/>
          <w:bCs/>
          <w:color w:val="auto"/>
          <w:kern w:val="0"/>
          <w:sz w:val="28"/>
          <w:szCs w:val="28"/>
        </w:rPr>
        <w:t>附： 响应文件封面</w:t>
      </w:r>
      <w:bookmarkEnd w:id="75"/>
      <w:r>
        <w:rPr>
          <w:rFonts w:ascii="宋体" w:eastAsia="宋体" w:hAnsi="宋体" w:cs="宋体" w:hint="eastAsia"/>
          <w:b/>
          <w:bCs/>
          <w:color w:val="auto"/>
          <w:kern w:val="0"/>
          <w:sz w:val="28"/>
          <w:szCs w:val="28"/>
        </w:rPr>
        <w:t>格式</w:t>
      </w:r>
      <w:bookmarkEnd w:id="76"/>
    </w:p>
    <w:p>
      <w:pPr>
        <w:widowControl/>
        <w:rPr>
          <w:rFonts w:ascii="宋体" w:eastAsia="宋体" w:hAnsi="宋体" w:cs="宋体"/>
          <w:b/>
          <w:bCs/>
          <w:color w:val="auto"/>
          <w:spacing w:val="-16"/>
          <w:kern w:val="0"/>
          <w:sz w:val="28"/>
          <w:szCs w:val="28"/>
        </w:rPr>
      </w:pPr>
    </w:p>
    <w:p>
      <w:pPr>
        <w:pStyle w:val="pa-0"/>
        <w:spacing w:line="580" w:lineRule="exact"/>
        <w:jc w:val="center"/>
        <w:outlineLvl w:val="0"/>
        <w:rPr>
          <w:rFonts w:ascii="宋体" w:eastAsia="宋体" w:hAnsi="宋体" w:cs="宋体"/>
          <w:b/>
          <w:color w:val="auto"/>
          <w:sz w:val="32"/>
          <w:szCs w:val="32"/>
          <w:u w:val="single"/>
        </w:rPr>
      </w:pPr>
      <w:bookmarkStart w:id="77" w:name="_Toc9615"/>
      <w:r>
        <w:rPr>
          <w:rFonts w:ascii="宋体" w:eastAsia="宋体" w:hAnsi="宋体" w:cs="宋体" w:hint="eastAsia"/>
          <w:b/>
          <w:color w:val="auto"/>
          <w:sz w:val="32"/>
          <w:szCs w:val="32"/>
          <w:u w:val="single"/>
        </w:rPr>
        <w:t>（项目名称）</w:t>
      </w:r>
      <w:bookmarkEnd w:id="77"/>
    </w:p>
    <w:p>
      <w:pPr>
        <w:pStyle w:val="pa-0"/>
        <w:spacing w:line="580" w:lineRule="exact"/>
        <w:jc w:val="center"/>
        <w:rPr>
          <w:rStyle w:val="articletitle1"/>
          <w:rFonts w:ascii="宋体" w:eastAsia="宋体" w:hAnsi="宋体" w:cs="宋体" w:hint="default"/>
          <w:b w:val="0"/>
          <w:color w:val="auto"/>
          <w:sz w:val="28"/>
          <w:szCs w:val="28"/>
        </w:rPr>
      </w:pPr>
      <w:r>
        <w:rPr>
          <w:rFonts w:ascii="宋体" w:eastAsia="宋体" w:hAnsi="宋体" w:cs="宋体" w:hint="eastAsia"/>
          <w:b/>
          <w:color w:val="auto"/>
          <w:sz w:val="28"/>
          <w:szCs w:val="28"/>
        </w:rPr>
        <w:t>项目编号：</w:t>
      </w:r>
    </w:p>
    <w:p>
      <w:pPr>
        <w:pStyle w:val="pa-0"/>
        <w:spacing w:line="580" w:lineRule="exact"/>
        <w:jc w:val="center"/>
        <w:rPr>
          <w:rStyle w:val="articletitle1"/>
          <w:rFonts w:ascii="宋体" w:eastAsia="宋体" w:hAnsi="宋体" w:cs="宋体" w:hint="default"/>
          <w:b w:val="0"/>
          <w:color w:val="auto"/>
          <w:sz w:val="28"/>
          <w:szCs w:val="28"/>
        </w:rPr>
      </w:pPr>
    </w:p>
    <w:p>
      <w:pPr>
        <w:widowControl/>
        <w:rPr>
          <w:rFonts w:ascii="宋体" w:eastAsia="宋体" w:hAnsi="宋体" w:cs="宋体"/>
          <w:color w:val="auto"/>
          <w:kern w:val="0"/>
          <w:sz w:val="28"/>
          <w:szCs w:val="28"/>
        </w:rPr>
      </w:pPr>
    </w:p>
    <w:p>
      <w:pPr>
        <w:pStyle w:val="BodyText"/>
        <w:rPr>
          <w:rFonts w:ascii="宋体" w:eastAsia="宋体" w:hAnsi="宋体" w:cs="宋体"/>
          <w:color w:val="auto"/>
          <w:kern w:val="0"/>
          <w:sz w:val="28"/>
          <w:szCs w:val="28"/>
        </w:rPr>
      </w:pPr>
    </w:p>
    <w:p>
      <w:pPr>
        <w:pStyle w:val="BodyText"/>
        <w:rPr>
          <w:rFonts w:ascii="宋体" w:eastAsia="宋体" w:hAnsi="宋体" w:cs="宋体"/>
          <w:color w:val="auto"/>
          <w:kern w:val="0"/>
          <w:sz w:val="28"/>
          <w:szCs w:val="28"/>
        </w:rPr>
      </w:pPr>
    </w:p>
    <w:p>
      <w:pPr>
        <w:widowControl/>
        <w:rPr>
          <w:rFonts w:ascii="宋体" w:eastAsia="宋体" w:hAnsi="宋体" w:cs="宋体"/>
          <w:color w:val="auto"/>
          <w:kern w:val="0"/>
          <w:sz w:val="28"/>
          <w:szCs w:val="28"/>
        </w:rPr>
      </w:pPr>
    </w:p>
    <w:p>
      <w:pPr>
        <w:widowControl/>
        <w:jc w:val="center"/>
        <w:outlineLvl w:val="0"/>
        <w:rPr>
          <w:rFonts w:ascii="宋体" w:eastAsia="宋体" w:hAnsi="宋体" w:cs="宋体"/>
          <w:b/>
          <w:bCs/>
          <w:color w:val="auto"/>
          <w:kern w:val="0"/>
          <w:sz w:val="52"/>
          <w:szCs w:val="52"/>
        </w:rPr>
      </w:pPr>
      <w:bookmarkStart w:id="78" w:name="_Toc7839"/>
      <w:r>
        <w:rPr>
          <w:rFonts w:ascii="宋体" w:eastAsia="宋体" w:hAnsi="宋体" w:cs="宋体" w:hint="eastAsia"/>
          <w:b/>
          <w:bCs/>
          <w:color w:val="auto"/>
          <w:kern w:val="0"/>
          <w:sz w:val="52"/>
          <w:szCs w:val="52"/>
        </w:rPr>
        <w:t>响  应  文  件</w:t>
      </w:r>
      <w:bookmarkEnd w:id="78"/>
    </w:p>
    <w:p>
      <w:pPr>
        <w:widowControl/>
        <w:rPr>
          <w:rFonts w:ascii="宋体" w:eastAsia="宋体" w:hAnsi="宋体" w:cs="宋体"/>
          <w:color w:val="auto"/>
          <w:kern w:val="0"/>
          <w:sz w:val="28"/>
          <w:szCs w:val="28"/>
        </w:rPr>
      </w:pPr>
      <w:r>
        <w:rPr>
          <w:rFonts w:ascii="宋体" w:eastAsia="宋体" w:hAnsi="宋体" w:cs="宋体" w:hint="eastAsia"/>
          <w:color w:val="auto"/>
          <w:kern w:val="0"/>
          <w:sz w:val="28"/>
          <w:szCs w:val="28"/>
        </w:rPr>
        <w:t> </w:t>
      </w:r>
    </w:p>
    <w:p>
      <w:pPr>
        <w:widowControl/>
        <w:rPr>
          <w:rFonts w:ascii="宋体" w:eastAsia="宋体" w:hAnsi="宋体" w:cs="宋体"/>
          <w:color w:val="auto"/>
          <w:kern w:val="0"/>
          <w:sz w:val="28"/>
          <w:szCs w:val="28"/>
        </w:rPr>
      </w:pPr>
    </w:p>
    <w:p>
      <w:pPr>
        <w:widowControl/>
        <w:rPr>
          <w:rFonts w:ascii="宋体" w:eastAsia="宋体" w:hAnsi="宋体" w:cs="宋体"/>
          <w:color w:val="auto"/>
          <w:kern w:val="0"/>
          <w:sz w:val="28"/>
          <w:szCs w:val="28"/>
        </w:rPr>
      </w:pPr>
    </w:p>
    <w:p>
      <w:pPr>
        <w:widowControl/>
        <w:rPr>
          <w:rFonts w:ascii="宋体" w:eastAsia="宋体" w:hAnsi="宋体" w:cs="宋体"/>
          <w:color w:val="auto"/>
          <w:kern w:val="0"/>
          <w:sz w:val="28"/>
          <w:szCs w:val="28"/>
        </w:rPr>
      </w:pPr>
    </w:p>
    <w:p>
      <w:pPr>
        <w:pStyle w:val="BodyText"/>
        <w:rPr>
          <w:rFonts w:ascii="宋体" w:eastAsia="宋体" w:hAnsi="宋体" w:cs="宋体"/>
          <w:color w:val="auto"/>
          <w:kern w:val="0"/>
          <w:sz w:val="28"/>
          <w:szCs w:val="28"/>
        </w:rPr>
      </w:pPr>
    </w:p>
    <w:p>
      <w:pPr>
        <w:pStyle w:val="BodyText"/>
        <w:rPr>
          <w:rFonts w:ascii="宋体" w:eastAsia="宋体" w:hAnsi="宋体" w:cs="宋体"/>
          <w:color w:val="auto"/>
          <w:kern w:val="0"/>
          <w:sz w:val="28"/>
          <w:szCs w:val="28"/>
        </w:rPr>
      </w:pPr>
    </w:p>
    <w:p>
      <w:pPr>
        <w:pStyle w:val="BodyText"/>
        <w:rPr>
          <w:rFonts w:ascii="宋体" w:eastAsia="宋体" w:hAnsi="宋体" w:cs="宋体"/>
          <w:color w:val="auto"/>
          <w:kern w:val="0"/>
          <w:sz w:val="28"/>
          <w:szCs w:val="28"/>
        </w:rPr>
      </w:pPr>
    </w:p>
    <w:p>
      <w:pPr>
        <w:pStyle w:val="BodyText"/>
        <w:rPr>
          <w:rFonts w:ascii="宋体" w:eastAsia="宋体" w:hAnsi="宋体" w:cs="宋体"/>
          <w:color w:val="auto"/>
          <w:kern w:val="0"/>
          <w:sz w:val="28"/>
          <w:szCs w:val="28"/>
        </w:rPr>
      </w:pPr>
    </w:p>
    <w:p>
      <w:pPr>
        <w:widowControl/>
        <w:wordWrap w:val="0"/>
        <w:rPr>
          <w:rFonts w:ascii="宋体" w:eastAsia="宋体" w:hAnsi="宋体" w:cs="宋体"/>
          <w:color w:val="auto"/>
          <w:kern w:val="0"/>
          <w:sz w:val="28"/>
          <w:szCs w:val="28"/>
        </w:rPr>
      </w:pPr>
    </w:p>
    <w:p>
      <w:pPr>
        <w:snapToGrid w:val="0"/>
        <w:spacing w:line="360" w:lineRule="auto"/>
        <w:rPr>
          <w:rFonts w:ascii="宋体" w:eastAsia="宋体" w:hAnsi="宋体" w:cs="宋体"/>
          <w:snapToGrid w:val="0"/>
          <w:color w:val="auto"/>
          <w:kern w:val="0"/>
          <w:sz w:val="28"/>
          <w:szCs w:val="28"/>
        </w:rPr>
      </w:pPr>
      <w:bookmarkStart w:id="79" w:name="_Toc16190"/>
    </w:p>
    <w:p>
      <w:pPr>
        <w:snapToGrid w:val="0"/>
        <w:spacing w:line="360" w:lineRule="auto"/>
        <w:ind w:right="140"/>
        <w:jc w:val="left"/>
        <w:rPr>
          <w:rFonts w:ascii="宋体" w:eastAsia="宋体" w:hAnsi="宋体" w:cs="宋体"/>
          <w:snapToGrid w:val="0"/>
          <w:color w:val="auto"/>
          <w:kern w:val="0"/>
          <w:sz w:val="28"/>
          <w:szCs w:val="28"/>
        </w:rPr>
      </w:pPr>
      <w:r>
        <w:rPr>
          <w:rFonts w:ascii="宋体" w:eastAsia="宋体" w:hAnsi="宋体" w:cs="宋体" w:hint="eastAsia"/>
          <w:snapToGrid w:val="0"/>
          <w:color w:val="auto"/>
          <w:kern w:val="0"/>
          <w:sz w:val="28"/>
          <w:szCs w:val="28"/>
        </w:rPr>
        <w:t>供应商名称：</w:t>
      </w:r>
      <w:r>
        <w:rPr>
          <w:rFonts w:ascii="宋体" w:eastAsia="宋体" w:hAnsi="宋体" w:cs="宋体" w:hint="eastAsia"/>
          <w:snapToGrid w:val="0"/>
          <w:color w:val="auto"/>
          <w:kern w:val="0"/>
          <w:sz w:val="28"/>
          <w:szCs w:val="28"/>
          <w:u w:val="single"/>
        </w:rPr>
        <w:t xml:space="preserve">        （全称）              </w:t>
      </w:r>
      <w:r>
        <w:rPr>
          <w:rFonts w:ascii="宋体" w:eastAsia="宋体" w:hAnsi="宋体" w:cs="宋体" w:hint="eastAsia"/>
          <w:snapToGrid w:val="0"/>
          <w:color w:val="auto"/>
          <w:kern w:val="0"/>
          <w:sz w:val="28"/>
          <w:szCs w:val="28"/>
        </w:rPr>
        <w:t>（电子签章）</w:t>
      </w:r>
    </w:p>
    <w:p>
      <w:pPr>
        <w:snapToGrid w:val="0"/>
        <w:spacing w:line="360" w:lineRule="auto"/>
        <w:jc w:val="left"/>
        <w:rPr>
          <w:rFonts w:ascii="宋体" w:eastAsia="宋体" w:hAnsi="宋体" w:cs="宋体"/>
          <w:snapToGrid w:val="0"/>
          <w:color w:val="auto"/>
          <w:kern w:val="0"/>
          <w:sz w:val="28"/>
          <w:szCs w:val="28"/>
        </w:rPr>
      </w:pPr>
      <w:r>
        <w:rPr>
          <w:rFonts w:ascii="宋体" w:eastAsia="宋体" w:hAnsi="宋体" w:cs="宋体" w:hint="eastAsia"/>
          <w:snapToGrid w:val="0"/>
          <w:color w:val="auto"/>
          <w:kern w:val="0"/>
          <w:sz w:val="28"/>
          <w:szCs w:val="28"/>
        </w:rPr>
        <w:t>法定代表人或委托代理人：</w:t>
      </w:r>
      <w:r>
        <w:rPr>
          <w:rFonts w:ascii="宋体" w:eastAsia="宋体" w:hAnsi="宋体" w:cs="宋体" w:hint="eastAsia"/>
          <w:snapToGrid w:val="0"/>
          <w:color w:val="auto"/>
          <w:kern w:val="0"/>
          <w:sz w:val="28"/>
          <w:szCs w:val="28"/>
          <w:u w:val="single"/>
        </w:rPr>
        <w:t xml:space="preserve">             </w:t>
      </w:r>
      <w:r>
        <w:rPr>
          <w:rFonts w:ascii="宋体" w:eastAsia="宋体" w:hAnsi="宋体" w:cs="宋体" w:hint="eastAsia"/>
          <w:snapToGrid w:val="0"/>
          <w:color w:val="auto"/>
          <w:kern w:val="0"/>
          <w:sz w:val="28"/>
          <w:szCs w:val="28"/>
        </w:rPr>
        <w:t>（电子签章或电子印章）</w:t>
      </w:r>
    </w:p>
    <w:p>
      <w:pPr>
        <w:snapToGrid w:val="0"/>
        <w:spacing w:line="360" w:lineRule="auto"/>
        <w:jc w:val="left"/>
        <w:rPr>
          <w:rFonts w:ascii="宋体" w:eastAsia="宋体" w:hAnsi="宋体" w:cs="宋体"/>
          <w:snapToGrid w:val="0"/>
          <w:color w:val="auto"/>
          <w:kern w:val="0"/>
          <w:sz w:val="28"/>
          <w:szCs w:val="28"/>
        </w:rPr>
      </w:pPr>
      <w:r>
        <w:rPr>
          <w:rFonts w:ascii="宋体" w:eastAsia="宋体" w:hAnsi="宋体" w:cs="宋体" w:hint="eastAsia"/>
          <w:snapToGrid w:val="0"/>
          <w:color w:val="auto"/>
          <w:kern w:val="0"/>
          <w:sz w:val="28"/>
          <w:szCs w:val="28"/>
        </w:rPr>
        <w:t>日期：</w:t>
      </w:r>
      <w:r>
        <w:rPr>
          <w:rFonts w:ascii="宋体" w:eastAsia="宋体" w:hAnsi="宋体" w:cs="宋体" w:hint="eastAsia"/>
          <w:snapToGrid w:val="0"/>
          <w:color w:val="auto"/>
          <w:kern w:val="0"/>
          <w:sz w:val="28"/>
          <w:szCs w:val="28"/>
          <w:u w:val="single"/>
        </w:rPr>
        <w:t xml:space="preserve">    </w:t>
      </w:r>
      <w:r>
        <w:rPr>
          <w:rFonts w:ascii="宋体" w:eastAsia="宋体" w:hAnsi="宋体" w:cs="宋体" w:hint="eastAsia"/>
          <w:snapToGrid w:val="0"/>
          <w:color w:val="auto"/>
          <w:kern w:val="0"/>
          <w:sz w:val="28"/>
          <w:szCs w:val="28"/>
        </w:rPr>
        <w:t>年</w:t>
      </w:r>
      <w:r>
        <w:rPr>
          <w:rFonts w:ascii="宋体" w:eastAsia="宋体" w:hAnsi="宋体" w:cs="宋体" w:hint="eastAsia"/>
          <w:snapToGrid w:val="0"/>
          <w:color w:val="auto"/>
          <w:kern w:val="0"/>
          <w:sz w:val="28"/>
          <w:szCs w:val="28"/>
          <w:u w:val="single"/>
        </w:rPr>
        <w:t xml:space="preserve">  </w:t>
      </w:r>
      <w:r>
        <w:rPr>
          <w:rFonts w:ascii="宋体" w:eastAsia="宋体" w:hAnsi="宋体" w:cs="宋体" w:hint="eastAsia"/>
          <w:snapToGrid w:val="0"/>
          <w:color w:val="auto"/>
          <w:kern w:val="0"/>
          <w:sz w:val="28"/>
          <w:szCs w:val="28"/>
        </w:rPr>
        <w:t>月</w:t>
      </w:r>
      <w:r>
        <w:rPr>
          <w:rFonts w:ascii="宋体" w:eastAsia="宋体" w:hAnsi="宋体" w:cs="宋体" w:hint="eastAsia"/>
          <w:snapToGrid w:val="0"/>
          <w:color w:val="auto"/>
          <w:kern w:val="0"/>
          <w:sz w:val="28"/>
          <w:szCs w:val="28"/>
          <w:u w:val="single"/>
        </w:rPr>
        <w:t xml:space="preserve">  </w:t>
      </w:r>
      <w:r>
        <w:rPr>
          <w:rFonts w:ascii="宋体" w:eastAsia="宋体" w:hAnsi="宋体" w:cs="宋体" w:hint="eastAsia"/>
          <w:snapToGrid w:val="0"/>
          <w:color w:val="auto"/>
          <w:kern w:val="0"/>
          <w:sz w:val="28"/>
          <w:szCs w:val="28"/>
        </w:rPr>
        <w:t>日</w:t>
      </w:r>
    </w:p>
    <w:p>
      <w:pPr>
        <w:widowControl/>
        <w:spacing w:line="408" w:lineRule="auto"/>
        <w:jc w:val="center"/>
        <w:rPr>
          <w:rFonts w:ascii="宋体" w:eastAsia="宋体" w:hAnsi="宋体" w:cs="宋体"/>
          <w:b/>
          <w:bCs/>
          <w:color w:val="auto"/>
          <w:kern w:val="0"/>
          <w:sz w:val="28"/>
          <w:szCs w:val="28"/>
        </w:rPr>
        <w:sectPr>
          <w:footerReference w:type="default" r:id="rId9"/>
          <w:pgSz w:w="11906" w:h="16838"/>
          <w:pgMar w:top="1361" w:right="1417" w:bottom="1440" w:left="1440" w:header="851" w:footer="992" w:gutter="0"/>
          <w:pgNumType w:start="1"/>
          <w:cols w:num="1" w:space="720"/>
          <w:docGrid w:linePitch="312" w:charSpace="0"/>
        </w:sectPr>
      </w:pPr>
      <w:bookmarkStart w:id="80" w:name="_Toc234588863"/>
      <w:bookmarkStart w:id="81" w:name="_Toc234588861"/>
      <w:bookmarkStart w:id="82" w:name="_Toc293921831"/>
      <w:bookmarkEnd w:id="79"/>
    </w:p>
    <w:p>
      <w:pPr>
        <w:widowControl/>
        <w:spacing w:line="408" w:lineRule="auto"/>
        <w:jc w:val="center"/>
        <w:outlineLvl w:val="1"/>
        <w:rPr>
          <w:rFonts w:ascii="宋体" w:eastAsia="宋体" w:hAnsi="宋体" w:cs="宋体"/>
          <w:b/>
          <w:bCs/>
          <w:color w:val="auto"/>
          <w:kern w:val="0"/>
          <w:sz w:val="44"/>
          <w:szCs w:val="44"/>
        </w:rPr>
      </w:pPr>
      <w:r>
        <w:rPr>
          <w:rFonts w:ascii="宋体" w:eastAsia="宋体" w:hAnsi="宋体" w:cs="宋体" w:hint="eastAsia"/>
          <w:b/>
          <w:bCs/>
          <w:color w:val="auto"/>
          <w:kern w:val="0"/>
          <w:sz w:val="44"/>
          <w:szCs w:val="44"/>
        </w:rPr>
        <w:t>目  录</w:t>
      </w:r>
    </w:p>
    <w:p>
      <w:pPr>
        <w:widowControl/>
        <w:spacing w:line="360" w:lineRule="auto"/>
        <w:ind w:firstLine="480" w:firstLineChars="200"/>
        <w:jc w:val="left"/>
        <w:outlineLvl w:val="0"/>
        <w:rPr>
          <w:rFonts w:ascii="宋体" w:eastAsia="宋体" w:hAnsi="宋体" w:cs="宋体"/>
          <w:color w:val="auto"/>
          <w:kern w:val="0"/>
          <w:sz w:val="24"/>
        </w:rPr>
      </w:pPr>
      <w:bookmarkStart w:id="83" w:name="_Toc6393"/>
      <w:bookmarkStart w:id="84" w:name="_Toc27272_WPSOffice_Level2"/>
      <w:r>
        <w:rPr>
          <w:rFonts w:ascii="宋体" w:eastAsia="宋体" w:hAnsi="宋体" w:cs="宋体" w:hint="eastAsia"/>
          <w:color w:val="auto"/>
          <w:kern w:val="0"/>
          <w:sz w:val="24"/>
        </w:rPr>
        <w:t>一、磋商一览表</w:t>
      </w:r>
      <w:bookmarkEnd w:id="83"/>
    </w:p>
    <w:p>
      <w:pPr>
        <w:widowControl/>
        <w:spacing w:line="360" w:lineRule="auto"/>
        <w:ind w:firstLine="480" w:firstLineChars="200"/>
        <w:jc w:val="left"/>
        <w:outlineLvl w:val="0"/>
        <w:rPr>
          <w:rFonts w:ascii="宋体" w:eastAsia="宋体" w:hAnsi="宋体" w:cs="宋体"/>
          <w:color w:val="auto"/>
          <w:kern w:val="0"/>
          <w:sz w:val="24"/>
        </w:rPr>
      </w:pPr>
      <w:bookmarkStart w:id="85" w:name="_Toc25721"/>
      <w:r>
        <w:rPr>
          <w:rFonts w:ascii="宋体" w:eastAsia="宋体" w:hAnsi="宋体" w:cs="宋体" w:hint="eastAsia"/>
          <w:color w:val="auto"/>
          <w:kern w:val="0"/>
          <w:sz w:val="24"/>
        </w:rPr>
        <w:t>二、磋商书</w:t>
      </w:r>
      <w:bookmarkEnd w:id="85"/>
    </w:p>
    <w:p>
      <w:pPr>
        <w:widowControl/>
        <w:spacing w:line="360" w:lineRule="auto"/>
        <w:ind w:firstLine="480" w:firstLineChars="200"/>
        <w:jc w:val="left"/>
        <w:outlineLvl w:val="0"/>
        <w:rPr>
          <w:rFonts w:ascii="宋体" w:eastAsia="宋体" w:hAnsi="宋体" w:cs="宋体"/>
          <w:color w:val="auto"/>
          <w:kern w:val="0"/>
          <w:sz w:val="24"/>
        </w:rPr>
      </w:pPr>
      <w:bookmarkStart w:id="86" w:name="_Toc7378"/>
      <w:r>
        <w:rPr>
          <w:rFonts w:ascii="宋体" w:eastAsia="宋体" w:hAnsi="宋体" w:cs="宋体" w:hint="eastAsia"/>
          <w:color w:val="auto"/>
          <w:kern w:val="0"/>
          <w:sz w:val="24"/>
        </w:rPr>
        <w:t>三、磋商保证书</w:t>
      </w:r>
      <w:bookmarkEnd w:id="86"/>
    </w:p>
    <w:p>
      <w:pPr>
        <w:widowControl/>
        <w:spacing w:line="360" w:lineRule="auto"/>
        <w:ind w:firstLine="480" w:firstLineChars="200"/>
        <w:jc w:val="left"/>
        <w:outlineLvl w:val="0"/>
        <w:rPr>
          <w:rFonts w:ascii="宋体" w:eastAsia="宋体" w:hAnsi="宋体" w:cs="宋体"/>
          <w:color w:val="auto"/>
          <w:kern w:val="0"/>
          <w:sz w:val="24"/>
        </w:rPr>
      </w:pPr>
      <w:bookmarkStart w:id="87" w:name="_Toc10219"/>
      <w:r>
        <w:rPr>
          <w:rFonts w:ascii="宋体" w:eastAsia="宋体" w:hAnsi="宋体" w:cs="宋体" w:hint="eastAsia"/>
          <w:color w:val="auto"/>
          <w:kern w:val="0"/>
          <w:sz w:val="24"/>
        </w:rPr>
        <w:t>四、法定代表人身份证明书</w:t>
      </w:r>
      <w:bookmarkEnd w:id="87"/>
    </w:p>
    <w:p>
      <w:pPr>
        <w:widowControl/>
        <w:spacing w:line="360" w:lineRule="auto"/>
        <w:ind w:firstLine="480" w:firstLineChars="200"/>
        <w:jc w:val="left"/>
        <w:outlineLvl w:val="0"/>
        <w:rPr>
          <w:rFonts w:ascii="宋体" w:eastAsia="宋体" w:hAnsi="宋体" w:cs="宋体"/>
          <w:color w:val="auto"/>
          <w:kern w:val="0"/>
          <w:sz w:val="24"/>
        </w:rPr>
      </w:pPr>
      <w:bookmarkStart w:id="88" w:name="_Toc7204"/>
      <w:r>
        <w:rPr>
          <w:rFonts w:ascii="宋体" w:eastAsia="宋体" w:hAnsi="宋体" w:cs="宋体" w:hint="eastAsia"/>
          <w:color w:val="auto"/>
          <w:kern w:val="0"/>
          <w:sz w:val="24"/>
        </w:rPr>
        <w:t>五、法定代表人授权委托书</w:t>
      </w:r>
      <w:bookmarkEnd w:id="88"/>
    </w:p>
    <w:p>
      <w:pPr>
        <w:widowControl/>
        <w:spacing w:line="360" w:lineRule="auto"/>
        <w:ind w:firstLine="480" w:firstLineChars="200"/>
        <w:jc w:val="left"/>
        <w:outlineLvl w:val="0"/>
        <w:rPr>
          <w:rFonts w:ascii="宋体" w:eastAsia="宋体" w:hAnsi="宋体" w:cs="宋体" w:hint="eastAsia"/>
          <w:color w:val="auto"/>
          <w:kern w:val="0"/>
          <w:sz w:val="24"/>
          <w:lang w:val="en-US" w:eastAsia="zh-CN"/>
        </w:rPr>
      </w:pPr>
      <w:bookmarkStart w:id="89" w:name="_Toc10522"/>
      <w:r>
        <w:rPr>
          <w:rFonts w:ascii="宋体" w:eastAsia="宋体" w:hAnsi="宋体" w:cs="宋体" w:hint="eastAsia"/>
          <w:color w:val="auto"/>
          <w:kern w:val="0"/>
          <w:sz w:val="24"/>
        </w:rPr>
        <w:t>六、</w:t>
      </w:r>
      <w:bookmarkEnd w:id="89"/>
      <w:r>
        <w:rPr>
          <w:rFonts w:ascii="宋体" w:eastAsia="宋体" w:hAnsi="宋体" w:cs="宋体" w:hint="eastAsia"/>
          <w:color w:val="auto"/>
          <w:kern w:val="0"/>
          <w:sz w:val="24"/>
          <w:lang w:val="en-US" w:eastAsia="zh-CN"/>
        </w:rPr>
        <w:t>分项报价表</w:t>
      </w:r>
    </w:p>
    <w:p>
      <w:pPr>
        <w:pStyle w:val="BodyTextFirstIndent"/>
        <w:spacing w:line="360" w:lineRule="auto"/>
        <w:ind w:firstLine="480" w:firstLineChars="200"/>
        <w:rPr>
          <w:rFonts w:hint="default"/>
          <w:lang w:val="en-US" w:eastAsia="zh-CN"/>
        </w:rPr>
      </w:pPr>
      <w:r>
        <w:rPr>
          <w:rFonts w:ascii="宋体" w:hAnsi="宋体" w:cs="宋体" w:hint="eastAsia"/>
          <w:color w:val="auto"/>
          <w:kern w:val="0"/>
          <w:sz w:val="24"/>
          <w:lang w:val="en-US" w:eastAsia="zh-CN"/>
        </w:rPr>
        <w:t>七、技术参数偏离表</w:t>
      </w:r>
    </w:p>
    <w:p>
      <w:pPr>
        <w:widowControl/>
        <w:spacing w:line="360" w:lineRule="auto"/>
        <w:ind w:firstLine="480" w:firstLineChars="200"/>
        <w:jc w:val="left"/>
        <w:outlineLvl w:val="0"/>
        <w:rPr>
          <w:rFonts w:ascii="宋体" w:eastAsia="宋体" w:hAnsi="宋体" w:cs="宋体"/>
          <w:color w:val="auto"/>
          <w:kern w:val="0"/>
          <w:sz w:val="24"/>
        </w:rPr>
      </w:pPr>
      <w:bookmarkStart w:id="90" w:name="_Toc24429"/>
      <w:r>
        <w:rPr>
          <w:rFonts w:ascii="宋体" w:hAnsi="宋体" w:cs="宋体" w:hint="eastAsia"/>
          <w:color w:val="auto"/>
          <w:kern w:val="0"/>
          <w:sz w:val="24"/>
          <w:lang w:val="en-US" w:eastAsia="zh-CN"/>
        </w:rPr>
        <w:t>八</w:t>
      </w:r>
      <w:r>
        <w:rPr>
          <w:rFonts w:ascii="宋体" w:eastAsia="宋体" w:hAnsi="宋体" w:cs="宋体" w:hint="eastAsia"/>
          <w:color w:val="auto"/>
          <w:kern w:val="0"/>
          <w:sz w:val="24"/>
        </w:rPr>
        <w:t>、</w:t>
      </w:r>
      <w:bookmarkEnd w:id="90"/>
      <w:r>
        <w:rPr>
          <w:rFonts w:ascii="宋体" w:eastAsia="宋体" w:hAnsi="宋体" w:cs="宋体" w:hint="eastAsia"/>
          <w:color w:val="auto"/>
          <w:kern w:val="0"/>
          <w:sz w:val="24"/>
        </w:rPr>
        <w:t>供应商基本情况表</w:t>
      </w:r>
    </w:p>
    <w:p>
      <w:pPr>
        <w:widowControl/>
        <w:spacing w:line="360" w:lineRule="auto"/>
        <w:ind w:firstLine="480" w:firstLineChars="200"/>
        <w:jc w:val="left"/>
        <w:outlineLvl w:val="0"/>
        <w:rPr>
          <w:rFonts w:ascii="宋体" w:eastAsia="宋体" w:hAnsi="宋体" w:cs="宋体"/>
          <w:color w:val="000000"/>
          <w:kern w:val="0"/>
          <w:sz w:val="24"/>
        </w:rPr>
      </w:pPr>
      <w:bookmarkStart w:id="91" w:name="_Toc9136"/>
      <w:r>
        <w:rPr>
          <w:rFonts w:ascii="宋体" w:hAnsi="宋体" w:cs="宋体" w:hint="eastAsia"/>
          <w:color w:val="000000"/>
          <w:kern w:val="0"/>
          <w:sz w:val="24"/>
          <w:lang w:val="en-US" w:eastAsia="zh-CN"/>
        </w:rPr>
        <w:t>九</w:t>
      </w:r>
      <w:r>
        <w:rPr>
          <w:rFonts w:ascii="宋体" w:eastAsia="宋体" w:hAnsi="宋体" w:cs="宋体" w:hint="eastAsia"/>
          <w:color w:val="000000"/>
          <w:kern w:val="0"/>
          <w:sz w:val="24"/>
        </w:rPr>
        <w:t>、</w:t>
      </w:r>
      <w:bookmarkStart w:id="92" w:name="_Toc14279"/>
      <w:bookmarkEnd w:id="91"/>
      <w:r>
        <w:rPr>
          <w:rFonts w:ascii="宋体" w:eastAsia="宋体" w:hAnsi="宋体" w:cs="宋体" w:hint="eastAsia"/>
          <w:color w:val="000000"/>
          <w:kern w:val="0"/>
          <w:sz w:val="24"/>
        </w:rPr>
        <w:t>供应商相关证件及资料</w:t>
      </w:r>
    </w:p>
    <w:p>
      <w:pPr>
        <w:widowControl/>
        <w:spacing w:line="360" w:lineRule="auto"/>
        <w:ind w:firstLine="480" w:firstLineChars="200"/>
        <w:jc w:val="left"/>
        <w:outlineLvl w:val="0"/>
        <w:rPr>
          <w:rFonts w:ascii="宋体" w:eastAsia="宋体" w:hAnsi="宋体" w:cs="宋体"/>
          <w:color w:val="000000"/>
          <w:kern w:val="0"/>
          <w:sz w:val="24"/>
        </w:rPr>
      </w:pPr>
      <w:r>
        <w:rPr>
          <w:rFonts w:ascii="宋体" w:hAnsi="宋体" w:cs="宋体" w:hint="eastAsia"/>
          <w:color w:val="000000"/>
          <w:kern w:val="0"/>
          <w:sz w:val="24"/>
          <w:lang w:val="en-US" w:eastAsia="zh-CN"/>
        </w:rPr>
        <w:t>十</w:t>
      </w:r>
      <w:r>
        <w:rPr>
          <w:rFonts w:ascii="宋体" w:eastAsia="宋体" w:hAnsi="宋体" w:cs="宋体" w:hint="eastAsia"/>
          <w:color w:val="000000"/>
          <w:kern w:val="0"/>
          <w:sz w:val="24"/>
        </w:rPr>
        <w:t>、类似项目业绩表</w:t>
      </w:r>
    </w:p>
    <w:p>
      <w:pPr>
        <w:widowControl/>
        <w:spacing w:line="360" w:lineRule="auto"/>
        <w:ind w:firstLine="480" w:firstLineChars="200"/>
        <w:jc w:val="left"/>
        <w:outlineLvl w:val="0"/>
        <w:rPr>
          <w:rFonts w:ascii="宋体" w:eastAsia="宋体" w:hAnsi="宋体" w:cs="宋体" w:hint="eastAsia"/>
          <w:color w:val="000000"/>
          <w:kern w:val="0"/>
          <w:sz w:val="24"/>
          <w:lang w:val="en-US" w:eastAsia="zh-CN"/>
        </w:rPr>
      </w:pPr>
      <w:r>
        <w:rPr>
          <w:rFonts w:ascii="宋体" w:eastAsia="宋体" w:hAnsi="宋体" w:cs="宋体" w:hint="eastAsia"/>
          <w:color w:val="000000"/>
          <w:kern w:val="0"/>
          <w:sz w:val="24"/>
        </w:rPr>
        <w:t>十</w:t>
      </w:r>
      <w:r>
        <w:rPr>
          <w:rFonts w:ascii="宋体" w:hAnsi="宋体" w:cs="宋体" w:hint="eastAsia"/>
          <w:color w:val="000000"/>
          <w:kern w:val="0"/>
          <w:sz w:val="24"/>
          <w:lang w:val="en-US" w:eastAsia="zh-CN"/>
        </w:rPr>
        <w:t>一</w:t>
      </w:r>
      <w:r>
        <w:rPr>
          <w:rFonts w:ascii="宋体" w:eastAsia="宋体" w:hAnsi="宋体" w:cs="宋体" w:hint="eastAsia"/>
          <w:color w:val="000000"/>
          <w:kern w:val="0"/>
          <w:sz w:val="24"/>
        </w:rPr>
        <w:t>、</w:t>
      </w:r>
      <w:r>
        <w:rPr>
          <w:rFonts w:ascii="宋体" w:eastAsia="宋体" w:hAnsi="宋体" w:cs="宋体" w:hint="eastAsia"/>
          <w:color w:val="000000"/>
          <w:kern w:val="0"/>
          <w:sz w:val="24"/>
          <w:lang w:val="en-US" w:eastAsia="zh-CN"/>
        </w:rPr>
        <w:t>售后服务承诺及保证措施</w:t>
      </w:r>
    </w:p>
    <w:p>
      <w:pPr>
        <w:widowControl/>
        <w:spacing w:line="360" w:lineRule="auto"/>
        <w:ind w:firstLine="480" w:firstLineChars="200"/>
        <w:jc w:val="left"/>
        <w:outlineLvl w:val="0"/>
        <w:rPr>
          <w:rFonts w:ascii="宋体" w:eastAsia="宋体" w:hAnsi="宋体" w:cs="宋体" w:hint="default"/>
          <w:color w:val="000000"/>
          <w:kern w:val="0"/>
          <w:sz w:val="24"/>
          <w:lang w:val="en-US" w:eastAsia="zh-CN"/>
        </w:rPr>
      </w:pPr>
      <w:r>
        <w:rPr>
          <w:rFonts w:ascii="宋体" w:eastAsia="宋体" w:hAnsi="宋体" w:cs="宋体" w:hint="eastAsia"/>
          <w:color w:val="000000"/>
          <w:kern w:val="0"/>
          <w:sz w:val="24"/>
        </w:rPr>
        <w:t>十</w:t>
      </w:r>
      <w:r>
        <w:rPr>
          <w:rFonts w:ascii="宋体" w:hAnsi="宋体" w:cs="宋体" w:hint="eastAsia"/>
          <w:color w:val="000000"/>
          <w:kern w:val="0"/>
          <w:sz w:val="24"/>
          <w:lang w:val="en-US" w:eastAsia="zh-CN"/>
        </w:rPr>
        <w:t>二</w:t>
      </w:r>
      <w:r>
        <w:rPr>
          <w:rFonts w:ascii="宋体" w:eastAsia="宋体" w:hAnsi="宋体" w:cs="宋体" w:hint="eastAsia"/>
          <w:color w:val="000000"/>
          <w:kern w:val="0"/>
          <w:sz w:val="24"/>
        </w:rPr>
        <w:t>、</w:t>
      </w:r>
      <w:r>
        <w:rPr>
          <w:rFonts w:ascii="宋体" w:eastAsia="宋体" w:hAnsi="宋体" w:cs="宋体" w:hint="eastAsia"/>
          <w:color w:val="000000"/>
          <w:kern w:val="0"/>
          <w:sz w:val="24"/>
          <w:lang w:val="en-US" w:eastAsia="zh-CN"/>
        </w:rPr>
        <w:t>人员组成</w:t>
      </w:r>
    </w:p>
    <w:p>
      <w:pPr>
        <w:widowControl/>
        <w:spacing w:line="360" w:lineRule="auto"/>
        <w:ind w:firstLine="480" w:firstLineChars="200"/>
        <w:jc w:val="left"/>
        <w:outlineLvl w:val="0"/>
        <w:rPr>
          <w:rFonts w:ascii="宋体" w:eastAsia="宋体" w:hAnsi="宋体" w:cs="宋体"/>
          <w:color w:val="auto"/>
          <w:kern w:val="0"/>
          <w:sz w:val="24"/>
        </w:rPr>
      </w:pPr>
      <w:bookmarkStart w:id="93" w:name="_Toc28305"/>
      <w:bookmarkEnd w:id="92"/>
      <w:r>
        <w:rPr>
          <w:rFonts w:ascii="宋体" w:eastAsia="宋体" w:hAnsi="宋体" w:cs="宋体" w:hint="eastAsia"/>
          <w:color w:val="auto"/>
          <w:kern w:val="0"/>
          <w:sz w:val="24"/>
        </w:rPr>
        <w:t>十</w:t>
      </w:r>
      <w:r>
        <w:rPr>
          <w:rFonts w:ascii="宋体" w:hAnsi="宋体" w:cs="宋体" w:hint="eastAsia"/>
          <w:color w:val="auto"/>
          <w:kern w:val="0"/>
          <w:sz w:val="24"/>
          <w:lang w:val="en-US" w:eastAsia="zh-CN"/>
        </w:rPr>
        <w:t>三</w:t>
      </w:r>
      <w:r>
        <w:rPr>
          <w:rFonts w:ascii="宋体" w:eastAsia="宋体" w:hAnsi="宋体" w:cs="宋体" w:hint="eastAsia"/>
          <w:color w:val="auto"/>
          <w:kern w:val="0"/>
          <w:sz w:val="24"/>
        </w:rPr>
        <w:t>、磋商保证金凭据复印件/扫描件</w:t>
      </w:r>
      <w:bookmarkEnd w:id="93"/>
    </w:p>
    <w:p>
      <w:pPr>
        <w:widowControl/>
        <w:spacing w:line="360" w:lineRule="auto"/>
        <w:ind w:firstLine="480" w:firstLineChars="200"/>
        <w:jc w:val="left"/>
        <w:outlineLvl w:val="0"/>
        <w:rPr>
          <w:rFonts w:ascii="宋体" w:eastAsia="宋体" w:hAnsi="宋体" w:cs="宋体"/>
          <w:color w:val="auto"/>
          <w:kern w:val="0"/>
          <w:sz w:val="24"/>
        </w:rPr>
      </w:pPr>
      <w:bookmarkStart w:id="94" w:name="_Toc29525"/>
      <w:r>
        <w:rPr>
          <w:rFonts w:ascii="宋体" w:eastAsia="宋体" w:hAnsi="宋体" w:cs="宋体" w:hint="eastAsia"/>
          <w:color w:val="auto"/>
          <w:kern w:val="0"/>
          <w:sz w:val="24"/>
        </w:rPr>
        <w:t>十</w:t>
      </w:r>
      <w:r>
        <w:rPr>
          <w:rFonts w:ascii="宋体" w:hAnsi="宋体" w:cs="宋体" w:hint="eastAsia"/>
          <w:color w:val="auto"/>
          <w:kern w:val="0"/>
          <w:sz w:val="24"/>
          <w:lang w:val="en-US" w:eastAsia="zh-CN"/>
        </w:rPr>
        <w:t>四</w:t>
      </w:r>
      <w:r>
        <w:rPr>
          <w:rFonts w:ascii="宋体" w:eastAsia="宋体" w:hAnsi="宋体" w:cs="宋体" w:hint="eastAsia"/>
          <w:color w:val="auto"/>
          <w:kern w:val="0"/>
          <w:sz w:val="24"/>
        </w:rPr>
        <w:t>、供应商认为需提供的其他材料</w:t>
      </w:r>
      <w:bookmarkEnd w:id="94"/>
    </w:p>
    <w:p>
      <w:pPr>
        <w:widowControl/>
        <w:spacing w:line="360" w:lineRule="auto"/>
        <w:ind w:firstLine="480" w:firstLineChars="200"/>
        <w:jc w:val="left"/>
        <w:outlineLvl w:val="0"/>
        <w:rPr>
          <w:rFonts w:ascii="宋体" w:eastAsia="宋体" w:hAnsi="宋体" w:cs="宋体"/>
          <w:color w:val="auto"/>
          <w:kern w:val="0"/>
          <w:sz w:val="24"/>
        </w:rPr>
      </w:pPr>
      <w:bookmarkStart w:id="95" w:name="_Toc6113"/>
      <w:r>
        <w:rPr>
          <w:rFonts w:ascii="宋体" w:eastAsia="宋体" w:hAnsi="宋体" w:cs="宋体" w:hint="eastAsia"/>
          <w:color w:val="auto"/>
          <w:kern w:val="0"/>
          <w:sz w:val="24"/>
        </w:rPr>
        <w:t>第二次报价单</w:t>
      </w:r>
      <w:bookmarkEnd w:id="95"/>
    </w:p>
    <w:p>
      <w:pPr>
        <w:widowControl/>
        <w:spacing w:line="460" w:lineRule="exact"/>
        <w:jc w:val="center"/>
        <w:outlineLvl w:val="1"/>
        <w:rPr>
          <w:rFonts w:ascii="宋体" w:eastAsia="宋体" w:hAnsi="宋体" w:cs="宋体"/>
          <w:b/>
          <w:bCs/>
          <w:color w:val="auto"/>
          <w:kern w:val="0"/>
          <w:sz w:val="24"/>
        </w:rPr>
        <w:sectPr>
          <w:pgSz w:w="11906" w:h="16838"/>
          <w:pgMar w:top="1089" w:right="1287" w:bottom="1440" w:left="1440" w:header="851" w:footer="992" w:gutter="0"/>
          <w:cols w:num="1" w:space="720"/>
          <w:docGrid w:linePitch="312" w:charSpace="0"/>
        </w:sectPr>
      </w:pPr>
      <w:r>
        <w:rPr>
          <w:rFonts w:ascii="宋体" w:eastAsia="宋体" w:hAnsi="宋体" w:cs="宋体" w:hint="eastAsia"/>
          <w:b/>
          <w:bCs/>
          <w:color w:val="auto"/>
          <w:kern w:val="0"/>
          <w:sz w:val="24"/>
        </w:rPr>
        <w:t>（供应商需自行编制响应文件的目录</w:t>
      </w:r>
      <w:bookmarkEnd w:id="84"/>
      <w:r>
        <w:rPr>
          <w:rFonts w:ascii="宋体" w:eastAsia="宋体" w:hAnsi="宋体" w:cs="宋体" w:hint="eastAsia"/>
          <w:b/>
          <w:bCs/>
          <w:color w:val="auto"/>
          <w:kern w:val="0"/>
          <w:sz w:val="24"/>
        </w:rPr>
        <w:t>、页码）</w:t>
      </w:r>
    </w:p>
    <w:p>
      <w:pPr>
        <w:widowControl/>
        <w:spacing w:line="408" w:lineRule="auto"/>
        <w:jc w:val="center"/>
        <w:outlineLvl w:val="0"/>
        <w:rPr>
          <w:rFonts w:ascii="宋体" w:eastAsia="宋体" w:hAnsi="宋体" w:cs="宋体"/>
          <w:b/>
          <w:bCs/>
          <w:color w:val="auto"/>
          <w:kern w:val="0"/>
          <w:sz w:val="28"/>
          <w:szCs w:val="28"/>
        </w:rPr>
      </w:pPr>
      <w:bookmarkStart w:id="96" w:name="_Toc31780"/>
      <w:bookmarkEnd w:id="80"/>
      <w:bookmarkEnd w:id="81"/>
      <w:bookmarkEnd w:id="82"/>
      <w:r>
        <w:rPr>
          <w:rFonts w:ascii="宋体" w:eastAsia="宋体" w:hAnsi="宋体" w:cs="宋体" w:hint="eastAsia"/>
          <w:b/>
          <w:bCs/>
          <w:color w:val="auto"/>
          <w:kern w:val="0"/>
          <w:sz w:val="28"/>
          <w:szCs w:val="28"/>
        </w:rPr>
        <w:t>一、磋商一览表</w:t>
      </w:r>
      <w:bookmarkEnd w:id="96"/>
    </w:p>
    <w:p>
      <w:pPr>
        <w:widowControl/>
        <w:spacing w:line="408" w:lineRule="auto"/>
        <w:rPr>
          <w:rFonts w:ascii="宋体" w:eastAsia="宋体" w:hAnsi="宋体" w:cs="宋体"/>
          <w:bCs/>
          <w:color w:val="auto"/>
          <w:kern w:val="0"/>
          <w:sz w:val="24"/>
          <w:u w:val="single"/>
        </w:rPr>
      </w:pPr>
      <w:r>
        <w:rPr>
          <w:rFonts w:ascii="宋体" w:eastAsia="宋体" w:hAnsi="宋体" w:cs="宋体" w:hint="eastAsia"/>
          <w:bCs/>
          <w:color w:val="auto"/>
          <w:kern w:val="0"/>
          <w:sz w:val="24"/>
        </w:rPr>
        <w:t>项目名称：                                  项目编号：</w:t>
      </w:r>
    </w:p>
    <w:tbl>
      <w:tblPr>
        <w:tblStyle w:val="TableNormal"/>
        <w:tblW w:w="939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
      <w:tblGrid>
        <w:gridCol w:w="438"/>
        <w:gridCol w:w="2409"/>
        <w:gridCol w:w="6548"/>
      </w:tblGrid>
      <w:tr>
        <w:tblPrEx>
          <w:tblW w:w="939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4A0"/>
        </w:tblPrEx>
        <w:trPr>
          <w:cantSplit/>
          <w:trHeight w:val="753"/>
        </w:trPr>
        <w:tc>
          <w:tcPr>
            <w:tcW w:w="438" w:type="dxa"/>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default"/>
                <w:b/>
                <w:bCs/>
                <w:color w:val="auto"/>
                <w:kern w:val="2"/>
                <w:sz w:val="24"/>
                <w:szCs w:val="24"/>
                <w:lang w:val="en-US" w:eastAsia="zh-CN" w:bidi="ar-SA"/>
              </w:rPr>
            </w:pPr>
            <w:r>
              <w:rPr>
                <w:rFonts w:ascii="宋体" w:eastAsia="宋体" w:hAnsi="宋体" w:cs="宋体" w:hint="eastAsia"/>
                <w:b/>
                <w:color w:val="auto"/>
                <w:spacing w:val="-20"/>
                <w:kern w:val="2"/>
                <w:sz w:val="24"/>
                <w:szCs w:val="24"/>
                <w:lang w:val="en-US" w:eastAsia="zh-CN" w:bidi="ar-SA"/>
              </w:rPr>
              <w:t>序号</w:t>
            </w:r>
          </w:p>
        </w:tc>
        <w:tc>
          <w:tcPr>
            <w:tcW w:w="2409" w:type="dxa"/>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default"/>
                <w:b/>
                <w:bCs/>
                <w:color w:val="auto"/>
                <w:kern w:val="2"/>
                <w:sz w:val="24"/>
                <w:szCs w:val="24"/>
                <w:lang w:val="en-US" w:eastAsia="zh-CN" w:bidi="ar-SA"/>
              </w:rPr>
            </w:pPr>
            <w:r>
              <w:rPr>
                <w:rFonts w:ascii="宋体" w:eastAsia="宋体" w:hAnsi="宋体" w:cs="宋体" w:hint="eastAsia"/>
                <w:b/>
                <w:color w:val="auto"/>
                <w:spacing w:val="-20"/>
                <w:kern w:val="2"/>
                <w:sz w:val="24"/>
                <w:szCs w:val="24"/>
                <w:lang w:val="en-US" w:eastAsia="zh-CN" w:bidi="ar-SA"/>
              </w:rPr>
              <w:t>项  目</w:t>
            </w:r>
          </w:p>
        </w:tc>
        <w:tc>
          <w:tcPr>
            <w:tcW w:w="6548" w:type="dxa"/>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default"/>
                <w:b/>
                <w:bCs/>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内容</w:t>
            </w:r>
          </w:p>
        </w:tc>
      </w:tr>
      <w:tr>
        <w:tblPrEx>
          <w:tblW w:w="9395" w:type="dxa"/>
          <w:tblInd w:w="0" w:type="dxa"/>
          <w:tblLayout w:type="fixed"/>
          <w:tblCellMar>
            <w:top w:w="0" w:type="dxa"/>
            <w:left w:w="108" w:type="dxa"/>
            <w:bottom w:w="0" w:type="dxa"/>
            <w:right w:w="108" w:type="dxa"/>
          </w:tblCellMar>
          <w:tblLook w:val="04A0"/>
        </w:tblPrEx>
        <w:trPr>
          <w:cantSplit/>
          <w:trHeight w:val="479"/>
        </w:trPr>
        <w:tc>
          <w:tcPr>
            <w:tcW w:w="438" w:type="dxa"/>
            <w:vMerge w:val="restart"/>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default"/>
                <w:b/>
                <w:bCs/>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1</w:t>
            </w:r>
          </w:p>
        </w:tc>
        <w:tc>
          <w:tcPr>
            <w:tcW w:w="2409" w:type="dxa"/>
            <w:vMerge w:val="restart"/>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default"/>
                <w:b/>
                <w:bCs/>
                <w:color w:val="auto"/>
                <w:kern w:val="2"/>
                <w:sz w:val="24"/>
                <w:szCs w:val="24"/>
                <w:lang w:val="en-US" w:eastAsia="zh-CN" w:bidi="ar-SA"/>
              </w:rPr>
            </w:pPr>
            <w:r>
              <w:rPr>
                <w:rFonts w:ascii="宋体" w:eastAsia="宋体" w:hAnsi="宋体" w:cs="宋体" w:hint="eastAsia"/>
                <w:b/>
                <w:color w:val="auto"/>
                <w:spacing w:val="-20"/>
                <w:kern w:val="2"/>
                <w:sz w:val="24"/>
                <w:szCs w:val="24"/>
                <w:lang w:val="en-US" w:eastAsia="zh-CN" w:bidi="ar-SA"/>
              </w:rPr>
              <w:t>磋商总报价（元）       （第一次报价）</w:t>
            </w:r>
          </w:p>
        </w:tc>
        <w:tc>
          <w:tcPr>
            <w:tcW w:w="6548" w:type="dxa"/>
            <w:vAlign w:val="center"/>
          </w:tcPr>
          <w:p>
            <w:pPr>
              <w:pStyle w:val="PlainText"/>
              <w:keepNext w:val="0"/>
              <w:keepLines w:val="0"/>
              <w:widowControl w:val="0"/>
              <w:suppressLineNumbers w:val="0"/>
              <w:spacing w:before="0" w:beforeAutospacing="0" w:after="0" w:afterAutospacing="0" w:line="360" w:lineRule="auto"/>
              <w:ind w:left="0" w:right="0" w:firstLine="0"/>
              <w:jc w:val="left"/>
              <w:rPr>
                <w:rStyle w:val="DefaultParagraphFont"/>
                <w:rFonts w:ascii="宋体" w:eastAsia="宋体" w:hAnsi="宋体" w:cs="宋体" w:hint="default"/>
                <w:bCs/>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小写：</w:t>
            </w:r>
          </w:p>
        </w:tc>
      </w:tr>
      <w:tr>
        <w:tblPrEx>
          <w:tblW w:w="9395" w:type="dxa"/>
          <w:tblInd w:w="0" w:type="dxa"/>
          <w:tblLayout w:type="fixed"/>
          <w:tblCellMar>
            <w:top w:w="0" w:type="dxa"/>
            <w:left w:w="108" w:type="dxa"/>
            <w:bottom w:w="0" w:type="dxa"/>
            <w:right w:w="108" w:type="dxa"/>
          </w:tblCellMar>
          <w:tblLook w:val="04A0"/>
        </w:tblPrEx>
        <w:trPr>
          <w:cantSplit/>
          <w:trHeight w:val="464"/>
        </w:trPr>
        <w:tc>
          <w:tcPr>
            <w:tcW w:w="438" w:type="dxa"/>
            <w:vMerge/>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default"/>
                <w:b/>
                <w:color w:val="auto"/>
                <w:kern w:val="2"/>
                <w:sz w:val="24"/>
                <w:szCs w:val="24"/>
                <w:lang w:val="en-US" w:eastAsia="zh-CN" w:bidi="ar-SA"/>
              </w:rPr>
            </w:pPr>
          </w:p>
        </w:tc>
        <w:tc>
          <w:tcPr>
            <w:tcW w:w="2409" w:type="dxa"/>
            <w:vMerge/>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default"/>
                <w:b/>
                <w:color w:val="auto"/>
                <w:spacing w:val="-20"/>
                <w:kern w:val="2"/>
                <w:sz w:val="24"/>
                <w:szCs w:val="24"/>
                <w:lang w:val="en-US" w:eastAsia="zh-CN" w:bidi="ar-SA"/>
              </w:rPr>
            </w:pPr>
          </w:p>
        </w:tc>
        <w:tc>
          <w:tcPr>
            <w:tcW w:w="6548" w:type="dxa"/>
            <w:vAlign w:val="center"/>
          </w:tcPr>
          <w:p>
            <w:pPr>
              <w:pStyle w:val="PlainText"/>
              <w:keepNext w:val="0"/>
              <w:keepLines w:val="0"/>
              <w:widowControl w:val="0"/>
              <w:suppressLineNumbers w:val="0"/>
              <w:spacing w:before="0" w:beforeAutospacing="0" w:after="0" w:afterAutospacing="0" w:line="360" w:lineRule="auto"/>
              <w:ind w:left="0" w:right="0" w:firstLine="0"/>
              <w:jc w:val="left"/>
              <w:rPr>
                <w:rStyle w:val="DefaultParagraphFont"/>
                <w:rFonts w:ascii="宋体" w:eastAsia="宋体" w:hAnsi="宋体" w:cs="宋体" w:hint="default"/>
                <w:b/>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大写：</w:t>
            </w:r>
          </w:p>
        </w:tc>
      </w:tr>
      <w:tr>
        <w:tblPrEx>
          <w:tblW w:w="9395" w:type="dxa"/>
          <w:tblInd w:w="0" w:type="dxa"/>
          <w:tblLayout w:type="fixed"/>
          <w:tblCellMar>
            <w:top w:w="0" w:type="dxa"/>
            <w:left w:w="108" w:type="dxa"/>
            <w:bottom w:w="0" w:type="dxa"/>
            <w:right w:w="108" w:type="dxa"/>
          </w:tblCellMar>
          <w:tblLook w:val="04A0"/>
        </w:tblPrEx>
        <w:trPr>
          <w:cantSplit/>
          <w:trHeight w:val="753"/>
        </w:trPr>
        <w:tc>
          <w:tcPr>
            <w:tcW w:w="438" w:type="dxa"/>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eastAsia"/>
                <w:b/>
                <w:bCs/>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2</w:t>
            </w:r>
          </w:p>
        </w:tc>
        <w:tc>
          <w:tcPr>
            <w:tcW w:w="2409" w:type="dxa"/>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eastAsia"/>
                <w:b/>
                <w:bCs/>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供货时间</w:t>
            </w:r>
          </w:p>
        </w:tc>
        <w:tc>
          <w:tcPr>
            <w:tcW w:w="6548" w:type="dxa"/>
            <w:vAlign w:val="center"/>
          </w:tcPr>
          <w:p>
            <w:pPr>
              <w:pStyle w:val="PlainText"/>
              <w:keepNext w:val="0"/>
              <w:keepLines w:val="0"/>
              <w:widowControl w:val="0"/>
              <w:suppressLineNumbers w:val="0"/>
              <w:spacing w:before="0" w:beforeAutospacing="0" w:after="0" w:afterAutospacing="0" w:line="240" w:lineRule="auto"/>
              <w:ind w:left="0" w:right="0" w:firstLine="0"/>
              <w:jc w:val="left"/>
              <w:rPr>
                <w:rStyle w:val="DefaultParagraphFont"/>
                <w:rFonts w:ascii="宋体" w:eastAsia="宋体" w:hAnsi="宋体" w:cs="宋体" w:hint="default"/>
                <w:b/>
                <w:bCs/>
                <w:color w:val="auto"/>
                <w:kern w:val="2"/>
                <w:sz w:val="24"/>
                <w:szCs w:val="24"/>
                <w:lang w:val="en-US" w:eastAsia="zh-CN" w:bidi="ar-SA"/>
              </w:rPr>
            </w:pPr>
          </w:p>
        </w:tc>
      </w:tr>
      <w:tr>
        <w:tblPrEx>
          <w:tblW w:w="9395" w:type="dxa"/>
          <w:tblInd w:w="0" w:type="dxa"/>
          <w:tblLayout w:type="fixed"/>
          <w:tblCellMar>
            <w:top w:w="0" w:type="dxa"/>
            <w:left w:w="108" w:type="dxa"/>
            <w:bottom w:w="0" w:type="dxa"/>
            <w:right w:w="108" w:type="dxa"/>
          </w:tblCellMar>
          <w:tblLook w:val="04A0"/>
        </w:tblPrEx>
        <w:trPr>
          <w:cantSplit/>
          <w:trHeight w:val="753"/>
        </w:trPr>
        <w:tc>
          <w:tcPr>
            <w:tcW w:w="438" w:type="dxa"/>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eastAsia"/>
                <w:b/>
                <w:bCs/>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3</w:t>
            </w:r>
          </w:p>
        </w:tc>
        <w:tc>
          <w:tcPr>
            <w:tcW w:w="2409" w:type="dxa"/>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eastAsia"/>
                <w:b/>
                <w:bCs/>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供货地点</w:t>
            </w:r>
          </w:p>
        </w:tc>
        <w:tc>
          <w:tcPr>
            <w:tcW w:w="6548" w:type="dxa"/>
            <w:vAlign w:val="center"/>
          </w:tcPr>
          <w:p>
            <w:pPr>
              <w:pStyle w:val="PlainText"/>
              <w:keepNext w:val="0"/>
              <w:keepLines w:val="0"/>
              <w:widowControl w:val="0"/>
              <w:suppressLineNumbers w:val="0"/>
              <w:spacing w:before="0" w:beforeAutospacing="0" w:after="0" w:afterAutospacing="0" w:line="240" w:lineRule="auto"/>
              <w:ind w:left="0" w:right="0" w:firstLine="0"/>
              <w:jc w:val="left"/>
              <w:rPr>
                <w:rStyle w:val="DefaultParagraphFont"/>
                <w:rFonts w:ascii="宋体" w:eastAsia="宋体" w:hAnsi="宋体" w:cs="宋体" w:hint="default"/>
                <w:b/>
                <w:bCs/>
                <w:color w:val="auto"/>
                <w:kern w:val="2"/>
                <w:sz w:val="24"/>
                <w:szCs w:val="24"/>
                <w:lang w:val="en-US" w:eastAsia="zh-CN" w:bidi="ar-SA"/>
              </w:rPr>
            </w:pPr>
          </w:p>
        </w:tc>
      </w:tr>
      <w:tr>
        <w:tblPrEx>
          <w:tblW w:w="9395" w:type="dxa"/>
          <w:tblInd w:w="0" w:type="dxa"/>
          <w:tblLayout w:type="fixed"/>
          <w:tblCellMar>
            <w:top w:w="0" w:type="dxa"/>
            <w:left w:w="108" w:type="dxa"/>
            <w:bottom w:w="0" w:type="dxa"/>
            <w:right w:w="108" w:type="dxa"/>
          </w:tblCellMar>
          <w:tblLook w:val="04A0"/>
        </w:tblPrEx>
        <w:trPr>
          <w:cantSplit/>
          <w:trHeight w:val="753"/>
        </w:trPr>
        <w:tc>
          <w:tcPr>
            <w:tcW w:w="438" w:type="dxa"/>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eastAsia"/>
                <w:b/>
                <w:bCs/>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4</w:t>
            </w:r>
          </w:p>
        </w:tc>
        <w:tc>
          <w:tcPr>
            <w:tcW w:w="2409" w:type="dxa"/>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eastAsia"/>
                <w:b/>
                <w:bCs/>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质量承诺</w:t>
            </w:r>
          </w:p>
        </w:tc>
        <w:tc>
          <w:tcPr>
            <w:tcW w:w="6548" w:type="dxa"/>
            <w:vAlign w:val="center"/>
          </w:tcPr>
          <w:p>
            <w:pPr>
              <w:pStyle w:val="PlainText"/>
              <w:keepNext w:val="0"/>
              <w:keepLines w:val="0"/>
              <w:widowControl w:val="0"/>
              <w:suppressLineNumbers w:val="0"/>
              <w:spacing w:before="0" w:beforeAutospacing="0" w:after="0" w:afterAutospacing="0" w:line="240" w:lineRule="auto"/>
              <w:ind w:left="0" w:right="0" w:firstLine="0"/>
              <w:jc w:val="left"/>
              <w:rPr>
                <w:rStyle w:val="DefaultParagraphFont"/>
                <w:rFonts w:ascii="宋体" w:eastAsia="宋体" w:hAnsi="宋体" w:cs="宋体" w:hint="default"/>
                <w:b/>
                <w:bCs/>
                <w:color w:val="auto"/>
                <w:kern w:val="2"/>
                <w:sz w:val="24"/>
                <w:szCs w:val="24"/>
                <w:lang w:val="en-US" w:eastAsia="zh-CN" w:bidi="ar-SA"/>
              </w:rPr>
            </w:pPr>
          </w:p>
        </w:tc>
      </w:tr>
      <w:tr>
        <w:tblPrEx>
          <w:tblW w:w="9395" w:type="dxa"/>
          <w:tblInd w:w="0" w:type="dxa"/>
          <w:tblLayout w:type="fixed"/>
          <w:tblCellMar>
            <w:top w:w="0" w:type="dxa"/>
            <w:left w:w="108" w:type="dxa"/>
            <w:bottom w:w="0" w:type="dxa"/>
            <w:right w:w="108" w:type="dxa"/>
          </w:tblCellMar>
          <w:tblLook w:val="04A0"/>
        </w:tblPrEx>
        <w:trPr>
          <w:cantSplit/>
          <w:trHeight w:val="753"/>
        </w:trPr>
        <w:tc>
          <w:tcPr>
            <w:tcW w:w="438" w:type="dxa"/>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eastAsia"/>
                <w:b/>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5</w:t>
            </w:r>
          </w:p>
        </w:tc>
        <w:tc>
          <w:tcPr>
            <w:tcW w:w="2409" w:type="dxa"/>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default"/>
                <w:b/>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投标有效期</w:t>
            </w:r>
          </w:p>
        </w:tc>
        <w:tc>
          <w:tcPr>
            <w:tcW w:w="6548" w:type="dxa"/>
            <w:vAlign w:val="center"/>
          </w:tcPr>
          <w:p>
            <w:pPr>
              <w:pStyle w:val="PlainText"/>
              <w:keepNext w:val="0"/>
              <w:keepLines w:val="0"/>
              <w:widowControl w:val="0"/>
              <w:suppressLineNumbers w:val="0"/>
              <w:spacing w:before="0" w:beforeAutospacing="0" w:after="0" w:afterAutospacing="0" w:line="240" w:lineRule="auto"/>
              <w:ind w:left="0" w:right="0" w:firstLine="0"/>
              <w:jc w:val="left"/>
              <w:rPr>
                <w:rStyle w:val="DefaultParagraphFont"/>
                <w:rFonts w:ascii="宋体" w:eastAsia="宋体" w:hAnsi="宋体" w:cs="宋体" w:hint="default"/>
                <w:b/>
                <w:bCs/>
                <w:color w:val="auto"/>
                <w:kern w:val="2"/>
                <w:sz w:val="24"/>
                <w:szCs w:val="24"/>
                <w:lang w:val="en-US" w:eastAsia="zh-CN" w:bidi="ar-SA"/>
              </w:rPr>
            </w:pPr>
          </w:p>
        </w:tc>
      </w:tr>
      <w:tr>
        <w:tblPrEx>
          <w:tblW w:w="9395" w:type="dxa"/>
          <w:tblInd w:w="0" w:type="dxa"/>
          <w:tblLayout w:type="fixed"/>
          <w:tblCellMar>
            <w:top w:w="0" w:type="dxa"/>
            <w:left w:w="108" w:type="dxa"/>
            <w:bottom w:w="0" w:type="dxa"/>
            <w:right w:w="108" w:type="dxa"/>
          </w:tblCellMar>
          <w:tblLook w:val="04A0"/>
        </w:tblPrEx>
        <w:trPr>
          <w:cantSplit/>
          <w:trHeight w:val="457"/>
        </w:trPr>
        <w:tc>
          <w:tcPr>
            <w:tcW w:w="438" w:type="dxa"/>
            <w:vMerge w:val="restart"/>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eastAsia"/>
                <w:b/>
                <w:bCs/>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6</w:t>
            </w:r>
          </w:p>
        </w:tc>
        <w:tc>
          <w:tcPr>
            <w:tcW w:w="2409" w:type="dxa"/>
            <w:vMerge w:val="restart"/>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default"/>
                <w:b/>
                <w:bCs/>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磋商保证金</w:t>
            </w:r>
            <w:r>
              <w:rPr>
                <w:rFonts w:ascii="宋体" w:eastAsia="宋体" w:hAnsi="宋体" w:cs="宋体" w:hint="eastAsia"/>
                <w:b/>
                <w:color w:val="auto"/>
                <w:spacing w:val="-20"/>
                <w:kern w:val="2"/>
                <w:sz w:val="24"/>
                <w:szCs w:val="24"/>
                <w:lang w:val="en-US" w:eastAsia="zh-CN" w:bidi="ar-SA"/>
              </w:rPr>
              <w:t>（元）</w:t>
            </w:r>
          </w:p>
        </w:tc>
        <w:tc>
          <w:tcPr>
            <w:tcW w:w="6548" w:type="dxa"/>
            <w:vAlign w:val="center"/>
          </w:tcPr>
          <w:p>
            <w:pPr>
              <w:pStyle w:val="PlainText"/>
              <w:keepNext w:val="0"/>
              <w:keepLines w:val="0"/>
              <w:widowControl w:val="0"/>
              <w:suppressLineNumbers w:val="0"/>
              <w:spacing w:before="0" w:beforeAutospacing="0" w:after="0" w:afterAutospacing="0" w:line="360" w:lineRule="auto"/>
              <w:ind w:left="0" w:right="0" w:firstLine="0"/>
              <w:jc w:val="left"/>
              <w:rPr>
                <w:rStyle w:val="DefaultParagraphFont"/>
                <w:rFonts w:ascii="宋体" w:eastAsia="宋体" w:hAnsi="宋体" w:cs="宋体" w:hint="default"/>
                <w:b/>
                <w:bCs/>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小写：</w:t>
            </w:r>
          </w:p>
        </w:tc>
      </w:tr>
      <w:tr>
        <w:tblPrEx>
          <w:tblW w:w="9395" w:type="dxa"/>
          <w:tblInd w:w="0" w:type="dxa"/>
          <w:tblLayout w:type="fixed"/>
          <w:tblCellMar>
            <w:top w:w="0" w:type="dxa"/>
            <w:left w:w="108" w:type="dxa"/>
            <w:bottom w:w="0" w:type="dxa"/>
            <w:right w:w="108" w:type="dxa"/>
          </w:tblCellMar>
          <w:tblLook w:val="04A0"/>
        </w:tblPrEx>
        <w:trPr>
          <w:cantSplit/>
          <w:trHeight w:val="501"/>
        </w:trPr>
        <w:tc>
          <w:tcPr>
            <w:tcW w:w="438" w:type="dxa"/>
            <w:vMerge/>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default"/>
                <w:b/>
                <w:color w:val="auto"/>
                <w:kern w:val="2"/>
                <w:sz w:val="24"/>
                <w:szCs w:val="24"/>
                <w:lang w:val="en-US" w:eastAsia="zh-CN" w:bidi="ar-SA"/>
              </w:rPr>
            </w:pPr>
          </w:p>
        </w:tc>
        <w:tc>
          <w:tcPr>
            <w:tcW w:w="2409" w:type="dxa"/>
            <w:vMerge/>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default"/>
                <w:b/>
                <w:color w:val="auto"/>
                <w:kern w:val="2"/>
                <w:sz w:val="24"/>
                <w:szCs w:val="24"/>
                <w:lang w:val="en-US" w:eastAsia="zh-CN" w:bidi="ar-SA"/>
              </w:rPr>
            </w:pPr>
          </w:p>
        </w:tc>
        <w:tc>
          <w:tcPr>
            <w:tcW w:w="6548" w:type="dxa"/>
            <w:vAlign w:val="center"/>
          </w:tcPr>
          <w:p>
            <w:pPr>
              <w:pStyle w:val="PlainText"/>
              <w:keepNext w:val="0"/>
              <w:keepLines w:val="0"/>
              <w:widowControl w:val="0"/>
              <w:suppressLineNumbers w:val="0"/>
              <w:spacing w:before="0" w:beforeAutospacing="0" w:after="0" w:afterAutospacing="0" w:line="240" w:lineRule="auto"/>
              <w:ind w:left="0" w:right="0" w:firstLine="0"/>
              <w:jc w:val="left"/>
              <w:rPr>
                <w:rStyle w:val="DefaultParagraphFont"/>
                <w:rFonts w:ascii="宋体" w:eastAsia="宋体" w:hAnsi="宋体" w:cs="宋体" w:hint="default"/>
                <w:b/>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大写：</w:t>
            </w:r>
          </w:p>
        </w:tc>
      </w:tr>
      <w:tr>
        <w:tblPrEx>
          <w:tblW w:w="9395" w:type="dxa"/>
          <w:tblInd w:w="0" w:type="dxa"/>
          <w:tblLayout w:type="fixed"/>
          <w:tblCellMar>
            <w:top w:w="0" w:type="dxa"/>
            <w:left w:w="108" w:type="dxa"/>
            <w:bottom w:w="0" w:type="dxa"/>
            <w:right w:w="108" w:type="dxa"/>
          </w:tblCellMar>
          <w:tblLook w:val="04A0"/>
        </w:tblPrEx>
        <w:trPr>
          <w:cantSplit/>
          <w:trHeight w:val="753"/>
        </w:trPr>
        <w:tc>
          <w:tcPr>
            <w:tcW w:w="438" w:type="dxa"/>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eastAsia"/>
                <w:b/>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7</w:t>
            </w:r>
          </w:p>
        </w:tc>
        <w:tc>
          <w:tcPr>
            <w:tcW w:w="2409" w:type="dxa"/>
            <w:vAlign w:val="center"/>
          </w:tcPr>
          <w:p>
            <w:pPr>
              <w:pStyle w:val="PlainText"/>
              <w:keepNext w:val="0"/>
              <w:keepLines w:val="0"/>
              <w:widowControl w:val="0"/>
              <w:suppressLineNumbers w:val="0"/>
              <w:spacing w:before="0" w:beforeAutospacing="0" w:after="0" w:afterAutospacing="0" w:line="240" w:lineRule="auto"/>
              <w:ind w:left="0" w:right="0" w:firstLine="0"/>
              <w:jc w:val="center"/>
              <w:rPr>
                <w:rStyle w:val="DefaultParagraphFont"/>
                <w:rFonts w:ascii="宋体" w:eastAsia="宋体" w:hAnsi="宋体" w:cs="宋体" w:hint="default"/>
                <w:b/>
                <w:color w:val="auto"/>
                <w:kern w:val="2"/>
                <w:sz w:val="24"/>
                <w:szCs w:val="24"/>
                <w:lang w:val="en-US" w:eastAsia="zh-CN" w:bidi="ar-SA"/>
              </w:rPr>
            </w:pPr>
            <w:r>
              <w:rPr>
                <w:rFonts w:ascii="宋体" w:eastAsia="宋体" w:hAnsi="宋体" w:cs="宋体" w:hint="eastAsia"/>
                <w:b/>
                <w:color w:val="auto"/>
                <w:kern w:val="2"/>
                <w:sz w:val="24"/>
                <w:szCs w:val="24"/>
                <w:lang w:val="en-US" w:eastAsia="zh-CN" w:bidi="ar-SA"/>
              </w:rPr>
              <w:t>备注</w:t>
            </w:r>
          </w:p>
        </w:tc>
        <w:tc>
          <w:tcPr>
            <w:tcW w:w="6548" w:type="dxa"/>
            <w:vAlign w:val="center"/>
          </w:tcPr>
          <w:p>
            <w:pPr>
              <w:pStyle w:val="PlainText"/>
              <w:keepNext w:val="0"/>
              <w:keepLines w:val="0"/>
              <w:widowControl w:val="0"/>
              <w:suppressLineNumbers w:val="0"/>
              <w:spacing w:before="0" w:beforeAutospacing="0" w:after="0" w:afterAutospacing="0" w:line="240" w:lineRule="auto"/>
              <w:ind w:left="0" w:right="0" w:firstLine="0"/>
              <w:jc w:val="left"/>
              <w:rPr>
                <w:rStyle w:val="DefaultParagraphFont"/>
                <w:rFonts w:ascii="宋体" w:eastAsia="宋体" w:hAnsi="宋体" w:cs="宋体" w:hint="default"/>
                <w:b/>
                <w:color w:val="auto"/>
                <w:kern w:val="2"/>
                <w:sz w:val="24"/>
                <w:szCs w:val="24"/>
                <w:lang w:val="en-US" w:eastAsia="zh-CN" w:bidi="ar-SA"/>
              </w:rPr>
            </w:pPr>
          </w:p>
        </w:tc>
      </w:tr>
    </w:tbl>
    <w:p>
      <w:pPr>
        <w:spacing w:line="460" w:lineRule="exact"/>
        <w:rPr>
          <w:rFonts w:ascii="宋体" w:eastAsia="宋体" w:hAnsi="宋体" w:cs="宋体"/>
          <w:color w:val="auto"/>
          <w:sz w:val="24"/>
        </w:rPr>
      </w:pPr>
      <w:r>
        <w:rPr>
          <w:rFonts w:ascii="宋体" w:eastAsia="宋体" w:hAnsi="宋体" w:cs="宋体" w:hint="eastAsia"/>
          <w:color w:val="auto"/>
          <w:sz w:val="24"/>
        </w:rPr>
        <w:t>注：此表请放在响应文件封面后第一页，以方便查阅。</w:t>
      </w:r>
    </w:p>
    <w:p>
      <w:pPr>
        <w:tabs>
          <w:tab w:val="left" w:pos="11700"/>
        </w:tabs>
        <w:snapToGrid w:val="0"/>
        <w:spacing w:line="340" w:lineRule="exact"/>
        <w:rPr>
          <w:rFonts w:ascii="宋体" w:eastAsia="宋体" w:hAnsi="宋体" w:cs="宋体"/>
          <w:color w:val="auto"/>
          <w:sz w:val="24"/>
        </w:rPr>
      </w:pPr>
    </w:p>
    <w:p>
      <w:pPr>
        <w:tabs>
          <w:tab w:val="left" w:pos="11700"/>
        </w:tabs>
        <w:snapToGrid w:val="0"/>
        <w:spacing w:line="340" w:lineRule="exact"/>
        <w:rPr>
          <w:rFonts w:ascii="宋体" w:eastAsia="宋体" w:hAnsi="宋体" w:cs="宋体"/>
          <w:color w:val="auto"/>
          <w:sz w:val="24"/>
        </w:rPr>
      </w:pPr>
    </w:p>
    <w:p>
      <w:pPr>
        <w:tabs>
          <w:tab w:val="left" w:pos="11700"/>
        </w:tabs>
        <w:snapToGrid w:val="0"/>
        <w:spacing w:line="340" w:lineRule="exact"/>
        <w:rPr>
          <w:rFonts w:ascii="宋体" w:eastAsia="宋体" w:hAnsi="宋体" w:cs="宋体"/>
          <w:color w:val="auto"/>
          <w:sz w:val="24"/>
        </w:rPr>
      </w:pPr>
    </w:p>
    <w:p>
      <w:pPr>
        <w:tabs>
          <w:tab w:val="left" w:pos="11700"/>
        </w:tabs>
        <w:snapToGrid w:val="0"/>
        <w:spacing w:line="340" w:lineRule="exact"/>
        <w:rPr>
          <w:rFonts w:ascii="宋体" w:eastAsia="宋体" w:hAnsi="宋体" w:cs="宋体"/>
          <w:color w:val="auto"/>
          <w:sz w:val="24"/>
        </w:rPr>
      </w:pPr>
    </w:p>
    <w:p>
      <w:pPr>
        <w:snapToGrid w:val="0"/>
        <w:spacing w:line="360" w:lineRule="auto"/>
        <w:ind w:right="140"/>
        <w:jc w:val="left"/>
        <w:rPr>
          <w:rFonts w:ascii="宋体" w:eastAsia="宋体" w:hAnsi="宋体" w:cs="宋体"/>
          <w:snapToGrid w:val="0"/>
          <w:color w:val="auto"/>
          <w:kern w:val="0"/>
          <w:sz w:val="24"/>
        </w:rPr>
      </w:pPr>
      <w:r>
        <w:rPr>
          <w:rFonts w:ascii="宋体" w:eastAsia="宋体" w:hAnsi="宋体" w:cs="宋体" w:hint="eastAsia"/>
          <w:snapToGrid w:val="0"/>
          <w:color w:val="auto"/>
          <w:kern w:val="0"/>
          <w:sz w:val="24"/>
        </w:rPr>
        <w:t>供应商名称：</w:t>
      </w:r>
      <w:r>
        <w:rPr>
          <w:rFonts w:ascii="宋体" w:eastAsia="宋体" w:hAnsi="宋体" w:cs="宋体" w:hint="eastAsia"/>
          <w:snapToGrid w:val="0"/>
          <w:color w:val="auto"/>
          <w:kern w:val="0"/>
          <w:sz w:val="24"/>
          <w:u w:val="single"/>
        </w:rPr>
        <w:t xml:space="preserve">        （全称）              </w:t>
      </w:r>
      <w:r>
        <w:rPr>
          <w:rFonts w:ascii="宋体" w:eastAsia="宋体" w:hAnsi="宋体" w:cs="宋体" w:hint="eastAsia"/>
          <w:snapToGrid w:val="0"/>
          <w:color w:val="auto"/>
          <w:kern w:val="0"/>
          <w:sz w:val="24"/>
        </w:rPr>
        <w:t>（电子签章）</w:t>
      </w:r>
    </w:p>
    <w:p>
      <w:pPr>
        <w:snapToGrid w:val="0"/>
        <w:spacing w:line="360" w:lineRule="auto"/>
        <w:jc w:val="left"/>
        <w:rPr>
          <w:rFonts w:ascii="宋体" w:eastAsia="宋体" w:hAnsi="宋体" w:cs="宋体"/>
          <w:snapToGrid w:val="0"/>
          <w:color w:val="auto"/>
          <w:kern w:val="0"/>
          <w:sz w:val="24"/>
        </w:rPr>
      </w:pPr>
      <w:r>
        <w:rPr>
          <w:rFonts w:ascii="宋体" w:eastAsia="宋体" w:hAnsi="宋体" w:cs="宋体" w:hint="eastAsia"/>
          <w:snapToGrid w:val="0"/>
          <w:color w:val="auto"/>
          <w:kern w:val="0"/>
          <w:sz w:val="24"/>
        </w:rPr>
        <w:t>法定代表人或委托代理人：</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（电子签章或电子印章）</w:t>
      </w:r>
    </w:p>
    <w:p>
      <w:pPr>
        <w:snapToGrid w:val="0"/>
        <w:spacing w:line="360" w:lineRule="auto"/>
        <w:jc w:val="left"/>
        <w:rPr>
          <w:rFonts w:ascii="宋体" w:eastAsia="宋体" w:hAnsi="宋体" w:cs="宋体"/>
          <w:snapToGrid w:val="0"/>
          <w:color w:val="auto"/>
          <w:kern w:val="0"/>
          <w:sz w:val="24"/>
        </w:rPr>
      </w:pPr>
      <w:r>
        <w:rPr>
          <w:rFonts w:ascii="宋体" w:eastAsia="宋体" w:hAnsi="宋体" w:cs="宋体" w:hint="eastAsia"/>
          <w:snapToGrid w:val="0"/>
          <w:color w:val="auto"/>
          <w:kern w:val="0"/>
          <w:sz w:val="24"/>
        </w:rPr>
        <w:t>日期：</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年</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月</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日</w:t>
      </w:r>
    </w:p>
    <w:p>
      <w:pPr>
        <w:widowControl/>
        <w:spacing w:line="440" w:lineRule="exact"/>
        <w:rPr>
          <w:rFonts w:ascii="宋体" w:eastAsia="宋体" w:hAnsi="宋体" w:cs="宋体"/>
          <w:color w:val="auto"/>
          <w:kern w:val="0"/>
          <w:sz w:val="28"/>
          <w:szCs w:val="28"/>
        </w:rPr>
      </w:pPr>
    </w:p>
    <w:p>
      <w:pPr>
        <w:widowControl/>
        <w:spacing w:line="408" w:lineRule="auto"/>
        <w:jc w:val="center"/>
        <w:outlineLvl w:val="0"/>
        <w:rPr>
          <w:rFonts w:ascii="宋体" w:eastAsia="宋体" w:hAnsi="宋体" w:cs="宋体"/>
          <w:b/>
          <w:color w:val="auto"/>
          <w:kern w:val="0"/>
          <w:sz w:val="28"/>
          <w:szCs w:val="28"/>
        </w:rPr>
      </w:pPr>
      <w:bookmarkStart w:id="97" w:name="_Toc293921832"/>
      <w:r>
        <w:rPr>
          <w:rFonts w:ascii="宋体" w:eastAsia="宋体" w:hAnsi="宋体" w:cs="宋体" w:hint="eastAsia"/>
          <w:b/>
          <w:color w:val="auto"/>
          <w:kern w:val="0"/>
          <w:sz w:val="28"/>
          <w:szCs w:val="28"/>
        </w:rPr>
        <w:br w:type="page"/>
      </w:r>
      <w:bookmarkStart w:id="98" w:name="_Toc23123"/>
      <w:r>
        <w:rPr>
          <w:rFonts w:ascii="宋体" w:eastAsia="宋体" w:hAnsi="宋体" w:cs="宋体" w:hint="eastAsia"/>
          <w:b/>
          <w:color w:val="auto"/>
          <w:kern w:val="0"/>
          <w:sz w:val="28"/>
          <w:szCs w:val="28"/>
        </w:rPr>
        <w:t>二、磋商书</w:t>
      </w:r>
      <w:bookmarkEnd w:id="97"/>
      <w:bookmarkEnd w:id="98"/>
    </w:p>
    <w:p>
      <w:pPr>
        <w:widowControl/>
        <w:spacing w:line="480" w:lineRule="atLeast"/>
        <w:rPr>
          <w:rFonts w:ascii="宋体" w:eastAsia="宋体" w:hAnsi="宋体" w:cs="宋体"/>
          <w:color w:val="auto"/>
          <w:kern w:val="0"/>
          <w:sz w:val="24"/>
          <w:u w:val="single"/>
        </w:rPr>
      </w:pPr>
      <w:r>
        <w:rPr>
          <w:rFonts w:ascii="宋体" w:eastAsia="宋体" w:hAnsi="宋体" w:cs="宋体" w:hint="eastAsia"/>
          <w:color w:val="auto"/>
          <w:kern w:val="0"/>
          <w:sz w:val="24"/>
        </w:rPr>
        <w:t>致</w:t>
      </w:r>
      <w:r>
        <w:rPr>
          <w:rFonts w:ascii="宋体" w:eastAsia="宋体" w:hAnsi="宋体" w:cs="宋体" w:hint="eastAsia"/>
          <w:color w:val="auto"/>
          <w:kern w:val="0"/>
          <w:sz w:val="24"/>
          <w:u w:val="single"/>
        </w:rPr>
        <w:t xml:space="preserve">     （采购人名称）     </w:t>
      </w:r>
      <w:r>
        <w:rPr>
          <w:rFonts w:ascii="宋体" w:eastAsia="宋体" w:hAnsi="宋体" w:cs="宋体" w:hint="eastAsia"/>
          <w:color w:val="auto"/>
          <w:kern w:val="0"/>
          <w:sz w:val="24"/>
        </w:rPr>
        <w:t>：</w:t>
      </w:r>
    </w:p>
    <w:p>
      <w:pPr>
        <w:widowControl/>
        <w:spacing w:line="480" w:lineRule="atLeast"/>
        <w:ind w:firstLine="480" w:firstLineChars="200"/>
        <w:rPr>
          <w:rFonts w:ascii="宋体" w:eastAsia="宋体" w:hAnsi="宋体" w:cs="宋体"/>
          <w:bCs/>
          <w:color w:val="auto"/>
          <w:kern w:val="0"/>
          <w:sz w:val="24"/>
        </w:rPr>
      </w:pPr>
      <w:r>
        <w:rPr>
          <w:rFonts w:ascii="宋体" w:eastAsia="宋体" w:hAnsi="宋体" w:cs="宋体" w:hint="eastAsia"/>
          <w:color w:val="auto"/>
          <w:kern w:val="0"/>
          <w:sz w:val="24"/>
        </w:rPr>
        <w:t>根据对贵</w:t>
      </w:r>
      <w:r>
        <w:rPr>
          <w:rFonts w:ascii="宋体" w:eastAsia="宋体" w:hAnsi="宋体" w:cs="宋体" w:hint="eastAsia"/>
          <w:color w:val="auto"/>
          <w:kern w:val="0"/>
          <w:sz w:val="24"/>
          <w:lang w:val="en-US" w:eastAsia="zh-CN"/>
        </w:rPr>
        <w:t>单位</w:t>
      </w:r>
      <w:r>
        <w:rPr>
          <w:rStyle w:val="articletitle1"/>
          <w:rFonts w:ascii="宋体" w:eastAsia="宋体" w:hAnsi="宋体" w:cs="宋体" w:hint="default"/>
          <w:b w:val="0"/>
          <w:bCs w:val="0"/>
          <w:color w:val="auto"/>
          <w:sz w:val="24"/>
          <w:szCs w:val="24"/>
        </w:rPr>
        <w:t>的</w:t>
      </w:r>
      <w:r>
        <w:rPr>
          <w:rStyle w:val="articletitle1"/>
          <w:rFonts w:ascii="宋体" w:eastAsia="宋体" w:hAnsi="宋体" w:cs="宋体" w:hint="eastAsia"/>
          <w:b w:val="0"/>
          <w:bCs w:val="0"/>
          <w:color w:val="auto"/>
          <w:sz w:val="24"/>
          <w:szCs w:val="24"/>
          <w:u w:val="single"/>
          <w:lang w:eastAsia="zh-CN"/>
        </w:rPr>
        <w:t>西双版纳傣族自治州消防救援支队山难专业队装备采购项目</w:t>
      </w:r>
      <w:r>
        <w:rPr>
          <w:rStyle w:val="articletitle1"/>
          <w:rFonts w:ascii="宋体" w:hAnsi="宋体" w:cs="宋体" w:hint="eastAsia"/>
          <w:b w:val="0"/>
          <w:bCs w:val="0"/>
          <w:color w:val="auto"/>
          <w:sz w:val="24"/>
          <w:szCs w:val="24"/>
          <w:u w:val="single"/>
          <w:lang w:eastAsia="zh-CN"/>
        </w:rPr>
        <w:t>（</w:t>
      </w:r>
      <w:r>
        <w:rPr>
          <w:rStyle w:val="articletitle1"/>
          <w:rFonts w:ascii="宋体" w:hAnsi="宋体" w:cs="宋体" w:hint="eastAsia"/>
          <w:b w:val="0"/>
          <w:bCs w:val="0"/>
          <w:color w:val="auto"/>
          <w:sz w:val="24"/>
          <w:szCs w:val="24"/>
          <w:u w:val="single"/>
          <w:lang w:val="en-US" w:eastAsia="zh-CN"/>
        </w:rPr>
        <w:t>二次</w:t>
      </w:r>
      <w:r>
        <w:rPr>
          <w:rStyle w:val="articletitle1"/>
          <w:rFonts w:ascii="宋体" w:hAnsi="宋体" w:cs="宋体" w:hint="eastAsia"/>
          <w:b w:val="0"/>
          <w:bCs w:val="0"/>
          <w:color w:val="auto"/>
          <w:sz w:val="24"/>
          <w:szCs w:val="24"/>
          <w:u w:val="single"/>
          <w:lang w:eastAsia="zh-CN"/>
        </w:rPr>
        <w:t>）</w:t>
      </w:r>
      <w:r>
        <w:rPr>
          <w:rFonts w:ascii="宋体" w:eastAsia="宋体" w:hAnsi="宋体" w:cs="宋体" w:hint="eastAsia"/>
          <w:bCs/>
          <w:color w:val="auto"/>
          <w:kern w:val="0"/>
          <w:sz w:val="24"/>
        </w:rPr>
        <w:t>（项目编号为：</w:t>
      </w:r>
      <w:r>
        <w:rPr>
          <w:rStyle w:val="articletitle1"/>
          <w:rFonts w:ascii="宋体" w:eastAsia="宋体" w:hAnsi="宋体" w:cs="宋体" w:hint="default"/>
          <w:b w:val="0"/>
          <w:bCs w:val="0"/>
          <w:color w:val="auto"/>
          <w:sz w:val="24"/>
          <w:szCs w:val="24"/>
        </w:rPr>
        <w:t xml:space="preserve">     ）磋商文件，我单位（或公司）</w:t>
      </w:r>
      <w:r>
        <w:rPr>
          <w:rStyle w:val="articletitle1"/>
          <w:rFonts w:ascii="宋体" w:eastAsia="宋体" w:hAnsi="宋体" w:cs="宋体" w:hint="default"/>
          <w:b w:val="0"/>
          <w:bCs w:val="0"/>
          <w:color w:val="auto"/>
          <w:sz w:val="24"/>
          <w:szCs w:val="24"/>
          <w:u w:val="single"/>
        </w:rPr>
        <w:t xml:space="preserve">  （公司名称）  </w:t>
      </w:r>
      <w:r>
        <w:rPr>
          <w:rStyle w:val="articletitle1"/>
          <w:rFonts w:ascii="宋体" w:eastAsia="宋体" w:hAnsi="宋体" w:cs="宋体" w:hint="default"/>
          <w:b w:val="0"/>
          <w:bCs w:val="0"/>
          <w:color w:val="auto"/>
          <w:sz w:val="24"/>
          <w:szCs w:val="24"/>
        </w:rPr>
        <w:t>决定参加该项目的磋商，经法定代表人（或法定代表人正式授权的委托代理人）</w:t>
      </w:r>
      <w:r>
        <w:rPr>
          <w:rStyle w:val="articletitle1"/>
          <w:rFonts w:ascii="宋体" w:eastAsia="宋体" w:hAnsi="宋体" w:cs="宋体" w:hint="default"/>
          <w:b w:val="0"/>
          <w:bCs w:val="0"/>
          <w:color w:val="auto"/>
          <w:sz w:val="24"/>
          <w:szCs w:val="24"/>
          <w:u w:val="single"/>
        </w:rPr>
        <w:t xml:space="preserve">       </w:t>
      </w:r>
      <w:r>
        <w:rPr>
          <w:rStyle w:val="articletitle1"/>
          <w:rFonts w:ascii="宋体" w:eastAsia="宋体" w:hAnsi="宋体" w:cs="宋体" w:hint="default"/>
          <w:b w:val="0"/>
          <w:bCs w:val="0"/>
          <w:color w:val="auto"/>
          <w:sz w:val="24"/>
          <w:szCs w:val="24"/>
        </w:rPr>
        <w:t>提交响应文件，</w:t>
      </w:r>
      <w:r>
        <w:rPr>
          <w:rFonts w:ascii="宋体" w:eastAsia="宋体" w:hAnsi="宋体" w:cs="宋体" w:hint="eastAsia"/>
          <w:bCs/>
          <w:color w:val="auto"/>
          <w:kern w:val="0"/>
          <w:sz w:val="24"/>
        </w:rPr>
        <w:t>我单位</w:t>
      </w:r>
      <w:r>
        <w:rPr>
          <w:rFonts w:ascii="宋体" w:eastAsia="宋体" w:hAnsi="宋体" w:cs="宋体" w:hint="eastAsia"/>
          <w:bCs/>
          <w:color w:val="auto"/>
          <w:kern w:val="0"/>
          <w:sz w:val="24"/>
          <w:u w:val="single"/>
        </w:rPr>
        <w:t xml:space="preserve">           </w:t>
      </w:r>
      <w:r>
        <w:rPr>
          <w:rFonts w:ascii="宋体" w:eastAsia="宋体" w:hAnsi="宋体" w:cs="宋体" w:hint="eastAsia"/>
          <w:bCs/>
          <w:color w:val="auto"/>
          <w:kern w:val="0"/>
          <w:sz w:val="24"/>
        </w:rPr>
        <w:t>同意以下事项：</w:t>
      </w:r>
    </w:p>
    <w:p>
      <w:pPr>
        <w:spacing w:line="480" w:lineRule="atLeast"/>
        <w:ind w:firstLine="480" w:firstLineChars="200"/>
        <w:jc w:val="left"/>
        <w:rPr>
          <w:rFonts w:ascii="宋体" w:eastAsia="宋体" w:hAnsi="宋体" w:cs="宋体"/>
          <w:color w:val="auto"/>
          <w:sz w:val="24"/>
        </w:rPr>
      </w:pPr>
      <w:r>
        <w:rPr>
          <w:rFonts w:ascii="宋体" w:eastAsia="宋体" w:hAnsi="宋体" w:cs="宋体" w:hint="eastAsia"/>
          <w:color w:val="auto"/>
          <w:sz w:val="24"/>
        </w:rPr>
        <w:t>据此函，签字人兹宣布同意如下：</w:t>
      </w:r>
    </w:p>
    <w:p>
      <w:pPr>
        <w:spacing w:line="480" w:lineRule="atLeast"/>
        <w:ind w:firstLine="480" w:firstLineChars="200"/>
        <w:jc w:val="left"/>
        <w:rPr>
          <w:rFonts w:ascii="宋体" w:eastAsia="宋体" w:hAnsi="宋体" w:cs="宋体"/>
          <w:color w:val="auto"/>
          <w:sz w:val="24"/>
        </w:rPr>
      </w:pPr>
      <w:r>
        <w:rPr>
          <w:rFonts w:ascii="宋体" w:eastAsia="宋体" w:hAnsi="宋体" w:cs="宋体" w:hint="eastAsia"/>
          <w:color w:val="auto"/>
          <w:sz w:val="24"/>
        </w:rPr>
        <w:t>1.按磋商文件第三章采购内容与要求的规定提供全部</w:t>
      </w:r>
      <w:r>
        <w:rPr>
          <w:rFonts w:ascii="宋体" w:eastAsia="宋体" w:hAnsi="宋体" w:cs="宋体" w:hint="eastAsia"/>
          <w:color w:val="auto"/>
          <w:sz w:val="24"/>
          <w:lang w:val="en-US" w:eastAsia="zh-CN"/>
        </w:rPr>
        <w:t>供货</w:t>
      </w:r>
      <w:r>
        <w:rPr>
          <w:rFonts w:ascii="宋体" w:eastAsia="宋体" w:hAnsi="宋体" w:cs="宋体" w:hint="eastAsia"/>
          <w:color w:val="auto"/>
          <w:sz w:val="24"/>
        </w:rPr>
        <w:t>，磋商总报价（第一次报价）为人民币</w:t>
      </w:r>
      <w:r>
        <w:rPr>
          <w:rFonts w:ascii="宋体" w:eastAsia="宋体" w:hAnsi="宋体" w:cs="宋体" w:hint="eastAsia"/>
          <w:color w:val="auto"/>
          <w:sz w:val="24"/>
          <w:u w:val="single"/>
        </w:rPr>
        <w:t>（大写：）（￥： 元）</w:t>
      </w:r>
      <w:r>
        <w:rPr>
          <w:rFonts w:ascii="宋体" w:eastAsia="宋体" w:hAnsi="宋体" w:cs="宋体" w:hint="eastAsia"/>
          <w:color w:val="auto"/>
          <w:sz w:val="24"/>
        </w:rPr>
        <w:t>。</w:t>
      </w:r>
    </w:p>
    <w:p>
      <w:pPr>
        <w:spacing w:line="480" w:lineRule="atLeast"/>
        <w:ind w:firstLine="480" w:firstLineChars="200"/>
        <w:jc w:val="left"/>
        <w:rPr>
          <w:rFonts w:ascii="宋体" w:eastAsia="宋体" w:hAnsi="宋体" w:cs="宋体"/>
          <w:color w:val="auto"/>
          <w:sz w:val="24"/>
        </w:rPr>
      </w:pPr>
      <w:r>
        <w:rPr>
          <w:rFonts w:ascii="宋体" w:eastAsia="宋体" w:hAnsi="宋体" w:cs="宋体" w:hint="eastAsia"/>
          <w:color w:val="auto"/>
          <w:sz w:val="24"/>
        </w:rPr>
        <w:t>2. 我方同意在供应商须知规定的开始磋商日期起遵循本磋商文件，并在供应商须知前附表第13条规定的磋商有效期</w:t>
      </w:r>
      <w:r>
        <w:rPr>
          <w:rFonts w:ascii="宋体" w:eastAsia="宋体" w:hAnsi="宋体" w:cs="宋体" w:hint="eastAsia"/>
          <w:color w:val="auto"/>
          <w:sz w:val="24"/>
          <w:u w:val="single"/>
        </w:rPr>
        <w:t xml:space="preserve">     </w:t>
      </w:r>
      <w:r>
        <w:rPr>
          <w:rFonts w:ascii="宋体" w:eastAsia="宋体" w:hAnsi="宋体" w:cs="宋体" w:hint="eastAsia"/>
          <w:color w:val="auto"/>
          <w:sz w:val="24"/>
        </w:rPr>
        <w:t>日历天均具有约束力。如果我方磋商响应被接受，则至合同履行完毕，本磋商书保持有效。</w:t>
      </w:r>
    </w:p>
    <w:p>
      <w:pPr>
        <w:spacing w:line="480" w:lineRule="atLeast"/>
        <w:ind w:firstLine="480" w:firstLineChars="200"/>
        <w:jc w:val="left"/>
        <w:rPr>
          <w:rFonts w:ascii="宋体" w:eastAsia="宋体" w:hAnsi="宋体" w:cs="宋体"/>
          <w:color w:val="auto"/>
          <w:sz w:val="24"/>
        </w:rPr>
      </w:pPr>
      <w:r>
        <w:rPr>
          <w:rFonts w:ascii="宋体" w:eastAsia="宋体" w:hAnsi="宋体" w:cs="宋体" w:hint="eastAsia"/>
          <w:color w:val="auto"/>
          <w:sz w:val="24"/>
        </w:rPr>
        <w:t>3.我方承诺已经具备磋商文件中规定的参加本次政府采购活动的供应商应当具备的条件。</w:t>
      </w:r>
    </w:p>
    <w:p>
      <w:pPr>
        <w:spacing w:line="480" w:lineRule="atLeast"/>
        <w:ind w:firstLine="480" w:firstLineChars="200"/>
        <w:jc w:val="left"/>
        <w:rPr>
          <w:rFonts w:ascii="宋体" w:eastAsia="宋体" w:hAnsi="宋体" w:cs="宋体"/>
          <w:color w:val="auto"/>
          <w:sz w:val="24"/>
        </w:rPr>
      </w:pPr>
      <w:r>
        <w:rPr>
          <w:rFonts w:ascii="宋体" w:eastAsia="宋体" w:hAnsi="宋体" w:cs="宋体" w:hint="eastAsia"/>
          <w:color w:val="auto"/>
          <w:sz w:val="24"/>
        </w:rPr>
        <w:t>4.我方承诺严格遵守磋商文件中的各项要求及合同条款，在前完成，并承担合同规定的责任义务。</w:t>
      </w:r>
    </w:p>
    <w:p>
      <w:pPr>
        <w:spacing w:line="480" w:lineRule="atLeast"/>
        <w:ind w:firstLine="480" w:firstLineChars="200"/>
        <w:jc w:val="left"/>
        <w:rPr>
          <w:rFonts w:ascii="宋体" w:eastAsia="宋体" w:hAnsi="宋体" w:cs="宋体"/>
          <w:color w:val="auto"/>
          <w:sz w:val="24"/>
        </w:rPr>
      </w:pPr>
      <w:r>
        <w:rPr>
          <w:rFonts w:ascii="宋体" w:eastAsia="宋体" w:hAnsi="宋体" w:cs="宋体" w:hint="eastAsia"/>
          <w:color w:val="auto"/>
          <w:sz w:val="24"/>
        </w:rPr>
        <w:t>5.我方理解并认可磋商文件的全部内容，若我方参加本项目磋商，不再对磋商文件提出任何异议。</w:t>
      </w:r>
    </w:p>
    <w:p>
      <w:pPr>
        <w:spacing w:line="480" w:lineRule="atLeast"/>
        <w:ind w:firstLine="480" w:firstLineChars="200"/>
        <w:jc w:val="left"/>
        <w:rPr>
          <w:rFonts w:ascii="宋体" w:eastAsia="宋体" w:hAnsi="宋体" w:cs="宋体"/>
          <w:color w:val="auto"/>
          <w:sz w:val="24"/>
        </w:rPr>
      </w:pPr>
      <w:r>
        <w:rPr>
          <w:rFonts w:ascii="宋体" w:eastAsia="宋体" w:hAnsi="宋体" w:cs="宋体" w:hint="eastAsia"/>
          <w:color w:val="auto"/>
          <w:sz w:val="24"/>
        </w:rPr>
        <w:t>6.如果在磋商文件有效期内撤回磋商响应或者有其他违约行为，我方的磋商保证金可被贵方全部或部分没收。</w:t>
      </w:r>
    </w:p>
    <w:p>
      <w:pPr>
        <w:spacing w:line="480" w:lineRule="atLeast"/>
        <w:ind w:firstLine="480" w:firstLineChars="200"/>
        <w:jc w:val="left"/>
        <w:rPr>
          <w:rFonts w:ascii="宋体" w:eastAsia="宋体" w:hAnsi="宋体" w:cs="宋体"/>
          <w:color w:val="auto"/>
          <w:sz w:val="24"/>
        </w:rPr>
      </w:pPr>
      <w:r>
        <w:rPr>
          <w:rFonts w:ascii="宋体" w:eastAsia="宋体" w:hAnsi="宋体" w:cs="宋体" w:hint="eastAsia"/>
          <w:color w:val="auto"/>
          <w:sz w:val="24"/>
        </w:rPr>
        <w:t>7.同意应贵方要求提供与本磋商有关的任何数据或资料。</w:t>
      </w:r>
    </w:p>
    <w:p>
      <w:pPr>
        <w:spacing w:line="480" w:lineRule="atLeast"/>
        <w:ind w:firstLine="480" w:firstLineChars="200"/>
        <w:jc w:val="left"/>
        <w:rPr>
          <w:rFonts w:ascii="宋体" w:eastAsia="宋体" w:hAnsi="宋体" w:cs="宋体"/>
          <w:color w:val="auto"/>
          <w:sz w:val="24"/>
        </w:rPr>
      </w:pPr>
      <w:r>
        <w:rPr>
          <w:rFonts w:ascii="宋体" w:eastAsia="宋体" w:hAnsi="宋体" w:cs="宋体" w:hint="eastAsia"/>
          <w:color w:val="auto"/>
          <w:sz w:val="24"/>
        </w:rPr>
        <w:t>8.我方完全理解贵方不一定要接受最低报价的供应商为成交人的行为。</w:t>
      </w:r>
    </w:p>
    <w:p>
      <w:pPr>
        <w:spacing w:line="480" w:lineRule="atLeast"/>
        <w:ind w:firstLine="480" w:firstLineChars="200"/>
        <w:jc w:val="left"/>
        <w:rPr>
          <w:rFonts w:ascii="宋体" w:eastAsia="宋体" w:hAnsi="宋体" w:cs="宋体"/>
          <w:color w:val="auto"/>
          <w:sz w:val="24"/>
        </w:rPr>
      </w:pPr>
      <w:r>
        <w:rPr>
          <w:rFonts w:ascii="宋体" w:eastAsia="宋体" w:hAnsi="宋体" w:cs="宋体" w:hint="eastAsia"/>
          <w:color w:val="auto"/>
          <w:sz w:val="24"/>
        </w:rPr>
        <w:t>9.若贵方需要，我方愿意提供我方作出的一切承诺的证明材料。</w:t>
      </w:r>
    </w:p>
    <w:p>
      <w:pPr>
        <w:snapToGrid w:val="0"/>
        <w:spacing w:line="360" w:lineRule="auto"/>
        <w:ind w:right="140"/>
        <w:jc w:val="left"/>
        <w:rPr>
          <w:rFonts w:ascii="宋体" w:eastAsia="宋体" w:hAnsi="宋体" w:cs="宋体"/>
          <w:snapToGrid w:val="0"/>
          <w:color w:val="auto"/>
          <w:kern w:val="0"/>
          <w:sz w:val="24"/>
        </w:rPr>
      </w:pPr>
    </w:p>
    <w:p>
      <w:pPr>
        <w:snapToGrid w:val="0"/>
        <w:spacing w:line="360" w:lineRule="auto"/>
        <w:ind w:right="140"/>
        <w:jc w:val="left"/>
        <w:rPr>
          <w:rFonts w:ascii="宋体" w:eastAsia="宋体" w:hAnsi="宋体" w:cs="宋体"/>
          <w:snapToGrid w:val="0"/>
          <w:color w:val="auto"/>
          <w:kern w:val="0"/>
          <w:sz w:val="24"/>
        </w:rPr>
      </w:pPr>
      <w:r>
        <w:rPr>
          <w:rFonts w:ascii="宋体" w:eastAsia="宋体" w:hAnsi="宋体" w:cs="宋体" w:hint="eastAsia"/>
          <w:snapToGrid w:val="0"/>
          <w:color w:val="auto"/>
          <w:kern w:val="0"/>
          <w:sz w:val="24"/>
        </w:rPr>
        <w:t>供应商名称：</w:t>
      </w:r>
      <w:r>
        <w:rPr>
          <w:rFonts w:ascii="宋体" w:eastAsia="宋体" w:hAnsi="宋体" w:cs="宋体" w:hint="eastAsia"/>
          <w:snapToGrid w:val="0"/>
          <w:color w:val="auto"/>
          <w:kern w:val="0"/>
          <w:sz w:val="24"/>
          <w:u w:val="single"/>
        </w:rPr>
        <w:t xml:space="preserve">        （全称）              </w:t>
      </w:r>
      <w:r>
        <w:rPr>
          <w:rFonts w:ascii="宋体" w:eastAsia="宋体" w:hAnsi="宋体" w:cs="宋体" w:hint="eastAsia"/>
          <w:snapToGrid w:val="0"/>
          <w:color w:val="auto"/>
          <w:kern w:val="0"/>
          <w:sz w:val="24"/>
        </w:rPr>
        <w:t>（电子签章）</w:t>
      </w:r>
      <w:r>
        <w:rPr>
          <w:rFonts w:ascii="宋体" w:eastAsia="宋体" w:hAnsi="宋体" w:cs="宋体" w:hint="eastAsia"/>
          <w:color w:val="auto"/>
          <w:kern w:val="0"/>
          <w:sz w:val="24"/>
        </w:rPr>
        <w:t xml:space="preserve">   </w:t>
      </w:r>
    </w:p>
    <w:p>
      <w:pPr>
        <w:widowControl/>
        <w:spacing w:line="480" w:lineRule="atLeast"/>
        <w:rPr>
          <w:rFonts w:ascii="宋体" w:eastAsia="宋体" w:hAnsi="宋体" w:cs="宋体"/>
          <w:color w:val="auto"/>
          <w:kern w:val="0"/>
          <w:sz w:val="24"/>
          <w:u w:val="single"/>
        </w:rPr>
      </w:pPr>
      <w:r>
        <w:rPr>
          <w:rFonts w:ascii="宋体" w:eastAsia="宋体" w:hAnsi="宋体" w:cs="宋体" w:hint="eastAsia"/>
          <w:color w:val="auto"/>
          <w:kern w:val="0"/>
          <w:sz w:val="24"/>
        </w:rPr>
        <w:t>地址：</w:t>
      </w:r>
      <w:r>
        <w:rPr>
          <w:rFonts w:ascii="宋体" w:eastAsia="宋体" w:hAnsi="宋体" w:cs="宋体" w:hint="eastAsia"/>
          <w:color w:val="auto"/>
          <w:kern w:val="0"/>
          <w:sz w:val="24"/>
          <w:u w:val="single"/>
        </w:rPr>
        <w:t xml:space="preserve">                                     </w:t>
      </w:r>
    </w:p>
    <w:p>
      <w:pPr>
        <w:widowControl/>
        <w:spacing w:line="480" w:lineRule="atLeast"/>
        <w:rPr>
          <w:rFonts w:ascii="宋体" w:eastAsia="宋体" w:hAnsi="宋体" w:cs="宋体"/>
          <w:color w:val="auto"/>
          <w:kern w:val="0"/>
          <w:sz w:val="24"/>
        </w:rPr>
      </w:pPr>
      <w:r>
        <w:rPr>
          <w:rFonts w:ascii="宋体" w:eastAsia="宋体" w:hAnsi="宋体" w:cs="宋体" w:hint="eastAsia"/>
          <w:snapToGrid w:val="0"/>
          <w:color w:val="auto"/>
          <w:kern w:val="0"/>
          <w:sz w:val="24"/>
        </w:rPr>
        <w:t>法定代表人或委托代理人：</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（电子签章或电子印章）</w:t>
      </w:r>
      <w:r>
        <w:rPr>
          <w:rFonts w:ascii="宋体" w:eastAsia="宋体" w:hAnsi="宋体" w:cs="宋体" w:hint="eastAsia"/>
          <w:color w:val="auto"/>
          <w:kern w:val="0"/>
          <w:sz w:val="24"/>
        </w:rPr>
        <w:t xml:space="preserve">     </w:t>
      </w:r>
    </w:p>
    <w:p>
      <w:pPr>
        <w:widowControl/>
        <w:spacing w:line="480" w:lineRule="atLeast"/>
        <w:rPr>
          <w:rFonts w:ascii="宋体" w:eastAsia="宋体" w:hAnsi="宋体" w:cs="宋体"/>
          <w:color w:val="auto"/>
          <w:kern w:val="0"/>
          <w:sz w:val="24"/>
          <w:u w:val="single"/>
        </w:rPr>
      </w:pPr>
      <w:r>
        <w:rPr>
          <w:rFonts w:ascii="宋体" w:eastAsia="宋体" w:hAnsi="宋体" w:cs="宋体" w:hint="eastAsia"/>
          <w:color w:val="auto"/>
          <w:kern w:val="0"/>
          <w:sz w:val="24"/>
        </w:rPr>
        <w:t>电话：</w:t>
      </w:r>
      <w:r>
        <w:rPr>
          <w:rFonts w:ascii="宋体" w:eastAsia="宋体" w:hAnsi="宋体" w:cs="宋体" w:hint="eastAsia"/>
          <w:color w:val="auto"/>
          <w:kern w:val="0"/>
          <w:sz w:val="24"/>
          <w:u w:val="single"/>
        </w:rPr>
        <w:t xml:space="preserve">                 </w:t>
      </w:r>
    </w:p>
    <w:p>
      <w:pPr>
        <w:widowControl/>
        <w:spacing w:line="480" w:lineRule="atLeast"/>
        <w:rPr>
          <w:rFonts w:ascii="宋体" w:eastAsia="宋体" w:hAnsi="宋体" w:cs="宋体"/>
          <w:b/>
          <w:bCs/>
          <w:color w:val="auto"/>
          <w:kern w:val="0"/>
          <w:sz w:val="28"/>
          <w:szCs w:val="28"/>
        </w:rPr>
      </w:pPr>
      <w:r>
        <w:rPr>
          <w:rFonts w:ascii="宋体" w:eastAsia="宋体" w:hAnsi="宋体" w:cs="宋体" w:hint="eastAsia"/>
          <w:color w:val="auto"/>
          <w:kern w:val="0"/>
          <w:sz w:val="24"/>
        </w:rPr>
        <w:t>日期：</w:t>
      </w:r>
      <w:r>
        <w:rPr>
          <w:rFonts w:ascii="宋体" w:eastAsia="宋体" w:hAnsi="宋体" w:cs="宋体" w:hint="eastAsia"/>
          <w:color w:val="auto"/>
          <w:kern w:val="0"/>
          <w:sz w:val="24"/>
          <w:u w:val="single"/>
        </w:rPr>
        <w:t xml:space="preserve">     </w:t>
      </w:r>
      <w:r>
        <w:rPr>
          <w:rFonts w:ascii="宋体" w:eastAsia="宋体" w:hAnsi="宋体" w:cs="宋体" w:hint="eastAsia"/>
          <w:color w:val="auto"/>
          <w:kern w:val="0"/>
          <w:sz w:val="24"/>
        </w:rPr>
        <w:t>年</w:t>
      </w:r>
      <w:r>
        <w:rPr>
          <w:rFonts w:ascii="宋体" w:eastAsia="宋体" w:hAnsi="宋体" w:cs="宋体" w:hint="eastAsia"/>
          <w:color w:val="auto"/>
          <w:kern w:val="0"/>
          <w:sz w:val="24"/>
          <w:u w:val="single"/>
        </w:rPr>
        <w:t xml:space="preserve">    </w:t>
      </w:r>
      <w:r>
        <w:rPr>
          <w:rFonts w:ascii="宋体" w:eastAsia="宋体" w:hAnsi="宋体" w:cs="宋体" w:hint="eastAsia"/>
          <w:color w:val="auto"/>
          <w:kern w:val="0"/>
          <w:sz w:val="24"/>
        </w:rPr>
        <w:t>月</w:t>
      </w:r>
      <w:r>
        <w:rPr>
          <w:rFonts w:ascii="宋体" w:eastAsia="宋体" w:hAnsi="宋体" w:cs="宋体" w:hint="eastAsia"/>
          <w:color w:val="auto"/>
          <w:kern w:val="0"/>
          <w:sz w:val="24"/>
          <w:u w:val="single"/>
        </w:rPr>
        <w:t xml:space="preserve">    </w:t>
      </w:r>
      <w:r>
        <w:rPr>
          <w:rFonts w:ascii="宋体" w:eastAsia="宋体" w:hAnsi="宋体" w:cs="宋体" w:hint="eastAsia"/>
          <w:color w:val="auto"/>
          <w:kern w:val="0"/>
          <w:sz w:val="24"/>
        </w:rPr>
        <w:t>日</w:t>
      </w:r>
      <w:bookmarkStart w:id="99" w:name="_Toc78603131"/>
      <w:bookmarkStart w:id="100" w:name="_Toc483313498"/>
    </w:p>
    <w:p>
      <w:pPr>
        <w:widowControl/>
        <w:spacing w:line="408" w:lineRule="auto"/>
        <w:jc w:val="center"/>
        <w:outlineLvl w:val="0"/>
        <w:rPr>
          <w:rFonts w:ascii="宋体" w:eastAsia="宋体" w:hAnsi="宋体" w:cs="宋体"/>
          <w:b/>
          <w:bCs/>
          <w:color w:val="auto"/>
          <w:kern w:val="0"/>
          <w:sz w:val="28"/>
          <w:szCs w:val="28"/>
        </w:rPr>
      </w:pPr>
      <w:r>
        <w:rPr>
          <w:rFonts w:ascii="宋体" w:eastAsia="宋体" w:hAnsi="宋体" w:cs="宋体" w:hint="eastAsia"/>
          <w:b/>
          <w:bCs/>
          <w:color w:val="auto"/>
          <w:kern w:val="0"/>
          <w:sz w:val="28"/>
          <w:szCs w:val="28"/>
        </w:rPr>
        <w:br w:type="page"/>
      </w:r>
      <w:bookmarkStart w:id="101" w:name="_Toc23761"/>
      <w:r>
        <w:rPr>
          <w:rFonts w:ascii="宋体" w:eastAsia="宋体" w:hAnsi="宋体" w:cs="宋体" w:hint="eastAsia"/>
          <w:b/>
          <w:bCs/>
          <w:color w:val="auto"/>
          <w:kern w:val="0"/>
          <w:sz w:val="28"/>
          <w:szCs w:val="28"/>
        </w:rPr>
        <w:t>三、磋商保证书</w:t>
      </w:r>
      <w:bookmarkEnd w:id="99"/>
      <w:bookmarkEnd w:id="100"/>
      <w:bookmarkEnd w:id="101"/>
    </w:p>
    <w:p>
      <w:pPr>
        <w:spacing w:after="120" w:line="500" w:lineRule="exact"/>
        <w:rPr>
          <w:rFonts w:ascii="宋体" w:eastAsia="宋体" w:hAnsi="宋体" w:cs="宋体"/>
          <w:color w:val="auto"/>
          <w:sz w:val="24"/>
        </w:rPr>
      </w:pPr>
      <w:r>
        <w:rPr>
          <w:rFonts w:ascii="宋体" w:eastAsia="宋体" w:hAnsi="宋体" w:cs="宋体" w:hint="eastAsia"/>
          <w:color w:val="auto"/>
          <w:kern w:val="0"/>
          <w:sz w:val="24"/>
        </w:rPr>
        <w:t>致</w:t>
      </w:r>
      <w:r>
        <w:rPr>
          <w:rFonts w:ascii="宋体" w:eastAsia="宋体" w:hAnsi="宋体" w:cs="宋体" w:hint="eastAsia"/>
          <w:color w:val="auto"/>
          <w:kern w:val="0"/>
          <w:sz w:val="24"/>
          <w:u w:val="single"/>
          <w:lang w:eastAsia="zh-CN"/>
        </w:rPr>
        <w:t>西双版纳傣族自治州消防救援支队</w:t>
      </w:r>
      <w:r>
        <w:rPr>
          <w:rFonts w:ascii="宋体" w:eastAsia="宋体" w:hAnsi="宋体" w:cs="宋体" w:hint="eastAsia"/>
          <w:color w:val="auto"/>
          <w:kern w:val="0"/>
          <w:sz w:val="24"/>
          <w:u w:val="single"/>
        </w:rPr>
        <w:t>、旺和招标咨询有限公司</w:t>
      </w:r>
      <w:r>
        <w:rPr>
          <w:rFonts w:ascii="宋体" w:eastAsia="宋体" w:hAnsi="宋体" w:cs="宋体" w:hint="eastAsia"/>
          <w:color w:val="auto"/>
          <w:kern w:val="0"/>
          <w:sz w:val="24"/>
        </w:rPr>
        <w:t>：</w:t>
      </w:r>
    </w:p>
    <w:p>
      <w:pPr>
        <w:spacing w:before="60" w:after="60" w:line="500" w:lineRule="exact"/>
        <w:ind w:firstLine="510"/>
        <w:rPr>
          <w:rFonts w:ascii="宋体" w:eastAsia="宋体" w:hAnsi="宋体" w:cs="宋体"/>
          <w:color w:val="auto"/>
          <w:sz w:val="24"/>
        </w:rPr>
      </w:pPr>
      <w:r>
        <w:rPr>
          <w:rFonts w:ascii="宋体" w:eastAsia="宋体" w:hAnsi="宋体" w:cs="宋体" w:hint="eastAsia"/>
          <w:color w:val="auto"/>
          <w:sz w:val="24"/>
        </w:rPr>
        <w:t>本书作为__________</w:t>
      </w:r>
      <w:r>
        <w:rPr>
          <w:rFonts w:ascii="宋体" w:eastAsia="宋体" w:hAnsi="宋体" w:cs="宋体" w:hint="eastAsia"/>
          <w:color w:val="auto"/>
          <w:sz w:val="24"/>
          <w:u w:val="single"/>
        </w:rPr>
        <w:t>__(供应商)</w:t>
      </w:r>
      <w:r>
        <w:rPr>
          <w:rFonts w:ascii="宋体" w:eastAsia="宋体" w:hAnsi="宋体" w:cs="宋体" w:hint="eastAsia"/>
          <w:color w:val="auto"/>
          <w:sz w:val="24"/>
        </w:rPr>
        <w:t>对</w:t>
      </w:r>
      <w:r>
        <w:rPr>
          <w:rFonts w:ascii="宋体" w:eastAsia="宋体" w:hAnsi="宋体" w:cs="宋体" w:hint="eastAsia"/>
          <w:bCs/>
          <w:color w:val="auto"/>
          <w:sz w:val="24"/>
          <w:u w:val="single"/>
        </w:rPr>
        <w:t xml:space="preserve">（项目名称）  </w:t>
      </w:r>
      <w:r>
        <w:rPr>
          <w:rFonts w:ascii="宋体" w:eastAsia="宋体" w:hAnsi="宋体" w:cs="宋体" w:hint="eastAsia"/>
          <w:color w:val="auto"/>
          <w:sz w:val="24"/>
        </w:rPr>
        <w:t>(项目编号：)的磋商提供磋商保证金的保证。</w:t>
      </w:r>
    </w:p>
    <w:p>
      <w:pPr>
        <w:spacing w:line="480" w:lineRule="exact"/>
        <w:ind w:firstLine="510"/>
        <w:rPr>
          <w:rFonts w:ascii="宋体" w:eastAsia="宋体" w:hAnsi="宋体" w:cs="宋体"/>
          <w:color w:val="auto"/>
          <w:sz w:val="24"/>
        </w:rPr>
      </w:pPr>
      <w:r>
        <w:rPr>
          <w:rFonts w:ascii="宋体" w:eastAsia="宋体" w:hAnsi="宋体" w:cs="宋体" w:hint="eastAsia"/>
          <w:color w:val="auto"/>
          <w:sz w:val="24"/>
        </w:rPr>
        <w:t>由____________(开户银行名称)提供的_______(填磋商保证金形式)总额为（大写：）（￥：</w:t>
      </w:r>
      <w:r>
        <w:rPr>
          <w:rFonts w:ascii="宋体" w:eastAsia="宋体" w:hAnsi="宋体" w:cs="宋体" w:hint="eastAsia"/>
          <w:color w:val="auto"/>
          <w:sz w:val="24"/>
          <w:u w:val="single"/>
        </w:rPr>
        <w:t xml:space="preserve">             元</w:t>
      </w:r>
      <w:r>
        <w:rPr>
          <w:rFonts w:ascii="宋体" w:eastAsia="宋体" w:hAnsi="宋体" w:cs="宋体" w:hint="eastAsia"/>
          <w:color w:val="auto"/>
          <w:sz w:val="24"/>
        </w:rPr>
        <w:t xml:space="preserve"> ）。</w:t>
      </w:r>
    </w:p>
    <w:p>
      <w:pPr>
        <w:spacing w:line="480" w:lineRule="exact"/>
        <w:ind w:firstLine="510"/>
        <w:rPr>
          <w:rFonts w:ascii="宋体" w:eastAsia="宋体" w:hAnsi="宋体" w:cs="宋体"/>
          <w:color w:val="auto"/>
          <w:sz w:val="24"/>
        </w:rPr>
      </w:pPr>
      <w:r>
        <w:rPr>
          <w:rFonts w:ascii="宋体" w:eastAsia="宋体" w:hAnsi="宋体" w:cs="宋体" w:hint="eastAsia"/>
          <w:color w:val="auto"/>
          <w:sz w:val="24"/>
        </w:rPr>
        <w:t>一旦发生下述行为，我单位（或公司）将放弃追索保证金的权利：</w:t>
      </w:r>
    </w:p>
    <w:p>
      <w:pPr>
        <w:widowControl/>
        <w:shd w:val="clear" w:color="000000" w:fill="auto"/>
        <w:spacing w:line="480" w:lineRule="exact"/>
        <w:ind w:firstLine="480" w:firstLineChars="200"/>
        <w:rPr>
          <w:rFonts w:ascii="宋体" w:eastAsia="宋体" w:hAnsi="宋体" w:cs="宋体"/>
          <w:color w:val="auto"/>
          <w:sz w:val="24"/>
        </w:rPr>
      </w:pPr>
      <w:r>
        <w:rPr>
          <w:rFonts w:ascii="宋体" w:eastAsia="宋体" w:hAnsi="宋体" w:cs="宋体" w:hint="eastAsia"/>
          <w:color w:val="auto"/>
          <w:sz w:val="24"/>
        </w:rPr>
        <w:t>（1）在提交响应文件截止时间后撤回响应文件的；</w:t>
      </w:r>
    </w:p>
    <w:p>
      <w:pPr>
        <w:shd w:val="clear" w:color="000000" w:fill="auto"/>
        <w:spacing w:line="480" w:lineRule="exact"/>
        <w:ind w:firstLine="480" w:firstLineChars="200"/>
        <w:rPr>
          <w:rFonts w:ascii="宋体" w:eastAsia="宋体" w:hAnsi="宋体" w:cs="宋体"/>
          <w:color w:val="auto"/>
          <w:sz w:val="24"/>
        </w:rPr>
      </w:pPr>
      <w:r>
        <w:rPr>
          <w:rFonts w:ascii="宋体" w:eastAsia="宋体" w:hAnsi="宋体" w:cs="宋体" w:hint="eastAsia"/>
          <w:color w:val="auto"/>
          <w:sz w:val="24"/>
        </w:rPr>
        <w:t>（2）在响应文件中提供虚假材料的；</w:t>
      </w:r>
    </w:p>
    <w:p>
      <w:pPr>
        <w:shd w:val="clear" w:color="000000" w:fill="auto"/>
        <w:spacing w:line="480" w:lineRule="exact"/>
        <w:ind w:firstLine="480" w:firstLineChars="200"/>
        <w:rPr>
          <w:rFonts w:ascii="宋体" w:eastAsia="宋体" w:hAnsi="宋体" w:cs="宋体"/>
          <w:color w:val="auto"/>
          <w:sz w:val="24"/>
        </w:rPr>
      </w:pPr>
      <w:r>
        <w:rPr>
          <w:rFonts w:ascii="宋体" w:eastAsia="宋体" w:hAnsi="宋体" w:cs="宋体" w:hint="eastAsia"/>
          <w:color w:val="auto"/>
          <w:sz w:val="24"/>
        </w:rPr>
        <w:t>（3）除因不可抗力或竞争性磋商文件认可的情形以外，不与采购人签订合同的；</w:t>
      </w:r>
    </w:p>
    <w:p>
      <w:pPr>
        <w:shd w:val="clear" w:color="000000" w:fill="auto"/>
        <w:spacing w:line="480" w:lineRule="exact"/>
        <w:ind w:firstLine="480" w:firstLineChars="200"/>
        <w:rPr>
          <w:rFonts w:ascii="宋体" w:eastAsia="宋体" w:hAnsi="宋体" w:cs="宋体"/>
          <w:color w:val="auto"/>
          <w:sz w:val="24"/>
        </w:rPr>
      </w:pPr>
      <w:r>
        <w:rPr>
          <w:rFonts w:ascii="宋体" w:eastAsia="宋体" w:hAnsi="宋体" w:cs="宋体" w:hint="eastAsia"/>
          <w:color w:val="auto"/>
          <w:sz w:val="24"/>
        </w:rPr>
        <w:t>（4）与采购人、其他供应商或者采购代理机构恶意串通的。</w:t>
      </w:r>
    </w:p>
    <w:p>
      <w:pPr>
        <w:spacing w:line="480" w:lineRule="exact"/>
        <w:ind w:firstLine="510"/>
        <w:rPr>
          <w:rFonts w:ascii="宋体" w:eastAsia="宋体" w:hAnsi="宋体" w:cs="宋体"/>
          <w:color w:val="auto"/>
          <w:sz w:val="24"/>
        </w:rPr>
      </w:pPr>
      <w:r>
        <w:rPr>
          <w:rFonts w:ascii="宋体" w:eastAsia="宋体" w:hAnsi="宋体" w:cs="宋体" w:hint="eastAsia"/>
          <w:color w:val="auto"/>
          <w:sz w:val="24"/>
        </w:rPr>
        <w:t>本磋商保证金保证书自磋商之日起日有效，除非贵方提前终止或解除本保证书。</w:t>
      </w:r>
    </w:p>
    <w:p>
      <w:pPr>
        <w:spacing w:before="60" w:after="60" w:line="500" w:lineRule="exact"/>
        <w:rPr>
          <w:rFonts w:ascii="宋体" w:eastAsia="宋体" w:hAnsi="宋体" w:cs="宋体"/>
          <w:color w:val="auto"/>
          <w:sz w:val="24"/>
        </w:rPr>
      </w:pPr>
    </w:p>
    <w:p>
      <w:pPr>
        <w:spacing w:before="60" w:after="60" w:line="500" w:lineRule="exact"/>
        <w:ind w:firstLine="510"/>
        <w:rPr>
          <w:rFonts w:ascii="宋体" w:eastAsia="宋体" w:hAnsi="宋体" w:cs="宋体"/>
          <w:color w:val="auto"/>
          <w:kern w:val="0"/>
          <w:sz w:val="24"/>
        </w:rPr>
      </w:pPr>
      <w:r>
        <w:rPr>
          <w:rFonts w:ascii="宋体" w:eastAsia="宋体" w:hAnsi="宋体" w:cs="宋体" w:hint="eastAsia"/>
          <w:snapToGrid w:val="0"/>
          <w:color w:val="auto"/>
          <w:kern w:val="0"/>
          <w:sz w:val="24"/>
        </w:rPr>
        <w:t>供应商名称：</w:t>
      </w:r>
      <w:r>
        <w:rPr>
          <w:rFonts w:ascii="宋体" w:eastAsia="宋体" w:hAnsi="宋体" w:cs="宋体" w:hint="eastAsia"/>
          <w:snapToGrid w:val="0"/>
          <w:color w:val="auto"/>
          <w:kern w:val="0"/>
          <w:sz w:val="24"/>
          <w:u w:val="single"/>
        </w:rPr>
        <w:t xml:space="preserve">        （全称）              </w:t>
      </w:r>
      <w:r>
        <w:rPr>
          <w:rFonts w:ascii="宋体" w:eastAsia="宋体" w:hAnsi="宋体" w:cs="宋体" w:hint="eastAsia"/>
          <w:snapToGrid w:val="0"/>
          <w:color w:val="auto"/>
          <w:kern w:val="0"/>
          <w:sz w:val="24"/>
        </w:rPr>
        <w:t>（电子签章）</w:t>
      </w:r>
      <w:r>
        <w:rPr>
          <w:rFonts w:ascii="宋体" w:eastAsia="宋体" w:hAnsi="宋体" w:cs="宋体" w:hint="eastAsia"/>
          <w:color w:val="auto"/>
          <w:kern w:val="0"/>
          <w:sz w:val="24"/>
        </w:rPr>
        <w:t xml:space="preserve">  </w:t>
      </w:r>
    </w:p>
    <w:p>
      <w:pPr>
        <w:spacing w:before="60" w:after="60" w:line="500" w:lineRule="exact"/>
        <w:ind w:firstLine="510"/>
        <w:rPr>
          <w:rFonts w:ascii="宋体" w:eastAsia="宋体" w:hAnsi="宋体" w:cs="宋体"/>
          <w:color w:val="auto"/>
          <w:kern w:val="0"/>
          <w:sz w:val="24"/>
        </w:rPr>
      </w:pPr>
      <w:r>
        <w:rPr>
          <w:rFonts w:ascii="宋体" w:eastAsia="宋体" w:hAnsi="宋体" w:cs="宋体" w:hint="eastAsia"/>
          <w:snapToGrid w:val="0"/>
          <w:color w:val="auto"/>
          <w:kern w:val="0"/>
          <w:sz w:val="24"/>
        </w:rPr>
        <w:t>法定代表人或委托代理人：</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（电子签章或电子印章）</w:t>
      </w:r>
      <w:r>
        <w:rPr>
          <w:rFonts w:ascii="宋体" w:eastAsia="宋体" w:hAnsi="宋体" w:cs="宋体" w:hint="eastAsia"/>
          <w:color w:val="auto"/>
          <w:kern w:val="0"/>
          <w:sz w:val="24"/>
        </w:rPr>
        <w:t xml:space="preserve">  </w:t>
      </w:r>
    </w:p>
    <w:p>
      <w:pPr>
        <w:spacing w:before="60" w:after="60" w:line="500" w:lineRule="exact"/>
        <w:ind w:firstLine="510"/>
        <w:rPr>
          <w:rFonts w:ascii="宋体" w:eastAsia="宋体" w:hAnsi="宋体" w:cs="宋体"/>
          <w:color w:val="auto"/>
          <w:sz w:val="24"/>
          <w:u w:val="single"/>
        </w:rPr>
      </w:pPr>
      <w:r>
        <w:rPr>
          <w:rFonts w:ascii="宋体" w:eastAsia="宋体" w:hAnsi="宋体" w:cs="宋体" w:hint="eastAsia"/>
          <w:color w:val="auto"/>
          <w:sz w:val="24"/>
        </w:rPr>
        <w:t>开户银行：</w:t>
      </w:r>
      <w:r>
        <w:rPr>
          <w:rFonts w:ascii="宋体" w:eastAsia="宋体" w:hAnsi="宋体" w:cs="宋体" w:hint="eastAsia"/>
          <w:color w:val="auto"/>
          <w:sz w:val="24"/>
          <w:u w:val="single"/>
        </w:rPr>
        <w:t>___________________</w:t>
      </w:r>
      <w:r>
        <w:rPr>
          <w:rFonts w:ascii="宋体" w:eastAsia="宋体" w:hAnsi="宋体" w:cs="宋体" w:hint="eastAsia"/>
          <w:color w:val="auto"/>
          <w:sz w:val="24"/>
        </w:rPr>
        <w:t>账号：</w:t>
      </w:r>
      <w:r>
        <w:rPr>
          <w:rFonts w:ascii="宋体" w:eastAsia="宋体" w:hAnsi="宋体" w:cs="宋体" w:hint="eastAsia"/>
          <w:color w:val="auto"/>
          <w:sz w:val="24"/>
          <w:u w:val="single"/>
        </w:rPr>
        <w:t>_____________________</w:t>
      </w:r>
    </w:p>
    <w:p>
      <w:pPr>
        <w:spacing w:before="60" w:after="60" w:line="500" w:lineRule="exact"/>
        <w:ind w:firstLine="510"/>
        <w:rPr>
          <w:rFonts w:ascii="宋体" w:eastAsia="宋体" w:hAnsi="宋体" w:cs="宋体"/>
          <w:color w:val="auto"/>
          <w:sz w:val="24"/>
        </w:rPr>
      </w:pPr>
      <w:r>
        <w:rPr>
          <w:rFonts w:ascii="宋体" w:eastAsia="宋体" w:hAnsi="宋体" w:cs="宋体" w:hint="eastAsia"/>
          <w:color w:val="auto"/>
          <w:sz w:val="24"/>
        </w:rPr>
        <w:t>日期：</w:t>
      </w:r>
      <w:r>
        <w:rPr>
          <w:rFonts w:ascii="宋体" w:eastAsia="宋体" w:hAnsi="宋体" w:cs="宋体" w:hint="eastAsia"/>
          <w:color w:val="auto"/>
          <w:sz w:val="24"/>
          <w:u w:val="single"/>
        </w:rPr>
        <w:t>_______</w:t>
      </w:r>
      <w:r>
        <w:rPr>
          <w:rFonts w:ascii="宋体" w:eastAsia="宋体" w:hAnsi="宋体" w:cs="宋体" w:hint="eastAsia"/>
          <w:color w:val="auto"/>
          <w:sz w:val="24"/>
        </w:rPr>
        <w:t>年</w:t>
      </w:r>
      <w:r>
        <w:rPr>
          <w:rFonts w:ascii="宋体" w:eastAsia="宋体" w:hAnsi="宋体" w:cs="宋体" w:hint="eastAsia"/>
          <w:color w:val="auto"/>
          <w:sz w:val="24"/>
          <w:u w:val="single"/>
        </w:rPr>
        <w:t>____</w:t>
      </w:r>
      <w:r>
        <w:rPr>
          <w:rFonts w:ascii="宋体" w:eastAsia="宋体" w:hAnsi="宋体" w:cs="宋体" w:hint="eastAsia"/>
          <w:color w:val="auto"/>
          <w:sz w:val="24"/>
        </w:rPr>
        <w:t>月</w:t>
      </w:r>
      <w:r>
        <w:rPr>
          <w:rFonts w:ascii="宋体" w:eastAsia="宋体" w:hAnsi="宋体" w:cs="宋体" w:hint="eastAsia"/>
          <w:color w:val="auto"/>
          <w:sz w:val="24"/>
          <w:u w:val="single"/>
        </w:rPr>
        <w:t>_____</w:t>
      </w:r>
      <w:r>
        <w:rPr>
          <w:rFonts w:ascii="宋体" w:eastAsia="宋体" w:hAnsi="宋体" w:cs="宋体" w:hint="eastAsia"/>
          <w:color w:val="auto"/>
          <w:sz w:val="24"/>
        </w:rPr>
        <w:t>日</w:t>
      </w:r>
    </w:p>
    <w:p>
      <w:pPr>
        <w:widowControl/>
        <w:spacing w:line="440" w:lineRule="exact"/>
        <w:ind w:firstLine="560" w:firstLineChars="200"/>
        <w:rPr>
          <w:rFonts w:ascii="宋体" w:eastAsia="宋体" w:hAnsi="宋体" w:cs="宋体"/>
          <w:color w:val="auto"/>
          <w:kern w:val="0"/>
          <w:sz w:val="28"/>
          <w:szCs w:val="28"/>
        </w:rPr>
      </w:pPr>
    </w:p>
    <w:p>
      <w:pPr>
        <w:snapToGrid w:val="0"/>
        <w:spacing w:line="360" w:lineRule="auto"/>
        <w:ind w:right="140"/>
        <w:jc w:val="left"/>
        <w:rPr>
          <w:rFonts w:ascii="宋体" w:eastAsia="宋体" w:hAnsi="宋体" w:cs="宋体"/>
          <w:snapToGrid w:val="0"/>
          <w:color w:val="auto"/>
          <w:kern w:val="0"/>
          <w:sz w:val="24"/>
        </w:rPr>
      </w:pPr>
    </w:p>
    <w:p>
      <w:pPr>
        <w:widowControl/>
        <w:ind w:firstLine="560" w:firstLineChars="200"/>
        <w:rPr>
          <w:rFonts w:ascii="宋体" w:eastAsia="宋体" w:hAnsi="宋体" w:cs="宋体"/>
          <w:color w:val="auto"/>
          <w:kern w:val="0"/>
          <w:sz w:val="28"/>
          <w:szCs w:val="28"/>
        </w:rPr>
      </w:pPr>
    </w:p>
    <w:p>
      <w:pPr>
        <w:spacing w:line="500" w:lineRule="exact"/>
        <w:ind w:firstLine="280" w:firstLineChars="100"/>
        <w:jc w:val="center"/>
        <w:outlineLvl w:val="0"/>
        <w:rPr>
          <w:rFonts w:ascii="宋体" w:eastAsia="宋体" w:hAnsi="宋体" w:cs="宋体"/>
          <w:b/>
          <w:color w:val="auto"/>
          <w:sz w:val="28"/>
          <w:szCs w:val="28"/>
        </w:rPr>
      </w:pPr>
      <w:bookmarkStart w:id="102" w:name="_Toc291253764"/>
      <w:bookmarkStart w:id="103" w:name="_Toc293921835"/>
      <w:r>
        <w:rPr>
          <w:rFonts w:ascii="宋体" w:eastAsia="宋体" w:hAnsi="宋体" w:cs="宋体" w:hint="eastAsia"/>
          <w:b/>
          <w:color w:val="auto"/>
          <w:sz w:val="28"/>
          <w:szCs w:val="28"/>
        </w:rPr>
        <w:br w:type="page"/>
      </w:r>
      <w:bookmarkStart w:id="104" w:name="_Toc1124"/>
      <w:r>
        <w:rPr>
          <w:rFonts w:ascii="宋体" w:eastAsia="宋体" w:hAnsi="宋体" w:cs="宋体" w:hint="eastAsia"/>
          <w:b/>
          <w:color w:val="auto"/>
          <w:sz w:val="28"/>
          <w:szCs w:val="28"/>
        </w:rPr>
        <w:t>四、法定代表人身份证明书</w:t>
      </w:r>
      <w:bookmarkEnd w:id="102"/>
      <w:bookmarkEnd w:id="103"/>
      <w:bookmarkEnd w:id="104"/>
    </w:p>
    <w:p>
      <w:pPr>
        <w:spacing w:line="500" w:lineRule="exact"/>
        <w:ind w:firstLine="280" w:firstLineChars="100"/>
        <w:jc w:val="center"/>
        <w:rPr>
          <w:rFonts w:ascii="宋体" w:eastAsia="宋体" w:hAnsi="宋体" w:cs="宋体"/>
          <w:b/>
          <w:color w:val="auto"/>
          <w:sz w:val="28"/>
          <w:szCs w:val="28"/>
        </w:rPr>
      </w:pPr>
    </w:p>
    <w:p>
      <w:pPr>
        <w:spacing w:line="480" w:lineRule="auto"/>
        <w:rPr>
          <w:rFonts w:ascii="宋体" w:eastAsia="宋体" w:hAnsi="宋体" w:cs="宋体"/>
          <w:color w:val="auto"/>
          <w:sz w:val="24"/>
          <w:u w:val="single"/>
        </w:rPr>
      </w:pPr>
      <w:bookmarkStart w:id="105" w:name="_Toc293921836"/>
      <w:bookmarkStart w:id="106" w:name="_Toc234588862"/>
      <w:r>
        <w:rPr>
          <w:rFonts w:ascii="宋体" w:eastAsia="宋体" w:hAnsi="宋体" w:cs="宋体" w:hint="eastAsia"/>
          <w:color w:val="auto"/>
          <w:sz w:val="24"/>
        </w:rPr>
        <w:t>单 位 名 称：</w:t>
      </w:r>
      <w:r>
        <w:rPr>
          <w:rFonts w:ascii="宋体" w:eastAsia="宋体" w:hAnsi="宋体" w:cs="宋体" w:hint="eastAsia"/>
          <w:color w:val="auto"/>
          <w:sz w:val="24"/>
          <w:u w:val="single"/>
        </w:rPr>
        <w:t xml:space="preserve">                              </w:t>
      </w:r>
    </w:p>
    <w:p>
      <w:pPr>
        <w:spacing w:line="480" w:lineRule="auto"/>
        <w:rPr>
          <w:rFonts w:ascii="宋体" w:eastAsia="宋体" w:hAnsi="宋体" w:cs="宋体"/>
          <w:color w:val="auto"/>
          <w:sz w:val="24"/>
          <w:u w:val="single"/>
        </w:rPr>
      </w:pPr>
      <w:r>
        <w:rPr>
          <w:rFonts w:ascii="宋体" w:eastAsia="宋体" w:hAnsi="宋体" w:cs="宋体" w:hint="eastAsia"/>
          <w:color w:val="auto"/>
          <w:sz w:val="24"/>
        </w:rPr>
        <w:t>单 位 性 质：</w:t>
      </w:r>
      <w:r>
        <w:rPr>
          <w:rFonts w:ascii="宋体" w:eastAsia="宋体" w:hAnsi="宋体" w:cs="宋体" w:hint="eastAsia"/>
          <w:color w:val="auto"/>
          <w:sz w:val="24"/>
          <w:u w:val="single"/>
        </w:rPr>
        <w:t xml:space="preserve">                              </w:t>
      </w:r>
    </w:p>
    <w:p>
      <w:pPr>
        <w:spacing w:line="360" w:lineRule="auto"/>
        <w:rPr>
          <w:rFonts w:ascii="宋体" w:eastAsia="宋体" w:hAnsi="宋体" w:cs="宋体"/>
          <w:color w:val="auto"/>
          <w:sz w:val="24"/>
          <w:u w:val="single"/>
        </w:rPr>
      </w:pPr>
      <w:r>
        <w:rPr>
          <w:rFonts w:ascii="宋体" w:eastAsia="宋体" w:hAnsi="宋体" w:cs="宋体" w:hint="eastAsia"/>
          <w:color w:val="auto"/>
          <w:sz w:val="24"/>
        </w:rPr>
        <w:t>地       址：</w:t>
      </w:r>
      <w:r>
        <w:rPr>
          <w:rFonts w:ascii="宋体" w:eastAsia="宋体" w:hAnsi="宋体" w:cs="宋体" w:hint="eastAsia"/>
          <w:color w:val="auto"/>
          <w:sz w:val="24"/>
          <w:u w:val="single"/>
        </w:rPr>
        <w:t xml:space="preserve">                              </w:t>
      </w:r>
    </w:p>
    <w:p>
      <w:pPr>
        <w:spacing w:line="360" w:lineRule="auto"/>
        <w:rPr>
          <w:rFonts w:ascii="宋体" w:eastAsia="宋体" w:hAnsi="宋体" w:cs="宋体"/>
          <w:color w:val="auto"/>
          <w:sz w:val="24"/>
        </w:rPr>
      </w:pPr>
      <w:r>
        <w:rPr>
          <w:rFonts w:ascii="宋体" w:eastAsia="宋体" w:hAnsi="宋体" w:cs="宋体" w:hint="eastAsia"/>
          <w:color w:val="auto"/>
          <w:sz w:val="24"/>
        </w:rPr>
        <w:t>成 立 时 间：</w:t>
      </w:r>
      <w:r>
        <w:rPr>
          <w:rFonts w:ascii="宋体" w:eastAsia="宋体" w:hAnsi="宋体" w:cs="宋体" w:hint="eastAsia"/>
          <w:color w:val="auto"/>
          <w:sz w:val="24"/>
          <w:u w:val="single"/>
        </w:rPr>
        <w:t xml:space="preserve">      </w:t>
      </w:r>
      <w:r>
        <w:rPr>
          <w:rFonts w:ascii="宋体" w:eastAsia="宋体" w:hAnsi="宋体" w:cs="宋体" w:hint="eastAsia"/>
          <w:color w:val="auto"/>
          <w:sz w:val="24"/>
        </w:rPr>
        <w:t>年</w:t>
      </w:r>
      <w:r>
        <w:rPr>
          <w:rFonts w:ascii="宋体" w:eastAsia="宋体" w:hAnsi="宋体" w:cs="宋体" w:hint="eastAsia"/>
          <w:color w:val="auto"/>
          <w:sz w:val="24"/>
          <w:u w:val="single"/>
        </w:rPr>
        <w:t xml:space="preserve">    </w:t>
      </w:r>
      <w:r>
        <w:rPr>
          <w:rFonts w:ascii="宋体" w:eastAsia="宋体" w:hAnsi="宋体" w:cs="宋体" w:hint="eastAsia"/>
          <w:color w:val="auto"/>
          <w:sz w:val="24"/>
        </w:rPr>
        <w:t>月</w:t>
      </w:r>
      <w:r>
        <w:rPr>
          <w:rFonts w:ascii="宋体" w:eastAsia="宋体" w:hAnsi="宋体" w:cs="宋体" w:hint="eastAsia"/>
          <w:color w:val="auto"/>
          <w:sz w:val="24"/>
          <w:u w:val="single"/>
        </w:rPr>
        <w:t xml:space="preserve">    </w:t>
      </w:r>
      <w:r>
        <w:rPr>
          <w:rFonts w:ascii="宋体" w:eastAsia="宋体" w:hAnsi="宋体" w:cs="宋体" w:hint="eastAsia"/>
          <w:color w:val="auto"/>
          <w:sz w:val="24"/>
        </w:rPr>
        <w:t>日</w:t>
      </w:r>
    </w:p>
    <w:p>
      <w:pPr>
        <w:spacing w:line="360" w:lineRule="auto"/>
        <w:rPr>
          <w:rFonts w:ascii="宋体" w:eastAsia="宋体" w:hAnsi="宋体" w:cs="宋体"/>
          <w:color w:val="auto"/>
          <w:sz w:val="24"/>
        </w:rPr>
      </w:pPr>
      <w:r>
        <w:rPr>
          <w:rFonts w:ascii="宋体" w:eastAsia="宋体" w:hAnsi="宋体" w:cs="宋体" w:hint="eastAsia"/>
          <w:color w:val="auto"/>
          <w:sz w:val="24"/>
        </w:rPr>
        <w:t>经 营 期 限：</w:t>
      </w:r>
      <w:r>
        <w:rPr>
          <w:rFonts w:ascii="宋体" w:eastAsia="宋体" w:hAnsi="宋体" w:cs="宋体" w:hint="eastAsia"/>
          <w:color w:val="auto"/>
          <w:sz w:val="24"/>
          <w:u w:val="single"/>
        </w:rPr>
        <w:t xml:space="preserve">                              </w:t>
      </w:r>
    </w:p>
    <w:p>
      <w:pPr>
        <w:spacing w:line="360" w:lineRule="auto"/>
        <w:rPr>
          <w:rFonts w:ascii="宋体" w:eastAsia="宋体" w:hAnsi="宋体" w:cs="宋体"/>
          <w:color w:val="auto"/>
          <w:sz w:val="24"/>
        </w:rPr>
      </w:pPr>
      <w:r>
        <w:rPr>
          <w:rFonts w:ascii="宋体" w:eastAsia="宋体" w:hAnsi="宋体" w:cs="宋体" w:hint="eastAsia"/>
          <w:color w:val="auto"/>
          <w:sz w:val="24"/>
        </w:rPr>
        <w:t>姓      名：</w:t>
      </w:r>
      <w:r>
        <w:rPr>
          <w:rFonts w:ascii="宋体" w:eastAsia="宋体" w:hAnsi="宋体" w:cs="宋体" w:hint="eastAsia"/>
          <w:color w:val="auto"/>
          <w:sz w:val="24"/>
          <w:u w:val="single"/>
        </w:rPr>
        <w:t xml:space="preserve">        </w:t>
      </w:r>
      <w:r>
        <w:rPr>
          <w:rFonts w:ascii="宋体" w:eastAsia="宋体" w:hAnsi="宋体" w:cs="宋体" w:hint="eastAsia"/>
          <w:color w:val="auto"/>
          <w:sz w:val="24"/>
        </w:rPr>
        <w:t xml:space="preserve">  性别：</w:t>
      </w:r>
      <w:r>
        <w:rPr>
          <w:rFonts w:ascii="宋体" w:eastAsia="宋体" w:hAnsi="宋体" w:cs="宋体" w:hint="eastAsia"/>
          <w:color w:val="auto"/>
          <w:sz w:val="24"/>
          <w:u w:val="single"/>
        </w:rPr>
        <w:t xml:space="preserve">    </w:t>
      </w:r>
      <w:r>
        <w:rPr>
          <w:rFonts w:ascii="宋体" w:eastAsia="宋体" w:hAnsi="宋体" w:cs="宋体" w:hint="eastAsia"/>
          <w:color w:val="auto"/>
          <w:sz w:val="24"/>
        </w:rPr>
        <w:t xml:space="preserve"> 年龄：</w:t>
      </w:r>
      <w:r>
        <w:rPr>
          <w:rFonts w:ascii="宋体" w:eastAsia="宋体" w:hAnsi="宋体" w:cs="宋体" w:hint="eastAsia"/>
          <w:color w:val="auto"/>
          <w:sz w:val="24"/>
          <w:u w:val="single"/>
        </w:rPr>
        <w:t xml:space="preserve">     </w:t>
      </w:r>
      <w:r>
        <w:rPr>
          <w:rFonts w:ascii="宋体" w:eastAsia="宋体" w:hAnsi="宋体" w:cs="宋体" w:hint="eastAsia"/>
          <w:color w:val="auto"/>
          <w:sz w:val="24"/>
        </w:rPr>
        <w:t xml:space="preserve"> 职务：</w:t>
      </w:r>
      <w:r>
        <w:rPr>
          <w:rFonts w:ascii="宋体" w:eastAsia="宋体" w:hAnsi="宋体" w:cs="宋体" w:hint="eastAsia"/>
          <w:color w:val="auto"/>
          <w:sz w:val="24"/>
          <w:u w:val="single"/>
        </w:rPr>
        <w:t xml:space="preserve">     </w:t>
      </w:r>
      <w:r>
        <w:rPr>
          <w:rFonts w:ascii="宋体" w:eastAsia="宋体" w:hAnsi="宋体" w:cs="宋体" w:hint="eastAsia"/>
          <w:color w:val="auto"/>
          <w:sz w:val="24"/>
        </w:rPr>
        <w:t xml:space="preserve"> 系</w:t>
      </w:r>
      <w:r>
        <w:rPr>
          <w:rFonts w:ascii="宋体" w:eastAsia="宋体" w:hAnsi="宋体" w:cs="宋体" w:hint="eastAsia"/>
          <w:color w:val="auto"/>
          <w:sz w:val="24"/>
          <w:u w:val="single"/>
        </w:rPr>
        <w:t xml:space="preserve">      （供应商名称）      </w:t>
      </w:r>
      <w:r>
        <w:rPr>
          <w:rFonts w:ascii="宋体" w:eastAsia="宋体" w:hAnsi="宋体" w:cs="宋体" w:hint="eastAsia"/>
          <w:color w:val="auto"/>
          <w:sz w:val="24"/>
        </w:rPr>
        <w:t>的法定代表人。</w:t>
      </w:r>
    </w:p>
    <w:p>
      <w:pPr>
        <w:spacing w:line="360" w:lineRule="auto"/>
        <w:ind w:firstLine="720" w:firstLineChars="300"/>
        <w:rPr>
          <w:rFonts w:ascii="宋体" w:eastAsia="宋体" w:hAnsi="宋体" w:cs="宋体"/>
          <w:color w:val="auto"/>
          <w:sz w:val="24"/>
        </w:rPr>
      </w:pPr>
      <w:r>
        <w:rPr>
          <w:rFonts w:ascii="宋体" w:eastAsia="宋体" w:hAnsi="宋体" w:cs="宋体" w:hint="eastAsia"/>
          <w:color w:val="auto"/>
          <w:sz w:val="24"/>
        </w:rPr>
        <w:t>特此证明。</w:t>
      </w:r>
    </w:p>
    <w:p>
      <w:pPr>
        <w:spacing w:line="360" w:lineRule="auto"/>
        <w:ind w:firstLine="720" w:firstLineChars="300"/>
        <w:rPr>
          <w:rFonts w:ascii="宋体" w:eastAsia="宋体" w:hAnsi="宋体" w:cs="宋体"/>
          <w:color w:val="auto"/>
          <w:sz w:val="24"/>
        </w:rPr>
      </w:pPr>
      <w:r>
        <w:rPr>
          <w:rFonts w:ascii="宋体" w:eastAsia="宋体" w:hAnsi="宋体" w:cs="宋体" w:hint="eastAsia"/>
          <w:color w:val="auto"/>
          <w:sz w:val="24"/>
        </w:rPr>
        <w:t>附：法定代表人有效身份证复印件</w:t>
      </w:r>
    </w:p>
    <w:tbl>
      <w:tblPr>
        <w:tblStyle w:val="TableNormal"/>
        <w:tblW w:w="9296" w:type="dxa"/>
        <w:tblInd w:w="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CellMar>
          <w:top w:w="0" w:type="dxa"/>
          <w:left w:w="108" w:type="dxa"/>
          <w:bottom w:w="0" w:type="dxa"/>
          <w:right w:w="108" w:type="dxa"/>
        </w:tblCellMar>
        <w:tblLook w:val="04A0"/>
      </w:tblPr>
      <w:tblGrid>
        <w:gridCol w:w="4616"/>
        <w:gridCol w:w="4680"/>
      </w:tblGrid>
      <w:tr>
        <w:tblPrEx>
          <w:tblW w:w="9296" w:type="dxa"/>
          <w:tblInd w:w="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CellMar>
            <w:top w:w="0" w:type="dxa"/>
            <w:left w:w="108" w:type="dxa"/>
            <w:bottom w:w="0" w:type="dxa"/>
            <w:right w:w="108" w:type="dxa"/>
          </w:tblCellMar>
          <w:tblLook w:val="04A0"/>
        </w:tblPrEx>
        <w:trPr>
          <w:trHeight w:val="3094"/>
        </w:trPr>
        <w:tc>
          <w:tcPr>
            <w:tcW w:w="4616" w:type="dxa"/>
          </w:tcPr>
          <w:p>
            <w:pPr>
              <w:keepNext w:val="0"/>
              <w:keepLines w:val="0"/>
              <w:widowControl w:val="0"/>
              <w:suppressLineNumbers w:val="0"/>
              <w:spacing w:before="0" w:beforeAutospacing="0" w:after="0" w:afterAutospacing="0" w:line="480" w:lineRule="exact"/>
              <w:ind w:left="0" w:right="0" w:firstLine="700"/>
              <w:jc w:val="both"/>
              <w:rPr>
                <w:rStyle w:val="DefaultParagraphFont"/>
                <w:rFonts w:ascii="宋体" w:eastAsia="宋体" w:hAnsi="宋体" w:cs="宋体" w:hint="default"/>
                <w:color w:val="auto"/>
                <w:kern w:val="2"/>
                <w:sz w:val="24"/>
                <w:szCs w:val="24"/>
                <w:lang w:val="en-US" w:eastAsia="zh-CN" w:bidi="ar-SA"/>
              </w:rPr>
            </w:pPr>
          </w:p>
          <w:p>
            <w:pPr>
              <w:keepNext w:val="0"/>
              <w:keepLines w:val="0"/>
              <w:widowControl w:val="0"/>
              <w:suppressLineNumbers w:val="0"/>
              <w:spacing w:before="0" w:beforeAutospacing="0" w:after="0" w:afterAutospacing="0" w:line="480" w:lineRule="exact"/>
              <w:ind w:left="0" w:right="0" w:firstLine="700"/>
              <w:jc w:val="both"/>
              <w:rPr>
                <w:rStyle w:val="DefaultParagraphFont"/>
                <w:rFonts w:ascii="宋体" w:eastAsia="宋体" w:hAnsi="宋体" w:cs="宋体" w:hint="default"/>
                <w:color w:val="auto"/>
                <w:kern w:val="2"/>
                <w:sz w:val="24"/>
                <w:szCs w:val="24"/>
                <w:lang w:val="en-US" w:eastAsia="zh-CN" w:bidi="ar-SA"/>
              </w:rPr>
            </w:pPr>
          </w:p>
          <w:p>
            <w:pPr>
              <w:keepNext w:val="0"/>
              <w:keepLines w:val="0"/>
              <w:widowControl w:val="0"/>
              <w:suppressLineNumbers w:val="0"/>
              <w:spacing w:before="0" w:beforeAutospacing="0" w:after="0" w:afterAutospacing="0" w:line="480" w:lineRule="exact"/>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法定代表人身份证复印件</w:t>
            </w:r>
          </w:p>
          <w:p>
            <w:pPr>
              <w:keepNext w:val="0"/>
              <w:keepLines w:val="0"/>
              <w:widowControl w:val="0"/>
              <w:suppressLineNumbers w:val="0"/>
              <w:spacing w:before="0" w:beforeAutospacing="0" w:after="0" w:afterAutospacing="0" w:line="480" w:lineRule="exact"/>
              <w:ind w:left="0" w:right="0" w:firstLine="1440" w:firstLineChars="60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（正面）</w:t>
            </w:r>
          </w:p>
        </w:tc>
        <w:tc>
          <w:tcPr>
            <w:tcW w:w="4680" w:type="dxa"/>
          </w:tcPr>
          <w:p>
            <w:pPr>
              <w:keepNext w:val="0"/>
              <w:keepLines w:val="0"/>
              <w:widowControl w:val="0"/>
              <w:suppressLineNumbers w:val="0"/>
              <w:spacing w:before="0" w:beforeAutospacing="0" w:after="0" w:afterAutospacing="0" w:line="480" w:lineRule="exact"/>
              <w:ind w:left="0" w:right="0" w:firstLine="700"/>
              <w:jc w:val="center"/>
              <w:rPr>
                <w:rStyle w:val="DefaultParagraphFont"/>
                <w:rFonts w:ascii="宋体" w:eastAsia="宋体" w:hAnsi="宋体" w:cs="宋体" w:hint="default"/>
                <w:color w:val="auto"/>
                <w:kern w:val="2"/>
                <w:sz w:val="24"/>
                <w:szCs w:val="24"/>
                <w:lang w:val="en-US" w:eastAsia="zh-CN" w:bidi="ar-SA"/>
              </w:rPr>
            </w:pPr>
          </w:p>
          <w:p>
            <w:pPr>
              <w:keepNext w:val="0"/>
              <w:keepLines w:val="0"/>
              <w:widowControl w:val="0"/>
              <w:suppressLineNumbers w:val="0"/>
              <w:spacing w:before="0" w:beforeAutospacing="0" w:after="0" w:afterAutospacing="0" w:line="480" w:lineRule="exact"/>
              <w:ind w:left="0" w:right="0" w:firstLine="700"/>
              <w:jc w:val="center"/>
              <w:rPr>
                <w:rStyle w:val="DefaultParagraphFont"/>
                <w:rFonts w:ascii="宋体" w:eastAsia="宋体" w:hAnsi="宋体" w:cs="宋体" w:hint="default"/>
                <w:color w:val="auto"/>
                <w:kern w:val="2"/>
                <w:sz w:val="24"/>
                <w:szCs w:val="24"/>
                <w:lang w:val="en-US" w:eastAsia="zh-CN" w:bidi="ar-SA"/>
              </w:rPr>
            </w:pPr>
          </w:p>
          <w:p>
            <w:pPr>
              <w:keepNext w:val="0"/>
              <w:keepLines w:val="0"/>
              <w:widowControl w:val="0"/>
              <w:suppressLineNumbers w:val="0"/>
              <w:spacing w:before="0" w:beforeAutospacing="0" w:after="0" w:afterAutospacing="0" w:line="480" w:lineRule="exact"/>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法定代表人身份证复印件</w:t>
            </w:r>
          </w:p>
          <w:p>
            <w:pPr>
              <w:keepNext w:val="0"/>
              <w:keepLines w:val="0"/>
              <w:widowControl w:val="0"/>
              <w:suppressLineNumbers w:val="0"/>
              <w:spacing w:before="0" w:beforeAutospacing="0" w:after="0" w:afterAutospacing="0" w:line="480" w:lineRule="exact"/>
              <w:ind w:left="0" w:right="0" w:firstLine="1560" w:firstLineChars="65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（背面）</w:t>
            </w:r>
          </w:p>
        </w:tc>
      </w:tr>
    </w:tbl>
    <w:p>
      <w:pPr>
        <w:spacing w:line="480" w:lineRule="exact"/>
        <w:rPr>
          <w:rFonts w:ascii="宋体" w:eastAsia="宋体" w:hAnsi="宋体" w:cs="宋体"/>
          <w:color w:val="auto"/>
          <w:sz w:val="24"/>
        </w:rPr>
      </w:pPr>
    </w:p>
    <w:p>
      <w:pPr>
        <w:spacing w:line="480" w:lineRule="exact"/>
        <w:rPr>
          <w:rFonts w:ascii="宋体" w:eastAsia="宋体" w:hAnsi="宋体" w:cs="宋体"/>
          <w:color w:val="auto"/>
          <w:sz w:val="24"/>
        </w:rPr>
      </w:pPr>
    </w:p>
    <w:p>
      <w:pPr>
        <w:spacing w:line="360" w:lineRule="auto"/>
        <w:ind w:firstLine="720" w:firstLineChars="300"/>
        <w:rPr>
          <w:rFonts w:ascii="宋体" w:eastAsia="宋体" w:hAnsi="宋体" w:cs="宋体"/>
          <w:snapToGrid w:val="0"/>
          <w:color w:val="auto"/>
          <w:kern w:val="0"/>
          <w:sz w:val="24"/>
        </w:rPr>
      </w:pPr>
      <w:r>
        <w:rPr>
          <w:rFonts w:ascii="宋体" w:eastAsia="宋体" w:hAnsi="宋体" w:cs="宋体" w:hint="eastAsia"/>
          <w:snapToGrid w:val="0"/>
          <w:color w:val="auto"/>
          <w:kern w:val="0"/>
          <w:sz w:val="24"/>
        </w:rPr>
        <w:t>供应商名称：</w:t>
      </w:r>
      <w:r>
        <w:rPr>
          <w:rFonts w:ascii="宋体" w:eastAsia="宋体" w:hAnsi="宋体" w:cs="宋体" w:hint="eastAsia"/>
          <w:snapToGrid w:val="0"/>
          <w:color w:val="auto"/>
          <w:kern w:val="0"/>
          <w:sz w:val="24"/>
          <w:u w:val="single"/>
        </w:rPr>
        <w:t xml:space="preserve">        （全称）              </w:t>
      </w:r>
      <w:r>
        <w:rPr>
          <w:rFonts w:ascii="宋体" w:eastAsia="宋体" w:hAnsi="宋体" w:cs="宋体" w:hint="eastAsia"/>
          <w:snapToGrid w:val="0"/>
          <w:color w:val="auto"/>
          <w:kern w:val="0"/>
          <w:sz w:val="24"/>
        </w:rPr>
        <w:t>（电子签章）</w:t>
      </w:r>
    </w:p>
    <w:p>
      <w:pPr>
        <w:spacing w:line="360" w:lineRule="auto"/>
        <w:ind w:firstLine="720" w:firstLineChars="300"/>
        <w:rPr>
          <w:rFonts w:ascii="宋体" w:eastAsia="宋体" w:hAnsi="宋体" w:cs="宋体"/>
          <w:color w:val="auto"/>
          <w:sz w:val="28"/>
          <w:szCs w:val="28"/>
        </w:rPr>
      </w:pPr>
      <w:r>
        <w:rPr>
          <w:rFonts w:ascii="宋体" w:eastAsia="宋体" w:hAnsi="宋体" w:cs="宋体" w:hint="eastAsia"/>
          <w:color w:val="auto"/>
          <w:sz w:val="24"/>
        </w:rPr>
        <w:t>日  期：   年   月   日</w:t>
      </w:r>
    </w:p>
    <w:p>
      <w:pPr>
        <w:spacing w:line="360" w:lineRule="auto"/>
        <w:ind w:firstLine="840" w:firstLineChars="300"/>
        <w:rPr>
          <w:rFonts w:ascii="宋体" w:eastAsia="宋体" w:hAnsi="宋体" w:cs="宋体"/>
          <w:color w:val="auto"/>
          <w:sz w:val="28"/>
          <w:szCs w:val="28"/>
        </w:rPr>
      </w:pPr>
    </w:p>
    <w:p>
      <w:pPr>
        <w:widowControl/>
        <w:spacing w:line="408" w:lineRule="auto"/>
        <w:jc w:val="center"/>
        <w:outlineLvl w:val="0"/>
        <w:rPr>
          <w:rFonts w:ascii="宋体" w:eastAsia="宋体" w:hAnsi="宋体" w:cs="宋体"/>
          <w:color w:val="auto"/>
          <w:kern w:val="0"/>
          <w:sz w:val="28"/>
          <w:szCs w:val="28"/>
        </w:rPr>
      </w:pPr>
      <w:r>
        <w:rPr>
          <w:rFonts w:ascii="宋体" w:eastAsia="宋体" w:hAnsi="宋体" w:cs="宋体" w:hint="eastAsia"/>
          <w:b/>
          <w:bCs/>
          <w:color w:val="auto"/>
          <w:kern w:val="0"/>
          <w:sz w:val="28"/>
          <w:szCs w:val="28"/>
        </w:rPr>
        <w:br w:type="page"/>
      </w:r>
      <w:bookmarkStart w:id="107" w:name="_Toc11764"/>
      <w:r>
        <w:rPr>
          <w:rFonts w:ascii="宋体" w:eastAsia="宋体" w:hAnsi="宋体" w:cs="宋体" w:hint="eastAsia"/>
          <w:b/>
          <w:bCs/>
          <w:color w:val="auto"/>
          <w:kern w:val="0"/>
          <w:sz w:val="28"/>
          <w:szCs w:val="28"/>
        </w:rPr>
        <w:t>五、法定代表人授权委托书</w:t>
      </w:r>
      <w:bookmarkEnd w:id="105"/>
      <w:bookmarkEnd w:id="106"/>
      <w:bookmarkEnd w:id="107"/>
    </w:p>
    <w:p>
      <w:pPr>
        <w:widowControl/>
        <w:spacing w:line="440" w:lineRule="exact"/>
        <w:ind w:firstLine="560" w:firstLineChars="200"/>
        <w:rPr>
          <w:rFonts w:ascii="宋体" w:eastAsia="宋体" w:hAnsi="宋体" w:cs="宋体"/>
          <w:color w:val="auto"/>
          <w:kern w:val="0"/>
          <w:sz w:val="28"/>
          <w:szCs w:val="28"/>
          <w:u w:val="single"/>
        </w:rPr>
      </w:pPr>
    </w:p>
    <w:p>
      <w:pPr>
        <w:spacing w:line="480" w:lineRule="exact"/>
        <w:ind w:firstLine="480" w:firstLineChars="200"/>
        <w:rPr>
          <w:rFonts w:ascii="宋体" w:eastAsia="宋体" w:hAnsi="宋体" w:cs="宋体"/>
          <w:color w:val="auto"/>
          <w:sz w:val="24"/>
        </w:rPr>
      </w:pPr>
      <w:bookmarkStart w:id="108" w:name="_Toc234588864"/>
      <w:bookmarkStart w:id="109" w:name="_Toc293921837"/>
      <w:r>
        <w:rPr>
          <w:rFonts w:ascii="宋体" w:eastAsia="宋体" w:hAnsi="宋体" w:cs="宋体" w:hint="eastAsia"/>
          <w:color w:val="auto"/>
          <w:sz w:val="24"/>
        </w:rPr>
        <w:t>本人</w:t>
      </w:r>
      <w:r>
        <w:rPr>
          <w:rFonts w:ascii="宋体" w:eastAsia="宋体" w:hAnsi="宋体" w:cs="宋体" w:hint="eastAsia"/>
          <w:color w:val="auto"/>
          <w:sz w:val="24"/>
          <w:u w:val="single"/>
        </w:rPr>
        <w:t xml:space="preserve">   （姓名）  </w:t>
      </w:r>
      <w:r>
        <w:rPr>
          <w:rFonts w:ascii="宋体" w:eastAsia="宋体" w:hAnsi="宋体" w:cs="宋体" w:hint="eastAsia"/>
          <w:color w:val="auto"/>
          <w:sz w:val="24"/>
        </w:rPr>
        <w:t>系</w:t>
      </w:r>
      <w:r>
        <w:rPr>
          <w:rFonts w:ascii="宋体" w:eastAsia="宋体" w:hAnsi="宋体" w:cs="宋体" w:hint="eastAsia"/>
          <w:color w:val="auto"/>
          <w:sz w:val="24"/>
          <w:u w:val="single"/>
        </w:rPr>
        <w:t xml:space="preserve">       （供应商名称）    </w:t>
      </w:r>
      <w:r>
        <w:rPr>
          <w:rFonts w:ascii="宋体" w:eastAsia="宋体" w:hAnsi="宋体" w:cs="宋体" w:hint="eastAsia"/>
          <w:color w:val="auto"/>
          <w:sz w:val="24"/>
        </w:rPr>
        <w:t>的法定代表人，现委托</w:t>
      </w:r>
      <w:r>
        <w:rPr>
          <w:rFonts w:ascii="宋体" w:eastAsia="宋体" w:hAnsi="宋体" w:cs="宋体" w:hint="eastAsia"/>
          <w:color w:val="auto"/>
          <w:sz w:val="24"/>
          <w:u w:val="single"/>
        </w:rPr>
        <w:t xml:space="preserve">     （姓名）    </w:t>
      </w:r>
      <w:r>
        <w:rPr>
          <w:rFonts w:ascii="宋体" w:eastAsia="宋体" w:hAnsi="宋体" w:cs="宋体" w:hint="eastAsia"/>
          <w:color w:val="auto"/>
          <w:sz w:val="24"/>
        </w:rPr>
        <w:t>为我方代理人。委托代理人根据授权，以我方名义签署、澄清、提交、撤回、修改</w:t>
      </w:r>
      <w:r>
        <w:rPr>
          <w:rFonts w:ascii="宋体" w:eastAsia="宋体" w:hAnsi="宋体" w:cs="宋体" w:hint="eastAsia"/>
          <w:color w:val="auto"/>
          <w:sz w:val="24"/>
          <w:u w:val="single"/>
        </w:rPr>
        <w:t xml:space="preserve">   （项目名称）   </w:t>
      </w:r>
      <w:r>
        <w:rPr>
          <w:rFonts w:ascii="宋体" w:eastAsia="宋体" w:hAnsi="宋体" w:cs="宋体" w:hint="eastAsia"/>
          <w:color w:val="auto"/>
          <w:sz w:val="24"/>
        </w:rPr>
        <w:t>响应文件，其法律后果由我方承担。</w:t>
      </w:r>
    </w:p>
    <w:p>
      <w:pPr>
        <w:spacing w:line="480" w:lineRule="exact"/>
        <w:ind w:firstLine="480" w:firstLineChars="200"/>
        <w:rPr>
          <w:rFonts w:ascii="宋体" w:eastAsia="宋体" w:hAnsi="宋体" w:cs="宋体"/>
          <w:color w:val="auto"/>
          <w:sz w:val="24"/>
        </w:rPr>
      </w:pPr>
      <w:r>
        <w:rPr>
          <w:rFonts w:ascii="宋体" w:eastAsia="宋体" w:hAnsi="宋体" w:cs="宋体" w:hint="eastAsia"/>
          <w:color w:val="auto"/>
          <w:sz w:val="24"/>
        </w:rPr>
        <w:t>委托期限：   年   月   日至   年   月   日。</w:t>
      </w:r>
    </w:p>
    <w:p>
      <w:pPr>
        <w:spacing w:line="480" w:lineRule="exact"/>
        <w:ind w:firstLine="480" w:firstLineChars="200"/>
        <w:rPr>
          <w:rFonts w:ascii="宋体" w:eastAsia="宋体" w:hAnsi="宋体" w:cs="宋体"/>
          <w:color w:val="auto"/>
          <w:sz w:val="24"/>
        </w:rPr>
      </w:pPr>
      <w:r>
        <w:rPr>
          <w:rFonts w:ascii="宋体" w:eastAsia="宋体" w:hAnsi="宋体" w:cs="宋体" w:hint="eastAsia"/>
          <w:color w:val="auto"/>
          <w:sz w:val="24"/>
        </w:rPr>
        <w:t>委托代理人无转让委托权。</w:t>
      </w:r>
    </w:p>
    <w:p>
      <w:pPr>
        <w:spacing w:line="480" w:lineRule="exact"/>
        <w:ind w:firstLine="480" w:firstLineChars="200"/>
        <w:rPr>
          <w:rFonts w:ascii="宋体" w:eastAsia="宋体" w:hAnsi="宋体" w:cs="宋体"/>
          <w:color w:val="auto"/>
          <w:sz w:val="24"/>
        </w:rPr>
      </w:pPr>
      <w:r>
        <w:rPr>
          <w:rFonts w:ascii="宋体" w:eastAsia="宋体" w:hAnsi="宋体" w:cs="宋体" w:hint="eastAsia"/>
          <w:color w:val="auto"/>
          <w:sz w:val="24"/>
        </w:rPr>
        <w:t>附：委托代理人有效身份证复印件</w:t>
      </w:r>
    </w:p>
    <w:p>
      <w:pPr>
        <w:spacing w:line="480" w:lineRule="exact"/>
        <w:ind w:firstLine="480" w:firstLineChars="200"/>
        <w:rPr>
          <w:rFonts w:ascii="宋体" w:eastAsia="宋体" w:hAnsi="宋体" w:cs="宋体"/>
          <w:color w:val="auto"/>
          <w:sz w:val="24"/>
        </w:rPr>
      </w:pPr>
    </w:p>
    <w:tbl>
      <w:tblPr>
        <w:tblStyle w:val="TableNormal"/>
        <w:tblW w:w="8640" w:type="dxa"/>
        <w:tblInd w:w="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CellMar>
          <w:top w:w="0" w:type="dxa"/>
          <w:left w:w="108" w:type="dxa"/>
          <w:bottom w:w="0" w:type="dxa"/>
          <w:right w:w="108" w:type="dxa"/>
        </w:tblCellMar>
        <w:tblLook w:val="04A0"/>
      </w:tblPr>
      <w:tblGrid>
        <w:gridCol w:w="4230"/>
        <w:gridCol w:w="4410"/>
      </w:tblGrid>
      <w:tr>
        <w:tblPrEx>
          <w:tblW w:w="8640" w:type="dxa"/>
          <w:tblInd w:w="0" w:type="dxa"/>
          <w:tblBorders>
            <w:top w:val="dashed" w:sz="4" w:space="0" w:color="auto"/>
            <w:left w:val="dashed" w:sz="4" w:space="0" w:color="auto"/>
            <w:bottom w:val="dashed" w:sz="4" w:space="0" w:color="auto"/>
            <w:right w:val="dashed" w:sz="4" w:space="0" w:color="auto"/>
            <w:insideH w:val="dashed" w:sz="4" w:space="0" w:color="auto"/>
            <w:insideV w:val="dashed" w:sz="4" w:space="0" w:color="auto"/>
          </w:tblBorders>
          <w:tblLayout w:type="fixed"/>
          <w:tblCellMar>
            <w:top w:w="0" w:type="dxa"/>
            <w:left w:w="108" w:type="dxa"/>
            <w:bottom w:w="0" w:type="dxa"/>
            <w:right w:w="108" w:type="dxa"/>
          </w:tblCellMar>
          <w:tblLook w:val="04A0"/>
        </w:tblPrEx>
        <w:trPr>
          <w:trHeight w:val="3019"/>
        </w:trPr>
        <w:tc>
          <w:tcPr>
            <w:tcW w:w="4230" w:type="dxa"/>
          </w:tcPr>
          <w:p>
            <w:pPr>
              <w:keepNext w:val="0"/>
              <w:keepLines w:val="0"/>
              <w:widowControl w:val="0"/>
              <w:suppressLineNumbers w:val="0"/>
              <w:spacing w:before="0" w:beforeAutospacing="0" w:after="0" w:afterAutospacing="0" w:line="480" w:lineRule="exact"/>
              <w:ind w:left="0" w:right="0" w:firstLine="480" w:firstLineChars="200"/>
              <w:jc w:val="both"/>
              <w:rPr>
                <w:rStyle w:val="DefaultParagraphFont"/>
                <w:rFonts w:ascii="宋体" w:eastAsia="宋体" w:hAnsi="宋体" w:cs="宋体" w:hint="default"/>
                <w:color w:val="auto"/>
                <w:kern w:val="2"/>
                <w:sz w:val="24"/>
                <w:szCs w:val="24"/>
                <w:lang w:val="en-US" w:eastAsia="zh-CN" w:bidi="ar-SA"/>
              </w:rPr>
            </w:pPr>
          </w:p>
          <w:p>
            <w:pPr>
              <w:keepNext w:val="0"/>
              <w:keepLines w:val="0"/>
              <w:widowControl w:val="0"/>
              <w:suppressLineNumbers w:val="0"/>
              <w:spacing w:before="0" w:beforeAutospacing="0" w:after="0" w:afterAutospacing="0" w:line="480" w:lineRule="exact"/>
              <w:ind w:left="0" w:right="0" w:firstLine="480" w:firstLineChars="200"/>
              <w:jc w:val="both"/>
              <w:rPr>
                <w:rStyle w:val="DefaultParagraphFont"/>
                <w:rFonts w:ascii="宋体" w:eastAsia="宋体" w:hAnsi="宋体" w:cs="宋体" w:hint="default"/>
                <w:color w:val="auto"/>
                <w:kern w:val="2"/>
                <w:sz w:val="24"/>
                <w:szCs w:val="24"/>
                <w:lang w:val="en-US" w:eastAsia="zh-CN" w:bidi="ar-SA"/>
              </w:rPr>
            </w:pPr>
          </w:p>
          <w:p>
            <w:pPr>
              <w:keepNext w:val="0"/>
              <w:keepLines w:val="0"/>
              <w:widowControl w:val="0"/>
              <w:suppressLineNumbers w:val="0"/>
              <w:spacing w:before="0" w:beforeAutospacing="0" w:after="0" w:afterAutospacing="0" w:line="480" w:lineRule="exact"/>
              <w:ind w:left="0" w:right="0" w:firstLine="480" w:firstLineChars="20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委托代理人身份证复印件</w:t>
            </w:r>
          </w:p>
          <w:p>
            <w:pPr>
              <w:keepNext w:val="0"/>
              <w:keepLines w:val="0"/>
              <w:widowControl w:val="0"/>
              <w:suppressLineNumbers w:val="0"/>
              <w:spacing w:before="0" w:beforeAutospacing="0" w:after="0" w:afterAutospacing="0" w:line="480" w:lineRule="exact"/>
              <w:ind w:left="0" w:right="0" w:firstLine="480" w:firstLineChars="20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 xml:space="preserve">      （正面）</w:t>
            </w:r>
          </w:p>
        </w:tc>
        <w:tc>
          <w:tcPr>
            <w:tcW w:w="4410" w:type="dxa"/>
          </w:tcPr>
          <w:p>
            <w:pPr>
              <w:keepNext w:val="0"/>
              <w:keepLines w:val="0"/>
              <w:widowControl w:val="0"/>
              <w:suppressLineNumbers w:val="0"/>
              <w:spacing w:before="0" w:beforeAutospacing="0" w:after="0" w:afterAutospacing="0" w:line="480" w:lineRule="exact"/>
              <w:ind w:left="0" w:right="0" w:firstLine="480" w:firstLineChars="200"/>
              <w:jc w:val="both"/>
              <w:rPr>
                <w:rStyle w:val="DefaultParagraphFont"/>
                <w:rFonts w:ascii="宋体" w:eastAsia="宋体" w:hAnsi="宋体" w:cs="宋体" w:hint="default"/>
                <w:color w:val="auto"/>
                <w:kern w:val="2"/>
                <w:sz w:val="24"/>
                <w:szCs w:val="24"/>
                <w:lang w:val="en-US" w:eastAsia="zh-CN" w:bidi="ar-SA"/>
              </w:rPr>
            </w:pPr>
          </w:p>
          <w:p>
            <w:pPr>
              <w:keepNext w:val="0"/>
              <w:keepLines w:val="0"/>
              <w:widowControl w:val="0"/>
              <w:suppressLineNumbers w:val="0"/>
              <w:spacing w:before="0" w:beforeAutospacing="0" w:after="0" w:afterAutospacing="0" w:line="480" w:lineRule="exact"/>
              <w:ind w:left="0" w:right="0" w:firstLine="480" w:firstLineChars="200"/>
              <w:jc w:val="both"/>
              <w:rPr>
                <w:rStyle w:val="DefaultParagraphFont"/>
                <w:rFonts w:ascii="宋体" w:eastAsia="宋体" w:hAnsi="宋体" w:cs="宋体" w:hint="default"/>
                <w:color w:val="auto"/>
                <w:kern w:val="2"/>
                <w:sz w:val="24"/>
                <w:szCs w:val="24"/>
                <w:lang w:val="en-US" w:eastAsia="zh-CN" w:bidi="ar-SA"/>
              </w:rPr>
            </w:pPr>
          </w:p>
          <w:p>
            <w:pPr>
              <w:keepNext w:val="0"/>
              <w:keepLines w:val="0"/>
              <w:widowControl w:val="0"/>
              <w:suppressLineNumbers w:val="0"/>
              <w:spacing w:before="0" w:beforeAutospacing="0" w:after="0" w:afterAutospacing="0" w:line="480" w:lineRule="exact"/>
              <w:ind w:left="0" w:right="0" w:firstLine="480" w:firstLineChars="20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委托代理人身份证复印件</w:t>
            </w:r>
          </w:p>
          <w:p>
            <w:pPr>
              <w:keepNext w:val="0"/>
              <w:keepLines w:val="0"/>
              <w:widowControl w:val="0"/>
              <w:suppressLineNumbers w:val="0"/>
              <w:spacing w:before="0" w:beforeAutospacing="0" w:after="0" w:afterAutospacing="0" w:line="480" w:lineRule="exact"/>
              <w:ind w:left="0" w:right="0" w:firstLine="480" w:firstLineChars="20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 xml:space="preserve">       （背面）</w:t>
            </w:r>
          </w:p>
        </w:tc>
      </w:tr>
    </w:tbl>
    <w:p>
      <w:pPr>
        <w:spacing w:line="480" w:lineRule="exact"/>
        <w:ind w:firstLine="480" w:firstLineChars="200"/>
        <w:rPr>
          <w:rFonts w:ascii="宋体" w:eastAsia="宋体" w:hAnsi="宋体" w:cs="宋体"/>
          <w:color w:val="auto"/>
          <w:sz w:val="24"/>
        </w:rPr>
      </w:pPr>
    </w:p>
    <w:p>
      <w:pPr>
        <w:spacing w:line="480" w:lineRule="exact"/>
        <w:ind w:firstLine="480" w:firstLineChars="200"/>
        <w:rPr>
          <w:rFonts w:ascii="宋体" w:eastAsia="宋体" w:hAnsi="宋体" w:cs="宋体"/>
          <w:color w:val="auto"/>
          <w:sz w:val="24"/>
        </w:rPr>
      </w:pPr>
    </w:p>
    <w:p>
      <w:pPr>
        <w:spacing w:before="60" w:after="60" w:line="500" w:lineRule="exact"/>
        <w:ind w:firstLine="510"/>
        <w:rPr>
          <w:rFonts w:ascii="宋体" w:eastAsia="宋体" w:hAnsi="宋体" w:cs="宋体"/>
          <w:color w:val="auto"/>
          <w:kern w:val="0"/>
          <w:sz w:val="24"/>
        </w:rPr>
      </w:pPr>
      <w:r>
        <w:rPr>
          <w:rFonts w:ascii="宋体" w:eastAsia="宋体" w:hAnsi="宋体" w:cs="宋体" w:hint="eastAsia"/>
          <w:snapToGrid w:val="0"/>
          <w:color w:val="auto"/>
          <w:kern w:val="0"/>
          <w:sz w:val="24"/>
        </w:rPr>
        <w:t>供应商名称：</w:t>
      </w:r>
      <w:r>
        <w:rPr>
          <w:rFonts w:ascii="宋体" w:eastAsia="宋体" w:hAnsi="宋体" w:cs="宋体" w:hint="eastAsia"/>
          <w:snapToGrid w:val="0"/>
          <w:color w:val="auto"/>
          <w:kern w:val="0"/>
          <w:sz w:val="24"/>
          <w:u w:val="single"/>
        </w:rPr>
        <w:t xml:space="preserve">        （全称）              </w:t>
      </w:r>
      <w:r>
        <w:rPr>
          <w:rFonts w:ascii="宋体" w:eastAsia="宋体" w:hAnsi="宋体" w:cs="宋体" w:hint="eastAsia"/>
          <w:snapToGrid w:val="0"/>
          <w:color w:val="auto"/>
          <w:kern w:val="0"/>
          <w:sz w:val="24"/>
        </w:rPr>
        <w:t>（电子签章）</w:t>
      </w:r>
      <w:r>
        <w:rPr>
          <w:rFonts w:ascii="宋体" w:eastAsia="宋体" w:hAnsi="宋体" w:cs="宋体" w:hint="eastAsia"/>
          <w:color w:val="auto"/>
          <w:kern w:val="0"/>
          <w:sz w:val="24"/>
        </w:rPr>
        <w:t xml:space="preserve">  </w:t>
      </w:r>
    </w:p>
    <w:p>
      <w:pPr>
        <w:spacing w:line="480" w:lineRule="exact"/>
        <w:ind w:firstLine="480" w:firstLineChars="200"/>
        <w:rPr>
          <w:rFonts w:ascii="宋体" w:eastAsia="宋体" w:hAnsi="宋体" w:cs="宋体"/>
          <w:color w:val="auto"/>
          <w:sz w:val="24"/>
          <w:u w:val="single"/>
        </w:rPr>
      </w:pPr>
      <w:r>
        <w:rPr>
          <w:rFonts w:ascii="宋体" w:eastAsia="宋体" w:hAnsi="宋体" w:cs="宋体" w:hint="eastAsia"/>
          <w:color w:val="auto"/>
          <w:sz w:val="24"/>
        </w:rPr>
        <w:t>法定代表人：</w:t>
      </w:r>
      <w:r>
        <w:rPr>
          <w:rFonts w:ascii="宋体" w:eastAsia="宋体" w:hAnsi="宋体" w:cs="宋体" w:hint="eastAsia"/>
          <w:color w:val="auto"/>
          <w:sz w:val="24"/>
          <w:u w:val="single"/>
        </w:rPr>
        <w:t xml:space="preserve">                     （签字和盖章）    </w:t>
      </w:r>
    </w:p>
    <w:p>
      <w:pPr>
        <w:spacing w:line="480" w:lineRule="exact"/>
        <w:ind w:firstLine="480" w:firstLineChars="200"/>
        <w:rPr>
          <w:rFonts w:ascii="宋体" w:eastAsia="宋体" w:hAnsi="宋体" w:cs="宋体"/>
          <w:color w:val="auto"/>
          <w:sz w:val="24"/>
          <w:u w:val="single"/>
        </w:rPr>
      </w:pPr>
      <w:r>
        <w:rPr>
          <w:rFonts w:ascii="宋体" w:eastAsia="宋体" w:hAnsi="宋体" w:cs="宋体" w:hint="eastAsia"/>
          <w:color w:val="auto"/>
          <w:sz w:val="24"/>
        </w:rPr>
        <w:t>法定代表人身份证号码：</w:t>
      </w:r>
      <w:r>
        <w:rPr>
          <w:rFonts w:ascii="宋体" w:eastAsia="宋体" w:hAnsi="宋体" w:cs="宋体" w:hint="eastAsia"/>
          <w:color w:val="auto"/>
          <w:sz w:val="24"/>
          <w:u w:val="single"/>
        </w:rPr>
        <w:t xml:space="preserve">                             </w:t>
      </w:r>
    </w:p>
    <w:p>
      <w:pPr>
        <w:spacing w:line="480" w:lineRule="exact"/>
        <w:ind w:firstLine="480" w:firstLineChars="200"/>
        <w:rPr>
          <w:rFonts w:ascii="宋体" w:eastAsia="宋体" w:hAnsi="宋体" w:cs="宋体"/>
          <w:color w:val="auto"/>
          <w:sz w:val="24"/>
        </w:rPr>
      </w:pPr>
      <w:r>
        <w:rPr>
          <w:rFonts w:ascii="宋体" w:eastAsia="宋体" w:hAnsi="宋体" w:cs="宋体" w:hint="eastAsia"/>
          <w:color w:val="auto"/>
          <w:sz w:val="24"/>
        </w:rPr>
        <w:t>委托代理人：</w:t>
      </w:r>
      <w:r>
        <w:rPr>
          <w:rFonts w:ascii="宋体" w:eastAsia="宋体" w:hAnsi="宋体" w:cs="宋体" w:hint="eastAsia"/>
          <w:color w:val="auto"/>
          <w:sz w:val="24"/>
          <w:u w:val="single"/>
        </w:rPr>
        <w:t xml:space="preserve">                        （签字或盖章） </w:t>
      </w:r>
    </w:p>
    <w:p>
      <w:pPr>
        <w:spacing w:line="480" w:lineRule="exact"/>
        <w:ind w:firstLine="480" w:firstLineChars="200"/>
        <w:rPr>
          <w:rFonts w:ascii="宋体" w:eastAsia="宋体" w:hAnsi="宋体" w:cs="宋体"/>
          <w:color w:val="auto"/>
          <w:sz w:val="24"/>
          <w:u w:val="single"/>
        </w:rPr>
      </w:pPr>
      <w:r>
        <w:rPr>
          <w:rFonts w:ascii="宋体" w:eastAsia="宋体" w:hAnsi="宋体" w:cs="宋体" w:hint="eastAsia"/>
          <w:color w:val="auto"/>
          <w:sz w:val="24"/>
        </w:rPr>
        <w:t>委托代理人身份证号码：</w:t>
      </w:r>
      <w:r>
        <w:rPr>
          <w:rFonts w:ascii="宋体" w:eastAsia="宋体" w:hAnsi="宋体" w:cs="宋体" w:hint="eastAsia"/>
          <w:color w:val="auto"/>
          <w:sz w:val="24"/>
          <w:u w:val="single"/>
        </w:rPr>
        <w:t xml:space="preserve">                             </w:t>
      </w:r>
    </w:p>
    <w:p>
      <w:pPr>
        <w:spacing w:line="480" w:lineRule="exact"/>
        <w:ind w:firstLine="480" w:firstLineChars="200"/>
        <w:rPr>
          <w:rFonts w:ascii="宋体" w:eastAsia="宋体" w:hAnsi="宋体" w:cs="宋体"/>
          <w:color w:val="auto"/>
          <w:sz w:val="24"/>
        </w:rPr>
      </w:pPr>
      <w:r>
        <w:rPr>
          <w:rFonts w:ascii="宋体" w:eastAsia="宋体" w:hAnsi="宋体" w:cs="宋体" w:hint="eastAsia"/>
          <w:color w:val="auto"/>
          <w:sz w:val="24"/>
        </w:rPr>
        <w:t xml:space="preserve">日 期：   年  月   日  </w:t>
      </w:r>
    </w:p>
    <w:p>
      <w:pPr>
        <w:widowControl/>
        <w:spacing w:line="408" w:lineRule="auto"/>
        <w:rPr>
          <w:rFonts w:ascii="宋体" w:eastAsia="宋体" w:hAnsi="宋体" w:cs="宋体"/>
          <w:b/>
          <w:bCs/>
          <w:color w:val="auto"/>
          <w:kern w:val="0"/>
          <w:sz w:val="28"/>
          <w:szCs w:val="28"/>
        </w:rPr>
      </w:pPr>
    </w:p>
    <w:p>
      <w:pPr>
        <w:widowControl/>
        <w:spacing w:line="440" w:lineRule="exact"/>
        <w:ind w:firstLine="480" w:firstLineChars="200"/>
        <w:jc w:val="left"/>
        <w:rPr>
          <w:rFonts w:ascii="宋体" w:eastAsia="宋体" w:hAnsi="宋体" w:cs="宋体"/>
          <w:b/>
          <w:color w:val="auto"/>
          <w:kern w:val="0"/>
          <w:sz w:val="24"/>
        </w:rPr>
      </w:pPr>
      <w:r>
        <w:rPr>
          <w:rFonts w:ascii="宋体" w:eastAsia="宋体" w:hAnsi="宋体" w:cs="宋体" w:hint="eastAsia"/>
          <w:b/>
          <w:color w:val="auto"/>
          <w:kern w:val="0"/>
          <w:sz w:val="24"/>
        </w:rPr>
        <w:t>注：法定代表人亲自参与投标的无需提供</w:t>
      </w:r>
      <w:r>
        <w:rPr>
          <w:rFonts w:ascii="宋体" w:eastAsia="宋体" w:hAnsi="宋体" w:cs="宋体" w:hint="eastAsia"/>
          <w:b/>
          <w:color w:val="auto"/>
          <w:kern w:val="0"/>
          <w:sz w:val="24"/>
        </w:rPr>
        <w:t>“</w:t>
      </w:r>
      <w:r>
        <w:rPr>
          <w:rFonts w:ascii="宋体" w:eastAsia="宋体" w:hAnsi="宋体" w:cs="宋体" w:hint="eastAsia"/>
          <w:b/>
          <w:color w:val="auto"/>
          <w:kern w:val="0"/>
          <w:sz w:val="24"/>
        </w:rPr>
        <w:t>授权委托书</w:t>
      </w:r>
      <w:r>
        <w:rPr>
          <w:rFonts w:ascii="宋体" w:eastAsia="宋体" w:hAnsi="宋体" w:cs="宋体" w:hint="eastAsia"/>
          <w:b/>
          <w:color w:val="auto"/>
          <w:kern w:val="0"/>
          <w:sz w:val="24"/>
        </w:rPr>
        <w:t>”</w:t>
      </w:r>
      <w:r>
        <w:rPr>
          <w:rFonts w:ascii="宋体" w:eastAsia="宋体" w:hAnsi="宋体" w:cs="宋体" w:hint="eastAsia"/>
          <w:b/>
          <w:color w:val="auto"/>
          <w:kern w:val="0"/>
          <w:sz w:val="24"/>
        </w:rPr>
        <w:t>，可以在空格中用</w:t>
      </w:r>
      <w:r>
        <w:rPr>
          <w:rFonts w:ascii="宋体" w:eastAsia="宋体" w:hAnsi="宋体" w:cs="宋体" w:hint="eastAsia"/>
          <w:b/>
          <w:color w:val="auto"/>
          <w:kern w:val="0"/>
          <w:sz w:val="24"/>
        </w:rPr>
        <w:t>“</w:t>
      </w:r>
      <w:r>
        <w:rPr>
          <w:rFonts w:ascii="宋体" w:eastAsia="宋体" w:hAnsi="宋体" w:cs="宋体" w:hint="eastAsia"/>
          <w:b/>
          <w:color w:val="auto"/>
          <w:kern w:val="0"/>
          <w:sz w:val="24"/>
        </w:rPr>
        <w:t>/</w:t>
      </w:r>
      <w:r>
        <w:rPr>
          <w:rFonts w:ascii="宋体" w:eastAsia="宋体" w:hAnsi="宋体" w:cs="宋体" w:hint="eastAsia"/>
          <w:b/>
          <w:color w:val="auto"/>
          <w:kern w:val="0"/>
          <w:sz w:val="24"/>
        </w:rPr>
        <w:t>”</w:t>
      </w:r>
      <w:r>
        <w:rPr>
          <w:rFonts w:ascii="宋体" w:eastAsia="宋体" w:hAnsi="宋体" w:cs="宋体" w:hint="eastAsia"/>
          <w:b/>
          <w:color w:val="auto"/>
          <w:kern w:val="0"/>
          <w:sz w:val="24"/>
        </w:rPr>
        <w:t>标示，也可以不填（空白）。</w:t>
      </w:r>
    </w:p>
    <w:p>
      <w:pPr>
        <w:widowControl/>
        <w:numPr>
          <w:ilvl w:val="0"/>
          <w:numId w:val="0"/>
        </w:numPr>
        <w:spacing w:line="408" w:lineRule="auto"/>
        <w:jc w:val="center"/>
        <w:outlineLvl w:val="0"/>
        <w:rPr>
          <w:rFonts w:ascii="宋体" w:eastAsia="宋体" w:hAnsi="宋体" w:cs="宋体" w:hint="eastAsia"/>
          <w:b/>
          <w:bCs/>
          <w:color w:val="auto"/>
          <w:kern w:val="0"/>
          <w:sz w:val="28"/>
          <w:szCs w:val="28"/>
        </w:rPr>
      </w:pPr>
      <w:bookmarkStart w:id="110" w:name="_Toc483313502"/>
      <w:r>
        <w:rPr>
          <w:rFonts w:ascii="宋体" w:eastAsia="宋体" w:hAnsi="宋体" w:cs="宋体" w:hint="eastAsia"/>
          <w:b/>
          <w:bCs/>
          <w:color w:val="auto"/>
          <w:kern w:val="0"/>
          <w:sz w:val="28"/>
          <w:szCs w:val="28"/>
        </w:rPr>
        <w:br w:type="page"/>
      </w:r>
      <w:bookmarkStart w:id="111" w:name="_Toc2069"/>
      <w:r>
        <w:rPr>
          <w:rFonts w:ascii="宋体" w:eastAsia="宋体" w:hAnsi="宋体" w:cs="宋体" w:hint="eastAsia"/>
          <w:b/>
          <w:bCs/>
          <w:color w:val="auto"/>
          <w:kern w:val="0"/>
          <w:sz w:val="28"/>
          <w:szCs w:val="28"/>
          <w:lang w:val="en-US" w:eastAsia="zh-CN"/>
        </w:rPr>
        <w:t>六、分项报价表</w:t>
      </w:r>
    </w:p>
    <w:tbl>
      <w:tblPr>
        <w:tblStyle w:val="TableNormal"/>
        <w:tblpPr w:leftFromText="180" w:rightFromText="180" w:vertAnchor="text" w:horzAnchor="page" w:tblpX="874" w:tblpY="424"/>
        <w:tblOverlap w:val="never"/>
        <w:tblW w:w="10096" w:type="dxa"/>
        <w:tblInd w:w="0" w:type="dxa"/>
        <w:tblLayout w:type="fixed"/>
        <w:tblCellMar>
          <w:top w:w="0" w:type="dxa"/>
          <w:left w:w="108" w:type="dxa"/>
          <w:bottom w:w="0" w:type="dxa"/>
          <w:right w:w="108" w:type="dxa"/>
        </w:tblCellMar>
        <w:tblLook w:val="04A0"/>
      </w:tblPr>
      <w:tblGrid>
        <w:gridCol w:w="1052"/>
        <w:gridCol w:w="1555"/>
        <w:gridCol w:w="1549"/>
        <w:gridCol w:w="1549"/>
        <w:gridCol w:w="843"/>
        <w:gridCol w:w="799"/>
        <w:gridCol w:w="1122"/>
        <w:gridCol w:w="946"/>
        <w:gridCol w:w="681"/>
      </w:tblGrid>
      <w:tr>
        <w:tblPrEx>
          <w:tblW w:w="10096" w:type="dxa"/>
          <w:tblInd w:w="0" w:type="dxa"/>
          <w:tblLayout w:type="fixed"/>
          <w:tblCellMar>
            <w:top w:w="0" w:type="dxa"/>
            <w:left w:w="108" w:type="dxa"/>
            <w:bottom w:w="0" w:type="dxa"/>
            <w:right w:w="108" w:type="dxa"/>
          </w:tblCellMar>
          <w:tblLook w:val="04A0"/>
        </w:tblPrEx>
        <w:trPr>
          <w:trHeight w:val="1068"/>
          <w:tblHeader/>
        </w:trPr>
        <w:tc>
          <w:tcPr>
            <w:tcW w:w="1052" w:type="dxa"/>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line="400" w:lineRule="exact"/>
              <w:ind w:left="0" w:right="0"/>
              <w:jc w:val="both"/>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序号</w:t>
            </w:r>
          </w:p>
        </w:tc>
        <w:tc>
          <w:tcPr>
            <w:tcW w:w="1555" w:type="dxa"/>
            <w:tcBorders>
              <w:top w:val="single" w:sz="4" w:space="0" w:color="auto"/>
              <w:left w:val="single" w:sz="4" w:space="0" w:color="auto"/>
              <w:bottom w:val="single" w:sz="4" w:space="0" w:color="auto"/>
            </w:tcBorders>
            <w:vAlign w:val="center"/>
          </w:tcPr>
          <w:p>
            <w:pPr>
              <w:keepNext w:val="0"/>
              <w:keepLines w:val="0"/>
              <w:widowControl/>
              <w:suppressLineNumbers w:val="0"/>
              <w:spacing w:before="0" w:beforeAutospacing="0" w:after="0" w:afterAutospacing="0" w:line="400" w:lineRule="exact"/>
              <w:ind w:left="0" w:right="0"/>
              <w:jc w:val="center"/>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名称</w:t>
            </w: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400" w:lineRule="exact"/>
              <w:ind w:left="0" w:right="0"/>
              <w:jc w:val="center"/>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产地或厂家</w:t>
            </w: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400" w:lineRule="exact"/>
              <w:ind w:left="0" w:right="0"/>
              <w:jc w:val="center"/>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品牌、规格及型号</w:t>
            </w:r>
          </w:p>
        </w:tc>
        <w:tc>
          <w:tcPr>
            <w:tcW w:w="84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400" w:lineRule="exact"/>
              <w:ind w:left="0" w:right="0"/>
              <w:jc w:val="center"/>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数量</w:t>
            </w:r>
          </w:p>
        </w:tc>
        <w:tc>
          <w:tcPr>
            <w:tcW w:w="79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400" w:lineRule="exact"/>
              <w:ind w:left="0" w:right="0"/>
              <w:jc w:val="center"/>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计量</w:t>
            </w:r>
          </w:p>
          <w:p>
            <w:pPr>
              <w:keepNext w:val="0"/>
              <w:keepLines w:val="0"/>
              <w:widowControl w:val="0"/>
              <w:suppressLineNumbers w:val="0"/>
              <w:spacing w:before="0" w:beforeAutospacing="0" w:after="0" w:afterAutospacing="0" w:line="400" w:lineRule="exact"/>
              <w:ind w:left="0" w:right="0"/>
              <w:jc w:val="center"/>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单位</w:t>
            </w:r>
          </w:p>
        </w:tc>
        <w:tc>
          <w:tcPr>
            <w:tcW w:w="1122"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400" w:lineRule="exact"/>
              <w:ind w:left="0" w:right="0"/>
              <w:jc w:val="center"/>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单价（元）</w:t>
            </w:r>
          </w:p>
        </w:tc>
        <w:tc>
          <w:tcPr>
            <w:tcW w:w="946"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400" w:lineRule="exact"/>
              <w:ind w:left="0" w:right="0"/>
              <w:jc w:val="center"/>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小计（元）</w:t>
            </w:r>
          </w:p>
        </w:tc>
        <w:tc>
          <w:tcPr>
            <w:tcW w:w="681"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line="400" w:lineRule="exact"/>
              <w:ind w:left="0" w:right="0"/>
              <w:jc w:val="center"/>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备注</w:t>
            </w:r>
          </w:p>
        </w:tc>
      </w:tr>
      <w:tr>
        <w:tblPrEx>
          <w:tblW w:w="10096" w:type="dxa"/>
          <w:tblInd w:w="0" w:type="dxa"/>
          <w:tblLayout w:type="fixed"/>
          <w:tblCellMar>
            <w:top w:w="0" w:type="dxa"/>
            <w:left w:w="108" w:type="dxa"/>
            <w:bottom w:w="0" w:type="dxa"/>
            <w:right w:w="108" w:type="dxa"/>
          </w:tblCellMar>
          <w:tblLook w:val="04A0"/>
        </w:tblPrEx>
        <w:trPr>
          <w:trHeight w:val="619"/>
        </w:trPr>
        <w:tc>
          <w:tcPr>
            <w:tcW w:w="1052" w:type="dxa"/>
            <w:tcBorders>
              <w:top w:val="nil"/>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55" w:type="dxa"/>
            <w:tcBorders>
              <w:top w:val="nil"/>
              <w:left w:val="single" w:sz="4" w:space="0" w:color="auto"/>
              <w:bottom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84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799" w:type="dxa"/>
            <w:tcBorders>
              <w:top w:val="nil"/>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122" w:type="dxa"/>
            <w:tcBorders>
              <w:top w:val="nil"/>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　</w:t>
            </w:r>
          </w:p>
        </w:tc>
        <w:tc>
          <w:tcPr>
            <w:tcW w:w="946" w:type="dxa"/>
            <w:tcBorders>
              <w:top w:val="nil"/>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　</w:t>
            </w:r>
          </w:p>
        </w:tc>
        <w:tc>
          <w:tcPr>
            <w:tcW w:w="681" w:type="dxa"/>
            <w:tcBorders>
              <w:top w:val="nil"/>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r>
      <w:tr>
        <w:tblPrEx>
          <w:tblW w:w="10096" w:type="dxa"/>
          <w:tblInd w:w="0" w:type="dxa"/>
          <w:tblLayout w:type="fixed"/>
          <w:tblCellMar>
            <w:top w:w="0" w:type="dxa"/>
            <w:left w:w="108" w:type="dxa"/>
            <w:bottom w:w="0" w:type="dxa"/>
            <w:right w:w="108" w:type="dxa"/>
          </w:tblCellMar>
          <w:tblLook w:val="04A0"/>
        </w:tblPrEx>
        <w:trPr>
          <w:trHeight w:val="562"/>
        </w:trPr>
        <w:tc>
          <w:tcPr>
            <w:tcW w:w="1052" w:type="dxa"/>
            <w:tcBorders>
              <w:top w:val="nil"/>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55" w:type="dxa"/>
            <w:tcBorders>
              <w:top w:val="nil"/>
              <w:left w:val="single" w:sz="4" w:space="0" w:color="auto"/>
              <w:bottom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84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799" w:type="dxa"/>
            <w:tcBorders>
              <w:top w:val="nil"/>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122" w:type="dxa"/>
            <w:tcBorders>
              <w:top w:val="nil"/>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　</w:t>
            </w:r>
          </w:p>
        </w:tc>
        <w:tc>
          <w:tcPr>
            <w:tcW w:w="946" w:type="dxa"/>
            <w:tcBorders>
              <w:top w:val="nil"/>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　</w:t>
            </w:r>
          </w:p>
        </w:tc>
        <w:tc>
          <w:tcPr>
            <w:tcW w:w="681" w:type="dxa"/>
            <w:tcBorders>
              <w:top w:val="nil"/>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r>
      <w:tr>
        <w:tblPrEx>
          <w:tblW w:w="10096" w:type="dxa"/>
          <w:tblInd w:w="0" w:type="dxa"/>
          <w:tblLayout w:type="fixed"/>
          <w:tblCellMar>
            <w:top w:w="0" w:type="dxa"/>
            <w:left w:w="108" w:type="dxa"/>
            <w:bottom w:w="0" w:type="dxa"/>
            <w:right w:w="108" w:type="dxa"/>
          </w:tblCellMar>
          <w:tblLook w:val="04A0"/>
        </w:tblPrEx>
        <w:trPr>
          <w:trHeight w:val="577"/>
        </w:trPr>
        <w:tc>
          <w:tcPr>
            <w:tcW w:w="1052" w:type="dxa"/>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55" w:type="dxa"/>
            <w:tcBorders>
              <w:top w:val="single" w:sz="4" w:space="0" w:color="auto"/>
              <w:left w:val="single" w:sz="4" w:space="0" w:color="auto"/>
              <w:bottom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84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79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122"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　</w:t>
            </w:r>
          </w:p>
        </w:tc>
        <w:tc>
          <w:tcPr>
            <w:tcW w:w="946"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　</w:t>
            </w:r>
          </w:p>
        </w:tc>
        <w:tc>
          <w:tcPr>
            <w:tcW w:w="681"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r>
      <w:tr>
        <w:tblPrEx>
          <w:tblW w:w="10096" w:type="dxa"/>
          <w:tblInd w:w="0" w:type="dxa"/>
          <w:tblLayout w:type="fixed"/>
          <w:tblCellMar>
            <w:top w:w="0" w:type="dxa"/>
            <w:left w:w="108" w:type="dxa"/>
            <w:bottom w:w="0" w:type="dxa"/>
            <w:right w:w="108" w:type="dxa"/>
          </w:tblCellMar>
          <w:tblLook w:val="04A0"/>
        </w:tblPrEx>
        <w:trPr>
          <w:trHeight w:val="577"/>
        </w:trPr>
        <w:tc>
          <w:tcPr>
            <w:tcW w:w="1052" w:type="dxa"/>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55" w:type="dxa"/>
            <w:tcBorders>
              <w:top w:val="single" w:sz="4" w:space="0" w:color="auto"/>
              <w:left w:val="single" w:sz="4" w:space="0" w:color="auto"/>
              <w:bottom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84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79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122"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946"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681"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r>
      <w:tr>
        <w:tblPrEx>
          <w:tblW w:w="10096" w:type="dxa"/>
          <w:tblInd w:w="0" w:type="dxa"/>
          <w:tblLayout w:type="fixed"/>
          <w:tblCellMar>
            <w:top w:w="0" w:type="dxa"/>
            <w:left w:w="108" w:type="dxa"/>
            <w:bottom w:w="0" w:type="dxa"/>
            <w:right w:w="108" w:type="dxa"/>
          </w:tblCellMar>
          <w:tblLook w:val="04A0"/>
        </w:tblPrEx>
        <w:trPr>
          <w:trHeight w:val="577"/>
        </w:trPr>
        <w:tc>
          <w:tcPr>
            <w:tcW w:w="1052" w:type="dxa"/>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55" w:type="dxa"/>
            <w:tcBorders>
              <w:top w:val="single" w:sz="4" w:space="0" w:color="auto"/>
              <w:left w:val="single" w:sz="4" w:space="0" w:color="auto"/>
              <w:bottom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84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79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122"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946"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681"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r>
      <w:tr>
        <w:tblPrEx>
          <w:tblW w:w="10096" w:type="dxa"/>
          <w:tblInd w:w="0" w:type="dxa"/>
          <w:tblLayout w:type="fixed"/>
          <w:tblCellMar>
            <w:top w:w="0" w:type="dxa"/>
            <w:left w:w="108" w:type="dxa"/>
            <w:bottom w:w="0" w:type="dxa"/>
            <w:right w:w="108" w:type="dxa"/>
          </w:tblCellMar>
          <w:tblLook w:val="04A0"/>
        </w:tblPrEx>
        <w:trPr>
          <w:trHeight w:val="577"/>
        </w:trPr>
        <w:tc>
          <w:tcPr>
            <w:tcW w:w="1052" w:type="dxa"/>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55" w:type="dxa"/>
            <w:tcBorders>
              <w:top w:val="single" w:sz="4" w:space="0" w:color="auto"/>
              <w:left w:val="single" w:sz="4" w:space="0" w:color="auto"/>
              <w:bottom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84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79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122"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946"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681"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r>
      <w:tr>
        <w:tblPrEx>
          <w:tblW w:w="10096" w:type="dxa"/>
          <w:tblInd w:w="0" w:type="dxa"/>
          <w:tblLayout w:type="fixed"/>
          <w:tblCellMar>
            <w:top w:w="0" w:type="dxa"/>
            <w:left w:w="108" w:type="dxa"/>
            <w:bottom w:w="0" w:type="dxa"/>
            <w:right w:w="108" w:type="dxa"/>
          </w:tblCellMar>
          <w:tblLook w:val="04A0"/>
        </w:tblPrEx>
        <w:trPr>
          <w:trHeight w:val="577"/>
        </w:trPr>
        <w:tc>
          <w:tcPr>
            <w:tcW w:w="1052" w:type="dxa"/>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55" w:type="dxa"/>
            <w:tcBorders>
              <w:top w:val="single" w:sz="4" w:space="0" w:color="auto"/>
              <w:left w:val="single" w:sz="4" w:space="0" w:color="auto"/>
              <w:bottom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84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79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122"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946"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681"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r>
      <w:tr>
        <w:tblPrEx>
          <w:tblW w:w="10096" w:type="dxa"/>
          <w:tblInd w:w="0" w:type="dxa"/>
          <w:tblLayout w:type="fixed"/>
          <w:tblCellMar>
            <w:top w:w="0" w:type="dxa"/>
            <w:left w:w="108" w:type="dxa"/>
            <w:bottom w:w="0" w:type="dxa"/>
            <w:right w:w="108" w:type="dxa"/>
          </w:tblCellMar>
          <w:tblLook w:val="04A0"/>
        </w:tblPrEx>
        <w:trPr>
          <w:trHeight w:val="577"/>
        </w:trPr>
        <w:tc>
          <w:tcPr>
            <w:tcW w:w="1052" w:type="dxa"/>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55" w:type="dxa"/>
            <w:tcBorders>
              <w:top w:val="single" w:sz="4" w:space="0" w:color="auto"/>
              <w:left w:val="single" w:sz="4" w:space="0" w:color="auto"/>
              <w:bottom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84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79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122"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946"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681"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r>
      <w:tr>
        <w:tblPrEx>
          <w:tblW w:w="10096" w:type="dxa"/>
          <w:tblInd w:w="0" w:type="dxa"/>
          <w:tblLayout w:type="fixed"/>
          <w:tblCellMar>
            <w:top w:w="0" w:type="dxa"/>
            <w:left w:w="108" w:type="dxa"/>
            <w:bottom w:w="0" w:type="dxa"/>
            <w:right w:w="108" w:type="dxa"/>
          </w:tblCellMar>
          <w:tblLook w:val="04A0"/>
        </w:tblPrEx>
        <w:trPr>
          <w:trHeight w:val="577"/>
        </w:trPr>
        <w:tc>
          <w:tcPr>
            <w:tcW w:w="1052" w:type="dxa"/>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55" w:type="dxa"/>
            <w:tcBorders>
              <w:top w:val="single" w:sz="4" w:space="0" w:color="auto"/>
              <w:left w:val="single" w:sz="4" w:space="0" w:color="auto"/>
              <w:bottom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84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79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122"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946"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681"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r>
      <w:tr>
        <w:tblPrEx>
          <w:tblW w:w="10096" w:type="dxa"/>
          <w:tblInd w:w="0" w:type="dxa"/>
          <w:tblLayout w:type="fixed"/>
          <w:tblCellMar>
            <w:top w:w="0" w:type="dxa"/>
            <w:left w:w="108" w:type="dxa"/>
            <w:bottom w:w="0" w:type="dxa"/>
            <w:right w:w="108" w:type="dxa"/>
          </w:tblCellMar>
          <w:tblLook w:val="04A0"/>
        </w:tblPrEx>
        <w:trPr>
          <w:trHeight w:val="577"/>
        </w:trPr>
        <w:tc>
          <w:tcPr>
            <w:tcW w:w="1052" w:type="dxa"/>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55" w:type="dxa"/>
            <w:tcBorders>
              <w:top w:val="single" w:sz="4" w:space="0" w:color="auto"/>
              <w:left w:val="single" w:sz="4" w:space="0" w:color="auto"/>
              <w:bottom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84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79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122"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946"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681"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r>
      <w:tr>
        <w:tblPrEx>
          <w:tblW w:w="10096" w:type="dxa"/>
          <w:tblInd w:w="0" w:type="dxa"/>
          <w:tblLayout w:type="fixed"/>
          <w:tblCellMar>
            <w:top w:w="0" w:type="dxa"/>
            <w:left w:w="108" w:type="dxa"/>
            <w:bottom w:w="0" w:type="dxa"/>
            <w:right w:w="108" w:type="dxa"/>
          </w:tblCellMar>
          <w:tblLook w:val="04A0"/>
        </w:tblPrEx>
        <w:trPr>
          <w:trHeight w:val="577"/>
        </w:trPr>
        <w:tc>
          <w:tcPr>
            <w:tcW w:w="1052" w:type="dxa"/>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55" w:type="dxa"/>
            <w:tcBorders>
              <w:top w:val="single" w:sz="4" w:space="0" w:color="auto"/>
              <w:left w:val="single" w:sz="4" w:space="0" w:color="auto"/>
              <w:bottom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84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79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122"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946"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681"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r>
      <w:tr>
        <w:tblPrEx>
          <w:tblW w:w="10096" w:type="dxa"/>
          <w:tblInd w:w="0" w:type="dxa"/>
          <w:tblLayout w:type="fixed"/>
          <w:tblCellMar>
            <w:top w:w="0" w:type="dxa"/>
            <w:left w:w="108" w:type="dxa"/>
            <w:bottom w:w="0" w:type="dxa"/>
            <w:right w:w="108" w:type="dxa"/>
          </w:tblCellMar>
          <w:tblLook w:val="04A0"/>
        </w:tblPrEx>
        <w:trPr>
          <w:trHeight w:val="577"/>
        </w:trPr>
        <w:tc>
          <w:tcPr>
            <w:tcW w:w="1052" w:type="dxa"/>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55" w:type="dxa"/>
            <w:tcBorders>
              <w:top w:val="single" w:sz="4" w:space="0" w:color="auto"/>
              <w:left w:val="single" w:sz="4" w:space="0" w:color="auto"/>
              <w:bottom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84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79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122"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946"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681"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r>
      <w:tr>
        <w:tblPrEx>
          <w:tblW w:w="10096" w:type="dxa"/>
          <w:tblInd w:w="0" w:type="dxa"/>
          <w:tblLayout w:type="fixed"/>
          <w:tblCellMar>
            <w:top w:w="0" w:type="dxa"/>
            <w:left w:w="108" w:type="dxa"/>
            <w:bottom w:w="0" w:type="dxa"/>
            <w:right w:w="108" w:type="dxa"/>
          </w:tblCellMar>
          <w:tblLook w:val="04A0"/>
        </w:tblPrEx>
        <w:trPr>
          <w:trHeight w:val="577"/>
        </w:trPr>
        <w:tc>
          <w:tcPr>
            <w:tcW w:w="1052" w:type="dxa"/>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55" w:type="dxa"/>
            <w:tcBorders>
              <w:top w:val="single" w:sz="4" w:space="0" w:color="auto"/>
              <w:left w:val="single" w:sz="4" w:space="0" w:color="auto"/>
              <w:bottom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84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79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122"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946"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681"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r>
      <w:tr>
        <w:tblPrEx>
          <w:tblW w:w="10096" w:type="dxa"/>
          <w:tblInd w:w="0" w:type="dxa"/>
          <w:tblLayout w:type="fixed"/>
          <w:tblCellMar>
            <w:top w:w="0" w:type="dxa"/>
            <w:left w:w="108" w:type="dxa"/>
            <w:bottom w:w="0" w:type="dxa"/>
            <w:right w:w="108" w:type="dxa"/>
          </w:tblCellMar>
          <w:tblLook w:val="04A0"/>
        </w:tblPrEx>
        <w:trPr>
          <w:trHeight w:val="577"/>
        </w:trPr>
        <w:tc>
          <w:tcPr>
            <w:tcW w:w="1052" w:type="dxa"/>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55" w:type="dxa"/>
            <w:tcBorders>
              <w:top w:val="single" w:sz="4" w:space="0" w:color="auto"/>
              <w:left w:val="single" w:sz="4" w:space="0" w:color="auto"/>
              <w:bottom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84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79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122"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946"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681"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r>
      <w:tr>
        <w:tblPrEx>
          <w:tblW w:w="10096" w:type="dxa"/>
          <w:tblInd w:w="0" w:type="dxa"/>
          <w:tblLayout w:type="fixed"/>
          <w:tblCellMar>
            <w:top w:w="0" w:type="dxa"/>
            <w:left w:w="108" w:type="dxa"/>
            <w:bottom w:w="0" w:type="dxa"/>
            <w:right w:w="108" w:type="dxa"/>
          </w:tblCellMar>
          <w:tblLook w:val="04A0"/>
        </w:tblPrEx>
        <w:trPr>
          <w:trHeight w:val="577"/>
        </w:trPr>
        <w:tc>
          <w:tcPr>
            <w:tcW w:w="1052" w:type="dxa"/>
            <w:tcBorders>
              <w:top w:val="single" w:sz="4" w:space="0" w:color="auto"/>
              <w:left w:val="single" w:sz="4" w:space="0" w:color="auto"/>
              <w:bottom w:val="single" w:sz="4" w:space="0" w:color="auto"/>
              <w:right w:val="single" w:sz="4" w:space="0" w:color="auto"/>
            </w:tcBorders>
            <w:vAlign w:val="center"/>
          </w:tcPr>
          <w:p>
            <w:pPr>
              <w:keepNext w:val="0"/>
              <w:keepLines w:val="0"/>
              <w:widowControl/>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55" w:type="dxa"/>
            <w:tcBorders>
              <w:top w:val="single" w:sz="4" w:space="0" w:color="auto"/>
              <w:left w:val="single" w:sz="4" w:space="0" w:color="auto"/>
              <w:bottom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549"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843"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79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1122"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946"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c>
          <w:tcPr>
            <w:tcW w:w="681"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0"/>
                <w:sz w:val="24"/>
                <w:szCs w:val="24"/>
                <w:lang w:val="en-US" w:eastAsia="zh-CN" w:bidi="ar-SA"/>
              </w:rPr>
            </w:pPr>
          </w:p>
        </w:tc>
      </w:tr>
      <w:tr>
        <w:tblPrEx>
          <w:tblW w:w="10096" w:type="dxa"/>
          <w:tblInd w:w="0" w:type="dxa"/>
          <w:tblLayout w:type="fixed"/>
          <w:tblCellMar>
            <w:top w:w="0" w:type="dxa"/>
            <w:left w:w="108" w:type="dxa"/>
            <w:bottom w:w="0" w:type="dxa"/>
            <w:right w:w="108" w:type="dxa"/>
          </w:tblCellMar>
          <w:tblLook w:val="04A0"/>
        </w:tblPrEx>
        <w:trPr>
          <w:trHeight w:val="577"/>
        </w:trPr>
        <w:tc>
          <w:tcPr>
            <w:tcW w:w="10096" w:type="dxa"/>
            <w:gridSpan w:val="9"/>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spacing w:before="0" w:beforeAutospacing="0" w:after="0" w:afterAutospacing="0"/>
              <w:ind w:left="0" w:right="0"/>
              <w:jc w:val="right"/>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磋商总报价（第一次）：</w:t>
            </w:r>
            <w:r>
              <w:rPr>
                <w:rFonts w:ascii="宋体" w:eastAsia="宋体" w:hAnsi="宋体" w:cs="宋体" w:hint="eastAsia"/>
                <w:color w:val="auto"/>
                <w:kern w:val="0"/>
                <w:sz w:val="24"/>
                <w:szCs w:val="24"/>
                <w:u w:val="single"/>
                <w:lang w:val="en-US" w:eastAsia="zh-CN" w:bidi="ar-SA"/>
              </w:rPr>
              <w:t xml:space="preserve">         </w:t>
            </w:r>
            <w:r>
              <w:rPr>
                <w:rFonts w:ascii="宋体" w:eastAsia="宋体" w:hAnsi="宋体" w:cs="宋体" w:hint="eastAsia"/>
                <w:color w:val="auto"/>
                <w:kern w:val="0"/>
                <w:sz w:val="24"/>
                <w:szCs w:val="24"/>
                <w:lang w:val="en-US" w:eastAsia="zh-CN" w:bidi="ar-SA"/>
              </w:rPr>
              <w:t>元</w:t>
            </w:r>
          </w:p>
        </w:tc>
      </w:tr>
    </w:tbl>
    <w:p>
      <w:pPr>
        <w:spacing w:before="60" w:after="60" w:line="500" w:lineRule="exact"/>
        <w:ind w:firstLine="510"/>
        <w:rPr>
          <w:rFonts w:ascii="宋体" w:eastAsia="宋体" w:hAnsi="宋体" w:cs="宋体" w:hint="eastAsia"/>
          <w:snapToGrid w:val="0"/>
          <w:color w:val="auto"/>
          <w:kern w:val="0"/>
          <w:sz w:val="24"/>
        </w:rPr>
      </w:pPr>
      <w:r>
        <w:rPr>
          <w:rFonts w:ascii="宋体" w:eastAsia="宋体" w:hAnsi="宋体" w:cs="宋体" w:hint="eastAsia"/>
          <w:snapToGrid w:val="0"/>
          <w:color w:val="auto"/>
          <w:kern w:val="0"/>
          <w:sz w:val="24"/>
        </w:rPr>
        <w:t>注：1.分项报价表应包括本</w:t>
      </w:r>
      <w:r>
        <w:rPr>
          <w:rFonts w:ascii="宋体" w:eastAsia="宋体" w:hAnsi="宋体" w:cs="宋体" w:hint="eastAsia"/>
          <w:snapToGrid w:val="0"/>
          <w:color w:val="auto"/>
          <w:kern w:val="0"/>
          <w:sz w:val="24"/>
          <w:lang w:val="en-US" w:eastAsia="zh-CN"/>
        </w:rPr>
        <w:t>磋商</w:t>
      </w:r>
      <w:r>
        <w:rPr>
          <w:rFonts w:ascii="宋体" w:eastAsia="宋体" w:hAnsi="宋体" w:cs="宋体" w:hint="eastAsia"/>
          <w:snapToGrid w:val="0"/>
          <w:color w:val="auto"/>
          <w:kern w:val="0"/>
          <w:sz w:val="24"/>
        </w:rPr>
        <w:t>文件第</w:t>
      </w:r>
      <w:r>
        <w:rPr>
          <w:rFonts w:ascii="宋体" w:eastAsia="宋体" w:hAnsi="宋体" w:cs="宋体" w:hint="eastAsia"/>
          <w:snapToGrid w:val="0"/>
          <w:color w:val="auto"/>
          <w:kern w:val="0"/>
          <w:sz w:val="24"/>
          <w:lang w:val="en-US" w:eastAsia="zh-CN"/>
        </w:rPr>
        <w:t>三章</w:t>
      </w:r>
      <w:r>
        <w:rPr>
          <w:rFonts w:ascii="宋体" w:eastAsia="宋体" w:hAnsi="宋体" w:cs="宋体" w:hint="eastAsia"/>
          <w:snapToGrid w:val="0"/>
          <w:color w:val="auto"/>
          <w:kern w:val="0"/>
          <w:sz w:val="24"/>
        </w:rPr>
        <w:t>“</w:t>
      </w:r>
      <w:r>
        <w:rPr>
          <w:rFonts w:ascii="宋体" w:eastAsia="宋体" w:hAnsi="宋体" w:cs="宋体" w:hint="eastAsia"/>
          <w:snapToGrid w:val="0"/>
          <w:color w:val="auto"/>
          <w:kern w:val="0"/>
          <w:sz w:val="24"/>
          <w:lang w:val="en-US" w:eastAsia="zh-CN"/>
        </w:rPr>
        <w:t>采购清单</w:t>
      </w:r>
      <w:r>
        <w:rPr>
          <w:rFonts w:ascii="宋体" w:eastAsia="宋体" w:hAnsi="宋体" w:cs="宋体" w:hint="eastAsia"/>
          <w:snapToGrid w:val="0"/>
          <w:color w:val="auto"/>
          <w:kern w:val="0"/>
          <w:sz w:val="24"/>
        </w:rPr>
        <w:t>”</w:t>
      </w:r>
      <w:r>
        <w:rPr>
          <w:rFonts w:ascii="宋体" w:eastAsia="宋体" w:hAnsi="宋体" w:cs="宋体" w:hint="eastAsia"/>
          <w:snapToGrid w:val="0"/>
          <w:color w:val="auto"/>
          <w:kern w:val="0"/>
          <w:sz w:val="24"/>
        </w:rPr>
        <w:t>中的所有货物，供应商须对本次采购的所有货物进行报价。</w:t>
      </w:r>
    </w:p>
    <w:p>
      <w:pPr>
        <w:spacing w:before="60" w:after="60" w:line="500" w:lineRule="exact"/>
        <w:ind w:firstLine="510"/>
        <w:rPr>
          <w:rFonts w:ascii="宋体" w:eastAsia="宋体" w:hAnsi="宋体" w:cs="宋体" w:hint="default"/>
          <w:snapToGrid w:val="0"/>
          <w:color w:val="auto"/>
          <w:kern w:val="0"/>
          <w:sz w:val="24"/>
          <w:lang w:val="en-US" w:eastAsia="zh-CN"/>
        </w:rPr>
      </w:pPr>
      <w:r>
        <w:rPr>
          <w:rFonts w:ascii="宋体" w:eastAsia="宋体" w:hAnsi="宋体" w:cs="宋体" w:hint="eastAsia"/>
          <w:snapToGrid w:val="0"/>
          <w:color w:val="auto"/>
          <w:kern w:val="0"/>
          <w:sz w:val="24"/>
          <w:lang w:val="en-US" w:eastAsia="zh-CN"/>
        </w:rPr>
        <w:t>2.供应商可在本表后附货物的相关证明材料。</w:t>
      </w:r>
    </w:p>
    <w:p>
      <w:pPr>
        <w:widowControl/>
        <w:spacing w:line="408" w:lineRule="auto"/>
        <w:jc w:val="center"/>
        <w:outlineLvl w:val="0"/>
        <w:rPr>
          <w:rFonts w:ascii="宋体" w:eastAsia="宋体" w:hAnsi="宋体" w:cs="宋体" w:hint="eastAsia"/>
          <w:b/>
          <w:bCs/>
          <w:color w:val="auto"/>
          <w:kern w:val="0"/>
          <w:sz w:val="28"/>
          <w:szCs w:val="28"/>
        </w:rPr>
      </w:pPr>
    </w:p>
    <w:p>
      <w:pPr>
        <w:widowControl/>
        <w:spacing w:line="408" w:lineRule="auto"/>
        <w:jc w:val="center"/>
        <w:outlineLvl w:val="0"/>
        <w:rPr>
          <w:rFonts w:ascii="宋体" w:eastAsia="宋体" w:hAnsi="宋体" w:cs="宋体" w:hint="eastAsia"/>
          <w:b/>
          <w:bCs/>
          <w:color w:val="auto"/>
          <w:kern w:val="0"/>
          <w:sz w:val="28"/>
          <w:szCs w:val="28"/>
        </w:rPr>
      </w:pPr>
    </w:p>
    <w:p>
      <w:pPr>
        <w:widowControl/>
        <w:numPr>
          <w:ilvl w:val="0"/>
          <w:numId w:val="0"/>
        </w:numPr>
        <w:spacing w:line="408" w:lineRule="auto"/>
        <w:jc w:val="center"/>
        <w:outlineLvl w:val="0"/>
        <w:rPr>
          <w:rFonts w:hAnsi="宋体" w:hint="default"/>
          <w:sz w:val="24"/>
          <w:szCs w:val="24"/>
        </w:rPr>
      </w:pPr>
      <w:r>
        <w:rPr>
          <w:rFonts w:ascii="宋体" w:eastAsia="宋体" w:hAnsi="宋体" w:cs="宋体" w:hint="eastAsia"/>
          <w:b/>
          <w:bCs/>
          <w:color w:val="auto"/>
          <w:kern w:val="0"/>
          <w:sz w:val="28"/>
          <w:szCs w:val="28"/>
          <w:lang w:val="en-US" w:eastAsia="zh-CN"/>
        </w:rPr>
        <w:t>七、产品技术参数偏离表</w:t>
      </w:r>
      <w:r>
        <w:rPr>
          <w:rFonts w:hAnsi="宋体"/>
          <w:sz w:val="24"/>
          <w:szCs w:val="24"/>
        </w:rPr>
        <w:t xml:space="preserve">           </w:t>
      </w:r>
    </w:p>
    <w:tbl>
      <w:tblPr>
        <w:tblStyle w:val="TableNormal"/>
        <w:tblW w:w="9529" w:type="dxa"/>
        <w:tblInd w:w="95" w:type="dxa"/>
        <w:tblLayout w:type="fixed"/>
        <w:tblCellMar>
          <w:top w:w="0" w:type="dxa"/>
          <w:left w:w="108" w:type="dxa"/>
          <w:bottom w:w="0" w:type="dxa"/>
          <w:right w:w="108" w:type="dxa"/>
        </w:tblCellMar>
        <w:tblLook w:val="04A0"/>
      </w:tblPr>
      <w:tblGrid>
        <w:gridCol w:w="860"/>
        <w:gridCol w:w="1420"/>
        <w:gridCol w:w="2479"/>
        <w:gridCol w:w="2480"/>
        <w:gridCol w:w="1279"/>
        <w:gridCol w:w="1011"/>
      </w:tblGrid>
      <w:tr>
        <w:tblPrEx>
          <w:tblW w:w="9529" w:type="dxa"/>
          <w:tblInd w:w="95" w:type="dxa"/>
          <w:tblLayout w:type="fixed"/>
          <w:tblCellMar>
            <w:top w:w="0" w:type="dxa"/>
            <w:left w:w="108" w:type="dxa"/>
            <w:bottom w:w="0" w:type="dxa"/>
            <w:right w:w="108" w:type="dxa"/>
          </w:tblCellMar>
          <w:tblLook w:val="04A0"/>
        </w:tblPrEx>
        <w:trPr>
          <w:trHeight w:val="630"/>
        </w:trPr>
        <w:tc>
          <w:tcPr>
            <w:tcW w:w="860" w:type="dxa"/>
            <w:tcBorders>
              <w:top w:val="single" w:sz="4" w:space="0" w:color="auto"/>
              <w:left w:val="single" w:sz="4" w:space="0" w:color="auto"/>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r>
              <w:rPr>
                <w:rFonts w:ascii="Times New Roman" w:eastAsia="宋体" w:hAnsi="宋体" w:cs="Times New Roman"/>
                <w:kern w:val="2"/>
                <w:sz w:val="24"/>
                <w:szCs w:val="24"/>
                <w:lang w:val="en-US" w:eastAsia="zh-CN" w:bidi="ar-SA"/>
              </w:rPr>
              <w:t>序号</w:t>
            </w:r>
          </w:p>
        </w:tc>
        <w:tc>
          <w:tcPr>
            <w:tcW w:w="1420" w:type="dxa"/>
            <w:tcBorders>
              <w:top w:val="single" w:sz="4" w:space="0" w:color="auto"/>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r>
              <w:rPr>
                <w:rFonts w:ascii="Times New Roman" w:eastAsia="宋体" w:hAnsi="宋体" w:cs="Times New Roman"/>
                <w:kern w:val="2"/>
                <w:sz w:val="24"/>
                <w:szCs w:val="24"/>
                <w:lang w:val="en-US" w:eastAsia="zh-CN" w:bidi="ar-SA"/>
              </w:rPr>
              <w:t>名称</w:t>
            </w:r>
          </w:p>
        </w:tc>
        <w:tc>
          <w:tcPr>
            <w:tcW w:w="2479" w:type="dxa"/>
            <w:tcBorders>
              <w:top w:val="single" w:sz="4" w:space="0" w:color="auto"/>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r>
              <w:rPr>
                <w:rFonts w:ascii="Times New Roman" w:eastAsia="宋体" w:hAnsi="宋体" w:cs="Times New Roman" w:hint="eastAsia"/>
                <w:kern w:val="2"/>
                <w:sz w:val="24"/>
                <w:szCs w:val="24"/>
                <w:lang w:val="en-US" w:eastAsia="zh-CN" w:bidi="ar-SA"/>
              </w:rPr>
              <w:t>竞争性磋商</w:t>
            </w:r>
            <w:r>
              <w:rPr>
                <w:rFonts w:ascii="Times New Roman" w:eastAsia="宋体" w:hAnsi="宋体" w:cs="Times New Roman"/>
                <w:kern w:val="2"/>
                <w:sz w:val="24"/>
                <w:szCs w:val="24"/>
                <w:lang w:val="en-US" w:eastAsia="zh-CN" w:bidi="ar-SA"/>
              </w:rPr>
              <w:t>文件要求的产品</w:t>
            </w:r>
            <w:r>
              <w:rPr>
                <w:rFonts w:ascii="Times New Roman" w:eastAsia="宋体" w:hAnsi="宋体" w:cs="Times New Roman" w:hint="eastAsia"/>
                <w:kern w:val="2"/>
                <w:sz w:val="24"/>
                <w:szCs w:val="24"/>
                <w:lang w:val="en-US" w:eastAsia="zh-CN" w:bidi="ar-SA"/>
              </w:rPr>
              <w:t>主要性能参数</w:t>
            </w:r>
          </w:p>
        </w:tc>
        <w:tc>
          <w:tcPr>
            <w:tcW w:w="2480" w:type="dxa"/>
            <w:tcBorders>
              <w:top w:val="single" w:sz="4" w:space="0" w:color="auto"/>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r>
              <w:rPr>
                <w:rFonts w:ascii="Times New Roman" w:eastAsia="宋体" w:hAnsi="宋体" w:cs="Times New Roman"/>
                <w:kern w:val="2"/>
                <w:sz w:val="24"/>
                <w:szCs w:val="24"/>
                <w:lang w:val="en-US" w:eastAsia="zh-CN" w:bidi="ar-SA"/>
              </w:rPr>
              <w:t>投标产品的</w:t>
            </w:r>
            <w:r>
              <w:rPr>
                <w:rFonts w:ascii="Times New Roman" w:eastAsia="宋体" w:hAnsi="宋体" w:cs="Times New Roman" w:hint="eastAsia"/>
                <w:kern w:val="2"/>
                <w:sz w:val="24"/>
                <w:szCs w:val="24"/>
                <w:lang w:val="en-US" w:eastAsia="zh-CN" w:bidi="ar-SA"/>
              </w:rPr>
              <w:t>主要性能参数</w:t>
            </w:r>
          </w:p>
        </w:tc>
        <w:tc>
          <w:tcPr>
            <w:tcW w:w="1279" w:type="dxa"/>
            <w:tcBorders>
              <w:top w:val="single" w:sz="4" w:space="0" w:color="auto"/>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r>
              <w:rPr>
                <w:rFonts w:ascii="Times New Roman" w:eastAsia="宋体" w:hAnsi="宋体" w:cs="Times New Roman"/>
                <w:kern w:val="2"/>
                <w:sz w:val="24"/>
                <w:szCs w:val="24"/>
                <w:lang w:val="en-US" w:eastAsia="zh-CN" w:bidi="ar-SA"/>
              </w:rPr>
              <w:t>偏离情况</w:t>
            </w:r>
          </w:p>
        </w:tc>
        <w:tc>
          <w:tcPr>
            <w:tcW w:w="1011" w:type="dxa"/>
            <w:tcBorders>
              <w:top w:val="single" w:sz="4" w:space="0" w:color="auto"/>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r>
              <w:rPr>
                <w:rFonts w:ascii="Times New Roman" w:eastAsia="宋体" w:hAnsi="宋体" w:cs="Times New Roman"/>
                <w:kern w:val="2"/>
                <w:sz w:val="24"/>
                <w:szCs w:val="24"/>
                <w:lang w:val="en-US" w:eastAsia="zh-CN" w:bidi="ar-SA"/>
              </w:rPr>
              <w:t>说明</w:t>
            </w:r>
          </w:p>
        </w:tc>
      </w:tr>
      <w:tr>
        <w:tblPrEx>
          <w:tblW w:w="9529" w:type="dxa"/>
          <w:tblInd w:w="95" w:type="dxa"/>
          <w:tblLayout w:type="fixed"/>
          <w:tblCellMar>
            <w:top w:w="0" w:type="dxa"/>
            <w:left w:w="108" w:type="dxa"/>
            <w:bottom w:w="0" w:type="dxa"/>
            <w:right w:w="108" w:type="dxa"/>
          </w:tblCellMar>
          <w:tblLook w:val="04A0"/>
        </w:tblPrEx>
        <w:trPr>
          <w:trHeight w:val="922"/>
        </w:trPr>
        <w:tc>
          <w:tcPr>
            <w:tcW w:w="860" w:type="dxa"/>
            <w:tcBorders>
              <w:top w:val="nil"/>
              <w:left w:val="single" w:sz="4" w:space="0" w:color="auto"/>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r>
              <w:rPr>
                <w:rFonts w:ascii="Times New Roman" w:eastAsia="宋体" w:hAnsi="宋体" w:cs="Times New Roman"/>
                <w:kern w:val="2"/>
                <w:sz w:val="24"/>
                <w:szCs w:val="24"/>
                <w:lang w:val="en-US" w:eastAsia="zh-CN" w:bidi="ar-SA"/>
              </w:rPr>
              <w:t>1</w:t>
            </w:r>
          </w:p>
        </w:tc>
        <w:tc>
          <w:tcPr>
            <w:tcW w:w="1420" w:type="dxa"/>
            <w:tcBorders>
              <w:top w:val="nil"/>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p>
        </w:tc>
        <w:tc>
          <w:tcPr>
            <w:tcW w:w="2479" w:type="dxa"/>
            <w:tcBorders>
              <w:top w:val="nil"/>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2480" w:type="dxa"/>
            <w:tcBorders>
              <w:top w:val="nil"/>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1279" w:type="dxa"/>
            <w:tcBorders>
              <w:top w:val="nil"/>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r>
              <w:rPr>
                <w:rFonts w:ascii="Times New Roman" w:eastAsia="宋体" w:hAnsi="宋体" w:cs="Times New Roman"/>
                <w:kern w:val="2"/>
                <w:sz w:val="24"/>
                <w:szCs w:val="24"/>
                <w:lang w:val="en-US" w:eastAsia="zh-CN" w:bidi="ar-SA"/>
              </w:rPr>
              <w:t>　</w:t>
            </w:r>
          </w:p>
        </w:tc>
        <w:tc>
          <w:tcPr>
            <w:tcW w:w="1011" w:type="dxa"/>
            <w:tcBorders>
              <w:top w:val="nil"/>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r>
              <w:rPr>
                <w:rFonts w:ascii="Times New Roman" w:eastAsia="宋体" w:hAnsi="宋体" w:cs="Times New Roman"/>
                <w:kern w:val="2"/>
                <w:sz w:val="24"/>
                <w:szCs w:val="24"/>
                <w:lang w:val="en-US" w:eastAsia="zh-CN" w:bidi="ar-SA"/>
              </w:rPr>
              <w:t>　</w:t>
            </w:r>
          </w:p>
        </w:tc>
      </w:tr>
      <w:tr>
        <w:tblPrEx>
          <w:tblW w:w="9529" w:type="dxa"/>
          <w:tblInd w:w="95" w:type="dxa"/>
          <w:tblLayout w:type="fixed"/>
          <w:tblCellMar>
            <w:top w:w="0" w:type="dxa"/>
            <w:left w:w="108" w:type="dxa"/>
            <w:bottom w:w="0" w:type="dxa"/>
            <w:right w:w="108" w:type="dxa"/>
          </w:tblCellMar>
          <w:tblLook w:val="04A0"/>
        </w:tblPrEx>
        <w:trPr>
          <w:trHeight w:val="986"/>
        </w:trPr>
        <w:tc>
          <w:tcPr>
            <w:tcW w:w="860" w:type="dxa"/>
            <w:tcBorders>
              <w:top w:val="nil"/>
              <w:left w:val="single" w:sz="4" w:space="0" w:color="auto"/>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r>
              <w:rPr>
                <w:rFonts w:ascii="Times New Roman" w:eastAsia="宋体" w:hAnsi="宋体" w:cs="Times New Roman"/>
                <w:kern w:val="2"/>
                <w:sz w:val="24"/>
                <w:szCs w:val="24"/>
                <w:lang w:val="en-US" w:eastAsia="zh-CN" w:bidi="ar-SA"/>
              </w:rPr>
              <w:t>2</w:t>
            </w:r>
          </w:p>
        </w:tc>
        <w:tc>
          <w:tcPr>
            <w:tcW w:w="1420" w:type="dxa"/>
            <w:tcBorders>
              <w:top w:val="nil"/>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p>
        </w:tc>
        <w:tc>
          <w:tcPr>
            <w:tcW w:w="2479" w:type="dxa"/>
            <w:tcBorders>
              <w:top w:val="nil"/>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2480" w:type="dxa"/>
            <w:tcBorders>
              <w:top w:val="nil"/>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1279" w:type="dxa"/>
            <w:tcBorders>
              <w:top w:val="nil"/>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1011" w:type="dxa"/>
            <w:tcBorders>
              <w:top w:val="nil"/>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p>
        </w:tc>
      </w:tr>
      <w:tr>
        <w:tblPrEx>
          <w:tblW w:w="9529" w:type="dxa"/>
          <w:tblInd w:w="95" w:type="dxa"/>
          <w:tblLayout w:type="fixed"/>
          <w:tblCellMar>
            <w:top w:w="0" w:type="dxa"/>
            <w:left w:w="108" w:type="dxa"/>
            <w:bottom w:w="0" w:type="dxa"/>
            <w:right w:w="108" w:type="dxa"/>
          </w:tblCellMar>
          <w:tblLook w:val="04A0"/>
        </w:tblPrEx>
        <w:trPr>
          <w:trHeight w:val="986"/>
        </w:trPr>
        <w:tc>
          <w:tcPr>
            <w:tcW w:w="860" w:type="dxa"/>
            <w:tcBorders>
              <w:top w:val="single" w:sz="4" w:space="0" w:color="auto"/>
              <w:left w:val="single" w:sz="4" w:space="0" w:color="auto"/>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r>
              <w:rPr>
                <w:rFonts w:ascii="Times New Roman" w:eastAsia="宋体" w:hAnsi="宋体" w:cs="Times New Roman"/>
                <w:kern w:val="2"/>
                <w:sz w:val="24"/>
                <w:szCs w:val="24"/>
                <w:lang w:val="en-US" w:eastAsia="zh-CN" w:bidi="ar-SA"/>
              </w:rPr>
              <w:t>3</w:t>
            </w:r>
          </w:p>
        </w:tc>
        <w:tc>
          <w:tcPr>
            <w:tcW w:w="1420" w:type="dxa"/>
            <w:tcBorders>
              <w:top w:val="single" w:sz="4" w:space="0" w:color="auto"/>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p>
        </w:tc>
        <w:tc>
          <w:tcPr>
            <w:tcW w:w="2479"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2480"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r>
              <w:rPr>
                <w:rFonts w:ascii="Times New Roman" w:eastAsia="宋体" w:hAnsi="宋体" w:cs="Times New Roman"/>
                <w:kern w:val="2"/>
                <w:sz w:val="24"/>
                <w:szCs w:val="24"/>
                <w:lang w:val="en-US" w:eastAsia="zh-CN" w:bidi="ar-SA"/>
              </w:rPr>
              <w:t>　</w:t>
            </w:r>
          </w:p>
        </w:tc>
        <w:tc>
          <w:tcPr>
            <w:tcW w:w="1279"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r>
              <w:rPr>
                <w:rFonts w:ascii="Times New Roman" w:eastAsia="宋体" w:hAnsi="宋体" w:cs="Times New Roman"/>
                <w:kern w:val="2"/>
                <w:sz w:val="24"/>
                <w:szCs w:val="24"/>
                <w:lang w:val="en-US" w:eastAsia="zh-CN" w:bidi="ar-SA"/>
              </w:rPr>
              <w:t>　</w:t>
            </w:r>
          </w:p>
        </w:tc>
        <w:tc>
          <w:tcPr>
            <w:tcW w:w="1011" w:type="dxa"/>
            <w:tcBorders>
              <w:top w:val="single" w:sz="4" w:space="0" w:color="auto"/>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r>
              <w:rPr>
                <w:rFonts w:ascii="Times New Roman" w:eastAsia="宋体" w:hAnsi="宋体" w:cs="Times New Roman"/>
                <w:kern w:val="2"/>
                <w:sz w:val="24"/>
                <w:szCs w:val="24"/>
                <w:lang w:val="en-US" w:eastAsia="zh-CN" w:bidi="ar-SA"/>
              </w:rPr>
              <w:t>　</w:t>
            </w:r>
          </w:p>
        </w:tc>
      </w:tr>
      <w:tr>
        <w:tblPrEx>
          <w:tblW w:w="9529" w:type="dxa"/>
          <w:tblInd w:w="95" w:type="dxa"/>
          <w:tblLayout w:type="fixed"/>
          <w:tblCellMar>
            <w:top w:w="0" w:type="dxa"/>
            <w:left w:w="108" w:type="dxa"/>
            <w:bottom w:w="0" w:type="dxa"/>
            <w:right w:w="108" w:type="dxa"/>
          </w:tblCellMar>
          <w:tblLook w:val="04A0"/>
        </w:tblPrEx>
        <w:trPr>
          <w:trHeight w:val="986"/>
        </w:trPr>
        <w:tc>
          <w:tcPr>
            <w:tcW w:w="860" w:type="dxa"/>
            <w:tcBorders>
              <w:top w:val="single" w:sz="4" w:space="0" w:color="auto"/>
              <w:left w:val="single" w:sz="4" w:space="0" w:color="auto"/>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r>
              <w:rPr>
                <w:rFonts w:ascii="Times New Roman" w:eastAsia="宋体" w:hAnsi="宋体" w:cs="Times New Roman"/>
                <w:kern w:val="2"/>
                <w:sz w:val="24"/>
                <w:szCs w:val="24"/>
                <w:lang w:val="en-US" w:eastAsia="zh-CN" w:bidi="ar-SA"/>
              </w:rPr>
              <w:t>4</w:t>
            </w:r>
          </w:p>
        </w:tc>
        <w:tc>
          <w:tcPr>
            <w:tcW w:w="1420" w:type="dxa"/>
            <w:tcBorders>
              <w:top w:val="single" w:sz="4" w:space="0" w:color="auto"/>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p>
        </w:tc>
        <w:tc>
          <w:tcPr>
            <w:tcW w:w="2479"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2480"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1279"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1011" w:type="dxa"/>
            <w:tcBorders>
              <w:top w:val="single" w:sz="4" w:space="0" w:color="auto"/>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p>
        </w:tc>
      </w:tr>
      <w:tr>
        <w:tblPrEx>
          <w:tblW w:w="9529" w:type="dxa"/>
          <w:tblInd w:w="95" w:type="dxa"/>
          <w:tblLayout w:type="fixed"/>
          <w:tblCellMar>
            <w:top w:w="0" w:type="dxa"/>
            <w:left w:w="108" w:type="dxa"/>
            <w:bottom w:w="0" w:type="dxa"/>
            <w:right w:w="108" w:type="dxa"/>
          </w:tblCellMar>
          <w:tblLook w:val="04A0"/>
        </w:tblPrEx>
        <w:trPr>
          <w:trHeight w:val="986"/>
        </w:trPr>
        <w:tc>
          <w:tcPr>
            <w:tcW w:w="860" w:type="dxa"/>
            <w:tcBorders>
              <w:top w:val="single" w:sz="4" w:space="0" w:color="auto"/>
              <w:left w:val="single" w:sz="4" w:space="0" w:color="auto"/>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r>
              <w:rPr>
                <w:rFonts w:ascii="Times New Roman" w:eastAsia="宋体" w:hAnsi="宋体" w:cs="Times New Roman"/>
                <w:kern w:val="2"/>
                <w:sz w:val="24"/>
                <w:szCs w:val="24"/>
                <w:lang w:val="en-US" w:eastAsia="zh-CN" w:bidi="ar-SA"/>
              </w:rPr>
              <w:t>5</w:t>
            </w:r>
          </w:p>
        </w:tc>
        <w:tc>
          <w:tcPr>
            <w:tcW w:w="1420" w:type="dxa"/>
            <w:tcBorders>
              <w:top w:val="single" w:sz="4" w:space="0" w:color="auto"/>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p>
        </w:tc>
        <w:tc>
          <w:tcPr>
            <w:tcW w:w="2479"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2480"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1279"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1011" w:type="dxa"/>
            <w:tcBorders>
              <w:top w:val="single" w:sz="4" w:space="0" w:color="auto"/>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p>
        </w:tc>
      </w:tr>
      <w:tr>
        <w:tblPrEx>
          <w:tblW w:w="9529" w:type="dxa"/>
          <w:tblInd w:w="95" w:type="dxa"/>
          <w:tblLayout w:type="fixed"/>
          <w:tblCellMar>
            <w:top w:w="0" w:type="dxa"/>
            <w:left w:w="108" w:type="dxa"/>
            <w:bottom w:w="0" w:type="dxa"/>
            <w:right w:w="108" w:type="dxa"/>
          </w:tblCellMar>
          <w:tblLook w:val="04A0"/>
        </w:tblPrEx>
        <w:trPr>
          <w:trHeight w:val="986"/>
        </w:trPr>
        <w:tc>
          <w:tcPr>
            <w:tcW w:w="860" w:type="dxa"/>
            <w:tcBorders>
              <w:top w:val="single" w:sz="4" w:space="0" w:color="auto"/>
              <w:left w:val="single" w:sz="4" w:space="0" w:color="auto"/>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r>
              <w:rPr>
                <w:rFonts w:ascii="Times New Roman" w:eastAsia="宋体" w:hAnsi="宋体" w:cs="Times New Roman"/>
                <w:kern w:val="2"/>
                <w:sz w:val="24"/>
                <w:szCs w:val="24"/>
                <w:lang w:val="en-US" w:eastAsia="zh-CN" w:bidi="ar-SA"/>
              </w:rPr>
              <w:t>6</w:t>
            </w:r>
          </w:p>
        </w:tc>
        <w:tc>
          <w:tcPr>
            <w:tcW w:w="1420" w:type="dxa"/>
            <w:tcBorders>
              <w:top w:val="single" w:sz="4" w:space="0" w:color="auto"/>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p>
        </w:tc>
        <w:tc>
          <w:tcPr>
            <w:tcW w:w="2479"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2480"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1279"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1011" w:type="dxa"/>
            <w:tcBorders>
              <w:top w:val="single" w:sz="4" w:space="0" w:color="auto"/>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p>
        </w:tc>
      </w:tr>
      <w:tr>
        <w:tblPrEx>
          <w:tblW w:w="9529" w:type="dxa"/>
          <w:tblInd w:w="95" w:type="dxa"/>
          <w:tblLayout w:type="fixed"/>
          <w:tblCellMar>
            <w:top w:w="0" w:type="dxa"/>
            <w:left w:w="108" w:type="dxa"/>
            <w:bottom w:w="0" w:type="dxa"/>
            <w:right w:w="108" w:type="dxa"/>
          </w:tblCellMar>
          <w:tblLook w:val="04A0"/>
        </w:tblPrEx>
        <w:trPr>
          <w:trHeight w:val="986"/>
        </w:trPr>
        <w:tc>
          <w:tcPr>
            <w:tcW w:w="860" w:type="dxa"/>
            <w:tcBorders>
              <w:top w:val="single" w:sz="4" w:space="0" w:color="auto"/>
              <w:left w:val="single" w:sz="4" w:space="0" w:color="auto"/>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r>
              <w:rPr>
                <w:rFonts w:ascii="Times New Roman" w:eastAsia="宋体" w:hAnsi="宋体" w:cs="Times New Roman"/>
                <w:kern w:val="2"/>
                <w:sz w:val="24"/>
                <w:szCs w:val="24"/>
                <w:lang w:val="en-US" w:eastAsia="zh-CN" w:bidi="ar-SA"/>
              </w:rPr>
              <w:t>7</w:t>
            </w:r>
          </w:p>
        </w:tc>
        <w:tc>
          <w:tcPr>
            <w:tcW w:w="1420" w:type="dxa"/>
            <w:tcBorders>
              <w:top w:val="single" w:sz="4" w:space="0" w:color="auto"/>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p>
        </w:tc>
        <w:tc>
          <w:tcPr>
            <w:tcW w:w="2479"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2480"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1279"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1011" w:type="dxa"/>
            <w:tcBorders>
              <w:top w:val="single" w:sz="4" w:space="0" w:color="auto"/>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p>
        </w:tc>
      </w:tr>
      <w:tr>
        <w:tblPrEx>
          <w:tblW w:w="9529" w:type="dxa"/>
          <w:tblInd w:w="95" w:type="dxa"/>
          <w:tblLayout w:type="fixed"/>
          <w:tblCellMar>
            <w:top w:w="0" w:type="dxa"/>
            <w:left w:w="108" w:type="dxa"/>
            <w:bottom w:w="0" w:type="dxa"/>
            <w:right w:w="108" w:type="dxa"/>
          </w:tblCellMar>
          <w:tblLook w:val="04A0"/>
        </w:tblPrEx>
        <w:trPr>
          <w:trHeight w:val="986"/>
        </w:trPr>
        <w:tc>
          <w:tcPr>
            <w:tcW w:w="860" w:type="dxa"/>
            <w:tcBorders>
              <w:top w:val="single" w:sz="4" w:space="0" w:color="auto"/>
              <w:left w:val="single" w:sz="4" w:space="0" w:color="auto"/>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r>
              <w:rPr>
                <w:rFonts w:ascii="Times New Roman" w:eastAsia="宋体" w:hAnsi="宋体" w:cs="Times New Roman"/>
                <w:kern w:val="2"/>
                <w:sz w:val="24"/>
                <w:szCs w:val="24"/>
                <w:lang w:val="en-US" w:eastAsia="zh-CN" w:bidi="ar-SA"/>
              </w:rPr>
              <w:t>8</w:t>
            </w:r>
          </w:p>
        </w:tc>
        <w:tc>
          <w:tcPr>
            <w:tcW w:w="1420" w:type="dxa"/>
            <w:tcBorders>
              <w:top w:val="single" w:sz="4" w:space="0" w:color="auto"/>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p>
        </w:tc>
        <w:tc>
          <w:tcPr>
            <w:tcW w:w="2479"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2480"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1279"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1011" w:type="dxa"/>
            <w:tcBorders>
              <w:top w:val="single" w:sz="4" w:space="0" w:color="auto"/>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p>
        </w:tc>
      </w:tr>
      <w:tr>
        <w:tblPrEx>
          <w:tblW w:w="9529" w:type="dxa"/>
          <w:tblInd w:w="95" w:type="dxa"/>
          <w:tblLayout w:type="fixed"/>
          <w:tblCellMar>
            <w:top w:w="0" w:type="dxa"/>
            <w:left w:w="108" w:type="dxa"/>
            <w:bottom w:w="0" w:type="dxa"/>
            <w:right w:w="108" w:type="dxa"/>
          </w:tblCellMar>
          <w:tblLook w:val="04A0"/>
        </w:tblPrEx>
        <w:trPr>
          <w:trHeight w:val="986"/>
        </w:trPr>
        <w:tc>
          <w:tcPr>
            <w:tcW w:w="860" w:type="dxa"/>
            <w:tcBorders>
              <w:top w:val="single" w:sz="4" w:space="0" w:color="auto"/>
              <w:left w:val="single" w:sz="4" w:space="0" w:color="auto"/>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p>
        </w:tc>
        <w:tc>
          <w:tcPr>
            <w:tcW w:w="1420" w:type="dxa"/>
            <w:tcBorders>
              <w:top w:val="single" w:sz="4" w:space="0" w:color="auto"/>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p>
        </w:tc>
        <w:tc>
          <w:tcPr>
            <w:tcW w:w="2479"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2480"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1279" w:type="dxa"/>
            <w:tcBorders>
              <w:top w:val="single" w:sz="4" w:space="0" w:color="auto"/>
              <w:left w:val="nil"/>
              <w:bottom w:val="single" w:sz="4" w:space="0" w:color="auto"/>
              <w:right w:val="single" w:sz="4" w:space="0" w:color="auto"/>
            </w:tcBorders>
            <w:vAlign w:val="center"/>
          </w:tcPr>
          <w:p>
            <w:pPr>
              <w:widowControl w:val="0"/>
              <w:spacing w:line="440" w:lineRule="exact"/>
              <w:jc w:val="both"/>
              <w:rPr>
                <w:rStyle w:val="DefaultParagraphFont"/>
                <w:rFonts w:ascii="Times New Roman" w:eastAsia="宋体" w:hAnsi="宋体" w:cs="Times New Roman" w:hint="default"/>
                <w:kern w:val="2"/>
                <w:sz w:val="24"/>
                <w:szCs w:val="24"/>
                <w:lang w:val="en-US" w:eastAsia="zh-CN" w:bidi="ar-SA"/>
              </w:rPr>
            </w:pPr>
          </w:p>
        </w:tc>
        <w:tc>
          <w:tcPr>
            <w:tcW w:w="1011" w:type="dxa"/>
            <w:tcBorders>
              <w:top w:val="single" w:sz="4" w:space="0" w:color="auto"/>
              <w:left w:val="nil"/>
              <w:bottom w:val="single" w:sz="4" w:space="0" w:color="auto"/>
              <w:right w:val="single" w:sz="4" w:space="0" w:color="auto"/>
            </w:tcBorders>
            <w:vAlign w:val="center"/>
          </w:tcPr>
          <w:p>
            <w:pPr>
              <w:widowControl w:val="0"/>
              <w:spacing w:line="440" w:lineRule="exact"/>
              <w:jc w:val="center"/>
              <w:rPr>
                <w:rStyle w:val="DefaultParagraphFont"/>
                <w:rFonts w:ascii="Times New Roman" w:eastAsia="宋体" w:hAnsi="宋体" w:cs="Times New Roman" w:hint="default"/>
                <w:kern w:val="2"/>
                <w:sz w:val="24"/>
                <w:szCs w:val="24"/>
                <w:lang w:val="en-US" w:eastAsia="zh-CN" w:bidi="ar-SA"/>
              </w:rPr>
            </w:pPr>
          </w:p>
        </w:tc>
      </w:tr>
    </w:tbl>
    <w:p>
      <w:pPr>
        <w:widowControl/>
        <w:spacing w:line="440" w:lineRule="exact"/>
        <w:ind w:firstLine="353" w:firstLineChars="147"/>
        <w:jc w:val="left"/>
        <w:rPr>
          <w:rFonts w:hAnsi="宋体" w:hint="default"/>
          <w:sz w:val="24"/>
          <w:szCs w:val="24"/>
        </w:rPr>
      </w:pPr>
      <w:r>
        <w:rPr>
          <w:rFonts w:hAnsi="宋体"/>
          <w:sz w:val="24"/>
          <w:szCs w:val="24"/>
        </w:rPr>
        <w:t>我方承诺在验收时我单位所提供的产品厂家、详细参数等各项指标应与投标产品实物相符。否则我方同意取消</w:t>
      </w:r>
      <w:r>
        <w:rPr>
          <w:rFonts w:hAnsi="宋体" w:hint="eastAsia"/>
          <w:sz w:val="24"/>
          <w:szCs w:val="24"/>
          <w:lang w:val="en-US" w:eastAsia="zh-CN"/>
        </w:rPr>
        <w:t>成交</w:t>
      </w:r>
      <w:r>
        <w:rPr>
          <w:rFonts w:hAnsi="宋体"/>
          <w:sz w:val="24"/>
          <w:szCs w:val="24"/>
        </w:rPr>
        <w:t>资格，并按照相关法律规定追究法律责任。</w:t>
      </w:r>
    </w:p>
    <w:p>
      <w:pPr>
        <w:widowControl/>
        <w:spacing w:line="408" w:lineRule="auto"/>
        <w:jc w:val="center"/>
        <w:outlineLvl w:val="0"/>
        <w:rPr>
          <w:rFonts w:ascii="宋体" w:eastAsia="宋体" w:hAnsi="宋体" w:cs="宋体" w:hint="eastAsia"/>
          <w:b/>
          <w:bCs/>
          <w:color w:val="auto"/>
          <w:kern w:val="0"/>
          <w:sz w:val="28"/>
          <w:szCs w:val="28"/>
        </w:rPr>
      </w:pPr>
    </w:p>
    <w:p>
      <w:pPr>
        <w:snapToGrid w:val="0"/>
        <w:spacing w:line="360" w:lineRule="auto"/>
        <w:ind w:right="140"/>
        <w:jc w:val="left"/>
        <w:rPr>
          <w:rFonts w:ascii="宋体" w:eastAsia="宋体" w:hAnsi="宋体" w:cs="宋体"/>
          <w:snapToGrid w:val="0"/>
          <w:color w:val="auto"/>
          <w:kern w:val="0"/>
          <w:sz w:val="24"/>
        </w:rPr>
      </w:pPr>
      <w:r>
        <w:rPr>
          <w:rFonts w:ascii="宋体" w:eastAsia="宋体" w:hAnsi="宋体" w:cs="宋体" w:hint="eastAsia"/>
          <w:snapToGrid w:val="0"/>
          <w:color w:val="auto"/>
          <w:kern w:val="0"/>
          <w:sz w:val="24"/>
        </w:rPr>
        <w:t>供应商名称：</w:t>
      </w:r>
      <w:r>
        <w:rPr>
          <w:rFonts w:ascii="宋体" w:eastAsia="宋体" w:hAnsi="宋体" w:cs="宋体" w:hint="eastAsia"/>
          <w:snapToGrid w:val="0"/>
          <w:color w:val="auto"/>
          <w:kern w:val="0"/>
          <w:sz w:val="24"/>
          <w:u w:val="single"/>
        </w:rPr>
        <w:t xml:space="preserve">        （全称）              </w:t>
      </w:r>
      <w:r>
        <w:rPr>
          <w:rFonts w:ascii="宋体" w:eastAsia="宋体" w:hAnsi="宋体" w:cs="宋体" w:hint="eastAsia"/>
          <w:snapToGrid w:val="0"/>
          <w:color w:val="auto"/>
          <w:kern w:val="0"/>
          <w:sz w:val="24"/>
        </w:rPr>
        <w:t>（电子签章）</w:t>
      </w:r>
    </w:p>
    <w:p>
      <w:pPr>
        <w:snapToGrid w:val="0"/>
        <w:spacing w:line="360" w:lineRule="auto"/>
        <w:jc w:val="left"/>
        <w:rPr>
          <w:rFonts w:ascii="宋体" w:eastAsia="宋体" w:hAnsi="宋体" w:cs="宋体"/>
          <w:snapToGrid w:val="0"/>
          <w:color w:val="auto"/>
          <w:kern w:val="0"/>
          <w:sz w:val="24"/>
        </w:rPr>
      </w:pPr>
      <w:r>
        <w:rPr>
          <w:rFonts w:ascii="宋体" w:eastAsia="宋体" w:hAnsi="宋体" w:cs="宋体" w:hint="eastAsia"/>
          <w:snapToGrid w:val="0"/>
          <w:color w:val="auto"/>
          <w:kern w:val="0"/>
          <w:sz w:val="24"/>
        </w:rPr>
        <w:t>法定代表人或委托代理人：</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（电子签章或电子印章）</w:t>
      </w:r>
    </w:p>
    <w:p>
      <w:pPr>
        <w:snapToGrid w:val="0"/>
        <w:spacing w:line="360" w:lineRule="auto"/>
        <w:jc w:val="left"/>
        <w:rPr>
          <w:rFonts w:ascii="宋体" w:eastAsia="宋体" w:hAnsi="宋体" w:cs="宋体"/>
          <w:snapToGrid w:val="0"/>
          <w:color w:val="auto"/>
          <w:kern w:val="0"/>
          <w:sz w:val="24"/>
        </w:rPr>
      </w:pPr>
      <w:r>
        <w:rPr>
          <w:rFonts w:ascii="宋体" w:eastAsia="宋体" w:hAnsi="宋体" w:cs="宋体" w:hint="eastAsia"/>
          <w:snapToGrid w:val="0"/>
          <w:color w:val="auto"/>
          <w:kern w:val="0"/>
          <w:sz w:val="24"/>
        </w:rPr>
        <w:t>日期：</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年</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月</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日</w:t>
      </w:r>
    </w:p>
    <w:p>
      <w:pPr>
        <w:widowControl/>
        <w:spacing w:line="408" w:lineRule="auto"/>
        <w:jc w:val="center"/>
        <w:outlineLvl w:val="0"/>
        <w:rPr>
          <w:rFonts w:ascii="宋体" w:eastAsia="宋体" w:hAnsi="宋体" w:cs="宋体" w:hint="eastAsia"/>
          <w:b/>
          <w:bCs/>
          <w:color w:val="auto"/>
          <w:kern w:val="0"/>
          <w:sz w:val="28"/>
          <w:szCs w:val="28"/>
          <w:lang w:val="en-US" w:eastAsia="zh-CN"/>
        </w:rPr>
      </w:pPr>
    </w:p>
    <w:p>
      <w:pPr>
        <w:widowControl/>
        <w:spacing w:line="408" w:lineRule="auto"/>
        <w:jc w:val="center"/>
        <w:outlineLvl w:val="0"/>
        <w:rPr>
          <w:rFonts w:ascii="宋体" w:eastAsia="宋体" w:hAnsi="宋体" w:cs="宋体" w:hint="eastAsia"/>
          <w:b/>
          <w:bCs/>
          <w:color w:val="auto"/>
          <w:kern w:val="0"/>
          <w:sz w:val="28"/>
          <w:szCs w:val="28"/>
          <w:lang w:val="en-US" w:eastAsia="zh-CN"/>
        </w:rPr>
      </w:pPr>
    </w:p>
    <w:p>
      <w:pPr>
        <w:widowControl/>
        <w:spacing w:line="408" w:lineRule="auto"/>
        <w:jc w:val="center"/>
        <w:outlineLvl w:val="0"/>
        <w:rPr>
          <w:rFonts w:ascii="宋体" w:eastAsia="宋体" w:hAnsi="宋体" w:cs="宋体" w:hint="eastAsia"/>
          <w:b/>
          <w:bCs/>
          <w:color w:val="auto"/>
          <w:kern w:val="0"/>
          <w:sz w:val="28"/>
          <w:szCs w:val="28"/>
          <w:lang w:val="en-US" w:eastAsia="zh-CN"/>
        </w:rPr>
      </w:pPr>
    </w:p>
    <w:p>
      <w:pPr>
        <w:widowControl/>
        <w:spacing w:line="408" w:lineRule="auto"/>
        <w:jc w:val="center"/>
        <w:outlineLvl w:val="0"/>
        <w:rPr>
          <w:rFonts w:ascii="宋体" w:eastAsia="宋体" w:hAnsi="宋体" w:cs="宋体"/>
          <w:b/>
          <w:bCs/>
          <w:color w:val="auto"/>
          <w:kern w:val="0"/>
          <w:sz w:val="28"/>
          <w:szCs w:val="28"/>
        </w:rPr>
      </w:pPr>
      <w:r>
        <w:rPr>
          <w:rFonts w:ascii="宋体" w:hAnsi="宋体" w:cs="宋体" w:hint="eastAsia"/>
          <w:b/>
          <w:bCs/>
          <w:color w:val="auto"/>
          <w:kern w:val="0"/>
          <w:sz w:val="28"/>
          <w:szCs w:val="28"/>
          <w:lang w:val="en-US" w:eastAsia="zh-CN"/>
        </w:rPr>
        <w:t>八</w:t>
      </w:r>
      <w:r>
        <w:rPr>
          <w:rFonts w:ascii="宋体" w:eastAsia="宋体" w:hAnsi="宋体" w:cs="宋体" w:hint="eastAsia"/>
          <w:b/>
          <w:bCs/>
          <w:color w:val="auto"/>
          <w:kern w:val="0"/>
          <w:sz w:val="28"/>
          <w:szCs w:val="28"/>
          <w:lang w:val="en-US" w:eastAsia="zh-CN"/>
        </w:rPr>
        <w:t>、</w:t>
      </w:r>
      <w:r>
        <w:rPr>
          <w:rFonts w:ascii="宋体" w:eastAsia="宋体" w:hAnsi="宋体" w:cs="宋体" w:hint="eastAsia"/>
          <w:b/>
          <w:bCs/>
          <w:color w:val="auto"/>
          <w:kern w:val="0"/>
          <w:sz w:val="28"/>
          <w:szCs w:val="28"/>
        </w:rPr>
        <w:t>供应商基本情况表</w:t>
      </w:r>
      <w:bookmarkEnd w:id="111"/>
    </w:p>
    <w:p>
      <w:pPr>
        <w:spacing w:line="480" w:lineRule="exact"/>
        <w:ind w:right="640"/>
        <w:rPr>
          <w:rFonts w:ascii="宋体" w:eastAsia="宋体" w:hAnsi="宋体" w:cs="宋体"/>
          <w:b/>
          <w:color w:val="auto"/>
          <w:sz w:val="28"/>
          <w:szCs w:val="28"/>
        </w:rPr>
      </w:pPr>
    </w:p>
    <w:tbl>
      <w:tblPr>
        <w:tblStyle w:val="TableNormal"/>
        <w:tblW w:w="9500" w:type="dxa"/>
        <w:tblInd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28" w:type="dxa"/>
          <w:bottom w:w="0" w:type="dxa"/>
          <w:right w:w="28" w:type="dxa"/>
        </w:tblCellMar>
        <w:tblLook w:val="04A0"/>
      </w:tblPr>
      <w:tblGrid>
        <w:gridCol w:w="600"/>
        <w:gridCol w:w="4093"/>
        <w:gridCol w:w="4807"/>
      </w:tblGrid>
      <w:tr>
        <w:tblPrEx>
          <w:tblW w:w="9500" w:type="dxa"/>
          <w:tblInd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28" w:type="dxa"/>
            <w:bottom w:w="0" w:type="dxa"/>
            <w:right w:w="28" w:type="dxa"/>
          </w:tblCellMar>
          <w:tblLook w:val="04A0"/>
        </w:tblPrEx>
        <w:trPr>
          <w:trHeight w:val="662"/>
        </w:trPr>
        <w:tc>
          <w:tcPr>
            <w:tcW w:w="600" w:type="dxa"/>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1</w:t>
            </w:r>
          </w:p>
        </w:tc>
        <w:tc>
          <w:tcPr>
            <w:tcW w:w="8900" w:type="dxa"/>
            <w:gridSpan w:val="2"/>
            <w:vAlign w:val="center"/>
          </w:tcPr>
          <w:p>
            <w:pPr>
              <w:keepNext w:val="0"/>
              <w:keepLines w:val="0"/>
              <w:widowControl w:val="0"/>
              <w:suppressLineNumbers w:val="0"/>
              <w:spacing w:before="0" w:beforeAutospacing="0" w:after="0" w:afterAutospacing="0"/>
              <w:ind w:left="0" w:right="0" w:firstLine="10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公司名称：</w:t>
            </w:r>
          </w:p>
        </w:tc>
      </w:tr>
      <w:tr>
        <w:tblPrEx>
          <w:tblW w:w="9500" w:type="dxa"/>
          <w:tblInd w:w="0" w:type="dxa"/>
          <w:tblLayout w:type="fixed"/>
          <w:tblCellMar>
            <w:top w:w="0" w:type="dxa"/>
            <w:left w:w="28" w:type="dxa"/>
            <w:bottom w:w="0" w:type="dxa"/>
            <w:right w:w="28" w:type="dxa"/>
          </w:tblCellMar>
          <w:tblLook w:val="04A0"/>
        </w:tblPrEx>
        <w:trPr>
          <w:trHeight w:val="639"/>
        </w:trPr>
        <w:tc>
          <w:tcPr>
            <w:tcW w:w="600" w:type="dxa"/>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2</w:t>
            </w:r>
          </w:p>
        </w:tc>
        <w:tc>
          <w:tcPr>
            <w:tcW w:w="8900" w:type="dxa"/>
            <w:gridSpan w:val="2"/>
            <w:vAlign w:val="center"/>
          </w:tcPr>
          <w:p>
            <w:pPr>
              <w:keepNext w:val="0"/>
              <w:keepLines w:val="0"/>
              <w:widowControl w:val="0"/>
              <w:suppressLineNumbers w:val="0"/>
              <w:spacing w:before="0" w:beforeAutospacing="0" w:after="0" w:afterAutospacing="0"/>
              <w:ind w:left="0" w:right="0" w:firstLine="10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公司地址：</w:t>
            </w:r>
          </w:p>
        </w:tc>
      </w:tr>
      <w:tr>
        <w:tblPrEx>
          <w:tblW w:w="9500" w:type="dxa"/>
          <w:tblInd w:w="0" w:type="dxa"/>
          <w:tblLayout w:type="fixed"/>
          <w:tblCellMar>
            <w:top w:w="0" w:type="dxa"/>
            <w:left w:w="28" w:type="dxa"/>
            <w:bottom w:w="0" w:type="dxa"/>
            <w:right w:w="28" w:type="dxa"/>
          </w:tblCellMar>
          <w:tblLook w:val="04A0"/>
        </w:tblPrEx>
        <w:trPr>
          <w:trHeight w:val="794"/>
        </w:trPr>
        <w:tc>
          <w:tcPr>
            <w:tcW w:w="600" w:type="dxa"/>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3</w:t>
            </w:r>
          </w:p>
        </w:tc>
        <w:tc>
          <w:tcPr>
            <w:tcW w:w="8900" w:type="dxa"/>
            <w:gridSpan w:val="2"/>
            <w:vAlign w:val="center"/>
          </w:tcPr>
          <w:p>
            <w:pPr>
              <w:keepNext w:val="0"/>
              <w:keepLines w:val="0"/>
              <w:widowControl w:val="0"/>
              <w:suppressLineNumbers w:val="0"/>
              <w:spacing w:before="0" w:beforeAutospacing="0" w:after="0" w:afterAutospacing="0"/>
              <w:ind w:left="0" w:right="0" w:firstLine="10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当地代表处地址：</w:t>
            </w:r>
          </w:p>
        </w:tc>
      </w:tr>
      <w:tr>
        <w:tblPrEx>
          <w:tblW w:w="9500" w:type="dxa"/>
          <w:tblInd w:w="0" w:type="dxa"/>
          <w:tblLayout w:type="fixed"/>
          <w:tblCellMar>
            <w:top w:w="0" w:type="dxa"/>
            <w:left w:w="28" w:type="dxa"/>
            <w:bottom w:w="0" w:type="dxa"/>
            <w:right w:w="28" w:type="dxa"/>
          </w:tblCellMar>
          <w:tblLook w:val="04A0"/>
        </w:tblPrEx>
        <w:trPr>
          <w:trHeight w:val="809"/>
        </w:trPr>
        <w:tc>
          <w:tcPr>
            <w:tcW w:w="600" w:type="dxa"/>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4</w:t>
            </w:r>
          </w:p>
        </w:tc>
        <w:tc>
          <w:tcPr>
            <w:tcW w:w="4093" w:type="dxa"/>
            <w:vAlign w:val="center"/>
          </w:tcPr>
          <w:p>
            <w:pPr>
              <w:keepNext w:val="0"/>
              <w:keepLines w:val="0"/>
              <w:widowControl w:val="0"/>
              <w:suppressLineNumbers w:val="0"/>
              <w:spacing w:before="0" w:beforeAutospacing="0" w:after="0" w:afterAutospacing="0"/>
              <w:ind w:left="0" w:right="0" w:firstLine="10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电话：</w:t>
            </w:r>
          </w:p>
        </w:tc>
        <w:tc>
          <w:tcPr>
            <w:tcW w:w="4807" w:type="dxa"/>
            <w:vAlign w:val="center"/>
          </w:tcPr>
          <w:p>
            <w:pPr>
              <w:keepNext w:val="0"/>
              <w:keepLines w:val="0"/>
              <w:widowControl w:val="0"/>
              <w:suppressLineNumbers w:val="0"/>
              <w:spacing w:before="0" w:beforeAutospacing="0" w:after="0" w:afterAutospacing="0"/>
              <w:ind w:left="0" w:right="0" w:firstLine="10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联系人：</w:t>
            </w:r>
          </w:p>
        </w:tc>
      </w:tr>
      <w:tr>
        <w:tblPrEx>
          <w:tblW w:w="9500" w:type="dxa"/>
          <w:tblInd w:w="0" w:type="dxa"/>
          <w:tblLayout w:type="fixed"/>
          <w:tblCellMar>
            <w:top w:w="0" w:type="dxa"/>
            <w:left w:w="28" w:type="dxa"/>
            <w:bottom w:w="0" w:type="dxa"/>
            <w:right w:w="28" w:type="dxa"/>
          </w:tblCellMar>
          <w:tblLook w:val="04A0"/>
        </w:tblPrEx>
        <w:trPr>
          <w:trHeight w:val="783"/>
        </w:trPr>
        <w:tc>
          <w:tcPr>
            <w:tcW w:w="600" w:type="dxa"/>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5</w:t>
            </w:r>
          </w:p>
        </w:tc>
        <w:tc>
          <w:tcPr>
            <w:tcW w:w="4093" w:type="dxa"/>
            <w:vAlign w:val="center"/>
          </w:tcPr>
          <w:p>
            <w:pPr>
              <w:keepNext w:val="0"/>
              <w:keepLines w:val="0"/>
              <w:widowControl w:val="0"/>
              <w:suppressLineNumbers w:val="0"/>
              <w:spacing w:before="0" w:beforeAutospacing="0" w:after="0" w:afterAutospacing="0"/>
              <w:ind w:left="0" w:right="0" w:firstLine="10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传真：</w:t>
            </w:r>
          </w:p>
        </w:tc>
        <w:tc>
          <w:tcPr>
            <w:tcW w:w="4807" w:type="dxa"/>
            <w:vAlign w:val="center"/>
          </w:tcPr>
          <w:p>
            <w:pPr>
              <w:keepNext w:val="0"/>
              <w:keepLines w:val="0"/>
              <w:widowControl w:val="0"/>
              <w:suppressLineNumbers w:val="0"/>
              <w:spacing w:before="0" w:beforeAutospacing="0" w:after="0" w:afterAutospacing="0"/>
              <w:ind w:left="0" w:right="0" w:firstLine="10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电子邮箱：</w:t>
            </w:r>
          </w:p>
        </w:tc>
      </w:tr>
      <w:tr>
        <w:tblPrEx>
          <w:tblW w:w="9500" w:type="dxa"/>
          <w:tblInd w:w="0" w:type="dxa"/>
          <w:tblLayout w:type="fixed"/>
          <w:tblCellMar>
            <w:top w:w="0" w:type="dxa"/>
            <w:left w:w="28" w:type="dxa"/>
            <w:bottom w:w="0" w:type="dxa"/>
            <w:right w:w="28" w:type="dxa"/>
          </w:tblCellMar>
          <w:tblLook w:val="04A0"/>
        </w:tblPrEx>
        <w:trPr>
          <w:trHeight w:val="807"/>
        </w:trPr>
        <w:tc>
          <w:tcPr>
            <w:tcW w:w="600" w:type="dxa"/>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6</w:t>
            </w:r>
          </w:p>
        </w:tc>
        <w:tc>
          <w:tcPr>
            <w:tcW w:w="4093" w:type="dxa"/>
            <w:vAlign w:val="center"/>
          </w:tcPr>
          <w:p>
            <w:pPr>
              <w:keepNext w:val="0"/>
              <w:keepLines w:val="0"/>
              <w:widowControl w:val="0"/>
              <w:suppressLineNumbers w:val="0"/>
              <w:spacing w:before="0" w:beforeAutospacing="0" w:after="0" w:afterAutospacing="0"/>
              <w:ind w:left="0" w:right="0" w:firstLine="10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注册地：</w:t>
            </w:r>
          </w:p>
        </w:tc>
        <w:tc>
          <w:tcPr>
            <w:tcW w:w="4807" w:type="dxa"/>
            <w:vAlign w:val="center"/>
          </w:tcPr>
          <w:p>
            <w:pPr>
              <w:keepNext w:val="0"/>
              <w:keepLines w:val="0"/>
              <w:widowControl w:val="0"/>
              <w:suppressLineNumbers w:val="0"/>
              <w:spacing w:before="0" w:beforeAutospacing="0" w:after="0" w:afterAutospacing="0"/>
              <w:ind w:left="0" w:right="0" w:firstLine="10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 xml:space="preserve">注册年份：   </w:t>
            </w:r>
          </w:p>
        </w:tc>
      </w:tr>
      <w:tr>
        <w:tblPrEx>
          <w:tblW w:w="9500" w:type="dxa"/>
          <w:tblInd w:w="0" w:type="dxa"/>
          <w:tblLayout w:type="fixed"/>
          <w:tblCellMar>
            <w:top w:w="0" w:type="dxa"/>
            <w:left w:w="28" w:type="dxa"/>
            <w:bottom w:w="0" w:type="dxa"/>
            <w:right w:w="28" w:type="dxa"/>
          </w:tblCellMar>
          <w:tblLook w:val="04A0"/>
        </w:tblPrEx>
        <w:trPr>
          <w:trHeight w:val="1607"/>
        </w:trPr>
        <w:tc>
          <w:tcPr>
            <w:tcW w:w="600" w:type="dxa"/>
            <w:vAlign w:val="center"/>
          </w:tcPr>
          <w:p>
            <w:pPr>
              <w:keepNext w:val="0"/>
              <w:keepLines w:val="0"/>
              <w:widowControl w:val="0"/>
              <w:suppressLineNumbers w:val="0"/>
              <w:spacing w:before="0" w:beforeAutospacing="0" w:after="0" w:afterAutospacing="0" w:line="360" w:lineRule="auto"/>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7</w:t>
            </w:r>
          </w:p>
        </w:tc>
        <w:tc>
          <w:tcPr>
            <w:tcW w:w="8900" w:type="dxa"/>
            <w:gridSpan w:val="2"/>
            <w:vAlign w:val="center"/>
          </w:tcPr>
          <w:p>
            <w:pPr>
              <w:keepNext w:val="0"/>
              <w:keepLines w:val="0"/>
              <w:widowControl w:val="0"/>
              <w:suppressLineNumbers w:val="0"/>
              <w:spacing w:before="0" w:beforeAutospacing="0" w:after="0" w:afterAutospacing="0" w:line="360" w:lineRule="auto"/>
              <w:ind w:left="0" w:right="0" w:firstLine="10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主营范围：</w:t>
            </w:r>
          </w:p>
        </w:tc>
      </w:tr>
      <w:tr>
        <w:tblPrEx>
          <w:tblW w:w="9500" w:type="dxa"/>
          <w:tblInd w:w="0" w:type="dxa"/>
          <w:tblLayout w:type="fixed"/>
          <w:tblCellMar>
            <w:top w:w="0" w:type="dxa"/>
            <w:left w:w="28" w:type="dxa"/>
            <w:bottom w:w="0" w:type="dxa"/>
            <w:right w:w="28" w:type="dxa"/>
          </w:tblCellMar>
          <w:tblLook w:val="04A0"/>
        </w:tblPrEx>
        <w:trPr>
          <w:trHeight w:val="1971"/>
        </w:trPr>
        <w:tc>
          <w:tcPr>
            <w:tcW w:w="600" w:type="dxa"/>
            <w:vAlign w:val="center"/>
          </w:tcPr>
          <w:p>
            <w:pPr>
              <w:keepNext w:val="0"/>
              <w:keepLines w:val="0"/>
              <w:widowControl w:val="0"/>
              <w:suppressLineNumbers w:val="0"/>
              <w:spacing w:before="0" w:beforeAutospacing="0" w:after="0" w:afterAutospacing="0"/>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8</w:t>
            </w:r>
          </w:p>
        </w:tc>
        <w:tc>
          <w:tcPr>
            <w:tcW w:w="8900" w:type="dxa"/>
            <w:gridSpan w:val="2"/>
            <w:vAlign w:val="center"/>
          </w:tcPr>
          <w:p>
            <w:pPr>
              <w:keepNext w:val="0"/>
              <w:keepLines w:val="0"/>
              <w:widowControl w:val="0"/>
              <w:suppressLineNumbers w:val="0"/>
              <w:spacing w:before="0" w:beforeAutospacing="0" w:after="0" w:afterAutospacing="0"/>
              <w:ind w:left="0" w:right="0" w:firstLine="10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其他需要说明的情况：</w:t>
            </w:r>
          </w:p>
        </w:tc>
      </w:tr>
    </w:tbl>
    <w:p>
      <w:pPr>
        <w:widowControl/>
        <w:spacing w:line="408" w:lineRule="auto"/>
        <w:rPr>
          <w:rFonts w:ascii="宋体" w:eastAsia="宋体" w:hAnsi="宋体" w:cs="宋体"/>
          <w:b/>
          <w:bCs/>
          <w:color w:val="auto"/>
          <w:kern w:val="0"/>
          <w:sz w:val="28"/>
          <w:szCs w:val="28"/>
        </w:rPr>
      </w:pPr>
    </w:p>
    <w:p>
      <w:pPr>
        <w:widowControl/>
        <w:spacing w:line="408" w:lineRule="auto"/>
        <w:rPr>
          <w:rFonts w:ascii="宋体" w:eastAsia="宋体" w:hAnsi="宋体" w:cs="宋体"/>
          <w:b/>
          <w:bCs/>
          <w:color w:val="auto"/>
          <w:kern w:val="0"/>
          <w:sz w:val="28"/>
          <w:szCs w:val="28"/>
        </w:rPr>
      </w:pPr>
    </w:p>
    <w:p>
      <w:pPr>
        <w:widowControl/>
        <w:spacing w:line="408" w:lineRule="auto"/>
        <w:rPr>
          <w:rFonts w:ascii="宋体" w:eastAsia="宋体" w:hAnsi="宋体" w:cs="宋体"/>
          <w:b/>
          <w:bCs/>
          <w:color w:val="auto"/>
          <w:kern w:val="0"/>
          <w:sz w:val="28"/>
          <w:szCs w:val="28"/>
        </w:rPr>
      </w:pPr>
    </w:p>
    <w:p>
      <w:pPr>
        <w:widowControl/>
        <w:spacing w:line="408" w:lineRule="auto"/>
        <w:rPr>
          <w:rFonts w:ascii="宋体" w:eastAsia="宋体" w:hAnsi="宋体" w:cs="宋体"/>
          <w:b/>
          <w:bCs/>
          <w:color w:val="auto"/>
          <w:kern w:val="0"/>
          <w:sz w:val="28"/>
          <w:szCs w:val="28"/>
        </w:rPr>
      </w:pPr>
    </w:p>
    <w:p>
      <w:pPr>
        <w:widowControl/>
        <w:spacing w:line="408" w:lineRule="auto"/>
        <w:rPr>
          <w:rFonts w:ascii="宋体" w:eastAsia="宋体" w:hAnsi="宋体" w:cs="宋体"/>
          <w:b/>
          <w:bCs/>
          <w:color w:val="auto"/>
          <w:kern w:val="0"/>
          <w:sz w:val="28"/>
          <w:szCs w:val="28"/>
        </w:rPr>
      </w:pPr>
    </w:p>
    <w:p>
      <w:pPr>
        <w:widowControl/>
        <w:spacing w:line="408" w:lineRule="auto"/>
        <w:rPr>
          <w:rFonts w:ascii="宋体" w:eastAsia="宋体" w:hAnsi="宋体" w:cs="宋体"/>
          <w:b/>
          <w:bCs/>
          <w:color w:val="auto"/>
          <w:kern w:val="0"/>
          <w:sz w:val="28"/>
          <w:szCs w:val="28"/>
        </w:rPr>
      </w:pPr>
    </w:p>
    <w:p>
      <w:pPr>
        <w:widowControl/>
        <w:spacing w:line="408" w:lineRule="auto"/>
        <w:rPr>
          <w:rFonts w:ascii="宋体" w:eastAsia="宋体" w:hAnsi="宋体" w:cs="宋体"/>
          <w:b/>
          <w:bCs/>
          <w:color w:val="auto"/>
          <w:kern w:val="0"/>
          <w:sz w:val="28"/>
          <w:szCs w:val="28"/>
        </w:rPr>
      </w:pPr>
    </w:p>
    <w:p>
      <w:pPr>
        <w:pStyle w:val="BodyText2"/>
        <w:spacing w:line="500" w:lineRule="exact"/>
        <w:rPr>
          <w:rFonts w:ascii="宋体" w:eastAsia="宋体" w:hAnsi="宋体" w:cs="宋体"/>
          <w:b/>
          <w:bCs/>
          <w:color w:val="auto"/>
          <w:kern w:val="0"/>
          <w:sz w:val="28"/>
          <w:szCs w:val="28"/>
        </w:rPr>
      </w:pPr>
      <w:bookmarkStart w:id="112" w:name="_Toc519068584"/>
      <w:bookmarkEnd w:id="112"/>
      <w:r>
        <w:rPr>
          <w:rFonts w:ascii="宋体" w:eastAsia="宋体" w:hAnsi="宋体" w:cs="宋体" w:hint="eastAsia"/>
          <w:b/>
          <w:bCs/>
          <w:color w:val="auto"/>
          <w:kern w:val="0"/>
          <w:sz w:val="28"/>
          <w:szCs w:val="28"/>
        </w:rPr>
        <w:br w:type="page"/>
      </w:r>
    </w:p>
    <w:p>
      <w:pPr>
        <w:widowControl/>
        <w:spacing w:line="408" w:lineRule="auto"/>
        <w:jc w:val="center"/>
        <w:outlineLvl w:val="0"/>
        <w:rPr>
          <w:rFonts w:ascii="宋体" w:eastAsia="宋体" w:hAnsi="宋体" w:cs="宋体"/>
          <w:b/>
          <w:bCs/>
          <w:color w:val="auto"/>
          <w:kern w:val="0"/>
          <w:sz w:val="28"/>
          <w:szCs w:val="28"/>
        </w:rPr>
      </w:pPr>
      <w:bookmarkStart w:id="113" w:name="_Toc31872"/>
      <w:r>
        <w:rPr>
          <w:rFonts w:ascii="宋体" w:hAnsi="宋体" w:cs="宋体" w:hint="eastAsia"/>
          <w:b/>
          <w:bCs/>
          <w:color w:val="auto"/>
          <w:kern w:val="0"/>
          <w:sz w:val="28"/>
          <w:szCs w:val="28"/>
          <w:lang w:val="en-US" w:eastAsia="zh-CN"/>
        </w:rPr>
        <w:t>九</w:t>
      </w:r>
      <w:r>
        <w:rPr>
          <w:rFonts w:ascii="宋体" w:eastAsia="宋体" w:hAnsi="宋体" w:cs="宋体" w:hint="eastAsia"/>
          <w:b/>
          <w:bCs/>
          <w:color w:val="auto"/>
          <w:kern w:val="0"/>
          <w:sz w:val="28"/>
          <w:szCs w:val="28"/>
        </w:rPr>
        <w:t>、供应商相关证件</w:t>
      </w:r>
      <w:bookmarkEnd w:id="113"/>
      <w:r>
        <w:rPr>
          <w:rFonts w:ascii="宋体" w:eastAsia="宋体" w:hAnsi="宋体" w:cs="宋体" w:hint="eastAsia"/>
          <w:b/>
          <w:bCs/>
          <w:color w:val="auto"/>
          <w:kern w:val="0"/>
          <w:sz w:val="28"/>
          <w:szCs w:val="28"/>
        </w:rPr>
        <w:t>及资料</w:t>
      </w:r>
    </w:p>
    <w:p>
      <w:pPr>
        <w:widowControl/>
        <w:spacing w:line="360" w:lineRule="auto"/>
        <w:ind w:firstLine="480" w:firstLineChars="200"/>
        <w:jc w:val="left"/>
        <w:rPr>
          <w:rFonts w:ascii="宋体" w:eastAsia="宋体" w:hAnsi="宋体" w:cs="宋体"/>
          <w:b/>
          <w:color w:val="auto"/>
          <w:sz w:val="24"/>
        </w:rPr>
      </w:pPr>
      <w:r>
        <w:rPr>
          <w:rFonts w:ascii="宋体" w:eastAsia="宋体" w:hAnsi="宋体" w:cs="宋体" w:hint="eastAsia"/>
          <w:bCs/>
          <w:color w:val="auto"/>
          <w:sz w:val="24"/>
        </w:rPr>
        <w:t>供应商应根据</w:t>
      </w:r>
      <w:r>
        <w:rPr>
          <w:rFonts w:ascii="宋体" w:eastAsia="宋体" w:hAnsi="宋体" w:cs="宋体" w:hint="eastAsia"/>
          <w:bCs/>
          <w:color w:val="auto"/>
          <w:sz w:val="24"/>
        </w:rPr>
        <w:t>“</w:t>
      </w:r>
      <w:r>
        <w:rPr>
          <w:rFonts w:ascii="宋体" w:eastAsia="宋体" w:hAnsi="宋体" w:cs="宋体" w:hint="eastAsia"/>
          <w:bCs/>
          <w:color w:val="auto"/>
          <w:sz w:val="24"/>
        </w:rPr>
        <w:t>第二章 供应商须知前附表-第11项-资格要求</w:t>
      </w:r>
      <w:r>
        <w:rPr>
          <w:rFonts w:ascii="宋体" w:eastAsia="宋体" w:hAnsi="宋体" w:cs="宋体" w:hint="eastAsia"/>
          <w:bCs/>
          <w:color w:val="auto"/>
          <w:sz w:val="24"/>
        </w:rPr>
        <w:t>”</w:t>
      </w:r>
      <w:r>
        <w:rPr>
          <w:rFonts w:ascii="宋体" w:eastAsia="宋体" w:hAnsi="宋体" w:cs="宋体" w:hint="eastAsia"/>
          <w:bCs/>
          <w:color w:val="auto"/>
          <w:sz w:val="24"/>
        </w:rPr>
        <w:t>和</w:t>
      </w:r>
      <w:r>
        <w:rPr>
          <w:rFonts w:ascii="宋体" w:eastAsia="宋体" w:hAnsi="宋体" w:cs="宋体" w:hint="eastAsia"/>
          <w:bCs/>
          <w:color w:val="auto"/>
          <w:sz w:val="24"/>
        </w:rPr>
        <w:t>“</w:t>
      </w:r>
      <w:r>
        <w:rPr>
          <w:rFonts w:ascii="宋体" w:eastAsia="宋体" w:hAnsi="宋体" w:cs="宋体" w:hint="eastAsia"/>
          <w:bCs/>
          <w:color w:val="auto"/>
          <w:sz w:val="24"/>
        </w:rPr>
        <w:t>第四章  评审办法</w:t>
      </w:r>
      <w:r>
        <w:rPr>
          <w:rFonts w:ascii="宋体" w:eastAsia="宋体" w:hAnsi="宋体" w:cs="宋体" w:hint="eastAsia"/>
          <w:bCs/>
          <w:color w:val="auto"/>
          <w:sz w:val="24"/>
        </w:rPr>
        <w:t>”</w:t>
      </w:r>
      <w:r>
        <w:rPr>
          <w:rFonts w:ascii="宋体" w:eastAsia="宋体" w:hAnsi="宋体" w:cs="宋体" w:hint="eastAsia"/>
          <w:bCs/>
          <w:color w:val="auto"/>
          <w:sz w:val="24"/>
        </w:rPr>
        <w:t>所要求的依次提供相关证明材料以及承诺。</w:t>
      </w:r>
    </w:p>
    <w:p>
      <w:pPr>
        <w:keepNext w:val="0"/>
        <w:keepLines w:val="0"/>
        <w:suppressLineNumbers w:val="0"/>
        <w:spacing w:before="0" w:beforeAutospacing="0" w:after="0" w:afterAutospacing="0" w:line="500" w:lineRule="exact"/>
        <w:ind w:left="0" w:right="0"/>
        <w:rPr>
          <w:rFonts w:ascii="宋体" w:eastAsia="宋体" w:hAnsi="宋体" w:cs="宋体" w:hint="eastAsia"/>
          <w:b/>
          <w:color w:val="auto"/>
          <w:sz w:val="24"/>
        </w:rPr>
      </w:pPr>
      <w:r>
        <w:rPr>
          <w:rFonts w:ascii="宋体" w:eastAsia="宋体" w:hAnsi="宋体" w:cs="宋体" w:hint="eastAsia"/>
          <w:b/>
          <w:color w:val="auto"/>
          <w:sz w:val="24"/>
        </w:rPr>
        <w:t>注：供应商应确保上述证明文件的真实性、有效性及合法性，否则，由此引起的任何责任都由供应商自行承担，所有材料必须加盖供应商公章。</w:t>
      </w:r>
    </w:p>
    <w:p>
      <w:pPr>
        <w:widowControl/>
        <w:spacing w:line="360" w:lineRule="auto"/>
        <w:ind w:firstLine="420" w:firstLineChars="200"/>
        <w:jc w:val="left"/>
      </w:pPr>
    </w:p>
    <w:p>
      <w:pPr>
        <w:rPr>
          <w:rFonts w:ascii="宋体" w:eastAsia="宋体" w:hAnsi="宋体" w:cs="宋体"/>
          <w:color w:val="auto"/>
          <w:sz w:val="24"/>
        </w:rPr>
      </w:pPr>
      <w:r>
        <w:rPr>
          <w:rFonts w:ascii="宋体" w:eastAsia="宋体" w:hAnsi="宋体" w:cs="宋体" w:hint="eastAsia"/>
          <w:color w:val="auto"/>
          <w:sz w:val="24"/>
        </w:rPr>
        <w:br w:type="page"/>
      </w:r>
    </w:p>
    <w:p>
      <w:pPr>
        <w:pStyle w:val="PlainText"/>
        <w:numPr>
          <w:ilvl w:val="6"/>
          <w:numId w:val="0"/>
        </w:numPr>
        <w:adjustRightInd w:val="0"/>
        <w:snapToGrid w:val="0"/>
        <w:spacing w:line="480" w:lineRule="exact"/>
        <w:ind w:left="567"/>
        <w:jc w:val="left"/>
        <w:rPr>
          <w:rFonts w:ascii="宋体" w:eastAsia="宋体" w:hAnsi="宋体" w:cs="宋体"/>
          <w:color w:val="auto"/>
          <w:szCs w:val="24"/>
        </w:rPr>
      </w:pPr>
      <w:r>
        <w:rPr>
          <w:rFonts w:ascii="宋体" w:eastAsia="宋体" w:hAnsi="宋体" w:cs="宋体" w:hint="eastAsia"/>
          <w:color w:val="auto"/>
          <w:szCs w:val="24"/>
        </w:rPr>
        <w:t>附件1：</w:t>
      </w:r>
    </w:p>
    <w:p>
      <w:pPr>
        <w:pStyle w:val="PlainText"/>
        <w:numPr>
          <w:ilvl w:val="6"/>
          <w:numId w:val="0"/>
        </w:numPr>
        <w:adjustRightInd w:val="0"/>
        <w:snapToGrid w:val="0"/>
        <w:spacing w:line="480" w:lineRule="exact"/>
        <w:ind w:left="567"/>
        <w:jc w:val="center"/>
        <w:rPr>
          <w:rFonts w:ascii="宋体" w:eastAsia="宋体" w:hAnsi="宋体" w:cs="宋体"/>
          <w:b/>
          <w:bCs/>
          <w:color w:val="auto"/>
          <w:szCs w:val="24"/>
        </w:rPr>
      </w:pPr>
      <w:r>
        <w:rPr>
          <w:rFonts w:ascii="宋体" w:eastAsia="宋体" w:hAnsi="宋体" w:cs="宋体" w:hint="eastAsia"/>
          <w:b/>
          <w:bCs/>
          <w:color w:val="auto"/>
          <w:szCs w:val="24"/>
        </w:rPr>
        <w:t>具有独立承担民事责任的能力声明函</w:t>
      </w:r>
    </w:p>
    <w:p>
      <w:pPr>
        <w:pStyle w:val="PlainText"/>
        <w:numPr>
          <w:ilvl w:val="6"/>
          <w:numId w:val="0"/>
        </w:numPr>
        <w:adjustRightInd w:val="0"/>
        <w:snapToGrid w:val="0"/>
        <w:spacing w:line="480" w:lineRule="exact"/>
        <w:ind w:left="567"/>
        <w:rPr>
          <w:rFonts w:ascii="宋体" w:eastAsia="宋体" w:hAnsi="宋体" w:cs="宋体"/>
          <w:b/>
          <w:bCs/>
          <w:color w:val="auto"/>
          <w:szCs w:val="24"/>
        </w:rPr>
      </w:pPr>
    </w:p>
    <w:p>
      <w:pPr>
        <w:pStyle w:val="PlainText"/>
        <w:numPr>
          <w:ilvl w:val="6"/>
          <w:numId w:val="0"/>
        </w:numPr>
        <w:adjustRightInd w:val="0"/>
        <w:snapToGrid w:val="0"/>
        <w:spacing w:line="480" w:lineRule="exact"/>
        <w:ind w:left="420" w:leftChars="200"/>
        <w:jc w:val="left"/>
        <w:rPr>
          <w:rFonts w:ascii="宋体" w:eastAsia="宋体" w:hAnsi="宋体" w:cs="宋体"/>
          <w:color w:val="auto"/>
          <w:szCs w:val="24"/>
        </w:rPr>
      </w:pPr>
      <w:r>
        <w:rPr>
          <w:rFonts w:ascii="宋体" w:eastAsia="宋体" w:hAnsi="宋体" w:cs="宋体" w:hint="eastAsia"/>
          <w:color w:val="auto"/>
          <w:szCs w:val="24"/>
        </w:rPr>
        <w:t>我公司郑重承诺，我公司具备《中华人民共和国政府采购法》第二十二条规定条件：</w:t>
      </w:r>
    </w:p>
    <w:p>
      <w:pPr>
        <w:pStyle w:val="NormalWeb"/>
        <w:widowControl/>
        <w:spacing w:after="0" w:line="520" w:lineRule="exact"/>
        <w:ind w:left="-226" w:right="-226" w:firstLine="960" w:firstLineChars="400"/>
        <w:rPr>
          <w:rFonts w:ascii="宋体" w:eastAsia="宋体" w:hAnsi="宋体" w:cs="宋体"/>
          <w:color w:val="auto"/>
        </w:rPr>
      </w:pPr>
      <w:r>
        <w:rPr>
          <w:rFonts w:ascii="宋体" w:eastAsia="宋体" w:hAnsi="宋体" w:cs="宋体" w:hint="eastAsia"/>
          <w:color w:val="auto"/>
        </w:rPr>
        <w:t xml:space="preserve">（1）具有独立承担民事责任的能力； </w:t>
      </w:r>
    </w:p>
    <w:p>
      <w:pPr>
        <w:pStyle w:val="NormalWeb"/>
        <w:widowControl/>
        <w:spacing w:after="0" w:line="520" w:lineRule="exact"/>
        <w:ind w:left="-226" w:right="-226" w:firstLine="960" w:firstLineChars="400"/>
        <w:rPr>
          <w:rFonts w:ascii="宋体" w:eastAsia="宋体" w:hAnsi="宋体" w:cs="宋体"/>
          <w:color w:val="auto"/>
        </w:rPr>
      </w:pPr>
      <w:r>
        <w:rPr>
          <w:rFonts w:ascii="宋体" w:eastAsia="宋体" w:hAnsi="宋体" w:cs="宋体" w:hint="eastAsia"/>
          <w:color w:val="auto"/>
        </w:rPr>
        <w:t xml:space="preserve">（2）具有良好的商业信誉和健全的财务会计制度； </w:t>
      </w:r>
    </w:p>
    <w:p>
      <w:pPr>
        <w:pStyle w:val="NormalWeb"/>
        <w:widowControl/>
        <w:spacing w:after="0" w:line="520" w:lineRule="exact"/>
        <w:ind w:left="-226" w:right="-226" w:firstLine="960" w:firstLineChars="400"/>
        <w:rPr>
          <w:rFonts w:ascii="宋体" w:eastAsia="宋体" w:hAnsi="宋体" w:cs="宋体"/>
          <w:color w:val="auto"/>
        </w:rPr>
      </w:pPr>
      <w:r>
        <w:rPr>
          <w:rFonts w:ascii="宋体" w:eastAsia="宋体" w:hAnsi="宋体" w:cs="宋体" w:hint="eastAsia"/>
          <w:color w:val="auto"/>
        </w:rPr>
        <w:t xml:space="preserve">（3）具有履行合同所必需的设备和专业技术能力； </w:t>
      </w:r>
    </w:p>
    <w:p>
      <w:pPr>
        <w:pStyle w:val="NormalWeb"/>
        <w:widowControl/>
        <w:spacing w:after="0" w:line="520" w:lineRule="exact"/>
        <w:ind w:left="-226" w:right="-226" w:firstLine="960" w:firstLineChars="400"/>
        <w:rPr>
          <w:rFonts w:ascii="宋体" w:eastAsia="宋体" w:hAnsi="宋体" w:cs="宋体"/>
          <w:color w:val="auto"/>
        </w:rPr>
      </w:pPr>
      <w:r>
        <w:rPr>
          <w:rFonts w:ascii="宋体" w:eastAsia="宋体" w:hAnsi="宋体" w:cs="宋体" w:hint="eastAsia"/>
          <w:color w:val="auto"/>
        </w:rPr>
        <w:t>（4）有依法缴纳税收和社会保障资金的良好记录；</w:t>
      </w:r>
    </w:p>
    <w:p>
      <w:pPr>
        <w:pStyle w:val="NormalWeb"/>
        <w:widowControl/>
        <w:spacing w:after="0" w:line="520" w:lineRule="exact"/>
        <w:ind w:left="-226" w:right="-226" w:firstLine="960" w:firstLineChars="400"/>
        <w:rPr>
          <w:rFonts w:ascii="宋体" w:eastAsia="宋体" w:hAnsi="宋体" w:cs="宋体"/>
          <w:color w:val="auto"/>
        </w:rPr>
      </w:pPr>
      <w:r>
        <w:rPr>
          <w:rFonts w:ascii="宋体" w:eastAsia="宋体" w:hAnsi="宋体" w:cs="宋体" w:hint="eastAsia"/>
          <w:color w:val="auto"/>
        </w:rPr>
        <w:t xml:space="preserve">（5）参加政府采购活动前三年内，在经营活动中没有重大违法记录； </w:t>
      </w:r>
    </w:p>
    <w:p>
      <w:pPr>
        <w:pStyle w:val="PlainText"/>
        <w:numPr>
          <w:ilvl w:val="6"/>
          <w:numId w:val="0"/>
        </w:numPr>
        <w:adjustRightInd w:val="0"/>
        <w:snapToGrid w:val="0"/>
        <w:spacing w:line="480" w:lineRule="exact"/>
        <w:ind w:left="718" w:leftChars="342"/>
        <w:rPr>
          <w:rFonts w:ascii="宋体" w:eastAsia="宋体" w:hAnsi="宋体" w:cs="宋体"/>
          <w:color w:val="auto"/>
          <w:szCs w:val="24"/>
        </w:rPr>
      </w:pPr>
      <w:r>
        <w:rPr>
          <w:rFonts w:ascii="宋体" w:eastAsia="宋体" w:hAnsi="宋体" w:cs="宋体" w:hint="eastAsia"/>
          <w:color w:val="auto"/>
          <w:szCs w:val="24"/>
        </w:rPr>
        <w:t>（6）法律、行政法规规定的其他条件。</w:t>
      </w:r>
    </w:p>
    <w:p>
      <w:pPr>
        <w:adjustRightInd w:val="0"/>
        <w:snapToGrid w:val="0"/>
        <w:spacing w:line="480" w:lineRule="exact"/>
        <w:ind w:firstLine="960" w:firstLineChars="400"/>
        <w:jc w:val="left"/>
        <w:rPr>
          <w:rFonts w:ascii="宋体" w:eastAsia="宋体" w:hAnsi="宋体" w:cs="宋体"/>
          <w:color w:val="auto"/>
          <w:sz w:val="24"/>
        </w:rPr>
      </w:pPr>
      <w:r>
        <w:rPr>
          <w:rFonts w:ascii="宋体" w:eastAsia="宋体" w:hAnsi="宋体" w:cs="宋体" w:hint="eastAsia"/>
          <w:color w:val="auto"/>
          <w:sz w:val="24"/>
        </w:rPr>
        <w:t>特此声明。</w:t>
      </w:r>
    </w:p>
    <w:p>
      <w:pPr>
        <w:pStyle w:val="PlainText"/>
        <w:numPr>
          <w:ilvl w:val="6"/>
          <w:numId w:val="0"/>
        </w:numPr>
        <w:adjustRightInd w:val="0"/>
        <w:snapToGrid w:val="0"/>
        <w:spacing w:line="480" w:lineRule="exact"/>
        <w:ind w:left="567"/>
        <w:rPr>
          <w:rFonts w:ascii="宋体" w:eastAsia="宋体" w:hAnsi="宋体" w:cs="宋体"/>
          <w:color w:val="auto"/>
          <w:sz w:val="28"/>
          <w:szCs w:val="28"/>
        </w:rPr>
      </w:pPr>
    </w:p>
    <w:p>
      <w:pPr>
        <w:pStyle w:val="PlainText"/>
        <w:numPr>
          <w:ilvl w:val="6"/>
          <w:numId w:val="0"/>
        </w:numPr>
        <w:adjustRightInd w:val="0"/>
        <w:snapToGrid w:val="0"/>
        <w:spacing w:line="480" w:lineRule="exact"/>
        <w:ind w:left="567"/>
        <w:rPr>
          <w:rFonts w:ascii="宋体" w:eastAsia="宋体" w:hAnsi="宋体" w:cs="宋体"/>
          <w:color w:val="auto"/>
          <w:sz w:val="28"/>
          <w:szCs w:val="28"/>
        </w:rPr>
      </w:pPr>
    </w:p>
    <w:p>
      <w:pPr>
        <w:pStyle w:val="PlainText"/>
        <w:numPr>
          <w:ilvl w:val="6"/>
          <w:numId w:val="0"/>
        </w:numPr>
        <w:adjustRightInd w:val="0"/>
        <w:snapToGrid w:val="0"/>
        <w:spacing w:line="480" w:lineRule="exact"/>
        <w:ind w:left="567"/>
        <w:rPr>
          <w:rFonts w:ascii="宋体" w:eastAsia="宋体" w:hAnsi="宋体" w:cs="宋体"/>
          <w:color w:val="auto"/>
          <w:sz w:val="28"/>
          <w:szCs w:val="28"/>
        </w:rPr>
      </w:pPr>
    </w:p>
    <w:p>
      <w:pPr>
        <w:pStyle w:val="PlainText"/>
        <w:numPr>
          <w:ilvl w:val="6"/>
          <w:numId w:val="0"/>
        </w:numPr>
        <w:adjustRightInd w:val="0"/>
        <w:snapToGrid w:val="0"/>
        <w:spacing w:line="480" w:lineRule="exact"/>
        <w:ind w:left="567"/>
        <w:rPr>
          <w:rFonts w:ascii="宋体" w:eastAsia="宋体" w:hAnsi="宋体" w:cs="宋体"/>
          <w:color w:val="auto"/>
          <w:sz w:val="28"/>
          <w:szCs w:val="28"/>
        </w:rPr>
      </w:pPr>
    </w:p>
    <w:p>
      <w:pPr>
        <w:snapToGrid w:val="0"/>
        <w:spacing w:line="360" w:lineRule="auto"/>
        <w:ind w:right="140"/>
        <w:jc w:val="left"/>
        <w:rPr>
          <w:rFonts w:ascii="宋体" w:eastAsia="宋体" w:hAnsi="宋体" w:cs="宋体"/>
          <w:snapToGrid w:val="0"/>
          <w:color w:val="auto"/>
          <w:kern w:val="0"/>
          <w:sz w:val="24"/>
        </w:rPr>
      </w:pPr>
      <w:r>
        <w:rPr>
          <w:rFonts w:ascii="宋体" w:eastAsia="宋体" w:hAnsi="宋体" w:cs="宋体" w:hint="eastAsia"/>
          <w:snapToGrid w:val="0"/>
          <w:color w:val="auto"/>
          <w:kern w:val="0"/>
          <w:sz w:val="24"/>
        </w:rPr>
        <w:t>供应商名称：</w:t>
      </w:r>
      <w:r>
        <w:rPr>
          <w:rFonts w:ascii="宋体" w:eastAsia="宋体" w:hAnsi="宋体" w:cs="宋体" w:hint="eastAsia"/>
          <w:snapToGrid w:val="0"/>
          <w:color w:val="auto"/>
          <w:kern w:val="0"/>
          <w:sz w:val="24"/>
          <w:u w:val="single"/>
        </w:rPr>
        <w:t xml:space="preserve">        （全称）              </w:t>
      </w:r>
      <w:r>
        <w:rPr>
          <w:rFonts w:ascii="宋体" w:eastAsia="宋体" w:hAnsi="宋体" w:cs="宋体" w:hint="eastAsia"/>
          <w:snapToGrid w:val="0"/>
          <w:color w:val="auto"/>
          <w:kern w:val="0"/>
          <w:sz w:val="24"/>
        </w:rPr>
        <w:t>（电子签章）</w:t>
      </w:r>
    </w:p>
    <w:p>
      <w:pPr>
        <w:snapToGrid w:val="0"/>
        <w:spacing w:line="360" w:lineRule="auto"/>
        <w:jc w:val="left"/>
        <w:rPr>
          <w:rFonts w:ascii="宋体" w:eastAsia="宋体" w:hAnsi="宋体" w:cs="宋体"/>
          <w:snapToGrid w:val="0"/>
          <w:color w:val="auto"/>
          <w:kern w:val="0"/>
          <w:sz w:val="24"/>
        </w:rPr>
      </w:pPr>
      <w:r>
        <w:rPr>
          <w:rFonts w:ascii="宋体" w:eastAsia="宋体" w:hAnsi="宋体" w:cs="宋体" w:hint="eastAsia"/>
          <w:snapToGrid w:val="0"/>
          <w:color w:val="auto"/>
          <w:kern w:val="0"/>
          <w:sz w:val="24"/>
        </w:rPr>
        <w:t>法定代表人或委托代理人：</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（电子签章或电子印章）</w:t>
      </w:r>
    </w:p>
    <w:p>
      <w:pPr>
        <w:snapToGrid w:val="0"/>
        <w:spacing w:line="360" w:lineRule="auto"/>
        <w:jc w:val="left"/>
        <w:rPr>
          <w:rFonts w:ascii="宋体" w:eastAsia="宋体" w:hAnsi="宋体" w:cs="宋体"/>
          <w:snapToGrid w:val="0"/>
          <w:color w:val="auto"/>
          <w:kern w:val="0"/>
          <w:sz w:val="24"/>
        </w:rPr>
      </w:pPr>
      <w:r>
        <w:rPr>
          <w:rFonts w:ascii="宋体" w:eastAsia="宋体" w:hAnsi="宋体" w:cs="宋体" w:hint="eastAsia"/>
          <w:snapToGrid w:val="0"/>
          <w:color w:val="auto"/>
          <w:kern w:val="0"/>
          <w:sz w:val="24"/>
        </w:rPr>
        <w:t>日期：</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年</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月</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日</w:t>
      </w:r>
    </w:p>
    <w:p>
      <w:pPr>
        <w:pStyle w:val="BodyText"/>
        <w:jc w:val="left"/>
        <w:rPr>
          <w:rFonts w:ascii="宋体" w:eastAsia="宋体" w:hAnsi="宋体" w:cs="宋体"/>
          <w:color w:val="auto"/>
          <w:sz w:val="24"/>
        </w:rPr>
      </w:pPr>
    </w:p>
    <w:p>
      <w:pPr>
        <w:pStyle w:val="BodyText"/>
        <w:jc w:val="left"/>
        <w:rPr>
          <w:rFonts w:ascii="宋体" w:eastAsia="宋体" w:hAnsi="宋体" w:cs="宋体"/>
          <w:color w:val="auto"/>
          <w:sz w:val="24"/>
        </w:rPr>
      </w:pPr>
    </w:p>
    <w:p>
      <w:pPr>
        <w:pStyle w:val="BodyText"/>
        <w:jc w:val="left"/>
        <w:rPr>
          <w:rFonts w:ascii="宋体" w:eastAsia="宋体" w:hAnsi="宋体" w:cs="宋体"/>
          <w:color w:val="auto"/>
          <w:sz w:val="24"/>
        </w:rPr>
      </w:pPr>
    </w:p>
    <w:p>
      <w:pPr>
        <w:pStyle w:val="BodyText"/>
        <w:jc w:val="left"/>
        <w:rPr>
          <w:rFonts w:ascii="宋体" w:eastAsia="宋体" w:hAnsi="宋体" w:cs="宋体"/>
          <w:color w:val="auto"/>
          <w:sz w:val="24"/>
        </w:rPr>
      </w:pPr>
    </w:p>
    <w:p>
      <w:pPr>
        <w:pStyle w:val="BodyText"/>
        <w:jc w:val="left"/>
        <w:rPr>
          <w:rFonts w:ascii="宋体" w:eastAsia="宋体" w:hAnsi="宋体" w:cs="宋体"/>
          <w:color w:val="auto"/>
          <w:sz w:val="24"/>
        </w:rPr>
      </w:pPr>
    </w:p>
    <w:p>
      <w:pPr>
        <w:pStyle w:val="BodyText"/>
        <w:jc w:val="left"/>
        <w:rPr>
          <w:rFonts w:ascii="宋体" w:eastAsia="宋体" w:hAnsi="宋体" w:cs="宋体"/>
          <w:color w:val="auto"/>
          <w:sz w:val="24"/>
        </w:rPr>
      </w:pPr>
    </w:p>
    <w:p>
      <w:pPr>
        <w:pStyle w:val="BodyText"/>
        <w:jc w:val="left"/>
        <w:rPr>
          <w:rFonts w:ascii="宋体" w:eastAsia="宋体" w:hAnsi="宋体" w:cs="宋体"/>
          <w:color w:val="auto"/>
          <w:sz w:val="24"/>
        </w:rPr>
      </w:pPr>
    </w:p>
    <w:p>
      <w:pPr>
        <w:pStyle w:val="BodyText"/>
        <w:jc w:val="left"/>
        <w:rPr>
          <w:rFonts w:ascii="宋体" w:eastAsia="宋体" w:hAnsi="宋体" w:cs="宋体"/>
          <w:color w:val="auto"/>
          <w:sz w:val="24"/>
        </w:rPr>
      </w:pPr>
    </w:p>
    <w:p>
      <w:pPr>
        <w:pStyle w:val="BodyText"/>
        <w:jc w:val="left"/>
        <w:rPr>
          <w:rFonts w:ascii="宋体" w:eastAsia="宋体" w:hAnsi="宋体" w:cs="宋体"/>
          <w:color w:val="auto"/>
          <w:sz w:val="24"/>
        </w:rPr>
      </w:pPr>
    </w:p>
    <w:p>
      <w:pPr>
        <w:pStyle w:val="BodyText"/>
        <w:jc w:val="left"/>
        <w:rPr>
          <w:rFonts w:ascii="宋体" w:eastAsia="宋体" w:hAnsi="宋体" w:cs="宋体"/>
          <w:color w:val="auto"/>
          <w:sz w:val="24"/>
        </w:rPr>
      </w:pPr>
    </w:p>
    <w:p>
      <w:pPr>
        <w:pStyle w:val="BodyText"/>
        <w:jc w:val="left"/>
        <w:rPr>
          <w:rFonts w:ascii="宋体" w:eastAsia="宋体" w:hAnsi="宋体" w:cs="宋体"/>
          <w:color w:val="auto"/>
          <w:sz w:val="24"/>
        </w:rPr>
      </w:pPr>
    </w:p>
    <w:p>
      <w:pPr>
        <w:pStyle w:val="PlainText"/>
        <w:adjustRightInd w:val="0"/>
        <w:snapToGrid w:val="0"/>
        <w:spacing w:line="480" w:lineRule="exact"/>
        <w:ind w:firstLine="0"/>
        <w:rPr>
          <w:rFonts w:ascii="宋体" w:eastAsia="宋体" w:hAnsi="宋体" w:cs="宋体"/>
          <w:b/>
          <w:color w:val="auto"/>
          <w:szCs w:val="24"/>
        </w:rPr>
      </w:pPr>
    </w:p>
    <w:p>
      <w:pPr>
        <w:rPr>
          <w:rFonts w:ascii="宋体" w:eastAsia="宋体" w:hAnsi="宋体" w:cs="宋体"/>
          <w:color w:val="auto"/>
          <w:sz w:val="24"/>
        </w:rPr>
      </w:pPr>
      <w:r>
        <w:rPr>
          <w:rFonts w:ascii="宋体" w:eastAsia="宋体" w:hAnsi="宋体" w:cs="宋体" w:hint="eastAsia"/>
          <w:color w:val="auto"/>
          <w:sz w:val="24"/>
        </w:rPr>
        <w:br w:type="page"/>
      </w:r>
    </w:p>
    <w:p>
      <w:pPr>
        <w:pStyle w:val="BodyText"/>
        <w:jc w:val="left"/>
        <w:rPr>
          <w:rFonts w:ascii="宋体" w:eastAsia="宋体" w:hAnsi="宋体" w:cs="宋体"/>
          <w:color w:val="auto"/>
          <w:sz w:val="24"/>
        </w:rPr>
      </w:pPr>
      <w:r>
        <w:rPr>
          <w:rFonts w:ascii="宋体" w:eastAsia="宋体" w:hAnsi="宋体" w:cs="宋体" w:hint="eastAsia"/>
          <w:color w:val="auto"/>
          <w:sz w:val="24"/>
        </w:rPr>
        <w:t>附件2：</w:t>
      </w:r>
    </w:p>
    <w:p>
      <w:pPr>
        <w:pStyle w:val="PlainText"/>
        <w:adjustRightInd w:val="0"/>
        <w:snapToGrid w:val="0"/>
        <w:spacing w:line="480" w:lineRule="exact"/>
        <w:jc w:val="center"/>
        <w:rPr>
          <w:rFonts w:ascii="宋体" w:eastAsia="宋体" w:hAnsi="宋体" w:cs="宋体"/>
          <w:b/>
          <w:color w:val="auto"/>
          <w:szCs w:val="24"/>
        </w:rPr>
      </w:pPr>
      <w:r>
        <w:rPr>
          <w:rFonts w:ascii="宋体" w:eastAsia="宋体" w:hAnsi="宋体" w:cs="宋体" w:hint="eastAsia"/>
          <w:b/>
          <w:color w:val="auto"/>
          <w:szCs w:val="24"/>
        </w:rPr>
        <w:t>在经营活动中没有重大违法记录声明书</w:t>
      </w:r>
    </w:p>
    <w:p>
      <w:pPr>
        <w:adjustRightInd w:val="0"/>
        <w:snapToGrid w:val="0"/>
        <w:spacing w:line="480" w:lineRule="exact"/>
        <w:jc w:val="left"/>
        <w:rPr>
          <w:rFonts w:ascii="宋体" w:eastAsia="宋体" w:hAnsi="宋体" w:cs="宋体"/>
          <w:color w:val="auto"/>
          <w:sz w:val="24"/>
          <w:u w:val="single"/>
        </w:rPr>
      </w:pPr>
    </w:p>
    <w:p>
      <w:pPr>
        <w:adjustRightInd w:val="0"/>
        <w:snapToGrid w:val="0"/>
        <w:spacing w:line="520" w:lineRule="exact"/>
        <w:ind w:firstLine="638" w:firstLineChars="266"/>
        <w:jc w:val="left"/>
        <w:rPr>
          <w:rFonts w:ascii="宋体" w:eastAsia="宋体" w:hAnsi="宋体" w:cs="宋体"/>
          <w:color w:val="auto"/>
          <w:sz w:val="24"/>
        </w:rPr>
      </w:pPr>
      <w:r>
        <w:rPr>
          <w:rFonts w:ascii="宋体" w:eastAsia="宋体" w:hAnsi="宋体" w:cs="宋体" w:hint="eastAsia"/>
          <w:color w:val="auto"/>
          <w:sz w:val="24"/>
        </w:rPr>
        <w:t>我方在此声明，我方参加</w:t>
      </w:r>
      <w:r>
        <w:rPr>
          <w:rFonts w:ascii="宋体" w:eastAsia="宋体" w:hAnsi="宋体" w:cs="宋体" w:hint="eastAsia"/>
          <w:color w:val="auto"/>
          <w:sz w:val="24"/>
          <w:u w:val="single"/>
        </w:rPr>
        <w:t xml:space="preserve">    （项目名称）   </w:t>
      </w:r>
      <w:r>
        <w:rPr>
          <w:rFonts w:ascii="宋体" w:eastAsia="宋体" w:hAnsi="宋体" w:cs="宋体" w:hint="eastAsia"/>
          <w:color w:val="auto"/>
          <w:sz w:val="24"/>
        </w:rPr>
        <w:t>的政府采购活动前三年（  年 月 日</w:t>
      </w:r>
      <w:r>
        <w:rPr>
          <w:rFonts w:ascii="宋体" w:eastAsia="宋体" w:hAnsi="宋体" w:cs="宋体" w:hint="eastAsia"/>
          <w:color w:val="auto"/>
          <w:sz w:val="24"/>
        </w:rPr>
        <w:t>—</w:t>
      </w:r>
      <w:r>
        <w:rPr>
          <w:rFonts w:ascii="宋体" w:eastAsia="宋体" w:hAnsi="宋体" w:cs="宋体" w:hint="eastAsia"/>
          <w:color w:val="auto"/>
          <w:sz w:val="24"/>
        </w:rPr>
        <w:t xml:space="preserve">  年  月  日）内，在经营活动中没有重大违法记录</w:t>
      </w:r>
      <w:r>
        <w:rPr>
          <w:rFonts w:ascii="宋体" w:eastAsia="宋体" w:hAnsi="宋体" w:cs="宋体" w:hint="eastAsia"/>
          <w:bCs/>
          <w:color w:val="auto"/>
          <w:kern w:val="1"/>
          <w:sz w:val="24"/>
        </w:rPr>
        <w:t>（重大违法记录是指供应商因违法经营受到刑事处罚或者责令停产停业、吊销许可证或者执照、较大数额罚款等行政处罚）</w:t>
      </w:r>
      <w:r>
        <w:rPr>
          <w:rFonts w:ascii="宋体" w:eastAsia="宋体" w:hAnsi="宋体" w:cs="宋体" w:hint="eastAsia"/>
          <w:color w:val="auto"/>
          <w:sz w:val="24"/>
        </w:rPr>
        <w:t>。</w:t>
      </w:r>
    </w:p>
    <w:p>
      <w:pPr>
        <w:adjustRightInd w:val="0"/>
        <w:snapToGrid w:val="0"/>
        <w:spacing w:line="520" w:lineRule="exact"/>
        <w:ind w:firstLine="638" w:firstLineChars="266"/>
        <w:jc w:val="left"/>
        <w:rPr>
          <w:rFonts w:ascii="宋体" w:eastAsia="宋体" w:hAnsi="宋体" w:cs="宋体"/>
          <w:color w:val="auto"/>
          <w:sz w:val="24"/>
        </w:rPr>
      </w:pPr>
      <w:r>
        <w:rPr>
          <w:rFonts w:ascii="宋体" w:eastAsia="宋体" w:hAnsi="宋体" w:cs="宋体" w:hint="eastAsia"/>
          <w:color w:val="auto"/>
          <w:sz w:val="24"/>
        </w:rPr>
        <w:t>我方保证上述信息的真实和准确，并愿意承担因我方就此弄虚作假所引起的一切法律后果。</w:t>
      </w:r>
    </w:p>
    <w:p>
      <w:pPr>
        <w:adjustRightInd w:val="0"/>
        <w:snapToGrid w:val="0"/>
        <w:spacing w:line="480" w:lineRule="exact"/>
        <w:ind w:firstLine="638" w:firstLineChars="266"/>
        <w:jc w:val="left"/>
        <w:rPr>
          <w:rFonts w:ascii="宋体" w:eastAsia="宋体" w:hAnsi="宋体" w:cs="宋体"/>
          <w:color w:val="auto"/>
          <w:sz w:val="24"/>
        </w:rPr>
      </w:pPr>
      <w:r>
        <w:rPr>
          <w:rFonts w:ascii="宋体" w:eastAsia="宋体" w:hAnsi="宋体" w:cs="宋体" w:hint="eastAsia"/>
          <w:color w:val="auto"/>
          <w:sz w:val="24"/>
        </w:rPr>
        <w:t>特此声明。</w:t>
      </w:r>
    </w:p>
    <w:p>
      <w:pPr>
        <w:adjustRightInd w:val="0"/>
        <w:snapToGrid w:val="0"/>
        <w:spacing w:line="480" w:lineRule="exact"/>
        <w:ind w:firstLine="465"/>
        <w:jc w:val="left"/>
        <w:rPr>
          <w:rFonts w:ascii="宋体" w:eastAsia="宋体" w:hAnsi="宋体" w:cs="宋体"/>
          <w:color w:val="auto"/>
          <w:sz w:val="24"/>
        </w:rPr>
      </w:pPr>
    </w:p>
    <w:p>
      <w:pPr>
        <w:adjustRightInd w:val="0"/>
        <w:snapToGrid w:val="0"/>
        <w:spacing w:line="480" w:lineRule="exact"/>
        <w:ind w:firstLine="465"/>
        <w:jc w:val="left"/>
        <w:rPr>
          <w:rFonts w:ascii="宋体" w:eastAsia="宋体" w:hAnsi="宋体" w:cs="宋体"/>
          <w:color w:val="auto"/>
          <w:sz w:val="24"/>
        </w:rPr>
      </w:pPr>
    </w:p>
    <w:p>
      <w:pPr>
        <w:adjustRightInd w:val="0"/>
        <w:snapToGrid w:val="0"/>
        <w:spacing w:line="480" w:lineRule="exact"/>
        <w:ind w:firstLine="465"/>
        <w:jc w:val="left"/>
        <w:rPr>
          <w:rFonts w:ascii="宋体" w:eastAsia="宋体" w:hAnsi="宋体" w:cs="宋体"/>
          <w:color w:val="auto"/>
          <w:sz w:val="24"/>
        </w:rPr>
      </w:pPr>
    </w:p>
    <w:p>
      <w:pPr>
        <w:adjustRightInd w:val="0"/>
        <w:snapToGrid w:val="0"/>
        <w:spacing w:line="480" w:lineRule="exact"/>
        <w:ind w:firstLine="465"/>
        <w:jc w:val="left"/>
        <w:rPr>
          <w:rFonts w:ascii="宋体" w:eastAsia="宋体" w:hAnsi="宋体" w:cs="宋体"/>
          <w:color w:val="auto"/>
          <w:sz w:val="24"/>
        </w:rPr>
      </w:pPr>
    </w:p>
    <w:p>
      <w:pPr>
        <w:adjustRightInd w:val="0"/>
        <w:snapToGrid w:val="0"/>
        <w:spacing w:line="480" w:lineRule="exact"/>
        <w:ind w:firstLine="465"/>
        <w:jc w:val="left"/>
        <w:rPr>
          <w:rFonts w:ascii="宋体" w:eastAsia="宋体" w:hAnsi="宋体" w:cs="宋体"/>
          <w:color w:val="auto"/>
          <w:sz w:val="24"/>
        </w:rPr>
      </w:pPr>
    </w:p>
    <w:p>
      <w:pPr>
        <w:adjustRightInd w:val="0"/>
        <w:snapToGrid w:val="0"/>
        <w:spacing w:line="480" w:lineRule="exact"/>
        <w:ind w:firstLine="465"/>
        <w:jc w:val="left"/>
        <w:rPr>
          <w:rFonts w:ascii="宋体" w:eastAsia="宋体" w:hAnsi="宋体" w:cs="宋体"/>
          <w:color w:val="auto"/>
          <w:sz w:val="24"/>
        </w:rPr>
      </w:pPr>
    </w:p>
    <w:p>
      <w:pPr>
        <w:adjustRightInd w:val="0"/>
        <w:snapToGrid w:val="0"/>
        <w:spacing w:line="480" w:lineRule="exact"/>
        <w:ind w:firstLine="465"/>
        <w:jc w:val="left"/>
        <w:rPr>
          <w:rFonts w:ascii="宋体" w:eastAsia="宋体" w:hAnsi="宋体" w:cs="宋体"/>
          <w:color w:val="auto"/>
          <w:sz w:val="24"/>
        </w:rPr>
      </w:pPr>
    </w:p>
    <w:p>
      <w:pPr>
        <w:snapToGrid w:val="0"/>
        <w:spacing w:line="360" w:lineRule="auto"/>
        <w:ind w:right="140"/>
        <w:jc w:val="left"/>
        <w:rPr>
          <w:rFonts w:ascii="宋体" w:eastAsia="宋体" w:hAnsi="宋体" w:cs="宋体"/>
          <w:snapToGrid w:val="0"/>
          <w:color w:val="auto"/>
          <w:kern w:val="0"/>
          <w:sz w:val="24"/>
        </w:rPr>
      </w:pPr>
      <w:r>
        <w:rPr>
          <w:rFonts w:ascii="宋体" w:eastAsia="宋体" w:hAnsi="宋体" w:cs="宋体" w:hint="eastAsia"/>
          <w:snapToGrid w:val="0"/>
          <w:color w:val="auto"/>
          <w:kern w:val="0"/>
          <w:sz w:val="24"/>
        </w:rPr>
        <w:t>供应商名称：</w:t>
      </w:r>
      <w:r>
        <w:rPr>
          <w:rFonts w:ascii="宋体" w:eastAsia="宋体" w:hAnsi="宋体" w:cs="宋体" w:hint="eastAsia"/>
          <w:snapToGrid w:val="0"/>
          <w:color w:val="auto"/>
          <w:kern w:val="0"/>
          <w:sz w:val="24"/>
          <w:u w:val="single"/>
        </w:rPr>
        <w:t xml:space="preserve">        （全称）              </w:t>
      </w:r>
      <w:r>
        <w:rPr>
          <w:rFonts w:ascii="宋体" w:eastAsia="宋体" w:hAnsi="宋体" w:cs="宋体" w:hint="eastAsia"/>
          <w:snapToGrid w:val="0"/>
          <w:color w:val="auto"/>
          <w:kern w:val="0"/>
          <w:sz w:val="24"/>
        </w:rPr>
        <w:t>（电子签章）</w:t>
      </w:r>
    </w:p>
    <w:p>
      <w:pPr>
        <w:snapToGrid w:val="0"/>
        <w:spacing w:line="360" w:lineRule="auto"/>
        <w:jc w:val="left"/>
        <w:rPr>
          <w:rFonts w:ascii="宋体" w:eastAsia="宋体" w:hAnsi="宋体" w:cs="宋体"/>
          <w:snapToGrid w:val="0"/>
          <w:color w:val="auto"/>
          <w:kern w:val="0"/>
          <w:sz w:val="24"/>
        </w:rPr>
      </w:pPr>
      <w:r>
        <w:rPr>
          <w:rFonts w:ascii="宋体" w:eastAsia="宋体" w:hAnsi="宋体" w:cs="宋体" w:hint="eastAsia"/>
          <w:snapToGrid w:val="0"/>
          <w:color w:val="auto"/>
          <w:kern w:val="0"/>
          <w:sz w:val="24"/>
        </w:rPr>
        <w:t>法定代表人或委托代理人：</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（电子签章或电子印章）</w:t>
      </w:r>
    </w:p>
    <w:p>
      <w:pPr>
        <w:snapToGrid w:val="0"/>
        <w:spacing w:line="360" w:lineRule="auto"/>
        <w:jc w:val="left"/>
        <w:rPr>
          <w:rFonts w:ascii="宋体" w:eastAsia="宋体" w:hAnsi="宋体" w:cs="宋体"/>
          <w:snapToGrid w:val="0"/>
          <w:color w:val="auto"/>
          <w:kern w:val="0"/>
          <w:sz w:val="24"/>
        </w:rPr>
      </w:pPr>
      <w:r>
        <w:rPr>
          <w:rFonts w:ascii="宋体" w:eastAsia="宋体" w:hAnsi="宋体" w:cs="宋体" w:hint="eastAsia"/>
          <w:snapToGrid w:val="0"/>
          <w:color w:val="auto"/>
          <w:kern w:val="0"/>
          <w:sz w:val="24"/>
        </w:rPr>
        <w:t>日期：</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年</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月</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日</w:t>
      </w:r>
    </w:p>
    <w:p>
      <w:pPr>
        <w:spacing w:line="480" w:lineRule="exact"/>
        <w:rPr>
          <w:rFonts w:ascii="宋体" w:eastAsia="宋体" w:hAnsi="宋体" w:cs="宋体"/>
          <w:color w:val="auto"/>
          <w:sz w:val="28"/>
          <w:szCs w:val="28"/>
        </w:rPr>
      </w:pPr>
    </w:p>
    <w:p>
      <w:pPr>
        <w:spacing w:line="480" w:lineRule="exact"/>
        <w:rPr>
          <w:rFonts w:ascii="宋体" w:eastAsia="宋体" w:hAnsi="宋体" w:cs="宋体"/>
          <w:color w:val="auto"/>
          <w:sz w:val="28"/>
          <w:szCs w:val="28"/>
        </w:rPr>
      </w:pPr>
    </w:p>
    <w:p>
      <w:pPr>
        <w:spacing w:line="480" w:lineRule="exact"/>
        <w:rPr>
          <w:rFonts w:ascii="宋体" w:eastAsia="宋体" w:hAnsi="宋体" w:cs="宋体"/>
          <w:color w:val="auto"/>
          <w:sz w:val="28"/>
          <w:szCs w:val="28"/>
        </w:rPr>
      </w:pPr>
    </w:p>
    <w:p>
      <w:pPr>
        <w:spacing w:line="480" w:lineRule="exact"/>
        <w:rPr>
          <w:rFonts w:ascii="宋体" w:eastAsia="宋体" w:hAnsi="宋体" w:cs="宋体"/>
          <w:color w:val="auto"/>
          <w:sz w:val="28"/>
          <w:szCs w:val="28"/>
        </w:rPr>
      </w:pPr>
    </w:p>
    <w:p>
      <w:pPr>
        <w:spacing w:line="480" w:lineRule="exact"/>
        <w:rPr>
          <w:rFonts w:ascii="宋体" w:eastAsia="宋体" w:hAnsi="宋体" w:cs="宋体"/>
          <w:color w:val="auto"/>
          <w:sz w:val="28"/>
          <w:szCs w:val="28"/>
        </w:rPr>
      </w:pPr>
    </w:p>
    <w:p>
      <w:pPr>
        <w:spacing w:line="480" w:lineRule="exact"/>
        <w:rPr>
          <w:rFonts w:ascii="宋体" w:eastAsia="宋体" w:hAnsi="宋体" w:cs="宋体"/>
          <w:color w:val="auto"/>
          <w:sz w:val="28"/>
          <w:szCs w:val="28"/>
        </w:rPr>
      </w:pPr>
    </w:p>
    <w:p>
      <w:pPr>
        <w:spacing w:line="480" w:lineRule="exact"/>
        <w:rPr>
          <w:rFonts w:ascii="宋体" w:eastAsia="宋体" w:hAnsi="宋体" w:cs="宋体"/>
          <w:color w:val="auto"/>
          <w:sz w:val="28"/>
          <w:szCs w:val="28"/>
        </w:rPr>
      </w:pPr>
    </w:p>
    <w:p>
      <w:pPr>
        <w:spacing w:line="480" w:lineRule="exact"/>
        <w:rPr>
          <w:rFonts w:ascii="宋体" w:eastAsia="宋体" w:hAnsi="宋体" w:cs="宋体"/>
          <w:color w:val="auto"/>
          <w:sz w:val="28"/>
          <w:szCs w:val="28"/>
        </w:rPr>
      </w:pPr>
    </w:p>
    <w:p>
      <w:pPr>
        <w:spacing w:line="480" w:lineRule="exact"/>
        <w:rPr>
          <w:rFonts w:ascii="宋体" w:eastAsia="宋体" w:hAnsi="宋体" w:cs="宋体"/>
          <w:color w:val="auto"/>
          <w:sz w:val="28"/>
          <w:szCs w:val="28"/>
        </w:rPr>
      </w:pPr>
    </w:p>
    <w:p>
      <w:pPr>
        <w:spacing w:line="480" w:lineRule="exact"/>
        <w:rPr>
          <w:rFonts w:ascii="宋体" w:eastAsia="宋体" w:hAnsi="宋体" w:cs="宋体"/>
          <w:color w:val="auto"/>
          <w:sz w:val="24"/>
        </w:rPr>
      </w:pPr>
    </w:p>
    <w:p>
      <w:pPr>
        <w:spacing w:line="480" w:lineRule="exact"/>
        <w:rPr>
          <w:rFonts w:ascii="宋体" w:eastAsia="宋体" w:hAnsi="宋体" w:cs="宋体"/>
          <w:color w:val="auto"/>
          <w:sz w:val="24"/>
        </w:rPr>
      </w:pPr>
      <w:r>
        <w:rPr>
          <w:rFonts w:ascii="宋体" w:eastAsia="宋体" w:hAnsi="宋体" w:cs="宋体" w:hint="eastAsia"/>
          <w:color w:val="auto"/>
          <w:sz w:val="24"/>
        </w:rPr>
        <w:t>附件3：</w:t>
      </w:r>
    </w:p>
    <w:p>
      <w:pPr>
        <w:spacing w:line="500" w:lineRule="exact"/>
        <w:jc w:val="center"/>
        <w:rPr>
          <w:rFonts w:ascii="宋体" w:eastAsia="宋体" w:hAnsi="宋体" w:cs="宋体"/>
          <w:b/>
          <w:color w:val="auto"/>
          <w:sz w:val="24"/>
        </w:rPr>
      </w:pPr>
      <w:r>
        <w:rPr>
          <w:rFonts w:ascii="宋体" w:eastAsia="宋体" w:hAnsi="宋体" w:cs="宋体" w:hint="eastAsia"/>
          <w:b/>
          <w:color w:val="auto"/>
          <w:sz w:val="24"/>
        </w:rPr>
        <w:t>中小企业声明函 （如需）</w:t>
      </w:r>
    </w:p>
    <w:p>
      <w:pPr>
        <w:spacing w:line="500" w:lineRule="exact"/>
        <w:ind w:firstLine="480" w:firstLineChars="200"/>
        <w:jc w:val="left"/>
        <w:rPr>
          <w:rFonts w:ascii="宋体" w:eastAsia="宋体" w:hAnsi="宋体" w:cs="宋体"/>
          <w:color w:val="auto"/>
          <w:sz w:val="24"/>
        </w:rPr>
      </w:pPr>
    </w:p>
    <w:p>
      <w:pPr>
        <w:snapToGrid w:val="0"/>
        <w:spacing w:line="360" w:lineRule="auto"/>
        <w:ind w:right="415" w:firstLine="480" w:firstLineChars="200"/>
        <w:rPr>
          <w:rFonts w:ascii="宋体" w:eastAsia="宋体" w:hAnsi="宋体" w:cs="宋体"/>
          <w:color w:val="auto"/>
          <w:sz w:val="24"/>
        </w:rPr>
      </w:pPr>
      <w:r>
        <w:rPr>
          <w:rFonts w:ascii="宋体" w:eastAsia="宋体" w:hAnsi="宋体" w:cs="宋体" w:hint="eastAsia"/>
          <w:color w:val="auto"/>
          <w:sz w:val="24"/>
        </w:rPr>
        <w:t xml:space="preserve"> 本公司</w:t>
      </w:r>
      <w:r>
        <w:rPr>
          <w:rFonts w:ascii="宋体" w:eastAsia="宋体" w:hAnsi="宋体" w:cs="宋体" w:hint="eastAsia"/>
          <w:color w:val="auto"/>
          <w:sz w:val="24"/>
          <w:u w:val="single"/>
        </w:rPr>
        <w:t xml:space="preserve">       </w:t>
      </w:r>
      <w:r>
        <w:rPr>
          <w:rFonts w:ascii="宋体" w:eastAsia="宋体" w:hAnsi="宋体" w:cs="宋体" w:hint="eastAsia"/>
          <w:color w:val="auto"/>
          <w:sz w:val="24"/>
        </w:rPr>
        <w:t>郑重声明，根据《政府采购促进中小企业发展管理办法》（财库</w:t>
      </w:r>
      <w:r>
        <w:rPr>
          <w:rFonts w:ascii="宋体" w:eastAsia="宋体" w:hAnsi="宋体" w:cs="宋体" w:hint="eastAsia"/>
          <w:color w:val="auto"/>
          <w:sz w:val="24"/>
        </w:rPr>
        <w:t>﹝</w:t>
      </w:r>
      <w:r>
        <w:rPr>
          <w:rFonts w:ascii="宋体" w:eastAsia="宋体" w:hAnsi="宋体" w:cs="宋体" w:hint="eastAsia"/>
          <w:color w:val="auto"/>
          <w:sz w:val="24"/>
        </w:rPr>
        <w:t>2020</w:t>
      </w:r>
      <w:r>
        <w:rPr>
          <w:rFonts w:ascii="宋体" w:eastAsia="宋体" w:hAnsi="宋体" w:cs="宋体" w:hint="eastAsia"/>
          <w:color w:val="auto"/>
          <w:sz w:val="24"/>
        </w:rPr>
        <w:t>﹞</w:t>
      </w:r>
      <w:r>
        <w:rPr>
          <w:rFonts w:ascii="宋体" w:eastAsia="宋体" w:hAnsi="宋体" w:cs="宋体" w:hint="eastAsia"/>
          <w:color w:val="auto"/>
          <w:sz w:val="24"/>
        </w:rPr>
        <w:t>46号）的规定，参加</w:t>
      </w:r>
      <w:r>
        <w:rPr>
          <w:rFonts w:ascii="宋体" w:eastAsia="宋体" w:hAnsi="宋体" w:cs="宋体" w:hint="eastAsia"/>
          <w:color w:val="auto"/>
          <w:sz w:val="24"/>
          <w:u w:val="single"/>
        </w:rPr>
        <w:t>（采购人名称）</w:t>
      </w:r>
      <w:r>
        <w:rPr>
          <w:rFonts w:ascii="宋体" w:eastAsia="宋体" w:hAnsi="宋体" w:cs="宋体" w:hint="eastAsia"/>
          <w:color w:val="auto"/>
          <w:sz w:val="24"/>
        </w:rPr>
        <w:t>的</w:t>
      </w:r>
      <w:r>
        <w:rPr>
          <w:rFonts w:ascii="宋体" w:eastAsia="宋体" w:hAnsi="宋体" w:cs="宋体" w:hint="eastAsia"/>
          <w:color w:val="auto"/>
          <w:sz w:val="24"/>
          <w:u w:val="single"/>
        </w:rPr>
        <w:t>（项目名称）</w:t>
      </w:r>
      <w:r>
        <w:rPr>
          <w:rFonts w:ascii="宋体" w:eastAsia="宋体" w:hAnsi="宋体" w:cs="宋体" w:hint="eastAsia"/>
          <w:color w:val="auto"/>
          <w:sz w:val="24"/>
        </w:rPr>
        <w:t>采购活动，全部由符合政策要求的中小企业承接。相关企业（含联合体中的中小企业、签订分包意向协议的中小企业）的具体情况如下：</w:t>
      </w:r>
    </w:p>
    <w:p>
      <w:pPr>
        <w:snapToGrid w:val="0"/>
        <w:spacing w:line="360" w:lineRule="auto"/>
        <w:ind w:right="415" w:firstLine="480" w:firstLineChars="200"/>
        <w:rPr>
          <w:rFonts w:ascii="宋体" w:eastAsia="宋体" w:hAnsi="宋体" w:cs="宋体"/>
          <w:color w:val="auto"/>
          <w:sz w:val="24"/>
        </w:rPr>
      </w:pPr>
      <w:r>
        <w:rPr>
          <w:rFonts w:ascii="宋体" w:eastAsia="宋体" w:hAnsi="宋体" w:cs="宋体" w:hint="eastAsia"/>
          <w:color w:val="auto"/>
          <w:sz w:val="24"/>
        </w:rPr>
        <w:t>1.</w:t>
      </w:r>
      <w:r>
        <w:rPr>
          <w:rFonts w:ascii="宋体" w:eastAsia="宋体" w:hAnsi="宋体" w:cs="宋体" w:hint="eastAsia"/>
          <w:color w:val="auto"/>
          <w:sz w:val="24"/>
          <w:u w:val="single"/>
        </w:rPr>
        <w:t>（标的名称）</w:t>
      </w:r>
      <w:r>
        <w:rPr>
          <w:rFonts w:ascii="宋体" w:eastAsia="宋体" w:hAnsi="宋体" w:cs="宋体" w:hint="eastAsia"/>
          <w:color w:val="auto"/>
          <w:sz w:val="24"/>
        </w:rPr>
        <w:t>，属于（</w:t>
      </w:r>
      <w:r>
        <w:rPr>
          <w:rFonts w:ascii="宋体" w:eastAsia="宋体" w:hAnsi="宋体" w:cs="宋体" w:hint="eastAsia"/>
          <w:color w:val="auto"/>
          <w:sz w:val="24"/>
          <w:u w:val="single"/>
        </w:rPr>
        <w:t>采购文件中明确的所属行业）</w:t>
      </w:r>
      <w:r>
        <w:rPr>
          <w:rFonts w:ascii="宋体" w:eastAsia="宋体" w:hAnsi="宋体" w:cs="宋体" w:hint="eastAsia"/>
          <w:color w:val="auto"/>
          <w:sz w:val="24"/>
        </w:rPr>
        <w:t>；承接企业为</w:t>
      </w:r>
      <w:r>
        <w:rPr>
          <w:rFonts w:ascii="宋体" w:eastAsia="宋体" w:hAnsi="宋体" w:cs="宋体" w:hint="eastAsia"/>
          <w:color w:val="auto"/>
          <w:sz w:val="24"/>
          <w:u w:val="single"/>
        </w:rPr>
        <w:t>（企业名称）</w:t>
      </w:r>
      <w:r>
        <w:rPr>
          <w:rFonts w:ascii="宋体" w:eastAsia="宋体" w:hAnsi="宋体" w:cs="宋体" w:hint="eastAsia"/>
          <w:color w:val="auto"/>
          <w:sz w:val="24"/>
        </w:rPr>
        <w:t>，从业人员</w:t>
      </w:r>
      <w:r>
        <w:rPr>
          <w:rFonts w:ascii="宋体" w:eastAsia="宋体" w:hAnsi="宋体" w:cs="宋体" w:hint="eastAsia"/>
          <w:color w:val="auto"/>
          <w:sz w:val="24"/>
          <w:u w:val="single"/>
        </w:rPr>
        <w:t>　</w:t>
      </w:r>
      <w:r>
        <w:rPr>
          <w:rFonts w:ascii="宋体" w:eastAsia="宋体" w:hAnsi="宋体" w:cs="宋体" w:hint="eastAsia"/>
          <w:color w:val="auto"/>
          <w:sz w:val="24"/>
        </w:rPr>
        <w:t>人，营业收入为</w:t>
      </w:r>
      <w:r>
        <w:rPr>
          <w:rFonts w:ascii="宋体" w:eastAsia="宋体" w:hAnsi="宋体" w:cs="宋体" w:hint="eastAsia"/>
          <w:color w:val="auto"/>
          <w:sz w:val="24"/>
          <w:u w:val="single"/>
        </w:rPr>
        <w:t>　　</w:t>
      </w:r>
      <w:r>
        <w:rPr>
          <w:rFonts w:ascii="宋体" w:eastAsia="宋体" w:hAnsi="宋体" w:cs="宋体" w:hint="eastAsia"/>
          <w:color w:val="auto"/>
          <w:sz w:val="24"/>
        </w:rPr>
        <w:t>万元，资产总额为</w:t>
      </w:r>
      <w:r>
        <w:rPr>
          <w:rFonts w:ascii="宋体" w:eastAsia="宋体" w:hAnsi="宋体" w:cs="宋体" w:hint="eastAsia"/>
          <w:color w:val="auto"/>
          <w:sz w:val="24"/>
          <w:u w:val="single"/>
        </w:rPr>
        <w:t>　　</w:t>
      </w:r>
      <w:r>
        <w:rPr>
          <w:rFonts w:ascii="宋体" w:eastAsia="宋体" w:hAnsi="宋体" w:cs="宋体" w:hint="eastAsia"/>
          <w:color w:val="auto"/>
          <w:sz w:val="24"/>
        </w:rPr>
        <w:t>万元，属于</w:t>
      </w:r>
      <w:r>
        <w:rPr>
          <w:rFonts w:ascii="宋体" w:eastAsia="宋体" w:hAnsi="宋体" w:cs="宋体" w:hint="eastAsia"/>
          <w:color w:val="auto"/>
          <w:sz w:val="24"/>
          <w:u w:val="single"/>
        </w:rPr>
        <w:t>（中型企业、小型企业、微型企业）</w:t>
      </w:r>
      <w:r>
        <w:rPr>
          <w:rFonts w:ascii="宋体" w:eastAsia="宋体" w:hAnsi="宋体" w:cs="宋体" w:hint="eastAsia"/>
          <w:color w:val="auto"/>
          <w:sz w:val="24"/>
        </w:rPr>
        <w:t>；</w:t>
      </w:r>
    </w:p>
    <w:p>
      <w:pPr>
        <w:snapToGrid w:val="0"/>
        <w:spacing w:before="11"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w:t>
      </w:r>
    </w:p>
    <w:p>
      <w:pPr>
        <w:snapToGrid w:val="0"/>
        <w:spacing w:before="108" w:line="360" w:lineRule="auto"/>
        <w:ind w:right="417" w:firstLine="480" w:firstLineChars="200"/>
        <w:rPr>
          <w:rFonts w:ascii="宋体" w:eastAsia="宋体" w:hAnsi="宋体" w:cs="宋体"/>
          <w:color w:val="auto"/>
          <w:sz w:val="24"/>
        </w:rPr>
      </w:pPr>
      <w:r>
        <w:rPr>
          <w:rFonts w:ascii="宋体" w:eastAsia="宋体" w:hAnsi="宋体" w:cs="宋体" w:hint="eastAsia"/>
          <w:color w:val="auto"/>
          <w:sz w:val="24"/>
        </w:rPr>
        <w:t>以上企业，不属于大企业的分支机构，不存在控股股东为大企业的情形，也不存在与大企业的负责人为同一人的情形。</w:t>
      </w:r>
    </w:p>
    <w:p>
      <w:pPr>
        <w:snapToGrid w:val="0"/>
        <w:spacing w:line="360" w:lineRule="auto"/>
        <w:ind w:right="375" w:firstLine="480" w:firstLineChars="200"/>
        <w:rPr>
          <w:rFonts w:ascii="宋体" w:eastAsia="宋体" w:hAnsi="宋体" w:cs="宋体"/>
          <w:color w:val="auto"/>
          <w:sz w:val="24"/>
        </w:rPr>
      </w:pPr>
      <w:r>
        <w:rPr>
          <w:rFonts w:ascii="宋体" w:eastAsia="宋体" w:hAnsi="宋体" w:cs="宋体" w:hint="eastAsia"/>
          <w:color w:val="auto"/>
          <w:sz w:val="24"/>
        </w:rPr>
        <w:t>本企业对上述声明内容的真实性负责。如有虚假，将依法承担相应责任。</w:t>
      </w:r>
    </w:p>
    <w:p>
      <w:pPr>
        <w:snapToGrid w:val="0"/>
        <w:spacing w:line="360" w:lineRule="auto"/>
        <w:ind w:right="140" w:firstLine="120" w:firstLineChars="50"/>
        <w:jc w:val="left"/>
        <w:rPr>
          <w:rFonts w:ascii="宋体" w:eastAsia="宋体" w:hAnsi="宋体" w:cs="宋体"/>
          <w:snapToGrid w:val="0"/>
          <w:color w:val="auto"/>
          <w:kern w:val="0"/>
          <w:sz w:val="24"/>
        </w:rPr>
      </w:pPr>
      <w:r>
        <w:rPr>
          <w:rFonts w:ascii="宋体" w:eastAsia="宋体" w:hAnsi="宋体" w:cs="宋体" w:hint="eastAsia"/>
          <w:snapToGrid w:val="0"/>
          <w:color w:val="auto"/>
          <w:kern w:val="0"/>
          <w:sz w:val="24"/>
        </w:rPr>
        <w:t>供应商名称：</w:t>
      </w:r>
      <w:r>
        <w:rPr>
          <w:rFonts w:ascii="宋体" w:eastAsia="宋体" w:hAnsi="宋体" w:cs="宋体" w:hint="eastAsia"/>
          <w:snapToGrid w:val="0"/>
          <w:color w:val="auto"/>
          <w:kern w:val="0"/>
          <w:sz w:val="24"/>
          <w:u w:val="single"/>
        </w:rPr>
        <w:t xml:space="preserve">        （全称）              </w:t>
      </w:r>
      <w:r>
        <w:rPr>
          <w:rFonts w:ascii="宋体" w:eastAsia="宋体" w:hAnsi="宋体" w:cs="宋体" w:hint="eastAsia"/>
          <w:snapToGrid w:val="0"/>
          <w:color w:val="auto"/>
          <w:kern w:val="0"/>
          <w:sz w:val="24"/>
        </w:rPr>
        <w:t>（电子签章）</w:t>
      </w:r>
    </w:p>
    <w:p>
      <w:pPr>
        <w:spacing w:line="360" w:lineRule="auto"/>
        <w:ind w:firstLine="240" w:firstLineChars="100"/>
        <w:rPr>
          <w:rFonts w:ascii="宋体" w:eastAsia="宋体" w:hAnsi="宋体" w:cs="宋体"/>
          <w:color w:val="auto"/>
          <w:sz w:val="24"/>
        </w:rPr>
      </w:pPr>
    </w:p>
    <w:p>
      <w:pPr>
        <w:spacing w:line="360" w:lineRule="auto"/>
        <w:ind w:firstLine="240" w:firstLineChars="100"/>
        <w:rPr>
          <w:rFonts w:ascii="宋体" w:eastAsia="宋体" w:hAnsi="宋体" w:cs="宋体"/>
          <w:color w:val="auto"/>
          <w:sz w:val="24"/>
        </w:rPr>
      </w:pPr>
      <w:r>
        <w:rPr>
          <w:rFonts w:ascii="宋体" w:eastAsia="宋体" w:hAnsi="宋体" w:cs="宋体" w:hint="eastAsia"/>
          <w:color w:val="auto"/>
          <w:sz w:val="24"/>
          <w:lang w:val="zh-CN"/>
        </w:rPr>
        <w:t>日期：</w:t>
      </w:r>
    </w:p>
    <w:p>
      <w:pPr>
        <w:rPr>
          <w:rFonts w:ascii="宋体" w:eastAsia="宋体" w:hAnsi="宋体" w:cs="宋体"/>
          <w:color w:val="auto"/>
          <w:sz w:val="24"/>
        </w:rPr>
      </w:pPr>
    </w:p>
    <w:p>
      <w:pPr>
        <w:ind w:firstLine="480" w:firstLineChars="200"/>
        <w:rPr>
          <w:rFonts w:ascii="宋体" w:eastAsia="宋体" w:hAnsi="宋体" w:cs="宋体"/>
          <w:b/>
          <w:bCs/>
          <w:color w:val="auto"/>
          <w:sz w:val="24"/>
        </w:rPr>
      </w:pPr>
      <w:r>
        <w:rPr>
          <w:rFonts w:ascii="宋体" w:eastAsia="宋体" w:hAnsi="宋体" w:cs="宋体" w:hint="eastAsia"/>
          <w:b/>
          <w:bCs/>
          <w:color w:val="auto"/>
          <w:sz w:val="24"/>
        </w:rPr>
        <w:t>注：</w:t>
      </w:r>
    </w:p>
    <w:p>
      <w:pPr>
        <w:ind w:firstLine="480" w:firstLineChars="200"/>
        <w:rPr>
          <w:rFonts w:ascii="宋体" w:eastAsia="宋体" w:hAnsi="宋体" w:cs="宋体"/>
          <w:color w:val="auto"/>
          <w:sz w:val="24"/>
        </w:rPr>
      </w:pPr>
      <w:r>
        <w:rPr>
          <w:rFonts w:ascii="宋体" w:eastAsia="宋体" w:hAnsi="宋体" w:cs="宋体" w:hint="eastAsia"/>
          <w:color w:val="auto"/>
          <w:sz w:val="24"/>
        </w:rPr>
        <w:t>1、从业人员、营业收入、资产总额填报上一年度数据，无上一年度数据的新成立企业可不填报。</w:t>
      </w:r>
    </w:p>
    <w:p>
      <w:pPr>
        <w:ind w:firstLine="480" w:firstLineChars="200"/>
        <w:rPr>
          <w:rFonts w:ascii="宋体" w:eastAsia="宋体" w:hAnsi="宋体" w:cs="宋体"/>
          <w:b/>
          <w:bCs/>
          <w:color w:val="auto"/>
          <w:sz w:val="24"/>
        </w:rPr>
      </w:pPr>
      <w:r>
        <w:rPr>
          <w:rFonts w:ascii="宋体" w:eastAsia="宋体" w:hAnsi="宋体" w:cs="宋体" w:hint="eastAsia"/>
          <w:color w:val="auto"/>
          <w:sz w:val="24"/>
        </w:rPr>
        <w:t>2、本项目参照</w:t>
      </w:r>
      <w:r>
        <w:rPr>
          <w:rFonts w:ascii="宋体" w:eastAsia="宋体" w:hAnsi="宋体" w:cs="宋体" w:hint="eastAsia"/>
          <w:color w:val="auto"/>
          <w:sz w:val="24"/>
        </w:rPr>
        <w:t>“</w:t>
      </w:r>
      <w:r>
        <w:rPr>
          <w:rFonts w:ascii="宋体" w:eastAsia="宋体" w:hAnsi="宋体" w:cs="宋体" w:hint="eastAsia"/>
          <w:color w:val="auto"/>
          <w:sz w:val="24"/>
        </w:rPr>
        <w:t>中小企业划型标准规定（工信部联企业〔2011〕300号）</w:t>
      </w:r>
      <w:r>
        <w:rPr>
          <w:rFonts w:ascii="宋体" w:eastAsia="宋体" w:hAnsi="宋体" w:cs="宋体" w:hint="eastAsia"/>
          <w:color w:val="auto"/>
          <w:sz w:val="24"/>
        </w:rPr>
        <w:t>”</w:t>
      </w:r>
      <w:r>
        <w:rPr>
          <w:rFonts w:ascii="宋体" w:eastAsia="宋体" w:hAnsi="宋体" w:cs="宋体" w:hint="eastAsia"/>
          <w:color w:val="auto"/>
          <w:sz w:val="24"/>
        </w:rPr>
        <w:t>中规定的划分方式，将本次所采购所有</w:t>
      </w:r>
      <w:r>
        <w:rPr>
          <w:rFonts w:ascii="宋体" w:eastAsia="宋体" w:hAnsi="宋体" w:cs="宋体" w:hint="eastAsia"/>
          <w:color w:val="auto"/>
          <w:sz w:val="24"/>
          <w:lang w:val="en-US" w:eastAsia="zh-CN"/>
        </w:rPr>
        <w:t>货物</w:t>
      </w:r>
      <w:r>
        <w:rPr>
          <w:rFonts w:ascii="宋体" w:eastAsia="宋体" w:hAnsi="宋体" w:cs="宋体" w:hint="eastAsia"/>
          <w:color w:val="auto"/>
          <w:sz w:val="24"/>
        </w:rPr>
        <w:t>的所属行业划分为</w:t>
      </w:r>
      <w:r>
        <w:rPr>
          <w:rFonts w:ascii="宋体" w:eastAsia="宋体" w:hAnsi="宋体" w:cs="宋体" w:hint="eastAsia"/>
          <w:b/>
          <w:bCs/>
          <w:color w:val="auto"/>
          <w:sz w:val="24"/>
        </w:rPr>
        <w:t>“</w:t>
      </w:r>
      <w:r>
        <w:rPr>
          <w:rFonts w:ascii="宋体" w:eastAsia="宋体" w:hAnsi="宋体" w:cs="宋体" w:hint="eastAsia"/>
          <w:b/>
          <w:bCs/>
          <w:color w:val="auto"/>
          <w:sz w:val="24"/>
          <w:u w:val="single"/>
          <w:lang w:val="en-US" w:eastAsia="zh-CN"/>
        </w:rPr>
        <w:t>零售</w:t>
      </w:r>
      <w:r>
        <w:rPr>
          <w:rFonts w:ascii="宋体" w:eastAsia="宋体" w:hAnsi="宋体" w:cs="宋体" w:hint="eastAsia"/>
          <w:b/>
          <w:bCs/>
          <w:color w:val="auto"/>
          <w:sz w:val="24"/>
          <w:u w:val="single"/>
        </w:rPr>
        <w:t>业</w:t>
      </w:r>
      <w:r>
        <w:rPr>
          <w:rFonts w:ascii="宋体" w:eastAsia="宋体" w:hAnsi="宋体" w:cs="宋体" w:hint="eastAsia"/>
          <w:b/>
          <w:bCs/>
          <w:color w:val="auto"/>
          <w:sz w:val="24"/>
        </w:rPr>
        <w:t>”</w:t>
      </w:r>
      <w:r>
        <w:rPr>
          <w:rFonts w:ascii="宋体" w:eastAsia="宋体" w:hAnsi="宋体" w:cs="宋体" w:hint="eastAsia"/>
          <w:b/>
          <w:bCs/>
          <w:color w:val="auto"/>
          <w:sz w:val="24"/>
        </w:rPr>
        <w:t>，该行业划型标准：从业人员</w:t>
      </w:r>
      <w:r>
        <w:rPr>
          <w:rFonts w:ascii="宋体" w:eastAsia="宋体" w:hAnsi="宋体" w:cs="宋体" w:hint="eastAsia"/>
          <w:b/>
          <w:bCs/>
          <w:color w:val="auto"/>
          <w:sz w:val="24"/>
          <w:lang w:val="en-US" w:eastAsia="zh-CN"/>
        </w:rPr>
        <w:t>50</w:t>
      </w:r>
      <w:r>
        <w:rPr>
          <w:rFonts w:ascii="宋体" w:eastAsia="宋体" w:hAnsi="宋体" w:cs="宋体" w:hint="eastAsia"/>
          <w:b/>
          <w:bCs/>
          <w:color w:val="auto"/>
          <w:sz w:val="24"/>
        </w:rPr>
        <w:t>≤</w:t>
      </w:r>
      <w:r>
        <w:rPr>
          <w:rFonts w:ascii="宋体" w:eastAsia="宋体" w:hAnsi="宋体" w:cs="宋体" w:hint="eastAsia"/>
          <w:b/>
          <w:bCs/>
          <w:color w:val="auto"/>
          <w:sz w:val="24"/>
        </w:rPr>
        <w:t>X＜300的或营业收入为</w:t>
      </w:r>
      <w:r>
        <w:rPr>
          <w:rFonts w:ascii="宋体" w:eastAsia="宋体" w:hAnsi="宋体" w:cs="宋体" w:hint="eastAsia"/>
          <w:b/>
          <w:bCs/>
          <w:color w:val="auto"/>
          <w:sz w:val="24"/>
          <w:lang w:val="en-US" w:eastAsia="zh-CN"/>
        </w:rPr>
        <w:t>5</w:t>
      </w:r>
      <w:r>
        <w:rPr>
          <w:rFonts w:ascii="宋体" w:eastAsia="宋体" w:hAnsi="宋体" w:cs="宋体" w:hint="eastAsia"/>
          <w:b/>
          <w:bCs/>
          <w:color w:val="auto"/>
          <w:sz w:val="24"/>
        </w:rPr>
        <w:t>00</w:t>
      </w:r>
      <w:r>
        <w:rPr>
          <w:rFonts w:ascii="宋体" w:eastAsia="宋体" w:hAnsi="宋体" w:cs="宋体" w:hint="eastAsia"/>
          <w:b/>
          <w:bCs/>
          <w:color w:val="auto"/>
          <w:sz w:val="24"/>
        </w:rPr>
        <w:t>≤</w:t>
      </w:r>
      <w:r>
        <w:rPr>
          <w:rFonts w:ascii="宋体" w:eastAsia="宋体" w:hAnsi="宋体" w:cs="宋体" w:hint="eastAsia"/>
          <w:b/>
          <w:bCs/>
          <w:color w:val="auto"/>
          <w:sz w:val="24"/>
        </w:rPr>
        <w:t>Y＜</w:t>
      </w:r>
      <w:r>
        <w:rPr>
          <w:rFonts w:ascii="宋体" w:eastAsia="宋体" w:hAnsi="宋体" w:cs="宋体" w:hint="eastAsia"/>
          <w:b/>
          <w:bCs/>
          <w:color w:val="auto"/>
          <w:sz w:val="24"/>
          <w:lang w:val="en-US" w:eastAsia="zh-CN"/>
        </w:rPr>
        <w:t>2</w:t>
      </w:r>
      <w:r>
        <w:rPr>
          <w:rFonts w:ascii="宋体" w:eastAsia="宋体" w:hAnsi="宋体" w:cs="宋体" w:hint="eastAsia"/>
          <w:b/>
          <w:bCs/>
          <w:color w:val="auto"/>
          <w:sz w:val="24"/>
        </w:rPr>
        <w:t>0000万元的为中型企业，从业人员</w:t>
      </w:r>
      <w:r>
        <w:rPr>
          <w:rFonts w:ascii="宋体" w:eastAsia="宋体" w:hAnsi="宋体" w:cs="宋体" w:hint="eastAsia"/>
          <w:b/>
          <w:bCs/>
          <w:color w:val="auto"/>
          <w:sz w:val="24"/>
          <w:lang w:val="en-US" w:eastAsia="zh-CN"/>
        </w:rPr>
        <w:t>10</w:t>
      </w:r>
      <w:r>
        <w:rPr>
          <w:rFonts w:ascii="宋体" w:eastAsia="宋体" w:hAnsi="宋体" w:cs="宋体" w:hint="eastAsia"/>
          <w:b/>
          <w:bCs/>
          <w:color w:val="auto"/>
          <w:sz w:val="24"/>
        </w:rPr>
        <w:t>≤</w:t>
      </w:r>
      <w:r>
        <w:rPr>
          <w:rFonts w:ascii="宋体" w:eastAsia="宋体" w:hAnsi="宋体" w:cs="宋体" w:hint="eastAsia"/>
          <w:b/>
          <w:bCs/>
          <w:color w:val="auto"/>
          <w:sz w:val="24"/>
        </w:rPr>
        <w:t>X＜</w:t>
      </w:r>
      <w:r>
        <w:rPr>
          <w:rFonts w:ascii="宋体" w:eastAsia="宋体" w:hAnsi="宋体" w:cs="宋体" w:hint="eastAsia"/>
          <w:b/>
          <w:bCs/>
          <w:color w:val="auto"/>
          <w:sz w:val="24"/>
          <w:lang w:val="en-US" w:eastAsia="zh-CN"/>
        </w:rPr>
        <w:t>50</w:t>
      </w:r>
      <w:r>
        <w:rPr>
          <w:rFonts w:ascii="宋体" w:eastAsia="宋体" w:hAnsi="宋体" w:cs="宋体" w:hint="eastAsia"/>
          <w:b/>
          <w:bCs/>
          <w:color w:val="auto"/>
          <w:sz w:val="24"/>
        </w:rPr>
        <w:t>的或营业收入</w:t>
      </w:r>
      <w:r>
        <w:rPr>
          <w:rFonts w:ascii="宋体" w:eastAsia="宋体" w:hAnsi="宋体" w:cs="宋体" w:hint="eastAsia"/>
          <w:b/>
          <w:bCs/>
          <w:color w:val="auto"/>
          <w:sz w:val="24"/>
          <w:lang w:val="en-US" w:eastAsia="zh-CN"/>
        </w:rPr>
        <w:t>10</w:t>
      </w:r>
      <w:r>
        <w:rPr>
          <w:rFonts w:ascii="宋体" w:eastAsia="宋体" w:hAnsi="宋体" w:cs="宋体" w:hint="eastAsia"/>
          <w:b/>
          <w:bCs/>
          <w:color w:val="auto"/>
          <w:sz w:val="24"/>
        </w:rPr>
        <w:t>0</w:t>
      </w:r>
      <w:r>
        <w:rPr>
          <w:rFonts w:ascii="宋体" w:eastAsia="宋体" w:hAnsi="宋体" w:cs="宋体" w:hint="eastAsia"/>
          <w:b/>
          <w:bCs/>
          <w:color w:val="auto"/>
          <w:sz w:val="24"/>
        </w:rPr>
        <w:t>≤</w:t>
      </w:r>
      <w:r>
        <w:rPr>
          <w:rFonts w:ascii="宋体" w:eastAsia="宋体" w:hAnsi="宋体" w:cs="宋体" w:hint="eastAsia"/>
          <w:b/>
          <w:bCs/>
          <w:color w:val="auto"/>
          <w:sz w:val="24"/>
        </w:rPr>
        <w:t>Y＜</w:t>
      </w:r>
      <w:r>
        <w:rPr>
          <w:rFonts w:ascii="宋体" w:eastAsia="宋体" w:hAnsi="宋体" w:cs="宋体" w:hint="eastAsia"/>
          <w:b/>
          <w:bCs/>
          <w:color w:val="auto"/>
          <w:sz w:val="24"/>
          <w:lang w:val="en-US" w:eastAsia="zh-CN"/>
        </w:rPr>
        <w:t>5</w:t>
      </w:r>
      <w:r>
        <w:rPr>
          <w:rFonts w:ascii="宋体" w:eastAsia="宋体" w:hAnsi="宋体" w:cs="宋体" w:hint="eastAsia"/>
          <w:b/>
          <w:bCs/>
          <w:color w:val="auto"/>
          <w:sz w:val="24"/>
        </w:rPr>
        <w:t>00万元的为小型企业，从业人员10人以下，营业收入</w:t>
      </w:r>
      <w:r>
        <w:rPr>
          <w:rFonts w:ascii="宋体" w:eastAsia="宋体" w:hAnsi="宋体" w:cs="宋体" w:hint="eastAsia"/>
          <w:b/>
          <w:bCs/>
          <w:color w:val="auto"/>
          <w:sz w:val="24"/>
          <w:lang w:val="en-US" w:eastAsia="zh-CN"/>
        </w:rPr>
        <w:t>100</w:t>
      </w:r>
      <w:r>
        <w:rPr>
          <w:rFonts w:ascii="宋体" w:eastAsia="宋体" w:hAnsi="宋体" w:cs="宋体" w:hint="eastAsia"/>
          <w:b/>
          <w:bCs/>
          <w:color w:val="auto"/>
          <w:sz w:val="24"/>
        </w:rPr>
        <w:t>万元以下的为微型企业。</w:t>
      </w:r>
    </w:p>
    <w:p>
      <w:pPr>
        <w:ind w:firstLine="480" w:firstLineChars="200"/>
        <w:rPr>
          <w:rFonts w:ascii="宋体" w:eastAsia="宋体" w:hAnsi="宋体" w:cs="宋体"/>
          <w:color w:val="auto"/>
          <w:sz w:val="24"/>
        </w:rPr>
      </w:pPr>
      <w:r>
        <w:rPr>
          <w:rFonts w:ascii="宋体" w:eastAsia="宋体" w:hAnsi="宋体" w:cs="宋体" w:hint="eastAsia"/>
          <w:color w:val="auto"/>
          <w:sz w:val="24"/>
        </w:rPr>
        <w:t>3、若各供应商针对本项目提供的全部</w:t>
      </w:r>
      <w:r>
        <w:rPr>
          <w:rFonts w:ascii="宋体" w:eastAsia="宋体" w:hAnsi="宋体" w:cs="宋体" w:hint="eastAsia"/>
          <w:color w:val="auto"/>
          <w:sz w:val="24"/>
          <w:lang w:val="en-US" w:eastAsia="zh-CN"/>
        </w:rPr>
        <w:t>供货</w:t>
      </w:r>
      <w:r>
        <w:rPr>
          <w:rFonts w:ascii="宋体" w:eastAsia="宋体" w:hAnsi="宋体" w:cs="宋体" w:hint="eastAsia"/>
          <w:color w:val="auto"/>
          <w:sz w:val="24"/>
        </w:rPr>
        <w:t>由中小企业承接（即提供服务的人员为中小企业依照《中华人民共和国劳动合同法》订立劳动合同的从业人员），请严格按照《政府采购促进中小企业发展管理办法》（财库</w:t>
      </w:r>
      <w:r>
        <w:rPr>
          <w:rFonts w:ascii="宋体" w:eastAsia="宋体" w:hAnsi="宋体" w:cs="宋体" w:hint="eastAsia"/>
          <w:color w:val="auto"/>
          <w:sz w:val="24"/>
        </w:rPr>
        <w:t>﹝</w:t>
      </w:r>
      <w:r>
        <w:rPr>
          <w:rFonts w:ascii="宋体" w:eastAsia="宋体" w:hAnsi="宋体" w:cs="宋体" w:hint="eastAsia"/>
          <w:color w:val="auto"/>
          <w:sz w:val="24"/>
        </w:rPr>
        <w:t>2020</w:t>
      </w:r>
      <w:r>
        <w:rPr>
          <w:rFonts w:ascii="宋体" w:eastAsia="宋体" w:hAnsi="宋体" w:cs="宋体" w:hint="eastAsia"/>
          <w:color w:val="auto"/>
          <w:sz w:val="24"/>
        </w:rPr>
        <w:t>﹞</w:t>
      </w:r>
      <w:r>
        <w:rPr>
          <w:rFonts w:ascii="宋体" w:eastAsia="宋体" w:hAnsi="宋体" w:cs="宋体" w:hint="eastAsia"/>
          <w:color w:val="auto"/>
          <w:sz w:val="24"/>
        </w:rPr>
        <w:t>46号）的规定提供中小企业声明函。</w:t>
      </w:r>
    </w:p>
    <w:p>
      <w:pPr>
        <w:ind w:firstLine="480" w:firstLineChars="200"/>
        <w:rPr>
          <w:rFonts w:ascii="宋体" w:eastAsia="宋体" w:hAnsi="宋体" w:cs="宋体"/>
          <w:color w:val="auto"/>
          <w:sz w:val="24"/>
        </w:rPr>
      </w:pPr>
      <w:r>
        <w:rPr>
          <w:rFonts w:ascii="宋体" w:eastAsia="宋体" w:hAnsi="宋体" w:cs="宋体" w:hint="eastAsia"/>
          <w:color w:val="auto"/>
          <w:sz w:val="24"/>
        </w:rPr>
        <w:t>4、供应商须认真核对</w:t>
      </w:r>
      <w:r>
        <w:rPr>
          <w:rFonts w:ascii="宋体" w:eastAsia="宋体" w:hAnsi="宋体" w:cs="宋体" w:hint="eastAsia"/>
          <w:color w:val="auto"/>
          <w:sz w:val="24"/>
        </w:rPr>
        <w:t>“</w:t>
      </w:r>
      <w:r>
        <w:rPr>
          <w:rFonts w:ascii="宋体" w:eastAsia="宋体" w:hAnsi="宋体" w:cs="宋体" w:hint="eastAsia"/>
          <w:color w:val="auto"/>
          <w:sz w:val="24"/>
        </w:rPr>
        <w:t>中小企业划型标准规定（工信部联企业〔2011〕300号）</w:t>
      </w:r>
      <w:r>
        <w:rPr>
          <w:rFonts w:ascii="宋体" w:eastAsia="宋体" w:hAnsi="宋体" w:cs="宋体" w:hint="eastAsia"/>
          <w:color w:val="auto"/>
          <w:sz w:val="24"/>
        </w:rPr>
        <w:t>”</w:t>
      </w:r>
      <w:r>
        <w:rPr>
          <w:rFonts w:ascii="宋体" w:eastAsia="宋体" w:hAnsi="宋体" w:cs="宋体" w:hint="eastAsia"/>
          <w:color w:val="auto"/>
          <w:sz w:val="24"/>
        </w:rPr>
        <w:t>规定的中小企业划型标准，如实填写声明函。所声明的从业人员人数或营业收入金额不符合中小企业划型标准规定或未按竞争性磋商文件明确的所属行业填写的或填写的内容不符合《政府采购促进中小企业发展管理办法》（财库</w:t>
      </w:r>
      <w:r>
        <w:rPr>
          <w:rFonts w:ascii="宋体" w:eastAsia="宋体" w:hAnsi="宋体" w:cs="宋体" w:hint="eastAsia"/>
          <w:color w:val="auto"/>
          <w:sz w:val="24"/>
        </w:rPr>
        <w:t>﹝</w:t>
      </w:r>
      <w:r>
        <w:rPr>
          <w:rFonts w:ascii="宋体" w:eastAsia="宋体" w:hAnsi="宋体" w:cs="宋体" w:hint="eastAsia"/>
          <w:color w:val="auto"/>
          <w:sz w:val="24"/>
        </w:rPr>
        <w:t>2020</w:t>
      </w:r>
      <w:r>
        <w:rPr>
          <w:rFonts w:ascii="宋体" w:eastAsia="宋体" w:hAnsi="宋体" w:cs="宋体" w:hint="eastAsia"/>
          <w:color w:val="auto"/>
          <w:sz w:val="24"/>
        </w:rPr>
        <w:t>﹞</w:t>
      </w:r>
      <w:r>
        <w:rPr>
          <w:rFonts w:ascii="宋体" w:eastAsia="宋体" w:hAnsi="宋体" w:cs="宋体" w:hint="eastAsia"/>
          <w:color w:val="auto"/>
          <w:sz w:val="24"/>
        </w:rPr>
        <w:t>46号）规定的，磋商小组将不予进行价格扣除。</w:t>
      </w:r>
    </w:p>
    <w:p>
      <w:pPr>
        <w:spacing w:line="480" w:lineRule="exact"/>
        <w:ind w:firstLine="360" w:firstLineChars="150"/>
        <w:rPr>
          <w:rFonts w:ascii="宋体" w:eastAsia="宋体" w:hAnsi="宋体" w:cs="宋体"/>
          <w:color w:val="auto"/>
          <w:sz w:val="24"/>
        </w:rPr>
      </w:pPr>
      <w:r>
        <w:rPr>
          <w:rFonts w:ascii="宋体" w:eastAsia="宋体" w:hAnsi="宋体" w:cs="宋体" w:hint="eastAsia"/>
          <w:color w:val="auto"/>
          <w:sz w:val="24"/>
        </w:rPr>
        <w:t>5、供应商可根据自身情况自行决定是否填写本函。</w:t>
      </w:r>
    </w:p>
    <w:p>
      <w:pPr>
        <w:spacing w:line="480" w:lineRule="exact"/>
        <w:rPr>
          <w:rFonts w:ascii="宋体" w:eastAsia="宋体" w:hAnsi="宋体" w:cs="宋体" w:hint="eastAsia"/>
          <w:color w:val="auto"/>
          <w:sz w:val="24"/>
        </w:rPr>
      </w:pPr>
    </w:p>
    <w:p>
      <w:pPr>
        <w:spacing w:line="480" w:lineRule="exact"/>
        <w:rPr>
          <w:rFonts w:ascii="宋体" w:eastAsia="宋体" w:hAnsi="宋体" w:cs="宋体"/>
          <w:color w:val="auto"/>
          <w:sz w:val="24"/>
        </w:rPr>
      </w:pPr>
      <w:r>
        <w:rPr>
          <w:rFonts w:ascii="宋体" w:eastAsia="宋体" w:hAnsi="宋体" w:cs="宋体" w:hint="eastAsia"/>
          <w:color w:val="auto"/>
          <w:sz w:val="24"/>
        </w:rPr>
        <w:t>格式4：</w:t>
      </w:r>
    </w:p>
    <w:p>
      <w:pPr>
        <w:spacing w:line="480" w:lineRule="exact"/>
        <w:jc w:val="center"/>
        <w:rPr>
          <w:rFonts w:ascii="宋体" w:eastAsia="宋体" w:hAnsi="宋体" w:cs="宋体"/>
          <w:b/>
          <w:color w:val="auto"/>
          <w:sz w:val="28"/>
          <w:szCs w:val="28"/>
        </w:rPr>
      </w:pPr>
      <w:r>
        <w:rPr>
          <w:rFonts w:ascii="宋体" w:eastAsia="宋体" w:hAnsi="宋体" w:cs="宋体" w:hint="eastAsia"/>
          <w:b/>
          <w:color w:val="auto"/>
          <w:sz w:val="28"/>
          <w:szCs w:val="28"/>
        </w:rPr>
        <w:t>监狱企业证明文件</w:t>
      </w:r>
    </w:p>
    <w:p>
      <w:pPr>
        <w:pStyle w:val="BodyText"/>
        <w:rPr>
          <w:rFonts w:ascii="宋体" w:eastAsia="宋体" w:hAnsi="宋体" w:cs="宋体"/>
          <w:color w:val="auto"/>
        </w:rPr>
      </w:pPr>
    </w:p>
    <w:p>
      <w:pPr>
        <w:snapToGrid w:val="0"/>
        <w:spacing w:line="360" w:lineRule="auto"/>
        <w:ind w:firstLine="720" w:firstLineChars="300"/>
        <w:rPr>
          <w:rFonts w:ascii="宋体" w:eastAsia="宋体" w:hAnsi="宋体" w:cs="宋体"/>
          <w:bCs/>
          <w:color w:val="auto"/>
          <w:sz w:val="24"/>
        </w:rPr>
      </w:pPr>
      <w:r>
        <w:rPr>
          <w:rFonts w:ascii="宋体" w:eastAsia="宋体" w:hAnsi="宋体" w:cs="宋体" w:hint="eastAsia"/>
          <w:bCs/>
          <w:color w:val="auto"/>
          <w:sz w:val="24"/>
        </w:rPr>
        <w:t>根据《财政部 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snapToGrid w:val="0"/>
        <w:spacing w:line="360" w:lineRule="auto"/>
        <w:ind w:firstLine="720" w:firstLineChars="300"/>
        <w:rPr>
          <w:rFonts w:ascii="宋体" w:eastAsia="宋体" w:hAnsi="宋体" w:cs="宋体"/>
          <w:bCs/>
          <w:color w:val="auto"/>
          <w:sz w:val="24"/>
        </w:rPr>
      </w:pPr>
      <w:r>
        <w:rPr>
          <w:rFonts w:ascii="宋体" w:eastAsia="宋体" w:hAnsi="宋体" w:cs="宋体" w:hint="eastAsia"/>
          <w:bCs/>
          <w:color w:val="auto"/>
          <w:sz w:val="24"/>
        </w:rPr>
        <w:t>监狱企业参加政府采购活动时，应当提供由省级以上监狱管理局、戒毒管理局（含新疆生产建设兵团）出具的属于监狱企业的证明文件。</w:t>
      </w:r>
    </w:p>
    <w:p>
      <w:pPr>
        <w:snapToGrid w:val="0"/>
        <w:spacing w:line="360" w:lineRule="auto"/>
        <w:rPr>
          <w:rFonts w:ascii="宋体" w:eastAsia="宋体" w:hAnsi="宋体" w:cs="宋体"/>
          <w:bCs/>
          <w:color w:val="auto"/>
          <w:sz w:val="24"/>
        </w:rPr>
      </w:pPr>
    </w:p>
    <w:p>
      <w:pPr>
        <w:snapToGrid w:val="0"/>
        <w:spacing w:line="360" w:lineRule="auto"/>
        <w:rPr>
          <w:rFonts w:ascii="宋体" w:eastAsia="宋体" w:hAnsi="宋体" w:cs="宋体"/>
          <w:bCs/>
          <w:color w:val="auto"/>
          <w:sz w:val="24"/>
        </w:rPr>
      </w:pPr>
    </w:p>
    <w:p>
      <w:pPr>
        <w:snapToGrid w:val="0"/>
        <w:spacing w:line="360" w:lineRule="auto"/>
        <w:ind w:firstLine="480" w:firstLineChars="200"/>
        <w:rPr>
          <w:rFonts w:ascii="宋体" w:eastAsia="宋体" w:hAnsi="宋体" w:cs="宋体"/>
          <w:bCs/>
          <w:color w:val="auto"/>
          <w:sz w:val="24"/>
        </w:rPr>
      </w:pPr>
      <w:r>
        <w:rPr>
          <w:rFonts w:ascii="宋体" w:eastAsia="宋体" w:hAnsi="宋体" w:cs="宋体" w:hint="eastAsia"/>
          <w:color w:val="auto"/>
          <w:sz w:val="24"/>
        </w:rPr>
        <w:t>注：供应商若非上述企业，则不需提供此函。</w:t>
      </w:r>
    </w:p>
    <w:p>
      <w:pPr>
        <w:snapToGrid w:val="0"/>
        <w:spacing w:line="360" w:lineRule="auto"/>
        <w:ind w:firstLine="480" w:firstLineChars="200"/>
        <w:jc w:val="left"/>
        <w:rPr>
          <w:rFonts w:ascii="宋体" w:eastAsia="宋体" w:hAnsi="宋体" w:cs="宋体"/>
          <w:bCs/>
          <w:color w:val="auto"/>
          <w:sz w:val="24"/>
        </w:rPr>
      </w:pPr>
    </w:p>
    <w:p>
      <w:pPr>
        <w:snapToGrid w:val="0"/>
        <w:spacing w:line="360" w:lineRule="auto"/>
        <w:ind w:right="140" w:firstLine="240" w:firstLineChars="100"/>
        <w:jc w:val="left"/>
        <w:rPr>
          <w:rFonts w:ascii="宋体" w:eastAsia="宋体" w:hAnsi="宋体" w:cs="宋体"/>
          <w:snapToGrid w:val="0"/>
          <w:color w:val="auto"/>
          <w:kern w:val="0"/>
          <w:sz w:val="24"/>
        </w:rPr>
      </w:pPr>
      <w:r>
        <w:rPr>
          <w:rFonts w:ascii="宋体" w:eastAsia="宋体" w:hAnsi="宋体" w:cs="宋体" w:hint="eastAsia"/>
          <w:snapToGrid w:val="0"/>
          <w:color w:val="auto"/>
          <w:kern w:val="0"/>
          <w:sz w:val="24"/>
        </w:rPr>
        <w:t>供应商名称：</w:t>
      </w:r>
      <w:r>
        <w:rPr>
          <w:rFonts w:ascii="宋体" w:eastAsia="宋体" w:hAnsi="宋体" w:cs="宋体" w:hint="eastAsia"/>
          <w:snapToGrid w:val="0"/>
          <w:color w:val="auto"/>
          <w:kern w:val="0"/>
          <w:sz w:val="24"/>
          <w:u w:val="single"/>
        </w:rPr>
        <w:t xml:space="preserve">        （全称）              </w:t>
      </w:r>
      <w:r>
        <w:rPr>
          <w:rFonts w:ascii="宋体" w:eastAsia="宋体" w:hAnsi="宋体" w:cs="宋体" w:hint="eastAsia"/>
          <w:snapToGrid w:val="0"/>
          <w:color w:val="auto"/>
          <w:kern w:val="0"/>
          <w:sz w:val="24"/>
        </w:rPr>
        <w:t>（电子签章）</w:t>
      </w:r>
    </w:p>
    <w:p>
      <w:pPr>
        <w:spacing w:line="360" w:lineRule="auto"/>
        <w:ind w:firstLine="240" w:firstLineChars="100"/>
        <w:rPr>
          <w:rFonts w:ascii="宋体" w:eastAsia="宋体" w:hAnsi="宋体" w:cs="宋体"/>
          <w:color w:val="auto"/>
          <w:sz w:val="24"/>
        </w:rPr>
      </w:pPr>
    </w:p>
    <w:p>
      <w:pPr>
        <w:spacing w:line="360" w:lineRule="auto"/>
        <w:ind w:firstLine="240" w:firstLineChars="100"/>
        <w:rPr>
          <w:rFonts w:ascii="宋体" w:eastAsia="宋体" w:hAnsi="宋体" w:cs="宋体"/>
          <w:color w:val="auto"/>
          <w:sz w:val="24"/>
        </w:rPr>
      </w:pPr>
      <w:r>
        <w:rPr>
          <w:rFonts w:ascii="宋体" w:eastAsia="宋体" w:hAnsi="宋体" w:cs="宋体" w:hint="eastAsia"/>
          <w:color w:val="auto"/>
          <w:sz w:val="24"/>
          <w:lang w:val="zh-CN"/>
        </w:rPr>
        <w:t>日期：</w:t>
      </w:r>
    </w:p>
    <w:p>
      <w:pPr>
        <w:pStyle w:val="TOAHeading"/>
        <w:snapToGrid w:val="0"/>
        <w:spacing w:before="0" w:line="360" w:lineRule="auto"/>
        <w:rPr>
          <w:rFonts w:ascii="宋体" w:eastAsia="宋体" w:hAnsi="宋体" w:cs="宋体"/>
          <w:color w:val="auto"/>
        </w:rPr>
        <w:sectPr>
          <w:pgSz w:w="11906" w:h="16838"/>
          <w:pgMar w:top="1134" w:right="1134" w:bottom="1134" w:left="1134" w:header="851" w:footer="850" w:gutter="0"/>
          <w:cols w:num="1" w:space="720"/>
          <w:titlePg/>
          <w:docGrid w:linePitch="312" w:charSpace="0"/>
        </w:sectPr>
      </w:pPr>
    </w:p>
    <w:p>
      <w:pPr>
        <w:spacing w:line="480" w:lineRule="exact"/>
        <w:rPr>
          <w:rFonts w:ascii="宋体" w:eastAsia="宋体" w:hAnsi="宋体" w:cs="宋体"/>
          <w:color w:val="auto"/>
          <w:sz w:val="24"/>
        </w:rPr>
      </w:pPr>
      <w:bookmarkStart w:id="114" w:name="_Toc21127_WPSOffice_Level1"/>
      <w:bookmarkStart w:id="115" w:name="_Toc21745"/>
      <w:bookmarkStart w:id="116" w:name="_Toc19860"/>
      <w:bookmarkStart w:id="117" w:name="_Toc10519"/>
      <w:r>
        <w:rPr>
          <w:rFonts w:ascii="宋体" w:eastAsia="宋体" w:hAnsi="宋体" w:cs="宋体" w:hint="eastAsia"/>
          <w:color w:val="auto"/>
          <w:sz w:val="24"/>
        </w:rPr>
        <w:t>格式5：</w:t>
      </w:r>
    </w:p>
    <w:p>
      <w:pPr>
        <w:pStyle w:val="Heading1"/>
        <w:snapToGrid w:val="0"/>
        <w:spacing w:line="360" w:lineRule="auto"/>
        <w:rPr>
          <w:rFonts w:ascii="宋体" w:eastAsia="宋体" w:hAnsi="宋体" w:cs="宋体"/>
          <w:bCs/>
          <w:color w:val="auto"/>
          <w:kern w:val="2"/>
          <w:sz w:val="28"/>
          <w:szCs w:val="28"/>
        </w:rPr>
      </w:pPr>
      <w:bookmarkEnd w:id="114"/>
      <w:r>
        <w:rPr>
          <w:rFonts w:ascii="宋体" w:eastAsia="宋体" w:hAnsi="宋体" w:cs="宋体" w:hint="eastAsia"/>
          <w:color w:val="auto"/>
          <w:kern w:val="2"/>
          <w:sz w:val="28"/>
          <w:szCs w:val="28"/>
        </w:rPr>
        <w:t>残疾人福利性单位声明函</w:t>
      </w:r>
      <w:bookmarkEnd w:id="115"/>
      <w:bookmarkEnd w:id="116"/>
      <w:bookmarkEnd w:id="117"/>
    </w:p>
    <w:p>
      <w:pPr>
        <w:autoSpaceDE w:val="0"/>
        <w:autoSpaceDN w:val="0"/>
        <w:adjustRightInd w:val="0"/>
        <w:snapToGrid w:val="0"/>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w:t>
      </w:r>
      <w:r>
        <w:rPr>
          <w:rFonts w:ascii="宋体" w:eastAsia="宋体" w:hAnsi="宋体" w:cs="宋体" w:hint="eastAsia"/>
          <w:color w:val="auto"/>
          <w:sz w:val="24"/>
          <w:lang w:val="en-US" w:eastAsia="zh-CN"/>
        </w:rPr>
        <w:t>供货</w:t>
      </w:r>
      <w:r>
        <w:rPr>
          <w:rFonts w:ascii="宋体" w:eastAsia="宋体" w:hAnsi="宋体" w:cs="宋体" w:hint="eastAsia"/>
          <w:color w:val="auto"/>
          <w:sz w:val="24"/>
        </w:rPr>
        <w:t>），或者提供其他残疾人福利性单位制造的货物（不包括使用非残疾人福利性单位注册商标的货物）。</w:t>
      </w:r>
    </w:p>
    <w:p>
      <w:pPr>
        <w:autoSpaceDE w:val="0"/>
        <w:autoSpaceDN w:val="0"/>
        <w:adjustRightInd w:val="0"/>
        <w:snapToGrid w:val="0"/>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本单位对上述声明的真实性负责。如有虚假，将依法承担相应责任。</w:t>
      </w:r>
    </w:p>
    <w:p>
      <w:pPr>
        <w:pStyle w:val="Default"/>
        <w:snapToGrid w:val="0"/>
        <w:spacing w:line="360" w:lineRule="auto"/>
        <w:rPr>
          <w:rFonts w:ascii="宋体" w:eastAsia="宋体" w:hAnsi="宋体" w:cs="宋体"/>
          <w:snapToGrid w:val="0"/>
          <w:color w:val="auto"/>
          <w:sz w:val="28"/>
          <w:szCs w:val="28"/>
        </w:rPr>
      </w:pPr>
    </w:p>
    <w:p>
      <w:pPr>
        <w:pStyle w:val="Default"/>
        <w:snapToGrid w:val="0"/>
        <w:spacing w:line="360" w:lineRule="auto"/>
        <w:rPr>
          <w:rFonts w:ascii="宋体" w:eastAsia="宋体" w:hAnsi="宋体" w:cs="宋体"/>
          <w:snapToGrid w:val="0"/>
          <w:color w:val="auto"/>
          <w:sz w:val="28"/>
          <w:szCs w:val="28"/>
        </w:rPr>
      </w:pPr>
    </w:p>
    <w:p>
      <w:pPr>
        <w:snapToGrid w:val="0"/>
        <w:spacing w:line="360" w:lineRule="auto"/>
        <w:ind w:right="140" w:firstLine="240" w:firstLineChars="100"/>
        <w:jc w:val="left"/>
        <w:rPr>
          <w:rFonts w:ascii="宋体" w:eastAsia="宋体" w:hAnsi="宋体" w:cs="宋体"/>
          <w:snapToGrid w:val="0"/>
          <w:color w:val="auto"/>
          <w:kern w:val="0"/>
          <w:sz w:val="24"/>
        </w:rPr>
      </w:pPr>
      <w:r>
        <w:rPr>
          <w:rFonts w:ascii="宋体" w:eastAsia="宋体" w:hAnsi="宋体" w:cs="宋体" w:hint="eastAsia"/>
          <w:snapToGrid w:val="0"/>
          <w:color w:val="auto"/>
          <w:kern w:val="0"/>
          <w:sz w:val="24"/>
        </w:rPr>
        <w:t>供应商名称：</w:t>
      </w:r>
      <w:r>
        <w:rPr>
          <w:rFonts w:ascii="宋体" w:eastAsia="宋体" w:hAnsi="宋体" w:cs="宋体" w:hint="eastAsia"/>
          <w:snapToGrid w:val="0"/>
          <w:color w:val="auto"/>
          <w:kern w:val="0"/>
          <w:sz w:val="24"/>
          <w:u w:val="single"/>
        </w:rPr>
        <w:t xml:space="preserve">        （全称）              </w:t>
      </w:r>
      <w:r>
        <w:rPr>
          <w:rFonts w:ascii="宋体" w:eastAsia="宋体" w:hAnsi="宋体" w:cs="宋体" w:hint="eastAsia"/>
          <w:snapToGrid w:val="0"/>
          <w:color w:val="auto"/>
          <w:kern w:val="0"/>
          <w:sz w:val="24"/>
        </w:rPr>
        <w:t>（电子签章）</w:t>
      </w:r>
    </w:p>
    <w:p>
      <w:pPr>
        <w:spacing w:line="360" w:lineRule="auto"/>
        <w:ind w:firstLine="240" w:firstLineChars="100"/>
        <w:rPr>
          <w:rFonts w:ascii="宋体" w:eastAsia="宋体" w:hAnsi="宋体" w:cs="宋体"/>
          <w:color w:val="auto"/>
          <w:sz w:val="24"/>
        </w:rPr>
      </w:pPr>
    </w:p>
    <w:p>
      <w:pPr>
        <w:spacing w:line="360" w:lineRule="auto"/>
        <w:ind w:firstLine="360" w:firstLineChars="150"/>
        <w:rPr>
          <w:rFonts w:ascii="宋体" w:eastAsia="宋体" w:hAnsi="宋体" w:cs="宋体"/>
          <w:color w:val="auto"/>
          <w:sz w:val="24"/>
        </w:rPr>
      </w:pPr>
      <w:r>
        <w:rPr>
          <w:rFonts w:ascii="宋体" w:eastAsia="宋体" w:hAnsi="宋体" w:cs="宋体" w:hint="eastAsia"/>
          <w:color w:val="auto"/>
          <w:sz w:val="24"/>
          <w:lang w:val="zh-CN"/>
        </w:rPr>
        <w:t>日期：</w:t>
      </w:r>
    </w:p>
    <w:p>
      <w:pPr>
        <w:snapToGrid w:val="0"/>
        <w:spacing w:line="360" w:lineRule="auto"/>
        <w:ind w:firstLine="560" w:firstLineChars="200"/>
        <w:jc w:val="left"/>
        <w:rPr>
          <w:rFonts w:ascii="宋体" w:eastAsia="宋体" w:hAnsi="宋体" w:cs="宋体"/>
          <w:color w:val="auto"/>
          <w:spacing w:val="7"/>
          <w:kern w:val="0"/>
          <w:sz w:val="28"/>
          <w:szCs w:val="28"/>
        </w:rPr>
      </w:pPr>
    </w:p>
    <w:p>
      <w:pPr>
        <w:snapToGrid w:val="0"/>
        <w:spacing w:line="360" w:lineRule="auto"/>
        <w:ind w:firstLine="560" w:firstLineChars="200"/>
        <w:jc w:val="left"/>
        <w:rPr>
          <w:rFonts w:ascii="宋体" w:eastAsia="宋体" w:hAnsi="宋体" w:cs="宋体"/>
          <w:color w:val="auto"/>
          <w:spacing w:val="7"/>
          <w:kern w:val="0"/>
          <w:sz w:val="28"/>
          <w:szCs w:val="28"/>
        </w:rPr>
      </w:pPr>
    </w:p>
    <w:p>
      <w:pPr>
        <w:snapToGrid w:val="0"/>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注： 1、供应商若非上述企业，则不需提供此函。</w:t>
      </w:r>
    </w:p>
    <w:p>
      <w:pPr>
        <w:snapToGrid w:val="0"/>
        <w:spacing w:line="360" w:lineRule="auto"/>
        <w:ind w:firstLine="480" w:firstLineChars="200"/>
        <w:rPr>
          <w:rFonts w:ascii="宋体" w:eastAsia="宋体" w:hAnsi="宋体" w:cs="宋体"/>
          <w:color w:val="auto"/>
          <w:sz w:val="24"/>
        </w:rPr>
      </w:pPr>
      <w:r>
        <w:rPr>
          <w:rFonts w:ascii="宋体" w:eastAsia="宋体" w:hAnsi="宋体" w:cs="宋体" w:hint="eastAsia"/>
          <w:color w:val="auto"/>
          <w:sz w:val="24"/>
        </w:rPr>
        <w:t>2、成交供应商为残疾人福利性单位的，其《残疾人福利性单位声明函》将随中标结果同时公告，接受社会监督。供应商提供的《残疾人福利性单位声明函》与事实不符的，依照《政府采购法》第七十七条第一款的规定追究法律责任。</w:t>
      </w:r>
    </w:p>
    <w:p>
      <w:pPr>
        <w:rPr>
          <w:rFonts w:ascii="宋体" w:eastAsia="宋体" w:hAnsi="宋体" w:cs="宋体"/>
          <w:color w:val="auto"/>
        </w:rPr>
      </w:pPr>
    </w:p>
    <w:p>
      <w:pPr>
        <w:spacing w:line="520" w:lineRule="exact"/>
        <w:ind w:firstLine="560" w:firstLineChars="200"/>
        <w:rPr>
          <w:rFonts w:ascii="宋体" w:eastAsia="宋体" w:hAnsi="宋体" w:cs="宋体"/>
          <w:bCs/>
          <w:color w:val="auto"/>
          <w:sz w:val="28"/>
          <w:szCs w:val="28"/>
        </w:rPr>
      </w:pPr>
    </w:p>
    <w:p>
      <w:pPr>
        <w:pStyle w:val="BodyText"/>
        <w:rPr>
          <w:rFonts w:ascii="宋体" w:eastAsia="宋体" w:hAnsi="宋体" w:cs="宋体"/>
          <w:color w:val="auto"/>
        </w:rPr>
      </w:pPr>
    </w:p>
    <w:p>
      <w:pPr>
        <w:pStyle w:val="BodyTextFirstIndent"/>
        <w:ind w:left="630" w:firstLine="0" w:firstLineChars="0"/>
        <w:rPr>
          <w:rFonts w:ascii="宋体" w:eastAsia="宋体" w:hAnsi="宋体" w:cs="宋体"/>
          <w:color w:val="auto"/>
        </w:rPr>
      </w:pPr>
    </w:p>
    <w:p>
      <w:pPr>
        <w:rPr>
          <w:rFonts w:ascii="宋体" w:eastAsia="宋体" w:hAnsi="宋体" w:cs="宋体"/>
          <w:color w:val="auto"/>
        </w:rPr>
      </w:pPr>
    </w:p>
    <w:p>
      <w:pPr>
        <w:pStyle w:val="BodyText"/>
        <w:rPr>
          <w:rFonts w:ascii="宋体" w:eastAsia="宋体" w:hAnsi="宋体" w:cs="宋体"/>
          <w:color w:val="auto"/>
        </w:rPr>
      </w:pPr>
    </w:p>
    <w:p>
      <w:pPr>
        <w:pStyle w:val="a2"/>
        <w:keepNext w:val="0"/>
        <w:keepLines w:val="0"/>
        <w:tabs>
          <w:tab w:val="clear" w:pos="1680"/>
        </w:tabs>
        <w:spacing w:before="0" w:after="0" w:line="400" w:lineRule="exact"/>
        <w:ind w:left="0" w:firstLine="0"/>
        <w:jc w:val="left"/>
        <w:rPr>
          <w:rFonts w:ascii="宋体" w:eastAsia="宋体" w:hAnsi="宋体" w:cs="宋体"/>
          <w:b w:val="0"/>
          <w:color w:val="auto"/>
          <w:sz w:val="24"/>
          <w:szCs w:val="24"/>
        </w:rPr>
      </w:pPr>
    </w:p>
    <w:p>
      <w:pPr>
        <w:pStyle w:val="a2"/>
        <w:keepNext w:val="0"/>
        <w:keepLines w:val="0"/>
        <w:tabs>
          <w:tab w:val="clear" w:pos="1680"/>
        </w:tabs>
        <w:spacing w:before="0" w:after="0" w:line="400" w:lineRule="exact"/>
        <w:ind w:left="0" w:firstLine="0"/>
        <w:jc w:val="left"/>
        <w:rPr>
          <w:rFonts w:ascii="宋体" w:eastAsia="宋体" w:hAnsi="宋体" w:cs="宋体"/>
          <w:b w:val="0"/>
          <w:color w:val="auto"/>
          <w:sz w:val="24"/>
          <w:szCs w:val="24"/>
        </w:rPr>
      </w:pPr>
    </w:p>
    <w:p>
      <w:pPr>
        <w:pStyle w:val="a2"/>
        <w:keepNext w:val="0"/>
        <w:keepLines w:val="0"/>
        <w:tabs>
          <w:tab w:val="clear" w:pos="1680"/>
        </w:tabs>
        <w:spacing w:before="0" w:after="0" w:line="400" w:lineRule="exact"/>
        <w:ind w:left="0" w:firstLine="0"/>
        <w:jc w:val="left"/>
        <w:rPr>
          <w:rFonts w:ascii="宋体" w:eastAsia="宋体" w:hAnsi="宋体" w:cs="宋体"/>
          <w:b w:val="0"/>
          <w:color w:val="auto"/>
          <w:sz w:val="24"/>
          <w:szCs w:val="24"/>
        </w:rPr>
      </w:pPr>
    </w:p>
    <w:p>
      <w:pPr>
        <w:pStyle w:val="a2"/>
        <w:keepNext w:val="0"/>
        <w:keepLines w:val="0"/>
        <w:tabs>
          <w:tab w:val="clear" w:pos="1680"/>
        </w:tabs>
        <w:spacing w:before="0" w:after="0" w:line="400" w:lineRule="exact"/>
        <w:ind w:left="0" w:firstLine="0"/>
        <w:jc w:val="left"/>
        <w:rPr>
          <w:rFonts w:ascii="宋体" w:eastAsia="宋体" w:hAnsi="宋体" w:cs="宋体"/>
          <w:b w:val="0"/>
          <w:color w:val="auto"/>
          <w:sz w:val="24"/>
          <w:szCs w:val="24"/>
        </w:rPr>
      </w:pPr>
    </w:p>
    <w:p>
      <w:pPr>
        <w:pStyle w:val="a2"/>
        <w:keepNext w:val="0"/>
        <w:keepLines w:val="0"/>
        <w:tabs>
          <w:tab w:val="clear" w:pos="1680"/>
        </w:tabs>
        <w:spacing w:before="0" w:after="0" w:line="400" w:lineRule="exact"/>
        <w:ind w:left="0" w:firstLine="0"/>
        <w:jc w:val="left"/>
        <w:rPr>
          <w:rFonts w:ascii="宋体" w:eastAsia="宋体" w:hAnsi="宋体" w:cs="宋体"/>
          <w:b w:val="0"/>
          <w:color w:val="auto"/>
          <w:sz w:val="24"/>
          <w:szCs w:val="24"/>
        </w:rPr>
      </w:pPr>
    </w:p>
    <w:p>
      <w:pPr>
        <w:pStyle w:val="a2"/>
        <w:keepNext w:val="0"/>
        <w:keepLines w:val="0"/>
        <w:tabs>
          <w:tab w:val="clear" w:pos="1680"/>
        </w:tabs>
        <w:spacing w:before="0" w:after="0" w:line="400" w:lineRule="exact"/>
        <w:ind w:left="0" w:firstLine="0"/>
        <w:jc w:val="left"/>
        <w:rPr>
          <w:rFonts w:ascii="宋体" w:eastAsia="宋体" w:hAnsi="宋体" w:cs="宋体"/>
          <w:b w:val="0"/>
          <w:color w:val="auto"/>
          <w:sz w:val="24"/>
          <w:szCs w:val="24"/>
        </w:rPr>
      </w:pPr>
    </w:p>
    <w:p>
      <w:pPr>
        <w:pStyle w:val="a2"/>
        <w:keepNext w:val="0"/>
        <w:keepLines w:val="0"/>
        <w:tabs>
          <w:tab w:val="clear" w:pos="1680"/>
        </w:tabs>
        <w:spacing w:before="0" w:after="0" w:line="400" w:lineRule="exact"/>
        <w:ind w:left="0" w:firstLine="0"/>
        <w:jc w:val="left"/>
        <w:rPr>
          <w:rFonts w:ascii="宋体" w:eastAsia="宋体" w:hAnsi="宋体" w:cs="宋体"/>
          <w:b w:val="0"/>
          <w:color w:val="auto"/>
          <w:sz w:val="24"/>
          <w:szCs w:val="24"/>
        </w:rPr>
      </w:pPr>
      <w:r>
        <w:rPr>
          <w:rFonts w:ascii="宋体" w:eastAsia="宋体" w:hAnsi="宋体" w:cs="宋体" w:hint="eastAsia"/>
          <w:b w:val="0"/>
          <w:color w:val="auto"/>
          <w:sz w:val="24"/>
          <w:szCs w:val="24"/>
        </w:rPr>
        <w:t>附件6：</w:t>
      </w:r>
    </w:p>
    <w:p>
      <w:pPr>
        <w:jc w:val="center"/>
        <w:rPr>
          <w:rFonts w:ascii="宋体" w:eastAsia="宋体" w:hAnsi="宋体" w:cs="宋体"/>
          <w:color w:val="auto"/>
          <w:sz w:val="28"/>
          <w:szCs w:val="28"/>
        </w:rPr>
      </w:pPr>
      <w:r>
        <w:rPr>
          <w:rFonts w:ascii="宋体" w:eastAsia="宋体" w:hAnsi="宋体" w:cs="宋体" w:hint="eastAsia"/>
          <w:b/>
          <w:bCs/>
          <w:color w:val="auto"/>
          <w:sz w:val="24"/>
        </w:rPr>
        <w:t>磋商承诺书</w:t>
      </w:r>
    </w:p>
    <w:p>
      <w:pPr>
        <w:spacing w:line="480" w:lineRule="exact"/>
        <w:ind w:firstLine="480" w:firstLineChars="200"/>
        <w:jc w:val="left"/>
        <w:rPr>
          <w:rFonts w:ascii="宋体" w:eastAsia="宋体" w:hAnsi="宋体" w:cs="宋体"/>
          <w:color w:val="auto"/>
          <w:kern w:val="1"/>
          <w:sz w:val="24"/>
        </w:rPr>
      </w:pPr>
    </w:p>
    <w:p>
      <w:pPr>
        <w:spacing w:line="480" w:lineRule="exact"/>
        <w:ind w:firstLine="480" w:firstLineChars="200"/>
        <w:jc w:val="left"/>
        <w:rPr>
          <w:rFonts w:ascii="宋体" w:eastAsia="宋体" w:hAnsi="宋体" w:cs="宋体"/>
          <w:color w:val="auto"/>
          <w:kern w:val="1"/>
          <w:sz w:val="24"/>
        </w:rPr>
      </w:pPr>
      <w:r>
        <w:rPr>
          <w:rFonts w:ascii="宋体" w:eastAsia="宋体" w:hAnsi="宋体" w:cs="宋体" w:hint="eastAsia"/>
          <w:color w:val="auto"/>
          <w:kern w:val="1"/>
          <w:sz w:val="24"/>
        </w:rPr>
        <w:t>本单位作为参与</w:t>
      </w:r>
      <w:r>
        <w:rPr>
          <w:rFonts w:ascii="宋体" w:eastAsia="宋体" w:hAnsi="宋体" w:cs="宋体" w:hint="eastAsia"/>
          <w:color w:val="auto"/>
          <w:kern w:val="1"/>
          <w:sz w:val="24"/>
          <w:u w:val="single"/>
        </w:rPr>
        <w:t xml:space="preserve">            </w:t>
      </w:r>
      <w:r>
        <w:rPr>
          <w:rFonts w:ascii="宋体" w:eastAsia="宋体" w:hAnsi="宋体" w:cs="宋体" w:hint="eastAsia"/>
          <w:color w:val="auto"/>
          <w:kern w:val="1"/>
          <w:sz w:val="24"/>
        </w:rPr>
        <w:t>项目的供应商，现作如下承诺：</w:t>
      </w:r>
    </w:p>
    <w:p>
      <w:pPr>
        <w:spacing w:line="480" w:lineRule="exact"/>
        <w:ind w:firstLine="480" w:firstLineChars="200"/>
        <w:jc w:val="left"/>
        <w:rPr>
          <w:rFonts w:ascii="宋体" w:eastAsia="宋体" w:hAnsi="宋体" w:cs="宋体"/>
          <w:color w:val="auto"/>
          <w:kern w:val="1"/>
          <w:sz w:val="24"/>
        </w:rPr>
      </w:pPr>
      <w:r>
        <w:rPr>
          <w:rFonts w:ascii="宋体" w:eastAsia="宋体" w:hAnsi="宋体" w:cs="宋体" w:hint="eastAsia"/>
          <w:color w:val="auto"/>
          <w:kern w:val="1"/>
          <w:sz w:val="24"/>
        </w:rPr>
        <w:t>1、所提供的一切材料真实、有效、合法。</w:t>
      </w:r>
    </w:p>
    <w:p>
      <w:pPr>
        <w:spacing w:line="480" w:lineRule="exact"/>
        <w:ind w:firstLine="480" w:firstLineChars="200"/>
        <w:jc w:val="left"/>
        <w:rPr>
          <w:rFonts w:ascii="宋体" w:eastAsia="宋体" w:hAnsi="宋体" w:cs="宋体"/>
          <w:color w:val="auto"/>
          <w:kern w:val="1"/>
          <w:sz w:val="24"/>
        </w:rPr>
      </w:pPr>
      <w:r>
        <w:rPr>
          <w:rFonts w:ascii="宋体" w:eastAsia="宋体" w:hAnsi="宋体" w:cs="宋体" w:hint="eastAsia"/>
          <w:color w:val="auto"/>
          <w:kern w:val="1"/>
          <w:sz w:val="24"/>
        </w:rPr>
        <w:t>2、不与其他供应商串通报价，不损害采购人或其他供应商的合法权益。</w:t>
      </w:r>
    </w:p>
    <w:p>
      <w:pPr>
        <w:spacing w:line="480" w:lineRule="exact"/>
        <w:ind w:firstLine="480" w:firstLineChars="200"/>
        <w:jc w:val="left"/>
        <w:rPr>
          <w:rFonts w:ascii="宋体" w:eastAsia="宋体" w:hAnsi="宋体" w:cs="宋体"/>
          <w:color w:val="auto"/>
          <w:kern w:val="1"/>
          <w:sz w:val="24"/>
        </w:rPr>
      </w:pPr>
      <w:r>
        <w:rPr>
          <w:rFonts w:ascii="宋体" w:eastAsia="宋体" w:hAnsi="宋体" w:cs="宋体" w:hint="eastAsia"/>
          <w:color w:val="auto"/>
          <w:kern w:val="1"/>
          <w:sz w:val="24"/>
        </w:rPr>
        <w:t>3、不与采购人或采购代理机构串通报价，损害国家利益、社会公共利益或者他人的合法权益。</w:t>
      </w:r>
    </w:p>
    <w:p>
      <w:pPr>
        <w:spacing w:line="480" w:lineRule="exact"/>
        <w:ind w:firstLine="480" w:firstLineChars="200"/>
        <w:jc w:val="left"/>
        <w:rPr>
          <w:rFonts w:ascii="宋体" w:eastAsia="宋体" w:hAnsi="宋体" w:cs="宋体"/>
          <w:color w:val="auto"/>
          <w:kern w:val="1"/>
          <w:sz w:val="24"/>
        </w:rPr>
      </w:pPr>
      <w:r>
        <w:rPr>
          <w:rFonts w:ascii="宋体" w:eastAsia="宋体" w:hAnsi="宋体" w:cs="宋体" w:hint="eastAsia"/>
          <w:color w:val="auto"/>
          <w:kern w:val="1"/>
          <w:sz w:val="24"/>
        </w:rPr>
        <w:t>4、不向采购人、竞争性磋商小组、监督人员贿赂。</w:t>
      </w:r>
    </w:p>
    <w:p>
      <w:pPr>
        <w:spacing w:line="480" w:lineRule="exact"/>
        <w:ind w:firstLine="480" w:firstLineChars="200"/>
        <w:jc w:val="left"/>
        <w:rPr>
          <w:rFonts w:ascii="宋体" w:eastAsia="宋体" w:hAnsi="宋体" w:cs="宋体"/>
          <w:color w:val="auto"/>
          <w:kern w:val="1"/>
          <w:sz w:val="24"/>
        </w:rPr>
      </w:pPr>
      <w:r>
        <w:rPr>
          <w:rFonts w:ascii="宋体" w:eastAsia="宋体" w:hAnsi="宋体" w:cs="宋体" w:hint="eastAsia"/>
          <w:color w:val="auto"/>
          <w:kern w:val="1"/>
          <w:sz w:val="24"/>
        </w:rPr>
        <w:t>5、不扰乱采购活动正常秩序。</w:t>
      </w:r>
    </w:p>
    <w:p>
      <w:pPr>
        <w:spacing w:line="480" w:lineRule="exact"/>
        <w:ind w:firstLine="480" w:firstLineChars="200"/>
        <w:jc w:val="left"/>
        <w:rPr>
          <w:rFonts w:ascii="宋体" w:eastAsia="宋体" w:hAnsi="宋体" w:cs="宋体"/>
          <w:color w:val="auto"/>
          <w:kern w:val="1"/>
          <w:sz w:val="24"/>
        </w:rPr>
      </w:pPr>
      <w:r>
        <w:rPr>
          <w:rFonts w:ascii="宋体" w:eastAsia="宋体" w:hAnsi="宋体" w:cs="宋体" w:hint="eastAsia"/>
          <w:color w:val="auto"/>
          <w:kern w:val="1"/>
          <w:sz w:val="24"/>
        </w:rPr>
        <w:t>6、不进行虚假恶意投诉。</w:t>
      </w:r>
    </w:p>
    <w:p>
      <w:pPr>
        <w:spacing w:line="480" w:lineRule="exact"/>
        <w:ind w:firstLine="480" w:firstLineChars="200"/>
        <w:jc w:val="left"/>
        <w:rPr>
          <w:rFonts w:ascii="宋体" w:eastAsia="宋体" w:hAnsi="宋体" w:cs="宋体"/>
          <w:color w:val="auto"/>
          <w:kern w:val="1"/>
          <w:sz w:val="24"/>
        </w:rPr>
      </w:pPr>
      <w:r>
        <w:rPr>
          <w:rFonts w:ascii="宋体" w:eastAsia="宋体" w:hAnsi="宋体" w:cs="宋体" w:hint="eastAsia"/>
          <w:color w:val="auto"/>
          <w:kern w:val="1"/>
          <w:sz w:val="24"/>
        </w:rPr>
        <w:t>7、如有违反政府采购法律、法规、规章被查处的，不干预案件查处。</w:t>
      </w:r>
    </w:p>
    <w:p>
      <w:pPr>
        <w:spacing w:line="480" w:lineRule="exact"/>
        <w:ind w:firstLine="480" w:firstLineChars="200"/>
        <w:jc w:val="left"/>
        <w:rPr>
          <w:rFonts w:ascii="宋体" w:eastAsia="宋体" w:hAnsi="宋体" w:cs="宋体"/>
          <w:color w:val="auto"/>
          <w:kern w:val="1"/>
          <w:sz w:val="24"/>
        </w:rPr>
      </w:pPr>
      <w:r>
        <w:rPr>
          <w:rFonts w:ascii="宋体" w:eastAsia="宋体" w:hAnsi="宋体" w:cs="宋体" w:hint="eastAsia"/>
          <w:color w:val="auto"/>
          <w:kern w:val="1"/>
          <w:sz w:val="24"/>
        </w:rPr>
        <w:t>如出现上述行为，本供应商自愿承担相关责任，接受采购监督管理部门、纪检监察部门或司法机关调查处理。给采购人造成损失的，依法承担赔偿责任。</w:t>
      </w:r>
    </w:p>
    <w:p>
      <w:pPr>
        <w:spacing w:line="480" w:lineRule="exact"/>
        <w:ind w:firstLine="480" w:firstLineChars="200"/>
        <w:jc w:val="left"/>
        <w:rPr>
          <w:rFonts w:ascii="宋体" w:eastAsia="宋体" w:hAnsi="宋体" w:cs="宋体"/>
          <w:color w:val="auto"/>
          <w:kern w:val="1"/>
          <w:sz w:val="24"/>
        </w:rPr>
      </w:pPr>
    </w:p>
    <w:p>
      <w:pPr>
        <w:spacing w:line="480" w:lineRule="exact"/>
        <w:ind w:firstLine="480" w:firstLineChars="200"/>
        <w:jc w:val="left"/>
        <w:rPr>
          <w:rFonts w:ascii="宋体" w:eastAsia="宋体" w:hAnsi="宋体" w:cs="宋体"/>
          <w:color w:val="auto"/>
          <w:kern w:val="1"/>
          <w:sz w:val="24"/>
        </w:rPr>
      </w:pPr>
    </w:p>
    <w:p>
      <w:pPr>
        <w:spacing w:line="480" w:lineRule="exact"/>
        <w:ind w:firstLine="480" w:firstLineChars="200"/>
        <w:jc w:val="left"/>
        <w:rPr>
          <w:rFonts w:ascii="宋体" w:eastAsia="宋体" w:hAnsi="宋体" w:cs="宋体"/>
          <w:color w:val="auto"/>
          <w:kern w:val="1"/>
          <w:sz w:val="24"/>
        </w:rPr>
      </w:pPr>
    </w:p>
    <w:p>
      <w:pPr>
        <w:snapToGrid w:val="0"/>
        <w:spacing w:line="360" w:lineRule="auto"/>
        <w:ind w:right="140"/>
        <w:jc w:val="left"/>
        <w:rPr>
          <w:rFonts w:ascii="宋体" w:eastAsia="宋体" w:hAnsi="宋体" w:cs="宋体"/>
          <w:snapToGrid w:val="0"/>
          <w:color w:val="auto"/>
          <w:kern w:val="0"/>
          <w:sz w:val="24"/>
        </w:rPr>
      </w:pPr>
      <w:bookmarkEnd w:id="108"/>
      <w:bookmarkEnd w:id="109"/>
      <w:bookmarkEnd w:id="110"/>
      <w:r>
        <w:rPr>
          <w:rFonts w:ascii="宋体" w:eastAsia="宋体" w:hAnsi="宋体" w:cs="宋体" w:hint="eastAsia"/>
          <w:snapToGrid w:val="0"/>
          <w:color w:val="auto"/>
          <w:kern w:val="0"/>
          <w:sz w:val="24"/>
        </w:rPr>
        <w:t>供应商名称：</w:t>
      </w:r>
      <w:r>
        <w:rPr>
          <w:rFonts w:ascii="宋体" w:eastAsia="宋体" w:hAnsi="宋体" w:cs="宋体" w:hint="eastAsia"/>
          <w:snapToGrid w:val="0"/>
          <w:color w:val="auto"/>
          <w:kern w:val="0"/>
          <w:sz w:val="24"/>
          <w:u w:val="single"/>
        </w:rPr>
        <w:t xml:space="preserve">        （全称）              </w:t>
      </w:r>
      <w:r>
        <w:rPr>
          <w:rFonts w:ascii="宋体" w:eastAsia="宋体" w:hAnsi="宋体" w:cs="宋体" w:hint="eastAsia"/>
          <w:snapToGrid w:val="0"/>
          <w:color w:val="auto"/>
          <w:kern w:val="0"/>
          <w:sz w:val="24"/>
        </w:rPr>
        <w:t>（电子签章）</w:t>
      </w:r>
    </w:p>
    <w:p>
      <w:pPr>
        <w:snapToGrid w:val="0"/>
        <w:spacing w:line="360" w:lineRule="auto"/>
        <w:jc w:val="left"/>
        <w:rPr>
          <w:rFonts w:ascii="宋体" w:eastAsia="宋体" w:hAnsi="宋体" w:cs="宋体"/>
          <w:snapToGrid w:val="0"/>
          <w:color w:val="auto"/>
          <w:kern w:val="0"/>
          <w:sz w:val="24"/>
        </w:rPr>
      </w:pPr>
      <w:r>
        <w:rPr>
          <w:rFonts w:ascii="宋体" w:eastAsia="宋体" w:hAnsi="宋体" w:cs="宋体" w:hint="eastAsia"/>
          <w:snapToGrid w:val="0"/>
          <w:color w:val="auto"/>
          <w:kern w:val="0"/>
          <w:sz w:val="24"/>
        </w:rPr>
        <w:t>法定代表人或委托代理人：</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（电子签章或电子印章）</w:t>
      </w:r>
    </w:p>
    <w:p>
      <w:pPr>
        <w:snapToGrid w:val="0"/>
        <w:spacing w:line="360" w:lineRule="auto"/>
        <w:jc w:val="left"/>
        <w:rPr>
          <w:rFonts w:ascii="宋体" w:eastAsia="宋体" w:hAnsi="宋体" w:cs="宋体"/>
          <w:snapToGrid w:val="0"/>
          <w:color w:val="auto"/>
          <w:kern w:val="0"/>
          <w:sz w:val="24"/>
        </w:rPr>
      </w:pPr>
      <w:r>
        <w:rPr>
          <w:rFonts w:ascii="宋体" w:eastAsia="宋体" w:hAnsi="宋体" w:cs="宋体" w:hint="eastAsia"/>
          <w:snapToGrid w:val="0"/>
          <w:color w:val="auto"/>
          <w:kern w:val="0"/>
          <w:sz w:val="24"/>
        </w:rPr>
        <w:t>日期：</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年</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月</w:t>
      </w:r>
      <w:r>
        <w:rPr>
          <w:rFonts w:ascii="宋体" w:eastAsia="宋体" w:hAnsi="宋体" w:cs="宋体" w:hint="eastAsia"/>
          <w:snapToGrid w:val="0"/>
          <w:color w:val="auto"/>
          <w:kern w:val="0"/>
          <w:sz w:val="24"/>
          <w:u w:val="single"/>
        </w:rPr>
        <w:t xml:space="preserve">  </w:t>
      </w:r>
      <w:r>
        <w:rPr>
          <w:rFonts w:ascii="宋体" w:eastAsia="宋体" w:hAnsi="宋体" w:cs="宋体" w:hint="eastAsia"/>
          <w:snapToGrid w:val="0"/>
          <w:color w:val="auto"/>
          <w:kern w:val="0"/>
          <w:sz w:val="24"/>
        </w:rPr>
        <w:t>日</w:t>
      </w:r>
    </w:p>
    <w:p>
      <w:pPr>
        <w:widowControl/>
        <w:jc w:val="center"/>
        <w:outlineLvl w:val="0"/>
        <w:rPr>
          <w:rFonts w:ascii="宋体" w:eastAsia="宋体" w:hAnsi="宋体" w:cs="宋体"/>
          <w:b/>
          <w:color w:val="auto"/>
          <w:sz w:val="24"/>
        </w:rPr>
      </w:pPr>
      <w:bookmarkStart w:id="118" w:name="_Toc1401"/>
      <w:bookmarkStart w:id="119" w:name="_Toc3643_WPSOffice_Level2"/>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bCs/>
          <w:color w:val="auto"/>
          <w:kern w:val="0"/>
          <w:sz w:val="24"/>
        </w:rPr>
      </w:pPr>
      <w:r>
        <w:rPr>
          <w:rFonts w:ascii="宋体" w:hAnsi="宋体" w:cs="宋体" w:hint="eastAsia"/>
          <w:b/>
          <w:bCs/>
          <w:color w:val="auto"/>
          <w:kern w:val="0"/>
          <w:sz w:val="24"/>
          <w:lang w:val="en-US" w:eastAsia="zh-CN"/>
        </w:rPr>
        <w:t>十</w:t>
      </w:r>
      <w:r>
        <w:rPr>
          <w:rFonts w:ascii="宋体" w:eastAsia="宋体" w:hAnsi="宋体" w:cs="宋体" w:hint="eastAsia"/>
          <w:b/>
          <w:bCs/>
          <w:color w:val="auto"/>
          <w:kern w:val="0"/>
          <w:sz w:val="24"/>
        </w:rPr>
        <w:t>、类似项目业绩表</w:t>
      </w:r>
    </w:p>
    <w:tbl>
      <w:tblPr>
        <w:tblStyle w:val="TableNormal"/>
        <w:tblW w:w="9347"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top w:w="0" w:type="dxa"/>
          <w:left w:w="54" w:type="dxa"/>
          <w:bottom w:w="0" w:type="dxa"/>
          <w:right w:w="54" w:type="dxa"/>
        </w:tblCellMar>
        <w:tblLook w:val="04A0"/>
      </w:tblPr>
      <w:tblGrid>
        <w:gridCol w:w="763"/>
        <w:gridCol w:w="1740"/>
        <w:gridCol w:w="1502"/>
        <w:gridCol w:w="1336"/>
        <w:gridCol w:w="1335"/>
        <w:gridCol w:w="1335"/>
        <w:gridCol w:w="1336"/>
      </w:tblGrid>
      <w:tr>
        <w:tblPrEx>
          <w:tblW w:w="9347"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top w:w="0" w:type="dxa"/>
            <w:left w:w="54" w:type="dxa"/>
            <w:bottom w:w="0" w:type="dxa"/>
            <w:right w:w="54" w:type="dxa"/>
          </w:tblCellMar>
          <w:tblLook w:val="04A0"/>
        </w:tblPrEx>
        <w:trPr>
          <w:cantSplit/>
          <w:trHeight w:val="600"/>
          <w:jc w:val="center"/>
        </w:trPr>
        <w:tc>
          <w:tcPr>
            <w:tcW w:w="763" w:type="dxa"/>
            <w:tcBorders>
              <w:top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bCs/>
                <w:color w:val="auto"/>
                <w:spacing w:val="20"/>
                <w:kern w:val="0"/>
                <w:sz w:val="24"/>
                <w:szCs w:val="24"/>
                <w:lang w:val="en-US" w:eastAsia="zh-CN" w:bidi="ar-SA"/>
              </w:rPr>
            </w:pPr>
            <w:r>
              <w:rPr>
                <w:rFonts w:ascii="宋体" w:eastAsia="宋体" w:hAnsi="宋体" w:cs="宋体" w:hint="eastAsia"/>
                <w:bCs/>
                <w:color w:val="auto"/>
                <w:spacing w:val="20"/>
                <w:kern w:val="0"/>
                <w:sz w:val="24"/>
                <w:szCs w:val="24"/>
                <w:lang w:val="en-US" w:eastAsia="zh-CN" w:bidi="ar-SA"/>
              </w:rPr>
              <w:t>序号</w:t>
            </w:r>
          </w:p>
        </w:tc>
        <w:tc>
          <w:tcPr>
            <w:tcW w:w="1740" w:type="dxa"/>
            <w:tcBorders>
              <w:top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bCs/>
                <w:color w:val="auto"/>
                <w:spacing w:val="20"/>
                <w:kern w:val="0"/>
                <w:sz w:val="24"/>
                <w:szCs w:val="24"/>
                <w:lang w:val="en-US" w:eastAsia="zh-CN" w:bidi="ar-SA"/>
              </w:rPr>
            </w:pPr>
            <w:r>
              <w:rPr>
                <w:rFonts w:ascii="宋体" w:eastAsia="宋体" w:hAnsi="宋体" w:cs="宋体" w:hint="eastAsia"/>
                <w:bCs/>
                <w:color w:val="auto"/>
                <w:spacing w:val="20"/>
                <w:kern w:val="0"/>
                <w:sz w:val="24"/>
                <w:szCs w:val="24"/>
                <w:lang w:val="en-US" w:eastAsia="zh-CN" w:bidi="ar-SA"/>
              </w:rPr>
              <w:t>年份</w:t>
            </w:r>
          </w:p>
        </w:tc>
        <w:tc>
          <w:tcPr>
            <w:tcW w:w="1502" w:type="dxa"/>
            <w:tcBorders>
              <w:top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bCs/>
                <w:color w:val="auto"/>
                <w:spacing w:val="20"/>
                <w:kern w:val="0"/>
                <w:sz w:val="24"/>
                <w:szCs w:val="24"/>
                <w:lang w:val="en-US" w:eastAsia="zh-CN" w:bidi="ar-SA"/>
              </w:rPr>
            </w:pPr>
            <w:r>
              <w:rPr>
                <w:rFonts w:ascii="宋体" w:eastAsia="宋体" w:hAnsi="宋体" w:cs="宋体" w:hint="eastAsia"/>
                <w:bCs/>
                <w:color w:val="auto"/>
                <w:spacing w:val="20"/>
                <w:kern w:val="0"/>
                <w:sz w:val="24"/>
                <w:szCs w:val="24"/>
                <w:lang w:val="en-US" w:eastAsia="zh-CN" w:bidi="ar-SA"/>
              </w:rPr>
              <w:t>委托单位</w:t>
            </w:r>
          </w:p>
        </w:tc>
        <w:tc>
          <w:tcPr>
            <w:tcW w:w="1336" w:type="dxa"/>
            <w:tcBorders>
              <w:top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bCs/>
                <w:color w:val="auto"/>
                <w:spacing w:val="20"/>
                <w:kern w:val="0"/>
                <w:sz w:val="24"/>
                <w:szCs w:val="24"/>
                <w:lang w:val="en-US" w:eastAsia="zh-CN" w:bidi="ar-SA"/>
              </w:rPr>
            </w:pPr>
            <w:r>
              <w:rPr>
                <w:rFonts w:ascii="宋体" w:eastAsia="宋体" w:hAnsi="宋体" w:cs="宋体" w:hint="eastAsia"/>
                <w:bCs/>
                <w:color w:val="auto"/>
                <w:spacing w:val="20"/>
                <w:kern w:val="0"/>
                <w:sz w:val="24"/>
                <w:szCs w:val="24"/>
                <w:lang w:val="en-US" w:eastAsia="zh-CN" w:bidi="ar-SA"/>
              </w:rPr>
              <w:t>项目名称</w:t>
            </w:r>
          </w:p>
        </w:tc>
        <w:tc>
          <w:tcPr>
            <w:tcW w:w="1335" w:type="dxa"/>
            <w:tcBorders>
              <w:top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bCs/>
                <w:color w:val="auto"/>
                <w:spacing w:val="20"/>
                <w:kern w:val="0"/>
                <w:sz w:val="24"/>
                <w:szCs w:val="24"/>
                <w:lang w:val="en-US" w:eastAsia="zh-CN" w:bidi="ar-SA"/>
              </w:rPr>
            </w:pPr>
            <w:r>
              <w:rPr>
                <w:rFonts w:ascii="宋体" w:eastAsia="宋体" w:hAnsi="宋体" w:cs="宋体" w:hint="eastAsia"/>
                <w:bCs/>
                <w:color w:val="auto"/>
                <w:spacing w:val="20"/>
                <w:kern w:val="0"/>
                <w:sz w:val="24"/>
                <w:szCs w:val="24"/>
                <w:lang w:val="en-US" w:eastAsia="zh-CN" w:bidi="ar-SA"/>
              </w:rPr>
              <w:t>完成时间</w:t>
            </w:r>
          </w:p>
        </w:tc>
        <w:tc>
          <w:tcPr>
            <w:tcW w:w="1335" w:type="dxa"/>
            <w:tcBorders>
              <w:top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firstLine="110"/>
              <w:jc w:val="center"/>
              <w:rPr>
                <w:rStyle w:val="DefaultParagraphFont"/>
                <w:rFonts w:ascii="宋体" w:eastAsia="宋体" w:hAnsi="宋体" w:cs="宋体" w:hint="default"/>
                <w:bCs/>
                <w:color w:val="auto"/>
                <w:spacing w:val="20"/>
                <w:kern w:val="0"/>
                <w:sz w:val="24"/>
                <w:szCs w:val="24"/>
                <w:lang w:val="en-US" w:eastAsia="zh-CN" w:bidi="ar-SA"/>
              </w:rPr>
            </w:pPr>
            <w:r>
              <w:rPr>
                <w:rFonts w:ascii="宋体" w:eastAsia="宋体" w:hAnsi="宋体" w:cs="宋体" w:hint="eastAsia"/>
                <w:bCs/>
                <w:color w:val="auto"/>
                <w:spacing w:val="20"/>
                <w:kern w:val="0"/>
                <w:sz w:val="24"/>
                <w:szCs w:val="24"/>
                <w:lang w:val="en-US" w:eastAsia="zh-CN" w:bidi="ar-SA"/>
              </w:rPr>
              <w:t>合同金额</w:t>
            </w:r>
          </w:p>
        </w:tc>
        <w:tc>
          <w:tcPr>
            <w:tcW w:w="1336" w:type="dxa"/>
            <w:tcBorders>
              <w:top w:val="single" w:sz="4" w:space="0" w:color="auto"/>
              <w:lef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bCs/>
                <w:color w:val="auto"/>
                <w:spacing w:val="20"/>
                <w:kern w:val="0"/>
                <w:sz w:val="24"/>
                <w:szCs w:val="24"/>
                <w:lang w:val="en-US" w:eastAsia="zh-CN" w:bidi="ar-SA"/>
              </w:rPr>
            </w:pPr>
            <w:r>
              <w:rPr>
                <w:rFonts w:ascii="宋体" w:eastAsia="宋体" w:hAnsi="宋体" w:cs="宋体" w:hint="eastAsia"/>
                <w:bCs/>
                <w:color w:val="auto"/>
                <w:spacing w:val="20"/>
                <w:kern w:val="0"/>
                <w:sz w:val="24"/>
                <w:szCs w:val="24"/>
                <w:lang w:val="en-US" w:eastAsia="zh-CN" w:bidi="ar-SA"/>
              </w:rPr>
              <w:t>备注</w:t>
            </w:r>
          </w:p>
        </w:tc>
      </w:tr>
      <w:tr>
        <w:tblPrEx>
          <w:tblW w:w="9347" w:type="dxa"/>
          <w:jc w:val="center"/>
          <w:tblLayout w:type="fixed"/>
          <w:tblCellMar>
            <w:top w:w="0" w:type="dxa"/>
            <w:left w:w="54" w:type="dxa"/>
            <w:bottom w:w="0" w:type="dxa"/>
            <w:right w:w="54" w:type="dxa"/>
          </w:tblCellMar>
          <w:tblLook w:val="04A0"/>
        </w:tblPrEx>
        <w:trPr>
          <w:cantSplit/>
          <w:trHeight w:val="600"/>
          <w:jc w:val="center"/>
        </w:trPr>
        <w:tc>
          <w:tcPr>
            <w:tcW w:w="763"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740"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502"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tcBorders>
              <w:lef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9347" w:type="dxa"/>
          <w:jc w:val="center"/>
          <w:tblLayout w:type="fixed"/>
          <w:tblCellMar>
            <w:top w:w="0" w:type="dxa"/>
            <w:left w:w="54" w:type="dxa"/>
            <w:bottom w:w="0" w:type="dxa"/>
            <w:right w:w="54" w:type="dxa"/>
          </w:tblCellMar>
          <w:tblLook w:val="04A0"/>
        </w:tblPrEx>
        <w:trPr>
          <w:cantSplit/>
          <w:trHeight w:val="600"/>
          <w:jc w:val="center"/>
        </w:trPr>
        <w:tc>
          <w:tcPr>
            <w:tcW w:w="763"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740"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502"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tcBorders>
              <w:lef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9347" w:type="dxa"/>
          <w:jc w:val="center"/>
          <w:tblLayout w:type="fixed"/>
          <w:tblCellMar>
            <w:top w:w="0" w:type="dxa"/>
            <w:left w:w="54" w:type="dxa"/>
            <w:bottom w:w="0" w:type="dxa"/>
            <w:right w:w="54" w:type="dxa"/>
          </w:tblCellMar>
          <w:tblLook w:val="04A0"/>
        </w:tblPrEx>
        <w:trPr>
          <w:cantSplit/>
          <w:trHeight w:val="600"/>
          <w:jc w:val="center"/>
        </w:trPr>
        <w:tc>
          <w:tcPr>
            <w:tcW w:w="763"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740"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502"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tcBorders>
              <w:lef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9347" w:type="dxa"/>
          <w:jc w:val="center"/>
          <w:tblLayout w:type="fixed"/>
          <w:tblCellMar>
            <w:top w:w="0" w:type="dxa"/>
            <w:left w:w="54" w:type="dxa"/>
            <w:bottom w:w="0" w:type="dxa"/>
            <w:right w:w="54" w:type="dxa"/>
          </w:tblCellMar>
          <w:tblLook w:val="04A0"/>
        </w:tblPrEx>
        <w:trPr>
          <w:cantSplit/>
          <w:trHeight w:val="600"/>
          <w:jc w:val="center"/>
        </w:trPr>
        <w:tc>
          <w:tcPr>
            <w:tcW w:w="763"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740"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502" w:type="dxa"/>
            <w:tcBorders>
              <w:righ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tcBorders>
              <w:lef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tcBorders>
              <w:lef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9347" w:type="dxa"/>
          <w:jc w:val="center"/>
          <w:tblLayout w:type="fixed"/>
          <w:tblCellMar>
            <w:top w:w="0" w:type="dxa"/>
            <w:left w:w="54" w:type="dxa"/>
            <w:bottom w:w="0" w:type="dxa"/>
            <w:right w:w="54" w:type="dxa"/>
          </w:tblCellMar>
          <w:tblLook w:val="04A0"/>
        </w:tblPrEx>
        <w:trPr>
          <w:cantSplit/>
          <w:trHeight w:val="600"/>
          <w:jc w:val="center"/>
        </w:trPr>
        <w:tc>
          <w:tcPr>
            <w:tcW w:w="763" w:type="dxa"/>
            <w:tcBorders>
              <w:righ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left"/>
              <w:rPr>
                <w:rStyle w:val="DefaultParagraphFont"/>
                <w:rFonts w:ascii="宋体" w:eastAsia="宋体" w:hAnsi="宋体" w:cs="宋体" w:hint="default"/>
                <w:color w:val="auto"/>
                <w:kern w:val="2"/>
                <w:sz w:val="24"/>
                <w:szCs w:val="24"/>
                <w:lang w:val="en-US" w:eastAsia="zh-CN" w:bidi="ar-SA"/>
              </w:rPr>
            </w:pPr>
          </w:p>
        </w:tc>
        <w:tc>
          <w:tcPr>
            <w:tcW w:w="1740" w:type="dxa"/>
            <w:tcBorders>
              <w:righ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left"/>
              <w:rPr>
                <w:rStyle w:val="DefaultParagraphFont"/>
                <w:rFonts w:ascii="宋体" w:eastAsia="宋体" w:hAnsi="宋体" w:cs="宋体" w:hint="default"/>
                <w:color w:val="auto"/>
                <w:kern w:val="2"/>
                <w:sz w:val="24"/>
                <w:szCs w:val="24"/>
                <w:lang w:val="en-US" w:eastAsia="zh-CN" w:bidi="ar-SA"/>
              </w:rPr>
            </w:pPr>
          </w:p>
        </w:tc>
        <w:tc>
          <w:tcPr>
            <w:tcW w:w="1502" w:type="dxa"/>
            <w:tcBorders>
              <w:left w:val="single" w:sz="4" w:space="0" w:color="auto"/>
              <w:righ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left"/>
              <w:rPr>
                <w:rStyle w:val="DefaultParagraphFont"/>
                <w:rFonts w:ascii="宋体" w:eastAsia="宋体" w:hAnsi="宋体" w:cs="宋体" w:hint="default"/>
                <w:color w:val="auto"/>
                <w:kern w:val="2"/>
                <w:sz w:val="24"/>
                <w:szCs w:val="24"/>
                <w:lang w:val="en-US" w:eastAsia="zh-CN" w:bidi="ar-SA"/>
              </w:rPr>
            </w:pPr>
          </w:p>
        </w:tc>
        <w:tc>
          <w:tcPr>
            <w:tcW w:w="1336" w:type="dxa"/>
            <w:tcBorders>
              <w:left w:val="single" w:sz="4" w:space="0" w:color="auto"/>
              <w:righ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left"/>
              <w:rPr>
                <w:rStyle w:val="DefaultParagraphFont"/>
                <w:rFonts w:ascii="宋体" w:eastAsia="宋体" w:hAnsi="宋体" w:cs="宋体" w:hint="default"/>
                <w:color w:val="auto"/>
                <w:kern w:val="2"/>
                <w:sz w:val="24"/>
                <w:szCs w:val="24"/>
                <w:lang w:val="en-US" w:eastAsia="zh-CN" w:bidi="ar-SA"/>
              </w:rPr>
            </w:pPr>
          </w:p>
        </w:tc>
        <w:tc>
          <w:tcPr>
            <w:tcW w:w="1335" w:type="dxa"/>
            <w:tcBorders>
              <w:left w:val="single" w:sz="4" w:space="0" w:color="auto"/>
              <w:righ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left"/>
              <w:rPr>
                <w:rStyle w:val="DefaultParagraphFont"/>
                <w:rFonts w:ascii="宋体" w:eastAsia="宋体" w:hAnsi="宋体" w:cs="宋体" w:hint="default"/>
                <w:color w:val="auto"/>
                <w:kern w:val="2"/>
                <w:sz w:val="24"/>
                <w:szCs w:val="24"/>
                <w:lang w:val="en-US" w:eastAsia="zh-CN" w:bidi="ar-SA"/>
              </w:rPr>
            </w:pPr>
          </w:p>
        </w:tc>
        <w:tc>
          <w:tcPr>
            <w:tcW w:w="1335" w:type="dxa"/>
            <w:tcBorders>
              <w:left w:val="single" w:sz="4" w:space="0" w:color="auto"/>
              <w:righ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left"/>
              <w:rPr>
                <w:rStyle w:val="DefaultParagraphFont"/>
                <w:rFonts w:ascii="宋体" w:eastAsia="宋体" w:hAnsi="宋体" w:cs="宋体" w:hint="default"/>
                <w:color w:val="auto"/>
                <w:kern w:val="2"/>
                <w:sz w:val="24"/>
                <w:szCs w:val="24"/>
                <w:lang w:val="en-US" w:eastAsia="zh-CN" w:bidi="ar-SA"/>
              </w:rPr>
            </w:pPr>
          </w:p>
        </w:tc>
        <w:tc>
          <w:tcPr>
            <w:tcW w:w="1336" w:type="dxa"/>
            <w:tcBorders>
              <w:lef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left"/>
              <w:rPr>
                <w:rStyle w:val="DefaultParagraphFont"/>
                <w:rFonts w:ascii="宋体" w:eastAsia="宋体" w:hAnsi="宋体" w:cs="宋体" w:hint="default"/>
                <w:color w:val="auto"/>
                <w:kern w:val="2"/>
                <w:sz w:val="24"/>
                <w:szCs w:val="24"/>
                <w:lang w:val="en-US" w:eastAsia="zh-CN" w:bidi="ar-SA"/>
              </w:rPr>
            </w:pPr>
          </w:p>
        </w:tc>
      </w:tr>
      <w:tr>
        <w:tblPrEx>
          <w:tblW w:w="9347" w:type="dxa"/>
          <w:jc w:val="center"/>
          <w:tblLayout w:type="fixed"/>
          <w:tblCellMar>
            <w:top w:w="0" w:type="dxa"/>
            <w:left w:w="54" w:type="dxa"/>
            <w:bottom w:w="0" w:type="dxa"/>
            <w:right w:w="54" w:type="dxa"/>
          </w:tblCellMar>
          <w:tblLook w:val="04A0"/>
        </w:tblPrEx>
        <w:trPr>
          <w:cantSplit/>
          <w:trHeight w:val="600"/>
          <w:jc w:val="center"/>
        </w:trPr>
        <w:tc>
          <w:tcPr>
            <w:tcW w:w="763" w:type="dxa"/>
            <w:vAlign w:val="center"/>
          </w:tcPr>
          <w:p>
            <w:pPr>
              <w:keepNext w:val="0"/>
              <w:keepLines w:val="0"/>
              <w:widowControl w:val="0"/>
              <w:suppressLineNumbers w:val="0"/>
              <w:snapToGrid w:val="0"/>
              <w:spacing w:before="0" w:beforeAutospacing="0" w:after="200" w:afterAutospacing="0" w:line="400" w:lineRule="exact"/>
              <w:ind w:left="0" w:right="0"/>
              <w:jc w:val="left"/>
              <w:rPr>
                <w:rStyle w:val="DefaultParagraphFont"/>
                <w:rFonts w:ascii="宋体" w:eastAsia="宋体" w:hAnsi="宋体" w:cs="宋体" w:hint="default"/>
                <w:color w:val="auto"/>
                <w:kern w:val="2"/>
                <w:sz w:val="24"/>
                <w:szCs w:val="24"/>
                <w:lang w:val="en-US" w:eastAsia="zh-CN" w:bidi="ar-SA"/>
              </w:rPr>
            </w:pPr>
          </w:p>
        </w:tc>
        <w:tc>
          <w:tcPr>
            <w:tcW w:w="1740" w:type="dxa"/>
            <w:vAlign w:val="center"/>
          </w:tcPr>
          <w:p>
            <w:pPr>
              <w:keepNext w:val="0"/>
              <w:keepLines w:val="0"/>
              <w:widowControl w:val="0"/>
              <w:suppressLineNumbers w:val="0"/>
              <w:snapToGrid w:val="0"/>
              <w:spacing w:before="0" w:beforeAutospacing="0" w:after="200" w:afterAutospacing="0" w:line="400" w:lineRule="exact"/>
              <w:ind w:left="0" w:right="0"/>
              <w:jc w:val="left"/>
              <w:rPr>
                <w:rStyle w:val="DefaultParagraphFont"/>
                <w:rFonts w:ascii="宋体" w:eastAsia="宋体" w:hAnsi="宋体" w:cs="宋体" w:hint="default"/>
                <w:color w:val="auto"/>
                <w:kern w:val="2"/>
                <w:sz w:val="24"/>
                <w:szCs w:val="24"/>
                <w:lang w:val="en-US" w:eastAsia="zh-CN" w:bidi="ar-SA"/>
              </w:rPr>
            </w:pPr>
          </w:p>
        </w:tc>
        <w:tc>
          <w:tcPr>
            <w:tcW w:w="1502" w:type="dxa"/>
            <w:vAlign w:val="center"/>
          </w:tcPr>
          <w:p>
            <w:pPr>
              <w:keepNext w:val="0"/>
              <w:keepLines w:val="0"/>
              <w:widowControl w:val="0"/>
              <w:suppressLineNumbers w:val="0"/>
              <w:snapToGrid w:val="0"/>
              <w:spacing w:before="0" w:beforeAutospacing="0" w:after="200" w:afterAutospacing="0" w:line="400" w:lineRule="exact"/>
              <w:ind w:left="0" w:right="0"/>
              <w:jc w:val="left"/>
              <w:rPr>
                <w:rStyle w:val="DefaultParagraphFont"/>
                <w:rFonts w:ascii="宋体" w:eastAsia="宋体" w:hAnsi="宋体" w:cs="宋体" w:hint="default"/>
                <w:color w:val="auto"/>
                <w:kern w:val="2"/>
                <w:sz w:val="24"/>
                <w:szCs w:val="24"/>
                <w:lang w:val="en-US" w:eastAsia="zh-CN" w:bidi="ar-SA"/>
              </w:rPr>
            </w:pPr>
          </w:p>
        </w:tc>
        <w:tc>
          <w:tcPr>
            <w:tcW w:w="1336" w:type="dxa"/>
            <w:vAlign w:val="center"/>
          </w:tcPr>
          <w:p>
            <w:pPr>
              <w:keepNext w:val="0"/>
              <w:keepLines w:val="0"/>
              <w:widowControl w:val="0"/>
              <w:suppressLineNumbers w:val="0"/>
              <w:snapToGrid w:val="0"/>
              <w:spacing w:before="0" w:beforeAutospacing="0" w:after="200" w:afterAutospacing="0" w:line="400" w:lineRule="exact"/>
              <w:ind w:left="0" w:right="0"/>
              <w:jc w:val="left"/>
              <w:rPr>
                <w:rStyle w:val="DefaultParagraphFont"/>
                <w:rFonts w:ascii="宋体" w:eastAsia="宋体" w:hAnsi="宋体" w:cs="宋体" w:hint="default"/>
                <w:color w:val="auto"/>
                <w:kern w:val="2"/>
                <w:sz w:val="24"/>
                <w:szCs w:val="24"/>
                <w:lang w:val="en-US" w:eastAsia="zh-CN" w:bidi="ar-SA"/>
              </w:rPr>
            </w:pPr>
          </w:p>
        </w:tc>
        <w:tc>
          <w:tcPr>
            <w:tcW w:w="1335" w:type="dxa"/>
            <w:vAlign w:val="center"/>
          </w:tcPr>
          <w:p>
            <w:pPr>
              <w:keepNext w:val="0"/>
              <w:keepLines w:val="0"/>
              <w:widowControl w:val="0"/>
              <w:suppressLineNumbers w:val="0"/>
              <w:snapToGrid w:val="0"/>
              <w:spacing w:before="0" w:beforeAutospacing="0" w:after="200" w:afterAutospacing="0" w:line="400" w:lineRule="exact"/>
              <w:ind w:left="0" w:right="0"/>
              <w:jc w:val="left"/>
              <w:rPr>
                <w:rStyle w:val="DefaultParagraphFont"/>
                <w:rFonts w:ascii="宋体" w:eastAsia="宋体" w:hAnsi="宋体" w:cs="宋体" w:hint="default"/>
                <w:color w:val="auto"/>
                <w:kern w:val="2"/>
                <w:sz w:val="24"/>
                <w:szCs w:val="24"/>
                <w:lang w:val="en-US" w:eastAsia="zh-CN" w:bidi="ar-SA"/>
              </w:rPr>
            </w:pPr>
          </w:p>
        </w:tc>
        <w:tc>
          <w:tcPr>
            <w:tcW w:w="1335" w:type="dxa"/>
            <w:tcBorders>
              <w:righ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left"/>
              <w:rPr>
                <w:rStyle w:val="DefaultParagraphFont"/>
                <w:rFonts w:ascii="宋体" w:eastAsia="宋体" w:hAnsi="宋体" w:cs="宋体" w:hint="default"/>
                <w:color w:val="auto"/>
                <w:kern w:val="2"/>
                <w:sz w:val="24"/>
                <w:szCs w:val="24"/>
                <w:lang w:val="en-US" w:eastAsia="zh-CN" w:bidi="ar-SA"/>
              </w:rPr>
            </w:pPr>
          </w:p>
        </w:tc>
        <w:tc>
          <w:tcPr>
            <w:tcW w:w="1336" w:type="dxa"/>
            <w:tcBorders>
              <w:lef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left"/>
              <w:rPr>
                <w:rStyle w:val="DefaultParagraphFont"/>
                <w:rFonts w:ascii="宋体" w:eastAsia="宋体" w:hAnsi="宋体" w:cs="宋体" w:hint="default"/>
                <w:color w:val="auto"/>
                <w:kern w:val="2"/>
                <w:sz w:val="24"/>
                <w:szCs w:val="24"/>
                <w:lang w:val="en-US" w:eastAsia="zh-CN" w:bidi="ar-SA"/>
              </w:rPr>
            </w:pPr>
          </w:p>
        </w:tc>
      </w:tr>
      <w:tr>
        <w:tblPrEx>
          <w:tblW w:w="9347" w:type="dxa"/>
          <w:jc w:val="center"/>
          <w:tblLayout w:type="fixed"/>
          <w:tblCellMar>
            <w:top w:w="0" w:type="dxa"/>
            <w:left w:w="54" w:type="dxa"/>
            <w:bottom w:w="0" w:type="dxa"/>
            <w:right w:w="54" w:type="dxa"/>
          </w:tblCellMar>
          <w:tblLook w:val="04A0"/>
        </w:tblPrEx>
        <w:trPr>
          <w:cantSplit/>
          <w:trHeight w:val="600"/>
          <w:jc w:val="center"/>
        </w:trPr>
        <w:tc>
          <w:tcPr>
            <w:tcW w:w="763"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740"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502"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tcBorders>
              <w:righ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tcBorders>
              <w:lef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9347" w:type="dxa"/>
          <w:jc w:val="center"/>
          <w:tblLayout w:type="fixed"/>
          <w:tblCellMar>
            <w:top w:w="0" w:type="dxa"/>
            <w:left w:w="54" w:type="dxa"/>
            <w:bottom w:w="0" w:type="dxa"/>
            <w:right w:w="54" w:type="dxa"/>
          </w:tblCellMar>
          <w:tblLook w:val="04A0"/>
        </w:tblPrEx>
        <w:trPr>
          <w:cantSplit/>
          <w:trHeight w:val="600"/>
          <w:jc w:val="center"/>
        </w:trPr>
        <w:tc>
          <w:tcPr>
            <w:tcW w:w="763"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740"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502"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tcBorders>
              <w:righ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tcBorders>
              <w:lef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9347" w:type="dxa"/>
          <w:jc w:val="center"/>
          <w:tblLayout w:type="fixed"/>
          <w:tblCellMar>
            <w:top w:w="0" w:type="dxa"/>
            <w:left w:w="54" w:type="dxa"/>
            <w:bottom w:w="0" w:type="dxa"/>
            <w:right w:w="54" w:type="dxa"/>
          </w:tblCellMar>
          <w:tblLook w:val="04A0"/>
        </w:tblPrEx>
        <w:trPr>
          <w:cantSplit/>
          <w:trHeight w:val="510"/>
          <w:jc w:val="center"/>
        </w:trPr>
        <w:tc>
          <w:tcPr>
            <w:tcW w:w="763" w:type="dxa"/>
            <w:tcBorders>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740" w:type="dxa"/>
            <w:tcBorders>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502" w:type="dxa"/>
            <w:tcBorders>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tcBorders>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tcBorders>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tcBorders>
              <w:bottom w:val="single" w:sz="4" w:space="0" w:color="auto"/>
              <w:righ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tcBorders>
              <w:left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9347" w:type="dxa"/>
          <w:jc w:val="center"/>
          <w:tblLayout w:type="fixed"/>
          <w:tblCellMar>
            <w:top w:w="0" w:type="dxa"/>
            <w:left w:w="54" w:type="dxa"/>
            <w:bottom w:w="0" w:type="dxa"/>
            <w:right w:w="54" w:type="dxa"/>
          </w:tblCellMar>
          <w:tblLook w:val="04A0"/>
        </w:tblPrEx>
        <w:trPr>
          <w:cantSplit/>
          <w:trHeight w:val="615"/>
          <w:jc w:val="center"/>
        </w:trPr>
        <w:tc>
          <w:tcPr>
            <w:tcW w:w="763"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740"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502"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tcBorders>
              <w:top w:val="single" w:sz="4" w:space="0" w:color="auto"/>
              <w:bottom w:val="single" w:sz="4" w:space="0" w:color="auto"/>
              <w:righ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tcBorders>
              <w:top w:val="single" w:sz="4" w:space="0" w:color="auto"/>
              <w:left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9347" w:type="dxa"/>
          <w:jc w:val="center"/>
          <w:tblLayout w:type="fixed"/>
          <w:tblCellMar>
            <w:top w:w="0" w:type="dxa"/>
            <w:left w:w="54" w:type="dxa"/>
            <w:bottom w:w="0" w:type="dxa"/>
            <w:right w:w="54" w:type="dxa"/>
          </w:tblCellMar>
          <w:tblLook w:val="04A0"/>
        </w:tblPrEx>
        <w:trPr>
          <w:cantSplit/>
          <w:trHeight w:val="615"/>
          <w:jc w:val="center"/>
        </w:trPr>
        <w:tc>
          <w:tcPr>
            <w:tcW w:w="763"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740"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502"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tcBorders>
              <w:top w:val="single" w:sz="4" w:space="0" w:color="auto"/>
              <w:bottom w:val="single" w:sz="4" w:space="0" w:color="auto"/>
              <w:righ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tcBorders>
              <w:top w:val="single" w:sz="4" w:space="0" w:color="auto"/>
              <w:left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9347" w:type="dxa"/>
          <w:jc w:val="center"/>
          <w:tblLayout w:type="fixed"/>
          <w:tblCellMar>
            <w:top w:w="0" w:type="dxa"/>
            <w:left w:w="54" w:type="dxa"/>
            <w:bottom w:w="0" w:type="dxa"/>
            <w:right w:w="54" w:type="dxa"/>
          </w:tblCellMar>
          <w:tblLook w:val="04A0"/>
        </w:tblPrEx>
        <w:trPr>
          <w:cantSplit/>
          <w:trHeight w:val="450"/>
          <w:jc w:val="center"/>
        </w:trPr>
        <w:tc>
          <w:tcPr>
            <w:tcW w:w="763"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740"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502"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tcBorders>
              <w:top w:val="single" w:sz="4" w:space="0" w:color="auto"/>
              <w:bottom w:val="single" w:sz="4" w:space="0" w:color="auto"/>
              <w:righ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tcBorders>
              <w:top w:val="single" w:sz="4" w:space="0" w:color="auto"/>
              <w:left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r>
      <w:tr>
        <w:tblPrEx>
          <w:tblW w:w="9347" w:type="dxa"/>
          <w:jc w:val="center"/>
          <w:tblLayout w:type="fixed"/>
          <w:tblCellMar>
            <w:top w:w="0" w:type="dxa"/>
            <w:left w:w="54" w:type="dxa"/>
            <w:bottom w:w="0" w:type="dxa"/>
            <w:right w:w="54" w:type="dxa"/>
          </w:tblCellMar>
          <w:tblLook w:val="04A0"/>
        </w:tblPrEx>
        <w:trPr>
          <w:cantSplit/>
          <w:trHeight w:val="435"/>
          <w:jc w:val="center"/>
        </w:trPr>
        <w:tc>
          <w:tcPr>
            <w:tcW w:w="763"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740"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502"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tcBorders>
              <w:top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5" w:type="dxa"/>
            <w:tcBorders>
              <w:top w:val="single" w:sz="4" w:space="0" w:color="auto"/>
              <w:bottom w:val="single" w:sz="4" w:space="0" w:color="auto"/>
              <w:right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c>
          <w:tcPr>
            <w:tcW w:w="1336" w:type="dxa"/>
            <w:tcBorders>
              <w:top w:val="single" w:sz="4" w:space="0" w:color="auto"/>
              <w:left w:val="single" w:sz="4" w:space="0" w:color="auto"/>
              <w:bottom w:val="single" w:sz="4" w:space="0" w:color="auto"/>
            </w:tcBorders>
            <w:vAlign w:val="center"/>
          </w:tcPr>
          <w:p>
            <w:pPr>
              <w:keepNext w:val="0"/>
              <w:keepLines w:val="0"/>
              <w:widowControl w:val="0"/>
              <w:suppressLineNumbers w:val="0"/>
              <w:snapToGrid w:val="0"/>
              <w:spacing w:before="0" w:beforeAutospacing="0"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p>
        </w:tc>
      </w:tr>
    </w:tbl>
    <w:p>
      <w:pPr>
        <w:spacing w:line="440" w:lineRule="exact"/>
        <w:rPr>
          <w:rFonts w:ascii="宋体" w:eastAsia="宋体" w:hAnsi="宋体" w:cs="宋体"/>
          <w:b/>
          <w:color w:val="auto"/>
          <w:sz w:val="24"/>
        </w:rPr>
      </w:pPr>
    </w:p>
    <w:p>
      <w:pPr>
        <w:spacing w:line="440" w:lineRule="exact"/>
        <w:rPr>
          <w:rFonts w:ascii="宋体" w:eastAsia="宋体" w:hAnsi="宋体" w:cs="宋体"/>
          <w:b/>
          <w:color w:val="auto"/>
          <w:sz w:val="24"/>
        </w:rPr>
      </w:pPr>
      <w:r>
        <w:rPr>
          <w:rFonts w:ascii="宋体" w:eastAsia="宋体" w:hAnsi="宋体" w:cs="宋体" w:hint="eastAsia"/>
          <w:b/>
          <w:color w:val="auto"/>
          <w:sz w:val="24"/>
        </w:rPr>
        <w:t>要求：</w:t>
      </w:r>
    </w:p>
    <w:p>
      <w:pPr>
        <w:spacing w:line="440" w:lineRule="exact"/>
        <w:rPr>
          <w:rFonts w:ascii="宋体" w:eastAsia="宋体" w:hAnsi="宋体" w:cs="宋体"/>
          <w:color w:val="auto"/>
          <w:sz w:val="24"/>
        </w:rPr>
      </w:pPr>
      <w:r>
        <w:rPr>
          <w:rFonts w:ascii="宋体" w:eastAsia="宋体" w:hAnsi="宋体" w:cs="宋体" w:hint="eastAsia"/>
          <w:b/>
          <w:color w:val="auto"/>
          <w:sz w:val="24"/>
        </w:rPr>
        <w:t>1、</w:t>
      </w:r>
      <w:r>
        <w:rPr>
          <w:rFonts w:ascii="宋体" w:eastAsia="宋体" w:hAnsi="宋体" w:cs="宋体" w:hint="eastAsia"/>
          <w:color w:val="auto"/>
          <w:sz w:val="24"/>
        </w:rPr>
        <w:t>供应商以上业绩需提供有关书面证明材料，并标明序号，否则视为无效业绩。</w:t>
      </w:r>
    </w:p>
    <w:p>
      <w:pPr>
        <w:spacing w:line="440" w:lineRule="exact"/>
        <w:rPr>
          <w:rFonts w:ascii="宋体" w:eastAsia="宋体" w:hAnsi="宋体" w:cs="宋体"/>
          <w:color w:val="auto"/>
          <w:sz w:val="24"/>
        </w:rPr>
      </w:pPr>
      <w:r>
        <w:rPr>
          <w:rFonts w:ascii="宋体" w:eastAsia="宋体" w:hAnsi="宋体" w:cs="宋体" w:hint="eastAsia"/>
          <w:b/>
          <w:color w:val="auto"/>
          <w:sz w:val="24"/>
        </w:rPr>
        <w:t>2、</w:t>
      </w:r>
      <w:r>
        <w:rPr>
          <w:rFonts w:ascii="宋体" w:eastAsia="宋体" w:hAnsi="宋体" w:cs="宋体" w:hint="eastAsia"/>
          <w:color w:val="auto"/>
          <w:sz w:val="24"/>
        </w:rPr>
        <w:t>本表后附：业绩证明材料的复印件。</w:t>
      </w:r>
    </w:p>
    <w:p>
      <w:pPr>
        <w:spacing w:line="440" w:lineRule="exact"/>
        <w:rPr>
          <w:rFonts w:ascii="宋体" w:eastAsia="宋体" w:hAnsi="宋体" w:cs="宋体"/>
          <w:color w:val="auto"/>
          <w:sz w:val="24"/>
        </w:rPr>
      </w:pPr>
      <w:r>
        <w:rPr>
          <w:rFonts w:ascii="宋体" w:eastAsia="宋体" w:hAnsi="宋体" w:cs="宋体" w:hint="eastAsia"/>
          <w:b/>
          <w:color w:val="auto"/>
          <w:sz w:val="24"/>
        </w:rPr>
        <w:t>3、</w:t>
      </w:r>
      <w:r>
        <w:rPr>
          <w:rFonts w:ascii="宋体" w:eastAsia="宋体" w:hAnsi="宋体" w:cs="宋体" w:hint="eastAsia"/>
          <w:color w:val="auto"/>
          <w:sz w:val="24"/>
        </w:rPr>
        <w:t>如近年来，供应商的法人机构发生合法变更或重组或法人名称变更的，应提供相关部门的合法批件或其它相关证明材料来证明其所附业绩的继承性。</w:t>
      </w: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center"/>
        <w:outlineLvl w:val="0"/>
        <w:rPr>
          <w:rFonts w:ascii="宋体" w:eastAsia="宋体" w:hAnsi="宋体" w:cs="宋体"/>
          <w:b/>
          <w:color w:val="auto"/>
          <w:sz w:val="24"/>
        </w:rPr>
      </w:pPr>
    </w:p>
    <w:p>
      <w:pPr>
        <w:widowControl/>
        <w:jc w:val="both"/>
        <w:outlineLvl w:val="0"/>
        <w:rPr>
          <w:rFonts w:ascii="宋体" w:eastAsia="宋体" w:hAnsi="宋体" w:cs="宋体"/>
          <w:b/>
          <w:bCs/>
          <w:color w:val="000000"/>
          <w:kern w:val="0"/>
          <w:sz w:val="24"/>
        </w:rPr>
      </w:pPr>
      <w:bookmarkStart w:id="120" w:name="_Toc22534"/>
      <w:bookmarkEnd w:id="118"/>
      <w:bookmarkEnd w:id="119"/>
    </w:p>
    <w:p>
      <w:pPr>
        <w:widowControl/>
        <w:jc w:val="center"/>
        <w:outlineLvl w:val="0"/>
        <w:rPr>
          <w:rFonts w:ascii="宋体" w:eastAsia="宋体" w:hAnsi="宋体" w:cs="宋体" w:hint="default"/>
          <w:b/>
          <w:color w:val="000000"/>
          <w:sz w:val="24"/>
          <w:lang w:val="en-US" w:eastAsia="zh-CN"/>
        </w:rPr>
      </w:pPr>
      <w:bookmarkEnd w:id="120"/>
      <w:r>
        <w:rPr>
          <w:rFonts w:ascii="宋体" w:eastAsia="宋体" w:hAnsi="宋体" w:cs="宋体" w:hint="eastAsia"/>
          <w:b/>
          <w:bCs/>
          <w:color w:val="000000"/>
          <w:kern w:val="0"/>
          <w:sz w:val="24"/>
        </w:rPr>
        <w:t>十</w:t>
      </w:r>
      <w:r>
        <w:rPr>
          <w:rFonts w:ascii="宋体" w:hAnsi="宋体" w:cs="宋体" w:hint="eastAsia"/>
          <w:b/>
          <w:bCs/>
          <w:color w:val="000000"/>
          <w:kern w:val="0"/>
          <w:sz w:val="24"/>
          <w:lang w:val="en-US" w:eastAsia="zh-CN"/>
        </w:rPr>
        <w:t>一</w:t>
      </w:r>
      <w:r>
        <w:rPr>
          <w:rFonts w:ascii="宋体" w:eastAsia="宋体" w:hAnsi="宋体" w:cs="宋体" w:hint="eastAsia"/>
          <w:b/>
          <w:bCs/>
          <w:color w:val="000000"/>
          <w:kern w:val="0"/>
          <w:sz w:val="24"/>
        </w:rPr>
        <w:t>、</w:t>
      </w:r>
      <w:r>
        <w:rPr>
          <w:rFonts w:ascii="宋体" w:eastAsia="宋体" w:hAnsi="宋体" w:cs="宋体" w:hint="eastAsia"/>
          <w:b/>
          <w:bCs/>
          <w:color w:val="000000"/>
          <w:kern w:val="0"/>
          <w:sz w:val="24"/>
          <w:lang w:val="en-US" w:eastAsia="zh-CN"/>
        </w:rPr>
        <w:t>售后服务承诺及保证措施</w:t>
      </w:r>
    </w:p>
    <w:p>
      <w:pPr>
        <w:widowControl/>
        <w:jc w:val="center"/>
        <w:rPr>
          <w:rFonts w:ascii="宋体" w:eastAsia="宋体" w:hAnsi="宋体" w:cs="宋体"/>
          <w:color w:val="000000"/>
          <w:kern w:val="0"/>
          <w:sz w:val="24"/>
        </w:rPr>
      </w:pPr>
    </w:p>
    <w:p>
      <w:pPr>
        <w:widowControl/>
        <w:jc w:val="center"/>
        <w:outlineLvl w:val="1"/>
        <w:rPr>
          <w:rFonts w:ascii="宋体" w:eastAsia="宋体" w:hAnsi="宋体" w:cs="宋体"/>
          <w:color w:val="000000"/>
          <w:kern w:val="0"/>
          <w:sz w:val="24"/>
        </w:rPr>
      </w:pPr>
      <w:r>
        <w:rPr>
          <w:rFonts w:ascii="宋体" w:eastAsia="宋体" w:hAnsi="宋体" w:cs="宋体" w:hint="eastAsia"/>
          <w:color w:val="000000"/>
          <w:kern w:val="0"/>
          <w:sz w:val="24"/>
        </w:rPr>
        <w:t>（本项无格式，供应商根据自身情况结合本项目情况撰写）</w:t>
      </w:r>
    </w:p>
    <w:p>
      <w:pPr>
        <w:jc w:val="center"/>
        <w:rPr>
          <w:rFonts w:ascii="宋体" w:eastAsia="宋体" w:hAnsi="宋体" w:cs="宋体"/>
          <w:color w:val="000000"/>
          <w:kern w:val="0"/>
          <w:sz w:val="24"/>
        </w:rPr>
      </w:pPr>
    </w:p>
    <w:p>
      <w:pPr>
        <w:widowControl/>
        <w:jc w:val="center"/>
        <w:outlineLvl w:val="0"/>
        <w:rPr>
          <w:rFonts w:ascii="宋体" w:eastAsia="宋体" w:hAnsi="宋体" w:cs="宋体"/>
          <w:b/>
          <w:color w:val="000000"/>
          <w:sz w:val="24"/>
        </w:rPr>
      </w:pPr>
    </w:p>
    <w:p>
      <w:pPr>
        <w:jc w:val="both"/>
        <w:outlineLvl w:val="0"/>
        <w:rPr>
          <w:rFonts w:ascii="宋体" w:eastAsia="宋体" w:hAnsi="宋体" w:cs="宋体"/>
          <w:b/>
          <w:color w:val="000000"/>
          <w:sz w:val="24"/>
        </w:rPr>
      </w:pPr>
      <w:bookmarkStart w:id="121" w:name="_Toc6865"/>
    </w:p>
    <w:p>
      <w:pPr>
        <w:numPr>
          <w:ilvl w:val="0"/>
          <w:numId w:val="0"/>
        </w:numPr>
        <w:jc w:val="center"/>
        <w:outlineLvl w:val="0"/>
        <w:rPr>
          <w:rFonts w:ascii="宋体" w:eastAsia="宋体" w:hAnsi="宋体" w:cs="宋体" w:hint="eastAsia"/>
          <w:b/>
          <w:color w:val="000000"/>
          <w:sz w:val="24"/>
          <w:lang w:val="en-US" w:eastAsia="zh-CN"/>
        </w:rPr>
      </w:pPr>
      <w:r>
        <w:rPr>
          <w:rFonts w:ascii="宋体" w:hAnsi="宋体" w:cs="宋体" w:hint="eastAsia"/>
          <w:b/>
          <w:color w:val="000000"/>
          <w:sz w:val="24"/>
          <w:lang w:val="en-US" w:eastAsia="zh-CN"/>
        </w:rPr>
        <w:t>十二、</w:t>
      </w:r>
      <w:r>
        <w:rPr>
          <w:rFonts w:ascii="宋体" w:eastAsia="宋体" w:hAnsi="宋体" w:cs="宋体" w:hint="eastAsia"/>
          <w:b/>
          <w:color w:val="000000"/>
          <w:sz w:val="24"/>
          <w:lang w:val="en-US" w:eastAsia="zh-CN"/>
        </w:rPr>
        <w:t>人员组成</w:t>
      </w:r>
    </w:p>
    <w:p>
      <w:pPr>
        <w:jc w:val="both"/>
        <w:outlineLvl w:val="0"/>
        <w:rPr>
          <w:rFonts w:ascii="宋体" w:eastAsia="宋体" w:hAnsi="宋体" w:cs="宋体"/>
          <w:b/>
          <w:color w:val="000000"/>
          <w:sz w:val="24"/>
        </w:rPr>
      </w:pPr>
    </w:p>
    <w:p>
      <w:pPr>
        <w:widowControl/>
        <w:jc w:val="center"/>
        <w:outlineLvl w:val="1"/>
        <w:rPr>
          <w:rFonts w:ascii="宋体" w:eastAsia="宋体" w:hAnsi="宋体" w:cs="宋体"/>
          <w:color w:val="000000"/>
          <w:kern w:val="0"/>
          <w:sz w:val="24"/>
        </w:rPr>
      </w:pPr>
      <w:r>
        <w:rPr>
          <w:rFonts w:ascii="宋体" w:eastAsia="宋体" w:hAnsi="宋体" w:cs="宋体" w:hint="eastAsia"/>
          <w:color w:val="000000"/>
          <w:kern w:val="0"/>
          <w:sz w:val="24"/>
        </w:rPr>
        <w:t>（本项无格式，供应商根据自身情况结合本项目情况撰写</w:t>
      </w:r>
      <w:r>
        <w:rPr>
          <w:rFonts w:ascii="宋体" w:eastAsia="宋体" w:hAnsi="宋体" w:cs="宋体" w:hint="eastAsia"/>
          <w:color w:val="000000"/>
          <w:kern w:val="0"/>
          <w:sz w:val="24"/>
          <w:lang w:eastAsia="zh-CN"/>
        </w:rPr>
        <w:t>，</w:t>
      </w:r>
      <w:r>
        <w:rPr>
          <w:rFonts w:ascii="宋体" w:eastAsia="宋体" w:hAnsi="宋体" w:cs="宋体" w:hint="eastAsia"/>
          <w:color w:val="000000"/>
          <w:kern w:val="0"/>
          <w:sz w:val="24"/>
          <w:lang w:val="en-US" w:eastAsia="zh-CN"/>
        </w:rPr>
        <w:t>可自行增加表格</w:t>
      </w:r>
      <w:r>
        <w:rPr>
          <w:rFonts w:ascii="宋体" w:eastAsia="宋体" w:hAnsi="宋体" w:cs="宋体" w:hint="eastAsia"/>
          <w:color w:val="000000"/>
          <w:kern w:val="0"/>
          <w:sz w:val="24"/>
        </w:rPr>
        <w:t>）</w:t>
      </w:r>
    </w:p>
    <w:p>
      <w:pPr>
        <w:jc w:val="center"/>
        <w:outlineLvl w:val="0"/>
        <w:rPr>
          <w:rFonts w:ascii="宋体" w:eastAsia="宋体" w:hAnsi="宋体" w:cs="宋体" w:hint="eastAsia"/>
          <w:b/>
          <w:color w:val="000000"/>
          <w:sz w:val="24"/>
        </w:rPr>
      </w:pPr>
    </w:p>
    <w:p>
      <w:pPr>
        <w:jc w:val="center"/>
        <w:outlineLvl w:val="0"/>
        <w:rPr>
          <w:rFonts w:ascii="宋体" w:eastAsia="宋体" w:hAnsi="宋体" w:cs="宋体" w:hint="eastAsia"/>
          <w:b/>
          <w:color w:val="000000"/>
          <w:sz w:val="24"/>
        </w:rPr>
      </w:pPr>
    </w:p>
    <w:p>
      <w:pPr>
        <w:jc w:val="center"/>
        <w:outlineLvl w:val="0"/>
        <w:rPr>
          <w:rFonts w:ascii="宋体" w:eastAsia="宋体" w:hAnsi="宋体" w:cs="宋体" w:hint="eastAsia"/>
          <w:b/>
          <w:color w:val="000000"/>
          <w:sz w:val="24"/>
        </w:rPr>
      </w:pPr>
    </w:p>
    <w:p>
      <w:pPr>
        <w:jc w:val="center"/>
        <w:outlineLvl w:val="0"/>
        <w:rPr>
          <w:rFonts w:ascii="宋体" w:eastAsia="宋体" w:hAnsi="宋体" w:cs="宋体"/>
          <w:b/>
          <w:color w:val="000000"/>
          <w:sz w:val="24"/>
        </w:rPr>
      </w:pPr>
      <w:r>
        <w:rPr>
          <w:rFonts w:ascii="宋体" w:eastAsia="宋体" w:hAnsi="宋体" w:cs="宋体" w:hint="eastAsia"/>
          <w:b/>
          <w:color w:val="000000"/>
          <w:sz w:val="24"/>
        </w:rPr>
        <w:t>十</w:t>
      </w:r>
      <w:r>
        <w:rPr>
          <w:rFonts w:ascii="宋体" w:hAnsi="宋体" w:cs="宋体" w:hint="eastAsia"/>
          <w:b/>
          <w:color w:val="000000"/>
          <w:sz w:val="24"/>
          <w:lang w:val="en-US" w:eastAsia="zh-CN"/>
        </w:rPr>
        <w:t>三</w:t>
      </w:r>
      <w:r>
        <w:rPr>
          <w:rFonts w:ascii="宋体" w:eastAsia="宋体" w:hAnsi="宋体" w:cs="宋体" w:hint="eastAsia"/>
          <w:b/>
          <w:color w:val="000000"/>
          <w:sz w:val="24"/>
        </w:rPr>
        <w:t>、磋商保证金凭据复印件/扫描件</w:t>
      </w:r>
      <w:bookmarkEnd w:id="121"/>
    </w:p>
    <w:p>
      <w:pPr>
        <w:widowControl/>
        <w:jc w:val="center"/>
        <w:rPr>
          <w:rFonts w:ascii="宋体" w:eastAsia="宋体" w:hAnsi="宋体" w:cs="宋体"/>
          <w:color w:val="000000"/>
          <w:kern w:val="0"/>
          <w:sz w:val="24"/>
        </w:rPr>
      </w:pPr>
    </w:p>
    <w:p>
      <w:pPr>
        <w:snapToGrid w:val="0"/>
        <w:spacing w:line="360" w:lineRule="auto"/>
        <w:ind w:firstLine="480" w:firstLineChars="200"/>
        <w:jc w:val="center"/>
        <w:rPr>
          <w:rFonts w:ascii="宋体" w:eastAsia="宋体" w:hAnsi="宋体" w:cs="宋体"/>
          <w:color w:val="000000"/>
          <w:kern w:val="0"/>
          <w:sz w:val="24"/>
        </w:rPr>
      </w:pPr>
      <w:r>
        <w:rPr>
          <w:rFonts w:ascii="宋体" w:eastAsia="宋体" w:hAnsi="宋体" w:cs="宋体" w:hint="eastAsia"/>
          <w:color w:val="000000"/>
          <w:kern w:val="0"/>
          <w:sz w:val="24"/>
        </w:rPr>
        <w:t>提供交易系统网站打印的保证金缴纳回执（复印件或扫描件）</w:t>
      </w:r>
    </w:p>
    <w:p>
      <w:pPr>
        <w:widowControl/>
        <w:rPr>
          <w:rFonts w:ascii="宋体" w:eastAsia="宋体" w:hAnsi="宋体" w:cs="宋体"/>
          <w:b/>
          <w:bCs/>
          <w:color w:val="000000"/>
          <w:kern w:val="0"/>
          <w:sz w:val="24"/>
        </w:rPr>
      </w:pPr>
    </w:p>
    <w:p>
      <w:pPr>
        <w:rPr>
          <w:rFonts w:ascii="宋体" w:eastAsia="宋体" w:hAnsi="宋体" w:cs="宋体"/>
          <w:b/>
          <w:color w:val="000000"/>
          <w:sz w:val="24"/>
        </w:rPr>
      </w:pPr>
    </w:p>
    <w:p>
      <w:pPr>
        <w:jc w:val="center"/>
        <w:outlineLvl w:val="0"/>
        <w:rPr>
          <w:rFonts w:ascii="宋体" w:eastAsia="宋体" w:hAnsi="宋体" w:cs="宋体"/>
          <w:b/>
          <w:color w:val="000000"/>
          <w:sz w:val="24"/>
        </w:rPr>
      </w:pPr>
      <w:bookmarkStart w:id="122" w:name="_Toc24057"/>
    </w:p>
    <w:p>
      <w:pPr>
        <w:jc w:val="center"/>
        <w:outlineLvl w:val="0"/>
        <w:rPr>
          <w:rFonts w:ascii="宋体" w:eastAsia="宋体" w:hAnsi="宋体" w:cs="宋体"/>
          <w:b/>
          <w:color w:val="000000"/>
          <w:sz w:val="24"/>
        </w:rPr>
      </w:pPr>
    </w:p>
    <w:p>
      <w:pPr>
        <w:jc w:val="center"/>
        <w:outlineLvl w:val="0"/>
        <w:rPr>
          <w:rFonts w:ascii="宋体" w:eastAsia="宋体" w:hAnsi="宋体" w:cs="宋体"/>
          <w:b/>
          <w:color w:val="000000"/>
          <w:sz w:val="24"/>
        </w:rPr>
      </w:pPr>
      <w:r>
        <w:rPr>
          <w:rFonts w:ascii="宋体" w:eastAsia="宋体" w:hAnsi="宋体" w:cs="宋体" w:hint="eastAsia"/>
          <w:b/>
          <w:color w:val="000000"/>
          <w:sz w:val="24"/>
        </w:rPr>
        <w:t>十</w:t>
      </w:r>
      <w:r>
        <w:rPr>
          <w:rFonts w:ascii="宋体" w:hAnsi="宋体" w:cs="宋体" w:hint="eastAsia"/>
          <w:b/>
          <w:color w:val="000000"/>
          <w:sz w:val="24"/>
          <w:lang w:val="en-US" w:eastAsia="zh-CN"/>
        </w:rPr>
        <w:t>四</w:t>
      </w:r>
      <w:r>
        <w:rPr>
          <w:rFonts w:ascii="宋体" w:eastAsia="宋体" w:hAnsi="宋体" w:cs="宋体" w:hint="eastAsia"/>
          <w:b/>
          <w:color w:val="000000"/>
          <w:sz w:val="24"/>
        </w:rPr>
        <w:t>、供应商认为需提供的其他材料</w:t>
      </w:r>
      <w:bookmarkEnd w:id="122"/>
    </w:p>
    <w:p>
      <w:pPr>
        <w:rPr>
          <w:rFonts w:ascii="宋体" w:eastAsia="宋体" w:hAnsi="宋体" w:cs="宋体"/>
          <w:b/>
          <w:color w:val="000000"/>
          <w:sz w:val="24"/>
        </w:rPr>
      </w:pPr>
    </w:p>
    <w:p>
      <w:pPr>
        <w:rPr>
          <w:rFonts w:ascii="宋体" w:eastAsia="宋体" w:hAnsi="宋体" w:cs="宋体"/>
          <w:b/>
          <w:color w:val="000000"/>
          <w:sz w:val="24"/>
        </w:rPr>
      </w:pPr>
    </w:p>
    <w:p>
      <w:pPr>
        <w:rPr>
          <w:rFonts w:ascii="宋体" w:eastAsia="宋体" w:hAnsi="宋体" w:cs="宋体"/>
          <w:b/>
          <w:color w:val="000000"/>
          <w:sz w:val="24"/>
        </w:rPr>
      </w:pPr>
      <w:r>
        <w:rPr>
          <w:rFonts w:ascii="宋体" w:eastAsia="宋体" w:hAnsi="宋体" w:cs="宋体" w:hint="eastAsia"/>
          <w:b/>
          <w:color w:val="000000"/>
          <w:sz w:val="24"/>
        </w:rPr>
        <w:br w:type="page"/>
      </w:r>
    </w:p>
    <w:p>
      <w:pPr>
        <w:spacing w:line="480" w:lineRule="exact"/>
        <w:jc w:val="center"/>
        <w:outlineLvl w:val="0"/>
        <w:rPr>
          <w:rFonts w:ascii="宋体" w:eastAsia="宋体" w:hAnsi="宋体" w:cs="宋体" w:hint="eastAsia"/>
          <w:b/>
          <w:bCs/>
          <w:color w:val="auto"/>
          <w:kern w:val="0"/>
          <w:sz w:val="24"/>
          <w:lang w:eastAsia="zh-CN"/>
        </w:rPr>
      </w:pPr>
      <w:bookmarkStart w:id="123" w:name="_Toc15318"/>
      <w:r>
        <w:rPr>
          <w:rFonts w:ascii="宋体" w:eastAsia="宋体" w:hAnsi="宋体" w:cs="宋体" w:hint="eastAsia"/>
          <w:b/>
          <w:bCs/>
          <w:color w:val="auto"/>
          <w:kern w:val="0"/>
          <w:sz w:val="24"/>
        </w:rPr>
        <w:t>第二次报价单</w:t>
      </w:r>
      <w:r>
        <w:rPr>
          <w:rFonts w:ascii="宋体" w:eastAsia="宋体" w:hAnsi="宋体" w:cs="宋体" w:hint="eastAsia"/>
          <w:b/>
          <w:bCs/>
          <w:color w:val="auto"/>
          <w:kern w:val="0"/>
          <w:sz w:val="24"/>
          <w:lang w:eastAsia="zh-CN"/>
        </w:rPr>
        <w:t>（</w:t>
      </w:r>
      <w:r>
        <w:rPr>
          <w:rFonts w:ascii="宋体" w:eastAsia="宋体" w:hAnsi="宋体" w:cs="宋体" w:hint="eastAsia"/>
          <w:b/>
          <w:bCs/>
          <w:color w:val="auto"/>
          <w:kern w:val="0"/>
          <w:sz w:val="24"/>
          <w:lang w:val="en-US" w:eastAsia="zh-CN"/>
        </w:rPr>
        <w:t>最终总报价</w:t>
      </w:r>
      <w:r>
        <w:rPr>
          <w:rFonts w:ascii="宋体" w:eastAsia="宋体" w:hAnsi="宋体" w:cs="宋体" w:hint="eastAsia"/>
          <w:b/>
          <w:bCs/>
          <w:color w:val="auto"/>
          <w:kern w:val="0"/>
          <w:sz w:val="24"/>
          <w:lang w:eastAsia="zh-CN"/>
        </w:rPr>
        <w:t>）</w:t>
      </w:r>
    </w:p>
    <w:p>
      <w:pPr>
        <w:spacing w:line="480" w:lineRule="exact"/>
        <w:jc w:val="center"/>
        <w:outlineLvl w:val="0"/>
        <w:rPr>
          <w:rFonts w:ascii="宋体" w:eastAsia="宋体" w:hAnsi="宋体" w:cs="宋体"/>
          <w:b/>
          <w:bCs/>
          <w:color w:val="auto"/>
          <w:kern w:val="0"/>
          <w:sz w:val="24"/>
        </w:rPr>
      </w:pPr>
      <w:r>
        <w:rPr>
          <w:rFonts w:ascii="宋体" w:eastAsia="宋体" w:hAnsi="宋体" w:cs="宋体" w:hint="eastAsia"/>
          <w:b/>
          <w:bCs/>
          <w:color w:val="auto"/>
          <w:kern w:val="0"/>
          <w:sz w:val="24"/>
        </w:rPr>
        <w:t>（不需装订在响应文件内，随身携带，磋商后需现场填报）</w:t>
      </w:r>
      <w:bookmarkEnd w:id="123"/>
    </w:p>
    <w:p>
      <w:pPr>
        <w:spacing w:line="480" w:lineRule="exact"/>
        <w:jc w:val="center"/>
        <w:rPr>
          <w:rFonts w:ascii="宋体" w:eastAsia="宋体" w:hAnsi="宋体" w:cs="宋体"/>
          <w:b/>
          <w:bCs/>
          <w:color w:val="auto"/>
          <w:kern w:val="0"/>
          <w:sz w:val="24"/>
        </w:rPr>
      </w:pPr>
    </w:p>
    <w:tbl>
      <w:tblPr>
        <w:tblStyle w:val="TableNormal"/>
        <w:tblW w:w="8880" w:type="dxa"/>
        <w:jc w:val="center"/>
        <w:tblLayout w:type="fixed"/>
        <w:tblCellMar>
          <w:top w:w="0" w:type="dxa"/>
          <w:left w:w="108" w:type="dxa"/>
          <w:bottom w:w="0" w:type="dxa"/>
          <w:right w:w="108" w:type="dxa"/>
        </w:tblCellMar>
        <w:tblLook w:val="04A0"/>
      </w:tblPr>
      <w:tblGrid>
        <w:gridCol w:w="3701"/>
        <w:gridCol w:w="5179"/>
      </w:tblGrid>
      <w:tr>
        <w:tblPrEx>
          <w:tblW w:w="8880" w:type="dxa"/>
          <w:jc w:val="center"/>
          <w:tblLayout w:type="fixed"/>
          <w:tblCellMar>
            <w:top w:w="0" w:type="dxa"/>
            <w:left w:w="108" w:type="dxa"/>
            <w:bottom w:w="0" w:type="dxa"/>
            <w:right w:w="108" w:type="dxa"/>
          </w:tblCellMar>
          <w:tblLook w:val="04A0"/>
        </w:tblPrEx>
        <w:trPr>
          <w:trHeight w:val="1080"/>
          <w:jc w:val="center"/>
        </w:trPr>
        <w:tc>
          <w:tcPr>
            <w:tcW w:w="3701"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adjustRightInd w:val="0"/>
              <w:snapToGrid w:val="0"/>
              <w:spacing w:before="100" w:beforeAutospacing="1"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0"/>
                <w:sz w:val="24"/>
                <w:szCs w:val="24"/>
                <w:lang w:val="en-US" w:eastAsia="zh-CN" w:bidi="ar-SA"/>
              </w:rPr>
              <w:t>项目名称</w:t>
            </w:r>
          </w:p>
        </w:tc>
        <w:tc>
          <w:tcPr>
            <w:tcW w:w="517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adjustRightInd w:val="0"/>
              <w:snapToGrid w:val="0"/>
              <w:spacing w:before="100" w:beforeAutospacing="1" w:after="200" w:afterAutospacing="0" w:line="400" w:lineRule="exact"/>
              <w:ind w:left="0" w:right="0"/>
              <w:jc w:val="center"/>
              <w:rPr>
                <w:rStyle w:val="DefaultParagraphFont"/>
                <w:rFonts w:ascii="宋体" w:eastAsia="宋体" w:hAnsi="宋体" w:cs="宋体" w:hint="eastAsia"/>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西双版纳傣族自治州消防救援支队山难专业队装备采购项目（二次）</w:t>
            </w:r>
          </w:p>
        </w:tc>
      </w:tr>
      <w:tr>
        <w:tblPrEx>
          <w:tblW w:w="8880" w:type="dxa"/>
          <w:jc w:val="center"/>
          <w:tblLayout w:type="fixed"/>
          <w:tblCellMar>
            <w:top w:w="0" w:type="dxa"/>
            <w:left w:w="108" w:type="dxa"/>
            <w:bottom w:w="0" w:type="dxa"/>
            <w:right w:w="108" w:type="dxa"/>
          </w:tblCellMar>
          <w:tblLook w:val="04A0"/>
        </w:tblPrEx>
        <w:trPr>
          <w:trHeight w:val="1036"/>
          <w:jc w:val="center"/>
        </w:trPr>
        <w:tc>
          <w:tcPr>
            <w:tcW w:w="3701"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adjustRightInd w:val="0"/>
              <w:snapToGrid w:val="0"/>
              <w:spacing w:before="100" w:beforeAutospacing="1"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0"/>
                <w:sz w:val="24"/>
                <w:szCs w:val="24"/>
                <w:lang w:val="en-US" w:eastAsia="zh-CN" w:bidi="ar-SA"/>
              </w:rPr>
              <w:t>供应商（加盖公章）</w:t>
            </w:r>
          </w:p>
        </w:tc>
        <w:tc>
          <w:tcPr>
            <w:tcW w:w="517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adjustRightInd w:val="0"/>
              <w:snapToGrid w:val="0"/>
              <w:spacing w:before="100" w:beforeAutospacing="1" w:after="200" w:afterAutospacing="0" w:line="400" w:lineRule="exact"/>
              <w:ind w:left="0" w:right="0"/>
              <w:jc w:val="both"/>
              <w:rPr>
                <w:rStyle w:val="DefaultParagraphFont"/>
                <w:rFonts w:ascii="宋体" w:eastAsia="宋体" w:hAnsi="宋体" w:cs="宋体" w:hint="default"/>
                <w:color w:val="auto"/>
                <w:kern w:val="2"/>
                <w:sz w:val="24"/>
                <w:szCs w:val="24"/>
                <w:lang w:val="en-US" w:eastAsia="zh-CN" w:bidi="ar-SA"/>
              </w:rPr>
            </w:pPr>
          </w:p>
        </w:tc>
      </w:tr>
      <w:tr>
        <w:tblPrEx>
          <w:tblW w:w="8880" w:type="dxa"/>
          <w:jc w:val="center"/>
          <w:tblLayout w:type="fixed"/>
          <w:tblCellMar>
            <w:top w:w="0" w:type="dxa"/>
            <w:left w:w="108" w:type="dxa"/>
            <w:bottom w:w="0" w:type="dxa"/>
            <w:right w:w="108" w:type="dxa"/>
          </w:tblCellMar>
          <w:tblLook w:val="04A0"/>
        </w:tblPrEx>
        <w:trPr>
          <w:trHeight w:val="1034"/>
          <w:jc w:val="center"/>
        </w:trPr>
        <w:tc>
          <w:tcPr>
            <w:tcW w:w="3701"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adjustRightInd w:val="0"/>
              <w:snapToGrid w:val="0"/>
              <w:spacing w:before="100" w:beforeAutospacing="1"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0"/>
                <w:sz w:val="24"/>
                <w:szCs w:val="24"/>
                <w:lang w:val="en-US" w:eastAsia="zh-CN" w:bidi="ar-SA"/>
              </w:rPr>
              <w:t>项目编号</w:t>
            </w:r>
          </w:p>
        </w:tc>
        <w:tc>
          <w:tcPr>
            <w:tcW w:w="517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adjustRightInd w:val="0"/>
              <w:snapToGrid w:val="0"/>
              <w:spacing w:before="100" w:beforeAutospacing="1"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 xml:space="preserve"> </w:t>
            </w:r>
          </w:p>
        </w:tc>
      </w:tr>
      <w:tr>
        <w:tblPrEx>
          <w:tblW w:w="8880" w:type="dxa"/>
          <w:jc w:val="center"/>
          <w:tblLayout w:type="fixed"/>
          <w:tblCellMar>
            <w:top w:w="0" w:type="dxa"/>
            <w:left w:w="108" w:type="dxa"/>
            <w:bottom w:w="0" w:type="dxa"/>
            <w:right w:w="108" w:type="dxa"/>
          </w:tblCellMar>
          <w:tblLook w:val="04A0"/>
        </w:tblPrEx>
        <w:trPr>
          <w:trHeight w:val="894"/>
          <w:jc w:val="center"/>
        </w:trPr>
        <w:tc>
          <w:tcPr>
            <w:tcW w:w="3701"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adjustRightInd w:val="0"/>
              <w:snapToGrid w:val="0"/>
              <w:spacing w:before="100" w:beforeAutospacing="1"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0"/>
                <w:sz w:val="24"/>
                <w:szCs w:val="24"/>
                <w:lang w:val="en-US" w:eastAsia="zh-CN" w:bidi="ar-SA"/>
              </w:rPr>
              <w:t>日期</w:t>
            </w:r>
          </w:p>
        </w:tc>
        <w:tc>
          <w:tcPr>
            <w:tcW w:w="517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adjustRightInd w:val="0"/>
              <w:snapToGrid w:val="0"/>
              <w:spacing w:before="100" w:beforeAutospacing="1"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 xml:space="preserve">  年  月  日</w:t>
            </w:r>
          </w:p>
        </w:tc>
      </w:tr>
      <w:tr>
        <w:tblPrEx>
          <w:tblW w:w="8880" w:type="dxa"/>
          <w:jc w:val="center"/>
          <w:tblLayout w:type="fixed"/>
          <w:tblCellMar>
            <w:top w:w="0" w:type="dxa"/>
            <w:left w:w="108" w:type="dxa"/>
            <w:bottom w:w="0" w:type="dxa"/>
            <w:right w:w="108" w:type="dxa"/>
          </w:tblCellMar>
          <w:tblLook w:val="04A0"/>
        </w:tblPrEx>
        <w:trPr>
          <w:cantSplit/>
          <w:trHeight w:val="962"/>
          <w:jc w:val="center"/>
        </w:trPr>
        <w:tc>
          <w:tcPr>
            <w:tcW w:w="3701" w:type="dxa"/>
            <w:vMerge w:val="restart"/>
            <w:tcBorders>
              <w:top w:val="nil"/>
              <w:left w:val="single" w:sz="4" w:space="0" w:color="auto"/>
              <w:right w:val="single" w:sz="4" w:space="0" w:color="auto"/>
            </w:tcBorders>
            <w:vAlign w:val="center"/>
          </w:tcPr>
          <w:p>
            <w:pPr>
              <w:keepNext w:val="0"/>
              <w:keepLines w:val="0"/>
              <w:widowControl w:val="0"/>
              <w:suppressLineNumbers w:val="0"/>
              <w:adjustRightInd w:val="0"/>
              <w:snapToGrid w:val="0"/>
              <w:spacing w:before="100" w:beforeAutospacing="1"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0"/>
                <w:sz w:val="24"/>
                <w:szCs w:val="24"/>
                <w:lang w:val="en-US" w:eastAsia="zh-CN" w:bidi="ar-SA"/>
              </w:rPr>
              <w:t>最终报价</w:t>
            </w:r>
          </w:p>
        </w:tc>
        <w:tc>
          <w:tcPr>
            <w:tcW w:w="517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adjustRightInd w:val="0"/>
              <w:snapToGrid w:val="0"/>
              <w:spacing w:before="100" w:beforeAutospacing="1" w:after="200" w:afterAutospacing="0" w:line="400" w:lineRule="exact"/>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小写：</w:t>
            </w:r>
          </w:p>
        </w:tc>
      </w:tr>
      <w:tr>
        <w:tblPrEx>
          <w:tblW w:w="8880" w:type="dxa"/>
          <w:jc w:val="center"/>
          <w:tblLayout w:type="fixed"/>
          <w:tblCellMar>
            <w:top w:w="0" w:type="dxa"/>
            <w:left w:w="108" w:type="dxa"/>
            <w:bottom w:w="0" w:type="dxa"/>
            <w:right w:w="108" w:type="dxa"/>
          </w:tblCellMar>
          <w:tblLook w:val="04A0"/>
        </w:tblPrEx>
        <w:trPr>
          <w:cantSplit/>
          <w:trHeight w:val="938"/>
          <w:jc w:val="center"/>
        </w:trPr>
        <w:tc>
          <w:tcPr>
            <w:tcW w:w="3701" w:type="dxa"/>
            <w:vMerge/>
            <w:tcBorders>
              <w:left w:val="single" w:sz="4" w:space="0" w:color="auto"/>
              <w:right w:val="single" w:sz="4" w:space="0" w:color="auto"/>
            </w:tcBorders>
            <w:vAlign w:val="center"/>
          </w:tcPr>
          <w:p>
            <w:pPr>
              <w:keepNext w:val="0"/>
              <w:keepLines w:val="0"/>
              <w:widowControl w:val="0"/>
              <w:suppressLineNumbers w:val="0"/>
              <w:adjustRightInd w:val="0"/>
              <w:snapToGrid w:val="0"/>
              <w:spacing w:before="100" w:beforeAutospacing="1" w:after="200" w:afterAutospacing="0" w:line="400" w:lineRule="exact"/>
              <w:ind w:left="0" w:right="0"/>
              <w:jc w:val="center"/>
              <w:rPr>
                <w:rStyle w:val="DefaultParagraphFont"/>
                <w:rFonts w:ascii="宋体" w:eastAsia="宋体" w:hAnsi="宋体" w:cs="宋体" w:hint="default"/>
                <w:color w:val="auto"/>
                <w:kern w:val="0"/>
                <w:sz w:val="24"/>
                <w:szCs w:val="24"/>
                <w:lang w:val="en-US" w:eastAsia="zh-CN" w:bidi="ar-SA"/>
              </w:rPr>
            </w:pPr>
          </w:p>
        </w:tc>
        <w:tc>
          <w:tcPr>
            <w:tcW w:w="517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adjustRightInd w:val="0"/>
              <w:snapToGrid w:val="0"/>
              <w:spacing w:before="100" w:beforeAutospacing="1" w:after="200" w:afterAutospacing="0" w:line="400" w:lineRule="exact"/>
              <w:ind w:left="0" w:right="0"/>
              <w:jc w:val="both"/>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大写：</w:t>
            </w:r>
          </w:p>
        </w:tc>
      </w:tr>
      <w:tr>
        <w:tblPrEx>
          <w:tblW w:w="8880" w:type="dxa"/>
          <w:jc w:val="center"/>
          <w:tblLayout w:type="fixed"/>
          <w:tblCellMar>
            <w:top w:w="0" w:type="dxa"/>
            <w:left w:w="108" w:type="dxa"/>
            <w:bottom w:w="0" w:type="dxa"/>
            <w:right w:w="108" w:type="dxa"/>
          </w:tblCellMar>
          <w:tblLook w:val="04A0"/>
        </w:tblPrEx>
        <w:trPr>
          <w:trHeight w:val="2471"/>
          <w:jc w:val="center"/>
        </w:trPr>
        <w:tc>
          <w:tcPr>
            <w:tcW w:w="3701"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adjustRightInd w:val="0"/>
              <w:snapToGrid w:val="0"/>
              <w:spacing w:before="100" w:beforeAutospacing="1" w:after="200" w:afterAutospacing="0" w:line="400" w:lineRule="exact"/>
              <w:ind w:left="0" w:right="0"/>
              <w:jc w:val="center"/>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color w:val="auto"/>
                <w:kern w:val="2"/>
                <w:sz w:val="24"/>
                <w:szCs w:val="24"/>
                <w:lang w:val="en-US" w:eastAsia="zh-CN" w:bidi="ar-SA"/>
              </w:rPr>
              <w:t>相关补充说明</w:t>
            </w:r>
          </w:p>
        </w:tc>
        <w:tc>
          <w:tcPr>
            <w:tcW w:w="517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adjustRightInd w:val="0"/>
              <w:snapToGrid w:val="0"/>
              <w:spacing w:before="100" w:beforeAutospacing="1" w:after="200" w:afterAutospacing="0" w:line="400" w:lineRule="exact"/>
              <w:ind w:left="0" w:right="0"/>
              <w:jc w:val="both"/>
              <w:rPr>
                <w:rStyle w:val="DefaultParagraphFont"/>
                <w:rFonts w:ascii="宋体" w:eastAsia="宋体" w:hAnsi="宋体" w:cs="宋体" w:hint="default"/>
                <w:color w:val="auto"/>
                <w:kern w:val="2"/>
                <w:sz w:val="24"/>
                <w:szCs w:val="24"/>
                <w:lang w:val="en-US" w:eastAsia="zh-CN" w:bidi="ar-SA"/>
              </w:rPr>
            </w:pPr>
          </w:p>
        </w:tc>
      </w:tr>
      <w:tr>
        <w:tblPrEx>
          <w:tblW w:w="8880" w:type="dxa"/>
          <w:jc w:val="center"/>
          <w:tblLayout w:type="fixed"/>
          <w:tblCellMar>
            <w:top w:w="0" w:type="dxa"/>
            <w:left w:w="108" w:type="dxa"/>
            <w:bottom w:w="0" w:type="dxa"/>
            <w:right w:w="108" w:type="dxa"/>
          </w:tblCellMar>
          <w:tblLook w:val="04A0"/>
        </w:tblPrEx>
        <w:trPr>
          <w:trHeight w:val="922"/>
          <w:jc w:val="center"/>
        </w:trPr>
        <w:tc>
          <w:tcPr>
            <w:tcW w:w="3701" w:type="dxa"/>
            <w:tcBorders>
              <w:top w:val="single" w:sz="4" w:space="0" w:color="auto"/>
              <w:left w:val="single" w:sz="4" w:space="0" w:color="auto"/>
              <w:bottom w:val="single" w:sz="4" w:space="0" w:color="auto"/>
              <w:right w:val="single" w:sz="4" w:space="0" w:color="auto"/>
            </w:tcBorders>
            <w:vAlign w:val="center"/>
          </w:tcPr>
          <w:p>
            <w:pPr>
              <w:keepNext w:val="0"/>
              <w:keepLines w:val="0"/>
              <w:widowControl w:val="0"/>
              <w:suppressLineNumbers w:val="0"/>
              <w:adjustRightInd w:val="0"/>
              <w:snapToGrid w:val="0"/>
              <w:spacing w:before="100" w:beforeAutospacing="1" w:after="200" w:afterAutospacing="0" w:line="400" w:lineRule="exact"/>
              <w:ind w:left="0" w:right="0"/>
              <w:jc w:val="center"/>
              <w:rPr>
                <w:rStyle w:val="DefaultParagraphFont"/>
                <w:rFonts w:ascii="宋体" w:eastAsia="宋体" w:hAnsi="宋体" w:cs="宋体" w:hint="default"/>
                <w:color w:val="auto"/>
                <w:kern w:val="0"/>
                <w:sz w:val="24"/>
                <w:szCs w:val="24"/>
                <w:lang w:val="en-US" w:eastAsia="zh-CN" w:bidi="ar-SA"/>
              </w:rPr>
            </w:pPr>
            <w:r>
              <w:rPr>
                <w:rFonts w:ascii="宋体" w:eastAsia="宋体" w:hAnsi="宋体" w:cs="宋体" w:hint="eastAsia"/>
                <w:color w:val="auto"/>
                <w:kern w:val="0"/>
                <w:sz w:val="24"/>
                <w:szCs w:val="24"/>
                <w:lang w:val="en-US" w:eastAsia="zh-CN" w:bidi="ar-SA"/>
              </w:rPr>
              <w:t>法定代表人或委托代理人签字</w:t>
            </w:r>
          </w:p>
        </w:tc>
        <w:tc>
          <w:tcPr>
            <w:tcW w:w="5179" w:type="dxa"/>
            <w:tcBorders>
              <w:top w:val="single" w:sz="4" w:space="0" w:color="auto"/>
              <w:left w:val="nil"/>
              <w:bottom w:val="single" w:sz="4" w:space="0" w:color="auto"/>
              <w:right w:val="single" w:sz="4" w:space="0" w:color="auto"/>
            </w:tcBorders>
            <w:vAlign w:val="center"/>
          </w:tcPr>
          <w:p>
            <w:pPr>
              <w:keepNext w:val="0"/>
              <w:keepLines w:val="0"/>
              <w:widowControl w:val="0"/>
              <w:suppressLineNumbers w:val="0"/>
              <w:adjustRightInd w:val="0"/>
              <w:snapToGrid w:val="0"/>
              <w:spacing w:before="100" w:beforeAutospacing="1" w:after="200" w:afterAutospacing="0" w:line="400" w:lineRule="exact"/>
              <w:ind w:left="0" w:right="0"/>
              <w:jc w:val="both"/>
              <w:rPr>
                <w:rStyle w:val="DefaultParagraphFont"/>
                <w:rFonts w:ascii="宋体" w:eastAsia="宋体" w:hAnsi="宋体" w:cs="宋体" w:hint="default"/>
                <w:color w:val="auto"/>
                <w:kern w:val="2"/>
                <w:sz w:val="24"/>
                <w:szCs w:val="24"/>
                <w:lang w:val="en-US" w:eastAsia="zh-CN" w:bidi="ar-SA"/>
              </w:rPr>
            </w:pPr>
          </w:p>
        </w:tc>
      </w:tr>
      <w:tr>
        <w:tblPrEx>
          <w:tblW w:w="8880" w:type="dxa"/>
          <w:jc w:val="center"/>
          <w:tblLayout w:type="fixed"/>
          <w:tblCellMar>
            <w:top w:w="0" w:type="dxa"/>
            <w:left w:w="108" w:type="dxa"/>
            <w:bottom w:w="0" w:type="dxa"/>
            <w:right w:w="108" w:type="dxa"/>
          </w:tblCellMar>
          <w:tblLook w:val="04A0"/>
        </w:tblPrEx>
        <w:trPr>
          <w:trHeight w:val="922"/>
          <w:jc w:val="center"/>
        </w:trPr>
        <w:tc>
          <w:tcPr>
            <w:tcW w:w="8880" w:type="dxa"/>
            <w:gridSpan w:val="2"/>
            <w:tcBorders>
              <w:top w:val="single" w:sz="4" w:space="0" w:color="auto"/>
              <w:left w:val="single" w:sz="4" w:space="0" w:color="auto"/>
              <w:bottom w:val="single" w:sz="4" w:space="0" w:color="auto"/>
              <w:right w:val="single" w:sz="4" w:space="0" w:color="auto"/>
            </w:tcBorders>
            <w:vAlign w:val="center"/>
          </w:tcPr>
          <w:p>
            <w:pPr>
              <w:keepNext/>
              <w:keepLines/>
              <w:widowControl w:val="0"/>
              <w:suppressLineNumbers w:val="0"/>
              <w:adjustRightInd w:val="0"/>
              <w:snapToGrid w:val="0"/>
              <w:spacing w:before="100" w:beforeAutospacing="1" w:after="200" w:afterAutospacing="0"/>
              <w:ind w:left="0" w:right="0"/>
              <w:jc w:val="left"/>
              <w:rPr>
                <w:rStyle w:val="DefaultParagraphFont"/>
                <w:rFonts w:ascii="宋体" w:eastAsia="宋体" w:hAnsi="宋体" w:cs="宋体" w:hint="default"/>
                <w:b/>
                <w:bCs/>
                <w:color w:val="auto"/>
                <w:kern w:val="0"/>
                <w:sz w:val="24"/>
                <w:szCs w:val="24"/>
                <w:lang w:val="en-US" w:eastAsia="zh-CN" w:bidi="ar-SA"/>
              </w:rPr>
            </w:pPr>
          </w:p>
          <w:p>
            <w:pPr>
              <w:keepNext/>
              <w:keepLines/>
              <w:widowControl w:val="0"/>
              <w:suppressLineNumbers w:val="0"/>
              <w:adjustRightInd w:val="0"/>
              <w:snapToGrid w:val="0"/>
              <w:spacing w:before="100" w:beforeAutospacing="1" w:after="200" w:afterAutospacing="0"/>
              <w:ind w:left="0" w:right="0"/>
              <w:jc w:val="left"/>
              <w:outlineLvl w:val="2"/>
              <w:rPr>
                <w:rStyle w:val="DefaultParagraphFont"/>
                <w:rFonts w:ascii="宋体" w:eastAsia="宋体" w:hAnsi="宋体" w:cs="宋体" w:hint="default"/>
                <w:b/>
                <w:bCs/>
                <w:color w:val="auto"/>
                <w:kern w:val="0"/>
                <w:sz w:val="24"/>
                <w:szCs w:val="24"/>
                <w:lang w:val="en-US" w:eastAsia="zh-CN" w:bidi="ar-SA"/>
              </w:rPr>
            </w:pPr>
            <w:r>
              <w:rPr>
                <w:rFonts w:ascii="宋体" w:eastAsia="宋体" w:hAnsi="宋体" w:cs="宋体" w:hint="eastAsia"/>
                <w:b/>
                <w:bCs/>
                <w:color w:val="auto"/>
                <w:kern w:val="0"/>
                <w:sz w:val="24"/>
                <w:szCs w:val="24"/>
                <w:lang w:val="en-US" w:eastAsia="zh-CN" w:bidi="ar-SA"/>
              </w:rPr>
              <w:t>磋商小组组长签字：</w:t>
            </w:r>
          </w:p>
          <w:p>
            <w:pPr>
              <w:keepNext/>
              <w:keepLines/>
              <w:widowControl w:val="0"/>
              <w:suppressLineNumbers w:val="0"/>
              <w:adjustRightInd w:val="0"/>
              <w:snapToGrid w:val="0"/>
              <w:spacing w:before="100" w:beforeAutospacing="1" w:after="200" w:afterAutospacing="0"/>
              <w:ind w:left="0" w:right="0"/>
              <w:jc w:val="left"/>
              <w:outlineLvl w:val="2"/>
              <w:rPr>
                <w:rStyle w:val="DefaultParagraphFont"/>
                <w:rFonts w:ascii="宋体" w:eastAsia="宋体" w:hAnsi="宋体" w:cs="宋体" w:hint="default"/>
                <w:color w:val="auto"/>
                <w:kern w:val="2"/>
                <w:sz w:val="24"/>
                <w:szCs w:val="24"/>
                <w:lang w:val="en-US" w:eastAsia="zh-CN" w:bidi="ar-SA"/>
              </w:rPr>
            </w:pPr>
            <w:r>
              <w:rPr>
                <w:rFonts w:ascii="宋体" w:eastAsia="宋体" w:hAnsi="宋体" w:cs="宋体" w:hint="eastAsia"/>
                <w:b/>
                <w:bCs/>
                <w:color w:val="auto"/>
                <w:kern w:val="0"/>
                <w:sz w:val="24"/>
                <w:szCs w:val="24"/>
                <w:lang w:val="en-US" w:eastAsia="zh-CN" w:bidi="ar-SA"/>
              </w:rPr>
              <w:t>磋商小组成员签字：</w:t>
            </w:r>
          </w:p>
        </w:tc>
      </w:tr>
    </w:tbl>
    <w:p>
      <w:pPr>
        <w:spacing w:before="60" w:after="60" w:line="500" w:lineRule="exact"/>
        <w:ind w:right="210" w:firstLine="510"/>
        <w:jc w:val="left"/>
        <w:rPr>
          <w:rFonts w:ascii="宋体" w:eastAsia="宋体" w:hAnsi="宋体" w:cs="宋体" w:hint="eastAsia"/>
          <w:b/>
          <w:color w:val="auto"/>
          <w:kern w:val="0"/>
          <w:sz w:val="24"/>
          <w:highlight w:val="none"/>
        </w:rPr>
      </w:pPr>
      <w:bookmarkStart w:id="124" w:name="_Hlk119942685"/>
      <w:r>
        <w:rPr>
          <w:rFonts w:ascii="宋体" w:eastAsia="宋体" w:hAnsi="宋体" w:cs="宋体" w:hint="eastAsia"/>
          <w:b/>
          <w:color w:val="auto"/>
          <w:kern w:val="0"/>
          <w:sz w:val="24"/>
          <w:highlight w:val="none"/>
        </w:rPr>
        <w:t>注：本项目最终报价</w:t>
      </w:r>
      <w:r>
        <w:rPr>
          <w:rFonts w:ascii="宋体" w:eastAsia="宋体" w:hAnsi="宋体" w:cs="宋体" w:hint="eastAsia"/>
          <w:b/>
          <w:color w:val="auto"/>
          <w:kern w:val="0"/>
          <w:sz w:val="24"/>
          <w:highlight w:val="none"/>
          <w:lang w:eastAsia="zh-CN"/>
        </w:rPr>
        <w:t>（</w:t>
      </w:r>
      <w:r>
        <w:rPr>
          <w:rFonts w:ascii="宋体" w:eastAsia="宋体" w:hAnsi="宋体" w:cs="宋体" w:hint="eastAsia"/>
          <w:b/>
          <w:color w:val="auto"/>
          <w:kern w:val="0"/>
          <w:sz w:val="24"/>
          <w:highlight w:val="none"/>
          <w:lang w:val="en-US" w:eastAsia="zh-CN"/>
        </w:rPr>
        <w:t>第二次报价</w:t>
      </w:r>
      <w:r>
        <w:rPr>
          <w:rFonts w:ascii="宋体" w:eastAsia="宋体" w:hAnsi="宋体" w:cs="宋体" w:hint="eastAsia"/>
          <w:b/>
          <w:color w:val="auto"/>
          <w:kern w:val="0"/>
          <w:sz w:val="24"/>
          <w:highlight w:val="none"/>
          <w:lang w:eastAsia="zh-CN"/>
        </w:rPr>
        <w:t>）</w:t>
      </w:r>
      <w:r>
        <w:rPr>
          <w:rFonts w:ascii="宋体" w:eastAsia="宋体" w:hAnsi="宋体" w:cs="宋体" w:hint="eastAsia"/>
          <w:b/>
          <w:color w:val="auto"/>
          <w:kern w:val="0"/>
          <w:sz w:val="24"/>
          <w:highlight w:val="none"/>
        </w:rPr>
        <w:t>对应的分项报价按下列公式计算：最终分项报价=项目分项报价表</w:t>
      </w:r>
      <w:r>
        <w:rPr>
          <w:rFonts w:ascii="宋体" w:eastAsia="宋体" w:hAnsi="宋体" w:cs="宋体" w:hint="eastAsia"/>
          <w:b/>
          <w:color w:val="auto"/>
          <w:kern w:val="0"/>
          <w:sz w:val="24"/>
          <w:highlight w:val="none"/>
          <w:lang w:eastAsia="zh-CN"/>
        </w:rPr>
        <w:t>（</w:t>
      </w:r>
      <w:r>
        <w:rPr>
          <w:rFonts w:ascii="宋体" w:eastAsia="宋体" w:hAnsi="宋体" w:cs="宋体" w:hint="eastAsia"/>
          <w:b/>
          <w:color w:val="auto"/>
          <w:kern w:val="0"/>
          <w:sz w:val="24"/>
          <w:highlight w:val="none"/>
          <w:lang w:val="en-US" w:eastAsia="zh-CN"/>
        </w:rPr>
        <w:t>一次</w:t>
      </w:r>
      <w:r>
        <w:rPr>
          <w:rFonts w:ascii="宋体" w:eastAsia="宋体" w:hAnsi="宋体" w:cs="宋体" w:hint="eastAsia"/>
          <w:b/>
          <w:color w:val="auto"/>
          <w:kern w:val="0"/>
          <w:sz w:val="24"/>
          <w:highlight w:val="none"/>
          <w:lang w:eastAsia="zh-CN"/>
        </w:rPr>
        <w:t>）</w:t>
      </w:r>
      <w:r>
        <w:rPr>
          <w:rFonts w:ascii="宋体" w:eastAsia="宋体" w:hAnsi="宋体" w:cs="宋体" w:hint="eastAsia"/>
          <w:b/>
          <w:color w:val="auto"/>
          <w:kern w:val="0"/>
          <w:sz w:val="24"/>
          <w:highlight w:val="none"/>
        </w:rPr>
        <w:t>*最终总报价/一次总报价。</w:t>
      </w:r>
      <w:bookmarkEnd w:id="124"/>
    </w:p>
    <w:p>
      <w:pPr>
        <w:rPr>
          <w:color w:val="auto"/>
        </w:rPr>
      </w:pPr>
    </w:p>
    <w:sectPr>
      <w:pgSz w:w="11906" w:h="16838"/>
      <w:pgMar w:top="1089" w:right="1287" w:bottom="1440" w:left="1440" w:header="851" w:footer="992" w:gutter="0"/>
      <w:cols w:num="1" w:space="720"/>
      <w:docGrid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86"/>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DejaVuSans">
    <w:altName w:val="Segoe Print"/>
    <w:panose1 w:val="00000000000000000000"/>
    <w:charset w:val="00"/>
    <w:family w:val="auto"/>
    <w:pitch w:val="default"/>
    <w:sig w:usb0="00000000" w:usb1="00000000" w:usb2="00000000" w:usb3="00000000" w:csb0="00000000" w:csb1="00000000"/>
  </w:font>
  <w:font w:name="方正黑体_GBK">
    <w:altName w:val="微软雅黑"/>
    <w:panose1 w:val="03000509000000000000"/>
    <w:charset w:val="86"/>
    <w:family w:val="auto"/>
    <w:pitch w:val="default"/>
    <w:sig w:usb0="00000000" w:usb1="00000000" w:usb2="00000000" w:usb3="00000000" w:csb0="00040000" w:csb1="00000000"/>
  </w:font>
  <w:font w:name="方正楷体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p>
  <w:p>
    <w:pPr>
      <w:pStyle w:val="Footer"/>
      <w:tabs>
        <w:tab w:val="clear" w:pos="4153"/>
        <w:tab w:val="left" w:pos="5134"/>
        <w:tab w:val="clear" w:pos="8306"/>
      </w:tabs>
      <w:ind w:right="720"/>
      <w:rPr>
        <w:rFonts w:ascii="仿宋_GB2312" w:eastAsia="仿宋_GB231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pPr>
    <w:r>
      <w:pict>
        <v:shapetype id="_x0000_t202" coordsize="21600,21600" o:spt="202" path="m,l,21600r21600,l21600,xe">
          <v:stroke joinstyle="miter"/>
          <v:path gradientshapeok="t" o:connecttype="rect"/>
        </v:shapetype>
        <v:shape id="文本框 4" o:spid="_x0000_s2049" type="#_x0000_t202" style="width:2in;height:2in;margin-top:0;margin-left:0;mso-height-relative:page;mso-position-horizontal:center;mso-position-horizontal-relative:margin;mso-width-relative:page;mso-wrap-style:none;position:absolute;z-index:251658240" coordsize="21600,21600" filled="f" fillcolor="white" stroked="f">
          <v:stroke joinstyle="miter"/>
          <v:textbox style="mso-fit-shape-to-text:t" inset="0,0,0,0">
            <w:txbxContent>
              <w:p>
                <w:pPr>
                  <w:pStyle w:val="Footer"/>
                </w:pPr>
                <w:r>
                  <w:t xml:space="preserve">第 </w:t>
                </w:r>
                <w:r>
                  <w:fldChar w:fldCharType="begin"/>
                </w:r>
                <w:r>
                  <w:instrText xml:space="preserve"> PAGE  \* MERGEFORMAT </w:instrText>
                </w:r>
                <w:r>
                  <w:fldChar w:fldCharType="separate"/>
                </w:r>
                <w:r>
                  <w:rPr>
                    <w:lang w:val="zh-CN"/>
                  </w:rPr>
                  <w:t>33</w:t>
                </w:r>
                <w:r>
                  <w:rPr>
                    <w:lang w:val="zh-CN"/>
                  </w:rPr>
                  <w:fldChar w:fldCharType="end"/>
                </w:r>
                <w:r>
                  <w:t xml:space="preserve"> 页</w:t>
                </w:r>
              </w:p>
            </w:txbxContent>
          </v:textbox>
          <w10:wrap anchorx="margin"/>
        </v:shape>
      </w:pict>
    </w:r>
  </w:p>
  <w:p>
    <w:pPr>
      <w:pStyle w:val="Footer"/>
      <w:tabs>
        <w:tab w:val="clear" w:pos="4153"/>
        <w:tab w:val="left" w:pos="5134"/>
        <w:tab w:val="clear" w:pos="8306"/>
      </w:tabs>
      <w:ind w:right="720"/>
      <w:rPr>
        <w:rFonts w:ascii="仿宋_GB2312" w:eastAsia="仿宋_GB2312"/>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jc w:val="right"/>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013F33E"/>
    <w:multiLevelType w:val="singleLevel"/>
    <w:tmpl w:val="C013F33E"/>
    <w:lvl w:ilvl="0">
      <w:start w:val="1"/>
      <w:numFmt w:val="decimal"/>
      <w:suff w:val="nothing"/>
      <w:lvlText w:val="%1、"/>
      <w:lvlJc w:val="left"/>
    </w:lvl>
  </w:abstractNum>
  <w:abstractNum w:abstractNumId="1">
    <w:nsid w:val="DCB97380"/>
    <w:multiLevelType w:val="singleLevel"/>
    <w:tmpl w:val="DCB97380"/>
    <w:lvl w:ilvl="0">
      <w:start w:val="1"/>
      <w:numFmt w:val="decimal"/>
      <w:suff w:val="nothing"/>
      <w:lvlText w:val="（%1）"/>
      <w:lvlJc w:val="left"/>
    </w:lvl>
  </w:abstractNum>
  <w:abstractNum w:abstractNumId="2">
    <w:nsid w:val="056DE2F0"/>
    <w:multiLevelType w:val="singleLevel"/>
    <w:tmpl w:val="056DE2F0"/>
    <w:lvl w:ilvl="0">
      <w:start w:val="2"/>
      <w:numFmt w:val="decimal"/>
      <w:suff w:val="nothing"/>
      <w:lvlText w:val="%1．"/>
      <w:lvlJc w:val="left"/>
      <w:pPr>
        <w:ind w:left="-62"/>
      </w:pPr>
    </w:lvl>
  </w:abstractNum>
  <w:abstractNum w:abstractNumId="3">
    <w:nsid w:val="7287D744"/>
    <w:multiLevelType w:val="singleLevel"/>
    <w:tmpl w:val="7287D744"/>
    <w:lvl w:ilvl="0">
      <w:start w:val="7"/>
      <w:numFmt w:val="chineseCounting"/>
      <w:suff w:val="nothing"/>
      <w:lvlText w:val="%1、"/>
      <w:lvlJc w:val="left"/>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ttachedTemplate r:id="rId1"/>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4E373105"/>
    <w:rsid w:val="000048D9"/>
    <w:rsid w:val="000221E5"/>
    <w:rsid w:val="0003327B"/>
    <w:rsid w:val="0003373B"/>
    <w:rsid w:val="00077FCD"/>
    <w:rsid w:val="00081E7C"/>
    <w:rsid w:val="000913FC"/>
    <w:rsid w:val="000A2BA9"/>
    <w:rsid w:val="000A2C07"/>
    <w:rsid w:val="000A7F3F"/>
    <w:rsid w:val="000B3C1F"/>
    <w:rsid w:val="000B56FE"/>
    <w:rsid w:val="000C32B9"/>
    <w:rsid w:val="000C36C4"/>
    <w:rsid w:val="000C4D9B"/>
    <w:rsid w:val="000D776E"/>
    <w:rsid w:val="000E381E"/>
    <w:rsid w:val="000F4FB1"/>
    <w:rsid w:val="00143EA7"/>
    <w:rsid w:val="00156601"/>
    <w:rsid w:val="00163397"/>
    <w:rsid w:val="00164B0F"/>
    <w:rsid w:val="001774AC"/>
    <w:rsid w:val="00183C46"/>
    <w:rsid w:val="001A4DF3"/>
    <w:rsid w:val="001C529A"/>
    <w:rsid w:val="001C79C2"/>
    <w:rsid w:val="001D07EF"/>
    <w:rsid w:val="00203B8F"/>
    <w:rsid w:val="00214A88"/>
    <w:rsid w:val="00214E1C"/>
    <w:rsid w:val="002233CF"/>
    <w:rsid w:val="002235F3"/>
    <w:rsid w:val="00246FDC"/>
    <w:rsid w:val="002764AF"/>
    <w:rsid w:val="00285085"/>
    <w:rsid w:val="002A42AE"/>
    <w:rsid w:val="002B6D38"/>
    <w:rsid w:val="002D3E8F"/>
    <w:rsid w:val="002D451B"/>
    <w:rsid w:val="002E6492"/>
    <w:rsid w:val="00304FAB"/>
    <w:rsid w:val="00332B37"/>
    <w:rsid w:val="0033703B"/>
    <w:rsid w:val="00340A89"/>
    <w:rsid w:val="00345283"/>
    <w:rsid w:val="00347124"/>
    <w:rsid w:val="00352F59"/>
    <w:rsid w:val="00353529"/>
    <w:rsid w:val="0035792D"/>
    <w:rsid w:val="003871DA"/>
    <w:rsid w:val="00391381"/>
    <w:rsid w:val="003A4155"/>
    <w:rsid w:val="003C1E1B"/>
    <w:rsid w:val="003C58B3"/>
    <w:rsid w:val="003D510D"/>
    <w:rsid w:val="003F09AB"/>
    <w:rsid w:val="004119A4"/>
    <w:rsid w:val="004149A1"/>
    <w:rsid w:val="00420E27"/>
    <w:rsid w:val="0042726C"/>
    <w:rsid w:val="00453AD5"/>
    <w:rsid w:val="0047338B"/>
    <w:rsid w:val="00475BA5"/>
    <w:rsid w:val="004762B4"/>
    <w:rsid w:val="004820D8"/>
    <w:rsid w:val="004956CB"/>
    <w:rsid w:val="004A4CC8"/>
    <w:rsid w:val="004A6720"/>
    <w:rsid w:val="004B0E5D"/>
    <w:rsid w:val="004B4ED3"/>
    <w:rsid w:val="004B59E1"/>
    <w:rsid w:val="004B5D85"/>
    <w:rsid w:val="004C5D12"/>
    <w:rsid w:val="00511D4B"/>
    <w:rsid w:val="00511FF6"/>
    <w:rsid w:val="005318BE"/>
    <w:rsid w:val="005425A6"/>
    <w:rsid w:val="005503AB"/>
    <w:rsid w:val="00550E38"/>
    <w:rsid w:val="005827E5"/>
    <w:rsid w:val="005A0C59"/>
    <w:rsid w:val="005A5F52"/>
    <w:rsid w:val="005B4DFC"/>
    <w:rsid w:val="005C55E5"/>
    <w:rsid w:val="005C778A"/>
    <w:rsid w:val="005F7AA8"/>
    <w:rsid w:val="00602E17"/>
    <w:rsid w:val="0060419B"/>
    <w:rsid w:val="00630458"/>
    <w:rsid w:val="00630F21"/>
    <w:rsid w:val="00631051"/>
    <w:rsid w:val="00636150"/>
    <w:rsid w:val="0065192F"/>
    <w:rsid w:val="0065726D"/>
    <w:rsid w:val="00671164"/>
    <w:rsid w:val="006756E1"/>
    <w:rsid w:val="00684D66"/>
    <w:rsid w:val="006A523E"/>
    <w:rsid w:val="006B03CB"/>
    <w:rsid w:val="006B0C24"/>
    <w:rsid w:val="006B5892"/>
    <w:rsid w:val="006D66D6"/>
    <w:rsid w:val="006D75BE"/>
    <w:rsid w:val="006E4AE6"/>
    <w:rsid w:val="006F781E"/>
    <w:rsid w:val="00707FD1"/>
    <w:rsid w:val="00712C41"/>
    <w:rsid w:val="00725B7F"/>
    <w:rsid w:val="00730968"/>
    <w:rsid w:val="007375B7"/>
    <w:rsid w:val="00737C25"/>
    <w:rsid w:val="00743A1E"/>
    <w:rsid w:val="007444F4"/>
    <w:rsid w:val="0075365E"/>
    <w:rsid w:val="00776DC3"/>
    <w:rsid w:val="00792810"/>
    <w:rsid w:val="007A3988"/>
    <w:rsid w:val="007B0D8A"/>
    <w:rsid w:val="007C2401"/>
    <w:rsid w:val="007D17C4"/>
    <w:rsid w:val="007D29ED"/>
    <w:rsid w:val="007D5AF9"/>
    <w:rsid w:val="007D73F0"/>
    <w:rsid w:val="007D789B"/>
    <w:rsid w:val="007F6582"/>
    <w:rsid w:val="00804959"/>
    <w:rsid w:val="00816F6C"/>
    <w:rsid w:val="0082051B"/>
    <w:rsid w:val="00823FF7"/>
    <w:rsid w:val="00837539"/>
    <w:rsid w:val="00837F58"/>
    <w:rsid w:val="00842F40"/>
    <w:rsid w:val="008515EF"/>
    <w:rsid w:val="00876CD8"/>
    <w:rsid w:val="0088338F"/>
    <w:rsid w:val="00885B23"/>
    <w:rsid w:val="008A012A"/>
    <w:rsid w:val="008A40AF"/>
    <w:rsid w:val="008A657A"/>
    <w:rsid w:val="008C1D00"/>
    <w:rsid w:val="008C7FEB"/>
    <w:rsid w:val="008D3DF6"/>
    <w:rsid w:val="008E3B23"/>
    <w:rsid w:val="008E4A9F"/>
    <w:rsid w:val="008F1165"/>
    <w:rsid w:val="00922F6D"/>
    <w:rsid w:val="0093220D"/>
    <w:rsid w:val="00932D2C"/>
    <w:rsid w:val="009542CE"/>
    <w:rsid w:val="009879C0"/>
    <w:rsid w:val="009A49E9"/>
    <w:rsid w:val="009A5ED1"/>
    <w:rsid w:val="009A6367"/>
    <w:rsid w:val="009B463E"/>
    <w:rsid w:val="009C4888"/>
    <w:rsid w:val="009D460D"/>
    <w:rsid w:val="009D6B89"/>
    <w:rsid w:val="009E172D"/>
    <w:rsid w:val="009E409C"/>
    <w:rsid w:val="009E47B1"/>
    <w:rsid w:val="009E72FF"/>
    <w:rsid w:val="00A06D7C"/>
    <w:rsid w:val="00A12575"/>
    <w:rsid w:val="00A224A0"/>
    <w:rsid w:val="00A24AC9"/>
    <w:rsid w:val="00A316E9"/>
    <w:rsid w:val="00A5229B"/>
    <w:rsid w:val="00A5547C"/>
    <w:rsid w:val="00A83004"/>
    <w:rsid w:val="00AC052C"/>
    <w:rsid w:val="00AC6138"/>
    <w:rsid w:val="00AC6DAB"/>
    <w:rsid w:val="00AD72E5"/>
    <w:rsid w:val="00AF3D46"/>
    <w:rsid w:val="00AF6136"/>
    <w:rsid w:val="00B008A5"/>
    <w:rsid w:val="00B06E28"/>
    <w:rsid w:val="00B11220"/>
    <w:rsid w:val="00B27AC7"/>
    <w:rsid w:val="00B301B3"/>
    <w:rsid w:val="00B303AB"/>
    <w:rsid w:val="00B3553A"/>
    <w:rsid w:val="00B369C3"/>
    <w:rsid w:val="00B40004"/>
    <w:rsid w:val="00B43041"/>
    <w:rsid w:val="00B45C47"/>
    <w:rsid w:val="00B47B07"/>
    <w:rsid w:val="00B55BC9"/>
    <w:rsid w:val="00B60338"/>
    <w:rsid w:val="00BD1364"/>
    <w:rsid w:val="00BD19FA"/>
    <w:rsid w:val="00BD30BD"/>
    <w:rsid w:val="00BF345E"/>
    <w:rsid w:val="00BF60C0"/>
    <w:rsid w:val="00C020DA"/>
    <w:rsid w:val="00C10A49"/>
    <w:rsid w:val="00C150EA"/>
    <w:rsid w:val="00C2174D"/>
    <w:rsid w:val="00C21AC8"/>
    <w:rsid w:val="00C22F80"/>
    <w:rsid w:val="00C7245F"/>
    <w:rsid w:val="00C73EE0"/>
    <w:rsid w:val="00C90FE5"/>
    <w:rsid w:val="00C95078"/>
    <w:rsid w:val="00CB7FC8"/>
    <w:rsid w:val="00CD0343"/>
    <w:rsid w:val="00CD62B0"/>
    <w:rsid w:val="00CF630E"/>
    <w:rsid w:val="00D04867"/>
    <w:rsid w:val="00D23F93"/>
    <w:rsid w:val="00D32318"/>
    <w:rsid w:val="00D37D6D"/>
    <w:rsid w:val="00D513BB"/>
    <w:rsid w:val="00D93671"/>
    <w:rsid w:val="00D949DB"/>
    <w:rsid w:val="00DA594F"/>
    <w:rsid w:val="00DA7146"/>
    <w:rsid w:val="00DC188A"/>
    <w:rsid w:val="00DF0CF6"/>
    <w:rsid w:val="00E03028"/>
    <w:rsid w:val="00E34F56"/>
    <w:rsid w:val="00E4589D"/>
    <w:rsid w:val="00E462B4"/>
    <w:rsid w:val="00E46E56"/>
    <w:rsid w:val="00E536AE"/>
    <w:rsid w:val="00E82C8A"/>
    <w:rsid w:val="00E8549D"/>
    <w:rsid w:val="00E87D64"/>
    <w:rsid w:val="00E9653B"/>
    <w:rsid w:val="00EA7306"/>
    <w:rsid w:val="00EC4E58"/>
    <w:rsid w:val="00EC7F07"/>
    <w:rsid w:val="00ED2BE5"/>
    <w:rsid w:val="00ED6DD3"/>
    <w:rsid w:val="00EE7BB1"/>
    <w:rsid w:val="00EF4C47"/>
    <w:rsid w:val="00F008AF"/>
    <w:rsid w:val="00F0605B"/>
    <w:rsid w:val="00F14C79"/>
    <w:rsid w:val="00F229CF"/>
    <w:rsid w:val="00F230FC"/>
    <w:rsid w:val="00F271FF"/>
    <w:rsid w:val="00F60C3E"/>
    <w:rsid w:val="00F646FA"/>
    <w:rsid w:val="00F9033C"/>
    <w:rsid w:val="00FC2871"/>
    <w:rsid w:val="00FD40BA"/>
    <w:rsid w:val="00FD5677"/>
    <w:rsid w:val="00FE744D"/>
    <w:rsid w:val="00FF775D"/>
    <w:rsid w:val="01115B19"/>
    <w:rsid w:val="011905B2"/>
    <w:rsid w:val="012152AF"/>
    <w:rsid w:val="01447ED5"/>
    <w:rsid w:val="01503956"/>
    <w:rsid w:val="015F1F43"/>
    <w:rsid w:val="01604E4E"/>
    <w:rsid w:val="01791284"/>
    <w:rsid w:val="0198756E"/>
    <w:rsid w:val="01AF70E0"/>
    <w:rsid w:val="01C7201B"/>
    <w:rsid w:val="01CD7C4E"/>
    <w:rsid w:val="01E123FF"/>
    <w:rsid w:val="023545CC"/>
    <w:rsid w:val="02816CCE"/>
    <w:rsid w:val="02820350"/>
    <w:rsid w:val="02A604E3"/>
    <w:rsid w:val="02E1151B"/>
    <w:rsid w:val="030C0387"/>
    <w:rsid w:val="031E17C3"/>
    <w:rsid w:val="035E26C7"/>
    <w:rsid w:val="038A1BB2"/>
    <w:rsid w:val="038A78AD"/>
    <w:rsid w:val="039614DA"/>
    <w:rsid w:val="039C5442"/>
    <w:rsid w:val="039E3B89"/>
    <w:rsid w:val="03B443E1"/>
    <w:rsid w:val="03C055D4"/>
    <w:rsid w:val="03D65615"/>
    <w:rsid w:val="03E219EE"/>
    <w:rsid w:val="04082AD7"/>
    <w:rsid w:val="041A1188"/>
    <w:rsid w:val="041B280B"/>
    <w:rsid w:val="041D47D5"/>
    <w:rsid w:val="042D5F53"/>
    <w:rsid w:val="042E1A17"/>
    <w:rsid w:val="043D4E77"/>
    <w:rsid w:val="044C49F5"/>
    <w:rsid w:val="04506958"/>
    <w:rsid w:val="045E5CF9"/>
    <w:rsid w:val="04620439"/>
    <w:rsid w:val="04660556"/>
    <w:rsid w:val="047D34C5"/>
    <w:rsid w:val="048512D8"/>
    <w:rsid w:val="04AD3DAA"/>
    <w:rsid w:val="04BA0195"/>
    <w:rsid w:val="04D11F92"/>
    <w:rsid w:val="04F73795"/>
    <w:rsid w:val="052A53FB"/>
    <w:rsid w:val="05340F64"/>
    <w:rsid w:val="053D39FA"/>
    <w:rsid w:val="055839FF"/>
    <w:rsid w:val="055C6CF9"/>
    <w:rsid w:val="05637964"/>
    <w:rsid w:val="05854EFC"/>
    <w:rsid w:val="058C7E64"/>
    <w:rsid w:val="05B922DB"/>
    <w:rsid w:val="05CE0002"/>
    <w:rsid w:val="05D27EAA"/>
    <w:rsid w:val="05E128A5"/>
    <w:rsid w:val="05EC5941"/>
    <w:rsid w:val="06316315"/>
    <w:rsid w:val="06476C77"/>
    <w:rsid w:val="06497BE9"/>
    <w:rsid w:val="06616D34"/>
    <w:rsid w:val="06652463"/>
    <w:rsid w:val="06842700"/>
    <w:rsid w:val="06B01930"/>
    <w:rsid w:val="06B17456"/>
    <w:rsid w:val="06CE5B77"/>
    <w:rsid w:val="06DA538B"/>
    <w:rsid w:val="06DF2215"/>
    <w:rsid w:val="06E94E42"/>
    <w:rsid w:val="074B3407"/>
    <w:rsid w:val="07702E6D"/>
    <w:rsid w:val="079642C2"/>
    <w:rsid w:val="07AD5E6F"/>
    <w:rsid w:val="07CB168D"/>
    <w:rsid w:val="07ED5D47"/>
    <w:rsid w:val="07F67816"/>
    <w:rsid w:val="07FA6CF1"/>
    <w:rsid w:val="07FE6489"/>
    <w:rsid w:val="081C4DA3"/>
    <w:rsid w:val="084E0793"/>
    <w:rsid w:val="089E3FB6"/>
    <w:rsid w:val="08C02709"/>
    <w:rsid w:val="08EC4FCB"/>
    <w:rsid w:val="090C3D7B"/>
    <w:rsid w:val="09181A0E"/>
    <w:rsid w:val="091C14FF"/>
    <w:rsid w:val="091D36A9"/>
    <w:rsid w:val="093B4AAE"/>
    <w:rsid w:val="094158CB"/>
    <w:rsid w:val="094D0BAC"/>
    <w:rsid w:val="095037C4"/>
    <w:rsid w:val="0950618E"/>
    <w:rsid w:val="09616F12"/>
    <w:rsid w:val="0970184A"/>
    <w:rsid w:val="098C3DEC"/>
    <w:rsid w:val="099D7EB5"/>
    <w:rsid w:val="09A47F88"/>
    <w:rsid w:val="09C07ABB"/>
    <w:rsid w:val="09CC7112"/>
    <w:rsid w:val="09E63498"/>
    <w:rsid w:val="0A017D86"/>
    <w:rsid w:val="0A11630A"/>
    <w:rsid w:val="0A2063EC"/>
    <w:rsid w:val="0A245E02"/>
    <w:rsid w:val="0A354E9F"/>
    <w:rsid w:val="0A40744D"/>
    <w:rsid w:val="0A4359A0"/>
    <w:rsid w:val="0A5F45FD"/>
    <w:rsid w:val="0A9033F3"/>
    <w:rsid w:val="0AC97464"/>
    <w:rsid w:val="0ACE7596"/>
    <w:rsid w:val="0AE05805"/>
    <w:rsid w:val="0AE0655C"/>
    <w:rsid w:val="0AE37EA0"/>
    <w:rsid w:val="0B161F14"/>
    <w:rsid w:val="0B1F7084"/>
    <w:rsid w:val="0B43671E"/>
    <w:rsid w:val="0B766BAB"/>
    <w:rsid w:val="0B7B2984"/>
    <w:rsid w:val="0B7C7519"/>
    <w:rsid w:val="0B9A495D"/>
    <w:rsid w:val="0BB21910"/>
    <w:rsid w:val="0BDD4AE8"/>
    <w:rsid w:val="0BE879D2"/>
    <w:rsid w:val="0BF4406D"/>
    <w:rsid w:val="0BFA364D"/>
    <w:rsid w:val="0C1263C7"/>
    <w:rsid w:val="0C2A3F33"/>
    <w:rsid w:val="0C6744E5"/>
    <w:rsid w:val="0C7D0506"/>
    <w:rsid w:val="0C7E602C"/>
    <w:rsid w:val="0C960669"/>
    <w:rsid w:val="0C970E9C"/>
    <w:rsid w:val="0C9E7F81"/>
    <w:rsid w:val="0CAA4637"/>
    <w:rsid w:val="0CB47CA0"/>
    <w:rsid w:val="0CC7498C"/>
    <w:rsid w:val="0CEF0CD8"/>
    <w:rsid w:val="0CF87B8D"/>
    <w:rsid w:val="0D171BFA"/>
    <w:rsid w:val="0D1D3A97"/>
    <w:rsid w:val="0D1E7195"/>
    <w:rsid w:val="0D2C5A88"/>
    <w:rsid w:val="0D3112F1"/>
    <w:rsid w:val="0D4C6F38"/>
    <w:rsid w:val="0D6B0503"/>
    <w:rsid w:val="0D6B4803"/>
    <w:rsid w:val="0D8C1252"/>
    <w:rsid w:val="0D9238EB"/>
    <w:rsid w:val="0D9C7031"/>
    <w:rsid w:val="0DCB52A1"/>
    <w:rsid w:val="0DE64175"/>
    <w:rsid w:val="0E0D1416"/>
    <w:rsid w:val="0E115D4C"/>
    <w:rsid w:val="0E1E1875"/>
    <w:rsid w:val="0E5057A7"/>
    <w:rsid w:val="0E6216FD"/>
    <w:rsid w:val="0E7F6F9B"/>
    <w:rsid w:val="0E882BF6"/>
    <w:rsid w:val="0E9658AF"/>
    <w:rsid w:val="0EB34E8E"/>
    <w:rsid w:val="0EF16F8A"/>
    <w:rsid w:val="0F135152"/>
    <w:rsid w:val="0F496E8A"/>
    <w:rsid w:val="0F4D0F99"/>
    <w:rsid w:val="0F4F24C2"/>
    <w:rsid w:val="0F672A84"/>
    <w:rsid w:val="0F683226"/>
    <w:rsid w:val="0F8E714D"/>
    <w:rsid w:val="0F917E25"/>
    <w:rsid w:val="0FAE06D8"/>
    <w:rsid w:val="0FC2539E"/>
    <w:rsid w:val="0FCC7AE8"/>
    <w:rsid w:val="0FEF7154"/>
    <w:rsid w:val="0FFA33B3"/>
    <w:rsid w:val="100B7335"/>
    <w:rsid w:val="1034712E"/>
    <w:rsid w:val="10573CED"/>
    <w:rsid w:val="10675755"/>
    <w:rsid w:val="10C04E65"/>
    <w:rsid w:val="10CE14CE"/>
    <w:rsid w:val="10D42398"/>
    <w:rsid w:val="10D95AD5"/>
    <w:rsid w:val="10DC03FF"/>
    <w:rsid w:val="10DC6E96"/>
    <w:rsid w:val="10F845FF"/>
    <w:rsid w:val="11013918"/>
    <w:rsid w:val="114333A1"/>
    <w:rsid w:val="114678A7"/>
    <w:rsid w:val="11554756"/>
    <w:rsid w:val="115E01DA"/>
    <w:rsid w:val="116C28F7"/>
    <w:rsid w:val="116E66AD"/>
    <w:rsid w:val="11845E93"/>
    <w:rsid w:val="11885556"/>
    <w:rsid w:val="118B5473"/>
    <w:rsid w:val="11B61DC5"/>
    <w:rsid w:val="11C37616"/>
    <w:rsid w:val="120B135C"/>
    <w:rsid w:val="12140157"/>
    <w:rsid w:val="12143664"/>
    <w:rsid w:val="121F5BBC"/>
    <w:rsid w:val="12635AA8"/>
    <w:rsid w:val="12B5207C"/>
    <w:rsid w:val="12C0034F"/>
    <w:rsid w:val="135A2F8B"/>
    <w:rsid w:val="136E3B61"/>
    <w:rsid w:val="13887780"/>
    <w:rsid w:val="13A82156"/>
    <w:rsid w:val="13E0137B"/>
    <w:rsid w:val="13FA2CEF"/>
    <w:rsid w:val="14092680"/>
    <w:rsid w:val="142B4014"/>
    <w:rsid w:val="144239F6"/>
    <w:rsid w:val="14565FA8"/>
    <w:rsid w:val="145D29CB"/>
    <w:rsid w:val="14971F95"/>
    <w:rsid w:val="14990E6C"/>
    <w:rsid w:val="14A11013"/>
    <w:rsid w:val="14A70591"/>
    <w:rsid w:val="14B062FE"/>
    <w:rsid w:val="14E07054"/>
    <w:rsid w:val="14EB3752"/>
    <w:rsid w:val="14FD05E0"/>
    <w:rsid w:val="151B6AD2"/>
    <w:rsid w:val="15510782"/>
    <w:rsid w:val="155618F4"/>
    <w:rsid w:val="15583E73"/>
    <w:rsid w:val="156404B5"/>
    <w:rsid w:val="156F1865"/>
    <w:rsid w:val="15853F88"/>
    <w:rsid w:val="15866A22"/>
    <w:rsid w:val="15A90B80"/>
    <w:rsid w:val="15B404FC"/>
    <w:rsid w:val="15CA5E3E"/>
    <w:rsid w:val="163E6AC8"/>
    <w:rsid w:val="167F131F"/>
    <w:rsid w:val="16BE3BF5"/>
    <w:rsid w:val="16E66022"/>
    <w:rsid w:val="17035AAC"/>
    <w:rsid w:val="1740285C"/>
    <w:rsid w:val="174E135B"/>
    <w:rsid w:val="175B7696"/>
    <w:rsid w:val="175C49F7"/>
    <w:rsid w:val="175E2526"/>
    <w:rsid w:val="17740758"/>
    <w:rsid w:val="179C0E26"/>
    <w:rsid w:val="17A51223"/>
    <w:rsid w:val="17C35D1C"/>
    <w:rsid w:val="17FE036B"/>
    <w:rsid w:val="180B10BC"/>
    <w:rsid w:val="1819170A"/>
    <w:rsid w:val="181B0BD3"/>
    <w:rsid w:val="18205E20"/>
    <w:rsid w:val="1828566A"/>
    <w:rsid w:val="187529D9"/>
    <w:rsid w:val="18820C52"/>
    <w:rsid w:val="18843FDF"/>
    <w:rsid w:val="188C3E36"/>
    <w:rsid w:val="18C06F86"/>
    <w:rsid w:val="18C4407D"/>
    <w:rsid w:val="18C94AD3"/>
    <w:rsid w:val="18CE2C55"/>
    <w:rsid w:val="18D52161"/>
    <w:rsid w:val="18E20FBB"/>
    <w:rsid w:val="18F64810"/>
    <w:rsid w:val="19027978"/>
    <w:rsid w:val="1918739B"/>
    <w:rsid w:val="191A5059"/>
    <w:rsid w:val="192B4E46"/>
    <w:rsid w:val="193F1CD8"/>
    <w:rsid w:val="19404D95"/>
    <w:rsid w:val="19522530"/>
    <w:rsid w:val="197467ED"/>
    <w:rsid w:val="199944A6"/>
    <w:rsid w:val="199A6F81"/>
    <w:rsid w:val="19A3625E"/>
    <w:rsid w:val="19B128AF"/>
    <w:rsid w:val="19C57049"/>
    <w:rsid w:val="19D74BCE"/>
    <w:rsid w:val="19E80C5E"/>
    <w:rsid w:val="19E9492F"/>
    <w:rsid w:val="19EC795E"/>
    <w:rsid w:val="19F93196"/>
    <w:rsid w:val="19FB6DE6"/>
    <w:rsid w:val="1A141D7E"/>
    <w:rsid w:val="1A235760"/>
    <w:rsid w:val="1A5F2FF9"/>
    <w:rsid w:val="1A620D3B"/>
    <w:rsid w:val="1A71104E"/>
    <w:rsid w:val="1A747B1C"/>
    <w:rsid w:val="1A78185D"/>
    <w:rsid w:val="1A9B2F0C"/>
    <w:rsid w:val="1AA03612"/>
    <w:rsid w:val="1AB24C49"/>
    <w:rsid w:val="1AC2020C"/>
    <w:rsid w:val="1ACD434D"/>
    <w:rsid w:val="1ACE57E5"/>
    <w:rsid w:val="1AFB7106"/>
    <w:rsid w:val="1AFC4CEC"/>
    <w:rsid w:val="1B2D1300"/>
    <w:rsid w:val="1B364B07"/>
    <w:rsid w:val="1B410951"/>
    <w:rsid w:val="1B9B4183"/>
    <w:rsid w:val="1BB36E2D"/>
    <w:rsid w:val="1BD408BB"/>
    <w:rsid w:val="1BD816DA"/>
    <w:rsid w:val="1C220622"/>
    <w:rsid w:val="1C553066"/>
    <w:rsid w:val="1C5A2ACC"/>
    <w:rsid w:val="1C7B57F1"/>
    <w:rsid w:val="1CB74BA8"/>
    <w:rsid w:val="1CC602E0"/>
    <w:rsid w:val="1CC618EF"/>
    <w:rsid w:val="1CE123EB"/>
    <w:rsid w:val="1CE4012E"/>
    <w:rsid w:val="1CF163A7"/>
    <w:rsid w:val="1CFA09FF"/>
    <w:rsid w:val="1D175E0D"/>
    <w:rsid w:val="1D475B78"/>
    <w:rsid w:val="1D4A3D81"/>
    <w:rsid w:val="1D4D0B86"/>
    <w:rsid w:val="1D6D0D92"/>
    <w:rsid w:val="1D750D86"/>
    <w:rsid w:val="1D76522A"/>
    <w:rsid w:val="1D766C2B"/>
    <w:rsid w:val="1D9B5763"/>
    <w:rsid w:val="1DAE0B11"/>
    <w:rsid w:val="1DD43CFE"/>
    <w:rsid w:val="1DE736F7"/>
    <w:rsid w:val="1E0D7210"/>
    <w:rsid w:val="1E1E3B2F"/>
    <w:rsid w:val="1E2F1E06"/>
    <w:rsid w:val="1E4137D1"/>
    <w:rsid w:val="1E484325"/>
    <w:rsid w:val="1E7125C5"/>
    <w:rsid w:val="1E7E7A6C"/>
    <w:rsid w:val="1E953136"/>
    <w:rsid w:val="1EA130A3"/>
    <w:rsid w:val="1EB853CE"/>
    <w:rsid w:val="1EC1696F"/>
    <w:rsid w:val="1ED00C69"/>
    <w:rsid w:val="1EEB7551"/>
    <w:rsid w:val="1F733E36"/>
    <w:rsid w:val="1F7A6803"/>
    <w:rsid w:val="1F831CEE"/>
    <w:rsid w:val="1FA13F86"/>
    <w:rsid w:val="1FB84166"/>
    <w:rsid w:val="1FE71A03"/>
    <w:rsid w:val="200978C3"/>
    <w:rsid w:val="20282E4B"/>
    <w:rsid w:val="2029297E"/>
    <w:rsid w:val="20623843"/>
    <w:rsid w:val="20625934"/>
    <w:rsid w:val="207778CB"/>
    <w:rsid w:val="207C0FE2"/>
    <w:rsid w:val="20961D92"/>
    <w:rsid w:val="2096453C"/>
    <w:rsid w:val="20AA6F98"/>
    <w:rsid w:val="20C019FC"/>
    <w:rsid w:val="20CB1F07"/>
    <w:rsid w:val="20E95A7F"/>
    <w:rsid w:val="20F31A84"/>
    <w:rsid w:val="210E39CB"/>
    <w:rsid w:val="21143ABB"/>
    <w:rsid w:val="211712C6"/>
    <w:rsid w:val="21212CB7"/>
    <w:rsid w:val="21350E86"/>
    <w:rsid w:val="21384498"/>
    <w:rsid w:val="21516666"/>
    <w:rsid w:val="21A912D8"/>
    <w:rsid w:val="21DA4110"/>
    <w:rsid w:val="21E12E1D"/>
    <w:rsid w:val="222B6AEE"/>
    <w:rsid w:val="223B227A"/>
    <w:rsid w:val="22665141"/>
    <w:rsid w:val="226D03A2"/>
    <w:rsid w:val="227E092B"/>
    <w:rsid w:val="2280091E"/>
    <w:rsid w:val="22883309"/>
    <w:rsid w:val="22AE0FC2"/>
    <w:rsid w:val="22BA4C73"/>
    <w:rsid w:val="22E91FFA"/>
    <w:rsid w:val="233358A9"/>
    <w:rsid w:val="2361144D"/>
    <w:rsid w:val="236B2A0F"/>
    <w:rsid w:val="237958CB"/>
    <w:rsid w:val="23796574"/>
    <w:rsid w:val="239325C1"/>
    <w:rsid w:val="23933414"/>
    <w:rsid w:val="23BE3E2C"/>
    <w:rsid w:val="23DE582F"/>
    <w:rsid w:val="23E641B8"/>
    <w:rsid w:val="23EF0B67"/>
    <w:rsid w:val="241725E0"/>
    <w:rsid w:val="2419690F"/>
    <w:rsid w:val="24373239"/>
    <w:rsid w:val="24744708"/>
    <w:rsid w:val="24B16B47"/>
    <w:rsid w:val="24B228BF"/>
    <w:rsid w:val="24BD13CD"/>
    <w:rsid w:val="24E862E1"/>
    <w:rsid w:val="25014D18"/>
    <w:rsid w:val="251360F4"/>
    <w:rsid w:val="253D662D"/>
    <w:rsid w:val="25444B60"/>
    <w:rsid w:val="25E35426"/>
    <w:rsid w:val="25FA52D7"/>
    <w:rsid w:val="262D48F3"/>
    <w:rsid w:val="2638586F"/>
    <w:rsid w:val="263F66D7"/>
    <w:rsid w:val="265C4AA7"/>
    <w:rsid w:val="2660798C"/>
    <w:rsid w:val="266A3304"/>
    <w:rsid w:val="267267AA"/>
    <w:rsid w:val="26771F13"/>
    <w:rsid w:val="268838D8"/>
    <w:rsid w:val="26BC3DE9"/>
    <w:rsid w:val="26CC17C3"/>
    <w:rsid w:val="27155FCC"/>
    <w:rsid w:val="2750534D"/>
    <w:rsid w:val="27541A0C"/>
    <w:rsid w:val="27710810"/>
    <w:rsid w:val="27715F69"/>
    <w:rsid w:val="27737112"/>
    <w:rsid w:val="27765E26"/>
    <w:rsid w:val="27897907"/>
    <w:rsid w:val="27943E02"/>
    <w:rsid w:val="27B150B0"/>
    <w:rsid w:val="27BC5D5D"/>
    <w:rsid w:val="27C923FA"/>
    <w:rsid w:val="27F531EF"/>
    <w:rsid w:val="28053CE3"/>
    <w:rsid w:val="280C7F4B"/>
    <w:rsid w:val="282F437F"/>
    <w:rsid w:val="28305FD5"/>
    <w:rsid w:val="28441694"/>
    <w:rsid w:val="28497097"/>
    <w:rsid w:val="284B740A"/>
    <w:rsid w:val="284E4D5C"/>
    <w:rsid w:val="285A117A"/>
    <w:rsid w:val="285C14C0"/>
    <w:rsid w:val="28777BD8"/>
    <w:rsid w:val="2891712F"/>
    <w:rsid w:val="289666CC"/>
    <w:rsid w:val="289807B5"/>
    <w:rsid w:val="289C366A"/>
    <w:rsid w:val="28AF58EC"/>
    <w:rsid w:val="28B21A5A"/>
    <w:rsid w:val="28DE0169"/>
    <w:rsid w:val="28E35E83"/>
    <w:rsid w:val="28ED2118"/>
    <w:rsid w:val="28FD18D8"/>
    <w:rsid w:val="290D4568"/>
    <w:rsid w:val="29622B06"/>
    <w:rsid w:val="296944FC"/>
    <w:rsid w:val="2977525D"/>
    <w:rsid w:val="298E56A9"/>
    <w:rsid w:val="29A22F02"/>
    <w:rsid w:val="29AD06F2"/>
    <w:rsid w:val="29DA0241"/>
    <w:rsid w:val="29DD2D57"/>
    <w:rsid w:val="29DF4157"/>
    <w:rsid w:val="29E36058"/>
    <w:rsid w:val="29FC6AB7"/>
    <w:rsid w:val="2A105649"/>
    <w:rsid w:val="2A2E54CE"/>
    <w:rsid w:val="2A361F66"/>
    <w:rsid w:val="2A6856C4"/>
    <w:rsid w:val="2A704DAF"/>
    <w:rsid w:val="2A8A715A"/>
    <w:rsid w:val="2AD80BEB"/>
    <w:rsid w:val="2B0800D9"/>
    <w:rsid w:val="2B204A27"/>
    <w:rsid w:val="2B59251B"/>
    <w:rsid w:val="2B5F33B3"/>
    <w:rsid w:val="2B724B56"/>
    <w:rsid w:val="2B764647"/>
    <w:rsid w:val="2B8564FF"/>
    <w:rsid w:val="2BA63C90"/>
    <w:rsid w:val="2BAA1CBF"/>
    <w:rsid w:val="2BD20BDC"/>
    <w:rsid w:val="2BEE5D47"/>
    <w:rsid w:val="2BEE6445"/>
    <w:rsid w:val="2C1327AC"/>
    <w:rsid w:val="2C152440"/>
    <w:rsid w:val="2C275E08"/>
    <w:rsid w:val="2C2A1E61"/>
    <w:rsid w:val="2C385A15"/>
    <w:rsid w:val="2C891A14"/>
    <w:rsid w:val="2CC339F7"/>
    <w:rsid w:val="2CE21B9C"/>
    <w:rsid w:val="2CE221BE"/>
    <w:rsid w:val="2CF53078"/>
    <w:rsid w:val="2CFC228C"/>
    <w:rsid w:val="2D0B02DD"/>
    <w:rsid w:val="2D313BEE"/>
    <w:rsid w:val="2D350EA5"/>
    <w:rsid w:val="2D394808"/>
    <w:rsid w:val="2D546C0A"/>
    <w:rsid w:val="2D7E6A68"/>
    <w:rsid w:val="2D8656D4"/>
    <w:rsid w:val="2DC10A44"/>
    <w:rsid w:val="2DD815E9"/>
    <w:rsid w:val="2DEF1974"/>
    <w:rsid w:val="2E3031D3"/>
    <w:rsid w:val="2E3C5A19"/>
    <w:rsid w:val="2E3D68D2"/>
    <w:rsid w:val="2E3F6F72"/>
    <w:rsid w:val="2E445936"/>
    <w:rsid w:val="2E56694D"/>
    <w:rsid w:val="2E6B2505"/>
    <w:rsid w:val="2E953036"/>
    <w:rsid w:val="2E98477B"/>
    <w:rsid w:val="2EAA5675"/>
    <w:rsid w:val="2ED33B5E"/>
    <w:rsid w:val="2EDD6462"/>
    <w:rsid w:val="2F1B6499"/>
    <w:rsid w:val="2F4B71DE"/>
    <w:rsid w:val="2F577A56"/>
    <w:rsid w:val="2F72625C"/>
    <w:rsid w:val="2F7842F8"/>
    <w:rsid w:val="2F8D683C"/>
    <w:rsid w:val="2F943152"/>
    <w:rsid w:val="2F996B56"/>
    <w:rsid w:val="2FEC01CB"/>
    <w:rsid w:val="3045283A"/>
    <w:rsid w:val="3071143A"/>
    <w:rsid w:val="308047E6"/>
    <w:rsid w:val="30950C95"/>
    <w:rsid w:val="30AA7645"/>
    <w:rsid w:val="30DD2FF8"/>
    <w:rsid w:val="310E70CF"/>
    <w:rsid w:val="316D564F"/>
    <w:rsid w:val="31857392"/>
    <w:rsid w:val="31B934DF"/>
    <w:rsid w:val="31D2634F"/>
    <w:rsid w:val="31F6028F"/>
    <w:rsid w:val="3203465A"/>
    <w:rsid w:val="32136C77"/>
    <w:rsid w:val="321F3900"/>
    <w:rsid w:val="3257073B"/>
    <w:rsid w:val="327B49B8"/>
    <w:rsid w:val="32915FF0"/>
    <w:rsid w:val="329D695D"/>
    <w:rsid w:val="32A503F5"/>
    <w:rsid w:val="32B06FA8"/>
    <w:rsid w:val="32B9345B"/>
    <w:rsid w:val="32C93CE3"/>
    <w:rsid w:val="32DA1762"/>
    <w:rsid w:val="32DA370D"/>
    <w:rsid w:val="32E05AA1"/>
    <w:rsid w:val="32E278AB"/>
    <w:rsid w:val="32F72511"/>
    <w:rsid w:val="32FA7970"/>
    <w:rsid w:val="330F02E3"/>
    <w:rsid w:val="33176849"/>
    <w:rsid w:val="33242BDA"/>
    <w:rsid w:val="332D7CE1"/>
    <w:rsid w:val="333051A0"/>
    <w:rsid w:val="33365EA5"/>
    <w:rsid w:val="33AA2BCA"/>
    <w:rsid w:val="33BC64F9"/>
    <w:rsid w:val="33D42601"/>
    <w:rsid w:val="33F425AD"/>
    <w:rsid w:val="340526D6"/>
    <w:rsid w:val="34355875"/>
    <w:rsid w:val="3442110D"/>
    <w:rsid w:val="344C23E9"/>
    <w:rsid w:val="34607C42"/>
    <w:rsid w:val="34676449"/>
    <w:rsid w:val="34B47EDB"/>
    <w:rsid w:val="34B6099C"/>
    <w:rsid w:val="34D33F1E"/>
    <w:rsid w:val="356B5174"/>
    <w:rsid w:val="35700FF7"/>
    <w:rsid w:val="35766901"/>
    <w:rsid w:val="357802D7"/>
    <w:rsid w:val="357A7FE0"/>
    <w:rsid w:val="357E3A97"/>
    <w:rsid w:val="358856A2"/>
    <w:rsid w:val="35900C80"/>
    <w:rsid w:val="359010CF"/>
    <w:rsid w:val="35977693"/>
    <w:rsid w:val="35B7570E"/>
    <w:rsid w:val="35FA1A29"/>
    <w:rsid w:val="360075C1"/>
    <w:rsid w:val="36137630"/>
    <w:rsid w:val="36401AD9"/>
    <w:rsid w:val="36415851"/>
    <w:rsid w:val="36463CA8"/>
    <w:rsid w:val="36484E32"/>
    <w:rsid w:val="3656678C"/>
    <w:rsid w:val="36666C53"/>
    <w:rsid w:val="36A81270"/>
    <w:rsid w:val="36A95E49"/>
    <w:rsid w:val="36F079A3"/>
    <w:rsid w:val="36FA437E"/>
    <w:rsid w:val="36FA4633"/>
    <w:rsid w:val="36FC53F7"/>
    <w:rsid w:val="37040D6C"/>
    <w:rsid w:val="372D0755"/>
    <w:rsid w:val="3747333B"/>
    <w:rsid w:val="37704640"/>
    <w:rsid w:val="37B93210"/>
    <w:rsid w:val="37C12440"/>
    <w:rsid w:val="37C20031"/>
    <w:rsid w:val="37DD1CE3"/>
    <w:rsid w:val="380842A5"/>
    <w:rsid w:val="38207E14"/>
    <w:rsid w:val="3839586E"/>
    <w:rsid w:val="384C47C9"/>
    <w:rsid w:val="385B7C69"/>
    <w:rsid w:val="38637D01"/>
    <w:rsid w:val="38657F1D"/>
    <w:rsid w:val="387E7BEC"/>
    <w:rsid w:val="38B956EE"/>
    <w:rsid w:val="38C806C5"/>
    <w:rsid w:val="38D26C34"/>
    <w:rsid w:val="38E70932"/>
    <w:rsid w:val="38FE349B"/>
    <w:rsid w:val="391060DB"/>
    <w:rsid w:val="39294B8C"/>
    <w:rsid w:val="39535FC7"/>
    <w:rsid w:val="39585117"/>
    <w:rsid w:val="397F4FAB"/>
    <w:rsid w:val="39CE4CDA"/>
    <w:rsid w:val="39E249AA"/>
    <w:rsid w:val="39E66E3B"/>
    <w:rsid w:val="39FA2879"/>
    <w:rsid w:val="3A291595"/>
    <w:rsid w:val="3A2F2590"/>
    <w:rsid w:val="3A303079"/>
    <w:rsid w:val="3A704957"/>
    <w:rsid w:val="3A7978E1"/>
    <w:rsid w:val="3A983F9A"/>
    <w:rsid w:val="3A993EAE"/>
    <w:rsid w:val="3A9B7C26"/>
    <w:rsid w:val="3AA82343"/>
    <w:rsid w:val="3AAC3BE1"/>
    <w:rsid w:val="3AB90AEE"/>
    <w:rsid w:val="3ACD60F2"/>
    <w:rsid w:val="3ADD6BF9"/>
    <w:rsid w:val="3AE0789A"/>
    <w:rsid w:val="3AE07D2F"/>
    <w:rsid w:val="3AEE244B"/>
    <w:rsid w:val="3AF93EC9"/>
    <w:rsid w:val="3B00217F"/>
    <w:rsid w:val="3B080DC0"/>
    <w:rsid w:val="3B191497"/>
    <w:rsid w:val="3B1B11FC"/>
    <w:rsid w:val="3B4836AB"/>
    <w:rsid w:val="3B7D07A3"/>
    <w:rsid w:val="3BEB24E7"/>
    <w:rsid w:val="3C1001A0"/>
    <w:rsid w:val="3C16217A"/>
    <w:rsid w:val="3C1877C6"/>
    <w:rsid w:val="3C1A7270"/>
    <w:rsid w:val="3C1D3523"/>
    <w:rsid w:val="3C1F5507"/>
    <w:rsid w:val="3C235697"/>
    <w:rsid w:val="3C485B8B"/>
    <w:rsid w:val="3C545155"/>
    <w:rsid w:val="3C556D24"/>
    <w:rsid w:val="3C957E92"/>
    <w:rsid w:val="3CBA77FC"/>
    <w:rsid w:val="3CDD2778"/>
    <w:rsid w:val="3D174F89"/>
    <w:rsid w:val="3D2648FC"/>
    <w:rsid w:val="3D3D7FC4"/>
    <w:rsid w:val="3D6B45E7"/>
    <w:rsid w:val="3D9A2847"/>
    <w:rsid w:val="3D9D3B42"/>
    <w:rsid w:val="3DA77B20"/>
    <w:rsid w:val="3DAC09B9"/>
    <w:rsid w:val="3DC36159"/>
    <w:rsid w:val="3DE9514C"/>
    <w:rsid w:val="3E0C0837"/>
    <w:rsid w:val="3E383AA5"/>
    <w:rsid w:val="3E4E4227"/>
    <w:rsid w:val="3E640A1B"/>
    <w:rsid w:val="3E7B7B3E"/>
    <w:rsid w:val="3E83378E"/>
    <w:rsid w:val="3EA7558C"/>
    <w:rsid w:val="3EE23EBA"/>
    <w:rsid w:val="3EEE7A44"/>
    <w:rsid w:val="3EF8472D"/>
    <w:rsid w:val="3F30530D"/>
    <w:rsid w:val="3F6031EC"/>
    <w:rsid w:val="3F650802"/>
    <w:rsid w:val="3F9173A9"/>
    <w:rsid w:val="3F9F3D14"/>
    <w:rsid w:val="3FA1066A"/>
    <w:rsid w:val="3FBD063E"/>
    <w:rsid w:val="3FFF47B3"/>
    <w:rsid w:val="401B7113"/>
    <w:rsid w:val="4036290E"/>
    <w:rsid w:val="403A3A3D"/>
    <w:rsid w:val="40692574"/>
    <w:rsid w:val="4090037B"/>
    <w:rsid w:val="409E234F"/>
    <w:rsid w:val="40BF2194"/>
    <w:rsid w:val="40C9661D"/>
    <w:rsid w:val="40FD48B0"/>
    <w:rsid w:val="410102F6"/>
    <w:rsid w:val="410423D9"/>
    <w:rsid w:val="410D1152"/>
    <w:rsid w:val="41171FD0"/>
    <w:rsid w:val="412E185B"/>
    <w:rsid w:val="413E15A0"/>
    <w:rsid w:val="41456B3D"/>
    <w:rsid w:val="41471D1A"/>
    <w:rsid w:val="416D5D4B"/>
    <w:rsid w:val="41764F49"/>
    <w:rsid w:val="41897066"/>
    <w:rsid w:val="419A55AA"/>
    <w:rsid w:val="41BF703A"/>
    <w:rsid w:val="41C40E70"/>
    <w:rsid w:val="41D13F81"/>
    <w:rsid w:val="41D50B27"/>
    <w:rsid w:val="41D67795"/>
    <w:rsid w:val="41E2613A"/>
    <w:rsid w:val="41FD7314"/>
    <w:rsid w:val="42545560"/>
    <w:rsid w:val="42934D49"/>
    <w:rsid w:val="42BE0C50"/>
    <w:rsid w:val="42C05FA5"/>
    <w:rsid w:val="42C972FA"/>
    <w:rsid w:val="42D87A6C"/>
    <w:rsid w:val="431B7A81"/>
    <w:rsid w:val="431E31A2"/>
    <w:rsid w:val="43212C92"/>
    <w:rsid w:val="4335673E"/>
    <w:rsid w:val="434214B1"/>
    <w:rsid w:val="4344209F"/>
    <w:rsid w:val="434736F1"/>
    <w:rsid w:val="43485BE5"/>
    <w:rsid w:val="4361784A"/>
    <w:rsid w:val="43747266"/>
    <w:rsid w:val="438B410B"/>
    <w:rsid w:val="43921B47"/>
    <w:rsid w:val="43961F0F"/>
    <w:rsid w:val="43A7763B"/>
    <w:rsid w:val="43F93A06"/>
    <w:rsid w:val="441504E0"/>
    <w:rsid w:val="441B3B85"/>
    <w:rsid w:val="4448064C"/>
    <w:rsid w:val="4449557E"/>
    <w:rsid w:val="447D1650"/>
    <w:rsid w:val="44890AEF"/>
    <w:rsid w:val="448C6831"/>
    <w:rsid w:val="448D4A83"/>
    <w:rsid w:val="449F21FB"/>
    <w:rsid w:val="44D14E02"/>
    <w:rsid w:val="44EB17F0"/>
    <w:rsid w:val="45012D7B"/>
    <w:rsid w:val="450D620A"/>
    <w:rsid w:val="45415293"/>
    <w:rsid w:val="45523759"/>
    <w:rsid w:val="457061C1"/>
    <w:rsid w:val="458A1A8C"/>
    <w:rsid w:val="45C51887"/>
    <w:rsid w:val="45CA6D30"/>
    <w:rsid w:val="45D30C9E"/>
    <w:rsid w:val="45DB35CC"/>
    <w:rsid w:val="45E83F3B"/>
    <w:rsid w:val="45F60406"/>
    <w:rsid w:val="46001D84"/>
    <w:rsid w:val="461349CE"/>
    <w:rsid w:val="46250048"/>
    <w:rsid w:val="463F18ED"/>
    <w:rsid w:val="46732A63"/>
    <w:rsid w:val="468C60CB"/>
    <w:rsid w:val="468E6891"/>
    <w:rsid w:val="46A179CF"/>
    <w:rsid w:val="46AE0FC5"/>
    <w:rsid w:val="46C91AFE"/>
    <w:rsid w:val="46D17295"/>
    <w:rsid w:val="46F222A6"/>
    <w:rsid w:val="46F315F1"/>
    <w:rsid w:val="47075363"/>
    <w:rsid w:val="472B0583"/>
    <w:rsid w:val="47597D28"/>
    <w:rsid w:val="4763700F"/>
    <w:rsid w:val="4770243A"/>
    <w:rsid w:val="47752EC4"/>
    <w:rsid w:val="479A7D63"/>
    <w:rsid w:val="47A87A5B"/>
    <w:rsid w:val="47AC06B8"/>
    <w:rsid w:val="47C55D9C"/>
    <w:rsid w:val="47CC0A4A"/>
    <w:rsid w:val="47D15787"/>
    <w:rsid w:val="47D6229D"/>
    <w:rsid w:val="47D6257B"/>
    <w:rsid w:val="47E75227"/>
    <w:rsid w:val="47EF46A0"/>
    <w:rsid w:val="47EF573B"/>
    <w:rsid w:val="480037BE"/>
    <w:rsid w:val="482B0954"/>
    <w:rsid w:val="483969EC"/>
    <w:rsid w:val="48470F20"/>
    <w:rsid w:val="485271D4"/>
    <w:rsid w:val="48713502"/>
    <w:rsid w:val="4877381E"/>
    <w:rsid w:val="48813600"/>
    <w:rsid w:val="48934632"/>
    <w:rsid w:val="48B219EE"/>
    <w:rsid w:val="48BC0CE4"/>
    <w:rsid w:val="48CB5B60"/>
    <w:rsid w:val="48D03362"/>
    <w:rsid w:val="48DD2752"/>
    <w:rsid w:val="48E31A3B"/>
    <w:rsid w:val="48F652D6"/>
    <w:rsid w:val="49535B70"/>
    <w:rsid w:val="495A6EFE"/>
    <w:rsid w:val="49A01F26"/>
    <w:rsid w:val="49CD46FE"/>
    <w:rsid w:val="49D739B2"/>
    <w:rsid w:val="49EC44A7"/>
    <w:rsid w:val="4A014F1E"/>
    <w:rsid w:val="4A0155CC"/>
    <w:rsid w:val="4A0D0214"/>
    <w:rsid w:val="4A201EF6"/>
    <w:rsid w:val="4A206B92"/>
    <w:rsid w:val="4A3F5731"/>
    <w:rsid w:val="4A70799D"/>
    <w:rsid w:val="4A8E13D7"/>
    <w:rsid w:val="4AA93584"/>
    <w:rsid w:val="4AE22FC9"/>
    <w:rsid w:val="4AF34F14"/>
    <w:rsid w:val="4AFC64BF"/>
    <w:rsid w:val="4B1037B3"/>
    <w:rsid w:val="4B187071"/>
    <w:rsid w:val="4B222D43"/>
    <w:rsid w:val="4B2E2221"/>
    <w:rsid w:val="4B70054B"/>
    <w:rsid w:val="4B795317"/>
    <w:rsid w:val="4B7E2094"/>
    <w:rsid w:val="4B840A70"/>
    <w:rsid w:val="4B8E580C"/>
    <w:rsid w:val="4C1D5DAA"/>
    <w:rsid w:val="4C2C0B3F"/>
    <w:rsid w:val="4C4617EC"/>
    <w:rsid w:val="4C644010"/>
    <w:rsid w:val="4C65101F"/>
    <w:rsid w:val="4C681932"/>
    <w:rsid w:val="4C891FD4"/>
    <w:rsid w:val="4C9444D5"/>
    <w:rsid w:val="4CA7245A"/>
    <w:rsid w:val="4CCF58A6"/>
    <w:rsid w:val="4CFE2FBD"/>
    <w:rsid w:val="4D037326"/>
    <w:rsid w:val="4D6B4EC6"/>
    <w:rsid w:val="4D754306"/>
    <w:rsid w:val="4D785BA5"/>
    <w:rsid w:val="4D8821FE"/>
    <w:rsid w:val="4D9C0C23"/>
    <w:rsid w:val="4D9F32A8"/>
    <w:rsid w:val="4DB43081"/>
    <w:rsid w:val="4DCC7032"/>
    <w:rsid w:val="4DCD6B6E"/>
    <w:rsid w:val="4DD23E4E"/>
    <w:rsid w:val="4DD93B61"/>
    <w:rsid w:val="4E0F699C"/>
    <w:rsid w:val="4E1554E8"/>
    <w:rsid w:val="4E165CBA"/>
    <w:rsid w:val="4E293F23"/>
    <w:rsid w:val="4E373105"/>
    <w:rsid w:val="4E6F6C53"/>
    <w:rsid w:val="4E742810"/>
    <w:rsid w:val="4EA330F5"/>
    <w:rsid w:val="4EE97BC6"/>
    <w:rsid w:val="4EED714A"/>
    <w:rsid w:val="4EF149FD"/>
    <w:rsid w:val="4EF6368E"/>
    <w:rsid w:val="4EFF4711"/>
    <w:rsid w:val="4F1D569D"/>
    <w:rsid w:val="4F2A2BF3"/>
    <w:rsid w:val="4F2C257F"/>
    <w:rsid w:val="4F361873"/>
    <w:rsid w:val="4F6834B3"/>
    <w:rsid w:val="4F702FD7"/>
    <w:rsid w:val="4F7C7BF9"/>
    <w:rsid w:val="4F83122C"/>
    <w:rsid w:val="4F9B31D2"/>
    <w:rsid w:val="4FB46403"/>
    <w:rsid w:val="4FCB4CD4"/>
    <w:rsid w:val="4FD92580"/>
    <w:rsid w:val="5029024E"/>
    <w:rsid w:val="502B5150"/>
    <w:rsid w:val="50331A06"/>
    <w:rsid w:val="506A211C"/>
    <w:rsid w:val="507E34D2"/>
    <w:rsid w:val="508E0CC7"/>
    <w:rsid w:val="50B06452"/>
    <w:rsid w:val="50B66C57"/>
    <w:rsid w:val="50C5414E"/>
    <w:rsid w:val="50CB422D"/>
    <w:rsid w:val="50EC6B73"/>
    <w:rsid w:val="515F1555"/>
    <w:rsid w:val="518677FC"/>
    <w:rsid w:val="51930994"/>
    <w:rsid w:val="519B604A"/>
    <w:rsid w:val="51A330A2"/>
    <w:rsid w:val="51A404A3"/>
    <w:rsid w:val="51C4585C"/>
    <w:rsid w:val="51C56203"/>
    <w:rsid w:val="51EA4D6D"/>
    <w:rsid w:val="52005889"/>
    <w:rsid w:val="522E717A"/>
    <w:rsid w:val="52407A38"/>
    <w:rsid w:val="52477458"/>
    <w:rsid w:val="5258661F"/>
    <w:rsid w:val="528372E3"/>
    <w:rsid w:val="52A15AC5"/>
    <w:rsid w:val="52BD53A1"/>
    <w:rsid w:val="52CF1B72"/>
    <w:rsid w:val="52E361B6"/>
    <w:rsid w:val="530879CB"/>
    <w:rsid w:val="5309429D"/>
    <w:rsid w:val="53101772"/>
    <w:rsid w:val="533A4AA8"/>
    <w:rsid w:val="534722A1"/>
    <w:rsid w:val="53670B95"/>
    <w:rsid w:val="536C199E"/>
    <w:rsid w:val="53841396"/>
    <w:rsid w:val="53AC6FB8"/>
    <w:rsid w:val="53C03E02"/>
    <w:rsid w:val="53EC0D4A"/>
    <w:rsid w:val="54143113"/>
    <w:rsid w:val="543E16D2"/>
    <w:rsid w:val="54492049"/>
    <w:rsid w:val="544D1916"/>
    <w:rsid w:val="545A7E8C"/>
    <w:rsid w:val="5462309E"/>
    <w:rsid w:val="548121BD"/>
    <w:rsid w:val="54853AE4"/>
    <w:rsid w:val="548D462B"/>
    <w:rsid w:val="54A700C1"/>
    <w:rsid w:val="54A83213"/>
    <w:rsid w:val="54B0678C"/>
    <w:rsid w:val="54C24972"/>
    <w:rsid w:val="54D23B0F"/>
    <w:rsid w:val="54DA4235"/>
    <w:rsid w:val="54EC27DF"/>
    <w:rsid w:val="5523233F"/>
    <w:rsid w:val="557C3AB1"/>
    <w:rsid w:val="559519EA"/>
    <w:rsid w:val="55C93441"/>
    <w:rsid w:val="55CF6C58"/>
    <w:rsid w:val="55D678D6"/>
    <w:rsid w:val="55DF32FD"/>
    <w:rsid w:val="55F50BA9"/>
    <w:rsid w:val="55FB55C5"/>
    <w:rsid w:val="56007ADC"/>
    <w:rsid w:val="560F70CD"/>
    <w:rsid w:val="5615359B"/>
    <w:rsid w:val="561B17C3"/>
    <w:rsid w:val="561F5757"/>
    <w:rsid w:val="56325341"/>
    <w:rsid w:val="565F3DA6"/>
    <w:rsid w:val="56602DEA"/>
    <w:rsid w:val="56DB112D"/>
    <w:rsid w:val="56EC39CC"/>
    <w:rsid w:val="57272B15"/>
    <w:rsid w:val="57284198"/>
    <w:rsid w:val="57745530"/>
    <w:rsid w:val="57AB77BF"/>
    <w:rsid w:val="57CC401E"/>
    <w:rsid w:val="57D039F2"/>
    <w:rsid w:val="57D1219B"/>
    <w:rsid w:val="57D165DD"/>
    <w:rsid w:val="57F369F3"/>
    <w:rsid w:val="57F64296"/>
    <w:rsid w:val="57FA3D86"/>
    <w:rsid w:val="580E6439"/>
    <w:rsid w:val="5814296E"/>
    <w:rsid w:val="58201313"/>
    <w:rsid w:val="582A28C8"/>
    <w:rsid w:val="58664C08"/>
    <w:rsid w:val="586E6B25"/>
    <w:rsid w:val="58AD4CA4"/>
    <w:rsid w:val="58C44394"/>
    <w:rsid w:val="58C96466"/>
    <w:rsid w:val="58CB74D0"/>
    <w:rsid w:val="58DD4437"/>
    <w:rsid w:val="58FF0026"/>
    <w:rsid w:val="592474B5"/>
    <w:rsid w:val="59861649"/>
    <w:rsid w:val="59B45899"/>
    <w:rsid w:val="59B91375"/>
    <w:rsid w:val="59BF7B50"/>
    <w:rsid w:val="59D55877"/>
    <w:rsid w:val="59E44CEE"/>
    <w:rsid w:val="59FD190B"/>
    <w:rsid w:val="5A4222C5"/>
    <w:rsid w:val="5A4A32BB"/>
    <w:rsid w:val="5A50583D"/>
    <w:rsid w:val="5A75273E"/>
    <w:rsid w:val="5A9D17A7"/>
    <w:rsid w:val="5AA217E8"/>
    <w:rsid w:val="5AA57201"/>
    <w:rsid w:val="5AB12EC8"/>
    <w:rsid w:val="5AC07302"/>
    <w:rsid w:val="5AD70CAB"/>
    <w:rsid w:val="5AD72E36"/>
    <w:rsid w:val="5AE76118"/>
    <w:rsid w:val="5AF1138B"/>
    <w:rsid w:val="5AF56A87"/>
    <w:rsid w:val="5B7E4CCE"/>
    <w:rsid w:val="5BB2049D"/>
    <w:rsid w:val="5BBE1C67"/>
    <w:rsid w:val="5BDC383F"/>
    <w:rsid w:val="5BE24C05"/>
    <w:rsid w:val="5BE2566E"/>
    <w:rsid w:val="5C72482F"/>
    <w:rsid w:val="5C8322DB"/>
    <w:rsid w:val="5CE9069F"/>
    <w:rsid w:val="5CEA2902"/>
    <w:rsid w:val="5CEF0524"/>
    <w:rsid w:val="5CFA0384"/>
    <w:rsid w:val="5D0A70B3"/>
    <w:rsid w:val="5D1F727F"/>
    <w:rsid w:val="5D5A4D17"/>
    <w:rsid w:val="5D60702A"/>
    <w:rsid w:val="5D8C54B2"/>
    <w:rsid w:val="5D9D327D"/>
    <w:rsid w:val="5D9E0667"/>
    <w:rsid w:val="5DC241E8"/>
    <w:rsid w:val="5DCA2D46"/>
    <w:rsid w:val="5E0F2519"/>
    <w:rsid w:val="5E112CE5"/>
    <w:rsid w:val="5E384F5E"/>
    <w:rsid w:val="5E4F0205"/>
    <w:rsid w:val="5E4F7D47"/>
    <w:rsid w:val="5E5C7295"/>
    <w:rsid w:val="5E7C0C67"/>
    <w:rsid w:val="5E8517DE"/>
    <w:rsid w:val="5E8C0B62"/>
    <w:rsid w:val="5EBF715E"/>
    <w:rsid w:val="5ED43529"/>
    <w:rsid w:val="5EFE4B55"/>
    <w:rsid w:val="5F146299"/>
    <w:rsid w:val="5F214220"/>
    <w:rsid w:val="5F2A1C96"/>
    <w:rsid w:val="5F396456"/>
    <w:rsid w:val="5F460CEB"/>
    <w:rsid w:val="5F4F5BB2"/>
    <w:rsid w:val="5F5C5AC1"/>
    <w:rsid w:val="5F702B80"/>
    <w:rsid w:val="5F7A6523"/>
    <w:rsid w:val="5FBC31AE"/>
    <w:rsid w:val="5FBF1411"/>
    <w:rsid w:val="5FE764F6"/>
    <w:rsid w:val="5FF2007D"/>
    <w:rsid w:val="5FFA3152"/>
    <w:rsid w:val="60351E25"/>
    <w:rsid w:val="604C1F33"/>
    <w:rsid w:val="6051475F"/>
    <w:rsid w:val="60567130"/>
    <w:rsid w:val="606D5821"/>
    <w:rsid w:val="607E307A"/>
    <w:rsid w:val="608428A2"/>
    <w:rsid w:val="60941ABC"/>
    <w:rsid w:val="609B13BC"/>
    <w:rsid w:val="609D79A4"/>
    <w:rsid w:val="60A01B9C"/>
    <w:rsid w:val="60A76A75"/>
    <w:rsid w:val="60B15E5C"/>
    <w:rsid w:val="60BA4918"/>
    <w:rsid w:val="60D94755"/>
    <w:rsid w:val="60DE061A"/>
    <w:rsid w:val="60F67207"/>
    <w:rsid w:val="6130775D"/>
    <w:rsid w:val="61314591"/>
    <w:rsid w:val="615E35D8"/>
    <w:rsid w:val="617757A9"/>
    <w:rsid w:val="617C1CB0"/>
    <w:rsid w:val="61B25BD5"/>
    <w:rsid w:val="61DB6A32"/>
    <w:rsid w:val="6215745A"/>
    <w:rsid w:val="621F4706"/>
    <w:rsid w:val="62285994"/>
    <w:rsid w:val="623929DF"/>
    <w:rsid w:val="623D5375"/>
    <w:rsid w:val="624862DC"/>
    <w:rsid w:val="625753EE"/>
    <w:rsid w:val="628E232B"/>
    <w:rsid w:val="62B81D8C"/>
    <w:rsid w:val="62B92A90"/>
    <w:rsid w:val="62C51434"/>
    <w:rsid w:val="62CB6AF9"/>
    <w:rsid w:val="62F1090B"/>
    <w:rsid w:val="62FB4D24"/>
    <w:rsid w:val="6337186F"/>
    <w:rsid w:val="6381174C"/>
    <w:rsid w:val="63857FF8"/>
    <w:rsid w:val="639332E1"/>
    <w:rsid w:val="63AC20A9"/>
    <w:rsid w:val="63CB4828"/>
    <w:rsid w:val="63ED29F1"/>
    <w:rsid w:val="64032214"/>
    <w:rsid w:val="640B2E77"/>
    <w:rsid w:val="64143D0A"/>
    <w:rsid w:val="646739F0"/>
    <w:rsid w:val="647629E6"/>
    <w:rsid w:val="64BE6B3F"/>
    <w:rsid w:val="64D37E39"/>
    <w:rsid w:val="650976DD"/>
    <w:rsid w:val="65402FF4"/>
    <w:rsid w:val="65421E01"/>
    <w:rsid w:val="6562740E"/>
    <w:rsid w:val="6582360D"/>
    <w:rsid w:val="65991002"/>
    <w:rsid w:val="6599128C"/>
    <w:rsid w:val="659A4240"/>
    <w:rsid w:val="659A7CB2"/>
    <w:rsid w:val="65B91C8E"/>
    <w:rsid w:val="65C07723"/>
    <w:rsid w:val="65E226B5"/>
    <w:rsid w:val="66391F1D"/>
    <w:rsid w:val="66496F3E"/>
    <w:rsid w:val="666F1DE3"/>
    <w:rsid w:val="668902E3"/>
    <w:rsid w:val="668B64F1"/>
    <w:rsid w:val="66BC6EDA"/>
    <w:rsid w:val="66D460EA"/>
    <w:rsid w:val="66D60E2C"/>
    <w:rsid w:val="66E63727"/>
    <w:rsid w:val="66EA3218"/>
    <w:rsid w:val="671958AB"/>
    <w:rsid w:val="674E6482"/>
    <w:rsid w:val="67734A09"/>
    <w:rsid w:val="677671A1"/>
    <w:rsid w:val="67925A3F"/>
    <w:rsid w:val="67980EC5"/>
    <w:rsid w:val="679A5D98"/>
    <w:rsid w:val="679D592D"/>
    <w:rsid w:val="67A535E2"/>
    <w:rsid w:val="67C65A33"/>
    <w:rsid w:val="67D4081C"/>
    <w:rsid w:val="67D87514"/>
    <w:rsid w:val="67F14A2A"/>
    <w:rsid w:val="67F76B3B"/>
    <w:rsid w:val="6801275C"/>
    <w:rsid w:val="680365BA"/>
    <w:rsid w:val="6815067D"/>
    <w:rsid w:val="68246BFD"/>
    <w:rsid w:val="6831044E"/>
    <w:rsid w:val="68437083"/>
    <w:rsid w:val="686A60ED"/>
    <w:rsid w:val="688811B1"/>
    <w:rsid w:val="689F7A52"/>
    <w:rsid w:val="68A208BC"/>
    <w:rsid w:val="68A77BB2"/>
    <w:rsid w:val="68BA088C"/>
    <w:rsid w:val="68E72104"/>
    <w:rsid w:val="68E76EFB"/>
    <w:rsid w:val="68FE0806"/>
    <w:rsid w:val="691F316F"/>
    <w:rsid w:val="6938470E"/>
    <w:rsid w:val="6954706E"/>
    <w:rsid w:val="695D4175"/>
    <w:rsid w:val="6969783F"/>
    <w:rsid w:val="69A2392A"/>
    <w:rsid w:val="69BD4952"/>
    <w:rsid w:val="69D40BF6"/>
    <w:rsid w:val="69D501AF"/>
    <w:rsid w:val="69E46644"/>
    <w:rsid w:val="69E853A1"/>
    <w:rsid w:val="69FA7C16"/>
    <w:rsid w:val="6A32635F"/>
    <w:rsid w:val="6A4C3BF1"/>
    <w:rsid w:val="6A4F30F2"/>
    <w:rsid w:val="6A6908F7"/>
    <w:rsid w:val="6A7E50FF"/>
    <w:rsid w:val="6A823DA7"/>
    <w:rsid w:val="6A876FCF"/>
    <w:rsid w:val="6A9C7D1E"/>
    <w:rsid w:val="6ABE4F03"/>
    <w:rsid w:val="6AC64D7E"/>
    <w:rsid w:val="6AC81AC2"/>
    <w:rsid w:val="6ADF6E0B"/>
    <w:rsid w:val="6AFF65B3"/>
    <w:rsid w:val="6B222D6C"/>
    <w:rsid w:val="6B254BCF"/>
    <w:rsid w:val="6B3E1D84"/>
    <w:rsid w:val="6B4355EC"/>
    <w:rsid w:val="6BC40897"/>
    <w:rsid w:val="6BC703CB"/>
    <w:rsid w:val="6BD6020E"/>
    <w:rsid w:val="6BDB2FAD"/>
    <w:rsid w:val="6BDF67F9"/>
    <w:rsid w:val="6BE15C73"/>
    <w:rsid w:val="6BF15048"/>
    <w:rsid w:val="6C0246C6"/>
    <w:rsid w:val="6C1211AB"/>
    <w:rsid w:val="6C2B055A"/>
    <w:rsid w:val="6C6D609A"/>
    <w:rsid w:val="6C992905"/>
    <w:rsid w:val="6CBA79B8"/>
    <w:rsid w:val="6CD96C05"/>
    <w:rsid w:val="6CF805BB"/>
    <w:rsid w:val="6D070680"/>
    <w:rsid w:val="6D1A3118"/>
    <w:rsid w:val="6D2011DA"/>
    <w:rsid w:val="6D220980"/>
    <w:rsid w:val="6D2E426F"/>
    <w:rsid w:val="6D3D51D6"/>
    <w:rsid w:val="6D535020"/>
    <w:rsid w:val="6D800D2A"/>
    <w:rsid w:val="6D8A12B0"/>
    <w:rsid w:val="6D967619"/>
    <w:rsid w:val="6DA83BC1"/>
    <w:rsid w:val="6DE01131"/>
    <w:rsid w:val="6DE05374"/>
    <w:rsid w:val="6DE245D4"/>
    <w:rsid w:val="6E3D507F"/>
    <w:rsid w:val="6E850D12"/>
    <w:rsid w:val="6EB56801"/>
    <w:rsid w:val="6EB760D5"/>
    <w:rsid w:val="6EDC5B3C"/>
    <w:rsid w:val="6F284C15"/>
    <w:rsid w:val="6F411E43"/>
    <w:rsid w:val="6F4F688F"/>
    <w:rsid w:val="6F6B25EB"/>
    <w:rsid w:val="6F8F195F"/>
    <w:rsid w:val="6F927B85"/>
    <w:rsid w:val="6FB22D40"/>
    <w:rsid w:val="6FBF30CF"/>
    <w:rsid w:val="6FD811AC"/>
    <w:rsid w:val="6FE129CC"/>
    <w:rsid w:val="700A56FD"/>
    <w:rsid w:val="701D28B0"/>
    <w:rsid w:val="703419D5"/>
    <w:rsid w:val="7036594A"/>
    <w:rsid w:val="703F45D4"/>
    <w:rsid w:val="703F69CB"/>
    <w:rsid w:val="70651B62"/>
    <w:rsid w:val="706D7CD0"/>
    <w:rsid w:val="70763D6E"/>
    <w:rsid w:val="70A1703D"/>
    <w:rsid w:val="70F10E34"/>
    <w:rsid w:val="70F80C27"/>
    <w:rsid w:val="70F84783"/>
    <w:rsid w:val="711A7369"/>
    <w:rsid w:val="712612F0"/>
    <w:rsid w:val="713235D9"/>
    <w:rsid w:val="714878B7"/>
    <w:rsid w:val="71541933"/>
    <w:rsid w:val="71752277"/>
    <w:rsid w:val="71793B16"/>
    <w:rsid w:val="717F3A62"/>
    <w:rsid w:val="71AA4AED"/>
    <w:rsid w:val="71B84F75"/>
    <w:rsid w:val="71D4256B"/>
    <w:rsid w:val="71F907B3"/>
    <w:rsid w:val="720174E6"/>
    <w:rsid w:val="7205184D"/>
    <w:rsid w:val="72125CA1"/>
    <w:rsid w:val="7230428E"/>
    <w:rsid w:val="723B701D"/>
    <w:rsid w:val="725D2A3F"/>
    <w:rsid w:val="725D683C"/>
    <w:rsid w:val="726D32FA"/>
    <w:rsid w:val="726F5A90"/>
    <w:rsid w:val="72A26FC6"/>
    <w:rsid w:val="72AF2147"/>
    <w:rsid w:val="72D60AF4"/>
    <w:rsid w:val="72FF629D"/>
    <w:rsid w:val="730B7BEC"/>
    <w:rsid w:val="73520AC2"/>
    <w:rsid w:val="735B4865"/>
    <w:rsid w:val="73AD0D55"/>
    <w:rsid w:val="74163580"/>
    <w:rsid w:val="7420471D"/>
    <w:rsid w:val="745D556B"/>
    <w:rsid w:val="746421C6"/>
    <w:rsid w:val="74666559"/>
    <w:rsid w:val="7491561A"/>
    <w:rsid w:val="74AE1D28"/>
    <w:rsid w:val="74B530B7"/>
    <w:rsid w:val="74BD66F7"/>
    <w:rsid w:val="750202C6"/>
    <w:rsid w:val="751146CC"/>
    <w:rsid w:val="751F49D4"/>
    <w:rsid w:val="75232716"/>
    <w:rsid w:val="753E3C2F"/>
    <w:rsid w:val="753E3D67"/>
    <w:rsid w:val="755328DE"/>
    <w:rsid w:val="75707835"/>
    <w:rsid w:val="759402D0"/>
    <w:rsid w:val="7595707E"/>
    <w:rsid w:val="7597289D"/>
    <w:rsid w:val="75C452DF"/>
    <w:rsid w:val="75C75C73"/>
    <w:rsid w:val="75E34C42"/>
    <w:rsid w:val="75EE4F16"/>
    <w:rsid w:val="75F145C2"/>
    <w:rsid w:val="762A3631"/>
    <w:rsid w:val="763271E4"/>
    <w:rsid w:val="7645046A"/>
    <w:rsid w:val="766E2575"/>
    <w:rsid w:val="767C0592"/>
    <w:rsid w:val="76982C90"/>
    <w:rsid w:val="769D02A6"/>
    <w:rsid w:val="76B7241E"/>
    <w:rsid w:val="76B81770"/>
    <w:rsid w:val="76D92CA1"/>
    <w:rsid w:val="76F11604"/>
    <w:rsid w:val="772E7A2D"/>
    <w:rsid w:val="772F0500"/>
    <w:rsid w:val="772F5C85"/>
    <w:rsid w:val="77536BB7"/>
    <w:rsid w:val="77561473"/>
    <w:rsid w:val="776A1BEC"/>
    <w:rsid w:val="777D3C34"/>
    <w:rsid w:val="778F52FB"/>
    <w:rsid w:val="779D7E32"/>
    <w:rsid w:val="779F2DCF"/>
    <w:rsid w:val="77F13392"/>
    <w:rsid w:val="77F42148"/>
    <w:rsid w:val="77F71192"/>
    <w:rsid w:val="7802238B"/>
    <w:rsid w:val="78253FA6"/>
    <w:rsid w:val="782C0819"/>
    <w:rsid w:val="783C55BA"/>
    <w:rsid w:val="78415F82"/>
    <w:rsid w:val="786A41B8"/>
    <w:rsid w:val="78804DE9"/>
    <w:rsid w:val="788368BD"/>
    <w:rsid w:val="788A3E7D"/>
    <w:rsid w:val="78906515"/>
    <w:rsid w:val="78C315A8"/>
    <w:rsid w:val="78C95383"/>
    <w:rsid w:val="78D70E21"/>
    <w:rsid w:val="79020FDC"/>
    <w:rsid w:val="790740FD"/>
    <w:rsid w:val="792B4160"/>
    <w:rsid w:val="79330A4E"/>
    <w:rsid w:val="795A422D"/>
    <w:rsid w:val="7975478C"/>
    <w:rsid w:val="797846B3"/>
    <w:rsid w:val="79BA1E84"/>
    <w:rsid w:val="79C142AC"/>
    <w:rsid w:val="79C8677B"/>
    <w:rsid w:val="79D37420"/>
    <w:rsid w:val="79E623C1"/>
    <w:rsid w:val="79E87094"/>
    <w:rsid w:val="79FC4A31"/>
    <w:rsid w:val="79FF11DC"/>
    <w:rsid w:val="7A1A39BC"/>
    <w:rsid w:val="7A2F2CC5"/>
    <w:rsid w:val="7A432F13"/>
    <w:rsid w:val="7A5F5873"/>
    <w:rsid w:val="7A666C01"/>
    <w:rsid w:val="7A763AAF"/>
    <w:rsid w:val="7A9B4773"/>
    <w:rsid w:val="7A9D7478"/>
    <w:rsid w:val="7AB056EA"/>
    <w:rsid w:val="7AB41A94"/>
    <w:rsid w:val="7ACF461A"/>
    <w:rsid w:val="7AD13176"/>
    <w:rsid w:val="7AD72AD6"/>
    <w:rsid w:val="7B02692A"/>
    <w:rsid w:val="7B1151E8"/>
    <w:rsid w:val="7B4231CA"/>
    <w:rsid w:val="7B5209BE"/>
    <w:rsid w:val="7B53776E"/>
    <w:rsid w:val="7B566C76"/>
    <w:rsid w:val="7B676A43"/>
    <w:rsid w:val="7B713D1E"/>
    <w:rsid w:val="7B7A2964"/>
    <w:rsid w:val="7B9E6C8D"/>
    <w:rsid w:val="7BA35FEE"/>
    <w:rsid w:val="7BB165F5"/>
    <w:rsid w:val="7BF41329"/>
    <w:rsid w:val="7BF73FB5"/>
    <w:rsid w:val="7BFF64B9"/>
    <w:rsid w:val="7C073DAD"/>
    <w:rsid w:val="7C151E9A"/>
    <w:rsid w:val="7C396C7F"/>
    <w:rsid w:val="7C4B02A7"/>
    <w:rsid w:val="7C5331B5"/>
    <w:rsid w:val="7C572CA5"/>
    <w:rsid w:val="7C5B52E4"/>
    <w:rsid w:val="7CA37C99"/>
    <w:rsid w:val="7CB43C54"/>
    <w:rsid w:val="7CC271D1"/>
    <w:rsid w:val="7CE315E7"/>
    <w:rsid w:val="7CE86B63"/>
    <w:rsid w:val="7CF20C20"/>
    <w:rsid w:val="7CF87523"/>
    <w:rsid w:val="7D381224"/>
    <w:rsid w:val="7D4700A6"/>
    <w:rsid w:val="7D4F4938"/>
    <w:rsid w:val="7D7F008F"/>
    <w:rsid w:val="7D8950E1"/>
    <w:rsid w:val="7D97094B"/>
    <w:rsid w:val="7DAA32A9"/>
    <w:rsid w:val="7DB55ED6"/>
    <w:rsid w:val="7DCC76C3"/>
    <w:rsid w:val="7DEE4EC3"/>
    <w:rsid w:val="7E0E3838"/>
    <w:rsid w:val="7E3A288C"/>
    <w:rsid w:val="7E4B28F9"/>
    <w:rsid w:val="7E527BC8"/>
    <w:rsid w:val="7E590F57"/>
    <w:rsid w:val="7E786F03"/>
    <w:rsid w:val="7E985CF2"/>
    <w:rsid w:val="7EC565EC"/>
    <w:rsid w:val="7ECF2FC7"/>
    <w:rsid w:val="7ED04E27"/>
    <w:rsid w:val="7ED94D91"/>
    <w:rsid w:val="7EE62A2F"/>
    <w:rsid w:val="7EEF47C4"/>
    <w:rsid w:val="7F016EF9"/>
    <w:rsid w:val="7F164ED1"/>
    <w:rsid w:val="7F2E1DF6"/>
    <w:rsid w:val="7F4354BF"/>
    <w:rsid w:val="7F764099"/>
    <w:rsid w:val="7F923FCB"/>
    <w:rsid w:val="7FA77AA0"/>
    <w:rsid w:val="7FC60E4A"/>
    <w:rsid w:val="7FDB599C"/>
  </w:rsids>
  <w:docVars>
    <w:docVar w:name="commondata" w:val="eyJoZGlkIjoiYmQ3NjQxYmZmN2ZkODIxYWNiNTEzMzQyMTZmNzQ1MmM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semiHidden="0" w:uiPriority="0" w:unhideWhenUsed="0" w:qFormat="1"/>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semiHidden="0" w:uiPriority="0" w:unhideWhenUsed="0" w:qFormat="1"/>
    <w:lsdException w:name="footnote text" w:uiPriority="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uiPriority="0"/>
    <w:lsdException w:name="caption" w:uiPriority="0" w:qFormat="1"/>
    <w:lsdException w:name="table of figures" w:uiPriority="0"/>
    <w:lsdException w:name="envelope address" w:uiPriority="0"/>
    <w:lsdException w:name="envelope return" w:uiPriority="0"/>
    <w:lsdException w:name="footnote reference" w:uiPriority="0"/>
    <w:lsdException w:name="annotation reference" w:uiPriority="0"/>
    <w:lsdException w:name="line number" w:uiPriority="0"/>
    <w:lsdException w:name="page number" w:semiHidden="0" w:uiPriority="0" w:unhideWhenUsed="0" w:qFormat="1"/>
    <w:lsdException w:name="endnote reference" w:uiPriority="0"/>
    <w:lsdException w:name="endnote text" w:uiPriority="0"/>
    <w:lsdException w:name="table of authorities" w:uiPriority="0"/>
    <w:lsdException w:name="macro" w:uiPriority="0"/>
    <w:lsdException w:name="toa heading" w:semiHidden="0" w:uiPriority="0" w:unhideWhenUsed="0" w:qFormat="1"/>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semiHidden="0" w:uiPriority="1" w:qFormat="1"/>
    <w:lsdException w:name="Body Text" w:semiHidden="0" w:uiPriority="0" w:unhideWhenUsed="0" w:qFormat="1"/>
    <w:lsdException w:name="Body Text Indent" w:semiHidden="0" w:uiPriority="0" w:unhideWhenUsed="0" w:qFormat="1"/>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semiHidden="0" w:uiPriority="0" w:unhideWhenUsed="0" w:qFormat="1"/>
    <w:lsdException w:name="Body Text First Indent 2" w:semiHidden="0" w:uiPriority="0" w:unhideWhenUsed="0" w:qFormat="1"/>
    <w:lsdException w:name="Note Heading" w:uiPriority="0"/>
    <w:lsdException w:name="Body Text 2" w:semiHidden="0" w:uiPriority="0" w:unhideWhenUsed="0" w:qFormat="1"/>
    <w:lsdException w:name="Body Text 3" w:semiHidden="0" w:uiPriority="0" w:unhideWhenUsed="0" w:qFormat="1"/>
    <w:lsdException w:name="Body Text Indent 2" w:semiHidden="0" w:qFormat="1"/>
    <w:lsdException w:name="Body Text Indent 3" w:uiPriority="0"/>
    <w:lsdException w:name="Block Text" w:uiPriority="0"/>
    <w:lsdException w:name="Hyperlink" w:semiHidden="0" w:uiPriority="0" w:unhideWhenUsed="0" w:qFormat="1"/>
    <w:lsdException w:name="FollowedHyperlink" w:semiHidden="0" w:uiPriority="0" w:unhideWhenUsed="0" w:qFormat="1"/>
    <w:lsdException w:name="Strong" w:semiHidden="0" w:uiPriority="0" w:unhideWhenUsed="0" w:qFormat="1"/>
    <w:lsdException w:name="Emphasis" w:semiHidden="0" w:uiPriority="0" w:unhideWhenUsed="0" w:qFormat="1"/>
    <w:lsdException w:name="Document Map" w:semiHidden="0" w:uiPriority="0" w:unhideWhenUsed="0" w:qFormat="1"/>
    <w:lsdException w:name="Plain Text" w:semiHidden="0" w:uiPriority="0" w:unhideWhenUsed="0" w:qFormat="1"/>
    <w:lsdException w:name="E-mail Signature" w:uiPriority="0"/>
    <w:lsdException w:name="Normal (Web)" w:semiHidden="0" w:uiPriority="0" w:unhideWhenUsed="0" w:qFormat="1"/>
    <w:lsdException w:name="HTML Acronym" w:uiPriority="0"/>
    <w:lsdException w:name="HTML Address" w:uiPriority="0"/>
    <w:lsdException w:name="HTML Cite" w:semiHidden="0" w:uiPriority="0" w:unhideWhenUsed="0" w:qFormat="1"/>
    <w:lsdException w:name="HTML Code" w:semiHidden="0" w:uiPriority="0" w:unhideWhenUsed="0" w:qFormat="1"/>
    <w:lsdException w:name="HTML Definition" w:semiHidden="0" w:uiPriority="0" w:unhideWhenUsed="0" w:qFormat="1"/>
    <w:lsdException w:name="HTML Keyboard" w:semiHidden="0" w:uiPriority="0" w:unhideWhenUsed="0" w:qFormat="1"/>
    <w:lsdException w:name="HTML Preformatted" w:uiPriority="0"/>
    <w:lsdException w:name="HTML Sample" w:semiHidden="0" w:uiPriority="0" w:unhideWhenUsed="0" w:qFormat="1"/>
    <w:lsdException w:name="HTML Typewriter" w:uiPriority="0"/>
    <w:lsdException w:name="HTML Variable" w:semiHidden="0" w:uiPriority="0" w:unhideWhenUsed="0" w:qFormat="1"/>
    <w:lsdException w:name="Normal Table" w:semiHidden="0" w:qFormat="1"/>
    <w:lsdException w:name="annotation subject"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semiHidden="0" w:uiPriority="0" w:unhideWhenUsed="0"/>
    <w:lsdException w:name="Table Web 3" w:semiHidden="0" w:uiPriority="0" w:unhideWhenUsed="0"/>
    <w:lsdException w:name="Balloon Text" w:semiHidden="0" w:uiPriority="0" w:unhideWhenUsed="0" w:qFormat="1"/>
    <w:lsdException w:name="Table Grid" w:semiHidden="0" w:uiPriority="0"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next w:val="BodyTextFirstIndent"/>
    <w:qFormat/>
    <w:pPr>
      <w:widowControl w:val="0"/>
      <w:jc w:val="both"/>
    </w:pPr>
    <w:rPr>
      <w:rFonts w:ascii="Times New Roman" w:eastAsia="宋体" w:hAnsi="Times New Roman" w:cs="Times New Roman"/>
      <w:kern w:val="2"/>
      <w:sz w:val="21"/>
      <w:szCs w:val="24"/>
      <w:lang w:val="en-US" w:eastAsia="zh-CN" w:bidi="ar-SA"/>
    </w:rPr>
  </w:style>
  <w:style w:type="paragraph" w:styleId="Heading1">
    <w:name w:val="heading 1"/>
    <w:basedOn w:val="Normal"/>
    <w:next w:val="Normal"/>
    <w:qFormat/>
    <w:pPr>
      <w:keepNext/>
      <w:keepLines/>
      <w:spacing w:before="120" w:after="120"/>
      <w:jc w:val="center"/>
      <w:outlineLvl w:val="0"/>
    </w:pPr>
    <w:rPr>
      <w:b/>
      <w:spacing w:val="20"/>
      <w:kern w:val="44"/>
      <w:sz w:val="32"/>
    </w:rPr>
  </w:style>
  <w:style w:type="paragraph" w:styleId="Heading2">
    <w:name w:val="heading 2"/>
    <w:basedOn w:val="Normal"/>
    <w:next w:val="Normal"/>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link w:val="3"/>
    <w:qFormat/>
    <w:pPr>
      <w:keepNext/>
      <w:keepLines/>
      <w:spacing w:before="260" w:after="260" w:line="416" w:lineRule="auto"/>
      <w:outlineLvl w:val="2"/>
    </w:pPr>
    <w:rPr>
      <w:b/>
      <w:bCs/>
      <w:kern w:val="0"/>
      <w:sz w:val="32"/>
      <w:szCs w:val="32"/>
    </w:rPr>
  </w:style>
  <w:style w:type="paragraph" w:styleId="Heading4">
    <w:name w:val="heading 4"/>
    <w:basedOn w:val="Normal"/>
    <w:next w:val="Normal"/>
    <w:link w:val="4"/>
    <w:qFormat/>
    <w:pPr>
      <w:keepNext/>
      <w:keepLines/>
      <w:spacing w:before="280" w:after="290" w:line="376" w:lineRule="auto"/>
      <w:outlineLvl w:val="3"/>
    </w:pPr>
    <w:rPr>
      <w:rFonts w:ascii="Arial" w:eastAsia="黑体" w:hAnsi="Arial"/>
      <w:b/>
      <w:bCs/>
      <w:kern w:val="0"/>
      <w:sz w:val="28"/>
      <w:szCs w:val="28"/>
    </w:rPr>
  </w:style>
  <w:style w:type="character" w:default="1" w:styleId="DefaultParagraphFont">
    <w:name w:val="Default Paragraph Font"/>
    <w:uiPriority w:val="1"/>
    <w:unhideWhenUsed/>
    <w:qFormat/>
  </w:style>
  <w:style w:type="table" w:default="1" w:styleId="TableNormal">
    <w:name w:val="Normal Table"/>
    <w:uiPriority w:val="99"/>
    <w:unhideWhenUsed/>
    <w:qFormat/>
    <w:tblPr>
      <w:tblCellMar>
        <w:top w:w="0" w:type="dxa"/>
        <w:left w:w="108" w:type="dxa"/>
        <w:bottom w:w="0" w:type="dxa"/>
        <w:right w:w="108" w:type="dxa"/>
      </w:tblCellMar>
    </w:tblPr>
  </w:style>
  <w:style w:type="paragraph" w:styleId="BodyTextFirstIndent">
    <w:name w:val="Body Text First Indent"/>
    <w:basedOn w:val="BodyText"/>
    <w:next w:val="Normal"/>
    <w:qFormat/>
    <w:pPr>
      <w:ind w:firstLine="420" w:firstLineChars="100"/>
    </w:pPr>
  </w:style>
  <w:style w:type="paragraph" w:styleId="BodyText">
    <w:name w:val="Body Text"/>
    <w:basedOn w:val="Normal"/>
    <w:next w:val="Normal"/>
    <w:link w:val="a0"/>
    <w:qFormat/>
    <w:pPr>
      <w:spacing w:after="120"/>
    </w:pPr>
  </w:style>
  <w:style w:type="paragraph" w:styleId="NormalIndent">
    <w:name w:val="Normal Indent"/>
    <w:basedOn w:val="Normal"/>
    <w:qFormat/>
    <w:pPr>
      <w:ind w:firstLine="420"/>
    </w:pPr>
  </w:style>
  <w:style w:type="paragraph" w:styleId="DocumentMap">
    <w:name w:val="Document Map"/>
    <w:basedOn w:val="Normal"/>
    <w:qFormat/>
    <w:pPr>
      <w:shd w:val="clear" w:color="auto" w:fill="000080"/>
    </w:pPr>
  </w:style>
  <w:style w:type="paragraph" w:styleId="TOAHeading">
    <w:name w:val="toa heading"/>
    <w:basedOn w:val="Normal"/>
    <w:next w:val="Normal"/>
    <w:qFormat/>
    <w:pPr>
      <w:spacing w:before="120"/>
    </w:pPr>
    <w:rPr>
      <w:rFonts w:ascii="Cambria" w:hAnsi="Cambria"/>
    </w:rPr>
  </w:style>
  <w:style w:type="paragraph" w:styleId="CommentText">
    <w:name w:val="annotation text"/>
    <w:basedOn w:val="Normal"/>
    <w:link w:val="a"/>
    <w:qFormat/>
    <w:pPr>
      <w:jc w:val="left"/>
    </w:pPr>
  </w:style>
  <w:style w:type="paragraph" w:styleId="BodyText3">
    <w:name w:val="Body Text 3"/>
    <w:basedOn w:val="Normal"/>
    <w:qFormat/>
    <w:rPr>
      <w:rFonts w:ascii="宋体" w:hint="eastAsia"/>
      <w:sz w:val="24"/>
      <w:szCs w:val="20"/>
    </w:rPr>
  </w:style>
  <w:style w:type="paragraph" w:styleId="BodyTextIndent">
    <w:name w:val="Body Text Indent"/>
    <w:basedOn w:val="Normal"/>
    <w:next w:val="Normal"/>
    <w:qFormat/>
    <w:pPr>
      <w:ind w:firstLine="570"/>
    </w:pPr>
    <w:rPr>
      <w:rFonts w:ascii="宋体" w:hAnsi="宋体"/>
      <w:sz w:val="28"/>
      <w:szCs w:val="20"/>
    </w:rPr>
  </w:style>
  <w:style w:type="paragraph" w:styleId="PlainText">
    <w:name w:val="Plain Text"/>
    <w:basedOn w:val="Normal"/>
    <w:next w:val="Normal"/>
    <w:qFormat/>
    <w:pPr>
      <w:spacing w:line="360" w:lineRule="auto"/>
      <w:ind w:firstLine="510"/>
    </w:pPr>
    <w:rPr>
      <w:rFonts w:ascii="宋体" w:hAnsi="Courier New"/>
      <w:sz w:val="24"/>
      <w:szCs w:val="20"/>
    </w:rPr>
  </w:style>
  <w:style w:type="paragraph" w:styleId="BodyTextIndent2">
    <w:name w:val="Body Text Indent 2"/>
    <w:basedOn w:val="Normal"/>
    <w:next w:val="Normal"/>
    <w:uiPriority w:val="99"/>
    <w:unhideWhenUsed/>
    <w:qFormat/>
    <w:pPr>
      <w:spacing w:after="120" w:line="480" w:lineRule="auto"/>
      <w:ind w:left="420" w:leftChars="200"/>
    </w:pPr>
  </w:style>
  <w:style w:type="paragraph" w:styleId="BalloonText">
    <w:name w:val="Balloon Text"/>
    <w:basedOn w:val="Normal"/>
    <w:link w:val="a1"/>
    <w:qFormat/>
    <w:rPr>
      <w:sz w:val="18"/>
      <w:szCs w:val="18"/>
    </w:rPr>
  </w:style>
  <w:style w:type="paragraph" w:styleId="Footer">
    <w:name w:val="footer"/>
    <w:basedOn w:val="Normal"/>
    <w:qFormat/>
    <w:pPr>
      <w:tabs>
        <w:tab w:val="center" w:pos="4153"/>
        <w:tab w:val="right" w:pos="8306"/>
      </w:tabs>
      <w:snapToGrid w:val="0"/>
      <w:jc w:val="left"/>
    </w:pPr>
    <w:rPr>
      <w:sz w:val="18"/>
      <w:szCs w:val="18"/>
    </w:rPr>
  </w:style>
  <w:style w:type="paragraph" w:styleId="Header">
    <w:name w:val="header"/>
    <w:basedOn w:val="Normal"/>
    <w:qFormat/>
    <w:pPr>
      <w:pBdr>
        <w:bottom w:val="single" w:sz="6" w:space="1" w:color="auto"/>
      </w:pBdr>
      <w:tabs>
        <w:tab w:val="center" w:pos="4153"/>
        <w:tab w:val="right" w:pos="8306"/>
      </w:tabs>
      <w:snapToGrid w:val="0"/>
    </w:pPr>
    <w:rPr>
      <w:szCs w:val="21"/>
    </w:rPr>
  </w:style>
  <w:style w:type="paragraph" w:styleId="TOC1">
    <w:name w:val="toc 1"/>
    <w:basedOn w:val="Normal"/>
    <w:next w:val="Normal"/>
    <w:qFormat/>
    <w:pPr>
      <w:tabs>
        <w:tab w:val="right" w:leader="dot" w:pos="9060"/>
      </w:tabs>
      <w:spacing w:line="480" w:lineRule="exact"/>
      <w:jc w:val="center"/>
    </w:pPr>
    <w:rPr>
      <w:rFonts w:ascii="宋体" w:hAnsi="宋体"/>
      <w:b/>
      <w:sz w:val="44"/>
      <w:szCs w:val="44"/>
    </w:rPr>
  </w:style>
  <w:style w:type="paragraph" w:styleId="Subtitle">
    <w:name w:val="Subtitle"/>
    <w:basedOn w:val="Normal"/>
    <w:next w:val="Normal"/>
    <w:qFormat/>
    <w:pPr>
      <w:spacing w:before="240" w:after="60" w:line="312" w:lineRule="auto"/>
      <w:jc w:val="center"/>
      <w:outlineLvl w:val="1"/>
    </w:pPr>
    <w:rPr>
      <w:rFonts w:ascii="Cambria" w:hAnsi="Cambria"/>
      <w:b/>
      <w:bCs/>
      <w:kern w:val="28"/>
      <w:sz w:val="32"/>
      <w:szCs w:val="32"/>
    </w:rPr>
  </w:style>
  <w:style w:type="paragraph" w:styleId="BodyText2">
    <w:name w:val="Body Text 2"/>
    <w:basedOn w:val="Normal"/>
    <w:qFormat/>
    <w:pPr>
      <w:spacing w:line="400" w:lineRule="exact"/>
    </w:pPr>
    <w:rPr>
      <w:rFonts w:ascii="宋体"/>
      <w:color w:val="FF00FF"/>
      <w:sz w:val="24"/>
      <w:shd w:val="pct10" w:color="auto" w:fill="FFFFFF"/>
    </w:rPr>
  </w:style>
  <w:style w:type="paragraph" w:styleId="NormalWeb">
    <w:name w:val="Normal (Web)"/>
    <w:basedOn w:val="Normal"/>
    <w:qFormat/>
    <w:pPr>
      <w:spacing w:after="150"/>
      <w:jc w:val="left"/>
    </w:pPr>
    <w:rPr>
      <w:rFonts w:ascii="微软雅黑" w:eastAsia="微软雅黑" w:hAnsi="微软雅黑"/>
      <w:color w:val="454545"/>
      <w:kern w:val="0"/>
      <w:sz w:val="24"/>
    </w:rPr>
  </w:style>
  <w:style w:type="paragraph" w:styleId="BodyTextFirstIndent2">
    <w:name w:val="Body Text First Indent 2"/>
    <w:basedOn w:val="BodyTextIndent"/>
    <w:next w:val="Normal"/>
    <w:qFormat/>
    <w:pPr>
      <w:spacing w:line="400" w:lineRule="exact"/>
      <w:ind w:firstLine="420"/>
    </w:p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qFormat/>
    <w:rPr>
      <w:b/>
    </w:rPr>
  </w:style>
  <w:style w:type="character" w:styleId="PageNumber">
    <w:name w:val="page number"/>
    <w:basedOn w:val="DefaultParagraphFont"/>
    <w:qFormat/>
  </w:style>
  <w:style w:type="character" w:styleId="FollowedHyperlink">
    <w:name w:val="FollowedHyperlink"/>
    <w:basedOn w:val="DefaultParagraphFont"/>
    <w:qFormat/>
    <w:rPr>
      <w:color w:val="338DE6"/>
      <w:u w:val="none"/>
    </w:rPr>
  </w:style>
  <w:style w:type="character" w:styleId="Emphasis">
    <w:name w:val="Emphasis"/>
    <w:basedOn w:val="DefaultParagraphFont"/>
    <w:qFormat/>
  </w:style>
  <w:style w:type="character" w:styleId="HTMLDefinition">
    <w:name w:val="HTML Definition"/>
    <w:basedOn w:val="DefaultParagraphFont"/>
    <w:qFormat/>
  </w:style>
  <w:style w:type="character" w:styleId="HTMLVariable">
    <w:name w:val="HTML Variable"/>
    <w:basedOn w:val="DefaultParagraphFont"/>
    <w:qFormat/>
  </w:style>
  <w:style w:type="character" w:styleId="Hyperlink">
    <w:name w:val="Hyperlink"/>
    <w:basedOn w:val="DefaultParagraphFont"/>
    <w:qFormat/>
    <w:rPr>
      <w:color w:val="0000FF"/>
      <w:u w:val="single"/>
    </w:rPr>
  </w:style>
  <w:style w:type="character" w:styleId="HTMLCode">
    <w:name w:val="HTML Code"/>
    <w:basedOn w:val="DefaultParagraphFont"/>
    <w:qFormat/>
    <w:rPr>
      <w:rFonts w:ascii="monospace" w:eastAsia="monospace" w:hAnsi="monospace" w:cs="monospace"/>
      <w:sz w:val="21"/>
      <w:szCs w:val="21"/>
    </w:rPr>
  </w:style>
  <w:style w:type="character" w:styleId="HTMLCite">
    <w:name w:val="HTML Cite"/>
    <w:basedOn w:val="DefaultParagraphFont"/>
    <w:qFormat/>
  </w:style>
  <w:style w:type="character" w:styleId="HTMLKeyboard">
    <w:name w:val="HTML Keyboard"/>
    <w:basedOn w:val="DefaultParagraphFont"/>
    <w:qFormat/>
    <w:rPr>
      <w:rFonts w:ascii="monospace" w:eastAsia="monospace" w:hAnsi="monospace" w:cs="monospace" w:hint="default"/>
      <w:sz w:val="21"/>
      <w:szCs w:val="21"/>
    </w:rPr>
  </w:style>
  <w:style w:type="character" w:styleId="HTMLSample">
    <w:name w:val="HTML Sample"/>
    <w:basedOn w:val="DefaultParagraphFont"/>
    <w:qFormat/>
    <w:rPr>
      <w:rFonts w:ascii="monospace" w:eastAsia="monospace" w:hAnsi="monospace" w:cs="monospace" w:hint="default"/>
      <w:sz w:val="21"/>
      <w:szCs w:val="21"/>
    </w:rPr>
  </w:style>
  <w:style w:type="character" w:customStyle="1" w:styleId="3">
    <w:name w:val="标题 3 字符"/>
    <w:link w:val="Heading3"/>
    <w:qFormat/>
    <w:rPr>
      <w:b/>
      <w:bCs/>
      <w:kern w:val="0"/>
      <w:sz w:val="32"/>
      <w:szCs w:val="32"/>
    </w:rPr>
  </w:style>
  <w:style w:type="character" w:customStyle="1" w:styleId="4">
    <w:name w:val="标题 4 字符"/>
    <w:link w:val="Heading4"/>
    <w:qFormat/>
    <w:rPr>
      <w:rFonts w:ascii="Arial" w:eastAsia="黑体" w:hAnsi="Arial"/>
      <w:b/>
      <w:bCs/>
      <w:kern w:val="0"/>
      <w:sz w:val="28"/>
      <w:szCs w:val="28"/>
    </w:rPr>
  </w:style>
  <w:style w:type="character" w:customStyle="1" w:styleId="a">
    <w:name w:val="批注文字 字符"/>
    <w:link w:val="CommentText"/>
    <w:qFormat/>
    <w:rPr>
      <w:kern w:val="2"/>
      <w:sz w:val="21"/>
      <w:szCs w:val="24"/>
    </w:rPr>
  </w:style>
  <w:style w:type="character" w:customStyle="1" w:styleId="a0">
    <w:name w:val="正文文本 字符"/>
    <w:basedOn w:val="DefaultParagraphFont"/>
    <w:link w:val="BodyText"/>
    <w:qFormat/>
    <w:rPr>
      <w:kern w:val="2"/>
      <w:sz w:val="21"/>
      <w:szCs w:val="24"/>
    </w:rPr>
  </w:style>
  <w:style w:type="character" w:customStyle="1" w:styleId="a1">
    <w:name w:val="批注框文本 字符"/>
    <w:basedOn w:val="DefaultParagraphFont"/>
    <w:link w:val="BalloonText"/>
    <w:qFormat/>
    <w:rPr>
      <w:kern w:val="2"/>
      <w:sz w:val="18"/>
      <w:szCs w:val="18"/>
    </w:rPr>
  </w:style>
  <w:style w:type="paragraph" w:customStyle="1" w:styleId="1">
    <w:name w:val="无间隔1"/>
    <w:next w:val="Normal"/>
    <w:qFormat/>
    <w:pPr>
      <w:widowControl w:val="0"/>
      <w:jc w:val="both"/>
    </w:pPr>
    <w:rPr>
      <w:rFonts w:ascii="Calibri" w:eastAsia="宋体" w:hAnsi="Calibri" w:cs="黑体"/>
      <w:kern w:val="2"/>
      <w:sz w:val="21"/>
      <w:szCs w:val="22"/>
      <w:lang w:val="en-US" w:eastAsia="zh-CN" w:bidi="ar-SA"/>
    </w:rPr>
  </w:style>
  <w:style w:type="paragraph" w:customStyle="1" w:styleId="pa-0">
    <w:name w:val="pa-0"/>
    <w:basedOn w:val="Normal"/>
    <w:qFormat/>
    <w:pPr>
      <w:widowControl/>
      <w:spacing w:before="150" w:after="150"/>
      <w:jc w:val="left"/>
    </w:pPr>
    <w:rPr>
      <w:rFonts w:ascii="宋体" w:hAnsi="宋体" w:cs="宋体"/>
      <w:kern w:val="0"/>
      <w:sz w:val="24"/>
    </w:rPr>
  </w:style>
  <w:style w:type="character" w:customStyle="1" w:styleId="articletitle1">
    <w:name w:val="articletitle1"/>
    <w:qFormat/>
    <w:rPr>
      <w:rFonts w:ascii="宋体" w:eastAsia="宋体" w:hAnsi="宋体" w:hint="eastAsia"/>
      <w:b/>
      <w:bCs/>
      <w:color w:val="000000"/>
      <w:sz w:val="33"/>
      <w:szCs w:val="33"/>
    </w:r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character" w:customStyle="1" w:styleId="ca-1">
    <w:name w:val="ca-1"/>
    <w:basedOn w:val="DefaultParagraphFont"/>
    <w:qFormat/>
  </w:style>
  <w:style w:type="character" w:customStyle="1" w:styleId="ca-0">
    <w:name w:val="ca-0"/>
    <w:basedOn w:val="DefaultParagraphFont"/>
    <w:qFormat/>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lang w:val="en-US" w:eastAsia="zh-CN" w:bidi="ar-SA"/>
    </w:rPr>
  </w:style>
  <w:style w:type="paragraph" w:customStyle="1" w:styleId="p0">
    <w:name w:val="p0"/>
    <w:basedOn w:val="Normal"/>
    <w:qFormat/>
    <w:pPr>
      <w:widowControl/>
    </w:pPr>
    <w:rPr>
      <w:kern w:val="0"/>
      <w:szCs w:val="21"/>
    </w:rPr>
  </w:style>
  <w:style w:type="character" w:customStyle="1" w:styleId="fontstrikethrough">
    <w:name w:val="fontstrikethrough"/>
    <w:basedOn w:val="DefaultParagraphFont"/>
    <w:qFormat/>
    <w:rPr>
      <w:strike/>
    </w:rPr>
  </w:style>
  <w:style w:type="character" w:customStyle="1" w:styleId="fontborder">
    <w:name w:val="fontborder"/>
    <w:basedOn w:val="DefaultParagraphFont"/>
    <w:qFormat/>
    <w:rPr>
      <w:bdr w:val="single" w:sz="6" w:space="0" w:color="000000"/>
    </w:rPr>
  </w:style>
  <w:style w:type="paragraph" w:customStyle="1" w:styleId="WPSOffice1">
    <w:name w:val="WPSOffice手动目录 1"/>
    <w:qFormat/>
    <w:rPr>
      <w:rFonts w:ascii="Times New Roman" w:eastAsia="宋体" w:hAnsi="Times New Roman" w:cs="Times New Roman"/>
      <w:lang w:val="en-US" w:eastAsia="zh-CN" w:bidi="ar-SA"/>
    </w:rPr>
  </w:style>
  <w:style w:type="paragraph" w:customStyle="1" w:styleId="WPSOffice2">
    <w:name w:val="WPSOffice手动目录 2"/>
    <w:qFormat/>
    <w:pPr>
      <w:ind w:left="200" w:leftChars="200"/>
    </w:pPr>
    <w:rPr>
      <w:rFonts w:ascii="Times New Roman" w:eastAsia="宋体" w:hAnsi="Times New Roman" w:cs="Times New Roman"/>
      <w:lang w:val="en-US" w:eastAsia="zh-CN" w:bidi="ar-SA"/>
    </w:rPr>
  </w:style>
  <w:style w:type="paragraph" w:customStyle="1" w:styleId="a2">
    <w:name w:val="（标题二）"/>
    <w:basedOn w:val="Heading2"/>
    <w:next w:val="Normal"/>
    <w:qFormat/>
    <w:pPr>
      <w:tabs>
        <w:tab w:val="left" w:pos="1680"/>
      </w:tabs>
      <w:spacing w:line="413" w:lineRule="auto"/>
      <w:ind w:left="1680" w:hanging="420"/>
    </w:pPr>
    <w:rPr>
      <w:sz w:val="36"/>
    </w:rPr>
  </w:style>
  <w:style w:type="paragraph" w:customStyle="1" w:styleId="2TimesNewRoman5020">
    <w:name w:val="样式 标题 2 + Times New Roman 四号 非加粗 段前: 5 磅 段后: 0 磅 行距: 固定值 20..."/>
    <w:basedOn w:val="Heading2"/>
    <w:qFormat/>
    <w:pPr>
      <w:spacing w:before="100" w:after="0" w:line="400" w:lineRule="exact"/>
    </w:pPr>
    <w:rPr>
      <w:rFonts w:ascii="Times New Roman" w:hAnsi="Times New Roman" w:cs="宋体"/>
      <w:b w:val="0"/>
      <w:bCs w:val="0"/>
      <w:sz w:val="28"/>
      <w:szCs w:val="20"/>
    </w:rPr>
  </w:style>
  <w:style w:type="paragraph" w:customStyle="1" w:styleId="B">
    <w:name w:val="B图标题"/>
    <w:basedOn w:val="Normal"/>
    <w:next w:val="B0"/>
    <w:qFormat/>
    <w:pPr>
      <w:spacing w:afterLines="50" w:line="400" w:lineRule="exact"/>
      <w:jc w:val="center"/>
    </w:pPr>
    <w:rPr>
      <w:rFonts w:ascii="Arial" w:hAnsi="Arial"/>
      <w:b/>
      <w:sz w:val="24"/>
      <w:szCs w:val="21"/>
    </w:rPr>
  </w:style>
  <w:style w:type="paragraph" w:customStyle="1" w:styleId="B0">
    <w:name w:val="B正文"/>
    <w:basedOn w:val="Normal"/>
    <w:qFormat/>
    <w:pPr>
      <w:spacing w:line="360" w:lineRule="auto"/>
      <w:ind w:firstLine="200" w:firstLineChars="200"/>
    </w:pPr>
    <w:rPr>
      <w:sz w:val="24"/>
      <w:szCs w:val="21"/>
    </w:rPr>
  </w:style>
  <w:style w:type="paragraph" w:customStyle="1" w:styleId="10">
    <w:name w:val="列出段落1"/>
    <w:basedOn w:val="Normal"/>
    <w:uiPriority w:val="34"/>
    <w:qFormat/>
    <w:pPr>
      <w:widowControl/>
      <w:ind w:firstLine="420" w:firstLineChars="200"/>
      <w:jc w:val="left"/>
    </w:pPr>
    <w:rPr>
      <w:kern w:val="0"/>
      <w:sz w:val="24"/>
      <w:lang w:eastAsia="en-US"/>
    </w:rPr>
  </w:style>
  <w:style w:type="paragraph" w:customStyle="1" w:styleId="11">
    <w:name w:val="列出段落11"/>
    <w:basedOn w:val="Normal"/>
    <w:uiPriority w:val="99"/>
    <w:qFormat/>
    <w:pPr>
      <w:ind w:firstLine="420" w:firstLineChars="200"/>
    </w:pPr>
    <w:rPr>
      <w:rFonts w:ascii="Calibri" w:hAnsi="Calibri"/>
      <w:lang w:eastAsia="en-US"/>
    </w:rPr>
  </w:style>
  <w:style w:type="paragraph" w:customStyle="1" w:styleId="12">
    <w:name w:val="修订1"/>
    <w:uiPriority w:val="99"/>
    <w:unhideWhenUsed/>
    <w:qFormat/>
    <w:rPr>
      <w:rFonts w:ascii="Times New Roman" w:eastAsia="宋体" w:hAnsi="Times New Roman" w:cs="Times New Roman"/>
      <w:kern w:val="2"/>
      <w:sz w:val="21"/>
      <w:szCs w:val="24"/>
      <w:lang w:val="en-US" w:eastAsia="zh-CN" w:bidi="ar-SA"/>
    </w:rPr>
  </w:style>
  <w:style w:type="character" w:customStyle="1" w:styleId="PlaceholderText">
    <w:name w:val="Placeholder Text"/>
    <w:basedOn w:val="DefaultParagraphFont"/>
    <w:uiPriority w:val="99"/>
    <w:unhideWhenUsed/>
    <w:qFormat/>
    <w:rPr>
      <w:color w:val="808080"/>
    </w:rPr>
  </w:style>
  <w:style w:type="paragraph" w:customStyle="1" w:styleId="TableParagraph">
    <w:name w:val="Table Paragraph"/>
    <w:basedOn w:val="Normal"/>
    <w:uiPriority w:val="1"/>
    <w:qFormat/>
  </w:style>
  <w:style w:type="paragraph" w:customStyle="1" w:styleId="2GB2312">
    <w:name w:val="样式 标题 2 + 仿宋_GB2312 黑色"/>
    <w:basedOn w:val="Heading2"/>
    <w:qFormat/>
    <w:pPr>
      <w:spacing w:before="0" w:after="0" w:line="413" w:lineRule="auto"/>
      <w:jc w:val="center"/>
    </w:pPr>
    <w:rPr>
      <w:rFonts w:ascii="仿宋_GB2312" w:eastAsia="仿宋_GB2312" w:hAnsi="仿宋_GB2312"/>
      <w:color w:val="000000"/>
    </w:rPr>
  </w:style>
  <w:style w:type="paragraph" w:customStyle="1" w:styleId="a3">
    <w:name w:val="表格文字"/>
    <w:basedOn w:val="Normal"/>
    <w:next w:val="BodyText"/>
    <w:qFormat/>
    <w:pPr>
      <w:adjustRightInd w:val="0"/>
      <w:spacing w:line="420" w:lineRule="atLeast"/>
      <w:jc w:val="left"/>
      <w:textAlignment w:val="baseline"/>
    </w:pPr>
    <w:rPr>
      <w:kern w:val="0"/>
      <w:szCs w:val="20"/>
    </w:rPr>
  </w:style>
  <w:style w:type="character" w:customStyle="1" w:styleId="font31">
    <w:name w:val="font31"/>
    <w:basedOn w:val="DefaultParagraphFont"/>
    <w:qFormat/>
    <w:rPr>
      <w:rFonts w:ascii="宋体" w:eastAsia="宋体" w:hAnsi="宋体" w:cs="宋体" w:hint="eastAsia"/>
      <w:color w:val="000000"/>
      <w:sz w:val="20"/>
      <w:szCs w:val="20"/>
      <w:u w:val="none"/>
    </w:rPr>
  </w:style>
  <w:style w:type="character" w:customStyle="1" w:styleId="font11">
    <w:name w:val="font11"/>
    <w:basedOn w:val="DefaultParagraphFont"/>
    <w:qFormat/>
    <w:rPr>
      <w:rFonts w:ascii="Times New Roman" w:hAnsi="Times New Roman" w:cs="Times New Roman" w:hint="default"/>
      <w:color w:val="000000"/>
      <w:sz w:val="20"/>
      <w:szCs w:val="20"/>
      <w:u w:val="none"/>
    </w:rPr>
  </w:style>
  <w:style w:type="character" w:customStyle="1" w:styleId="font41">
    <w:name w:val="font41"/>
    <w:basedOn w:val="DefaultParagraphFont"/>
    <w:qFormat/>
    <w:rPr>
      <w:rFonts w:ascii="方正仿宋_GBK" w:eastAsia="方正仿宋_GBK" w:hAnsi="方正仿宋_GBK" w:cs="方正仿宋_GBK"/>
      <w:color w:val="000000"/>
      <w:sz w:val="20"/>
      <w:szCs w:val="20"/>
      <w:u w:val="none"/>
    </w:rPr>
  </w:style>
  <w:style w:type="character" w:customStyle="1" w:styleId="font51">
    <w:name w:val="font51"/>
    <w:basedOn w:val="DefaultParagraphFont"/>
    <w:qFormat/>
    <w:rPr>
      <w:rFonts w:ascii="Times New Roman" w:hAnsi="Times New Roman" w:cs="Times New Roman" w:hint="default"/>
      <w:color w:val="000000"/>
      <w:sz w:val="20"/>
      <w:szCs w:val="20"/>
      <w:u w:val="none"/>
    </w:rPr>
  </w:style>
  <w:style w:type="character" w:customStyle="1" w:styleId="NormalCharacter">
    <w:name w:val="NormalCharacter"/>
    <w:qFormat/>
  </w:style>
  <w:style w:type="character" w:customStyle="1" w:styleId="font111">
    <w:name w:val="font111"/>
    <w:basedOn w:val="DefaultParagraphFont"/>
    <w:qFormat/>
    <w:rPr>
      <w:rFonts w:ascii="方正小标宋_GBK" w:eastAsia="方正小标宋_GBK" w:hAnsi="方正小标宋_GBK" w:cs="方正小标宋_GBK"/>
      <w:color w:val="000000"/>
      <w:sz w:val="48"/>
      <w:szCs w:val="48"/>
      <w:u w:val="none"/>
    </w:rPr>
  </w:style>
  <w:style w:type="character" w:customStyle="1" w:styleId="font141">
    <w:name w:val="font141"/>
    <w:basedOn w:val="DefaultParagraphFont"/>
    <w:qFormat/>
    <w:rPr>
      <w:rFonts w:ascii="方正仿宋_GBK" w:eastAsia="方正仿宋_GBK" w:hAnsi="方正仿宋_GBK" w:cs="方正仿宋_GBK" w:hint="eastAsia"/>
      <w:color w:val="000000"/>
      <w:sz w:val="20"/>
      <w:szCs w:val="20"/>
      <w:u w:val="none"/>
    </w:rPr>
  </w:style>
  <w:style w:type="character" w:customStyle="1" w:styleId="font71">
    <w:name w:val="font71"/>
    <w:basedOn w:val="DefaultParagraphFont"/>
    <w:qFormat/>
    <w:rPr>
      <w:rFonts w:ascii="方正仿宋_GBK" w:eastAsia="方正仿宋_GBK" w:hAnsi="方正仿宋_GBK" w:cs="方正仿宋_GBK" w:hint="eastAsia"/>
      <w:color w:val="FF0000"/>
      <w:sz w:val="20"/>
      <w:szCs w:val="20"/>
      <w:u w:val="none"/>
    </w:rPr>
  </w:style>
  <w:style w:type="character" w:customStyle="1" w:styleId="font101">
    <w:name w:val="font101"/>
    <w:basedOn w:val="DefaultParagraphFont"/>
    <w:qFormat/>
    <w:rPr>
      <w:rFonts w:ascii="宋体" w:eastAsia="宋体" w:hAnsi="宋体" w:cs="宋体" w:hint="eastAsia"/>
      <w:color w:val="000000"/>
      <w:sz w:val="20"/>
      <w:szCs w:val="20"/>
      <w:u w:val="none"/>
    </w:rPr>
  </w:style>
  <w:style w:type="character" w:customStyle="1" w:styleId="font12">
    <w:name w:val="font12"/>
    <w:basedOn w:val="DefaultParagraphFont"/>
    <w:qFormat/>
    <w:rPr>
      <w:rFonts w:ascii="Times New Roman" w:hAnsi="Times New Roman" w:cs="Times New Roman" w:hint="default"/>
      <w:color w:val="000000"/>
      <w:sz w:val="20"/>
      <w:szCs w:val="20"/>
      <w:u w:val="none"/>
    </w:rPr>
  </w:style>
  <w:style w:type="character" w:customStyle="1" w:styleId="font81">
    <w:name w:val="font81"/>
    <w:basedOn w:val="DefaultParagraphFont"/>
    <w:qFormat/>
    <w:rPr>
      <w:rFonts w:ascii="方正仿宋_GBK" w:eastAsia="方正仿宋_GBK" w:hAnsi="方正仿宋_GBK" w:cs="方正仿宋_GBK" w:hint="eastAsia"/>
      <w:color w:val="000000"/>
      <w:sz w:val="20"/>
      <w:szCs w:val="20"/>
      <w:u w:val="none"/>
    </w:rPr>
  </w:style>
  <w:style w:type="character" w:customStyle="1" w:styleId="font61">
    <w:name w:val="font61"/>
    <w:basedOn w:val="DefaultParagraphFont"/>
    <w:qFormat/>
    <w:rPr>
      <w:rFonts w:ascii="Times New Roman" w:hAnsi="Times New Roman" w:cs="Times New Roman" w:hint="default"/>
      <w:color w:val="000000"/>
      <w:sz w:val="20"/>
      <w:szCs w:val="20"/>
      <w:u w:val="none"/>
    </w:rPr>
  </w:style>
  <w:style w:type="character" w:customStyle="1" w:styleId="font122">
    <w:name w:val="font122"/>
    <w:basedOn w:val="DefaultParagraphFont"/>
    <w:qFormat/>
    <w:rPr>
      <w:rFonts w:ascii="方正仿宋_GBK" w:eastAsia="方正仿宋_GBK" w:hAnsi="方正仿宋_GBK" w:cs="方正仿宋_GBK" w:hint="eastAsia"/>
      <w:color w:val="000000"/>
      <w:sz w:val="20"/>
      <w:szCs w:val="20"/>
      <w:u w:val="none"/>
    </w:rPr>
  </w:style>
  <w:style w:type="character" w:customStyle="1" w:styleId="fontstyle01">
    <w:name w:val="fontstyle01"/>
    <w:basedOn w:val="DefaultParagraphFont"/>
    <w:qFormat/>
    <w:rPr>
      <w:rFonts w:ascii="宋体" w:eastAsia="宋体" w:hAnsi="宋体" w:cs="宋体"/>
      <w:color w:val="666666"/>
      <w:sz w:val="20"/>
      <w:szCs w:val="20"/>
    </w:rPr>
  </w:style>
  <w:style w:type="character" w:customStyle="1" w:styleId="fontstyle11">
    <w:name w:val="fontstyle11"/>
    <w:basedOn w:val="DefaultParagraphFont"/>
    <w:qFormat/>
    <w:rPr>
      <w:rFonts w:ascii="DejaVuSans" w:eastAsia="DejaVuSans" w:hAnsi="DejaVuSans" w:cs="DejaVuSans"/>
      <w:color w:val="666666"/>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file:///C:\Users\86133\AppData\Roaming\Tencent\Users\154526614\QQ\WinTemp\RichOle\GV49CY$1%7B5%5BDZ6JV365$BZN.png" TargetMode="Externa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settings.xml.rels>&#65279;<?xml version="1.0" encoding="utf-8" standalone="yes"?><Relationships xmlns="http://schemas.openxmlformats.org/package/2006/relationships"><Relationship Id="rId1" Type="http://schemas.openxmlformats.org/officeDocument/2006/relationships/attachedTemplate" Target="file:///C:\Users\Administrator\AppData\Roaming\Kingsoft\wps\addons\pool\win-i386\knewfileres_1.0.0.1\wps\0.docx" TargetMode="External" /></Relationships>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43</TotalTime>
  <Pages>79</Pages>
  <Words>39158</Words>
  <Characters>42636</Characters>
  <Application>Microsoft Office Word</Application>
  <DocSecurity>0</DocSecurity>
  <Lines>262</Lines>
  <Paragraphs>74</Paragraphs>
  <ScaleCrop>false</ScaleCrop>
  <Company>Sky123.Org</Company>
  <LinksUpToDate>false</LinksUpToDate>
  <CharactersWithSpaces>45165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苟燕</cp:lastModifiedBy>
  <cp:revision>4</cp:revision>
  <cp:lastPrinted>2023-08-03T07:51:00Z</cp:lastPrinted>
  <dcterms:created xsi:type="dcterms:W3CDTF">2022-09-25T03:43:00Z</dcterms:created>
  <dcterms:modified xsi:type="dcterms:W3CDTF">2023-09-12T07:51:32Z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0A3D9C699E1F4E719AD5DC6523633BDD</vt:lpwstr>
  </property>
  <property fmtid="{D5CDD505-2E9C-101B-9397-08002B2CF9AE}" pid="3" name="KSOProductBuildVer">
    <vt:lpwstr>2052-12.1.0.15374</vt:lpwstr>
  </property>
</Properties>
</file>