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rPr>
          <w:rFonts w:ascii="华文中宋" w:hAnsi="华文中宋" w:eastAsia="华文中宋"/>
          <w:b w:val="0"/>
          <w:color w:val="auto"/>
        </w:rPr>
      </w:pPr>
      <w:r>
        <w:rPr>
          <w:rFonts w:hint="eastAsia" w:ascii="华文中宋" w:hAnsi="华文中宋" w:eastAsia="华文中宋"/>
          <w:b w:val="0"/>
          <w:color w:val="auto"/>
        </w:rPr>
        <w:t>采购需求</w:t>
      </w:r>
    </w:p>
    <w:p>
      <w:pPr>
        <w:rPr>
          <w:rFonts w:ascii="仿宋" w:hAnsi="仿宋" w:eastAsia="仿宋"/>
          <w:color w:val="auto"/>
          <w:sz w:val="28"/>
          <w:szCs w:val="28"/>
        </w:rPr>
      </w:pPr>
      <w:r>
        <w:rPr>
          <w:rFonts w:hint="eastAsia" w:ascii="黑体" w:hAnsi="黑体" w:eastAsia="黑体"/>
          <w:color w:val="auto"/>
          <w:sz w:val="28"/>
          <w:szCs w:val="28"/>
        </w:rPr>
        <w:t>前注</w:t>
      </w:r>
      <w:r>
        <w:rPr>
          <w:rFonts w:hint="eastAsia" w:ascii="仿宋" w:hAnsi="仿宋" w:eastAsia="仿宋"/>
          <w:color w:val="auto"/>
          <w:sz w:val="28"/>
          <w:szCs w:val="28"/>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275"/>
        <w:gridCol w:w="6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序号</w:t>
            </w:r>
          </w:p>
        </w:tc>
        <w:tc>
          <w:tcPr>
            <w:tcW w:w="748"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内容</w:t>
            </w:r>
          </w:p>
        </w:tc>
        <w:tc>
          <w:tcPr>
            <w:tcW w:w="3773"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1</w:t>
            </w:r>
          </w:p>
        </w:tc>
        <w:tc>
          <w:tcPr>
            <w:tcW w:w="748" w:type="pct"/>
            <w:vAlign w:val="center"/>
          </w:tcPr>
          <w:p>
            <w:pPr>
              <w:rPr>
                <w:rFonts w:ascii="仿宋" w:hAnsi="仿宋" w:eastAsia="仿宋"/>
                <w:color w:val="auto"/>
                <w:sz w:val="28"/>
                <w:szCs w:val="28"/>
              </w:rPr>
            </w:pPr>
            <w:r>
              <w:rPr>
                <w:rFonts w:hint="eastAsia" w:ascii="仿宋" w:hAnsi="仿宋" w:eastAsia="仿宋"/>
                <w:color w:val="auto"/>
                <w:sz w:val="28"/>
                <w:szCs w:val="28"/>
              </w:rPr>
              <w:t>人员到岗及履约要求</w:t>
            </w:r>
          </w:p>
        </w:tc>
        <w:tc>
          <w:tcPr>
            <w:tcW w:w="3773" w:type="pct"/>
          </w:tcPr>
          <w:p>
            <w:pPr>
              <w:ind w:firstLine="560" w:firstLineChars="200"/>
              <w:rPr>
                <w:rFonts w:ascii="仿宋" w:hAnsi="仿宋" w:eastAsia="仿宋"/>
                <w:color w:val="auto"/>
                <w:sz w:val="28"/>
                <w:szCs w:val="28"/>
              </w:rPr>
            </w:pPr>
            <w:r>
              <w:rPr>
                <w:rFonts w:hint="eastAsia" w:ascii="仿宋" w:hAnsi="仿宋" w:eastAsia="仿宋"/>
                <w:color w:val="auto"/>
                <w:sz w:val="28"/>
                <w:szCs w:val="28"/>
              </w:rPr>
              <w:t>（1）供应商一旦成交，磋商时所报的本项目的项目经理、施工现场技术负责人、各专业负责工程师及施工机械等在整个项目施工期内必须在位，否则采购人有权终止合同。由此造成的损失，成交供应商自行承担并赔偿可能给采购人造成的损失。</w:t>
            </w:r>
          </w:p>
          <w:p>
            <w:pPr>
              <w:ind w:firstLine="560" w:firstLineChars="200"/>
              <w:rPr>
                <w:rFonts w:ascii="仿宋" w:hAnsi="仿宋" w:eastAsia="仿宋"/>
                <w:color w:val="auto"/>
                <w:sz w:val="28"/>
                <w:szCs w:val="28"/>
              </w:rPr>
            </w:pPr>
            <w:r>
              <w:rPr>
                <w:rFonts w:hint="eastAsia" w:ascii="仿宋" w:hAnsi="仿宋" w:eastAsia="仿宋"/>
                <w:color w:val="auto"/>
                <w:sz w:val="28"/>
                <w:szCs w:val="28"/>
              </w:rPr>
              <w:t>（2）成交供应商不得擅自更换磋商时所报项目经理及项目部主要管理人员。确需更换时，须报采购人同意，更换后人员不得低于成交供应商磋商时所报人员资质和技术水平。采购人如认为有必要，可要求对上述人员中的部分人员作出更好的调整。</w:t>
            </w:r>
          </w:p>
          <w:p>
            <w:pPr>
              <w:ind w:firstLine="560" w:firstLineChars="200"/>
              <w:rPr>
                <w:rFonts w:ascii="仿宋" w:hAnsi="仿宋" w:eastAsia="仿宋"/>
                <w:color w:val="auto"/>
                <w:sz w:val="28"/>
                <w:szCs w:val="28"/>
              </w:rPr>
            </w:pPr>
            <w:r>
              <w:rPr>
                <w:rFonts w:hint="eastAsia" w:ascii="仿宋" w:hAnsi="仿宋" w:eastAsia="仿宋"/>
                <w:color w:val="auto"/>
                <w:sz w:val="28"/>
                <w:szCs w:val="28"/>
              </w:rPr>
              <w:t>（3）成交供应商未能按照承诺到岗尽职的，采购人将视情况严重程度对其作出相应处理，给予警告并发出整改通知。如仍未及时整改，采购人有权责令其停工整改直至终止合同，引进新的承包人。采购人还将停止支付工程款项，扣留任何未付的工程进度款项补偿建设单位的有关损失或工期延误的损失，并就此向承包人索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2</w:t>
            </w:r>
          </w:p>
        </w:tc>
        <w:tc>
          <w:tcPr>
            <w:tcW w:w="748" w:type="pct"/>
            <w:vAlign w:val="center"/>
          </w:tcPr>
          <w:p>
            <w:pPr>
              <w:rPr>
                <w:rFonts w:ascii="仿宋" w:hAnsi="仿宋" w:eastAsia="仿宋"/>
                <w:color w:val="auto"/>
                <w:sz w:val="28"/>
                <w:szCs w:val="28"/>
              </w:rPr>
            </w:pPr>
            <w:r>
              <w:rPr>
                <w:rFonts w:hint="eastAsia" w:ascii="仿宋" w:hAnsi="仿宋" w:eastAsia="仿宋"/>
                <w:color w:val="auto"/>
                <w:sz w:val="28"/>
                <w:szCs w:val="28"/>
              </w:rPr>
              <w:t>材料要求</w:t>
            </w:r>
          </w:p>
        </w:tc>
        <w:tc>
          <w:tcPr>
            <w:tcW w:w="3773" w:type="pct"/>
          </w:tcPr>
          <w:p>
            <w:pPr>
              <w:ind w:firstLine="548" w:firstLineChars="196"/>
              <w:rPr>
                <w:rFonts w:ascii="仿宋" w:hAnsi="仿宋" w:eastAsia="仿宋"/>
                <w:color w:val="auto"/>
                <w:sz w:val="28"/>
                <w:szCs w:val="28"/>
              </w:rPr>
            </w:pPr>
            <w:r>
              <w:rPr>
                <w:rFonts w:hint="eastAsia" w:ascii="仿宋" w:hAnsi="仿宋" w:eastAsia="仿宋"/>
                <w:color w:val="auto"/>
                <w:sz w:val="28"/>
                <w:szCs w:val="28"/>
              </w:rPr>
              <w:t>（1）成交供应商自行采购的材料应满足设计和规范要求的质量等级，并须按有关技术规范要求对材料质量进行检验。成交供应商选定的材料供应厂家和价格须经采购人和监理单位认可。如采购人和监理单位对某种或某些材料的质量有异议，有权提出停止使用的要求，成交供应商必须服从该要求。若该材料经权威检验部门鉴定确有质量问题，由此而发生的一切费用由成交供应商自负。因成交供应商自行采购的材料质量引起的工程质量问题由成交供应商承担所造成的一切损失。</w:t>
            </w:r>
          </w:p>
          <w:p>
            <w:pPr>
              <w:ind w:firstLine="560" w:firstLineChars="200"/>
              <w:rPr>
                <w:rFonts w:ascii="仿宋" w:hAnsi="仿宋" w:eastAsia="仿宋"/>
                <w:color w:val="auto"/>
                <w:sz w:val="28"/>
                <w:szCs w:val="28"/>
              </w:rPr>
            </w:pPr>
            <w:r>
              <w:rPr>
                <w:rFonts w:hint="eastAsia" w:ascii="仿宋" w:hAnsi="仿宋" w:eastAsia="仿宋"/>
                <w:color w:val="auto"/>
                <w:sz w:val="28"/>
                <w:szCs w:val="28"/>
              </w:rPr>
              <w:t>（2）如本项目采购人对工程质量有特殊需求的，对主要设备及材料提供不少于三个的参考品牌，对于采购人参考品牌的材料，供应商可选用参考品牌或不低于参考品牌质量标准的其他品牌；采用其他品牌的应在响应文件中提供相关技术参数证明材料供磋商小组评审，未提供相关技术参数证明材料或经磋商小组评审未通过的，成交后只能从采购人参考品牌中进行选择，价格不予调整。</w:t>
            </w:r>
          </w:p>
          <w:p>
            <w:pPr>
              <w:ind w:firstLine="560" w:firstLineChars="200"/>
              <w:rPr>
                <w:rFonts w:ascii="仿宋" w:hAnsi="仿宋" w:eastAsia="仿宋"/>
                <w:color w:val="auto"/>
                <w:sz w:val="28"/>
                <w:szCs w:val="28"/>
              </w:rPr>
            </w:pPr>
            <w:r>
              <w:rPr>
                <w:rFonts w:hint="eastAsia" w:ascii="仿宋" w:hAnsi="仿宋" w:eastAsia="仿宋"/>
                <w:color w:val="auto"/>
                <w:sz w:val="28"/>
                <w:szCs w:val="28"/>
              </w:rPr>
              <w:t>（3）对于采购人参考品牌的材料，供应商如认为参考品牌有限定性、唯一性、明显不在同一档次等级的或者其他异议的，应在本项目询问截止时间前书面提交。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3</w:t>
            </w:r>
          </w:p>
        </w:tc>
        <w:tc>
          <w:tcPr>
            <w:tcW w:w="748" w:type="pct"/>
            <w:vAlign w:val="center"/>
          </w:tcPr>
          <w:p>
            <w:pPr>
              <w:rPr>
                <w:rFonts w:ascii="仿宋" w:hAnsi="仿宋" w:eastAsia="仿宋"/>
                <w:color w:val="auto"/>
                <w:sz w:val="28"/>
                <w:szCs w:val="28"/>
              </w:rPr>
            </w:pPr>
            <w:r>
              <w:rPr>
                <w:rFonts w:hint="eastAsia" w:ascii="仿宋" w:hAnsi="仿宋" w:eastAsia="仿宋"/>
                <w:color w:val="auto"/>
                <w:sz w:val="28"/>
                <w:szCs w:val="28"/>
              </w:rPr>
              <w:t>工程施工重点难点</w:t>
            </w:r>
          </w:p>
        </w:tc>
        <w:tc>
          <w:tcPr>
            <w:tcW w:w="3773" w:type="pct"/>
          </w:tcPr>
          <w:p>
            <w:pPr>
              <w:rPr>
                <w:rFonts w:ascii="仿宋" w:hAnsi="仿宋" w:eastAsia="仿宋"/>
                <w:color w:val="auto"/>
                <w:sz w:val="28"/>
                <w:szCs w:val="28"/>
              </w:rPr>
            </w:pPr>
            <w:r>
              <w:rPr>
                <w:rFonts w:hint="eastAsia" w:ascii="仿宋" w:hAnsi="仿宋" w:eastAsia="仿宋"/>
                <w:color w:val="auto"/>
                <w:sz w:val="28"/>
                <w:szCs w:val="28"/>
              </w:rPr>
              <w:t>（ 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4</w:t>
            </w:r>
          </w:p>
        </w:tc>
        <w:tc>
          <w:tcPr>
            <w:tcW w:w="748" w:type="pct"/>
            <w:vAlign w:val="center"/>
          </w:tcPr>
          <w:p>
            <w:pPr>
              <w:rPr>
                <w:rFonts w:ascii="仿宋" w:hAnsi="仿宋" w:eastAsia="仿宋"/>
                <w:color w:val="auto"/>
                <w:sz w:val="28"/>
                <w:szCs w:val="28"/>
              </w:rPr>
            </w:pPr>
            <w:r>
              <w:rPr>
                <w:rFonts w:hint="eastAsia" w:ascii="仿宋" w:hAnsi="仿宋" w:eastAsia="仿宋"/>
                <w:color w:val="auto"/>
                <w:sz w:val="28"/>
                <w:szCs w:val="28"/>
              </w:rPr>
              <w:t>报价须知</w:t>
            </w:r>
          </w:p>
        </w:tc>
        <w:tc>
          <w:tcPr>
            <w:tcW w:w="3773" w:type="pct"/>
          </w:tcPr>
          <w:p>
            <w:pPr>
              <w:ind w:firstLine="560" w:firstLineChars="200"/>
              <w:rPr>
                <w:rFonts w:ascii="仿宋" w:hAnsi="仿宋" w:eastAsia="仿宋"/>
                <w:color w:val="auto"/>
                <w:sz w:val="28"/>
                <w:szCs w:val="28"/>
              </w:rPr>
            </w:pPr>
            <w:r>
              <w:rPr>
                <w:rFonts w:hint="eastAsia" w:ascii="仿宋" w:hAnsi="仿宋" w:eastAsia="仿宋"/>
                <w:color w:val="auto"/>
                <w:sz w:val="28"/>
                <w:szCs w:val="28"/>
              </w:rPr>
              <w:t>供应商最后报价均不得高于磋商文件（公告）列明的项目预算、最高投标限价（控制价），否则其响应文件将被认定为响应无效。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5</w:t>
            </w:r>
          </w:p>
        </w:tc>
        <w:tc>
          <w:tcPr>
            <w:tcW w:w="748" w:type="pct"/>
            <w:vAlign w:val="center"/>
          </w:tcPr>
          <w:p>
            <w:pPr>
              <w:rPr>
                <w:rFonts w:ascii="仿宋" w:hAnsi="仿宋" w:eastAsia="仿宋"/>
                <w:color w:val="auto"/>
                <w:sz w:val="28"/>
                <w:szCs w:val="28"/>
              </w:rPr>
            </w:pPr>
            <w:r>
              <w:rPr>
                <w:rFonts w:hint="eastAsia" w:ascii="仿宋" w:hAnsi="仿宋" w:eastAsia="仿宋"/>
                <w:color w:val="auto"/>
                <w:sz w:val="28"/>
                <w:szCs w:val="28"/>
              </w:rPr>
              <w:t>重要说明</w:t>
            </w:r>
          </w:p>
        </w:tc>
        <w:tc>
          <w:tcPr>
            <w:tcW w:w="3773" w:type="pct"/>
          </w:tcPr>
          <w:p>
            <w:pPr>
              <w:ind w:firstLine="560" w:firstLineChars="200"/>
              <w:rPr>
                <w:rFonts w:ascii="仿宋" w:hAnsi="仿宋" w:eastAsia="仿宋"/>
                <w:color w:val="auto"/>
                <w:sz w:val="28"/>
                <w:szCs w:val="28"/>
              </w:rPr>
            </w:pPr>
            <w:r>
              <w:rPr>
                <w:rFonts w:hint="eastAsia" w:ascii="仿宋" w:hAnsi="仿宋" w:eastAsia="仿宋"/>
                <w:color w:val="auto"/>
                <w:sz w:val="28"/>
                <w:szCs w:val="28"/>
              </w:rPr>
              <w:t>（1）本项目的磋商文件、工程量清单、最高投标限价（控制价）、澄清、修改、补充等相关资料均通过中国政府采购网发布，供应商应当及时查看有无相关澄清、修改、补充等内容。</w:t>
            </w:r>
          </w:p>
          <w:p>
            <w:pPr>
              <w:ind w:firstLine="560" w:firstLineChars="200"/>
              <w:rPr>
                <w:rFonts w:ascii="仿宋" w:hAnsi="仿宋" w:eastAsia="仿宋"/>
                <w:color w:val="auto"/>
                <w:sz w:val="28"/>
                <w:szCs w:val="28"/>
              </w:rPr>
            </w:pPr>
            <w:r>
              <w:rPr>
                <w:rFonts w:hint="eastAsia" w:ascii="仿宋" w:hAnsi="仿宋" w:eastAsia="仿宋"/>
                <w:color w:val="auto"/>
                <w:sz w:val="28"/>
                <w:szCs w:val="28"/>
              </w:rPr>
              <w:t>（2）在工程项目磋商过程中，供应商最后报价与公布的最高投标限价（控制价）或项目概算相比降幅过小，或供应商最后报价明显缺乏竞争性的，磋商小组可以否决其报价。</w:t>
            </w:r>
          </w:p>
          <w:p>
            <w:pPr>
              <w:ind w:firstLine="560" w:firstLineChars="200"/>
              <w:rPr>
                <w:rFonts w:ascii="仿宋" w:hAnsi="仿宋" w:eastAsia="仿宋"/>
                <w:color w:val="auto"/>
                <w:sz w:val="28"/>
                <w:szCs w:val="28"/>
              </w:rPr>
            </w:pPr>
            <w:r>
              <w:rPr>
                <w:rFonts w:hint="eastAsia" w:ascii="仿宋" w:hAnsi="仿宋" w:eastAsia="仿宋"/>
                <w:color w:val="auto"/>
                <w:sz w:val="28"/>
                <w:szCs w:val="28"/>
              </w:rPr>
              <w:t>（3）承包人在工程实施过程中用工行为，必须严格执行国家及地方政府的有关规定，依法签订劳动合同，并按规定及时足额支付工资。</w:t>
            </w:r>
          </w:p>
          <w:p>
            <w:pPr>
              <w:ind w:firstLine="560" w:firstLineChars="200"/>
              <w:rPr>
                <w:rFonts w:ascii="仿宋" w:hAnsi="仿宋" w:eastAsia="仿宋"/>
                <w:color w:val="auto"/>
                <w:sz w:val="28"/>
                <w:szCs w:val="28"/>
              </w:rPr>
            </w:pPr>
            <w:r>
              <w:rPr>
                <w:rFonts w:hint="eastAsia" w:ascii="仿宋" w:hAnsi="仿宋" w:eastAsia="仿宋"/>
                <w:color w:val="auto"/>
                <w:sz w:val="28"/>
                <w:szCs w:val="28"/>
              </w:rPr>
              <w:t>（4）承包人在建设工程扬尘污染防治措施和费用管理上，必须严格执行有关建设工程扬尘污染防治规定。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vAlign w:val="center"/>
          </w:tcPr>
          <w:p>
            <w:pPr>
              <w:jc w:val="center"/>
              <w:rPr>
                <w:rFonts w:ascii="仿宋" w:hAnsi="仿宋" w:eastAsia="仿宋"/>
                <w:color w:val="auto"/>
                <w:sz w:val="28"/>
                <w:szCs w:val="28"/>
              </w:rPr>
            </w:pPr>
            <w:r>
              <w:rPr>
                <w:rFonts w:hint="eastAsia" w:ascii="仿宋" w:hAnsi="仿宋" w:eastAsia="仿宋"/>
                <w:color w:val="auto"/>
                <w:sz w:val="28"/>
                <w:szCs w:val="28"/>
              </w:rPr>
              <w:t>6</w:t>
            </w:r>
          </w:p>
        </w:tc>
        <w:tc>
          <w:tcPr>
            <w:tcW w:w="748" w:type="pct"/>
            <w:vAlign w:val="center"/>
          </w:tcPr>
          <w:p>
            <w:pPr>
              <w:rPr>
                <w:rFonts w:ascii="仿宋" w:hAnsi="仿宋" w:eastAsia="仿宋"/>
                <w:color w:val="auto"/>
                <w:sz w:val="28"/>
                <w:szCs w:val="28"/>
              </w:rPr>
            </w:pPr>
            <w:r>
              <w:rPr>
                <w:rFonts w:hint="eastAsia" w:ascii="仿宋" w:hAnsi="仿宋" w:eastAsia="仿宋"/>
                <w:color w:val="auto"/>
                <w:sz w:val="28"/>
                <w:szCs w:val="28"/>
              </w:rPr>
              <w:t>其他</w:t>
            </w:r>
          </w:p>
        </w:tc>
        <w:tc>
          <w:tcPr>
            <w:tcW w:w="3773" w:type="pct"/>
          </w:tcPr>
          <w:p>
            <w:pPr>
              <w:rPr>
                <w:rFonts w:ascii="仿宋" w:hAnsi="仿宋" w:eastAsia="仿宋"/>
                <w:color w:val="auto"/>
                <w:sz w:val="28"/>
                <w:szCs w:val="28"/>
              </w:rPr>
            </w:pPr>
          </w:p>
        </w:tc>
      </w:tr>
    </w:tbl>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1、采购人、采购代理机构应当依据国务院批准的中小企业划分标准，根据采购项目具体情况，在采购文件中明确采购标的对应的中小企业划分标准所属行业。如果一个采购项目涉及多个采购标的的，应当在采购文件中逐一明确所有采购标的对应的中小企业划分标准所属行业。供应商根据采购文件中明确的行业所对应的划分标准，判断是否属于中小企业。现行中小企业划分标准行业包括农、林、牧、渔业，工业，建筑业，批发业，零售业，交通运输业，仓储业，邮政业，住宿业，餐饮业，信息传输业，软件和信息技术服务业，房地产开发经营，物业管理，租赁和商业服务业和其他未列明行业等十六类。（如下图所示）</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中小企业划分标准：</w:t>
      </w:r>
    </w:p>
    <w:tbl>
      <w:tblPr>
        <w:tblStyle w:val="9"/>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181"/>
        <w:gridCol w:w="887"/>
        <w:gridCol w:w="1621"/>
        <w:gridCol w:w="2167"/>
        <w:gridCol w:w="2135"/>
        <w:gridCol w:w="1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行业名称</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指标名称</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计量单位</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大型</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中型</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小型</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农林牧渔业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Y≥20000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500≤Y&lt;20000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50≤Y&lt;500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工业★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X≥1000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300≤X&lt;1000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20≤X&lt;300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Y≥40000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2000≤Y&lt;40000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300≤Y&lt;2000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建筑业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Y≥80000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6000≤Y&lt;80000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300≤Y&lt;6000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资产总额（Z）</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Z≥80000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5000≤Z&lt;80000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300≤Z&lt;5000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Z&lt;300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批发业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X≥200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20≤X&lt;200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5≤X&lt;20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Y≥40000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5000≤Y&lt;40000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1000≤Y&lt;5000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零售业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X≥300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50≤X&lt;300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10≤X&lt;50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Y≥20000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Y≥20000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100≤Y&lt;500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交通运输业★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X≥1000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300≤X&lt;1000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20≤X&lt;300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Y≥30000</w:t>
            </w:r>
          </w:p>
          <w:p>
            <w:pPr>
              <w:tabs>
                <w:tab w:val="left" w:pos="540"/>
              </w:tabs>
              <w:spacing w:before="312" w:after="312"/>
              <w:rPr>
                <w:rFonts w:ascii="仿宋" w:hAnsi="仿宋" w:eastAsia="仿宋"/>
                <w:color w:val="auto"/>
                <w:kern w:val="0"/>
                <w:sz w:val="28"/>
                <w:szCs w:val="28"/>
              </w:rPr>
            </w:pPr>
            <w:r>
              <w:rPr>
                <w:rFonts w:hint="eastAsia" w:ascii="仿宋" w:hAnsi="仿宋" w:eastAsia="仿宋"/>
                <w:color w:val="auto"/>
                <w:kern w:val="0"/>
                <w:sz w:val="28"/>
                <w:szCs w:val="28"/>
              </w:rPr>
              <w:tab/>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3000≤Y&lt;30000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200≤Y&lt;3000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sz w:val="28"/>
                <w:szCs w:val="28"/>
              </w:rPr>
            </w:pPr>
          </w:p>
          <w:p>
            <w:pPr>
              <w:spacing w:before="312" w:after="312"/>
              <w:jc w:val="center"/>
              <w:rPr>
                <w:rFonts w:ascii="仿宋" w:hAnsi="仿宋" w:eastAsia="仿宋"/>
                <w:color w:val="auto"/>
                <w:kern w:val="0"/>
                <w:sz w:val="28"/>
                <w:szCs w:val="28"/>
              </w:rPr>
            </w:pPr>
            <w:r>
              <w:rPr>
                <w:rFonts w:hint="eastAsia" w:ascii="仿宋" w:hAnsi="仿宋" w:eastAsia="仿宋"/>
                <w:color w:val="auto"/>
                <w:kern w:val="0"/>
                <w:sz w:val="28"/>
                <w:szCs w:val="28"/>
              </w:rPr>
              <w:t>仓储业★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X≥200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100≤X&lt;200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20≤X&lt;100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auto"/>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tabs>
                <w:tab w:val="left" w:pos="52"/>
              </w:tabs>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ab/>
            </w:r>
            <w:r>
              <w:rPr>
                <w:rFonts w:hint="eastAsia" w:ascii="仿宋" w:hAnsi="仿宋" w:eastAsia="仿宋"/>
                <w:bCs/>
                <w:color w:val="auto"/>
                <w:spacing w:val="8"/>
                <w:kern w:val="0"/>
                <w:sz w:val="28"/>
                <w:szCs w:val="28"/>
              </w:rPr>
              <w:t>Y≥30000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1000≤Y&lt;30000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100≤Y&lt;1000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邮政业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X≥1000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300≤X&lt;1000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20≤X&lt;300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Y≥30000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2000≤Y&lt;30000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100≤Y&lt;2000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住宿业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X≥300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100≤X&lt;300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10≤X&lt;100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Y≥10000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2000≤Y&lt;10000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100≤Y&lt;2000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餐饮业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X≥300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100≤X&lt;300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10≤X&lt;100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tabs>
                <w:tab w:val="left" w:pos="202"/>
              </w:tabs>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Y≥10000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2000≤Y&lt;10000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100≤Y&lt;2000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信息传输业★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Z&lt;2000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100≤X&lt;2000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10≤X&lt;100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Y≥100000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1000≤Y&lt;100000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100≤Y&lt;1000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软件和信息技术服务业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X≥300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100≤X&lt;300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10≤X&lt;100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Y≥10000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1000≤Y&lt;10000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50≤Y&lt;1000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房地产开发经营</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Y≥200000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1000≤Y&lt;200000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1000≤Y&lt;200000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资产总额（Z）</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Z≥10000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5000≤Z&lt;10000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2000≤Z&lt;5000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Z&lt;2000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物业管理</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X≥1000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300≤X&lt;1000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100≤X&lt;300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营业收入（Y）</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Y≥5000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1000≤Y&lt;5000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500≤Y&lt;1000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Y&lt;500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租赁和商务服务业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X≥300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100≤X&lt;300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10≤X&lt;100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Cs/>
                <w:color w:val="auto"/>
                <w:spacing w:val="8"/>
                <w:kern w:val="0"/>
                <w:sz w:val="28"/>
                <w:szCs w:val="28"/>
              </w:rPr>
            </w:pP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资产总额（Z）</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万元</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Z≥120000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8000≤Z&lt;120000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100≤Z&lt;8000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Z&lt;100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其他未列明行业★</w:t>
            </w:r>
          </w:p>
        </w:tc>
        <w:tc>
          <w:tcPr>
            <w:tcW w:w="118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从业人员（X）</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人</w:t>
            </w:r>
          </w:p>
        </w:tc>
        <w:tc>
          <w:tcPr>
            <w:tcW w:w="1621"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X≥300</w:t>
            </w:r>
          </w:p>
        </w:tc>
        <w:tc>
          <w:tcPr>
            <w:tcW w:w="2167"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100≤X&lt;300</w:t>
            </w:r>
          </w:p>
        </w:tc>
        <w:tc>
          <w:tcPr>
            <w:tcW w:w="2135"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10≤X&lt;100</w:t>
            </w:r>
          </w:p>
        </w:tc>
        <w:tc>
          <w:tcPr>
            <w:tcW w:w="1216" w:type="dxa"/>
            <w:tcBorders>
              <w:top w:val="single" w:color="auto" w:sz="4" w:space="0"/>
              <w:left w:val="single" w:color="auto" w:sz="4" w:space="0"/>
              <w:bottom w:val="single" w:color="auto" w:sz="4" w:space="0"/>
              <w:right w:val="single" w:color="auto" w:sz="4" w:space="0"/>
            </w:tcBorders>
            <w:vAlign w:val="center"/>
          </w:tcPr>
          <w:p>
            <w:pPr>
              <w:spacing w:before="312" w:after="312" w:line="400" w:lineRule="exact"/>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X&lt;10</w:t>
            </w:r>
          </w:p>
        </w:tc>
      </w:tr>
    </w:tbl>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中小企业划分标准的说明：1、大型、中型和小型企业须同时满足所列指标的下限，否则下划一档；微型企业只须满足所列指标中的一项即可。</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3、企业划分指标以现行统计制度为准（如有调整，按最新标准执行）。（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spacing w:line="400" w:lineRule="exact"/>
        <w:rPr>
          <w:rFonts w:ascii="黑体" w:hAnsi="黑体" w:eastAsia="黑体"/>
          <w:bCs/>
          <w:color w:val="auto"/>
          <w:spacing w:val="8"/>
          <w:sz w:val="28"/>
          <w:szCs w:val="28"/>
        </w:rPr>
      </w:pPr>
      <w:r>
        <w:rPr>
          <w:rFonts w:hint="eastAsia" w:ascii="黑体" w:hAnsi="黑体" w:eastAsia="黑体"/>
          <w:bCs/>
          <w:color w:val="auto"/>
          <w:spacing w:val="8"/>
          <w:sz w:val="28"/>
          <w:szCs w:val="28"/>
        </w:rPr>
        <w:t>一、采购需求前附表</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550"/>
        <w:gridCol w:w="5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shd w:val="clear" w:color="auto" w:fill="auto"/>
            <w:vAlign w:val="center"/>
          </w:tcPr>
          <w:p>
            <w:pPr>
              <w:spacing w:line="400" w:lineRule="exact"/>
              <w:rPr>
                <w:rFonts w:ascii="仿宋" w:hAnsi="仿宋" w:eastAsia="仿宋"/>
                <w:bCs/>
                <w:color w:val="auto"/>
                <w:spacing w:val="8"/>
                <w:sz w:val="28"/>
                <w:szCs w:val="28"/>
              </w:rPr>
            </w:pPr>
            <w:r>
              <w:rPr>
                <w:rFonts w:hint="eastAsia" w:ascii="仿宋" w:hAnsi="仿宋" w:eastAsia="仿宋"/>
                <w:bCs/>
                <w:color w:val="auto"/>
                <w:spacing w:val="8"/>
                <w:sz w:val="28"/>
                <w:szCs w:val="28"/>
              </w:rPr>
              <w:t>序号</w:t>
            </w:r>
          </w:p>
        </w:tc>
        <w:tc>
          <w:tcPr>
            <w:tcW w:w="1496" w:type="pct"/>
            <w:shd w:val="clear" w:color="auto" w:fill="auto"/>
            <w:vAlign w:val="center"/>
          </w:tcPr>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条款名称</w:t>
            </w:r>
          </w:p>
        </w:tc>
        <w:tc>
          <w:tcPr>
            <w:tcW w:w="3025" w:type="pct"/>
            <w:shd w:val="clear" w:color="auto" w:fill="auto"/>
            <w:vAlign w:val="center"/>
          </w:tcPr>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shd w:val="clear" w:color="auto" w:fill="auto"/>
            <w:vAlign w:val="center"/>
          </w:tcPr>
          <w:p>
            <w:pPr>
              <w:spacing w:line="400" w:lineRule="exact"/>
              <w:jc w:val="both"/>
              <w:rPr>
                <w:rFonts w:ascii="仿宋" w:hAnsi="仿宋" w:eastAsia="仿宋"/>
                <w:bCs/>
                <w:color w:val="auto"/>
                <w:spacing w:val="8"/>
                <w:sz w:val="28"/>
                <w:szCs w:val="28"/>
              </w:rPr>
            </w:pPr>
            <w:r>
              <w:rPr>
                <w:rFonts w:hint="eastAsia" w:ascii="仿宋" w:hAnsi="仿宋" w:eastAsia="仿宋"/>
                <w:bCs/>
                <w:color w:val="auto"/>
                <w:spacing w:val="8"/>
                <w:sz w:val="28"/>
                <w:szCs w:val="28"/>
              </w:rPr>
              <w:t>1</w:t>
            </w:r>
          </w:p>
        </w:tc>
        <w:tc>
          <w:tcPr>
            <w:tcW w:w="1496" w:type="pct"/>
            <w:shd w:val="clear" w:color="auto" w:fill="auto"/>
            <w:vAlign w:val="center"/>
          </w:tcPr>
          <w:p>
            <w:pPr>
              <w:spacing w:line="400" w:lineRule="exact"/>
              <w:ind w:firstLine="592" w:firstLineChars="200"/>
              <w:jc w:val="both"/>
              <w:rPr>
                <w:rFonts w:ascii="仿宋" w:hAnsi="仿宋" w:eastAsia="仿宋"/>
                <w:bCs/>
                <w:color w:val="auto"/>
                <w:spacing w:val="8"/>
                <w:sz w:val="28"/>
                <w:szCs w:val="28"/>
              </w:rPr>
            </w:pPr>
            <w:r>
              <w:rPr>
                <w:rFonts w:hint="eastAsia" w:ascii="仿宋" w:hAnsi="仿宋" w:eastAsia="仿宋"/>
                <w:bCs/>
                <w:color w:val="auto"/>
                <w:spacing w:val="8"/>
                <w:sz w:val="28"/>
                <w:szCs w:val="28"/>
              </w:rPr>
              <w:t>付款方式</w:t>
            </w:r>
          </w:p>
        </w:tc>
        <w:tc>
          <w:tcPr>
            <w:tcW w:w="3025" w:type="pct"/>
            <w:shd w:val="clear" w:color="auto" w:fill="auto"/>
          </w:tcPr>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 xml:space="preserve">工程竣工验收经审计定案后，中标单位提供质量保金(3%的工程款)或相应金额的银行保函或保险公司保函后，支付至结算价款的 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shd w:val="clear" w:color="auto" w:fill="auto"/>
          </w:tcPr>
          <w:p>
            <w:pPr>
              <w:spacing w:line="400" w:lineRule="exact"/>
              <w:rPr>
                <w:rFonts w:ascii="仿宋" w:hAnsi="仿宋" w:eastAsia="仿宋"/>
                <w:bCs/>
                <w:color w:val="auto"/>
                <w:spacing w:val="8"/>
                <w:sz w:val="28"/>
                <w:szCs w:val="28"/>
              </w:rPr>
            </w:pPr>
            <w:r>
              <w:rPr>
                <w:rFonts w:hint="eastAsia" w:ascii="仿宋" w:hAnsi="仿宋" w:eastAsia="仿宋"/>
                <w:bCs/>
                <w:color w:val="auto"/>
                <w:spacing w:val="8"/>
                <w:sz w:val="28"/>
                <w:szCs w:val="28"/>
              </w:rPr>
              <w:t>2</w:t>
            </w:r>
          </w:p>
        </w:tc>
        <w:tc>
          <w:tcPr>
            <w:tcW w:w="1496" w:type="pct"/>
            <w:shd w:val="clear" w:color="auto" w:fill="auto"/>
          </w:tcPr>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工程地点</w:t>
            </w:r>
          </w:p>
        </w:tc>
        <w:tc>
          <w:tcPr>
            <w:tcW w:w="3025" w:type="pct"/>
            <w:shd w:val="clear" w:color="auto" w:fill="auto"/>
          </w:tcPr>
          <w:p>
            <w:pPr>
              <w:spacing w:line="400" w:lineRule="exact"/>
              <w:ind w:firstLine="296" w:firstLineChars="100"/>
              <w:rPr>
                <w:rFonts w:ascii="仿宋" w:hAnsi="仿宋" w:eastAsia="仿宋"/>
                <w:bCs/>
                <w:color w:val="auto"/>
                <w:spacing w:val="8"/>
                <w:sz w:val="28"/>
                <w:szCs w:val="28"/>
              </w:rPr>
            </w:pPr>
            <w:r>
              <w:rPr>
                <w:rFonts w:hint="eastAsia" w:ascii="仿宋" w:hAnsi="仿宋" w:eastAsia="仿宋"/>
                <w:bCs/>
                <w:color w:val="auto"/>
                <w:spacing w:val="8"/>
                <w:sz w:val="28"/>
                <w:szCs w:val="28"/>
                <w:lang w:eastAsia="zh-CN"/>
              </w:rPr>
              <w:t>池州市九华山风景区消防救援大队</w:t>
            </w:r>
            <w:r>
              <w:rPr>
                <w:rFonts w:hint="eastAsia" w:ascii="仿宋" w:hAnsi="仿宋" w:eastAsia="仿宋"/>
                <w:bCs/>
                <w:color w:val="auto"/>
                <w:spacing w:val="8"/>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shd w:val="clear" w:color="auto" w:fill="auto"/>
          </w:tcPr>
          <w:p>
            <w:pPr>
              <w:spacing w:line="400" w:lineRule="exact"/>
              <w:rPr>
                <w:rFonts w:ascii="仿宋" w:hAnsi="仿宋" w:eastAsia="仿宋"/>
                <w:bCs/>
                <w:color w:val="auto"/>
                <w:spacing w:val="8"/>
                <w:sz w:val="28"/>
                <w:szCs w:val="28"/>
              </w:rPr>
            </w:pPr>
            <w:r>
              <w:rPr>
                <w:rFonts w:hint="eastAsia" w:ascii="仿宋" w:hAnsi="仿宋" w:eastAsia="仿宋"/>
                <w:bCs/>
                <w:color w:val="auto"/>
                <w:spacing w:val="8"/>
                <w:sz w:val="28"/>
                <w:szCs w:val="28"/>
              </w:rPr>
              <w:t>3</w:t>
            </w:r>
          </w:p>
        </w:tc>
        <w:tc>
          <w:tcPr>
            <w:tcW w:w="1496" w:type="pct"/>
            <w:shd w:val="clear" w:color="auto" w:fill="auto"/>
          </w:tcPr>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质量标准</w:t>
            </w:r>
          </w:p>
        </w:tc>
        <w:tc>
          <w:tcPr>
            <w:tcW w:w="3025" w:type="pct"/>
            <w:shd w:val="clear" w:color="auto" w:fill="auto"/>
          </w:tcPr>
          <w:p>
            <w:pPr>
              <w:spacing w:line="400" w:lineRule="exact"/>
              <w:ind w:firstLine="2072" w:firstLineChars="700"/>
              <w:rPr>
                <w:rFonts w:ascii="仿宋" w:hAnsi="仿宋" w:eastAsia="仿宋"/>
                <w:bCs/>
                <w:color w:val="auto"/>
                <w:spacing w:val="8"/>
                <w:sz w:val="28"/>
                <w:szCs w:val="28"/>
              </w:rPr>
            </w:pPr>
            <w:r>
              <w:rPr>
                <w:rFonts w:ascii="仿宋" w:hAnsi="仿宋" w:eastAsia="仿宋"/>
                <w:bCs/>
                <w:color w:val="auto"/>
                <w:spacing w:val="8"/>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 w:type="pct"/>
            <w:shd w:val="clear" w:color="auto" w:fill="auto"/>
          </w:tcPr>
          <w:p>
            <w:pPr>
              <w:spacing w:line="400" w:lineRule="exact"/>
              <w:rPr>
                <w:rFonts w:ascii="仿宋" w:hAnsi="仿宋" w:eastAsia="仿宋"/>
                <w:bCs/>
                <w:color w:val="auto"/>
                <w:spacing w:val="8"/>
                <w:sz w:val="28"/>
                <w:szCs w:val="28"/>
              </w:rPr>
            </w:pPr>
            <w:r>
              <w:rPr>
                <w:rFonts w:hint="eastAsia" w:ascii="仿宋" w:hAnsi="仿宋" w:eastAsia="仿宋"/>
                <w:bCs/>
                <w:color w:val="auto"/>
                <w:spacing w:val="8"/>
                <w:sz w:val="28"/>
                <w:szCs w:val="28"/>
              </w:rPr>
              <w:t>4</w:t>
            </w:r>
          </w:p>
        </w:tc>
        <w:tc>
          <w:tcPr>
            <w:tcW w:w="1496" w:type="pct"/>
            <w:shd w:val="clear" w:color="auto" w:fill="auto"/>
          </w:tcPr>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工期</w:t>
            </w:r>
          </w:p>
        </w:tc>
        <w:tc>
          <w:tcPr>
            <w:tcW w:w="3025" w:type="pct"/>
            <w:shd w:val="clear" w:color="auto" w:fill="auto"/>
          </w:tcPr>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接开工令后</w:t>
            </w:r>
            <w:r>
              <w:rPr>
                <w:rFonts w:hint="eastAsia" w:ascii="仿宋" w:hAnsi="仿宋" w:eastAsia="仿宋"/>
                <w:bCs/>
                <w:color w:val="auto"/>
                <w:spacing w:val="8"/>
                <w:sz w:val="28"/>
                <w:szCs w:val="28"/>
                <w:u w:val="single"/>
              </w:rPr>
              <w:t xml:space="preserve"> 30</w:t>
            </w:r>
            <w:r>
              <w:rPr>
                <w:rFonts w:hint="eastAsia" w:ascii="仿宋" w:hAnsi="仿宋" w:eastAsia="仿宋"/>
                <w:bCs/>
                <w:color w:val="auto"/>
                <w:spacing w:val="8"/>
                <w:sz w:val="28"/>
                <w:szCs w:val="28"/>
              </w:rPr>
              <w:t>日历天完工</w:t>
            </w:r>
          </w:p>
        </w:tc>
      </w:tr>
    </w:tbl>
    <w:p>
      <w:pPr>
        <w:spacing w:line="400" w:lineRule="exact"/>
        <w:rPr>
          <w:rFonts w:ascii="黑体" w:hAnsi="黑体" w:eastAsia="黑体"/>
          <w:bCs/>
          <w:color w:val="auto"/>
          <w:spacing w:val="8"/>
          <w:sz w:val="28"/>
          <w:szCs w:val="28"/>
        </w:rPr>
      </w:pPr>
      <w:r>
        <w:rPr>
          <w:rFonts w:hint="eastAsia" w:ascii="黑体" w:hAnsi="黑体" w:eastAsia="黑体"/>
          <w:bCs/>
          <w:color w:val="auto"/>
          <w:spacing w:val="8"/>
          <w:sz w:val="28"/>
          <w:szCs w:val="28"/>
        </w:rPr>
        <w:t>二、申请人的资格条件</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1.满足《中华人民共和国政府采购法》第二十二条规定；</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2.落实政府采购政策需满足的资格要求：按照财政部、工业和信息化部制定的《政府采购促进中小企业发展管理办法》，本项目专门面向中小企业采购，工程由中小企业承建。</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3.本项目的特定资格要求：</w:t>
      </w:r>
      <w:r>
        <w:rPr>
          <w:rFonts w:ascii="仿宋" w:hAnsi="仿宋" w:eastAsia="仿宋"/>
          <w:bCs/>
          <w:color w:val="auto"/>
          <w:spacing w:val="8"/>
          <w:sz w:val="28"/>
          <w:szCs w:val="28"/>
        </w:rPr>
        <w:t xml:space="preserve"> </w:t>
      </w:r>
    </w:p>
    <w:p>
      <w:pPr>
        <w:spacing w:line="400" w:lineRule="exact"/>
        <w:ind w:firstLine="540"/>
        <w:rPr>
          <w:rFonts w:ascii="仿宋" w:hAnsi="仿宋" w:eastAsia="仿宋" w:cs="宋体"/>
          <w:color w:val="auto"/>
          <w:sz w:val="28"/>
          <w:szCs w:val="28"/>
        </w:rPr>
      </w:pPr>
      <w:r>
        <w:rPr>
          <w:rFonts w:hint="eastAsia" w:ascii="仿宋" w:hAnsi="仿宋" w:eastAsia="仿宋" w:cs="宋体"/>
          <w:color w:val="auto"/>
          <w:sz w:val="28"/>
          <w:szCs w:val="28"/>
        </w:rPr>
        <w:t>3.1供应商具有</w:t>
      </w:r>
      <w:r>
        <w:rPr>
          <w:rFonts w:hint="eastAsia" w:ascii="仿宋" w:hAnsi="仿宋" w:eastAsia="仿宋" w:cs="宋体"/>
          <w:color w:val="auto"/>
          <w:sz w:val="28"/>
          <w:szCs w:val="28"/>
          <w:lang w:eastAsia="zh-CN"/>
        </w:rPr>
        <w:t>市政</w:t>
      </w:r>
      <w:r>
        <w:rPr>
          <w:rFonts w:hint="eastAsia" w:ascii="仿宋" w:hAnsi="仿宋" w:eastAsia="仿宋" w:cs="宋体"/>
          <w:color w:val="auto"/>
          <w:sz w:val="28"/>
          <w:szCs w:val="28"/>
        </w:rPr>
        <w:t>工程施工总承包叁级及以上资质；具有有效的安全生产许可证；</w:t>
      </w:r>
    </w:p>
    <w:p>
      <w:pPr>
        <w:spacing w:line="400" w:lineRule="exact"/>
        <w:ind w:firstLine="540"/>
        <w:rPr>
          <w:rFonts w:ascii="仿宋" w:hAnsi="仿宋" w:eastAsia="仿宋" w:cs="宋体"/>
          <w:color w:val="auto"/>
          <w:sz w:val="28"/>
          <w:szCs w:val="28"/>
        </w:rPr>
      </w:pPr>
      <w:r>
        <w:rPr>
          <w:rFonts w:hint="eastAsia" w:ascii="仿宋" w:hAnsi="仿宋" w:eastAsia="仿宋" w:cs="宋体"/>
          <w:color w:val="auto"/>
          <w:sz w:val="28"/>
          <w:szCs w:val="28"/>
        </w:rPr>
        <w:t>3.2供应商拟委任项目经理具有</w:t>
      </w:r>
      <w:r>
        <w:rPr>
          <w:rFonts w:hint="eastAsia" w:ascii="仿宋" w:hAnsi="仿宋" w:eastAsia="仿宋" w:cs="宋体"/>
          <w:color w:val="auto"/>
          <w:sz w:val="28"/>
          <w:szCs w:val="28"/>
          <w:lang w:eastAsia="zh-CN"/>
        </w:rPr>
        <w:t>市政</w:t>
      </w:r>
      <w:r>
        <w:rPr>
          <w:rFonts w:hint="eastAsia" w:ascii="仿宋" w:hAnsi="仿宋" w:eastAsia="仿宋" w:cs="宋体"/>
          <w:color w:val="auto"/>
          <w:sz w:val="28"/>
          <w:szCs w:val="28"/>
        </w:rPr>
        <w:t xml:space="preserve">专业贰级及以上注册建造师执业资格，具有有效的安全生产考核合格证书； </w:t>
      </w:r>
      <w:r>
        <w:rPr>
          <w:rFonts w:hint="eastAsia" w:ascii="仿宋" w:hAnsi="仿宋" w:eastAsia="仿宋"/>
          <w:bCs/>
          <w:color w:val="auto"/>
          <w:spacing w:val="8"/>
          <w:sz w:val="28"/>
          <w:szCs w:val="28"/>
        </w:rPr>
        <w:t xml:space="preserve"> </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3.3供应商存在以下不良信用记录情形之一的，不得推荐为成交候选供应商，不得确定为成交供应商：</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（1）供应商被人民法院列入失信被执行人的；</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（2）供应商或其法定代表人或拟派项目经理（项目负责人）被人民检察院列入行贿犯罪档案的；</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（3）供应商被市场监督管理部门列入企业经营异常名录的；</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（4）供应商被税务部门列入重大税收违法案件当事人名单的；</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（5）供应商被政府采购监管部门列入政府采购严重违法失信行为记录名单的。</w:t>
      </w:r>
    </w:p>
    <w:p>
      <w:pPr>
        <w:snapToGrid w:val="0"/>
        <w:spacing w:line="460" w:lineRule="exact"/>
        <w:rPr>
          <w:rFonts w:ascii="黑体" w:hAnsi="黑体" w:eastAsia="黑体"/>
          <w:color w:val="auto"/>
          <w:sz w:val="28"/>
          <w:szCs w:val="28"/>
        </w:rPr>
      </w:pPr>
      <w:r>
        <w:rPr>
          <w:rFonts w:hint="eastAsia" w:ascii="黑体" w:hAnsi="黑体" w:eastAsia="黑体"/>
          <w:color w:val="auto"/>
          <w:sz w:val="28"/>
          <w:szCs w:val="28"/>
        </w:rPr>
        <w:t>三、项目概况</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本工程为</w:t>
      </w:r>
      <w:r>
        <w:rPr>
          <w:rFonts w:hint="eastAsia" w:ascii="仿宋" w:hAnsi="仿宋" w:eastAsia="仿宋"/>
          <w:bCs/>
          <w:color w:val="auto"/>
          <w:spacing w:val="8"/>
          <w:sz w:val="28"/>
          <w:szCs w:val="28"/>
          <w:lang w:eastAsia="zh-CN"/>
        </w:rPr>
        <w:t>池州市九华山风景区消防救援大队篮球场改造工程采购项目</w:t>
      </w:r>
      <w:r>
        <w:rPr>
          <w:rFonts w:hint="eastAsia" w:ascii="仿宋" w:hAnsi="仿宋" w:eastAsia="仿宋"/>
          <w:bCs/>
          <w:color w:val="auto"/>
          <w:spacing w:val="8"/>
          <w:sz w:val="28"/>
          <w:szCs w:val="28"/>
        </w:rPr>
        <w:t>，主要包括</w:t>
      </w:r>
      <w:r>
        <w:rPr>
          <w:rFonts w:hint="eastAsia" w:ascii="仿宋" w:hAnsi="仿宋" w:eastAsia="仿宋"/>
          <w:bCs/>
          <w:color w:val="auto"/>
          <w:spacing w:val="8"/>
          <w:sz w:val="28"/>
          <w:szCs w:val="28"/>
          <w:lang w:eastAsia="zh-CN"/>
        </w:rPr>
        <w:t>球场、排水沟</w:t>
      </w:r>
      <w:r>
        <w:rPr>
          <w:rFonts w:hint="eastAsia" w:ascii="仿宋" w:hAnsi="仿宋" w:eastAsia="仿宋"/>
          <w:bCs/>
          <w:color w:val="auto"/>
          <w:spacing w:val="8"/>
          <w:sz w:val="28"/>
          <w:szCs w:val="28"/>
        </w:rPr>
        <w:t>等工程，具体详见清单项目特征。</w:t>
      </w:r>
    </w:p>
    <w:p>
      <w:pPr>
        <w:spacing w:line="440" w:lineRule="exact"/>
        <w:rPr>
          <w:rFonts w:ascii="黑体" w:hAnsi="黑体" w:eastAsia="黑体"/>
          <w:bCs/>
          <w:color w:val="auto"/>
          <w:spacing w:val="8"/>
          <w:sz w:val="28"/>
          <w:szCs w:val="28"/>
        </w:rPr>
      </w:pPr>
      <w:r>
        <w:rPr>
          <w:rFonts w:hint="eastAsia" w:ascii="黑体" w:hAnsi="黑体" w:eastAsia="黑体"/>
          <w:bCs/>
          <w:color w:val="auto"/>
          <w:spacing w:val="8"/>
          <w:sz w:val="28"/>
          <w:szCs w:val="28"/>
        </w:rPr>
        <w:t>四、采购清单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788"/>
        <w:gridCol w:w="1779"/>
        <w:gridCol w:w="1549"/>
        <w:gridCol w:w="1223"/>
        <w:gridCol w:w="1554"/>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1" w:hRule="atLeast"/>
        </w:trPr>
        <w:tc>
          <w:tcPr>
            <w:tcW w:w="4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312" w:after="312" w:line="400" w:lineRule="exact"/>
              <w:ind w:left="0" w:leftChars="0" w:firstLine="0" w:firstLineChars="0"/>
              <w:jc w:val="center"/>
              <w:textAlignment w:val="auto"/>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包别</w:t>
            </w:r>
          </w:p>
        </w:tc>
        <w:tc>
          <w:tcPr>
            <w:tcW w:w="46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312" w:after="312" w:line="400" w:lineRule="exact"/>
              <w:ind w:left="0" w:leftChars="0" w:firstLine="0" w:firstLineChars="0"/>
              <w:jc w:val="center"/>
              <w:textAlignment w:val="auto"/>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序号</w:t>
            </w:r>
          </w:p>
        </w:tc>
        <w:tc>
          <w:tcPr>
            <w:tcW w:w="104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312" w:after="312" w:line="400" w:lineRule="exact"/>
              <w:ind w:left="0" w:leftChars="0" w:firstLine="0" w:firstLineChars="0"/>
              <w:jc w:val="center"/>
              <w:textAlignment w:val="auto"/>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标的名称</w:t>
            </w:r>
          </w:p>
        </w:tc>
        <w:tc>
          <w:tcPr>
            <w:tcW w:w="90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rPr>
            </w:pPr>
            <w:r>
              <w:rPr>
                <w:rFonts w:hint="eastAsia"/>
              </w:rPr>
              <w:t>合价</w:t>
            </w:r>
          </w:p>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eastAsia="仿宋"/>
                <w:lang w:eastAsia="zh-CN"/>
              </w:rPr>
            </w:pPr>
            <w:r>
              <w:rPr>
                <w:rFonts w:hint="eastAsia" w:ascii="仿宋" w:hAnsi="仿宋" w:eastAsia="仿宋"/>
                <w:bCs/>
                <w:color w:val="auto"/>
                <w:spacing w:val="8"/>
                <w:kern w:val="0"/>
                <w:sz w:val="28"/>
                <w:szCs w:val="28"/>
                <w:lang w:eastAsia="zh-CN"/>
              </w:rPr>
              <w:t>（</w:t>
            </w:r>
            <w:r>
              <w:rPr>
                <w:rFonts w:hint="eastAsia" w:ascii="仿宋" w:hAnsi="仿宋" w:eastAsia="仿宋"/>
                <w:bCs/>
                <w:color w:val="auto"/>
                <w:spacing w:val="8"/>
                <w:kern w:val="0"/>
                <w:sz w:val="28"/>
                <w:szCs w:val="28"/>
              </w:rPr>
              <w:t>元</w:t>
            </w:r>
            <w:r>
              <w:rPr>
                <w:rFonts w:hint="eastAsia" w:ascii="仿宋" w:hAnsi="仿宋" w:eastAsia="仿宋"/>
                <w:bCs/>
                <w:color w:val="auto"/>
                <w:spacing w:val="8"/>
                <w:kern w:val="0"/>
                <w:sz w:val="28"/>
                <w:szCs w:val="28"/>
                <w:lang w:eastAsia="zh-CN"/>
              </w:rPr>
              <w:t>）</w:t>
            </w:r>
          </w:p>
        </w:tc>
        <w:tc>
          <w:tcPr>
            <w:tcW w:w="7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bCs/>
                <w:color w:val="auto"/>
                <w:spacing w:val="8"/>
                <w:kern w:val="0"/>
                <w:sz w:val="28"/>
                <w:szCs w:val="28"/>
              </w:rPr>
            </w:pPr>
            <w:r>
              <w:rPr>
                <w:rFonts w:hint="eastAsia" w:ascii="仿宋" w:hAnsi="仿宋" w:eastAsia="仿宋"/>
                <w:bCs/>
                <w:color w:val="auto"/>
                <w:spacing w:val="8"/>
                <w:kern w:val="0"/>
                <w:sz w:val="28"/>
                <w:szCs w:val="28"/>
              </w:rPr>
              <w:t>所属</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行业</w:t>
            </w:r>
          </w:p>
        </w:tc>
        <w:tc>
          <w:tcPr>
            <w:tcW w:w="91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312" w:after="312" w:line="400" w:lineRule="exact"/>
              <w:ind w:left="0" w:leftChars="0" w:firstLine="0" w:firstLineChars="0"/>
              <w:textAlignment w:val="auto"/>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标的性质（货物/服务/工程 ）</w:t>
            </w:r>
          </w:p>
        </w:tc>
        <w:tc>
          <w:tcPr>
            <w:tcW w:w="52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312" w:after="312" w:line="400" w:lineRule="exact"/>
              <w:ind w:left="0" w:leftChars="0" w:firstLine="0" w:firstLineChars="0"/>
              <w:jc w:val="center"/>
              <w:textAlignment w:val="auto"/>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435" w:type="pc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p>
        </w:tc>
        <w:tc>
          <w:tcPr>
            <w:tcW w:w="462" w:type="pct"/>
            <w:tcBorders>
              <w:top w:val="single" w:color="auto" w:sz="4" w:space="0"/>
              <w:left w:val="single" w:color="auto" w:sz="4" w:space="0"/>
              <w:bottom w:val="single" w:color="auto" w:sz="4" w:space="0"/>
              <w:right w:val="single" w:color="auto" w:sz="4" w:space="0"/>
            </w:tcBorders>
            <w:vAlign w:val="center"/>
          </w:tcPr>
          <w:p>
            <w:pPr>
              <w:spacing w:before="312" w:after="312" w:line="400" w:lineRule="exact"/>
              <w:ind w:firstLine="296" w:firstLineChars="100"/>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1</w:t>
            </w:r>
          </w:p>
        </w:tc>
        <w:tc>
          <w:tcPr>
            <w:tcW w:w="1043" w:type="pct"/>
            <w:tcBorders>
              <w:top w:val="single" w:color="auto" w:sz="4" w:space="0"/>
              <w:left w:val="single" w:color="auto" w:sz="4" w:space="0"/>
              <w:bottom w:val="single" w:color="auto" w:sz="4" w:space="0"/>
              <w:right w:val="single" w:color="auto" w:sz="4" w:space="0"/>
            </w:tcBorders>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lang w:eastAsia="zh-CN"/>
              </w:rPr>
              <w:t>池州市九华山风景区消防救援大队篮球场改造工程采购项目</w:t>
            </w:r>
          </w:p>
        </w:tc>
        <w:tc>
          <w:tcPr>
            <w:tcW w:w="908" w:type="pc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lang w:eastAsia="zh-CN"/>
              </w:rPr>
              <w:t>178227.37</w:t>
            </w:r>
          </w:p>
        </w:tc>
        <w:tc>
          <w:tcPr>
            <w:tcW w:w="717" w:type="pc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hint="eastAsia" w:ascii="仿宋" w:hAnsi="仿宋" w:eastAsia="仿宋"/>
                <w:bCs/>
                <w:color w:val="auto"/>
                <w:spacing w:val="8"/>
                <w:kern w:val="0"/>
                <w:sz w:val="28"/>
                <w:szCs w:val="28"/>
              </w:rPr>
              <w:t>建筑业</w:t>
            </w:r>
          </w:p>
        </w:tc>
        <w:tc>
          <w:tcPr>
            <w:tcW w:w="911" w:type="pct"/>
            <w:tcBorders>
              <w:top w:val="single" w:color="auto" w:sz="4" w:space="0"/>
              <w:left w:val="single" w:color="auto" w:sz="4" w:space="0"/>
              <w:bottom w:val="single" w:color="auto" w:sz="4" w:space="0"/>
              <w:right w:val="single" w:color="auto" w:sz="4" w:space="0"/>
            </w:tcBorders>
            <w:vAlign w:val="center"/>
          </w:tcPr>
          <w:p>
            <w:pPr>
              <w:spacing w:before="312" w:after="312" w:line="400" w:lineRule="exact"/>
              <w:jc w:val="center"/>
              <w:rPr>
                <w:rFonts w:ascii="仿宋" w:hAnsi="仿宋" w:eastAsia="仿宋"/>
                <w:bCs/>
                <w:color w:val="auto"/>
                <w:spacing w:val="8"/>
                <w:kern w:val="0"/>
                <w:sz w:val="28"/>
                <w:szCs w:val="28"/>
              </w:rPr>
            </w:pPr>
            <w:r>
              <w:rPr>
                <w:rFonts w:ascii="仿宋" w:hAnsi="仿宋" w:eastAsia="仿宋"/>
                <w:bCs/>
                <w:color w:val="auto"/>
                <w:spacing w:val="8"/>
                <w:kern w:val="0"/>
                <w:sz w:val="28"/>
                <w:szCs w:val="28"/>
              </w:rPr>
              <w:t>工程</w:t>
            </w:r>
          </w:p>
        </w:tc>
        <w:tc>
          <w:tcPr>
            <w:tcW w:w="520" w:type="pct"/>
            <w:tcBorders>
              <w:top w:val="single" w:color="auto" w:sz="4" w:space="0"/>
              <w:left w:val="single" w:color="auto" w:sz="4" w:space="0"/>
              <w:bottom w:val="single" w:color="auto" w:sz="4" w:space="0"/>
              <w:right w:val="single" w:color="auto" w:sz="4" w:space="0"/>
            </w:tcBorders>
          </w:tcPr>
          <w:p>
            <w:pPr>
              <w:spacing w:before="312" w:after="312" w:line="400" w:lineRule="exact"/>
              <w:rPr>
                <w:rFonts w:ascii="仿宋" w:hAnsi="仿宋" w:eastAsia="仿宋"/>
                <w:bCs/>
                <w:color w:val="auto"/>
                <w:spacing w:val="8"/>
                <w:kern w:val="0"/>
                <w:sz w:val="28"/>
                <w:szCs w:val="28"/>
              </w:rPr>
            </w:pPr>
          </w:p>
        </w:tc>
      </w:tr>
    </w:tbl>
    <w:p>
      <w:pPr>
        <w:spacing w:line="360" w:lineRule="auto"/>
        <w:rPr>
          <w:rFonts w:ascii="黑体" w:hAnsi="黑体" w:eastAsia="黑体"/>
          <w:color w:val="auto"/>
          <w:sz w:val="28"/>
          <w:szCs w:val="28"/>
        </w:rPr>
      </w:pPr>
      <w:r>
        <w:rPr>
          <w:rFonts w:hint="eastAsia" w:ascii="黑体" w:hAnsi="黑体" w:eastAsia="黑体"/>
          <w:color w:val="auto"/>
          <w:sz w:val="28"/>
          <w:szCs w:val="28"/>
        </w:rPr>
        <w:t>五、工程需求</w:t>
      </w:r>
    </w:p>
    <w:p>
      <w:pPr>
        <w:spacing w:line="360" w:lineRule="auto"/>
        <w:ind w:firstLine="560" w:firstLineChars="200"/>
        <w:rPr>
          <w:rFonts w:ascii="仿宋" w:hAnsi="仿宋" w:eastAsia="仿宋"/>
          <w:color w:val="auto"/>
          <w:sz w:val="28"/>
          <w:szCs w:val="28"/>
        </w:rPr>
      </w:pPr>
      <w:r>
        <w:rPr>
          <w:rFonts w:ascii="仿宋" w:hAnsi="仿宋" w:eastAsia="仿宋"/>
          <w:color w:val="auto"/>
          <w:sz w:val="28"/>
          <w:szCs w:val="28"/>
        </w:rPr>
        <w:t>详见清单</w:t>
      </w:r>
      <w:r>
        <w:rPr>
          <w:rFonts w:hint="eastAsia" w:ascii="仿宋" w:hAnsi="仿宋" w:eastAsia="仿宋"/>
          <w:color w:val="auto"/>
          <w:sz w:val="28"/>
          <w:szCs w:val="28"/>
        </w:rPr>
        <w:t>项目特征</w:t>
      </w:r>
    </w:p>
    <w:p>
      <w:pPr>
        <w:spacing w:line="360" w:lineRule="auto"/>
        <w:rPr>
          <w:rFonts w:ascii="黑体" w:hAnsi="黑体" w:eastAsia="黑体"/>
          <w:color w:val="auto"/>
          <w:sz w:val="28"/>
          <w:szCs w:val="28"/>
        </w:rPr>
      </w:pPr>
      <w:r>
        <w:rPr>
          <w:rFonts w:hint="eastAsia" w:ascii="黑体" w:hAnsi="黑体" w:eastAsia="黑体"/>
          <w:color w:val="auto"/>
          <w:sz w:val="28"/>
          <w:szCs w:val="28"/>
        </w:rPr>
        <w:t>六、报价要求</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总预算价</w:t>
      </w:r>
      <w:r>
        <w:rPr>
          <w:rFonts w:hint="eastAsia" w:ascii="仿宋" w:hAnsi="仿宋" w:eastAsia="仿宋"/>
          <w:bCs/>
          <w:color w:val="auto"/>
          <w:spacing w:val="8"/>
          <w:sz w:val="28"/>
          <w:szCs w:val="28"/>
          <w:lang w:eastAsia="zh-CN"/>
        </w:rPr>
        <w:t>178227.37</w:t>
      </w:r>
      <w:r>
        <w:rPr>
          <w:rFonts w:hint="eastAsia" w:ascii="仿宋" w:hAnsi="仿宋" w:eastAsia="仿宋"/>
          <w:bCs/>
          <w:color w:val="auto"/>
          <w:spacing w:val="8"/>
          <w:sz w:val="28"/>
          <w:szCs w:val="28"/>
        </w:rPr>
        <w:t>元，总最高控制价</w:t>
      </w:r>
      <w:r>
        <w:rPr>
          <w:rFonts w:hint="eastAsia" w:ascii="仿宋" w:hAnsi="仿宋" w:eastAsia="仿宋"/>
          <w:bCs/>
          <w:color w:val="auto"/>
          <w:spacing w:val="8"/>
          <w:sz w:val="28"/>
          <w:szCs w:val="28"/>
          <w:lang w:eastAsia="zh-CN"/>
        </w:rPr>
        <w:t>178227.37</w:t>
      </w:r>
      <w:r>
        <w:rPr>
          <w:rFonts w:hint="eastAsia" w:ascii="仿宋" w:hAnsi="仿宋" w:eastAsia="仿宋"/>
          <w:bCs/>
          <w:color w:val="auto"/>
          <w:spacing w:val="8"/>
          <w:sz w:val="28"/>
          <w:szCs w:val="28"/>
        </w:rPr>
        <w:t>元，超过最高控制价作为无效标处理。根据建市函〔2020〕1073号、池建市函〔2020〕512号文有关规定，工程投标报价低于招标控制价</w:t>
      </w:r>
      <w:bookmarkStart w:id="0" w:name="_GoBack"/>
      <w:bookmarkEnd w:id="0"/>
      <w:r>
        <w:rPr>
          <w:rFonts w:hint="eastAsia" w:ascii="仿宋" w:hAnsi="仿宋" w:eastAsia="仿宋"/>
          <w:bCs/>
          <w:color w:val="auto"/>
          <w:spacing w:val="8"/>
          <w:sz w:val="28"/>
          <w:szCs w:val="28"/>
        </w:rPr>
        <w:t>90%的，投标人应在投标文件中做出说明，投标人不能作出有效澄清、说明或评标委员会认定其存在履约及质量安全风险的，评标委员会应否决其投标。</w:t>
      </w:r>
    </w:p>
    <w:p>
      <w:pPr>
        <w:spacing w:line="360" w:lineRule="auto"/>
        <w:rPr>
          <w:rFonts w:ascii="黑体" w:hAnsi="黑体" w:eastAsia="黑体"/>
          <w:color w:val="auto"/>
          <w:sz w:val="28"/>
          <w:szCs w:val="28"/>
        </w:rPr>
      </w:pPr>
      <w:r>
        <w:rPr>
          <w:rFonts w:hint="eastAsia" w:ascii="黑体" w:hAnsi="黑体" w:eastAsia="黑体"/>
          <w:color w:val="auto"/>
          <w:sz w:val="28"/>
          <w:szCs w:val="28"/>
        </w:rPr>
        <w:t>七、其他要求</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1、主材要求：经建设单位、监理单位同意后方可进场。</w:t>
      </w:r>
    </w:p>
    <w:p>
      <w:pPr>
        <w:spacing w:line="400" w:lineRule="exact"/>
        <w:ind w:firstLine="592" w:firstLineChars="200"/>
        <w:rPr>
          <w:rFonts w:hint="eastAsia" w:ascii="仿宋" w:hAnsi="仿宋" w:eastAsia="仿宋"/>
          <w:bCs/>
          <w:color w:val="auto"/>
          <w:spacing w:val="8"/>
          <w:sz w:val="28"/>
          <w:szCs w:val="28"/>
        </w:rPr>
      </w:pPr>
      <w:r>
        <w:rPr>
          <w:rFonts w:hint="eastAsia" w:ascii="仿宋" w:hAnsi="仿宋" w:eastAsia="仿宋"/>
          <w:bCs/>
          <w:color w:val="auto"/>
          <w:spacing w:val="8"/>
          <w:sz w:val="28"/>
          <w:szCs w:val="28"/>
        </w:rPr>
        <w:t>2、安全文明施工要求：严格按照施工规范和安全操作规程施工，对于施工所影响的树木及建筑必要时需采取有效的加固</w:t>
      </w:r>
      <w:r>
        <w:rPr>
          <w:rFonts w:hint="eastAsia" w:ascii="仿宋" w:hAnsi="仿宋" w:eastAsia="仿宋"/>
          <w:bCs/>
          <w:color w:val="auto"/>
          <w:spacing w:val="8"/>
          <w:sz w:val="28"/>
          <w:szCs w:val="28"/>
          <w:lang w:eastAsia="zh-CN"/>
        </w:rPr>
        <w:t>和</w:t>
      </w:r>
      <w:r>
        <w:rPr>
          <w:rFonts w:hint="eastAsia" w:ascii="仿宋" w:hAnsi="仿宋" w:eastAsia="仿宋"/>
          <w:bCs/>
          <w:color w:val="auto"/>
          <w:spacing w:val="8"/>
          <w:sz w:val="28"/>
          <w:szCs w:val="28"/>
        </w:rPr>
        <w:t>防护措施</w:t>
      </w:r>
      <w:r>
        <w:rPr>
          <w:rFonts w:hint="eastAsia" w:ascii="仿宋" w:hAnsi="仿宋" w:eastAsia="仿宋"/>
          <w:bCs/>
          <w:color w:val="auto"/>
          <w:spacing w:val="8"/>
          <w:sz w:val="28"/>
          <w:szCs w:val="28"/>
          <w:lang w:eastAsia="zh-CN"/>
        </w:rPr>
        <w:t>，</w:t>
      </w:r>
      <w:r>
        <w:rPr>
          <w:rFonts w:hint="eastAsia" w:ascii="仿宋" w:hAnsi="仿宋" w:eastAsia="仿宋"/>
          <w:bCs/>
          <w:color w:val="auto"/>
          <w:spacing w:val="8"/>
          <w:sz w:val="28"/>
          <w:szCs w:val="28"/>
        </w:rPr>
        <w:t>确保施工安全，排查安全隐患，防止空中坠物，确保现场施工人员及周围群众的安全。成交供应商对进场参与施工的人员必须足额购买相关保险，并承担全部安全责任。</w:t>
      </w:r>
    </w:p>
    <w:p>
      <w:pPr>
        <w:spacing w:line="400" w:lineRule="exact"/>
        <w:ind w:firstLine="592" w:firstLineChars="200"/>
        <w:rPr>
          <w:rFonts w:ascii="仿宋" w:hAnsi="仿宋" w:eastAsia="仿宋"/>
          <w:bCs/>
          <w:color w:val="auto"/>
          <w:spacing w:val="8"/>
          <w:sz w:val="28"/>
          <w:szCs w:val="28"/>
        </w:rPr>
      </w:pPr>
      <w:r>
        <w:rPr>
          <w:rFonts w:hint="eastAsia" w:ascii="仿宋" w:hAnsi="仿宋" w:eastAsia="仿宋"/>
          <w:bCs/>
          <w:color w:val="auto"/>
          <w:spacing w:val="8"/>
          <w:sz w:val="28"/>
          <w:szCs w:val="28"/>
        </w:rPr>
        <w:t>3、不得转包：承包人必须承诺项目经理（注册建造师）在整个施工期内每</w:t>
      </w:r>
    </w:p>
    <w:p>
      <w:pPr>
        <w:spacing w:line="400" w:lineRule="exact"/>
        <w:rPr>
          <w:rFonts w:ascii="仿宋" w:hAnsi="仿宋" w:eastAsia="仿宋"/>
          <w:bCs/>
          <w:color w:val="auto"/>
          <w:spacing w:val="8"/>
          <w:sz w:val="28"/>
          <w:szCs w:val="28"/>
        </w:rPr>
      </w:pPr>
      <w:r>
        <w:rPr>
          <w:rFonts w:hint="eastAsia" w:ascii="仿宋" w:hAnsi="仿宋" w:eastAsia="仿宋"/>
          <w:bCs/>
          <w:color w:val="auto"/>
          <w:spacing w:val="8"/>
          <w:sz w:val="28"/>
          <w:szCs w:val="28"/>
        </w:rPr>
        <w:t>个月不少于 22 天驻施工现场并组织施工，每天在岗时间不少于 8 个小时。注册建造师离开现场的，须经业主工程师代表同意，并书面指定临时代表，代为行使注册建造师的权利；该临时代表的一切行为，发包人均认为是注册建造师的行为，若注册建造师驻工地时间每周少于 5 天或未经业主工程师代表同意擅自离岗的（不论何种原因），离岗一次罚款 0.5 万元，第二次罚款 1 万元，第三次则罚款 2 万元并约谈其公司的法人代表更换项目负责人，若更换项目负责人后，仍出现上述离岗现象，将不良信息上报行业主管部门及招标管理部门。</w:t>
      </w:r>
    </w:p>
    <w:p>
      <w:pPr>
        <w:spacing w:line="400" w:lineRule="exact"/>
        <w:ind w:firstLine="592" w:firstLineChars="200"/>
        <w:rPr>
          <w:rFonts w:hint="eastAsia" w:ascii="仿宋" w:hAnsi="仿宋" w:eastAsia="仿宋"/>
          <w:bCs/>
          <w:color w:val="auto"/>
          <w:spacing w:val="8"/>
          <w:sz w:val="28"/>
          <w:szCs w:val="28"/>
        </w:rPr>
      </w:pPr>
      <w:r>
        <w:rPr>
          <w:rFonts w:hint="eastAsia" w:ascii="仿宋" w:hAnsi="仿宋" w:eastAsia="仿宋"/>
          <w:bCs/>
          <w:color w:val="auto"/>
          <w:spacing w:val="8"/>
          <w:sz w:val="28"/>
          <w:szCs w:val="28"/>
        </w:rPr>
        <w:t>4、工期要求：由于承包人原因逾期一天索赔 1000 元 ，最高合同价的 10% 。</w:t>
      </w:r>
    </w:p>
    <w:p>
      <w:pPr>
        <w:spacing w:line="400" w:lineRule="exact"/>
        <w:ind w:firstLine="592" w:firstLineChars="200"/>
      </w:pPr>
      <w:r>
        <w:rPr>
          <w:rFonts w:hint="eastAsia" w:ascii="仿宋" w:hAnsi="仿宋" w:eastAsia="仿宋"/>
          <w:bCs/>
          <w:color w:val="auto"/>
          <w:spacing w:val="8"/>
          <w:sz w:val="28"/>
          <w:szCs w:val="28"/>
        </w:rPr>
        <w:t>5、质量要求：一次性验收不合格索赔合同价的 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4ZDY5NTcyYWVlM2JlN2UyYzBkN2MxY2IxYjFjYjMifQ=="/>
  </w:docVars>
  <w:rsids>
    <w:rsidRoot w:val="60561D38"/>
    <w:rsid w:val="1B780ED0"/>
    <w:rsid w:val="60561D38"/>
    <w:rsid w:val="66E1776E"/>
    <w:rsid w:val="7D806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99"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keepLines/>
      <w:spacing w:before="100" w:after="90"/>
      <w:jc w:val="center"/>
      <w:outlineLvl w:val="0"/>
    </w:pPr>
    <w:rPr>
      <w:b/>
      <w:bCs/>
      <w:kern w:val="44"/>
      <w:sz w:val="44"/>
      <w:szCs w:val="44"/>
      <w:lang w:val="zh-CN"/>
    </w:rPr>
  </w:style>
  <w:style w:type="paragraph" w:styleId="7">
    <w:name w:val="heading 2"/>
    <w:basedOn w:val="1"/>
    <w:next w:val="1"/>
    <w:link w:val="11"/>
    <w:semiHidden/>
    <w:unhideWhenUsed/>
    <w:qFormat/>
    <w:uiPriority w:val="0"/>
    <w:pPr>
      <w:keepNext w:val="0"/>
      <w:keepLines w:val="0"/>
      <w:spacing w:after="50" w:afterLines="50" w:line="240" w:lineRule="auto"/>
      <w:ind w:firstLine="0" w:firstLineChars="0"/>
      <w:jc w:val="left"/>
      <w:outlineLvl w:val="1"/>
    </w:pPr>
    <w:rPr>
      <w:rFonts w:ascii="Arial" w:hAnsi="Arial" w:eastAsia="黑体" w:cs="Times New Roman"/>
      <w:bCs/>
      <w:kern w:val="2"/>
      <w:sz w:val="28"/>
      <w:szCs w:val="32"/>
    </w:rPr>
  </w:style>
  <w:style w:type="character" w:default="1" w:styleId="10">
    <w:name w:val="Default Paragraph Font"/>
    <w:semiHidden/>
    <w:qFormat/>
    <w:uiPriority w:val="99"/>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semiHidden/>
    <w:unhideWhenUsed/>
    <w:qFormat/>
    <w:uiPriority w:val="99"/>
    <w:pPr>
      <w:ind w:firstLine="420" w:firstLineChars="200"/>
    </w:pPr>
  </w:style>
  <w:style w:type="paragraph" w:styleId="3">
    <w:name w:val="Body Text Indent"/>
    <w:basedOn w:val="4"/>
    <w:next w:val="5"/>
    <w:semiHidden/>
    <w:unhideWhenUsed/>
    <w:qFormat/>
    <w:uiPriority w:val="99"/>
    <w:pPr>
      <w:spacing w:after="120"/>
      <w:ind w:left="420" w:leftChars="200"/>
    </w:pPr>
  </w:style>
  <w:style w:type="paragraph" w:customStyle="1" w:styleId="4">
    <w:name w:val="正文1"/>
    <w:qFormat/>
    <w:uiPriority w:val="0"/>
    <w:pPr>
      <w:widowControl w:val="0"/>
      <w:spacing w:line="360" w:lineRule="auto"/>
      <w:jc w:val="both"/>
    </w:pPr>
    <w:rPr>
      <w:rFonts w:ascii="宋体" w:hAnsi="宋体" w:eastAsia="宋体" w:cs="宋体"/>
      <w:sz w:val="21"/>
      <w:szCs w:val="21"/>
      <w:lang w:val="en-US" w:eastAsia="zh-CN" w:bidi="ar-SA"/>
    </w:rPr>
  </w:style>
  <w:style w:type="paragraph" w:styleId="5">
    <w:name w:val="envelope return"/>
    <w:basedOn w:val="1"/>
    <w:semiHidden/>
    <w:qFormat/>
    <w:uiPriority w:val="0"/>
    <w:pPr>
      <w:snapToGrid w:val="0"/>
    </w:pPr>
    <w:rPr>
      <w:rFonts w:ascii="Arial" w:hAnsi="Arial" w:cs="Arial"/>
    </w:rPr>
  </w:style>
  <w:style w:type="table" w:styleId="9">
    <w:name w:val="Table Grid"/>
    <w:basedOn w:val="8"/>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Heading 2 Char"/>
    <w:basedOn w:val="10"/>
    <w:link w:val="7"/>
    <w:semiHidden/>
    <w:qFormat/>
    <w:locked/>
    <w:uiPriority w:val="99"/>
    <w:rPr>
      <w:rFonts w:ascii="Arial" w:hAnsi="Arial" w:eastAsia="黑体" w:cs="Times New Roman"/>
      <w:bCs/>
      <w:kern w:val="0"/>
      <w:sz w:val="28"/>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4041</Words>
  <Characters>4737</Characters>
  <Lines>0</Lines>
  <Paragraphs>0</Paragraphs>
  <TotalTime>0</TotalTime>
  <ScaleCrop>false</ScaleCrop>
  <LinksUpToDate>false</LinksUpToDate>
  <CharactersWithSpaces>4799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2023-07-31T00:56:00Z</dcterms:created>
  <dc:creator>明景科技~毕言顺</dc:creator>
  <cp:lastModifiedBy>明景科技~毕言顺</cp:lastModifiedBy>
  <dcterms:modified xsi:type="dcterms:W3CDTF">2023-07-31T01:16:03Z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EED37A07E79749E0B00C68245678478F_11</vt:lpwstr>
  </property>
</Properties>
</file>