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75" w:after="75" w:line="435" w:lineRule="atLeast"/>
        <w:jc w:val="center"/>
        <w:rPr>
          <w:rFonts w:cs="宋体" w:asciiTheme="minorEastAsia" w:hAnsiTheme="minorEastAsia"/>
          <w:kern w:val="0"/>
          <w:sz w:val="24"/>
          <w:szCs w:val="24"/>
        </w:rPr>
      </w:pPr>
      <w:r>
        <w:rPr>
          <w:rFonts w:cs="宋体" w:asciiTheme="minorEastAsia" w:hAnsiTheme="minorEastAsia"/>
          <w:b/>
          <w:bCs/>
          <w:kern w:val="0"/>
          <w:sz w:val="24"/>
          <w:szCs w:val="24"/>
        </w:rPr>
        <w:t>第三章  采购内容及要求</w:t>
      </w:r>
    </w:p>
    <w:p>
      <w:pPr>
        <w:spacing w:line="435" w:lineRule="atLeast"/>
        <w:rPr>
          <w:rFonts w:ascii="宋体" w:hAnsi="宋体" w:eastAsia="宋体" w:cs="Times New Roman"/>
          <w:b/>
          <w:sz w:val="24"/>
          <w:szCs w:val="24"/>
        </w:rPr>
      </w:pPr>
      <w:r>
        <w:rPr>
          <w:rFonts w:hint="eastAsia" w:ascii="宋体" w:hAnsi="宋体" w:eastAsia="宋体" w:cs="Times New Roman"/>
          <w:b/>
          <w:sz w:val="24"/>
          <w:szCs w:val="24"/>
        </w:rPr>
        <w:t>一、</w:t>
      </w:r>
      <w:r>
        <w:rPr>
          <w:rFonts w:cs="宋体" w:asciiTheme="minorEastAsia" w:hAnsiTheme="minorEastAsia"/>
          <w:b/>
          <w:kern w:val="0"/>
          <w:sz w:val="24"/>
          <w:szCs w:val="24"/>
        </w:rPr>
        <w:t>（根据本项目实际情况，填写“采购标的”或“项目概况”）</w:t>
      </w:r>
    </w:p>
    <w:p>
      <w:pPr>
        <w:tabs>
          <w:tab w:val="left" w:pos="8646"/>
        </w:tabs>
        <w:autoSpaceDE w:val="0"/>
        <w:autoSpaceDN w:val="0"/>
        <w:adjustRightInd w:val="0"/>
        <w:snapToGrid w:val="0"/>
        <w:spacing w:line="435" w:lineRule="atLeast"/>
        <w:ind w:firstLine="480" w:firstLineChars="200"/>
        <w:rPr>
          <w:rFonts w:cs="宋体" w:asciiTheme="minorEastAsia" w:hAnsiTheme="minorEastAsia"/>
          <w:color w:val="FF0000"/>
          <w:kern w:val="0"/>
          <w:sz w:val="24"/>
          <w:szCs w:val="24"/>
        </w:rPr>
      </w:pPr>
      <w:r>
        <w:rPr>
          <w:rFonts w:hint="eastAsia" w:cs="宋体" w:asciiTheme="minorEastAsia" w:hAnsiTheme="minorEastAsia"/>
          <w:kern w:val="0"/>
          <w:sz w:val="24"/>
          <w:szCs w:val="24"/>
        </w:rPr>
        <w:t>1.项目名称：云霄县农业农村局农药残留胶体金免疫快检成套设备采购项目</w:t>
      </w:r>
    </w:p>
    <w:p>
      <w:pPr>
        <w:tabs>
          <w:tab w:val="left" w:pos="8646"/>
        </w:tabs>
        <w:autoSpaceDE w:val="0"/>
        <w:autoSpaceDN w:val="0"/>
        <w:adjustRightInd w:val="0"/>
        <w:snapToGrid w:val="0"/>
        <w:spacing w:line="435" w:lineRule="atLeast"/>
        <w:ind w:firstLine="480" w:firstLineChars="200"/>
        <w:rPr>
          <w:rFonts w:hint="eastAsia" w:cs="宋体" w:asciiTheme="minorEastAsia" w:hAnsiTheme="minorEastAsia"/>
          <w:kern w:val="0"/>
          <w:sz w:val="24"/>
          <w:szCs w:val="24"/>
        </w:rPr>
      </w:pPr>
      <w:r>
        <w:rPr>
          <w:rFonts w:hint="eastAsia" w:cs="宋体" w:asciiTheme="minorEastAsia" w:hAnsiTheme="minorEastAsia"/>
          <w:kern w:val="0"/>
          <w:sz w:val="24"/>
          <w:szCs w:val="24"/>
        </w:rPr>
        <w:t xml:space="preserve">2.最高限价：¥ </w:t>
      </w:r>
      <w:r>
        <w:rPr>
          <w:rFonts w:hint="eastAsia" w:ascii="宋体" w:hAnsi="宋体" w:eastAsia="宋体" w:cs="宋体"/>
          <w:kern w:val="0"/>
          <w:sz w:val="24"/>
          <w:szCs w:val="24"/>
          <w:lang w:val="en-US" w:eastAsia="zh-CN"/>
        </w:rPr>
        <w:t>180000</w:t>
      </w:r>
      <w:r>
        <w:rPr>
          <w:rFonts w:hint="eastAsia" w:ascii="宋体" w:hAnsi="宋体" w:eastAsia="宋体" w:cs="宋体"/>
          <w:kern w:val="0"/>
          <w:sz w:val="24"/>
          <w:szCs w:val="24"/>
        </w:rPr>
        <w:t xml:space="preserve"> </w:t>
      </w:r>
      <w:r>
        <w:rPr>
          <w:rFonts w:hint="eastAsia" w:cs="宋体" w:asciiTheme="minorEastAsia" w:hAnsiTheme="minorEastAsia"/>
          <w:kern w:val="0"/>
          <w:sz w:val="24"/>
          <w:szCs w:val="24"/>
        </w:rPr>
        <w:t>元。供应商的报价超过本项目规定的最高限价的，按无效标处理。</w:t>
      </w:r>
    </w:p>
    <w:p>
      <w:pPr>
        <w:keepNext w:val="0"/>
        <w:keepLines w:val="0"/>
        <w:pageBreakBefore w:val="0"/>
        <w:widowControl w:val="0"/>
        <w:kinsoku/>
        <w:wordWrap/>
        <w:overflowPunct/>
        <w:topLinePunct w:val="0"/>
        <w:autoSpaceDE/>
        <w:autoSpaceDN/>
        <w:bidi w:val="0"/>
        <w:adjustRightInd/>
        <w:snapToGrid/>
        <w:spacing w:before="120" w:after="240" w:line="435" w:lineRule="atLeast"/>
        <w:textAlignment w:val="auto"/>
        <w:rPr>
          <w:rFonts w:ascii="宋体" w:hAnsi="宋体" w:eastAsia="宋体" w:cs="Times New Roman"/>
          <w:b/>
          <w:sz w:val="24"/>
          <w:szCs w:val="24"/>
        </w:rPr>
      </w:pPr>
      <w:r>
        <w:rPr>
          <w:rFonts w:hint="eastAsia" w:ascii="宋体" w:hAnsi="宋体" w:eastAsia="宋体" w:cs="Times New Roman"/>
          <w:b/>
          <w:sz w:val="24"/>
          <w:szCs w:val="24"/>
        </w:rPr>
        <w:t>二、</w:t>
      </w:r>
      <w:r>
        <w:rPr>
          <w:rFonts w:ascii="宋体" w:hAnsi="宋体" w:eastAsia="宋体" w:cs="Times New Roman"/>
          <w:b/>
          <w:sz w:val="24"/>
          <w:szCs w:val="24"/>
        </w:rPr>
        <w:t>技术和服务要求</w:t>
      </w:r>
    </w:p>
    <w:p>
      <w:pPr>
        <w:keepNext w:val="0"/>
        <w:keepLines w:val="0"/>
        <w:pageBreakBefore w:val="0"/>
        <w:widowControl w:val="0"/>
        <w:kinsoku/>
        <w:wordWrap/>
        <w:overflowPunct/>
        <w:topLinePunct w:val="0"/>
        <w:autoSpaceDE/>
        <w:autoSpaceDN/>
        <w:bidi w:val="0"/>
        <w:adjustRightInd/>
        <w:snapToGrid/>
        <w:spacing w:before="120" w:after="240" w:line="435" w:lineRule="atLeast"/>
        <w:textAlignment w:val="auto"/>
        <w:rPr>
          <w:rFonts w:ascii="宋体" w:hAnsi="宋体" w:eastAsia="宋体" w:cs="Times New Roman"/>
          <w:b/>
          <w:sz w:val="24"/>
          <w:szCs w:val="24"/>
        </w:rPr>
      </w:pPr>
      <w:r>
        <w:rPr>
          <w:rFonts w:hint="eastAsia" w:ascii="宋体" w:hAnsi="宋体" w:eastAsia="宋体" w:cs="Times New Roman"/>
          <w:b/>
          <w:sz w:val="24"/>
          <w:szCs w:val="24"/>
          <w:lang w:val="en-US" w:eastAsia="zh-CN"/>
        </w:rPr>
        <w:t>1</w:t>
      </w:r>
      <w:r>
        <w:rPr>
          <w:rFonts w:hint="eastAsia" w:ascii="宋体" w:hAnsi="宋体" w:eastAsia="宋体" w:cs="Times New Roman"/>
          <w:b/>
          <w:sz w:val="24"/>
          <w:szCs w:val="24"/>
        </w:rPr>
        <w:t>、单通道农残胶体金检测仪</w:t>
      </w:r>
    </w:p>
    <w:p>
      <w:pPr>
        <w:ind w:firstLine="480" w:firstLineChars="200"/>
        <w:rPr>
          <w:rFonts w:ascii="宋体" w:hAnsi="宋体" w:cs="宋体"/>
          <w:sz w:val="24"/>
        </w:rPr>
      </w:pPr>
      <w:r>
        <w:rPr>
          <w:rFonts w:hint="eastAsia" w:ascii="宋体" w:hAnsi="宋体" w:cs="宋体"/>
          <w:sz w:val="24"/>
        </w:rPr>
        <w:t>1.功能特点及技术参数</w:t>
      </w:r>
    </w:p>
    <w:p>
      <w:pPr>
        <w:spacing w:line="340" w:lineRule="exact"/>
        <w:ind w:firstLine="480" w:firstLineChars="200"/>
        <w:rPr>
          <w:rFonts w:ascii="宋体" w:hAnsi="宋体" w:cs="宋体"/>
          <w:sz w:val="24"/>
        </w:rPr>
      </w:pPr>
      <w:r>
        <w:rPr>
          <w:rFonts w:hint="eastAsia" w:ascii="宋体" w:hAnsi="宋体" w:cs="宋体"/>
          <w:sz w:val="24"/>
        </w:rPr>
        <w:t>适用于食品及食用农产品中农药残留、兽药残留、重金属残留等的检测，满足“控药残 治违禁 促提升”三年行动方案关于禁限用药残留和易超限使用的常规用药残留的靶向检测。</w:t>
      </w:r>
    </w:p>
    <w:p>
      <w:pPr>
        <w:spacing w:line="340" w:lineRule="exact"/>
        <w:ind w:firstLine="480" w:firstLineChars="200"/>
        <w:rPr>
          <w:rFonts w:ascii="宋体" w:hAnsi="宋体" w:cs="宋体"/>
          <w:sz w:val="24"/>
        </w:rPr>
      </w:pPr>
      <w:r>
        <w:rPr>
          <w:rFonts w:hint="eastAsia" w:ascii="宋体" w:hAnsi="宋体" w:cs="宋体"/>
          <w:sz w:val="24"/>
        </w:rPr>
        <w:t>1、外观轻巧、便携，满足现场野外检测需求，具备检测功能、辅助功能、信息化管理功能。</w:t>
      </w:r>
    </w:p>
    <w:p>
      <w:pPr>
        <w:spacing w:line="340" w:lineRule="exact"/>
        <w:ind w:firstLine="480" w:firstLineChars="200"/>
        <w:rPr>
          <w:rFonts w:ascii="宋体" w:hAnsi="宋体" w:cs="宋体"/>
          <w:sz w:val="24"/>
        </w:rPr>
      </w:pPr>
      <w:r>
        <w:rPr>
          <w:rFonts w:hint="eastAsia" w:ascii="宋体" w:hAnsi="宋体" w:cs="宋体"/>
          <w:sz w:val="24"/>
        </w:rPr>
        <w:t>2、检测通道：1通道。</w:t>
      </w:r>
    </w:p>
    <w:p>
      <w:pPr>
        <w:spacing w:line="340" w:lineRule="exact"/>
        <w:ind w:firstLine="480" w:firstLineChars="200"/>
        <w:rPr>
          <w:rFonts w:ascii="宋体" w:hAnsi="宋体" w:cs="宋体"/>
          <w:sz w:val="24"/>
        </w:rPr>
      </w:pPr>
      <w:r>
        <w:rPr>
          <w:rFonts w:hint="eastAsia" w:ascii="宋体" w:hAnsi="宋体" w:cs="宋体"/>
          <w:sz w:val="24"/>
        </w:rPr>
        <w:t>★3、可兼容单卡、二联、三联、四联、六联检测卡上机检测。</w:t>
      </w:r>
    </w:p>
    <w:p>
      <w:pPr>
        <w:spacing w:line="340" w:lineRule="exact"/>
        <w:ind w:firstLine="480" w:firstLineChars="200"/>
        <w:rPr>
          <w:rFonts w:ascii="宋体" w:hAnsi="宋体" w:cs="宋体"/>
          <w:sz w:val="24"/>
        </w:rPr>
      </w:pPr>
      <w:r>
        <w:rPr>
          <w:rFonts w:hint="eastAsia" w:ascii="宋体" w:hAnsi="宋体" w:cs="宋体"/>
          <w:sz w:val="24"/>
        </w:rPr>
        <w:t>★4、配套检测卡：</w:t>
      </w:r>
    </w:p>
    <w:p>
      <w:pPr>
        <w:spacing w:line="340" w:lineRule="exact"/>
        <w:ind w:firstLine="480" w:firstLineChars="200"/>
        <w:rPr>
          <w:rFonts w:ascii="宋体" w:hAnsi="宋体" w:cs="宋体"/>
          <w:sz w:val="24"/>
        </w:rPr>
      </w:pPr>
      <w:r>
        <w:rPr>
          <w:rFonts w:hint="eastAsia" w:ascii="宋体" w:hAnsi="宋体" w:cs="宋体"/>
          <w:sz w:val="24"/>
        </w:rPr>
        <w:t>4.1根据不同样品的风险指标，配备单卡、二联卡、三联卡、四联卡及六联卡，多种产品类型自由选择。</w:t>
      </w:r>
    </w:p>
    <w:p>
      <w:pPr>
        <w:spacing w:line="340" w:lineRule="exact"/>
        <w:ind w:firstLine="480" w:firstLineChars="200"/>
        <w:rPr>
          <w:rFonts w:ascii="宋体" w:hAnsi="宋体" w:cs="宋体"/>
          <w:sz w:val="24"/>
        </w:rPr>
      </w:pPr>
      <w:r>
        <w:rPr>
          <w:rFonts w:hint="eastAsia" w:ascii="宋体" w:hAnsi="宋体" w:cs="宋体"/>
          <w:sz w:val="24"/>
        </w:rPr>
        <w:t>4.2多联卡：每个卡片的前处理方法一致，单张卡片可实现单个样。</w:t>
      </w:r>
    </w:p>
    <w:p>
      <w:pPr>
        <w:spacing w:line="340" w:lineRule="exact"/>
        <w:ind w:firstLine="480" w:firstLineChars="200"/>
        <w:rPr>
          <w:rFonts w:ascii="宋体" w:hAnsi="宋体" w:cs="宋体"/>
          <w:sz w:val="24"/>
        </w:rPr>
      </w:pPr>
      <w:r>
        <w:rPr>
          <w:rFonts w:hint="eastAsia" w:ascii="宋体" w:hAnsi="宋体" w:cs="宋体"/>
          <w:sz w:val="24"/>
        </w:rPr>
        <w:t>5、自动识别C、T线位置，自动计算色值，自动判读结果。</w:t>
      </w:r>
    </w:p>
    <w:p>
      <w:pPr>
        <w:spacing w:line="340" w:lineRule="exact"/>
        <w:ind w:firstLine="480" w:firstLineChars="200"/>
        <w:rPr>
          <w:rFonts w:ascii="宋体" w:hAnsi="宋体" w:cs="宋体"/>
          <w:sz w:val="24"/>
        </w:rPr>
      </w:pPr>
      <w:r>
        <w:rPr>
          <w:rFonts w:hint="eastAsia" w:ascii="宋体" w:hAnsi="宋体" w:cs="宋体"/>
          <w:sz w:val="24"/>
        </w:rPr>
        <w:t>★6、具备条码/二维码识读功能，可对检测卡类型、检测项目、检测参数等信息进行智能识读，保障结果的准确性和检测工作效率。</w:t>
      </w:r>
    </w:p>
    <w:p>
      <w:pPr>
        <w:spacing w:line="340" w:lineRule="exact"/>
        <w:ind w:firstLine="480" w:firstLineChars="200"/>
        <w:rPr>
          <w:rFonts w:ascii="宋体" w:hAnsi="宋体" w:cs="宋体"/>
          <w:sz w:val="24"/>
        </w:rPr>
      </w:pPr>
      <w:r>
        <w:rPr>
          <w:rFonts w:hint="eastAsia" w:ascii="宋体" w:hAnsi="宋体" w:cs="宋体"/>
          <w:sz w:val="24"/>
        </w:rPr>
        <w:t>7、检测响应时间＜5s。</w:t>
      </w:r>
    </w:p>
    <w:p>
      <w:pPr>
        <w:spacing w:line="340" w:lineRule="exact"/>
        <w:ind w:firstLine="480" w:firstLineChars="200"/>
        <w:rPr>
          <w:rFonts w:ascii="宋体" w:hAnsi="宋体" w:cs="宋体"/>
          <w:sz w:val="24"/>
        </w:rPr>
      </w:pPr>
      <w:r>
        <w:rPr>
          <w:rFonts w:hint="eastAsia" w:ascii="宋体" w:hAnsi="宋体" w:cs="宋体"/>
          <w:sz w:val="24"/>
        </w:rPr>
        <w:t>8、测量重复性</w:t>
      </w:r>
      <w:r>
        <w:rPr>
          <w:rFonts w:hint="eastAsia" w:ascii="宋体" w:hAnsi="宋体" w:cs="宋体"/>
          <w:sz w:val="24"/>
        </w:rPr>
        <w:sym w:font="Symbol" w:char="F0A3"/>
      </w:r>
      <w:r>
        <w:rPr>
          <w:rFonts w:hint="eastAsia" w:ascii="宋体" w:hAnsi="宋体" w:cs="宋体"/>
          <w:sz w:val="24"/>
        </w:rPr>
        <w:t xml:space="preserve"> 3%。</w:t>
      </w:r>
    </w:p>
    <w:p>
      <w:pPr>
        <w:spacing w:line="340" w:lineRule="exact"/>
        <w:ind w:firstLine="480" w:firstLineChars="200"/>
        <w:rPr>
          <w:rFonts w:ascii="宋体" w:hAnsi="宋体" w:cs="宋体"/>
          <w:sz w:val="24"/>
        </w:rPr>
      </w:pPr>
      <w:r>
        <w:rPr>
          <w:rFonts w:hint="eastAsia" w:ascii="宋体" w:hAnsi="宋体" w:cs="宋体"/>
          <w:sz w:val="24"/>
        </w:rPr>
        <w:t>9、彩色液晶中文显示，人性化操作界面，读数准确、直观。</w:t>
      </w:r>
    </w:p>
    <w:p>
      <w:pPr>
        <w:spacing w:line="340" w:lineRule="exact"/>
        <w:ind w:firstLine="480" w:firstLineChars="200"/>
        <w:rPr>
          <w:rFonts w:ascii="宋体" w:hAnsi="宋体" w:cs="宋体"/>
          <w:sz w:val="24"/>
        </w:rPr>
      </w:pPr>
      <w:r>
        <w:rPr>
          <w:rFonts w:hint="eastAsia" w:ascii="宋体" w:hAnsi="宋体" w:cs="宋体"/>
          <w:sz w:val="24"/>
        </w:rPr>
        <w:t>10、内置热敏打印机，可直接打印样品信息及被检单位、样品名称、检测结果、结果判定等信息。</w:t>
      </w:r>
    </w:p>
    <w:p>
      <w:pPr>
        <w:spacing w:line="340" w:lineRule="exact"/>
        <w:ind w:firstLine="480" w:firstLineChars="200"/>
        <w:rPr>
          <w:rFonts w:ascii="宋体" w:hAnsi="宋体" w:cs="宋体"/>
          <w:sz w:val="24"/>
        </w:rPr>
      </w:pPr>
      <w:r>
        <w:rPr>
          <w:rFonts w:hint="eastAsia" w:ascii="宋体" w:hAnsi="宋体" w:cs="宋体"/>
          <w:sz w:val="24"/>
        </w:rPr>
        <w:t>11、配备USB、SD卡槽等接口，可连接打印机等多种外部设备。</w:t>
      </w:r>
    </w:p>
    <w:p>
      <w:pPr>
        <w:spacing w:line="340" w:lineRule="exact"/>
        <w:ind w:firstLine="480" w:firstLineChars="200"/>
        <w:rPr>
          <w:rFonts w:ascii="宋体" w:hAnsi="宋体" w:cs="宋体"/>
          <w:sz w:val="24"/>
        </w:rPr>
      </w:pPr>
      <w:r>
        <w:rPr>
          <w:rFonts w:hint="eastAsia" w:ascii="宋体" w:hAnsi="宋体" w:cs="宋体"/>
          <w:sz w:val="24"/>
        </w:rPr>
        <w:t>12、配备Wifi模块、蓝牙等数据传输模块等多种方式实现无线/有线上网和数据传输功能。</w:t>
      </w:r>
    </w:p>
    <w:p>
      <w:pPr>
        <w:spacing w:line="340" w:lineRule="exact"/>
        <w:ind w:firstLine="480" w:firstLineChars="200"/>
        <w:rPr>
          <w:rFonts w:ascii="宋体" w:hAnsi="宋体" w:cs="宋体"/>
          <w:sz w:val="24"/>
        </w:rPr>
      </w:pPr>
      <w:r>
        <w:rPr>
          <w:rFonts w:hint="eastAsia" w:ascii="宋体" w:hAnsi="宋体" w:cs="宋体"/>
          <w:sz w:val="24"/>
        </w:rPr>
        <w:t>13、存储容量大，可存储至少50000条数据，并可根据需要扩展存储容量。</w:t>
      </w:r>
    </w:p>
    <w:p>
      <w:pPr>
        <w:spacing w:line="340" w:lineRule="exact"/>
        <w:ind w:firstLine="480" w:firstLineChars="200"/>
        <w:rPr>
          <w:rFonts w:ascii="宋体" w:hAnsi="宋体" w:cs="宋体"/>
          <w:sz w:val="24"/>
        </w:rPr>
      </w:pPr>
      <w:r>
        <w:rPr>
          <w:rFonts w:hint="eastAsia" w:ascii="宋体" w:hAnsi="宋体" w:cs="宋体"/>
          <w:sz w:val="24"/>
        </w:rPr>
        <w:t>14、Android操作系统，1.5GHz 八核处理器，2G 运行内存。</w:t>
      </w:r>
    </w:p>
    <w:p>
      <w:pPr>
        <w:spacing w:line="340" w:lineRule="exact"/>
        <w:ind w:firstLine="480" w:firstLineChars="200"/>
        <w:rPr>
          <w:rFonts w:ascii="宋体" w:hAnsi="宋体" w:cs="宋体"/>
          <w:sz w:val="24"/>
        </w:rPr>
      </w:pPr>
      <w:r>
        <w:rPr>
          <w:rFonts w:hint="eastAsia" w:ascii="宋体" w:hAnsi="宋体" w:cs="宋体"/>
          <w:sz w:val="24"/>
        </w:rPr>
        <w:t>15、升级功能：现场通过U盘或远程操作或远程管理软件，即可依据实际需求进行升级，设备无需返厂。</w:t>
      </w:r>
    </w:p>
    <w:p>
      <w:pPr>
        <w:spacing w:line="340" w:lineRule="exact"/>
        <w:ind w:firstLine="480" w:firstLineChars="200"/>
        <w:rPr>
          <w:rFonts w:ascii="宋体" w:hAnsi="宋体" w:cs="宋体"/>
          <w:sz w:val="24"/>
        </w:rPr>
      </w:pPr>
      <w:r>
        <w:rPr>
          <w:rFonts w:hint="eastAsia" w:ascii="宋体" w:hAnsi="宋体" w:cs="宋体"/>
          <w:sz w:val="24"/>
        </w:rPr>
        <w:t>具备自动诊断系统故障功能和自动校正功能。</w:t>
      </w:r>
    </w:p>
    <w:p>
      <w:pPr>
        <w:spacing w:line="340" w:lineRule="exact"/>
        <w:ind w:firstLine="480" w:firstLineChars="200"/>
        <w:rPr>
          <w:rFonts w:ascii="宋体" w:hAnsi="宋体" w:cs="宋体"/>
          <w:sz w:val="24"/>
        </w:rPr>
      </w:pPr>
      <w:r>
        <w:rPr>
          <w:rFonts w:hint="eastAsia" w:ascii="宋体" w:hAnsi="宋体" w:cs="宋体"/>
          <w:sz w:val="24"/>
        </w:rPr>
        <w:t>16、仪器内部支持国家检测标准作为检测结果的判定的参考依据，内置相关法律法规、食品安全标准等知识库。</w:t>
      </w:r>
    </w:p>
    <w:p>
      <w:pPr>
        <w:spacing w:line="340" w:lineRule="exact"/>
        <w:ind w:firstLine="480" w:firstLineChars="200"/>
        <w:rPr>
          <w:rFonts w:ascii="宋体" w:hAnsi="宋体" w:cs="宋体"/>
          <w:sz w:val="24"/>
        </w:rPr>
      </w:pPr>
      <w:r>
        <w:rPr>
          <w:rFonts w:hint="eastAsia" w:ascii="宋体" w:hAnsi="宋体" w:cs="宋体"/>
          <w:sz w:val="24"/>
        </w:rPr>
        <w:t>★17、数据输出：检测结果数据支持断网保存、联网联机上报，监测数据可直接上传至</w:t>
      </w:r>
      <w:r>
        <w:rPr>
          <w:rFonts w:hint="eastAsia" w:ascii="宋体" w:hAnsi="宋体" w:cs="宋体"/>
          <w:color w:val="FF0000"/>
          <w:sz w:val="24"/>
        </w:rPr>
        <w:t>福建省农产品质量安全监测信息系统</w:t>
      </w:r>
      <w:r>
        <w:rPr>
          <w:rFonts w:hint="eastAsia" w:ascii="宋体" w:hAnsi="宋体" w:cs="宋体"/>
          <w:sz w:val="24"/>
        </w:rPr>
        <w:t>，与原有平台无缝对接；同时也支持数据的导出功能，可将检测的数据导出到电脑或移动设备中，方便保存。</w:t>
      </w:r>
    </w:p>
    <w:p>
      <w:pPr>
        <w:spacing w:line="340" w:lineRule="exact"/>
        <w:ind w:firstLine="480" w:firstLineChars="200"/>
        <w:rPr>
          <w:rFonts w:ascii="宋体" w:hAnsi="宋体" w:cs="宋体"/>
          <w:sz w:val="24"/>
        </w:rPr>
      </w:pPr>
      <w:r>
        <w:rPr>
          <w:rFonts w:hint="eastAsia" w:ascii="宋体" w:hAnsi="宋体" w:cs="宋体"/>
          <w:sz w:val="24"/>
        </w:rPr>
        <w:t>★18、检测仪随机系统具备唯一ID标识，唯一标识信息与检测结果信息一同输出（唯一标识为系统内置检测软件，非设备编号），唯一标识用以每套检测系统的身份识别。</w:t>
      </w:r>
    </w:p>
    <w:p>
      <w:pPr>
        <w:ind w:firstLine="480" w:firstLineChars="200"/>
        <w:rPr>
          <w:rFonts w:ascii="宋体" w:hAnsi="宋体" w:cs="宋体"/>
          <w:sz w:val="24"/>
        </w:rPr>
      </w:pPr>
      <w:r>
        <w:rPr>
          <w:rFonts w:hint="eastAsia" w:ascii="宋体" w:hAnsi="宋体" w:cs="宋体"/>
          <w:sz w:val="24"/>
        </w:rPr>
        <w:t>2.配置清单</w:t>
      </w:r>
    </w:p>
    <w:tbl>
      <w:tblPr>
        <w:tblStyle w:val="5"/>
        <w:tblpPr w:leftFromText="180" w:rightFromText="180" w:vertAnchor="text" w:horzAnchor="page" w:tblpX="1915" w:tblpY="310"/>
        <w:tblOverlap w:val="never"/>
        <w:tblW w:w="83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2376"/>
        <w:gridCol w:w="3081"/>
        <w:gridCol w:w="843"/>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b/>
                <w:bCs/>
                <w:sz w:val="18"/>
                <w:szCs w:val="18"/>
              </w:rPr>
            </w:pPr>
            <w:r>
              <w:rPr>
                <w:rFonts w:hint="eastAsia" w:ascii="宋体" w:hAnsi="宋体" w:cs="宋体"/>
                <w:b/>
                <w:bCs/>
                <w:sz w:val="18"/>
                <w:szCs w:val="18"/>
              </w:rPr>
              <w:t>序号</w:t>
            </w:r>
          </w:p>
        </w:tc>
        <w:tc>
          <w:tcPr>
            <w:tcW w:w="2376" w:type="dxa"/>
            <w:noWrap/>
            <w:vAlign w:val="center"/>
          </w:tcPr>
          <w:p>
            <w:pPr>
              <w:jc w:val="center"/>
              <w:rPr>
                <w:rFonts w:ascii="宋体" w:hAnsi="宋体" w:cs="宋体"/>
                <w:b/>
                <w:bCs/>
                <w:sz w:val="18"/>
                <w:szCs w:val="18"/>
              </w:rPr>
            </w:pPr>
            <w:r>
              <w:rPr>
                <w:rFonts w:hint="eastAsia" w:ascii="宋体" w:hAnsi="宋体" w:cs="宋体"/>
                <w:b/>
                <w:bCs/>
                <w:sz w:val="18"/>
                <w:szCs w:val="18"/>
              </w:rPr>
              <w:t>品名</w:t>
            </w:r>
          </w:p>
        </w:tc>
        <w:tc>
          <w:tcPr>
            <w:tcW w:w="3081" w:type="dxa"/>
            <w:noWrap/>
            <w:vAlign w:val="center"/>
          </w:tcPr>
          <w:p>
            <w:pPr>
              <w:jc w:val="center"/>
              <w:rPr>
                <w:rFonts w:ascii="宋体" w:hAnsi="宋体" w:cs="宋体"/>
                <w:b/>
                <w:bCs/>
                <w:sz w:val="18"/>
                <w:szCs w:val="18"/>
              </w:rPr>
            </w:pPr>
            <w:r>
              <w:rPr>
                <w:rFonts w:hint="eastAsia" w:ascii="宋体" w:hAnsi="宋体" w:cs="宋体"/>
                <w:b/>
                <w:bCs/>
                <w:sz w:val="18"/>
                <w:szCs w:val="18"/>
              </w:rPr>
              <w:t>规格</w:t>
            </w:r>
          </w:p>
        </w:tc>
        <w:tc>
          <w:tcPr>
            <w:tcW w:w="843" w:type="dxa"/>
            <w:noWrap/>
            <w:vAlign w:val="center"/>
          </w:tcPr>
          <w:p>
            <w:pPr>
              <w:jc w:val="center"/>
              <w:rPr>
                <w:rFonts w:ascii="宋体" w:hAnsi="宋体" w:cs="宋体"/>
                <w:b/>
                <w:bCs/>
                <w:sz w:val="18"/>
                <w:szCs w:val="18"/>
              </w:rPr>
            </w:pPr>
            <w:r>
              <w:rPr>
                <w:rFonts w:hint="eastAsia" w:ascii="宋体" w:hAnsi="宋体" w:cs="宋体"/>
                <w:b/>
                <w:bCs/>
                <w:sz w:val="18"/>
                <w:szCs w:val="18"/>
              </w:rPr>
              <w:t>数量</w:t>
            </w:r>
          </w:p>
        </w:tc>
        <w:tc>
          <w:tcPr>
            <w:tcW w:w="1096" w:type="dxa"/>
            <w:noWrap/>
            <w:vAlign w:val="center"/>
          </w:tcPr>
          <w:p>
            <w:pPr>
              <w:jc w:val="center"/>
              <w:rPr>
                <w:rFonts w:ascii="宋体" w:hAnsi="宋体" w:cs="宋体"/>
                <w:b/>
                <w:bCs/>
                <w:sz w:val="18"/>
                <w:szCs w:val="18"/>
              </w:rPr>
            </w:pPr>
            <w:r>
              <w:rPr>
                <w:rFonts w:hint="eastAsia" w:ascii="宋体" w:hAnsi="宋体" w:cs="宋体"/>
                <w:b/>
                <w:bCs/>
                <w:sz w:val="18"/>
                <w:szCs w:val="18"/>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主机</w:t>
            </w:r>
          </w:p>
        </w:tc>
        <w:tc>
          <w:tcPr>
            <w:tcW w:w="3081" w:type="dxa"/>
            <w:noWrap/>
            <w:vAlign w:val="center"/>
          </w:tcPr>
          <w:p>
            <w:pPr>
              <w:jc w:val="center"/>
              <w:rPr>
                <w:rFonts w:ascii="宋体" w:hAnsi="宋体" w:cs="宋体"/>
                <w:sz w:val="18"/>
                <w:szCs w:val="18"/>
              </w:rPr>
            </w:pP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主机电源适配器</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9V/4A</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3</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仪器说明书</w:t>
            </w:r>
          </w:p>
        </w:tc>
        <w:tc>
          <w:tcPr>
            <w:tcW w:w="3081" w:type="dxa"/>
            <w:noWrap/>
            <w:vAlign w:val="center"/>
          </w:tcPr>
          <w:p>
            <w:pPr>
              <w:jc w:val="center"/>
              <w:rPr>
                <w:rFonts w:ascii="宋体" w:hAnsi="宋体" w:cs="宋体"/>
                <w:sz w:val="18"/>
                <w:szCs w:val="18"/>
              </w:rPr>
            </w:pP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4</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合格证/保修卡</w:t>
            </w:r>
          </w:p>
        </w:tc>
        <w:tc>
          <w:tcPr>
            <w:tcW w:w="3081" w:type="dxa"/>
            <w:noWrap/>
            <w:vAlign w:val="center"/>
          </w:tcPr>
          <w:p>
            <w:pPr>
              <w:jc w:val="center"/>
              <w:rPr>
                <w:rFonts w:ascii="宋体" w:hAnsi="宋体" w:cs="宋体"/>
                <w:sz w:val="18"/>
                <w:szCs w:val="18"/>
              </w:rPr>
            </w:pP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玻璃棒</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20cm</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镊子</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12cm</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3</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剪刀</w:t>
            </w:r>
          </w:p>
        </w:tc>
        <w:tc>
          <w:tcPr>
            <w:tcW w:w="3081" w:type="dxa"/>
            <w:noWrap/>
            <w:vAlign w:val="center"/>
          </w:tcPr>
          <w:p>
            <w:pPr>
              <w:jc w:val="center"/>
              <w:rPr>
                <w:rFonts w:ascii="宋体" w:hAnsi="宋体" w:cs="宋体"/>
                <w:sz w:val="18"/>
                <w:szCs w:val="18"/>
              </w:rPr>
            </w:pP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4</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美工刀</w:t>
            </w:r>
          </w:p>
        </w:tc>
        <w:tc>
          <w:tcPr>
            <w:tcW w:w="3081" w:type="dxa"/>
            <w:noWrap/>
            <w:vAlign w:val="center"/>
          </w:tcPr>
          <w:p>
            <w:pPr>
              <w:jc w:val="center"/>
              <w:rPr>
                <w:rFonts w:ascii="宋体" w:hAnsi="宋体" w:cs="宋体"/>
                <w:sz w:val="18"/>
                <w:szCs w:val="18"/>
              </w:rPr>
            </w:pP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5</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药匙(不锈钢）</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3*1</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6</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油性记号笔</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双头(粗、细）</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7</w:t>
            </w:r>
          </w:p>
        </w:tc>
        <w:tc>
          <w:tcPr>
            <w:tcW w:w="2376" w:type="dxa"/>
            <w:vMerge w:val="restart"/>
            <w:noWrap/>
            <w:vAlign w:val="center"/>
          </w:tcPr>
          <w:p>
            <w:pPr>
              <w:jc w:val="center"/>
              <w:rPr>
                <w:rFonts w:ascii="宋体" w:hAnsi="宋体" w:cs="宋体"/>
                <w:sz w:val="18"/>
                <w:szCs w:val="18"/>
              </w:rPr>
            </w:pPr>
            <w:r>
              <w:rPr>
                <w:rFonts w:hint="eastAsia" w:ascii="宋体" w:hAnsi="宋体" w:cs="宋体"/>
                <w:sz w:val="18"/>
                <w:szCs w:val="18"/>
              </w:rPr>
              <w:t>移液器</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1-5ML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8</w:t>
            </w:r>
          </w:p>
        </w:tc>
        <w:tc>
          <w:tcPr>
            <w:tcW w:w="2376" w:type="dxa"/>
            <w:vMerge w:val="continue"/>
            <w:noWrap/>
            <w:vAlign w:val="center"/>
          </w:tcPr>
          <w:p>
            <w:pPr>
              <w:jc w:val="center"/>
              <w:rPr>
                <w:rFonts w:ascii="宋体" w:hAnsi="宋体" w:cs="宋体"/>
                <w:sz w:val="18"/>
                <w:szCs w:val="18"/>
              </w:rPr>
            </w:pPr>
          </w:p>
        </w:tc>
        <w:tc>
          <w:tcPr>
            <w:tcW w:w="3081" w:type="dxa"/>
            <w:noWrap/>
            <w:vAlign w:val="center"/>
          </w:tcPr>
          <w:p>
            <w:pPr>
              <w:jc w:val="center"/>
              <w:rPr>
                <w:rFonts w:ascii="宋体" w:hAnsi="宋体" w:cs="宋体"/>
                <w:sz w:val="18"/>
                <w:szCs w:val="18"/>
              </w:rPr>
            </w:pPr>
            <w:r>
              <w:rPr>
                <w:rFonts w:hint="eastAsia" w:ascii="宋体" w:hAnsi="宋体" w:cs="宋体"/>
                <w:sz w:val="18"/>
                <w:szCs w:val="18"/>
              </w:rPr>
              <w:t>100-1000ul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9</w:t>
            </w:r>
          </w:p>
        </w:tc>
        <w:tc>
          <w:tcPr>
            <w:tcW w:w="2376" w:type="dxa"/>
            <w:vMerge w:val="restart"/>
            <w:noWrap/>
            <w:vAlign w:val="center"/>
          </w:tcPr>
          <w:p>
            <w:pPr>
              <w:jc w:val="center"/>
              <w:rPr>
                <w:rFonts w:ascii="宋体" w:hAnsi="宋体" w:cs="宋体"/>
                <w:sz w:val="18"/>
                <w:szCs w:val="18"/>
              </w:rPr>
            </w:pPr>
            <w:r>
              <w:rPr>
                <w:rFonts w:hint="eastAsia" w:ascii="宋体" w:hAnsi="宋体" w:cs="宋体"/>
                <w:sz w:val="18"/>
                <w:szCs w:val="18"/>
              </w:rPr>
              <w:t>一次性吸管</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3ml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10</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10</w:t>
            </w:r>
          </w:p>
        </w:tc>
        <w:tc>
          <w:tcPr>
            <w:tcW w:w="2376" w:type="dxa"/>
            <w:vMerge w:val="continue"/>
            <w:noWrap/>
            <w:vAlign w:val="center"/>
          </w:tcPr>
          <w:p>
            <w:pPr>
              <w:jc w:val="center"/>
              <w:rPr>
                <w:rFonts w:ascii="宋体" w:hAnsi="宋体" w:cs="宋体"/>
                <w:sz w:val="18"/>
                <w:szCs w:val="18"/>
              </w:rPr>
            </w:pPr>
          </w:p>
        </w:tc>
        <w:tc>
          <w:tcPr>
            <w:tcW w:w="3081" w:type="dxa"/>
            <w:noWrap/>
            <w:vAlign w:val="center"/>
          </w:tcPr>
          <w:p>
            <w:pPr>
              <w:jc w:val="center"/>
              <w:rPr>
                <w:rFonts w:ascii="宋体" w:hAnsi="宋体" w:cs="宋体"/>
                <w:sz w:val="18"/>
                <w:szCs w:val="18"/>
              </w:rPr>
            </w:pPr>
            <w:r>
              <w:rPr>
                <w:rFonts w:hint="eastAsia" w:ascii="宋体" w:hAnsi="宋体" w:cs="宋体"/>
                <w:sz w:val="18"/>
                <w:szCs w:val="18"/>
              </w:rPr>
              <w:t>1ml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50</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11</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移液嘴</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1-5ML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20</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12</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吸头盒（带吸嘴）</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100-1000ul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13</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小电子台秤(手掌称)</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500g/0.1</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14</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三角烧瓶</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50ml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2</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15</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三角漏斗</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40ml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2</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16</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离心管架</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5ML 9孔</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17</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四面离心管架</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0.5ml/ 1.5ml /10ml/50ml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18</w:t>
            </w:r>
          </w:p>
        </w:tc>
        <w:tc>
          <w:tcPr>
            <w:tcW w:w="2376" w:type="dxa"/>
            <w:vMerge w:val="restart"/>
            <w:noWrap/>
            <w:vAlign w:val="center"/>
          </w:tcPr>
          <w:p>
            <w:pPr>
              <w:jc w:val="center"/>
              <w:rPr>
                <w:rFonts w:ascii="宋体" w:hAnsi="宋体" w:cs="宋体"/>
                <w:sz w:val="18"/>
                <w:szCs w:val="18"/>
              </w:rPr>
            </w:pPr>
            <w:r>
              <w:rPr>
                <w:rFonts w:hint="eastAsia" w:ascii="宋体" w:hAnsi="宋体" w:cs="宋体"/>
                <w:sz w:val="18"/>
                <w:szCs w:val="18"/>
              </w:rPr>
              <w:t>离心管</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10ml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12</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19</w:t>
            </w:r>
          </w:p>
        </w:tc>
        <w:tc>
          <w:tcPr>
            <w:tcW w:w="2376" w:type="dxa"/>
            <w:vMerge w:val="continue"/>
            <w:noWrap/>
            <w:vAlign w:val="center"/>
          </w:tcPr>
          <w:p>
            <w:pPr>
              <w:jc w:val="center"/>
              <w:rPr>
                <w:rFonts w:ascii="宋体" w:hAnsi="宋体" w:cs="宋体"/>
                <w:sz w:val="18"/>
                <w:szCs w:val="18"/>
              </w:rPr>
            </w:pPr>
          </w:p>
        </w:tc>
        <w:tc>
          <w:tcPr>
            <w:tcW w:w="3081" w:type="dxa"/>
            <w:noWrap/>
            <w:vAlign w:val="center"/>
          </w:tcPr>
          <w:p>
            <w:pPr>
              <w:jc w:val="center"/>
              <w:rPr>
                <w:rFonts w:ascii="宋体" w:hAnsi="宋体" w:cs="宋体"/>
                <w:sz w:val="18"/>
                <w:szCs w:val="18"/>
              </w:rPr>
            </w:pPr>
            <w:r>
              <w:rPr>
                <w:rFonts w:hint="eastAsia" w:ascii="宋体" w:hAnsi="宋体" w:cs="宋体"/>
                <w:sz w:val="18"/>
                <w:szCs w:val="18"/>
              </w:rPr>
              <w:t>5ml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9</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20</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洗瓶</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250ml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21</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一次性尿杯</w:t>
            </w:r>
          </w:p>
        </w:tc>
        <w:tc>
          <w:tcPr>
            <w:tcW w:w="3081" w:type="dxa"/>
            <w:noWrap/>
            <w:vAlign w:val="center"/>
          </w:tcPr>
          <w:p>
            <w:pPr>
              <w:jc w:val="center"/>
              <w:rPr>
                <w:rFonts w:ascii="宋体" w:hAnsi="宋体" w:cs="宋体"/>
                <w:sz w:val="18"/>
                <w:szCs w:val="18"/>
              </w:rPr>
            </w:pPr>
          </w:p>
        </w:tc>
        <w:tc>
          <w:tcPr>
            <w:tcW w:w="843" w:type="dxa"/>
            <w:noWrap/>
            <w:vAlign w:val="center"/>
          </w:tcPr>
          <w:p>
            <w:pPr>
              <w:jc w:val="center"/>
              <w:rPr>
                <w:rFonts w:ascii="宋体" w:hAnsi="宋体" w:cs="宋体"/>
                <w:sz w:val="18"/>
                <w:szCs w:val="18"/>
              </w:rPr>
            </w:pPr>
            <w:r>
              <w:rPr>
                <w:rFonts w:hint="eastAsia" w:ascii="宋体" w:hAnsi="宋体" w:cs="宋体"/>
                <w:sz w:val="18"/>
                <w:szCs w:val="18"/>
              </w:rPr>
              <w:t>50</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22</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样品杯</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20ml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5</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23</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定性滤纸</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7cm</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24</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大口塑料瓶</w:t>
            </w:r>
          </w:p>
        </w:tc>
        <w:tc>
          <w:tcPr>
            <w:tcW w:w="3081" w:type="dxa"/>
            <w:noWrap/>
            <w:vAlign w:val="center"/>
          </w:tcPr>
          <w:p>
            <w:pPr>
              <w:jc w:val="center"/>
              <w:rPr>
                <w:rFonts w:ascii="宋体" w:hAnsi="宋体" w:cs="宋体"/>
                <w:sz w:val="18"/>
                <w:szCs w:val="18"/>
              </w:rPr>
            </w:pPr>
            <w:r>
              <w:rPr>
                <w:rFonts w:hint="eastAsia" w:ascii="宋体" w:hAnsi="宋体" w:cs="宋体"/>
                <w:sz w:val="18"/>
                <w:szCs w:val="18"/>
              </w:rPr>
              <w:t>500ml</w:t>
            </w: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25</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96孔酶标板</w:t>
            </w:r>
          </w:p>
        </w:tc>
        <w:tc>
          <w:tcPr>
            <w:tcW w:w="3081" w:type="dxa"/>
            <w:noWrap/>
            <w:vAlign w:val="center"/>
          </w:tcPr>
          <w:p>
            <w:pPr>
              <w:jc w:val="center"/>
              <w:rPr>
                <w:rFonts w:ascii="宋体" w:hAnsi="宋体" w:cs="宋体"/>
                <w:sz w:val="18"/>
                <w:szCs w:val="18"/>
              </w:rPr>
            </w:pP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26</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单联卡托</w:t>
            </w:r>
          </w:p>
        </w:tc>
        <w:tc>
          <w:tcPr>
            <w:tcW w:w="3081" w:type="dxa"/>
            <w:noWrap/>
            <w:vAlign w:val="center"/>
          </w:tcPr>
          <w:p>
            <w:pPr>
              <w:jc w:val="center"/>
              <w:rPr>
                <w:rFonts w:ascii="宋体" w:hAnsi="宋体" w:cs="宋体"/>
                <w:sz w:val="18"/>
                <w:szCs w:val="18"/>
              </w:rPr>
            </w:pP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47" w:type="dxa"/>
            <w:noWrap/>
            <w:vAlign w:val="center"/>
          </w:tcPr>
          <w:p>
            <w:pPr>
              <w:jc w:val="center"/>
              <w:rPr>
                <w:rFonts w:ascii="宋体" w:hAnsi="宋体" w:cs="宋体"/>
                <w:sz w:val="18"/>
                <w:szCs w:val="18"/>
              </w:rPr>
            </w:pPr>
            <w:r>
              <w:rPr>
                <w:rFonts w:hint="eastAsia" w:ascii="宋体" w:hAnsi="宋体" w:cs="宋体"/>
                <w:sz w:val="18"/>
                <w:szCs w:val="18"/>
              </w:rPr>
              <w:t>27</w:t>
            </w:r>
          </w:p>
        </w:tc>
        <w:tc>
          <w:tcPr>
            <w:tcW w:w="2376" w:type="dxa"/>
            <w:noWrap/>
            <w:vAlign w:val="center"/>
          </w:tcPr>
          <w:p>
            <w:pPr>
              <w:jc w:val="center"/>
              <w:rPr>
                <w:rFonts w:ascii="宋体" w:hAnsi="宋体" w:cs="宋体"/>
                <w:sz w:val="18"/>
                <w:szCs w:val="18"/>
              </w:rPr>
            </w:pPr>
            <w:r>
              <w:rPr>
                <w:rFonts w:hint="eastAsia" w:ascii="宋体" w:hAnsi="宋体" w:cs="宋体"/>
                <w:sz w:val="18"/>
                <w:szCs w:val="18"/>
              </w:rPr>
              <w:t>二联卡托</w:t>
            </w:r>
          </w:p>
        </w:tc>
        <w:tc>
          <w:tcPr>
            <w:tcW w:w="3081" w:type="dxa"/>
            <w:noWrap/>
            <w:vAlign w:val="center"/>
          </w:tcPr>
          <w:p>
            <w:pPr>
              <w:jc w:val="center"/>
              <w:rPr>
                <w:rFonts w:ascii="宋体" w:hAnsi="宋体" w:cs="宋体"/>
                <w:sz w:val="18"/>
                <w:szCs w:val="18"/>
              </w:rPr>
            </w:pPr>
          </w:p>
        </w:tc>
        <w:tc>
          <w:tcPr>
            <w:tcW w:w="843" w:type="dxa"/>
            <w:noWrap/>
            <w:vAlign w:val="center"/>
          </w:tcPr>
          <w:p>
            <w:pPr>
              <w:jc w:val="center"/>
              <w:rPr>
                <w:rFonts w:ascii="宋体" w:hAnsi="宋体" w:cs="宋体"/>
                <w:sz w:val="18"/>
                <w:szCs w:val="18"/>
              </w:rPr>
            </w:pPr>
            <w:r>
              <w:rPr>
                <w:rFonts w:hint="eastAsia" w:ascii="宋体" w:hAnsi="宋体" w:cs="宋体"/>
                <w:sz w:val="18"/>
                <w:szCs w:val="18"/>
              </w:rPr>
              <w:t>1</w:t>
            </w:r>
          </w:p>
        </w:tc>
        <w:tc>
          <w:tcPr>
            <w:tcW w:w="1096" w:type="dxa"/>
            <w:noWrap/>
            <w:vAlign w:val="center"/>
          </w:tcPr>
          <w:p>
            <w:pPr>
              <w:jc w:val="center"/>
              <w:rPr>
                <w:rFonts w:ascii="宋体" w:hAnsi="宋体" w:cs="宋体"/>
                <w:sz w:val="18"/>
                <w:szCs w:val="18"/>
              </w:rPr>
            </w:pPr>
            <w:r>
              <w:rPr>
                <w:rFonts w:hint="eastAsia" w:ascii="宋体" w:hAnsi="宋体" w:cs="宋体"/>
                <w:sz w:val="18"/>
                <w:szCs w:val="18"/>
              </w:rPr>
              <w:t>个</w:t>
            </w:r>
          </w:p>
        </w:tc>
      </w:tr>
    </w:tbl>
    <w:p>
      <w:pPr>
        <w:spacing w:line="360" w:lineRule="exact"/>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before="120" w:after="240" w:line="435" w:lineRule="atLeast"/>
        <w:textAlignment w:val="auto"/>
        <w:rPr>
          <w:rFonts w:hint="eastAsia" w:ascii="宋体" w:hAnsi="宋体" w:eastAsia="宋体" w:cs="Times New Roman"/>
          <w:b/>
          <w:sz w:val="24"/>
          <w:szCs w:val="24"/>
        </w:rPr>
      </w:pPr>
      <w:r>
        <w:rPr>
          <w:rFonts w:hint="eastAsia" w:ascii="宋体" w:hAnsi="宋体" w:eastAsia="宋体" w:cs="Times New Roman"/>
          <w:b/>
          <w:sz w:val="24"/>
          <w:szCs w:val="24"/>
          <w:lang w:val="en-US" w:eastAsia="zh-CN"/>
        </w:rPr>
        <w:t>2</w:t>
      </w:r>
      <w:r>
        <w:rPr>
          <w:rFonts w:hint="eastAsia" w:ascii="宋体" w:hAnsi="宋体" w:eastAsia="宋体" w:cs="Times New Roman"/>
          <w:b/>
          <w:sz w:val="24"/>
          <w:szCs w:val="24"/>
        </w:rPr>
        <w:t>、多通道农残胶体金检测仪</w:t>
      </w:r>
    </w:p>
    <w:p>
      <w:pPr>
        <w:spacing w:line="360" w:lineRule="exact"/>
        <w:ind w:firstLine="480" w:firstLineChars="200"/>
        <w:rPr>
          <w:rFonts w:ascii="宋体" w:hAnsi="宋体" w:cs="宋体"/>
          <w:sz w:val="24"/>
        </w:rPr>
      </w:pPr>
      <w:r>
        <w:rPr>
          <w:rFonts w:hint="eastAsia" w:ascii="宋体" w:hAnsi="宋体" w:cs="宋体"/>
          <w:sz w:val="24"/>
        </w:rPr>
        <w:t>1.技术参数及功能特点</w:t>
      </w:r>
    </w:p>
    <w:p>
      <w:pPr>
        <w:spacing w:line="360" w:lineRule="exact"/>
        <w:ind w:firstLine="480" w:firstLineChars="200"/>
        <w:rPr>
          <w:rFonts w:ascii="宋体" w:hAnsi="宋体" w:cs="宋体"/>
          <w:sz w:val="24"/>
        </w:rPr>
      </w:pPr>
      <w:r>
        <w:rPr>
          <w:rFonts w:hint="eastAsia" w:ascii="宋体" w:hAnsi="宋体" w:cs="宋体"/>
          <w:sz w:val="24"/>
        </w:rPr>
        <w:t>适用于食品及食用农产品中农药残留、兽药残留、重金属残留等的检测，满足“控药残 治违禁 促提升”三年行动方案关于禁限用药残留和易超限使用的常规用药残留的靶向检测。</w:t>
      </w:r>
    </w:p>
    <w:p>
      <w:pPr>
        <w:spacing w:line="360" w:lineRule="exact"/>
        <w:ind w:firstLine="480" w:firstLineChars="200"/>
        <w:rPr>
          <w:rFonts w:ascii="宋体" w:hAnsi="宋体" w:cs="宋体"/>
          <w:sz w:val="24"/>
        </w:rPr>
      </w:pPr>
      <w:r>
        <w:rPr>
          <w:rFonts w:hint="eastAsia" w:ascii="宋体" w:hAnsi="宋体" w:cs="宋体"/>
          <w:sz w:val="24"/>
        </w:rPr>
        <w:t>1、箱体一体化设计，抗压、防撞击、防腐蚀、轻巧、便携，满足现场野外检测需求，具备检测功能、辅助功能、信息化管理功能，可外接键盘和鼠标。</w:t>
      </w:r>
    </w:p>
    <w:p>
      <w:pPr>
        <w:spacing w:line="360" w:lineRule="exact"/>
        <w:ind w:firstLine="480" w:firstLineChars="200"/>
        <w:rPr>
          <w:rFonts w:ascii="宋体" w:hAnsi="宋体" w:cs="宋体"/>
          <w:sz w:val="24"/>
        </w:rPr>
      </w:pPr>
      <w:r>
        <w:rPr>
          <w:rFonts w:hint="eastAsia" w:ascii="宋体" w:hAnsi="宋体" w:cs="宋体"/>
          <w:sz w:val="24"/>
        </w:rPr>
        <w:t>★2、检测通道：</w:t>
      </w:r>
      <w:r>
        <w:rPr>
          <w:rFonts w:ascii="Arial" w:hAnsi="Arial" w:cs="Arial"/>
          <w:sz w:val="24"/>
        </w:rPr>
        <w:t>≥</w:t>
      </w:r>
      <w:r>
        <w:rPr>
          <w:rFonts w:hint="eastAsia" w:ascii="宋体" w:hAnsi="宋体" w:cs="宋体"/>
          <w:sz w:val="24"/>
        </w:rPr>
        <w:t>3通道。</w:t>
      </w:r>
    </w:p>
    <w:p>
      <w:pPr>
        <w:spacing w:line="360" w:lineRule="exact"/>
        <w:ind w:firstLine="480" w:firstLineChars="200"/>
        <w:rPr>
          <w:rFonts w:ascii="宋体" w:hAnsi="宋体" w:cs="宋体"/>
          <w:sz w:val="24"/>
        </w:rPr>
      </w:pPr>
      <w:r>
        <w:rPr>
          <w:rFonts w:hint="eastAsia" w:ascii="宋体" w:hAnsi="宋体" w:cs="宋体"/>
          <w:sz w:val="24"/>
        </w:rPr>
        <w:t>3、每个通道均可兼容单卡、二联、三联、四联、六联检测卡上机检测。</w:t>
      </w:r>
    </w:p>
    <w:p>
      <w:pPr>
        <w:spacing w:line="360" w:lineRule="exact"/>
        <w:ind w:firstLine="480" w:firstLineChars="200"/>
        <w:rPr>
          <w:rFonts w:ascii="宋体" w:hAnsi="宋体" w:cs="宋体"/>
          <w:sz w:val="24"/>
        </w:rPr>
      </w:pPr>
      <w:r>
        <w:rPr>
          <w:rFonts w:hint="eastAsia" w:ascii="宋体" w:hAnsi="宋体" w:cs="宋体"/>
          <w:sz w:val="24"/>
        </w:rPr>
        <w:t>★4、支持最多18批次样本同时检测。</w:t>
      </w:r>
    </w:p>
    <w:p>
      <w:pPr>
        <w:spacing w:line="360" w:lineRule="exact"/>
        <w:ind w:firstLine="480" w:firstLineChars="200"/>
        <w:rPr>
          <w:rFonts w:ascii="宋体" w:hAnsi="宋体" w:cs="宋体"/>
          <w:sz w:val="24"/>
        </w:rPr>
      </w:pPr>
      <w:r>
        <w:rPr>
          <w:rFonts w:hint="eastAsia" w:ascii="宋体" w:hAnsi="宋体" w:cs="宋体"/>
          <w:sz w:val="24"/>
        </w:rPr>
        <w:t>5、配套检测卡：</w:t>
      </w:r>
    </w:p>
    <w:p>
      <w:pPr>
        <w:spacing w:line="360" w:lineRule="exact"/>
        <w:ind w:firstLine="480" w:firstLineChars="200"/>
        <w:rPr>
          <w:rFonts w:ascii="宋体" w:hAnsi="宋体" w:cs="宋体"/>
          <w:sz w:val="24"/>
        </w:rPr>
      </w:pPr>
      <w:r>
        <w:rPr>
          <w:rFonts w:hint="eastAsia" w:ascii="宋体" w:hAnsi="宋体" w:cs="宋体"/>
          <w:sz w:val="24"/>
        </w:rPr>
        <w:t>5.1根据不同样品的风险指标，配备单卡、二联卡、三联卡、四联卡及六联卡，多种产品类型自由选择。</w:t>
      </w:r>
    </w:p>
    <w:p>
      <w:pPr>
        <w:spacing w:line="360" w:lineRule="exact"/>
        <w:ind w:firstLine="480" w:firstLineChars="200"/>
        <w:rPr>
          <w:rFonts w:ascii="宋体" w:hAnsi="宋体" w:cs="宋体"/>
          <w:sz w:val="24"/>
        </w:rPr>
      </w:pPr>
      <w:r>
        <w:rPr>
          <w:rFonts w:hint="eastAsia" w:ascii="宋体" w:hAnsi="宋体" w:cs="宋体"/>
          <w:sz w:val="24"/>
        </w:rPr>
        <w:t>5.2多联卡：每个卡片的前处理方法一致，单张卡片可实现单个样品多个指标的同时检测；每个指标独立一个加样孔、一张试纸条，避免交叉干扰。</w:t>
      </w:r>
    </w:p>
    <w:p>
      <w:pPr>
        <w:spacing w:line="360" w:lineRule="exact"/>
        <w:ind w:firstLine="480" w:firstLineChars="200"/>
        <w:rPr>
          <w:rFonts w:ascii="宋体" w:hAnsi="宋体" w:cs="宋体"/>
          <w:sz w:val="24"/>
        </w:rPr>
      </w:pPr>
      <w:r>
        <w:rPr>
          <w:rFonts w:hint="eastAsia" w:ascii="宋体" w:hAnsi="宋体" w:cs="宋体"/>
          <w:sz w:val="24"/>
        </w:rPr>
        <w:t>6、自动识别C、T线位置，自动计算色值，自动判读结果。</w:t>
      </w:r>
    </w:p>
    <w:p>
      <w:pPr>
        <w:spacing w:line="360" w:lineRule="exact"/>
        <w:ind w:firstLine="480" w:firstLineChars="200"/>
        <w:rPr>
          <w:rFonts w:ascii="宋体" w:hAnsi="宋体" w:cs="宋体"/>
          <w:sz w:val="24"/>
        </w:rPr>
      </w:pPr>
      <w:r>
        <w:rPr>
          <w:rFonts w:hint="eastAsia" w:ascii="宋体" w:hAnsi="宋体" w:cs="宋体"/>
          <w:sz w:val="24"/>
        </w:rPr>
        <w:t>★7、具备条码/二维码识读功能，可对检测卡类型、检测项目、检测参数等信息进行智能识读，保障结果的准确性和检测工作效率。</w:t>
      </w:r>
    </w:p>
    <w:p>
      <w:pPr>
        <w:spacing w:line="360" w:lineRule="exact"/>
        <w:ind w:firstLine="480" w:firstLineChars="200"/>
        <w:rPr>
          <w:rFonts w:ascii="宋体" w:hAnsi="宋体" w:cs="宋体"/>
          <w:sz w:val="24"/>
        </w:rPr>
      </w:pPr>
      <w:r>
        <w:rPr>
          <w:rFonts w:hint="eastAsia" w:ascii="宋体" w:hAnsi="宋体" w:cs="宋体"/>
          <w:sz w:val="24"/>
        </w:rPr>
        <w:t>8、检测响应时间＜5s。</w:t>
      </w:r>
    </w:p>
    <w:p>
      <w:pPr>
        <w:spacing w:line="360" w:lineRule="exact"/>
        <w:ind w:firstLine="480" w:firstLineChars="200"/>
        <w:rPr>
          <w:rFonts w:ascii="宋体" w:hAnsi="宋体" w:cs="宋体"/>
          <w:sz w:val="24"/>
        </w:rPr>
      </w:pPr>
      <w:r>
        <w:rPr>
          <w:rFonts w:hint="eastAsia" w:ascii="宋体" w:hAnsi="宋体" w:cs="宋体"/>
          <w:sz w:val="24"/>
        </w:rPr>
        <w:t>9、测量重复性</w:t>
      </w:r>
      <w:r>
        <w:rPr>
          <w:rFonts w:hint="eastAsia" w:ascii="宋体" w:hAnsi="宋体" w:cs="宋体"/>
          <w:sz w:val="24"/>
        </w:rPr>
        <w:sym w:font="Symbol" w:char="F0A3"/>
      </w:r>
      <w:r>
        <w:rPr>
          <w:rFonts w:hint="eastAsia" w:ascii="宋体" w:hAnsi="宋体" w:cs="宋体"/>
          <w:sz w:val="24"/>
        </w:rPr>
        <w:t xml:space="preserve"> 3%。</w:t>
      </w:r>
    </w:p>
    <w:p>
      <w:pPr>
        <w:spacing w:line="360" w:lineRule="exact"/>
        <w:ind w:firstLine="480" w:firstLineChars="200"/>
        <w:rPr>
          <w:rFonts w:ascii="宋体" w:hAnsi="宋体" w:cs="宋体"/>
          <w:sz w:val="24"/>
        </w:rPr>
      </w:pPr>
      <w:r>
        <w:rPr>
          <w:rFonts w:hint="eastAsia" w:ascii="宋体" w:hAnsi="宋体" w:cs="宋体"/>
          <w:sz w:val="24"/>
        </w:rPr>
        <w:t>★10、</w:t>
      </w:r>
      <w:r>
        <w:rPr>
          <w:rFonts w:ascii="Arial" w:hAnsi="Arial" w:cs="Arial"/>
          <w:sz w:val="24"/>
        </w:rPr>
        <w:t>≥</w:t>
      </w:r>
      <w:r>
        <w:rPr>
          <w:rFonts w:hint="eastAsia" w:ascii="宋体" w:hAnsi="宋体" w:cs="宋体"/>
          <w:sz w:val="24"/>
        </w:rPr>
        <w:t xml:space="preserve"> 11寸大屏幕彩色液晶中文显示，人性化操作界面，读数准确、直观。</w:t>
      </w:r>
    </w:p>
    <w:p>
      <w:pPr>
        <w:spacing w:line="360" w:lineRule="exact"/>
        <w:ind w:firstLine="480" w:firstLineChars="200"/>
        <w:rPr>
          <w:rFonts w:ascii="宋体" w:hAnsi="宋体" w:cs="宋体"/>
          <w:sz w:val="24"/>
        </w:rPr>
      </w:pPr>
      <w:r>
        <w:rPr>
          <w:rFonts w:hint="eastAsia" w:ascii="宋体" w:hAnsi="宋体" w:cs="宋体"/>
          <w:sz w:val="24"/>
        </w:rPr>
        <w:t>11、内置热敏打印机，可直接打印样品信息及被检单位、样品名称、检测结果、结果判定等检测结果。</w:t>
      </w:r>
    </w:p>
    <w:p>
      <w:pPr>
        <w:spacing w:line="360" w:lineRule="exact"/>
        <w:ind w:firstLine="480" w:firstLineChars="200"/>
        <w:rPr>
          <w:rFonts w:ascii="宋体" w:hAnsi="宋体" w:cs="宋体"/>
          <w:sz w:val="24"/>
        </w:rPr>
      </w:pPr>
      <w:r>
        <w:rPr>
          <w:rFonts w:hint="eastAsia" w:ascii="宋体" w:hAnsi="宋体" w:cs="宋体"/>
          <w:sz w:val="24"/>
        </w:rPr>
        <w:t>12、配备USB、RS232等接口，可连接打印机等多种外部设备。</w:t>
      </w:r>
    </w:p>
    <w:p>
      <w:pPr>
        <w:spacing w:line="360" w:lineRule="exact"/>
        <w:ind w:firstLine="480" w:firstLineChars="200"/>
        <w:rPr>
          <w:rFonts w:ascii="宋体" w:hAnsi="宋体" w:cs="宋体"/>
          <w:sz w:val="24"/>
        </w:rPr>
      </w:pPr>
      <w:r>
        <w:rPr>
          <w:rFonts w:hint="eastAsia" w:ascii="宋体" w:hAnsi="宋体" w:cs="宋体"/>
          <w:sz w:val="24"/>
        </w:rPr>
        <w:t>13、配备Wifi模块、蓝牙等数据传输模块等多种方式实现无线/有线上网和数据传输功能。</w:t>
      </w:r>
    </w:p>
    <w:p>
      <w:pPr>
        <w:spacing w:line="360" w:lineRule="exact"/>
        <w:ind w:firstLine="480" w:firstLineChars="200"/>
        <w:rPr>
          <w:rFonts w:ascii="宋体" w:hAnsi="宋体" w:cs="宋体"/>
          <w:sz w:val="24"/>
        </w:rPr>
      </w:pPr>
      <w:r>
        <w:rPr>
          <w:rFonts w:hint="eastAsia" w:ascii="宋体" w:hAnsi="宋体" w:cs="宋体"/>
          <w:sz w:val="24"/>
        </w:rPr>
        <w:t>14、存储容量大，可存储至少100000条数据，并可根据需要扩展存储容量。</w:t>
      </w:r>
    </w:p>
    <w:p>
      <w:pPr>
        <w:spacing w:line="360" w:lineRule="exact"/>
        <w:ind w:firstLine="480" w:firstLineChars="200"/>
        <w:rPr>
          <w:rFonts w:ascii="宋体" w:hAnsi="宋体" w:cs="宋体"/>
          <w:sz w:val="24"/>
        </w:rPr>
      </w:pPr>
      <w:r>
        <w:rPr>
          <w:rFonts w:hint="eastAsia" w:ascii="宋体" w:hAnsi="宋体" w:cs="宋体"/>
          <w:sz w:val="24"/>
        </w:rPr>
        <w:t>15、升级功能：现场通过U盘或远程操作或远程管理软件，即可依据实际需求进行升级，设备无需返厂。仪器内部支持国家标准作为检测结果的判定的参考依据。</w:t>
      </w:r>
    </w:p>
    <w:p>
      <w:pPr>
        <w:spacing w:line="360" w:lineRule="exact"/>
        <w:ind w:firstLine="480" w:firstLineChars="200"/>
        <w:rPr>
          <w:rFonts w:ascii="宋体" w:hAnsi="宋体" w:cs="宋体"/>
          <w:sz w:val="24"/>
        </w:rPr>
      </w:pPr>
      <w:r>
        <w:rPr>
          <w:rFonts w:hint="eastAsia" w:ascii="宋体" w:hAnsi="宋体" w:cs="宋体"/>
          <w:sz w:val="24"/>
        </w:rPr>
        <w:t>★16、数据输出：检测结果数据支持断网保存、联网联机上报，监测数据可直接上传至</w:t>
      </w:r>
      <w:r>
        <w:rPr>
          <w:rFonts w:hint="eastAsia" w:ascii="宋体" w:hAnsi="宋体" w:cs="宋体"/>
          <w:color w:val="FF0000"/>
          <w:sz w:val="24"/>
        </w:rPr>
        <w:t>福建省农产品质量安全监测信息系统</w:t>
      </w:r>
      <w:r>
        <w:rPr>
          <w:rFonts w:hint="eastAsia" w:ascii="宋体" w:hAnsi="宋体" w:cs="宋体"/>
          <w:sz w:val="24"/>
        </w:rPr>
        <w:t>，与原有平台无缝对接；同时也支持数据的导出功能，可将检测的数据导出到电脑或移动设备中，方便保存。</w:t>
      </w:r>
    </w:p>
    <w:p>
      <w:pPr>
        <w:ind w:firstLine="480" w:firstLineChars="200"/>
        <w:rPr>
          <w:rFonts w:hint="eastAsia" w:ascii="宋体" w:hAnsi="宋体" w:cs="宋体"/>
          <w:sz w:val="24"/>
        </w:rPr>
      </w:pPr>
      <w:r>
        <w:rPr>
          <w:rFonts w:hint="eastAsia" w:ascii="宋体" w:hAnsi="宋体" w:cs="宋体"/>
          <w:sz w:val="24"/>
        </w:rPr>
        <w:t>★17、检测仪随机系统具备唯一ID标识，唯一标识信息与检测结果信息一同输出（唯一标识为系统内置检测软件，非设备编号），唯一标识用以每套检测系统的身份识别。</w:t>
      </w:r>
    </w:p>
    <w:p>
      <w:pPr>
        <w:ind w:firstLine="480" w:firstLineChars="200"/>
      </w:pPr>
      <w:r>
        <w:rPr>
          <w:rFonts w:hint="eastAsia" w:ascii="宋体" w:hAnsi="宋体" w:cs="宋体"/>
          <w:sz w:val="24"/>
        </w:rPr>
        <w:t>2.配置清单</w:t>
      </w:r>
    </w:p>
    <w:tbl>
      <w:tblPr>
        <w:tblStyle w:val="5"/>
        <w:tblpPr w:leftFromText="180" w:rightFromText="180" w:vertAnchor="text" w:horzAnchor="margin" w:tblpY="830"/>
        <w:tblOverlap w:val="never"/>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59"/>
        <w:gridCol w:w="2369"/>
        <w:gridCol w:w="1701"/>
        <w:gridCol w:w="1134"/>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restart"/>
            <w:vAlign w:val="center"/>
          </w:tcPr>
          <w:p>
            <w:pPr>
              <w:jc w:val="center"/>
              <w:rPr>
                <w:sz w:val="18"/>
                <w:szCs w:val="18"/>
              </w:rPr>
            </w:pPr>
            <w:r>
              <w:rPr>
                <w:rFonts w:hint="eastAsia"/>
                <w:sz w:val="18"/>
                <w:szCs w:val="18"/>
              </w:rPr>
              <w:t>主</w:t>
            </w:r>
            <w:r>
              <w:rPr>
                <w:rFonts w:hint="eastAsia"/>
                <w:sz w:val="18"/>
                <w:szCs w:val="18"/>
              </w:rPr>
              <w:br w:type="textWrapping"/>
            </w:r>
            <w:r>
              <w:rPr>
                <w:rFonts w:hint="eastAsia"/>
                <w:sz w:val="18"/>
                <w:szCs w:val="18"/>
              </w:rPr>
              <w:t>机</w:t>
            </w:r>
            <w:r>
              <w:rPr>
                <w:rFonts w:hint="eastAsia"/>
                <w:sz w:val="18"/>
                <w:szCs w:val="18"/>
              </w:rPr>
              <w:br w:type="textWrapping"/>
            </w:r>
            <w:r>
              <w:rPr>
                <w:rFonts w:hint="eastAsia"/>
                <w:sz w:val="18"/>
                <w:szCs w:val="18"/>
              </w:rPr>
              <w:t>箱</w:t>
            </w:r>
          </w:p>
        </w:tc>
        <w:tc>
          <w:tcPr>
            <w:tcW w:w="1459" w:type="dxa"/>
            <w:noWrap/>
            <w:vAlign w:val="center"/>
          </w:tcPr>
          <w:p>
            <w:pPr>
              <w:jc w:val="center"/>
              <w:rPr>
                <w:sz w:val="18"/>
                <w:szCs w:val="18"/>
              </w:rPr>
            </w:pPr>
            <w:r>
              <w:rPr>
                <w:rFonts w:hint="eastAsia"/>
                <w:sz w:val="18"/>
                <w:szCs w:val="18"/>
              </w:rPr>
              <w:t>序号</w:t>
            </w:r>
          </w:p>
        </w:tc>
        <w:tc>
          <w:tcPr>
            <w:tcW w:w="2369" w:type="dxa"/>
            <w:noWrap/>
            <w:vAlign w:val="center"/>
          </w:tcPr>
          <w:p>
            <w:pPr>
              <w:jc w:val="center"/>
              <w:rPr>
                <w:sz w:val="18"/>
                <w:szCs w:val="18"/>
              </w:rPr>
            </w:pPr>
            <w:r>
              <w:rPr>
                <w:rFonts w:hint="eastAsia"/>
                <w:sz w:val="18"/>
                <w:szCs w:val="18"/>
              </w:rPr>
              <w:t>品名</w:t>
            </w:r>
          </w:p>
        </w:tc>
        <w:tc>
          <w:tcPr>
            <w:tcW w:w="1701" w:type="dxa"/>
            <w:noWrap/>
            <w:vAlign w:val="center"/>
          </w:tcPr>
          <w:p>
            <w:pPr>
              <w:jc w:val="center"/>
              <w:rPr>
                <w:sz w:val="18"/>
                <w:szCs w:val="18"/>
              </w:rPr>
            </w:pPr>
            <w:r>
              <w:rPr>
                <w:rFonts w:hint="eastAsia"/>
                <w:sz w:val="18"/>
                <w:szCs w:val="18"/>
              </w:rPr>
              <w:t>规格</w:t>
            </w:r>
          </w:p>
        </w:tc>
        <w:tc>
          <w:tcPr>
            <w:tcW w:w="1134" w:type="dxa"/>
            <w:noWrap/>
            <w:vAlign w:val="center"/>
          </w:tcPr>
          <w:p>
            <w:pPr>
              <w:jc w:val="center"/>
              <w:rPr>
                <w:sz w:val="18"/>
                <w:szCs w:val="18"/>
              </w:rPr>
            </w:pPr>
            <w:r>
              <w:rPr>
                <w:rFonts w:hint="eastAsia"/>
                <w:sz w:val="18"/>
                <w:szCs w:val="18"/>
              </w:rPr>
              <w:t>数量</w:t>
            </w:r>
          </w:p>
        </w:tc>
        <w:tc>
          <w:tcPr>
            <w:tcW w:w="850" w:type="dxa"/>
            <w:noWrap/>
            <w:vAlign w:val="center"/>
          </w:tcPr>
          <w:p>
            <w:pPr>
              <w:jc w:val="center"/>
              <w:rPr>
                <w:sz w:val="18"/>
                <w:szCs w:val="18"/>
              </w:rPr>
            </w:pPr>
            <w:r>
              <w:rPr>
                <w:rFonts w:hint="eastAsia"/>
                <w:sz w:val="18"/>
                <w:szCs w:val="18"/>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主机</w:t>
            </w:r>
          </w:p>
        </w:tc>
        <w:tc>
          <w:tcPr>
            <w:tcW w:w="1701" w:type="dxa"/>
            <w:noWrap/>
            <w:vAlign w:val="center"/>
          </w:tcPr>
          <w:p>
            <w:pPr>
              <w:jc w:val="center"/>
              <w:rPr>
                <w:rFonts w:ascii="宋体" w:hAnsi="宋体" w:cs="宋体"/>
                <w:sz w:val="18"/>
                <w:szCs w:val="18"/>
              </w:rPr>
            </w:pP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主机电源适配器</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9V/4A</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3</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仪器说明书</w:t>
            </w:r>
          </w:p>
        </w:tc>
        <w:tc>
          <w:tcPr>
            <w:tcW w:w="1701" w:type="dxa"/>
            <w:noWrap/>
            <w:vAlign w:val="center"/>
          </w:tcPr>
          <w:p>
            <w:pPr>
              <w:jc w:val="center"/>
              <w:rPr>
                <w:rFonts w:ascii="宋体" w:hAnsi="宋体" w:cs="宋体"/>
                <w:sz w:val="18"/>
                <w:szCs w:val="18"/>
              </w:rPr>
            </w:pP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4</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合格证/保修卡</w:t>
            </w:r>
          </w:p>
        </w:tc>
        <w:tc>
          <w:tcPr>
            <w:tcW w:w="1701" w:type="dxa"/>
            <w:noWrap/>
            <w:vAlign w:val="center"/>
          </w:tcPr>
          <w:p>
            <w:pPr>
              <w:jc w:val="center"/>
              <w:rPr>
                <w:rFonts w:ascii="宋体" w:hAnsi="宋体" w:cs="宋体"/>
                <w:sz w:val="18"/>
                <w:szCs w:val="18"/>
              </w:rPr>
            </w:pP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restart"/>
            <w:vAlign w:val="center"/>
          </w:tcPr>
          <w:p>
            <w:pPr>
              <w:jc w:val="center"/>
              <w:rPr>
                <w:rFonts w:ascii="宋体" w:hAnsi="宋体" w:cs="宋体"/>
                <w:sz w:val="18"/>
                <w:szCs w:val="18"/>
              </w:rPr>
            </w:pPr>
            <w:r>
              <w:rPr>
                <w:rFonts w:hint="eastAsia" w:ascii="宋体" w:hAnsi="宋体" w:cs="宋体"/>
                <w:sz w:val="18"/>
                <w:szCs w:val="18"/>
              </w:rPr>
              <w:t>配</w:t>
            </w:r>
            <w:r>
              <w:rPr>
                <w:rFonts w:hint="eastAsia" w:ascii="宋体" w:hAnsi="宋体" w:cs="宋体"/>
                <w:sz w:val="18"/>
                <w:szCs w:val="18"/>
              </w:rPr>
              <w:br w:type="textWrapping"/>
            </w:r>
            <w:r>
              <w:rPr>
                <w:rFonts w:hint="eastAsia" w:ascii="宋体" w:hAnsi="宋体" w:cs="宋体"/>
                <w:sz w:val="18"/>
                <w:szCs w:val="18"/>
              </w:rPr>
              <w:t>件</w:t>
            </w:r>
            <w:r>
              <w:rPr>
                <w:rFonts w:hint="eastAsia" w:ascii="宋体" w:hAnsi="宋体" w:cs="宋体"/>
                <w:sz w:val="18"/>
                <w:szCs w:val="18"/>
              </w:rPr>
              <w:br w:type="textWrapping"/>
            </w:r>
            <w:r>
              <w:rPr>
                <w:rFonts w:hint="eastAsia" w:ascii="宋体" w:hAnsi="宋体" w:cs="宋体"/>
                <w:sz w:val="18"/>
                <w:szCs w:val="18"/>
              </w:rPr>
              <w:t>清</w:t>
            </w:r>
            <w:r>
              <w:rPr>
                <w:rFonts w:hint="eastAsia" w:ascii="宋体" w:hAnsi="宋体" w:cs="宋体"/>
                <w:sz w:val="18"/>
                <w:szCs w:val="18"/>
              </w:rPr>
              <w:br w:type="textWrapping"/>
            </w:r>
            <w:r>
              <w:rPr>
                <w:rFonts w:hint="eastAsia" w:ascii="宋体" w:hAnsi="宋体" w:cs="宋体"/>
                <w:sz w:val="18"/>
                <w:szCs w:val="18"/>
              </w:rPr>
              <w:t>单</w:t>
            </w:r>
          </w:p>
        </w:tc>
        <w:tc>
          <w:tcPr>
            <w:tcW w:w="1459" w:type="dxa"/>
            <w:noWrap/>
            <w:vAlign w:val="center"/>
          </w:tcPr>
          <w:p>
            <w:pPr>
              <w:jc w:val="center"/>
              <w:rPr>
                <w:rFonts w:ascii="宋体" w:hAnsi="宋体" w:cs="宋体"/>
                <w:sz w:val="18"/>
                <w:szCs w:val="18"/>
              </w:rPr>
            </w:pPr>
            <w:r>
              <w:rPr>
                <w:rFonts w:hint="eastAsia" w:ascii="宋体" w:hAnsi="宋体" w:cs="宋体"/>
                <w:sz w:val="18"/>
                <w:szCs w:val="18"/>
              </w:rPr>
              <w:t>1</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玻璃棒</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20cm</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镊子</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12cm</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3</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剪刀</w:t>
            </w:r>
          </w:p>
        </w:tc>
        <w:tc>
          <w:tcPr>
            <w:tcW w:w="1701" w:type="dxa"/>
            <w:noWrap/>
            <w:vAlign w:val="center"/>
          </w:tcPr>
          <w:p>
            <w:pPr>
              <w:jc w:val="center"/>
              <w:rPr>
                <w:rFonts w:ascii="宋体" w:hAnsi="宋体" w:cs="宋体"/>
                <w:sz w:val="18"/>
                <w:szCs w:val="18"/>
              </w:rPr>
            </w:pP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4</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美工刀</w:t>
            </w:r>
          </w:p>
        </w:tc>
        <w:tc>
          <w:tcPr>
            <w:tcW w:w="1701" w:type="dxa"/>
            <w:noWrap/>
            <w:vAlign w:val="center"/>
          </w:tcPr>
          <w:p>
            <w:pPr>
              <w:jc w:val="center"/>
              <w:rPr>
                <w:rFonts w:ascii="宋体" w:hAnsi="宋体" w:cs="宋体"/>
                <w:sz w:val="18"/>
                <w:szCs w:val="18"/>
              </w:rPr>
            </w:pP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5</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药匙(不锈钢）</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3*1</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6</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油性记号笔</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双头(粗、细）</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7</w:t>
            </w:r>
          </w:p>
        </w:tc>
        <w:tc>
          <w:tcPr>
            <w:tcW w:w="2369" w:type="dxa"/>
            <w:vMerge w:val="restart"/>
            <w:noWrap/>
            <w:vAlign w:val="center"/>
          </w:tcPr>
          <w:p>
            <w:pPr>
              <w:jc w:val="center"/>
              <w:rPr>
                <w:rFonts w:ascii="宋体" w:hAnsi="宋体" w:cs="宋体"/>
                <w:sz w:val="18"/>
                <w:szCs w:val="18"/>
              </w:rPr>
            </w:pPr>
            <w:r>
              <w:rPr>
                <w:rFonts w:hint="eastAsia" w:ascii="宋体" w:hAnsi="宋体" w:cs="宋体"/>
                <w:sz w:val="18"/>
                <w:szCs w:val="18"/>
              </w:rPr>
              <w:t>移液器</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1-5ML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8</w:t>
            </w:r>
          </w:p>
        </w:tc>
        <w:tc>
          <w:tcPr>
            <w:tcW w:w="2369" w:type="dxa"/>
            <w:vMerge w:val="continue"/>
            <w:noWrap/>
            <w:vAlign w:val="center"/>
          </w:tcPr>
          <w:p>
            <w:pPr>
              <w:jc w:val="center"/>
              <w:rPr>
                <w:rFonts w:ascii="宋体" w:hAnsi="宋体" w:cs="宋体"/>
                <w:sz w:val="18"/>
                <w:szCs w:val="18"/>
              </w:rPr>
            </w:pPr>
          </w:p>
        </w:tc>
        <w:tc>
          <w:tcPr>
            <w:tcW w:w="1701" w:type="dxa"/>
            <w:noWrap/>
            <w:vAlign w:val="center"/>
          </w:tcPr>
          <w:p>
            <w:pPr>
              <w:jc w:val="center"/>
              <w:rPr>
                <w:rFonts w:ascii="宋体" w:hAnsi="宋体" w:cs="宋体"/>
                <w:sz w:val="18"/>
                <w:szCs w:val="18"/>
              </w:rPr>
            </w:pPr>
            <w:r>
              <w:rPr>
                <w:rFonts w:hint="eastAsia" w:ascii="宋体" w:hAnsi="宋体" w:cs="宋体"/>
                <w:sz w:val="18"/>
                <w:szCs w:val="18"/>
              </w:rPr>
              <w:t>100-1000ul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9</w:t>
            </w:r>
          </w:p>
        </w:tc>
        <w:tc>
          <w:tcPr>
            <w:tcW w:w="2369" w:type="dxa"/>
            <w:vMerge w:val="restart"/>
            <w:noWrap/>
            <w:vAlign w:val="center"/>
          </w:tcPr>
          <w:p>
            <w:pPr>
              <w:jc w:val="center"/>
              <w:rPr>
                <w:rFonts w:ascii="宋体" w:hAnsi="宋体" w:cs="宋体"/>
                <w:sz w:val="18"/>
                <w:szCs w:val="18"/>
              </w:rPr>
            </w:pPr>
            <w:r>
              <w:rPr>
                <w:rFonts w:hint="eastAsia" w:ascii="宋体" w:hAnsi="宋体" w:cs="宋体"/>
                <w:sz w:val="18"/>
                <w:szCs w:val="18"/>
              </w:rPr>
              <w:t>一次性吸管</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3ml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10</w:t>
            </w:r>
          </w:p>
        </w:tc>
        <w:tc>
          <w:tcPr>
            <w:tcW w:w="850" w:type="dxa"/>
            <w:noWrap/>
            <w:vAlign w:val="center"/>
          </w:tcPr>
          <w:p>
            <w:pPr>
              <w:jc w:val="center"/>
              <w:rPr>
                <w:rFonts w:ascii="宋体" w:hAnsi="宋体" w:cs="宋体"/>
                <w:sz w:val="18"/>
                <w:szCs w:val="18"/>
              </w:rPr>
            </w:pPr>
            <w:r>
              <w:rPr>
                <w:rFonts w:hint="eastAsia" w:ascii="宋体" w:hAnsi="宋体" w:cs="宋体"/>
                <w:sz w:val="18"/>
                <w:szCs w:val="18"/>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10</w:t>
            </w:r>
          </w:p>
        </w:tc>
        <w:tc>
          <w:tcPr>
            <w:tcW w:w="2369" w:type="dxa"/>
            <w:vMerge w:val="continue"/>
            <w:noWrap/>
            <w:vAlign w:val="center"/>
          </w:tcPr>
          <w:p>
            <w:pPr>
              <w:jc w:val="center"/>
              <w:rPr>
                <w:rFonts w:ascii="宋体" w:hAnsi="宋体" w:cs="宋体"/>
                <w:sz w:val="18"/>
                <w:szCs w:val="18"/>
              </w:rPr>
            </w:pPr>
          </w:p>
        </w:tc>
        <w:tc>
          <w:tcPr>
            <w:tcW w:w="1701" w:type="dxa"/>
            <w:noWrap/>
            <w:vAlign w:val="center"/>
          </w:tcPr>
          <w:p>
            <w:pPr>
              <w:jc w:val="center"/>
              <w:rPr>
                <w:rFonts w:ascii="宋体" w:hAnsi="宋体" w:cs="宋体"/>
                <w:sz w:val="18"/>
                <w:szCs w:val="18"/>
              </w:rPr>
            </w:pPr>
            <w:r>
              <w:rPr>
                <w:rFonts w:hint="eastAsia" w:ascii="宋体" w:hAnsi="宋体" w:cs="宋体"/>
                <w:sz w:val="18"/>
                <w:szCs w:val="18"/>
              </w:rPr>
              <w:t>1ml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50</w:t>
            </w:r>
          </w:p>
        </w:tc>
        <w:tc>
          <w:tcPr>
            <w:tcW w:w="850" w:type="dxa"/>
            <w:noWrap/>
            <w:vAlign w:val="center"/>
          </w:tcPr>
          <w:p>
            <w:pPr>
              <w:jc w:val="center"/>
              <w:rPr>
                <w:rFonts w:ascii="宋体" w:hAnsi="宋体" w:cs="宋体"/>
                <w:sz w:val="18"/>
                <w:szCs w:val="18"/>
              </w:rPr>
            </w:pPr>
            <w:r>
              <w:rPr>
                <w:rFonts w:hint="eastAsia" w:ascii="宋体" w:hAnsi="宋体" w:cs="宋体"/>
                <w:sz w:val="18"/>
                <w:szCs w:val="18"/>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11</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移液嘴</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1-5ML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20</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12</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吸头盒（带吸嘴）</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100-1000ul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13</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小电子台秤(手掌称)</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500g/0.1</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14</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三角烧瓶</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50ml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2</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15</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三角漏斗</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40ml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2</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16</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离心管架</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5ML 9孔</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17</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四面离心管架</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0.5ml/ 1.5ml /10ml/50ml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18</w:t>
            </w:r>
          </w:p>
        </w:tc>
        <w:tc>
          <w:tcPr>
            <w:tcW w:w="2369" w:type="dxa"/>
            <w:vMerge w:val="restart"/>
            <w:noWrap/>
            <w:vAlign w:val="center"/>
          </w:tcPr>
          <w:p>
            <w:pPr>
              <w:jc w:val="center"/>
              <w:rPr>
                <w:rFonts w:ascii="宋体" w:hAnsi="宋体" w:cs="宋体"/>
                <w:sz w:val="18"/>
                <w:szCs w:val="18"/>
              </w:rPr>
            </w:pPr>
            <w:r>
              <w:rPr>
                <w:rFonts w:hint="eastAsia" w:ascii="宋体" w:hAnsi="宋体" w:cs="宋体"/>
                <w:sz w:val="18"/>
                <w:szCs w:val="18"/>
              </w:rPr>
              <w:t>离心管</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10ml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12</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19</w:t>
            </w:r>
          </w:p>
        </w:tc>
        <w:tc>
          <w:tcPr>
            <w:tcW w:w="2369" w:type="dxa"/>
            <w:vMerge w:val="continue"/>
            <w:noWrap/>
            <w:vAlign w:val="center"/>
          </w:tcPr>
          <w:p>
            <w:pPr>
              <w:jc w:val="center"/>
              <w:rPr>
                <w:rFonts w:ascii="宋体" w:hAnsi="宋体" w:cs="宋体"/>
                <w:sz w:val="18"/>
                <w:szCs w:val="18"/>
              </w:rPr>
            </w:pPr>
          </w:p>
        </w:tc>
        <w:tc>
          <w:tcPr>
            <w:tcW w:w="1701" w:type="dxa"/>
            <w:noWrap/>
            <w:vAlign w:val="center"/>
          </w:tcPr>
          <w:p>
            <w:pPr>
              <w:jc w:val="center"/>
              <w:rPr>
                <w:rFonts w:ascii="宋体" w:hAnsi="宋体" w:cs="宋体"/>
                <w:sz w:val="18"/>
                <w:szCs w:val="18"/>
              </w:rPr>
            </w:pPr>
            <w:r>
              <w:rPr>
                <w:rFonts w:hint="eastAsia" w:ascii="宋体" w:hAnsi="宋体" w:cs="宋体"/>
                <w:sz w:val="18"/>
                <w:szCs w:val="18"/>
              </w:rPr>
              <w:t>5ml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9</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20</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洗瓶</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250ml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21</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一次性尿杯</w:t>
            </w:r>
          </w:p>
        </w:tc>
        <w:tc>
          <w:tcPr>
            <w:tcW w:w="1701" w:type="dxa"/>
            <w:noWrap/>
            <w:vAlign w:val="center"/>
          </w:tcPr>
          <w:p>
            <w:pPr>
              <w:jc w:val="center"/>
              <w:rPr>
                <w:rFonts w:ascii="宋体" w:hAnsi="宋体" w:cs="宋体"/>
                <w:sz w:val="18"/>
                <w:szCs w:val="18"/>
              </w:rPr>
            </w:pPr>
          </w:p>
        </w:tc>
        <w:tc>
          <w:tcPr>
            <w:tcW w:w="1134" w:type="dxa"/>
            <w:noWrap/>
            <w:vAlign w:val="center"/>
          </w:tcPr>
          <w:p>
            <w:pPr>
              <w:jc w:val="center"/>
              <w:rPr>
                <w:rFonts w:ascii="宋体" w:hAnsi="宋体" w:cs="宋体"/>
                <w:sz w:val="18"/>
                <w:szCs w:val="18"/>
              </w:rPr>
            </w:pPr>
            <w:r>
              <w:rPr>
                <w:rFonts w:hint="eastAsia" w:ascii="宋体" w:hAnsi="宋体" w:cs="宋体"/>
                <w:sz w:val="18"/>
                <w:szCs w:val="18"/>
              </w:rPr>
              <w:t>50</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22</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样品杯</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20ml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5</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23</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定性滤纸</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7cm</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24</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大口塑料瓶</w:t>
            </w:r>
          </w:p>
        </w:tc>
        <w:tc>
          <w:tcPr>
            <w:tcW w:w="1701" w:type="dxa"/>
            <w:noWrap/>
            <w:vAlign w:val="center"/>
          </w:tcPr>
          <w:p>
            <w:pPr>
              <w:jc w:val="center"/>
              <w:rPr>
                <w:rFonts w:ascii="宋体" w:hAnsi="宋体" w:cs="宋体"/>
                <w:sz w:val="18"/>
                <w:szCs w:val="18"/>
              </w:rPr>
            </w:pPr>
            <w:r>
              <w:rPr>
                <w:rFonts w:hint="eastAsia" w:ascii="宋体" w:hAnsi="宋体" w:cs="宋体"/>
                <w:sz w:val="18"/>
                <w:szCs w:val="18"/>
              </w:rPr>
              <w:t>500ml</w:t>
            </w: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25</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96孔酶标板</w:t>
            </w:r>
          </w:p>
        </w:tc>
        <w:tc>
          <w:tcPr>
            <w:tcW w:w="1701" w:type="dxa"/>
            <w:noWrap/>
            <w:vAlign w:val="center"/>
          </w:tcPr>
          <w:p>
            <w:pPr>
              <w:jc w:val="center"/>
              <w:rPr>
                <w:rFonts w:ascii="宋体" w:hAnsi="宋体" w:cs="宋体"/>
                <w:sz w:val="18"/>
                <w:szCs w:val="18"/>
              </w:rPr>
            </w:pPr>
          </w:p>
        </w:tc>
        <w:tc>
          <w:tcPr>
            <w:tcW w:w="1134" w:type="dxa"/>
            <w:noWrap/>
            <w:vAlign w:val="center"/>
          </w:tcPr>
          <w:p>
            <w:pPr>
              <w:jc w:val="center"/>
              <w:rPr>
                <w:rFonts w:ascii="宋体" w:hAnsi="宋体" w:cs="宋体"/>
                <w:sz w:val="18"/>
                <w:szCs w:val="18"/>
              </w:rPr>
            </w:pPr>
            <w:r>
              <w:rPr>
                <w:rFonts w:hint="eastAsia" w:ascii="宋体" w:hAnsi="宋体" w:cs="宋体"/>
                <w:sz w:val="18"/>
                <w:szCs w:val="18"/>
              </w:rPr>
              <w:t>1</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26</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单联卡托</w:t>
            </w:r>
          </w:p>
        </w:tc>
        <w:tc>
          <w:tcPr>
            <w:tcW w:w="1701" w:type="dxa"/>
            <w:noWrap/>
            <w:vAlign w:val="center"/>
          </w:tcPr>
          <w:p>
            <w:pPr>
              <w:jc w:val="center"/>
              <w:rPr>
                <w:rFonts w:ascii="宋体" w:hAnsi="宋体" w:cs="宋体"/>
                <w:sz w:val="18"/>
                <w:szCs w:val="18"/>
              </w:rPr>
            </w:pPr>
          </w:p>
        </w:tc>
        <w:tc>
          <w:tcPr>
            <w:tcW w:w="1134" w:type="dxa"/>
            <w:noWrap/>
            <w:vAlign w:val="center"/>
          </w:tcPr>
          <w:p>
            <w:pPr>
              <w:jc w:val="center"/>
              <w:rPr>
                <w:rFonts w:ascii="宋体" w:hAnsi="宋体" w:cs="宋体"/>
                <w:sz w:val="18"/>
                <w:szCs w:val="18"/>
              </w:rPr>
            </w:pPr>
            <w:r>
              <w:rPr>
                <w:rFonts w:hint="eastAsia" w:ascii="宋体" w:hAnsi="宋体" w:cs="宋体"/>
                <w:sz w:val="18"/>
                <w:szCs w:val="18"/>
              </w:rPr>
              <w:t>3</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75" w:type="dxa"/>
            <w:vMerge w:val="continue"/>
            <w:vAlign w:val="center"/>
          </w:tcPr>
          <w:p>
            <w:pPr>
              <w:jc w:val="center"/>
              <w:rPr>
                <w:rFonts w:ascii="宋体" w:hAnsi="宋体" w:cs="宋体"/>
                <w:sz w:val="18"/>
                <w:szCs w:val="18"/>
              </w:rPr>
            </w:pPr>
          </w:p>
        </w:tc>
        <w:tc>
          <w:tcPr>
            <w:tcW w:w="1459" w:type="dxa"/>
            <w:noWrap/>
            <w:vAlign w:val="center"/>
          </w:tcPr>
          <w:p>
            <w:pPr>
              <w:jc w:val="center"/>
              <w:rPr>
                <w:rFonts w:ascii="宋体" w:hAnsi="宋体" w:cs="宋体"/>
                <w:sz w:val="18"/>
                <w:szCs w:val="18"/>
              </w:rPr>
            </w:pPr>
            <w:r>
              <w:rPr>
                <w:rFonts w:hint="eastAsia" w:ascii="宋体" w:hAnsi="宋体" w:cs="宋体"/>
                <w:sz w:val="18"/>
                <w:szCs w:val="18"/>
              </w:rPr>
              <w:t>27</w:t>
            </w:r>
          </w:p>
        </w:tc>
        <w:tc>
          <w:tcPr>
            <w:tcW w:w="2369" w:type="dxa"/>
            <w:noWrap/>
            <w:vAlign w:val="center"/>
          </w:tcPr>
          <w:p>
            <w:pPr>
              <w:jc w:val="center"/>
              <w:rPr>
                <w:rFonts w:ascii="宋体" w:hAnsi="宋体" w:cs="宋体"/>
                <w:sz w:val="18"/>
                <w:szCs w:val="18"/>
              </w:rPr>
            </w:pPr>
            <w:r>
              <w:rPr>
                <w:rFonts w:hint="eastAsia" w:ascii="宋体" w:hAnsi="宋体" w:cs="宋体"/>
                <w:sz w:val="18"/>
                <w:szCs w:val="18"/>
              </w:rPr>
              <w:t>二联卡托</w:t>
            </w:r>
          </w:p>
        </w:tc>
        <w:tc>
          <w:tcPr>
            <w:tcW w:w="1701" w:type="dxa"/>
            <w:noWrap/>
            <w:vAlign w:val="center"/>
          </w:tcPr>
          <w:p>
            <w:pPr>
              <w:jc w:val="center"/>
              <w:rPr>
                <w:rFonts w:ascii="宋体" w:hAnsi="宋体" w:cs="宋体"/>
                <w:sz w:val="18"/>
                <w:szCs w:val="18"/>
              </w:rPr>
            </w:pPr>
          </w:p>
        </w:tc>
        <w:tc>
          <w:tcPr>
            <w:tcW w:w="1134" w:type="dxa"/>
            <w:noWrap/>
            <w:vAlign w:val="center"/>
          </w:tcPr>
          <w:p>
            <w:pPr>
              <w:jc w:val="center"/>
              <w:rPr>
                <w:rFonts w:ascii="宋体" w:hAnsi="宋体" w:cs="宋体"/>
                <w:sz w:val="18"/>
                <w:szCs w:val="18"/>
              </w:rPr>
            </w:pPr>
            <w:r>
              <w:rPr>
                <w:rFonts w:hint="eastAsia" w:ascii="宋体" w:hAnsi="宋体" w:cs="宋体"/>
                <w:sz w:val="18"/>
                <w:szCs w:val="18"/>
              </w:rPr>
              <w:t>3</w:t>
            </w:r>
          </w:p>
        </w:tc>
        <w:tc>
          <w:tcPr>
            <w:tcW w:w="850" w:type="dxa"/>
            <w:noWrap/>
            <w:vAlign w:val="center"/>
          </w:tcPr>
          <w:p>
            <w:pPr>
              <w:jc w:val="center"/>
              <w:rPr>
                <w:rFonts w:ascii="宋体" w:hAnsi="宋体" w:cs="宋体"/>
                <w:sz w:val="18"/>
                <w:szCs w:val="18"/>
              </w:rPr>
            </w:pPr>
            <w:r>
              <w:rPr>
                <w:rFonts w:hint="eastAsia" w:ascii="宋体" w:hAnsi="宋体" w:cs="宋体"/>
                <w:sz w:val="18"/>
                <w:szCs w:val="18"/>
              </w:rPr>
              <w:t>个</w:t>
            </w:r>
          </w:p>
        </w:tc>
      </w:tr>
    </w:tbl>
    <w:p/>
    <w:p>
      <w:pPr>
        <w:pStyle w:val="3"/>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3、农残胶体金检测卡</w:t>
      </w:r>
    </w:p>
    <w:p>
      <w:pPr>
        <w:pStyle w:val="3"/>
        <w:rPr>
          <w:rFonts w:hint="eastAsia" w:ascii="宋体" w:hAnsi="宋体" w:cs="宋体"/>
          <w:b w:val="0"/>
          <w:bCs w:val="0"/>
          <w:sz w:val="24"/>
          <w:szCs w:val="24"/>
        </w:rPr>
      </w:pPr>
    </w:p>
    <w:p>
      <w:pPr>
        <w:rPr>
          <w:rFonts w:hint="eastAsia"/>
        </w:rPr>
      </w:pPr>
    </w:p>
    <w:tbl>
      <w:tblPr>
        <w:tblStyle w:val="5"/>
        <w:tblpPr w:leftFromText="180" w:rightFromText="180" w:vertAnchor="text" w:horzAnchor="margin" w:tblpXSpec="center" w:tblpY="-623"/>
        <w:tblOverlap w:val="never"/>
        <w:tblW w:w="82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6"/>
        <w:gridCol w:w="3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产品名称</w:t>
            </w:r>
          </w:p>
        </w:tc>
        <w:tc>
          <w:tcPr>
            <w:tcW w:w="3816" w:type="dxa"/>
            <w:noWrap/>
            <w:vAlign w:val="center"/>
          </w:tcPr>
          <w:p>
            <w:pPr>
              <w:jc w:val="center"/>
              <w:rPr>
                <w:rFonts w:ascii="宋体" w:hAnsi="宋体" w:cs="宋体"/>
                <w:szCs w:val="21"/>
              </w:rPr>
            </w:pPr>
            <w:r>
              <w:rPr>
                <w:rFonts w:hint="eastAsia" w:ascii="宋体" w:hAnsi="宋体" w:cs="宋体"/>
                <w:szCs w:val="21"/>
              </w:rPr>
              <w:t>检测限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农残苯醚甲环唑检测卡</w:t>
            </w:r>
          </w:p>
        </w:tc>
        <w:tc>
          <w:tcPr>
            <w:tcW w:w="3816" w:type="dxa"/>
            <w:noWrap/>
            <w:vAlign w:val="center"/>
          </w:tcPr>
          <w:p>
            <w:pPr>
              <w:jc w:val="center"/>
              <w:rPr>
                <w:rFonts w:ascii="宋体" w:hAnsi="宋体" w:cs="宋体"/>
                <w:szCs w:val="21"/>
              </w:rPr>
            </w:pPr>
            <w:r>
              <w:rPr>
                <w:rFonts w:hint="eastAsia" w:ascii="宋体" w:hAnsi="宋体" w:cs="宋体"/>
                <w:szCs w:val="21"/>
              </w:rPr>
              <w:t>0.2mg/kg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农残腐霉利检测卡</w:t>
            </w:r>
          </w:p>
        </w:tc>
        <w:tc>
          <w:tcPr>
            <w:tcW w:w="3816" w:type="dxa"/>
            <w:noWrap/>
            <w:vAlign w:val="center"/>
          </w:tcPr>
          <w:p>
            <w:pPr>
              <w:jc w:val="center"/>
              <w:rPr>
                <w:rFonts w:ascii="宋体" w:hAnsi="宋体" w:cs="宋体"/>
                <w:szCs w:val="21"/>
              </w:rPr>
            </w:pPr>
            <w:r>
              <w:rPr>
                <w:rFonts w:hint="eastAsia" w:ascii="宋体" w:hAnsi="宋体" w:cs="宋体"/>
                <w:szCs w:val="21"/>
              </w:rPr>
              <w:t>0.2mg/kg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农残多菌灵检测卡</w:t>
            </w:r>
          </w:p>
        </w:tc>
        <w:tc>
          <w:tcPr>
            <w:tcW w:w="3816" w:type="dxa"/>
            <w:noWrap/>
            <w:vAlign w:val="center"/>
          </w:tcPr>
          <w:p>
            <w:pPr>
              <w:jc w:val="center"/>
              <w:rPr>
                <w:rFonts w:ascii="宋体" w:hAnsi="宋体" w:cs="宋体"/>
                <w:szCs w:val="21"/>
              </w:rPr>
            </w:pPr>
            <w:r>
              <w:rPr>
                <w:rFonts w:hint="eastAsia" w:ascii="宋体" w:hAnsi="宋体" w:cs="宋体"/>
                <w:szCs w:val="21"/>
              </w:rPr>
              <w:t>0.5mg/kg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农残吡虫啉检测卡</w:t>
            </w:r>
          </w:p>
        </w:tc>
        <w:tc>
          <w:tcPr>
            <w:tcW w:w="3816" w:type="dxa"/>
            <w:noWrap/>
            <w:vAlign w:val="center"/>
          </w:tcPr>
          <w:p>
            <w:pPr>
              <w:jc w:val="center"/>
              <w:rPr>
                <w:rFonts w:ascii="宋体" w:hAnsi="宋体" w:cs="宋体"/>
                <w:szCs w:val="21"/>
              </w:rPr>
            </w:pPr>
            <w:r>
              <w:rPr>
                <w:rFonts w:hint="eastAsia" w:ascii="宋体" w:hAnsi="宋体" w:cs="宋体"/>
                <w:szCs w:val="21"/>
              </w:rPr>
              <w:t>1mg/kg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农残百菌清检测卡</w:t>
            </w:r>
          </w:p>
        </w:tc>
        <w:tc>
          <w:tcPr>
            <w:tcW w:w="3816" w:type="dxa"/>
            <w:noWrap/>
            <w:vAlign w:val="center"/>
          </w:tcPr>
          <w:p>
            <w:pPr>
              <w:jc w:val="center"/>
              <w:rPr>
                <w:rFonts w:ascii="宋体" w:hAnsi="宋体" w:cs="宋体"/>
                <w:szCs w:val="21"/>
              </w:rPr>
            </w:pPr>
            <w:r>
              <w:rPr>
                <w:rFonts w:hint="eastAsia" w:ascii="宋体" w:hAnsi="宋体" w:cs="宋体"/>
                <w:szCs w:val="21"/>
              </w:rPr>
              <w:t>0.2mg/kg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农残灭蝇胺检测卡</w:t>
            </w:r>
          </w:p>
        </w:tc>
        <w:tc>
          <w:tcPr>
            <w:tcW w:w="3816" w:type="dxa"/>
            <w:noWrap/>
            <w:vAlign w:val="center"/>
          </w:tcPr>
          <w:p>
            <w:pPr>
              <w:jc w:val="center"/>
              <w:rPr>
                <w:rFonts w:ascii="宋体" w:hAnsi="宋体" w:cs="宋体"/>
                <w:szCs w:val="21"/>
              </w:rPr>
            </w:pPr>
            <w:r>
              <w:rPr>
                <w:rFonts w:hint="eastAsia" w:ascii="宋体" w:hAnsi="宋体" w:cs="宋体"/>
                <w:szCs w:val="21"/>
              </w:rPr>
              <w:t>0.5mg/kg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农残噻虫嗪检测卡</w:t>
            </w:r>
          </w:p>
        </w:tc>
        <w:tc>
          <w:tcPr>
            <w:tcW w:w="3816" w:type="dxa"/>
            <w:noWrap/>
            <w:vAlign w:val="center"/>
          </w:tcPr>
          <w:p>
            <w:pPr>
              <w:jc w:val="center"/>
              <w:rPr>
                <w:rFonts w:ascii="宋体" w:hAnsi="宋体" w:cs="宋体"/>
                <w:szCs w:val="21"/>
              </w:rPr>
            </w:pPr>
            <w:r>
              <w:rPr>
                <w:rFonts w:hint="eastAsia" w:ascii="宋体" w:hAnsi="宋体" w:cs="宋体"/>
                <w:szCs w:val="21"/>
              </w:rPr>
              <w:t>0.3mg/kg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农残毒死蜱检测卡</w:t>
            </w:r>
          </w:p>
        </w:tc>
        <w:tc>
          <w:tcPr>
            <w:tcW w:w="3816" w:type="dxa"/>
            <w:noWrap/>
            <w:vAlign w:val="center"/>
          </w:tcPr>
          <w:p>
            <w:pPr>
              <w:jc w:val="center"/>
              <w:rPr>
                <w:rFonts w:ascii="宋体" w:hAnsi="宋体" w:cs="宋体"/>
                <w:szCs w:val="21"/>
              </w:rPr>
            </w:pPr>
            <w:r>
              <w:rPr>
                <w:rFonts w:hint="eastAsia" w:ascii="宋体" w:hAnsi="宋体" w:cs="宋体"/>
                <w:szCs w:val="21"/>
              </w:rPr>
              <w:t>0.02mg/kg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农残克百威检测卡</w:t>
            </w:r>
          </w:p>
        </w:tc>
        <w:tc>
          <w:tcPr>
            <w:tcW w:w="3816" w:type="dxa"/>
            <w:noWrap/>
            <w:vAlign w:val="center"/>
          </w:tcPr>
          <w:p>
            <w:pPr>
              <w:jc w:val="center"/>
              <w:rPr>
                <w:rFonts w:ascii="宋体" w:hAnsi="宋体" w:cs="宋体"/>
                <w:szCs w:val="21"/>
              </w:rPr>
            </w:pPr>
            <w:r>
              <w:rPr>
                <w:rFonts w:hint="eastAsia" w:ascii="宋体" w:hAnsi="宋体" w:cs="宋体"/>
                <w:szCs w:val="21"/>
              </w:rPr>
              <w:t>0.02mg/kg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农残啶虫脒检测卡</w:t>
            </w:r>
          </w:p>
        </w:tc>
        <w:tc>
          <w:tcPr>
            <w:tcW w:w="3816" w:type="dxa"/>
            <w:noWrap/>
            <w:vAlign w:val="center"/>
          </w:tcPr>
          <w:p>
            <w:pPr>
              <w:jc w:val="center"/>
              <w:rPr>
                <w:rFonts w:ascii="宋体" w:hAnsi="宋体" w:cs="宋体"/>
                <w:szCs w:val="21"/>
              </w:rPr>
            </w:pPr>
            <w:r>
              <w:rPr>
                <w:rFonts w:hint="eastAsia" w:ascii="宋体" w:hAnsi="宋体" w:cs="宋体"/>
                <w:szCs w:val="21"/>
              </w:rPr>
              <w:t>10mg/kg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农残灭多威检测卡</w:t>
            </w:r>
          </w:p>
        </w:tc>
        <w:tc>
          <w:tcPr>
            <w:tcW w:w="3816" w:type="dxa"/>
            <w:noWrap/>
            <w:vAlign w:val="center"/>
          </w:tcPr>
          <w:p>
            <w:pPr>
              <w:jc w:val="center"/>
              <w:rPr>
                <w:rFonts w:ascii="宋体" w:hAnsi="宋体" w:cs="宋体"/>
                <w:szCs w:val="21"/>
              </w:rPr>
            </w:pPr>
            <w:r>
              <w:rPr>
                <w:rFonts w:hint="eastAsia" w:ascii="宋体" w:hAnsi="宋体" w:cs="宋体"/>
                <w:szCs w:val="21"/>
              </w:rPr>
              <w:t>0.2mg/kg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农残氟虫腈检测卡</w:t>
            </w:r>
          </w:p>
        </w:tc>
        <w:tc>
          <w:tcPr>
            <w:tcW w:w="3816" w:type="dxa"/>
            <w:noWrap/>
            <w:vAlign w:val="center"/>
          </w:tcPr>
          <w:p>
            <w:pPr>
              <w:jc w:val="center"/>
              <w:rPr>
                <w:rFonts w:ascii="宋体" w:hAnsi="宋体" w:cs="宋体"/>
                <w:szCs w:val="21"/>
              </w:rPr>
            </w:pPr>
            <w:r>
              <w:rPr>
                <w:rFonts w:hint="eastAsia" w:ascii="宋体" w:hAnsi="宋体" w:cs="宋体"/>
                <w:szCs w:val="21"/>
              </w:rPr>
              <w:t>0.02mg/kg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农残氯氟氰菊酯检测卡</w:t>
            </w:r>
          </w:p>
        </w:tc>
        <w:tc>
          <w:tcPr>
            <w:tcW w:w="3816" w:type="dxa"/>
            <w:noWrap/>
            <w:vAlign w:val="center"/>
          </w:tcPr>
          <w:p>
            <w:pPr>
              <w:jc w:val="center"/>
              <w:rPr>
                <w:rFonts w:ascii="宋体" w:hAnsi="宋体" w:cs="宋体"/>
                <w:szCs w:val="21"/>
              </w:rPr>
            </w:pPr>
            <w:r>
              <w:rPr>
                <w:rFonts w:hint="eastAsia" w:ascii="宋体" w:hAnsi="宋体" w:cs="宋体"/>
                <w:szCs w:val="21"/>
              </w:rPr>
              <w:t>10mg/kg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4406" w:type="dxa"/>
            <w:noWrap/>
            <w:vAlign w:val="center"/>
          </w:tcPr>
          <w:p>
            <w:pPr>
              <w:jc w:val="center"/>
              <w:rPr>
                <w:rFonts w:ascii="宋体" w:hAnsi="宋体" w:cs="宋体"/>
                <w:szCs w:val="21"/>
              </w:rPr>
            </w:pPr>
            <w:r>
              <w:rPr>
                <w:rFonts w:hint="eastAsia" w:ascii="宋体" w:hAnsi="宋体" w:cs="宋体"/>
                <w:szCs w:val="21"/>
              </w:rPr>
              <w:t>农残甲氨基阿维菌素苯甲酸盐检测卡</w:t>
            </w:r>
          </w:p>
        </w:tc>
        <w:tc>
          <w:tcPr>
            <w:tcW w:w="3816" w:type="dxa"/>
            <w:noWrap/>
            <w:vAlign w:val="center"/>
          </w:tcPr>
          <w:p>
            <w:pPr>
              <w:jc w:val="center"/>
              <w:rPr>
                <w:rFonts w:ascii="宋体" w:hAnsi="宋体" w:cs="宋体"/>
                <w:szCs w:val="21"/>
              </w:rPr>
            </w:pPr>
            <w:r>
              <w:rPr>
                <w:rFonts w:hint="eastAsia" w:ascii="宋体" w:hAnsi="宋体" w:cs="宋体"/>
                <w:szCs w:val="21"/>
              </w:rPr>
              <w:t>0.5mg/kg</w:t>
            </w:r>
          </w:p>
        </w:tc>
      </w:tr>
    </w:tbl>
    <w:p>
      <w:pPr>
        <w:spacing w:line="500" w:lineRule="exact"/>
        <w:rPr>
          <w:rFonts w:hint="eastAsia" w:ascii="宋体" w:hAnsi="宋体" w:cs="宋体"/>
          <w:sz w:val="24"/>
        </w:rPr>
      </w:pPr>
      <w:r>
        <w:rPr>
          <w:rFonts w:hint="eastAsia" w:ascii="宋体" w:hAnsi="宋体" w:cs="宋体"/>
          <w:sz w:val="24"/>
        </w:rPr>
        <w:t>备注：</w:t>
      </w:r>
    </w:p>
    <w:p>
      <w:pPr>
        <w:spacing w:line="500" w:lineRule="exact"/>
        <w:rPr>
          <w:rFonts w:hint="eastAsia" w:ascii="宋体" w:hAnsi="宋体" w:eastAsia="宋体" w:cs="Times New Roman"/>
          <w:b/>
          <w:kern w:val="2"/>
          <w:sz w:val="24"/>
          <w:szCs w:val="24"/>
          <w:lang w:val="en-US" w:eastAsia="zh-CN" w:bidi="ar-SA"/>
        </w:rPr>
      </w:pPr>
      <w:r>
        <w:rPr>
          <w:rFonts w:hint="eastAsia" w:ascii="宋体" w:hAnsi="宋体" w:cs="宋体"/>
          <w:sz w:val="24"/>
        </w:rPr>
        <w:t>1、其中腐霉利、多菌灵、吡虫啉、百菌清、灭蝇胺、噻虫嗪、苯醚甲环唑七项目农残胶体金检测卡需通过农业农村部农产品质量标准研究中心组织的胶体金免疫层析快检产品评价验证，验证结果判定为合格，须提供相关证明资料复印件。</w:t>
      </w:r>
      <w:r>
        <w:rPr>
          <w:rFonts w:hint="eastAsia" w:ascii="宋体" w:hAnsi="宋体" w:cs="宋体"/>
          <w:sz w:val="24"/>
          <w:lang w:val="en-US" w:eastAsia="zh-CN"/>
        </w:rPr>
        <w:t>2、供应商所提供的农残胶体金检测卡应具有唯一性标识，杜绝一卡重复使用和重复上传。</w:t>
      </w:r>
    </w:p>
    <w:p>
      <w:r>
        <w:br w:type="page"/>
      </w:r>
    </w:p>
    <w:p>
      <w:pPr>
        <w:spacing w:line="500" w:lineRule="exact"/>
        <w:rPr>
          <w:rFonts w:hint="eastAsia"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4、智能采样仪</w:t>
      </w:r>
    </w:p>
    <w:p>
      <w:pPr>
        <w:spacing w:line="500" w:lineRule="exact"/>
        <w:ind w:firstLine="480" w:firstLineChars="200"/>
        <w:rPr>
          <w:sz w:val="24"/>
        </w:rPr>
      </w:pPr>
      <w:r>
        <w:rPr>
          <w:rFonts w:hint="eastAsia"/>
          <w:sz w:val="24"/>
        </w:rPr>
        <w:t>1.人性化简洁操作界面，简便易上手，对采样人员专业水平要求低；</w:t>
      </w:r>
    </w:p>
    <w:p>
      <w:pPr>
        <w:spacing w:line="500" w:lineRule="exact"/>
        <w:ind w:firstLine="480" w:firstLineChars="200"/>
        <w:rPr>
          <w:sz w:val="24"/>
        </w:rPr>
      </w:pPr>
      <w:r>
        <w:rPr>
          <w:rFonts w:hint="eastAsia"/>
          <w:sz w:val="24"/>
        </w:rPr>
        <w:t>2.具备实时接收管理平台下发的采样任务并提醒警示，保证采样工作高效对接；</w:t>
      </w:r>
    </w:p>
    <w:p>
      <w:pPr>
        <w:spacing w:line="500" w:lineRule="exact"/>
        <w:ind w:firstLine="480" w:firstLineChars="200"/>
        <w:rPr>
          <w:sz w:val="24"/>
        </w:rPr>
      </w:pPr>
      <w:r>
        <w:rPr>
          <w:rFonts w:hint="eastAsia"/>
          <w:sz w:val="24"/>
        </w:rPr>
        <w:t>3.具备采样信息记忆功能、模糊搜索功能，实现信息（样本信息、检测单位信息）的快速和智能录入；</w:t>
      </w:r>
    </w:p>
    <w:p>
      <w:pPr>
        <w:spacing w:line="500" w:lineRule="exact"/>
        <w:ind w:firstLine="480" w:firstLineChars="200"/>
        <w:rPr>
          <w:rFonts w:eastAsiaTheme="minorEastAsia"/>
          <w:sz w:val="24"/>
        </w:rPr>
      </w:pPr>
      <w:r>
        <w:rPr>
          <w:rFonts w:hint="eastAsia"/>
          <w:sz w:val="24"/>
        </w:rPr>
        <w:t>★4.具备二维码扫描模块，能支持识读各类主流一维条码及二维条码，扫描码，实现农户信息和种植地信息地快速录入；</w:t>
      </w:r>
    </w:p>
    <w:p>
      <w:pPr>
        <w:spacing w:line="500" w:lineRule="exact"/>
        <w:ind w:firstLine="480" w:firstLineChars="200"/>
        <w:rPr>
          <w:sz w:val="24"/>
        </w:rPr>
      </w:pPr>
      <w:r>
        <w:rPr>
          <w:rFonts w:hint="eastAsia"/>
          <w:sz w:val="24"/>
        </w:rPr>
        <w:t>5.内置摄像头，至少1000高清像素，支持自动对焦、闪光灯、防抖、微距拍摄，实现采样过程的拍照或视频取证；</w:t>
      </w:r>
    </w:p>
    <w:p>
      <w:pPr>
        <w:spacing w:line="500" w:lineRule="exact"/>
        <w:ind w:firstLine="480" w:firstLineChars="200"/>
        <w:rPr>
          <w:sz w:val="24"/>
        </w:rPr>
      </w:pPr>
      <w:r>
        <w:rPr>
          <w:rFonts w:hint="eastAsia"/>
          <w:sz w:val="24"/>
        </w:rPr>
        <w:t>6.具备GPS定位功能，可对采样地点进行精准显示经纬度定位；</w:t>
      </w:r>
    </w:p>
    <w:p>
      <w:pPr>
        <w:spacing w:line="500" w:lineRule="exact"/>
        <w:ind w:firstLine="480" w:firstLineChars="200"/>
        <w:rPr>
          <w:sz w:val="24"/>
        </w:rPr>
      </w:pPr>
      <w:r>
        <w:rPr>
          <w:rFonts w:hint="eastAsia"/>
          <w:sz w:val="24"/>
        </w:rPr>
        <w:t>7.具备电子签认功能，减少多样本采样单重复签字工作量，提高采样效率；</w:t>
      </w:r>
    </w:p>
    <w:p>
      <w:pPr>
        <w:spacing w:line="500" w:lineRule="exact"/>
        <w:ind w:firstLine="480" w:firstLineChars="200"/>
        <w:rPr>
          <w:sz w:val="24"/>
        </w:rPr>
      </w:pPr>
      <w:r>
        <w:rPr>
          <w:rFonts w:hint="eastAsia"/>
          <w:sz w:val="24"/>
        </w:rPr>
        <w:t>8.具备不干胶一体打印，可现场打印含追溯码的采样信息小票，并与样本同时封存，保证了采样信息的准确传输和可追溯；</w:t>
      </w:r>
    </w:p>
    <w:p>
      <w:pPr>
        <w:spacing w:line="500" w:lineRule="exact"/>
        <w:ind w:firstLine="480" w:firstLineChars="200"/>
        <w:rPr>
          <w:sz w:val="24"/>
        </w:rPr>
      </w:pPr>
      <w:r>
        <w:rPr>
          <w:rFonts w:hint="eastAsia"/>
          <w:sz w:val="24"/>
        </w:rPr>
        <w:t>9.存储容量：可保存至少10000条采样数据，后续数量增加内存可扩展；</w:t>
      </w:r>
    </w:p>
    <w:p>
      <w:pPr>
        <w:spacing w:line="500" w:lineRule="exact"/>
        <w:ind w:firstLine="480" w:firstLineChars="200"/>
        <w:rPr>
          <w:sz w:val="24"/>
        </w:rPr>
      </w:pPr>
      <w:r>
        <w:rPr>
          <w:rFonts w:hint="eastAsia"/>
          <w:sz w:val="24"/>
        </w:rPr>
        <w:t>10.待机时间≥300小时，工作时间≥12小时；</w:t>
      </w:r>
    </w:p>
    <w:p>
      <w:pPr>
        <w:spacing w:line="500" w:lineRule="exact"/>
        <w:ind w:firstLine="480" w:firstLineChars="200"/>
        <w:rPr>
          <w:sz w:val="24"/>
        </w:rPr>
      </w:pPr>
      <w:r>
        <w:rPr>
          <w:rFonts w:hint="eastAsia"/>
          <w:sz w:val="24"/>
        </w:rPr>
        <w:t>★11.能与检测端、管理系统实时对接，实现数据与信息的实时传输，保证数据与信息的准确性和真实性。</w:t>
      </w:r>
    </w:p>
    <w:p>
      <w:pPr>
        <w:keepNext w:val="0"/>
        <w:keepLines w:val="0"/>
        <w:pageBreakBefore w:val="0"/>
        <w:widowControl w:val="0"/>
        <w:kinsoku/>
        <w:wordWrap/>
        <w:overflowPunct/>
        <w:topLinePunct w:val="0"/>
        <w:autoSpaceDE/>
        <w:autoSpaceDN/>
        <w:bidi w:val="0"/>
        <w:adjustRightInd/>
        <w:snapToGrid/>
        <w:spacing w:after="120" w:line="240" w:lineRule="auto"/>
        <w:textAlignment w:val="auto"/>
        <w:rPr>
          <w:rFonts w:hint="eastAsia" w:cs="宋体" w:asciiTheme="minorEastAsia" w:hAnsiTheme="minorEastAsia" w:eastAsiaTheme="minorEastAsia"/>
          <w:b w:val="0"/>
          <w:bCs/>
          <w:kern w:val="0"/>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before="120" w:after="240" w:line="435" w:lineRule="atLeast"/>
        <w:textAlignment w:val="auto"/>
        <w:rPr>
          <w:rFonts w:hint="eastAsia" w:ascii="宋体" w:hAnsi="宋体" w:eastAsia="宋体" w:cs="Times New Roman"/>
          <w:b/>
          <w:sz w:val="24"/>
          <w:szCs w:val="24"/>
        </w:rPr>
      </w:pPr>
      <w:r>
        <w:rPr>
          <w:rFonts w:hint="eastAsia" w:ascii="宋体" w:hAnsi="宋体" w:eastAsia="宋体" w:cs="Times New Roman"/>
          <w:b/>
          <w:sz w:val="24"/>
          <w:szCs w:val="24"/>
        </w:rPr>
        <w:t>三、商务条件</w:t>
      </w:r>
    </w:p>
    <w:p>
      <w:pPr>
        <w:widowControl/>
        <w:spacing w:before="75" w:after="75" w:line="435" w:lineRule="atLeast"/>
        <w:jc w:val="left"/>
        <w:rPr>
          <w:rFonts w:ascii="宋体" w:hAnsi="宋体" w:eastAsia="宋体" w:cs="宋体"/>
          <w:kern w:val="0"/>
          <w:sz w:val="24"/>
          <w:szCs w:val="24"/>
        </w:rPr>
      </w:pPr>
      <w:r>
        <w:rPr>
          <w:rFonts w:hint="eastAsia" w:ascii="宋体" w:hAnsi="宋体" w:eastAsia="宋体" w:cs="宋体"/>
          <w:kern w:val="0"/>
          <w:sz w:val="24"/>
          <w:szCs w:val="24"/>
          <w:lang w:val="en-US" w:eastAsia="zh-CN"/>
        </w:rPr>
        <w:t>采购包</w:t>
      </w:r>
      <w:r>
        <w:rPr>
          <w:rFonts w:ascii="宋体" w:hAnsi="宋体" w:eastAsia="宋体" w:cs="宋体"/>
          <w:kern w:val="0"/>
          <w:sz w:val="24"/>
          <w:szCs w:val="24"/>
        </w:rPr>
        <w:t>：1</w:t>
      </w:r>
    </w:p>
    <w:tbl>
      <w:tblPr>
        <w:tblStyle w:val="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410"/>
        <w:gridCol w:w="1960"/>
        <w:gridCol w:w="4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6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序号</w:t>
            </w:r>
          </w:p>
        </w:tc>
        <w:tc>
          <w:tcPr>
            <w:tcW w:w="141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参数性质</w:t>
            </w:r>
          </w:p>
        </w:tc>
        <w:tc>
          <w:tcPr>
            <w:tcW w:w="196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类型</w:t>
            </w:r>
          </w:p>
        </w:tc>
        <w:tc>
          <w:tcPr>
            <w:tcW w:w="428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eastAsiaTheme="minorEastAsia"/>
                <w:kern w:val="0"/>
                <w:sz w:val="24"/>
                <w:szCs w:val="24"/>
                <w:vertAlign w:val="baseline"/>
                <w:lang w:val="en-US" w:eastAsia="zh-CN"/>
              </w:rPr>
            </w:pPr>
            <w:r>
              <w:rPr>
                <w:rFonts w:hint="eastAsia" w:cs="宋体" w:asciiTheme="minorEastAsia" w:hAnsiTheme="minorEastAsia"/>
                <w:kern w:val="0"/>
                <w:sz w:val="24"/>
                <w:szCs w:val="24"/>
                <w:vertAlign w:val="baseline"/>
                <w:lang w:val="en-US" w:eastAsia="zh-CN"/>
              </w:rPr>
              <w:t>1</w:t>
            </w:r>
          </w:p>
        </w:tc>
        <w:tc>
          <w:tcPr>
            <w:tcW w:w="141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w:t>
            </w:r>
          </w:p>
        </w:tc>
        <w:tc>
          <w:tcPr>
            <w:tcW w:w="196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交</w:t>
            </w:r>
            <w:r>
              <w:rPr>
                <w:rFonts w:hint="eastAsia" w:cs="宋体" w:asciiTheme="minorEastAsia" w:hAnsiTheme="minorEastAsia"/>
                <w:kern w:val="0"/>
                <w:sz w:val="24"/>
                <w:szCs w:val="24"/>
                <w:vertAlign w:val="baseline"/>
                <w:lang w:val="en-US" w:eastAsia="zh-CN"/>
              </w:rPr>
              <w:t>付</w:t>
            </w:r>
            <w:r>
              <w:rPr>
                <w:rFonts w:hint="eastAsia" w:cs="宋体" w:asciiTheme="minorEastAsia" w:hAnsiTheme="minorEastAsia"/>
                <w:kern w:val="0"/>
                <w:sz w:val="24"/>
                <w:szCs w:val="24"/>
                <w:vertAlign w:val="baseline"/>
              </w:rPr>
              <w:t>地点</w:t>
            </w:r>
          </w:p>
        </w:tc>
        <w:tc>
          <w:tcPr>
            <w:tcW w:w="428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云霄县农业农村局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eastAsiaTheme="minorEastAsia"/>
                <w:kern w:val="0"/>
                <w:sz w:val="24"/>
                <w:szCs w:val="24"/>
                <w:vertAlign w:val="baseline"/>
                <w:lang w:val="en-US" w:eastAsia="zh-CN"/>
              </w:rPr>
            </w:pPr>
            <w:r>
              <w:rPr>
                <w:rFonts w:hint="eastAsia" w:cs="宋体" w:asciiTheme="minorEastAsia" w:hAnsiTheme="minorEastAsia"/>
                <w:kern w:val="0"/>
                <w:sz w:val="24"/>
                <w:szCs w:val="24"/>
                <w:vertAlign w:val="baseline"/>
                <w:lang w:val="en-US" w:eastAsia="zh-CN"/>
              </w:rPr>
              <w:t>2</w:t>
            </w:r>
          </w:p>
        </w:tc>
        <w:tc>
          <w:tcPr>
            <w:tcW w:w="141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w:t>
            </w:r>
          </w:p>
        </w:tc>
        <w:tc>
          <w:tcPr>
            <w:tcW w:w="196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default" w:cs="宋体" w:asciiTheme="minorEastAsia" w:hAnsiTheme="minorEastAsia" w:eastAsiaTheme="minorEastAsia"/>
                <w:kern w:val="0"/>
                <w:sz w:val="24"/>
                <w:szCs w:val="24"/>
                <w:vertAlign w:val="baseline"/>
                <w:lang w:val="en-US" w:eastAsia="zh-CN"/>
              </w:rPr>
            </w:pPr>
            <w:r>
              <w:rPr>
                <w:rFonts w:hint="eastAsia" w:cs="宋体" w:asciiTheme="minorEastAsia" w:hAnsiTheme="minorEastAsia"/>
                <w:kern w:val="0"/>
                <w:sz w:val="24"/>
                <w:szCs w:val="24"/>
                <w:vertAlign w:val="baseline"/>
              </w:rPr>
              <w:t>交</w:t>
            </w:r>
            <w:r>
              <w:rPr>
                <w:rFonts w:hint="eastAsia" w:cs="宋体" w:asciiTheme="minorEastAsia" w:hAnsiTheme="minorEastAsia"/>
                <w:kern w:val="0"/>
                <w:sz w:val="24"/>
                <w:szCs w:val="24"/>
                <w:vertAlign w:val="baseline"/>
                <w:lang w:val="en-US" w:eastAsia="zh-CN"/>
              </w:rPr>
              <w:t>付时间</w:t>
            </w:r>
          </w:p>
        </w:tc>
        <w:tc>
          <w:tcPr>
            <w:tcW w:w="428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自合同签订之</w:t>
            </w:r>
            <w:r>
              <w:rPr>
                <w:rFonts w:hint="eastAsia" w:cs="宋体" w:asciiTheme="minorEastAsia" w:hAnsiTheme="minorEastAsia"/>
                <w:kern w:val="0"/>
                <w:sz w:val="24"/>
                <w:szCs w:val="24"/>
                <w:highlight w:val="none"/>
                <w:vertAlign w:val="baseline"/>
              </w:rPr>
              <w:t>日起</w:t>
            </w:r>
            <w:r>
              <w:rPr>
                <w:rFonts w:hint="eastAsia" w:cs="宋体" w:asciiTheme="minorEastAsia" w:hAnsiTheme="minorEastAsia"/>
                <w:kern w:val="0"/>
                <w:sz w:val="24"/>
                <w:szCs w:val="24"/>
                <w:highlight w:val="none"/>
                <w:vertAlign w:val="baseline"/>
                <w:lang w:val="en-US" w:eastAsia="zh-CN"/>
              </w:rPr>
              <w:t>15</w:t>
            </w:r>
            <w:r>
              <w:rPr>
                <w:rFonts w:hint="eastAsia" w:cs="宋体" w:asciiTheme="minorEastAsia" w:hAnsiTheme="minorEastAsia"/>
                <w:kern w:val="0"/>
                <w:sz w:val="24"/>
                <w:szCs w:val="24"/>
                <w:highlight w:val="none"/>
                <w:vertAlign w:val="baseli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6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eastAsiaTheme="minorEastAsia"/>
                <w:kern w:val="0"/>
                <w:sz w:val="24"/>
                <w:szCs w:val="24"/>
                <w:vertAlign w:val="baseline"/>
                <w:lang w:val="en-US" w:eastAsia="zh-CN"/>
              </w:rPr>
            </w:pPr>
            <w:r>
              <w:rPr>
                <w:rFonts w:hint="eastAsia" w:cs="宋体" w:asciiTheme="minorEastAsia" w:hAnsiTheme="minorEastAsia"/>
                <w:kern w:val="0"/>
                <w:sz w:val="24"/>
                <w:szCs w:val="24"/>
                <w:vertAlign w:val="baseline"/>
                <w:lang w:val="en-US" w:eastAsia="zh-CN"/>
              </w:rPr>
              <w:t>3</w:t>
            </w:r>
          </w:p>
        </w:tc>
        <w:tc>
          <w:tcPr>
            <w:tcW w:w="141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w:t>
            </w:r>
          </w:p>
        </w:tc>
        <w:tc>
          <w:tcPr>
            <w:tcW w:w="196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交</w:t>
            </w:r>
            <w:r>
              <w:rPr>
                <w:rFonts w:hint="eastAsia" w:cs="宋体" w:asciiTheme="minorEastAsia" w:hAnsiTheme="minorEastAsia"/>
                <w:kern w:val="0"/>
                <w:sz w:val="24"/>
                <w:szCs w:val="24"/>
                <w:vertAlign w:val="baseline"/>
                <w:lang w:val="en-US" w:eastAsia="zh-CN"/>
              </w:rPr>
              <w:t>付</w:t>
            </w:r>
            <w:r>
              <w:rPr>
                <w:rFonts w:hint="eastAsia" w:cs="宋体" w:asciiTheme="minorEastAsia" w:hAnsiTheme="minorEastAsia"/>
                <w:kern w:val="0"/>
                <w:sz w:val="24"/>
                <w:szCs w:val="24"/>
                <w:vertAlign w:val="baseline"/>
              </w:rPr>
              <w:t>条件</w:t>
            </w:r>
          </w:p>
        </w:tc>
        <w:tc>
          <w:tcPr>
            <w:tcW w:w="428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lang w:val="en-US" w:eastAsia="zh-CN"/>
              </w:rPr>
              <w:t>设备经安装调试到位</w:t>
            </w:r>
            <w:r>
              <w:rPr>
                <w:rFonts w:hint="eastAsia" w:cs="宋体" w:asciiTheme="minorEastAsia" w:hAnsiTheme="minorEastAsia"/>
                <w:kern w:val="0"/>
                <w:sz w:val="24"/>
                <w:szCs w:val="24"/>
                <w:vertAlign w:val="baseline"/>
              </w:rPr>
              <w:t>，技术指标完全符合合同要求</w:t>
            </w:r>
            <w:r>
              <w:rPr>
                <w:rFonts w:hint="eastAsia" w:cs="宋体" w:asciiTheme="minorEastAsia" w:hAnsiTheme="minorEastAsia"/>
                <w:kern w:val="0"/>
                <w:sz w:val="24"/>
                <w:szCs w:val="24"/>
                <w:vertAlign w:val="baseline"/>
                <w:lang w:val="en-US" w:eastAsia="zh-CN"/>
              </w:rPr>
              <w:t>且</w:t>
            </w:r>
            <w:r>
              <w:rPr>
                <w:rFonts w:hint="eastAsia" w:cs="宋体" w:asciiTheme="minorEastAsia" w:hAnsiTheme="minorEastAsia"/>
                <w:kern w:val="0"/>
                <w:sz w:val="24"/>
                <w:szCs w:val="24"/>
                <w:vertAlign w:val="baseline"/>
              </w:rPr>
              <w:t>经采购人验收合格后，交付使用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eastAsiaTheme="minorEastAsia"/>
                <w:kern w:val="0"/>
                <w:sz w:val="24"/>
                <w:szCs w:val="24"/>
                <w:vertAlign w:val="baseline"/>
                <w:lang w:val="en-US" w:eastAsia="zh-CN"/>
              </w:rPr>
            </w:pPr>
            <w:r>
              <w:rPr>
                <w:rFonts w:hint="eastAsia" w:cs="宋体" w:asciiTheme="minorEastAsia" w:hAnsiTheme="minorEastAsia"/>
                <w:kern w:val="0"/>
                <w:sz w:val="24"/>
                <w:szCs w:val="24"/>
                <w:vertAlign w:val="baseline"/>
                <w:lang w:val="en-US" w:eastAsia="zh-CN"/>
              </w:rPr>
              <w:t>4</w:t>
            </w:r>
          </w:p>
        </w:tc>
        <w:tc>
          <w:tcPr>
            <w:tcW w:w="141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w:t>
            </w:r>
          </w:p>
        </w:tc>
        <w:tc>
          <w:tcPr>
            <w:tcW w:w="196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是否邀请投标人验收</w:t>
            </w:r>
          </w:p>
        </w:tc>
        <w:tc>
          <w:tcPr>
            <w:tcW w:w="428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不邀请投标人验收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eastAsiaTheme="minorEastAsia"/>
                <w:kern w:val="0"/>
                <w:sz w:val="24"/>
                <w:szCs w:val="24"/>
                <w:vertAlign w:val="baseline"/>
                <w:lang w:val="en-US" w:eastAsia="zh-CN"/>
              </w:rPr>
            </w:pPr>
            <w:r>
              <w:rPr>
                <w:rFonts w:hint="eastAsia" w:cs="宋体" w:asciiTheme="minorEastAsia" w:hAnsiTheme="minorEastAsia"/>
                <w:kern w:val="0"/>
                <w:sz w:val="24"/>
                <w:szCs w:val="24"/>
                <w:vertAlign w:val="baseline"/>
                <w:lang w:val="en-US" w:eastAsia="zh-CN"/>
              </w:rPr>
              <w:t>5</w:t>
            </w:r>
          </w:p>
        </w:tc>
        <w:tc>
          <w:tcPr>
            <w:tcW w:w="141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w:t>
            </w:r>
          </w:p>
        </w:tc>
        <w:tc>
          <w:tcPr>
            <w:tcW w:w="196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履约验收方式</w:t>
            </w:r>
          </w:p>
        </w:tc>
        <w:tc>
          <w:tcPr>
            <w:tcW w:w="428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1、期次1，说明：按照</w:t>
            </w:r>
            <w:r>
              <w:rPr>
                <w:rFonts w:hint="eastAsia" w:cs="宋体" w:asciiTheme="minorEastAsia" w:hAnsiTheme="minorEastAsia"/>
                <w:kern w:val="0"/>
                <w:sz w:val="24"/>
                <w:szCs w:val="24"/>
                <w:vertAlign w:val="baseline"/>
                <w:lang w:val="en-US" w:eastAsia="zh-CN"/>
              </w:rPr>
              <w:t>谈判</w:t>
            </w:r>
            <w:r>
              <w:rPr>
                <w:rFonts w:hint="eastAsia" w:cs="宋体" w:asciiTheme="minorEastAsia" w:hAnsiTheme="minorEastAsia"/>
                <w:kern w:val="0"/>
                <w:sz w:val="24"/>
                <w:szCs w:val="24"/>
                <w:vertAlign w:val="baseline"/>
              </w:rPr>
              <w:t>文件、成交人响应文件及采购合同规定验收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eastAsiaTheme="minorEastAsia"/>
                <w:kern w:val="0"/>
                <w:sz w:val="24"/>
                <w:szCs w:val="24"/>
                <w:vertAlign w:val="baseline"/>
                <w:lang w:val="en-US" w:eastAsia="zh-CN"/>
              </w:rPr>
            </w:pPr>
            <w:r>
              <w:rPr>
                <w:rFonts w:hint="eastAsia" w:cs="宋体" w:asciiTheme="minorEastAsia" w:hAnsiTheme="minorEastAsia"/>
                <w:kern w:val="0"/>
                <w:sz w:val="24"/>
                <w:szCs w:val="24"/>
                <w:vertAlign w:val="baseline"/>
                <w:lang w:val="en-US" w:eastAsia="zh-CN"/>
              </w:rPr>
              <w:t>6</w:t>
            </w:r>
          </w:p>
        </w:tc>
        <w:tc>
          <w:tcPr>
            <w:tcW w:w="141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w:t>
            </w:r>
          </w:p>
        </w:tc>
        <w:tc>
          <w:tcPr>
            <w:tcW w:w="196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合同支付方式</w:t>
            </w:r>
          </w:p>
        </w:tc>
        <w:tc>
          <w:tcPr>
            <w:tcW w:w="428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项目验收合格后，支付合同总金额100%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86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default" w:cs="宋体" w:asciiTheme="minorEastAsia" w:hAnsiTheme="minorEastAsia"/>
                <w:kern w:val="0"/>
                <w:sz w:val="24"/>
                <w:szCs w:val="24"/>
                <w:vertAlign w:val="baseline"/>
                <w:lang w:val="en-US" w:eastAsia="zh-CN"/>
              </w:rPr>
            </w:pPr>
            <w:r>
              <w:rPr>
                <w:rFonts w:hint="eastAsia" w:cs="宋体" w:asciiTheme="minorEastAsia" w:hAnsiTheme="minorEastAsia"/>
                <w:kern w:val="0"/>
                <w:sz w:val="24"/>
                <w:szCs w:val="24"/>
                <w:vertAlign w:val="baseline"/>
                <w:lang w:val="en-US" w:eastAsia="zh-CN"/>
              </w:rPr>
              <w:t>7</w:t>
            </w:r>
          </w:p>
        </w:tc>
        <w:tc>
          <w:tcPr>
            <w:tcW w:w="141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w:t>
            </w:r>
          </w:p>
        </w:tc>
        <w:tc>
          <w:tcPr>
            <w:tcW w:w="1960"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是否收取履约保证金</w:t>
            </w:r>
          </w:p>
        </w:tc>
        <w:tc>
          <w:tcPr>
            <w:tcW w:w="4286" w:type="dxa"/>
            <w:vAlign w:val="center"/>
          </w:tcPr>
          <w:p>
            <w:pPr>
              <w:keepNext w:val="0"/>
              <w:keepLines w:val="0"/>
              <w:pageBreakBefore w:val="0"/>
              <w:widowControl/>
              <w:kinsoku/>
              <w:wordWrap/>
              <w:overflowPunct/>
              <w:topLinePunct w:val="0"/>
              <w:autoSpaceDE/>
              <w:autoSpaceDN/>
              <w:bidi w:val="0"/>
              <w:adjustRightInd/>
              <w:snapToGrid/>
              <w:spacing w:before="75" w:after="75" w:line="395" w:lineRule="atLeast"/>
              <w:jc w:val="center"/>
              <w:textAlignment w:val="auto"/>
              <w:rPr>
                <w:rFonts w:hint="eastAsia" w:cs="宋体" w:asciiTheme="minorEastAsia" w:hAnsiTheme="minorEastAsia"/>
                <w:kern w:val="0"/>
                <w:sz w:val="24"/>
                <w:szCs w:val="24"/>
                <w:vertAlign w:val="baseline"/>
              </w:rPr>
            </w:pPr>
            <w:r>
              <w:rPr>
                <w:rFonts w:hint="eastAsia" w:cs="宋体" w:asciiTheme="minorEastAsia" w:hAnsiTheme="minorEastAsia"/>
                <w:kern w:val="0"/>
                <w:sz w:val="24"/>
                <w:szCs w:val="24"/>
                <w:vertAlign w:val="baseline"/>
              </w:rPr>
              <w:t>不收取</w:t>
            </w:r>
          </w:p>
        </w:tc>
      </w:tr>
    </w:tbl>
    <w:p>
      <w:pPr>
        <w:keepNext w:val="0"/>
        <w:keepLines w:val="0"/>
        <w:pageBreakBefore w:val="0"/>
        <w:widowControl w:val="0"/>
        <w:kinsoku/>
        <w:wordWrap/>
        <w:overflowPunct/>
        <w:topLinePunct w:val="0"/>
        <w:autoSpaceDE/>
        <w:autoSpaceDN/>
        <w:bidi w:val="0"/>
        <w:adjustRightInd/>
        <w:snapToGrid/>
        <w:spacing w:before="60" w:after="120" w:line="240" w:lineRule="auto"/>
        <w:ind w:firstLine="480" w:firstLineChars="200"/>
        <w:textAlignment w:val="auto"/>
        <w:rPr>
          <w:rFonts w:hint="eastAsia" w:cs="宋体" w:asciiTheme="minorEastAsia" w:hAnsiTheme="minorEastAsia" w:eastAsiaTheme="minorEastAsia"/>
          <w:b w:val="0"/>
          <w:bCs/>
          <w:kern w:val="0"/>
          <w:sz w:val="24"/>
          <w:szCs w:val="24"/>
          <w:lang w:val="en-US" w:eastAsia="zh-CN" w:bidi="ar-SA"/>
        </w:rPr>
      </w:pPr>
      <w:r>
        <w:rPr>
          <w:rFonts w:hint="eastAsia" w:cs="宋体" w:asciiTheme="minorEastAsia" w:hAnsiTheme="minorEastAsia" w:eastAsiaTheme="minorEastAsia"/>
          <w:b w:val="0"/>
          <w:bCs/>
          <w:kern w:val="0"/>
          <w:sz w:val="24"/>
          <w:szCs w:val="24"/>
          <w:lang w:val="en-US" w:eastAsia="zh-CN" w:bidi="ar-SA"/>
        </w:rPr>
        <w:t>8.项目售后服务要求</w:t>
      </w:r>
    </w:p>
    <w:p>
      <w:pPr>
        <w:keepNext w:val="0"/>
        <w:keepLines w:val="0"/>
        <w:pageBreakBefore w:val="0"/>
        <w:numPr>
          <w:ilvl w:val="0"/>
          <w:numId w:val="0"/>
        </w:numPr>
        <w:kinsoku/>
        <w:wordWrap/>
        <w:overflowPunct/>
        <w:topLinePunct w:val="0"/>
        <w:autoSpaceDE/>
        <w:autoSpaceDN/>
        <w:bidi w:val="0"/>
        <w:adjustRightInd/>
        <w:snapToGrid/>
        <w:spacing w:after="120" w:line="240" w:lineRule="auto"/>
        <w:ind w:firstLine="480" w:firstLineChars="200"/>
        <w:jc w:val="left"/>
        <w:textAlignment w:val="auto"/>
        <w:rPr>
          <w:rFonts w:hint="eastAsia" w:asciiTheme="minorEastAsia" w:hAnsiTheme="minorEastAsia"/>
          <w:sz w:val="24"/>
          <w:szCs w:val="24"/>
        </w:rPr>
      </w:pPr>
      <w:r>
        <w:rPr>
          <w:rFonts w:hint="eastAsia" w:asciiTheme="minorEastAsia" w:hAnsiTheme="minorEastAsia"/>
          <w:sz w:val="24"/>
          <w:szCs w:val="24"/>
          <w:lang w:val="en-US" w:eastAsia="zh-CN"/>
        </w:rPr>
        <w:t>8.1.提供一套完整的技术资料，包括安装、操作手册、使用说明、维修保养手册、电路图、零配件清单等。并负责现场培训采购人操作人员，直至掌握产品的操作、日常维护保养及简单维修方法为止。</w:t>
      </w:r>
    </w:p>
    <w:p>
      <w:pPr>
        <w:keepNext w:val="0"/>
        <w:keepLines w:val="0"/>
        <w:pageBreakBefore w:val="0"/>
        <w:numPr>
          <w:ilvl w:val="0"/>
          <w:numId w:val="0"/>
        </w:numPr>
        <w:kinsoku/>
        <w:wordWrap/>
        <w:overflowPunct/>
        <w:topLinePunct w:val="0"/>
        <w:autoSpaceDE/>
        <w:autoSpaceDN/>
        <w:bidi w:val="0"/>
        <w:adjustRightInd/>
        <w:snapToGrid/>
        <w:spacing w:after="120" w:line="240" w:lineRule="auto"/>
        <w:ind w:firstLine="480" w:firstLineChars="200"/>
        <w:jc w:val="left"/>
        <w:textAlignment w:val="auto"/>
        <w:rPr>
          <w:rFonts w:hint="eastAsia" w:asciiTheme="minorEastAsia" w:hAnsiTheme="minorEastAsia"/>
          <w:sz w:val="24"/>
          <w:szCs w:val="24"/>
        </w:rPr>
      </w:pPr>
      <w:r>
        <w:rPr>
          <w:rFonts w:hint="eastAsia" w:asciiTheme="minorEastAsia" w:hAnsiTheme="minorEastAsia"/>
          <w:sz w:val="24"/>
          <w:szCs w:val="24"/>
          <w:lang w:val="en-US" w:eastAsia="zh-CN"/>
        </w:rPr>
        <w:t>8.2.提供</w:t>
      </w:r>
      <w:r>
        <w:rPr>
          <w:rFonts w:hint="eastAsia" w:asciiTheme="minorEastAsia" w:hAnsiTheme="minorEastAsia"/>
          <w:sz w:val="24"/>
          <w:szCs w:val="24"/>
        </w:rPr>
        <w:t>各类日常运行维护</w:t>
      </w:r>
      <w:r>
        <w:rPr>
          <w:rFonts w:hint="eastAsia" w:asciiTheme="minorEastAsia" w:hAnsiTheme="minorEastAsia"/>
          <w:sz w:val="24"/>
          <w:szCs w:val="24"/>
          <w:lang w:eastAsia="zh-CN"/>
        </w:rPr>
        <w:t>，</w:t>
      </w:r>
      <w:r>
        <w:rPr>
          <w:rFonts w:hint="eastAsia" w:asciiTheme="minorEastAsia" w:hAnsiTheme="minorEastAsia"/>
          <w:sz w:val="24"/>
          <w:szCs w:val="24"/>
        </w:rPr>
        <w:t>包括</w:t>
      </w:r>
      <w:r>
        <w:rPr>
          <w:rFonts w:hint="eastAsia" w:asciiTheme="minorEastAsia" w:hAnsiTheme="minorEastAsia"/>
          <w:sz w:val="24"/>
          <w:szCs w:val="24"/>
          <w:lang w:val="en-US" w:eastAsia="zh-CN"/>
        </w:rPr>
        <w:t>但不限于：</w:t>
      </w:r>
      <w:r>
        <w:rPr>
          <w:rFonts w:hint="eastAsia" w:asciiTheme="minorEastAsia" w:hAnsiTheme="minorEastAsia"/>
          <w:sz w:val="24"/>
          <w:szCs w:val="24"/>
        </w:rPr>
        <w:t>免费升级、功能完善、故障排除、性能调优、技术咨询等。</w:t>
      </w:r>
    </w:p>
    <w:p>
      <w:pPr>
        <w:keepNext w:val="0"/>
        <w:keepLines w:val="0"/>
        <w:pageBreakBefore w:val="0"/>
        <w:numPr>
          <w:ilvl w:val="0"/>
          <w:numId w:val="0"/>
        </w:numPr>
        <w:kinsoku/>
        <w:wordWrap/>
        <w:overflowPunct/>
        <w:topLinePunct w:val="0"/>
        <w:autoSpaceDE/>
        <w:autoSpaceDN/>
        <w:bidi w:val="0"/>
        <w:adjustRightInd/>
        <w:snapToGrid/>
        <w:spacing w:after="120" w:line="240" w:lineRule="auto"/>
        <w:ind w:firstLine="480" w:firstLineChars="200"/>
        <w:jc w:val="left"/>
        <w:textAlignment w:val="auto"/>
        <w:rPr>
          <w:rFonts w:hint="eastAsia" w:asciiTheme="minorEastAsia" w:hAnsiTheme="minorEastAsia"/>
          <w:sz w:val="24"/>
          <w:szCs w:val="24"/>
        </w:rPr>
      </w:pPr>
      <w:r>
        <w:rPr>
          <w:rFonts w:hint="eastAsia" w:asciiTheme="minorEastAsia" w:hAnsiTheme="minorEastAsia"/>
          <w:sz w:val="24"/>
          <w:szCs w:val="24"/>
          <w:lang w:val="en-US" w:eastAsia="zh-CN"/>
        </w:rPr>
        <w:t>8.3.</w:t>
      </w:r>
      <w:r>
        <w:rPr>
          <w:rFonts w:hint="eastAsia" w:asciiTheme="minorEastAsia" w:hAnsiTheme="minorEastAsia"/>
          <w:sz w:val="24"/>
          <w:szCs w:val="24"/>
        </w:rPr>
        <w:t>提供 24</w:t>
      </w:r>
      <w:r>
        <w:rPr>
          <w:rFonts w:hint="eastAsia" w:asciiTheme="minorEastAsia" w:hAnsiTheme="minorEastAsia"/>
          <w:sz w:val="24"/>
          <w:szCs w:val="24"/>
          <w:lang w:val="en-US" w:eastAsia="zh-CN"/>
        </w:rPr>
        <w:t>h</w:t>
      </w:r>
      <w:r>
        <w:rPr>
          <w:rFonts w:hint="eastAsia" w:asciiTheme="minorEastAsia" w:hAnsiTheme="minorEastAsia"/>
          <w:sz w:val="24"/>
          <w:szCs w:val="24"/>
        </w:rPr>
        <w:t>专线服务</w:t>
      </w:r>
      <w:r>
        <w:rPr>
          <w:rFonts w:hint="eastAsia" w:asciiTheme="minorEastAsia" w:hAnsiTheme="minorEastAsia"/>
          <w:sz w:val="24"/>
          <w:szCs w:val="24"/>
          <w:lang w:val="en-US" w:eastAsia="zh-CN"/>
        </w:rPr>
        <w:t>。</w:t>
      </w:r>
      <w:r>
        <w:rPr>
          <w:rFonts w:hint="eastAsia" w:asciiTheme="minorEastAsia" w:hAnsiTheme="minorEastAsia"/>
          <w:sz w:val="24"/>
          <w:szCs w:val="24"/>
        </w:rPr>
        <w:t>供应商应保证在收到要求提供维修服务的通知后2小时内给予反馈，24小时内派合格的技术人员赴现场解决问题。如不能按采购人要求的时间予以修复，供应商应保证免费提供同类备用设备，供采购人使用。</w:t>
      </w:r>
    </w:p>
    <w:p>
      <w:pPr>
        <w:keepNext w:val="0"/>
        <w:keepLines w:val="0"/>
        <w:pageBreakBefore w:val="0"/>
        <w:numPr>
          <w:ilvl w:val="0"/>
          <w:numId w:val="0"/>
        </w:numPr>
        <w:kinsoku/>
        <w:wordWrap/>
        <w:overflowPunct/>
        <w:topLinePunct w:val="0"/>
        <w:autoSpaceDE/>
        <w:autoSpaceDN/>
        <w:bidi w:val="0"/>
        <w:adjustRightInd/>
        <w:snapToGrid/>
        <w:spacing w:after="120" w:line="240" w:lineRule="auto"/>
        <w:ind w:firstLine="480" w:firstLineChars="200"/>
        <w:jc w:val="left"/>
        <w:textAlignment w:val="auto"/>
        <w:rPr>
          <w:rFonts w:hint="eastAsia" w:asciiTheme="minorEastAsia" w:hAnsiTheme="minorEastAsia"/>
          <w:sz w:val="24"/>
          <w:szCs w:val="24"/>
        </w:rPr>
      </w:pPr>
      <w:r>
        <w:rPr>
          <w:rFonts w:hint="eastAsia" w:asciiTheme="minorEastAsia" w:hAnsiTheme="minorEastAsia"/>
          <w:sz w:val="24"/>
          <w:szCs w:val="24"/>
          <w:lang w:val="en-US" w:eastAsia="zh-CN"/>
        </w:rPr>
        <w:t>8.4.</w:t>
      </w:r>
      <w:r>
        <w:rPr>
          <w:rFonts w:hint="eastAsia" w:asciiTheme="minorEastAsia" w:hAnsiTheme="minorEastAsia"/>
          <w:sz w:val="24"/>
          <w:szCs w:val="24"/>
        </w:rPr>
        <w:t>提供一年的质保期（以项目完成并验收合格之日起计算）。保修期内如出现因设计、制造、运输、装卸等原因造成的质量问题，</w:t>
      </w:r>
      <w:r>
        <w:rPr>
          <w:rFonts w:hint="eastAsia" w:asciiTheme="minorEastAsia" w:hAnsiTheme="minorEastAsia"/>
          <w:sz w:val="24"/>
          <w:szCs w:val="24"/>
          <w:lang w:val="en-US" w:eastAsia="zh-CN"/>
        </w:rPr>
        <w:t>成交人</w:t>
      </w:r>
      <w:r>
        <w:rPr>
          <w:rFonts w:hint="eastAsia" w:asciiTheme="minorEastAsia" w:hAnsiTheme="minorEastAsia"/>
          <w:sz w:val="24"/>
          <w:szCs w:val="24"/>
        </w:rPr>
        <w:t>应无偿负责维修、更换。保修期后出现故障，只收取基本维护费用。所需配件应为生产厂家原装配件，其价格应低于市场价。</w:t>
      </w:r>
    </w:p>
    <w:p>
      <w:pPr>
        <w:pStyle w:val="9"/>
        <w:keepNext w:val="0"/>
        <w:keepLines w:val="0"/>
        <w:pageBreakBefore w:val="0"/>
        <w:kinsoku/>
        <w:wordWrap/>
        <w:overflowPunct/>
        <w:topLinePunct w:val="0"/>
        <w:autoSpaceDE/>
        <w:autoSpaceDN/>
        <w:bidi w:val="0"/>
        <w:adjustRightInd/>
        <w:snapToGrid/>
        <w:spacing w:after="120" w:line="240" w:lineRule="auto"/>
        <w:ind w:left="0" w:leftChars="0" w:firstLine="480" w:firstLineChars="200"/>
        <w:textAlignment w:val="auto"/>
        <w:rPr>
          <w:rFonts w:hint="eastAsia" w:asciiTheme="minorEastAsia" w:hAnsiTheme="minorEastAsia"/>
          <w:sz w:val="24"/>
          <w:szCs w:val="24"/>
        </w:rPr>
      </w:pPr>
      <w:r>
        <w:rPr>
          <w:rFonts w:hint="eastAsia" w:asciiTheme="minorEastAsia" w:hAnsiTheme="minorEastAsia"/>
          <w:sz w:val="24"/>
          <w:szCs w:val="24"/>
        </w:rPr>
        <w:t>9</w:t>
      </w:r>
      <w:r>
        <w:rPr>
          <w:rFonts w:hint="eastAsia" w:asciiTheme="minorEastAsia" w:hAnsiTheme="minorEastAsia"/>
          <w:sz w:val="24"/>
          <w:szCs w:val="24"/>
          <w:lang w:val="en-US" w:eastAsia="zh-CN"/>
        </w:rPr>
        <w:t>.</w:t>
      </w:r>
      <w:r>
        <w:rPr>
          <w:rFonts w:hint="eastAsia" w:asciiTheme="minorEastAsia" w:hAnsiTheme="minorEastAsia"/>
          <w:sz w:val="24"/>
          <w:szCs w:val="24"/>
        </w:rPr>
        <w:t>违约责任</w:t>
      </w:r>
    </w:p>
    <w:p>
      <w:pPr>
        <w:keepNext w:val="0"/>
        <w:keepLines w:val="0"/>
        <w:pageBreakBefore w:val="0"/>
        <w:widowControl/>
        <w:kinsoku/>
        <w:wordWrap/>
        <w:overflowPunct/>
        <w:topLinePunct w:val="0"/>
        <w:autoSpaceDE/>
        <w:autoSpaceDN/>
        <w:bidi w:val="0"/>
        <w:adjustRightInd/>
        <w:snapToGrid/>
        <w:spacing w:after="120" w:line="240" w:lineRule="auto"/>
        <w:ind w:firstLine="480" w:firstLineChars="200"/>
        <w:jc w:val="left"/>
        <w:textAlignment w:val="auto"/>
        <w:rPr>
          <w:rFonts w:hint="eastAsia" w:asciiTheme="minorEastAsia" w:hAnsiTheme="minorEastAsia"/>
          <w:sz w:val="24"/>
          <w:szCs w:val="24"/>
        </w:rPr>
      </w:pPr>
      <w:r>
        <w:rPr>
          <w:rFonts w:hint="eastAsia" w:asciiTheme="minorEastAsia" w:hAnsiTheme="minorEastAsia"/>
          <w:sz w:val="24"/>
          <w:szCs w:val="24"/>
          <w:lang w:val="en-US" w:eastAsia="zh-CN"/>
        </w:rPr>
        <w:t>若成交</w:t>
      </w:r>
      <w:r>
        <w:rPr>
          <w:rFonts w:hint="eastAsia" w:asciiTheme="minorEastAsia" w:hAnsiTheme="minorEastAsia"/>
          <w:sz w:val="24"/>
          <w:szCs w:val="24"/>
        </w:rPr>
        <w:t>人未按合同规定供应服务的，每逾期1天，按合同金额的1%支付违约金；若成交人超过规定的交付时间</w:t>
      </w:r>
      <w:r>
        <w:rPr>
          <w:rFonts w:hint="eastAsia" w:asciiTheme="minorEastAsia" w:hAnsiTheme="minorEastAsia"/>
          <w:sz w:val="24"/>
          <w:szCs w:val="24"/>
          <w:lang w:val="en-US" w:eastAsia="zh-CN"/>
        </w:rPr>
        <w:t>30</w:t>
      </w:r>
      <w:r>
        <w:rPr>
          <w:rFonts w:hint="eastAsia" w:asciiTheme="minorEastAsia" w:hAnsiTheme="minorEastAsia"/>
          <w:sz w:val="24"/>
          <w:szCs w:val="24"/>
        </w:rPr>
        <w:t>天后，采购人有权解除合同。</w:t>
      </w:r>
    </w:p>
    <w:p>
      <w:pPr>
        <w:keepNext w:val="0"/>
        <w:keepLines w:val="0"/>
        <w:pageBreakBefore w:val="0"/>
        <w:widowControl/>
        <w:kinsoku/>
        <w:wordWrap/>
        <w:topLinePunct w:val="0"/>
        <w:bidi w:val="0"/>
        <w:snapToGrid/>
        <w:spacing w:after="120" w:line="240" w:lineRule="auto"/>
        <w:jc w:val="left"/>
        <w:rPr>
          <w:rFonts w:cs="宋体" w:asciiTheme="minorEastAsia" w:hAnsiTheme="minorEastAsia"/>
          <w:b/>
          <w:kern w:val="0"/>
          <w:sz w:val="24"/>
          <w:szCs w:val="24"/>
        </w:rPr>
      </w:pPr>
      <w:r>
        <w:rPr>
          <w:rFonts w:cs="宋体" w:asciiTheme="minorEastAsia" w:hAnsiTheme="minorEastAsia"/>
          <w:b/>
          <w:kern w:val="0"/>
          <w:sz w:val="24"/>
          <w:szCs w:val="24"/>
        </w:rPr>
        <w:t>四、其他事项</w:t>
      </w:r>
    </w:p>
    <w:p>
      <w:pPr>
        <w:pStyle w:val="2"/>
        <w:keepNext w:val="0"/>
        <w:keepLines w:val="0"/>
        <w:pageBreakBefore w:val="0"/>
        <w:widowControl w:val="0"/>
        <w:kinsoku/>
        <w:wordWrap/>
        <w:overflowPunct w:val="0"/>
        <w:topLinePunct w:val="0"/>
        <w:autoSpaceDE w:val="0"/>
        <w:autoSpaceDN w:val="0"/>
        <w:bidi w:val="0"/>
        <w:adjustRightInd w:val="0"/>
        <w:snapToGrid/>
        <w:spacing w:after="120" w:line="240" w:lineRule="auto"/>
        <w:ind w:firstLine="480" w:firstLineChars="200"/>
        <w:textAlignment w:val="baseline"/>
      </w:pPr>
      <w:r>
        <w:rPr>
          <w:rFonts w:hint="eastAsia" w:asciiTheme="minorEastAsia" w:hAnsiTheme="minorEastAsia" w:eastAsiaTheme="minorEastAsia" w:cstheme="minorBidi"/>
          <w:kern w:val="2"/>
          <w:sz w:val="24"/>
          <w:szCs w:val="24"/>
          <w:lang w:val="en-US" w:eastAsia="zh-CN" w:bidi="ar-SA"/>
        </w:rPr>
        <w:t>除招标文件另有规定外，若出现有关法律、法规和规章有强制性规定但招标文件未列明的情形，则成交人应按照有关法律、法规和规章强制性规定执行。</w:t>
      </w:r>
    </w:p>
    <w:p>
      <w:pPr>
        <w:pStyle w:val="2"/>
        <w:keepNext w:val="0"/>
        <w:keepLines w:val="0"/>
        <w:pageBreakBefore w:val="0"/>
        <w:kinsoku/>
        <w:wordWrap/>
        <w:topLinePunct w:val="0"/>
        <w:bidi w:val="0"/>
        <w:snapToGrid/>
        <w:spacing w:after="120" w:line="240" w:lineRule="auto"/>
      </w:pPr>
    </w:p>
    <w:p>
      <w:pPr>
        <w:pStyle w:val="2"/>
        <w:keepNext w:val="0"/>
        <w:keepLines w:val="0"/>
        <w:pageBreakBefore w:val="0"/>
        <w:kinsoku/>
        <w:wordWrap/>
        <w:topLinePunct w:val="0"/>
        <w:bidi w:val="0"/>
        <w:snapToGrid/>
        <w:spacing w:after="120" w:line="240" w:lineRule="auto"/>
      </w:pPr>
    </w:p>
    <w:p>
      <w:pPr>
        <w:pStyle w:val="2"/>
        <w:keepNext w:val="0"/>
        <w:keepLines w:val="0"/>
        <w:pageBreakBefore w:val="0"/>
        <w:kinsoku/>
        <w:wordWrap/>
        <w:topLinePunct w:val="0"/>
        <w:bidi w:val="0"/>
        <w:snapToGrid/>
        <w:spacing w:after="120" w:line="240" w:lineRule="auto"/>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3ZjZlNmY1ZjQ5NDE3YTBhZWRlMzIyNzQxNzFjM2EifQ=="/>
  </w:docVars>
  <w:rsids>
    <w:rsidRoot w:val="00000000"/>
    <w:rsid w:val="281D3084"/>
    <w:rsid w:val="2BDD2BBD"/>
    <w:rsid w:val="50DC1E11"/>
    <w:rsid w:val="707C67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9"/>
    <w:pPr>
      <w:keepNext/>
      <w:keepLines/>
      <w:spacing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2">
    <w:name w:val="Fließtext"/>
    <w:basedOn w:val="1"/>
    <w:qFormat/>
    <w:uiPriority w:val="0"/>
    <w:pPr>
      <w:overflowPunct w:val="0"/>
      <w:autoSpaceDE w:val="0"/>
      <w:autoSpaceDN w:val="0"/>
      <w:adjustRightInd w:val="0"/>
      <w:textAlignment w:val="baseline"/>
    </w:pPr>
    <w:rPr>
      <w:kern w:val="28"/>
      <w:szCs w:val="20"/>
    </w:rPr>
  </w:style>
  <w:style w:type="paragraph" w:styleId="4">
    <w:name w:val="Normal Indent"/>
    <w:basedOn w:val="1"/>
    <w:qFormat/>
    <w:uiPriority w:val="0"/>
    <w:pPr>
      <w:ind w:firstLine="420"/>
    </w:p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List Paragraph"/>
    <w:basedOn w:val="1"/>
    <w:qFormat/>
    <w:uiPriority w:val="34"/>
    <w:pPr>
      <w:ind w:firstLine="420" w:firstLineChars="200"/>
    </w:pPr>
  </w:style>
  <w:style w:type="paragraph" w:customStyle="1" w:styleId="9">
    <w:name w:val="1-正文"/>
    <w:basedOn w:val="1"/>
    <w:qFormat/>
    <w:uiPriority w:val="0"/>
    <w:pPr>
      <w:spacing w:line="360" w:lineRule="auto"/>
      <w:ind w:firstLine="200" w:firstLineChars="200"/>
    </w:pPr>
    <w:rPr>
      <w:rFonts w:ascii="Times New Roman" w:hAnsi="Times New Roman" w:eastAsia="宋体"/>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4996</Words>
  <Characters>5149</Characters>
  <Lines>0</Lines>
  <Paragraphs>0</Paragraphs>
  <TotalTime>0</TotalTime>
  <ScaleCrop>false</ScaleCrop>
  <LinksUpToDate>false</LinksUpToDate>
  <CharactersWithSpaces>5196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2023-04-17T03:09:00Z</dcterms:created>
  <dc:creator>A</dc:creator>
  <cp:lastModifiedBy>混世大魔王</cp:lastModifiedBy>
  <dcterms:modified xsi:type="dcterms:W3CDTF">2023-06-06T02:01:04Z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366519BA92224C7893E1FE8C4B4EF390_12</vt:lpwstr>
  </property>
</Properties>
</file>