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b/>
          <w:sz w:val="36"/>
          <w:szCs w:val="36"/>
          <w:lang w:eastAsia="zh-CN"/>
        </w:rPr>
      </w:pPr>
      <w:r>
        <w:rPr>
          <w:rFonts w:hint="eastAsia"/>
          <w:b/>
          <w:sz w:val="36"/>
          <w:szCs w:val="36"/>
          <w:lang w:eastAsia="zh-CN"/>
        </w:rPr>
        <w:t>管弦乐</w:t>
      </w:r>
      <w:r>
        <w:rPr>
          <w:rFonts w:hint="eastAsia"/>
          <w:b/>
          <w:sz w:val="36"/>
          <w:szCs w:val="36"/>
        </w:rPr>
        <w:t>乐器采购项目</w:t>
      </w:r>
      <w:r>
        <w:rPr>
          <w:rFonts w:hint="eastAsia"/>
          <w:b/>
          <w:sz w:val="36"/>
          <w:szCs w:val="36"/>
          <w:lang w:eastAsia="zh-CN"/>
        </w:rPr>
        <w:t>参数</w:t>
      </w:r>
    </w:p>
    <w:p>
      <w:pPr>
        <w:widowControl/>
        <w:spacing w:before="39" w:after="39" w:line="323" w:lineRule="atLeast"/>
        <w:jc w:val="left"/>
        <w:rPr>
          <w:rFonts w:ascii="宋体" w:hAnsi="宋体" w:eastAsia="宋体" w:cs="宋体"/>
          <w:kern w:val="0"/>
          <w:sz w:val="24"/>
          <w:szCs w:val="24"/>
        </w:rPr>
      </w:pPr>
      <w:r>
        <w:rPr>
          <w:rFonts w:hint="eastAsia" w:ascii="宋体" w:hAnsi="宋体" w:eastAsia="宋体" w:cs="宋体"/>
          <w:b/>
          <w:bCs/>
          <w:kern w:val="0"/>
          <w:sz w:val="16"/>
        </w:rPr>
        <w:t>本章</w:t>
      </w:r>
      <w:r>
        <w:rPr>
          <w:rFonts w:hint="eastAsia" w:ascii="宋体" w:hAnsi="宋体" w:eastAsia="宋体" w:cs="宋体"/>
          <w:b/>
          <w:bCs/>
          <w:color w:val="000000"/>
          <w:kern w:val="0"/>
          <w:sz w:val="16"/>
          <w:szCs w:val="16"/>
        </w:rPr>
        <w:t>技术规格指标</w:t>
      </w:r>
      <w:r>
        <w:rPr>
          <w:rFonts w:hint="eastAsia" w:ascii="宋体" w:hAnsi="宋体" w:eastAsia="宋体" w:cs="宋体"/>
          <w:b/>
          <w:bCs/>
          <w:kern w:val="0"/>
          <w:sz w:val="16"/>
        </w:rPr>
        <w:t>要求中未作出幅度（如：大于、小于等）表述的尺寸、重量、体积的，允许的偏离范围为-1%～1%。</w:t>
      </w:r>
    </w:p>
    <w:tbl>
      <w:tblPr>
        <w:tblStyle w:val="5"/>
        <w:tblW w:w="6155" w:type="pct"/>
        <w:tblInd w:w="-743" w:type="dxa"/>
        <w:tblLayout w:type="fixed"/>
        <w:tblCellMar>
          <w:top w:w="0" w:type="dxa"/>
          <w:left w:w="108" w:type="dxa"/>
          <w:bottom w:w="0" w:type="dxa"/>
          <w:right w:w="108" w:type="dxa"/>
        </w:tblCellMar>
      </w:tblPr>
      <w:tblGrid>
        <w:gridCol w:w="427"/>
        <w:gridCol w:w="992"/>
        <w:gridCol w:w="709"/>
        <w:gridCol w:w="426"/>
        <w:gridCol w:w="835"/>
        <w:gridCol w:w="885"/>
        <w:gridCol w:w="3668"/>
        <w:gridCol w:w="2549"/>
      </w:tblGrid>
      <w:tr>
        <w:tblPrEx>
          <w:tblCellMar>
            <w:top w:w="0" w:type="dxa"/>
            <w:left w:w="108" w:type="dxa"/>
            <w:bottom w:w="0" w:type="dxa"/>
            <w:right w:w="108" w:type="dxa"/>
          </w:tblCellMar>
        </w:tblPrEx>
        <w:trPr>
          <w:trHeight w:val="599" w:hRule="atLeast"/>
        </w:trPr>
        <w:tc>
          <w:tcPr>
            <w:tcW w:w="20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auto"/>
                <w:kern w:val="0"/>
                <w:sz w:val="22"/>
              </w:rPr>
            </w:pPr>
            <w:bookmarkStart w:id="0" w:name="_GoBack"/>
            <w:r>
              <w:rPr>
                <w:rFonts w:hint="eastAsia" w:ascii="宋体" w:hAnsi="宋体" w:eastAsia="宋体" w:cs="宋体"/>
                <w:b/>
                <w:bCs/>
                <w:color w:val="auto"/>
                <w:kern w:val="0"/>
                <w:sz w:val="22"/>
              </w:rPr>
              <w:t>序号</w:t>
            </w:r>
          </w:p>
        </w:tc>
        <w:tc>
          <w:tcPr>
            <w:tcW w:w="47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auto"/>
                <w:kern w:val="0"/>
                <w:sz w:val="22"/>
              </w:rPr>
            </w:pPr>
            <w:r>
              <w:rPr>
                <w:rFonts w:hint="eastAsia" w:ascii="宋体" w:hAnsi="宋体" w:eastAsia="宋体" w:cs="宋体"/>
                <w:b/>
                <w:bCs/>
                <w:color w:val="auto"/>
                <w:kern w:val="0"/>
                <w:sz w:val="22"/>
              </w:rPr>
              <w:t>品牌</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auto"/>
                <w:kern w:val="0"/>
                <w:sz w:val="22"/>
              </w:rPr>
            </w:pPr>
            <w:r>
              <w:rPr>
                <w:rFonts w:hint="eastAsia" w:ascii="宋体" w:hAnsi="宋体" w:eastAsia="宋体" w:cs="宋体"/>
                <w:b/>
                <w:bCs/>
                <w:color w:val="auto"/>
                <w:kern w:val="0"/>
                <w:sz w:val="22"/>
              </w:rPr>
              <w:t>货物名称</w:t>
            </w:r>
          </w:p>
        </w:tc>
        <w:tc>
          <w:tcPr>
            <w:tcW w:w="203"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auto"/>
                <w:kern w:val="0"/>
                <w:sz w:val="22"/>
              </w:rPr>
            </w:pPr>
            <w:r>
              <w:rPr>
                <w:rFonts w:hint="eastAsia" w:ascii="宋体" w:hAnsi="宋体" w:eastAsia="宋体" w:cs="宋体"/>
                <w:b/>
                <w:bCs/>
                <w:color w:val="auto"/>
                <w:kern w:val="0"/>
                <w:sz w:val="22"/>
              </w:rPr>
              <w:t>单位</w:t>
            </w:r>
          </w:p>
        </w:tc>
        <w:tc>
          <w:tcPr>
            <w:tcW w:w="397"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auto"/>
                <w:kern w:val="0"/>
                <w:sz w:val="22"/>
              </w:rPr>
            </w:pPr>
            <w:r>
              <w:rPr>
                <w:rFonts w:hint="eastAsia" w:ascii="宋体" w:hAnsi="宋体" w:eastAsia="宋体" w:cs="宋体"/>
                <w:b/>
                <w:bCs/>
                <w:color w:val="auto"/>
                <w:kern w:val="0"/>
                <w:sz w:val="22"/>
              </w:rPr>
              <w:t>单价</w:t>
            </w:r>
          </w:p>
        </w:tc>
        <w:tc>
          <w:tcPr>
            <w:tcW w:w="421"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auto"/>
                <w:kern w:val="0"/>
                <w:sz w:val="22"/>
              </w:rPr>
            </w:pPr>
            <w:r>
              <w:rPr>
                <w:rFonts w:hint="eastAsia" w:ascii="宋体" w:hAnsi="宋体" w:eastAsia="宋体" w:cs="宋体"/>
                <w:b/>
                <w:bCs/>
                <w:color w:val="auto"/>
                <w:kern w:val="0"/>
                <w:sz w:val="22"/>
              </w:rPr>
              <w:t>金额</w:t>
            </w:r>
          </w:p>
        </w:tc>
        <w:tc>
          <w:tcPr>
            <w:tcW w:w="1748" w:type="pct"/>
            <w:tcBorders>
              <w:top w:val="single" w:color="auto" w:sz="4" w:space="0"/>
              <w:left w:val="nil"/>
              <w:bottom w:val="single" w:color="auto" w:sz="4" w:space="0"/>
              <w:right w:val="single" w:color="auto" w:sz="8" w:space="0"/>
            </w:tcBorders>
            <w:shd w:val="clear" w:color="auto" w:fill="auto"/>
            <w:noWrap/>
            <w:vAlign w:val="center"/>
          </w:tcPr>
          <w:p>
            <w:pPr>
              <w:widowControl/>
              <w:jc w:val="center"/>
              <w:rPr>
                <w:rFonts w:ascii="宋体" w:hAnsi="宋体" w:eastAsia="宋体" w:cs="宋体"/>
                <w:b/>
                <w:bCs/>
                <w:color w:val="auto"/>
                <w:kern w:val="0"/>
                <w:sz w:val="22"/>
              </w:rPr>
            </w:pPr>
            <w:r>
              <w:rPr>
                <w:rFonts w:hint="eastAsia" w:ascii="宋体" w:hAnsi="宋体" w:eastAsia="宋体" w:cs="宋体"/>
                <w:b/>
                <w:bCs/>
                <w:color w:val="auto"/>
                <w:kern w:val="0"/>
                <w:sz w:val="22"/>
              </w:rPr>
              <w:t>技术规格指标</w:t>
            </w:r>
          </w:p>
        </w:tc>
        <w:tc>
          <w:tcPr>
            <w:tcW w:w="1214" w:type="pct"/>
            <w:tcBorders>
              <w:top w:val="single" w:color="auto" w:sz="4" w:space="0"/>
              <w:left w:val="nil"/>
              <w:bottom w:val="single" w:color="auto" w:sz="4" w:space="0"/>
              <w:right w:val="single" w:color="auto" w:sz="8" w:space="0"/>
            </w:tcBorders>
            <w:vAlign w:val="center"/>
          </w:tcPr>
          <w:p>
            <w:pPr>
              <w:widowControl/>
              <w:jc w:val="center"/>
              <w:rPr>
                <w:rFonts w:ascii="宋体" w:hAnsi="宋体" w:eastAsia="宋体" w:cs="宋体"/>
                <w:b/>
                <w:bCs/>
                <w:color w:val="auto"/>
                <w:kern w:val="0"/>
                <w:sz w:val="22"/>
              </w:rPr>
            </w:pPr>
            <w:r>
              <w:rPr>
                <w:rFonts w:hint="eastAsia" w:ascii="宋体" w:hAnsi="宋体" w:eastAsia="宋体" w:cs="宋体"/>
                <w:b/>
                <w:bCs/>
                <w:color w:val="auto"/>
                <w:kern w:val="0"/>
                <w:sz w:val="22"/>
              </w:rPr>
              <w:t>参考图片</w:t>
            </w:r>
          </w:p>
        </w:tc>
      </w:tr>
      <w:tr>
        <w:tblPrEx>
          <w:tblCellMar>
            <w:top w:w="0" w:type="dxa"/>
            <w:left w:w="108" w:type="dxa"/>
            <w:bottom w:w="0" w:type="dxa"/>
            <w:right w:w="108" w:type="dxa"/>
          </w:tblCellMar>
        </w:tblPrEx>
        <w:trPr>
          <w:trHeight w:val="599" w:hRule="atLeast"/>
        </w:trPr>
        <w:tc>
          <w:tcPr>
            <w:tcW w:w="20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1</w:t>
            </w:r>
          </w:p>
        </w:tc>
        <w:tc>
          <w:tcPr>
            <w:tcW w:w="47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雅马哈、杰普特、津宝</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木琴</w:t>
            </w:r>
          </w:p>
        </w:tc>
        <w:tc>
          <w:tcPr>
            <w:tcW w:w="203"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1套</w:t>
            </w:r>
          </w:p>
        </w:tc>
        <w:tc>
          <w:tcPr>
            <w:tcW w:w="397"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4500</w:t>
            </w:r>
          </w:p>
        </w:tc>
        <w:tc>
          <w:tcPr>
            <w:tcW w:w="421"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4500</w:t>
            </w:r>
          </w:p>
        </w:tc>
        <w:tc>
          <w:tcPr>
            <w:tcW w:w="1748" w:type="pct"/>
            <w:tcBorders>
              <w:top w:val="nil"/>
              <w:left w:val="nil"/>
              <w:bottom w:val="single" w:color="auto" w:sz="4" w:space="0"/>
              <w:right w:val="single" w:color="auto" w:sz="8"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木琴音域：C5-C8  3八度，音板：非洲红木，定音：A=442Hz，高度：750-990mm，长度：1150mm，宽度：575mm，配有专用的木琴槌。免费保修壹年.</w:t>
            </w:r>
          </w:p>
        </w:tc>
        <w:tc>
          <w:tcPr>
            <w:tcW w:w="1214" w:type="pct"/>
            <w:tcBorders>
              <w:top w:val="nil"/>
              <w:left w:val="nil"/>
              <w:bottom w:val="single" w:color="auto" w:sz="4" w:space="0"/>
              <w:right w:val="single" w:color="auto" w:sz="8" w:space="0"/>
            </w:tcBorders>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drawing>
                <wp:inline distT="0" distB="0" distL="0" distR="0">
                  <wp:extent cx="1494790" cy="1382395"/>
                  <wp:effectExtent l="1905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noChangeArrowheads="1"/>
                          </pic:cNvPicPr>
                        </pic:nvPicPr>
                        <pic:blipFill>
                          <a:blip r:embed="rId4" cstate="print"/>
                          <a:srcRect/>
                          <a:stretch>
                            <a:fillRect/>
                          </a:stretch>
                        </pic:blipFill>
                        <pic:spPr>
                          <a:xfrm>
                            <a:off x="0" y="0"/>
                            <a:ext cx="1502557" cy="1389380"/>
                          </a:xfrm>
                          <a:prstGeom prst="rect">
                            <a:avLst/>
                          </a:prstGeom>
                          <a:noFill/>
                          <a:ln w="9525">
                            <a:noFill/>
                            <a:miter lim="800000"/>
                            <a:headEnd/>
                            <a:tailEnd/>
                          </a:ln>
                        </pic:spPr>
                      </pic:pic>
                    </a:graphicData>
                  </a:graphic>
                </wp:inline>
              </w:drawing>
            </w:r>
          </w:p>
        </w:tc>
      </w:tr>
      <w:tr>
        <w:tblPrEx>
          <w:tblCellMar>
            <w:top w:w="0" w:type="dxa"/>
            <w:left w:w="108" w:type="dxa"/>
            <w:bottom w:w="0" w:type="dxa"/>
            <w:right w:w="108" w:type="dxa"/>
          </w:tblCellMar>
        </w:tblPrEx>
        <w:trPr>
          <w:trHeight w:val="599" w:hRule="atLeast"/>
        </w:trPr>
        <w:tc>
          <w:tcPr>
            <w:tcW w:w="20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2</w:t>
            </w:r>
          </w:p>
        </w:tc>
        <w:tc>
          <w:tcPr>
            <w:tcW w:w="47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雅马哈、杰普特、津宝</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eastAsia="宋体" w:cs="宋体"/>
                <w:color w:val="auto"/>
                <w:kern w:val="0"/>
                <w:sz w:val="22"/>
              </w:rPr>
            </w:pPr>
            <w:r>
              <w:rPr>
                <w:rFonts w:hint="eastAsia" w:ascii="宋体" w:hAnsi="宋体" w:eastAsia="宋体" w:cs="宋体"/>
                <w:color w:val="auto"/>
                <w:kern w:val="0"/>
                <w:sz w:val="22"/>
              </w:rPr>
              <w:t>定音鼓（核心产品）</w:t>
            </w:r>
          </w:p>
        </w:tc>
        <w:tc>
          <w:tcPr>
            <w:tcW w:w="203"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2个</w:t>
            </w:r>
          </w:p>
        </w:tc>
        <w:tc>
          <w:tcPr>
            <w:tcW w:w="397"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25000</w:t>
            </w:r>
          </w:p>
        </w:tc>
        <w:tc>
          <w:tcPr>
            <w:tcW w:w="421"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50000</w:t>
            </w:r>
          </w:p>
        </w:tc>
        <w:tc>
          <w:tcPr>
            <w:tcW w:w="1748" w:type="pct"/>
            <w:tcBorders>
              <w:top w:val="nil"/>
              <w:left w:val="nil"/>
              <w:bottom w:val="single" w:color="auto" w:sz="4" w:space="0"/>
              <w:right w:val="single" w:color="auto" w:sz="8"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Helvetica"/>
                <w:color w:val="auto"/>
                <w:kern w:val="0"/>
                <w:sz w:val="22"/>
              </w:rPr>
              <w:t>定音鼓技术规格：TC0521，鼓腔采用专用的紫铜打造而成，支架采用超强铝合金，鼓圈采用优质碳素结构钢板；鼓肚:圆弧形紫铜肚材质，圆弧形音色轻柔优美。踏板及脚架：独特的平衡弹簧系统让踏板动作格外轻盈；脚轮：利于运输时便利及演奏时的固定安全。技术规格尺寸： 26”,29”2个一套定音鼓。精选优质的鼓皮，搭配鼓框，以保持其轻盈性。供应铜肚鼓肚。其悠美音色为寻找轻盈但又具有专业音色之表演者，提供了最佳选择。定音鼓能提供精确及稳定性。脚轮及踏板系统，结合精确的调音机构，配有专业的鼓槌。</w:t>
            </w:r>
            <w:r>
              <w:rPr>
                <w:rFonts w:hint="eastAsia" w:ascii="宋体" w:hAnsi="宋体" w:eastAsia="宋体" w:cs="宋体"/>
                <w:color w:val="auto"/>
                <w:kern w:val="0"/>
                <w:sz w:val="22"/>
              </w:rPr>
              <w:t>免费保修壹年.</w:t>
            </w:r>
          </w:p>
        </w:tc>
        <w:tc>
          <w:tcPr>
            <w:tcW w:w="1214" w:type="pct"/>
            <w:tcBorders>
              <w:top w:val="nil"/>
              <w:left w:val="nil"/>
              <w:bottom w:val="single" w:color="auto" w:sz="4" w:space="0"/>
              <w:right w:val="single" w:color="auto" w:sz="8" w:space="0"/>
            </w:tcBorders>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drawing>
                <wp:inline distT="0" distB="0" distL="0" distR="0">
                  <wp:extent cx="1310640" cy="1027430"/>
                  <wp:effectExtent l="19050" t="0" r="3810" b="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noChangeArrowheads="1"/>
                          </pic:cNvPicPr>
                        </pic:nvPicPr>
                        <pic:blipFill>
                          <a:blip r:embed="rId5" cstate="print"/>
                          <a:srcRect/>
                          <a:stretch>
                            <a:fillRect/>
                          </a:stretch>
                        </pic:blipFill>
                        <pic:spPr>
                          <a:xfrm>
                            <a:off x="0" y="0"/>
                            <a:ext cx="1310640" cy="1027430"/>
                          </a:xfrm>
                          <a:prstGeom prst="rect">
                            <a:avLst/>
                          </a:prstGeom>
                          <a:noFill/>
                          <a:ln w="9525">
                            <a:noFill/>
                            <a:miter lim="800000"/>
                            <a:headEnd/>
                            <a:tailEnd/>
                          </a:ln>
                        </pic:spPr>
                      </pic:pic>
                    </a:graphicData>
                  </a:graphic>
                </wp:inline>
              </w:drawing>
            </w:r>
          </w:p>
        </w:tc>
      </w:tr>
      <w:tr>
        <w:tblPrEx>
          <w:tblCellMar>
            <w:top w:w="0" w:type="dxa"/>
            <w:left w:w="108" w:type="dxa"/>
            <w:bottom w:w="0" w:type="dxa"/>
            <w:right w:w="108" w:type="dxa"/>
          </w:tblCellMar>
        </w:tblPrEx>
        <w:trPr>
          <w:trHeight w:val="599" w:hRule="atLeast"/>
        </w:trPr>
        <w:tc>
          <w:tcPr>
            <w:tcW w:w="20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3</w:t>
            </w:r>
          </w:p>
        </w:tc>
        <w:tc>
          <w:tcPr>
            <w:tcW w:w="47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雅马哈、杰普特、威柏尔</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双簧管</w:t>
            </w:r>
          </w:p>
        </w:tc>
        <w:tc>
          <w:tcPr>
            <w:tcW w:w="203"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1把</w:t>
            </w:r>
          </w:p>
        </w:tc>
        <w:tc>
          <w:tcPr>
            <w:tcW w:w="397"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12000</w:t>
            </w:r>
          </w:p>
        </w:tc>
        <w:tc>
          <w:tcPr>
            <w:tcW w:w="421"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12000</w:t>
            </w:r>
          </w:p>
        </w:tc>
        <w:tc>
          <w:tcPr>
            <w:tcW w:w="1748" w:type="pct"/>
            <w:tcBorders>
              <w:top w:val="nil"/>
              <w:left w:val="nil"/>
              <w:bottom w:val="single" w:color="auto" w:sz="4" w:space="0"/>
              <w:right w:val="single" w:color="auto" w:sz="8"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乐器专用木塑合成管体，技术规格：VOB-B26，按键是白铜的材质，表面镀银，长度：</w:t>
            </w:r>
            <w:r>
              <w:rPr>
                <w:rFonts w:hint="eastAsia"/>
                <w:color w:val="auto"/>
              </w:rPr>
              <w:t>≥</w:t>
            </w:r>
            <w:r>
              <w:rPr>
                <w:rFonts w:hint="eastAsia" w:ascii="宋体" w:hAnsi="宋体" w:eastAsia="宋体" w:cs="宋体"/>
                <w:color w:val="auto"/>
                <w:kern w:val="0"/>
                <w:sz w:val="22"/>
              </w:rPr>
              <w:t>606毫米，喇叭口内径：</w:t>
            </w:r>
            <w:r>
              <w:rPr>
                <w:rFonts w:hint="eastAsia"/>
                <w:color w:val="auto"/>
              </w:rPr>
              <w:t>≥</w:t>
            </w:r>
            <w:r>
              <w:rPr>
                <w:rFonts w:hint="eastAsia" w:ascii="宋体" w:hAnsi="宋体" w:eastAsia="宋体" w:cs="宋体"/>
                <w:color w:val="auto"/>
                <w:kern w:val="0"/>
                <w:sz w:val="22"/>
              </w:rPr>
              <w:t>36毫米，软木垫，管身刻全国唯一认证码，轻体帆布箱包，各音音准允许误差</w:t>
            </w:r>
            <w:r>
              <w:rPr>
                <w:rFonts w:hint="eastAsia"/>
                <w:color w:val="auto"/>
              </w:rPr>
              <w:t>≤0～+14音分，最大允许误差之差≤14音分，相邻两音音准误差之差≤10音分，装配及工艺：插接：插接长度≥15.7～16.8mm，配合间隙：键管与键柱端面最大间隙：≤0.10mm，键棍与键柱端面最大间隙：≤0.16mm，</w:t>
            </w:r>
            <w:r>
              <w:rPr>
                <w:rFonts w:hint="eastAsia" w:cs="宋体" w:asciiTheme="minorEastAsia" w:hAnsiTheme="minorEastAsia"/>
                <w:color w:val="auto"/>
                <w:kern w:val="0"/>
                <w:szCs w:val="21"/>
              </w:rPr>
              <w:t>响应文件中需具有国家认可的具备检测资格的检测机构出具的检验报告复印件</w:t>
            </w:r>
            <w:r>
              <w:rPr>
                <w:rFonts w:hint="eastAsia" w:ascii="宋体" w:hAnsi="宋体" w:eastAsia="宋体" w:cs="宋体"/>
                <w:color w:val="auto"/>
                <w:kern w:val="0"/>
                <w:sz w:val="22"/>
              </w:rPr>
              <w:t>，免费保修壹年.</w:t>
            </w:r>
          </w:p>
        </w:tc>
        <w:tc>
          <w:tcPr>
            <w:tcW w:w="1214" w:type="pct"/>
            <w:tcBorders>
              <w:top w:val="nil"/>
              <w:left w:val="nil"/>
              <w:bottom w:val="single" w:color="auto" w:sz="4" w:space="0"/>
              <w:right w:val="single" w:color="auto" w:sz="8" w:space="0"/>
            </w:tcBorders>
            <w:vAlign w:val="center"/>
          </w:tcPr>
          <w:p>
            <w:pPr>
              <w:widowControl/>
              <w:jc w:val="center"/>
              <w:rPr>
                <w:rFonts w:ascii="宋体" w:hAnsi="宋体" w:eastAsia="宋体" w:cs="宋体"/>
                <w:color w:val="auto"/>
                <w:kern w:val="0"/>
                <w:sz w:val="22"/>
              </w:rPr>
            </w:pPr>
            <w:r>
              <w:rPr>
                <w:rFonts w:ascii="宋体" w:hAnsi="宋体" w:eastAsia="宋体" w:cs="宋体"/>
                <w:color w:val="auto"/>
                <w:kern w:val="0"/>
                <w:sz w:val="22"/>
              </w:rPr>
              <w:drawing>
                <wp:inline distT="0" distB="0" distL="0" distR="0">
                  <wp:extent cx="635635" cy="2573655"/>
                  <wp:effectExtent l="19050" t="0" r="0" b="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noChangeArrowheads="1"/>
                          </pic:cNvPicPr>
                        </pic:nvPicPr>
                        <pic:blipFill>
                          <a:blip r:embed="rId6" cstate="print"/>
                          <a:srcRect/>
                          <a:stretch>
                            <a:fillRect/>
                          </a:stretch>
                        </pic:blipFill>
                        <pic:spPr>
                          <a:xfrm>
                            <a:off x="0" y="0"/>
                            <a:ext cx="639445" cy="2586657"/>
                          </a:xfrm>
                          <a:prstGeom prst="rect">
                            <a:avLst/>
                          </a:prstGeom>
                          <a:noFill/>
                          <a:ln w="9525">
                            <a:noFill/>
                            <a:miter lim="800000"/>
                            <a:headEnd/>
                            <a:tailEnd/>
                          </a:ln>
                        </pic:spPr>
                      </pic:pic>
                    </a:graphicData>
                  </a:graphic>
                </wp:inline>
              </w:drawing>
            </w:r>
          </w:p>
        </w:tc>
      </w:tr>
      <w:tr>
        <w:tblPrEx>
          <w:tblCellMar>
            <w:top w:w="0" w:type="dxa"/>
            <w:left w:w="108" w:type="dxa"/>
            <w:bottom w:w="0" w:type="dxa"/>
            <w:right w:w="108" w:type="dxa"/>
          </w:tblCellMar>
        </w:tblPrEx>
        <w:trPr>
          <w:trHeight w:val="599" w:hRule="atLeast"/>
        </w:trPr>
        <w:tc>
          <w:tcPr>
            <w:tcW w:w="20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4</w:t>
            </w:r>
          </w:p>
        </w:tc>
        <w:tc>
          <w:tcPr>
            <w:tcW w:w="47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雅马哈、杰普特、威柏尔</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双排圆号</w:t>
            </w:r>
          </w:p>
        </w:tc>
        <w:tc>
          <w:tcPr>
            <w:tcW w:w="203"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2把</w:t>
            </w:r>
          </w:p>
        </w:tc>
        <w:tc>
          <w:tcPr>
            <w:tcW w:w="397"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6500</w:t>
            </w:r>
          </w:p>
        </w:tc>
        <w:tc>
          <w:tcPr>
            <w:tcW w:w="421"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13000</w:t>
            </w:r>
          </w:p>
        </w:tc>
        <w:tc>
          <w:tcPr>
            <w:tcW w:w="1748" w:type="pct"/>
            <w:tcBorders>
              <w:top w:val="nil"/>
              <w:left w:val="nil"/>
              <w:bottom w:val="single" w:color="auto" w:sz="4" w:space="0"/>
              <w:right w:val="single" w:color="auto" w:sz="8" w:space="0"/>
            </w:tcBorders>
            <w:shd w:val="clear" w:color="auto" w:fill="auto"/>
            <w:noWrap/>
            <w:vAlign w:val="center"/>
          </w:tcPr>
          <w:p>
            <w:pPr>
              <w:widowControl/>
              <w:jc w:val="center"/>
              <w:rPr>
                <w:rFonts w:cs="宋体" w:asciiTheme="minorEastAsia" w:hAnsiTheme="minorEastAsia"/>
                <w:color w:val="auto"/>
                <w:kern w:val="0"/>
                <w:szCs w:val="21"/>
              </w:rPr>
            </w:pPr>
            <w:r>
              <w:rPr>
                <w:rFonts w:hint="eastAsia"/>
                <w:color w:val="auto"/>
              </w:rPr>
              <w:t>乐器专用进口黄铜管体，喇叭口分离式，双排。表面漆金。管径：≥12毫米，口径：≥311毫米。</w:t>
            </w:r>
            <w:r>
              <w:rPr>
                <w:rFonts w:hint="eastAsia" w:ascii="宋体" w:hAnsi="宋体" w:eastAsia="宋体" w:cs="宋体"/>
                <w:color w:val="auto"/>
                <w:kern w:val="0"/>
                <w:sz w:val="22"/>
              </w:rPr>
              <w:t>技术规格：VHR-H81,</w:t>
            </w:r>
            <w:r>
              <w:rPr>
                <w:rFonts w:hint="eastAsia"/>
                <w:color w:val="auto"/>
              </w:rPr>
              <w:t>焊接采用国际标准冷焊接技术，管身刻全国唯一认证码，轻体帆布箱包。声学品质：各音允许误差：≤+1～+8音分，最大允许误差之差≤7音分，相邻两音误差之差：≤6音分，演奏性能：阀键启动负荷：阀键1≥2.9N, 阀键2≥2.8N, 阀键3≥2.8N, 阀键4≥2.8N,阀键到底负荷：阀键1≤3.0N, 阀键2≤3.0N, 阀键3≤3.0N, 阀键4≤3.0N,各阀键之间按动到底最大负荷差：≤0N,工艺：调音管内外配合间隙≤0.040、0.010mm，附管内外配合间隙：附管1≤0.050、0.030mm，附管2≤0.049、0.041mm，附管3≤0.020、0.041mm，附管4≤0.041、0.071mm，阀键耐久性：≤0.1N,外观：表面粗糙度：附管内外配合面≤0.418～0.772um，调音管：≤0.605～0.697um</w:t>
            </w:r>
            <w:r>
              <w:rPr>
                <w:rFonts w:cs="宋体" w:asciiTheme="minorEastAsia" w:hAnsiTheme="minorEastAsia"/>
                <w:color w:val="auto"/>
                <w:kern w:val="0"/>
                <w:szCs w:val="21"/>
              </w:rPr>
              <w:t xml:space="preserve"> </w:t>
            </w:r>
            <w:r>
              <w:rPr>
                <w:rFonts w:hint="eastAsia" w:ascii="宋体" w:hAnsi="宋体" w:eastAsia="宋体" w:cs="宋体"/>
                <w:color w:val="auto"/>
                <w:kern w:val="0"/>
                <w:sz w:val="22"/>
              </w:rPr>
              <w:t>。免费保修壹年.</w:t>
            </w:r>
          </w:p>
        </w:tc>
        <w:tc>
          <w:tcPr>
            <w:tcW w:w="1214" w:type="pct"/>
            <w:tcBorders>
              <w:top w:val="nil"/>
              <w:left w:val="nil"/>
              <w:bottom w:val="single" w:color="auto" w:sz="4" w:space="0"/>
              <w:right w:val="single" w:color="auto" w:sz="8" w:space="0"/>
            </w:tcBorders>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drawing>
                <wp:inline distT="0" distB="0" distL="0" distR="0">
                  <wp:extent cx="1487805" cy="2311400"/>
                  <wp:effectExtent l="19050" t="0" r="0" b="0"/>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noChangeArrowheads="1"/>
                          </pic:cNvPicPr>
                        </pic:nvPicPr>
                        <pic:blipFill>
                          <a:blip r:embed="rId7" cstate="print"/>
                          <a:srcRect/>
                          <a:stretch>
                            <a:fillRect/>
                          </a:stretch>
                        </pic:blipFill>
                        <pic:spPr>
                          <a:xfrm>
                            <a:off x="0" y="0"/>
                            <a:ext cx="1489794" cy="2314575"/>
                          </a:xfrm>
                          <a:prstGeom prst="rect">
                            <a:avLst/>
                          </a:prstGeom>
                          <a:noFill/>
                          <a:ln w="9525">
                            <a:noFill/>
                            <a:miter lim="800000"/>
                            <a:headEnd/>
                            <a:tailEnd/>
                          </a:ln>
                        </pic:spPr>
                      </pic:pic>
                    </a:graphicData>
                  </a:graphic>
                </wp:inline>
              </w:drawing>
            </w:r>
          </w:p>
        </w:tc>
      </w:tr>
      <w:tr>
        <w:tblPrEx>
          <w:tblCellMar>
            <w:top w:w="0" w:type="dxa"/>
            <w:left w:w="108" w:type="dxa"/>
            <w:bottom w:w="0" w:type="dxa"/>
            <w:right w:w="108" w:type="dxa"/>
          </w:tblCellMar>
        </w:tblPrEx>
        <w:trPr>
          <w:trHeight w:val="599" w:hRule="atLeast"/>
        </w:trPr>
        <w:tc>
          <w:tcPr>
            <w:tcW w:w="20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5</w:t>
            </w:r>
          </w:p>
        </w:tc>
        <w:tc>
          <w:tcPr>
            <w:tcW w:w="47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雅马哈、杰普特、威柏尔</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大抱号</w:t>
            </w:r>
          </w:p>
        </w:tc>
        <w:tc>
          <w:tcPr>
            <w:tcW w:w="203"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1把</w:t>
            </w:r>
          </w:p>
        </w:tc>
        <w:tc>
          <w:tcPr>
            <w:tcW w:w="397"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9850</w:t>
            </w:r>
          </w:p>
        </w:tc>
        <w:tc>
          <w:tcPr>
            <w:tcW w:w="421"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9850</w:t>
            </w:r>
          </w:p>
        </w:tc>
        <w:tc>
          <w:tcPr>
            <w:tcW w:w="1748" w:type="pct"/>
            <w:tcBorders>
              <w:top w:val="nil"/>
              <w:left w:val="nil"/>
              <w:bottom w:val="single" w:color="auto" w:sz="4" w:space="0"/>
              <w:right w:val="single" w:color="auto" w:sz="8" w:space="0"/>
            </w:tcBorders>
            <w:shd w:val="clear" w:color="auto" w:fill="auto"/>
            <w:noWrap/>
            <w:vAlign w:val="center"/>
          </w:tcPr>
          <w:p>
            <w:pPr>
              <w:widowControl/>
              <w:jc w:val="center"/>
              <w:rPr>
                <w:rFonts w:cs="宋体" w:asciiTheme="minorEastAsia" w:hAnsiTheme="minorEastAsia"/>
                <w:color w:val="auto"/>
                <w:kern w:val="0"/>
                <w:szCs w:val="21"/>
              </w:rPr>
            </w:pPr>
            <w:r>
              <w:rPr>
                <w:rFonts w:hint="eastAsia" w:ascii="宋体" w:hAnsi="宋体" w:eastAsia="宋体" w:cs="宋体"/>
                <w:color w:val="auto"/>
                <w:kern w:val="0"/>
                <w:sz w:val="22"/>
              </w:rPr>
              <w:t>乐器专用黄铜管体，立键三键。表面漆金。管径：</w:t>
            </w:r>
            <w:r>
              <w:rPr>
                <w:rFonts w:hint="eastAsia"/>
                <w:color w:val="auto"/>
              </w:rPr>
              <w:t>≥</w:t>
            </w:r>
            <w:r>
              <w:rPr>
                <w:rFonts w:hint="eastAsia" w:ascii="宋体" w:hAnsi="宋体" w:eastAsia="宋体" w:cs="宋体"/>
                <w:color w:val="auto"/>
                <w:kern w:val="0"/>
                <w:sz w:val="22"/>
              </w:rPr>
              <w:t>16.5mm，口径：</w:t>
            </w:r>
            <w:r>
              <w:rPr>
                <w:rFonts w:hint="eastAsia"/>
                <w:color w:val="auto"/>
              </w:rPr>
              <w:t>≥</w:t>
            </w:r>
            <w:r>
              <w:rPr>
                <w:rFonts w:hint="eastAsia" w:ascii="宋体" w:hAnsi="宋体" w:eastAsia="宋体" w:cs="宋体"/>
                <w:color w:val="auto"/>
                <w:kern w:val="0"/>
                <w:sz w:val="22"/>
              </w:rPr>
              <w:t>381mm，高度</w:t>
            </w:r>
            <w:r>
              <w:rPr>
                <w:rFonts w:hint="eastAsia"/>
                <w:color w:val="auto"/>
              </w:rPr>
              <w:t>≥</w:t>
            </w:r>
            <w:r>
              <w:rPr>
                <w:rFonts w:hint="eastAsia" w:ascii="宋体" w:hAnsi="宋体" w:eastAsia="宋体" w:cs="宋体"/>
                <w:color w:val="auto"/>
                <w:kern w:val="0"/>
                <w:sz w:val="22"/>
              </w:rPr>
              <w:t>865mm，焊接采用国际标准冷焊接技术，技术规格：VBB-B901,管身刻全国唯一认证码，轻体帆布箱包。</w:t>
            </w:r>
            <w:r>
              <w:rPr>
                <w:rFonts w:hint="eastAsia"/>
                <w:color w:val="auto"/>
              </w:rPr>
              <w:t>声学品质：标准音：443.32Hz，各音允许误差：≤-7～+27音分，最大允许误差之差≤34音分，相邻两音误差之差：≤16.5音分，工艺：调音管内外配合间隙≤0.089、0.090mm，阀键轴孔配合间隙：阀键1≤0.041mm，阀键2≤0.046mm，阀键3≤0.049mm，附管内外配合间隙：附管1≤0.011，0.061mm，附管2≤0.070，0.085mm，附管3①≤0.057，0.060mm，附管3②≤0.094、0.070mm，外观：表面粗糙度：阀键轴孔配合面≤0.264～0.572um，附管内外配合面≤0.264～0.570um，调音管：≤0.331～0.444um，</w:t>
            </w:r>
            <w:r>
              <w:rPr>
                <w:rFonts w:hint="eastAsia" w:cs="宋体" w:asciiTheme="minorEastAsia" w:hAnsiTheme="minorEastAsia"/>
                <w:color w:val="auto"/>
                <w:kern w:val="0"/>
                <w:szCs w:val="21"/>
              </w:rPr>
              <w:t>响应文件中需具有国家认可的具备检测资格的检测机构出具的检验报告复印件</w:t>
            </w:r>
            <w:r>
              <w:rPr>
                <w:rFonts w:hint="eastAsia" w:ascii="宋体" w:hAnsi="宋体" w:eastAsia="宋体" w:cs="宋体"/>
                <w:color w:val="auto"/>
                <w:kern w:val="0"/>
                <w:sz w:val="22"/>
              </w:rPr>
              <w:t>。免费保修壹年.</w:t>
            </w:r>
          </w:p>
        </w:tc>
        <w:tc>
          <w:tcPr>
            <w:tcW w:w="1214" w:type="pct"/>
            <w:tcBorders>
              <w:top w:val="nil"/>
              <w:left w:val="nil"/>
              <w:bottom w:val="single" w:color="auto" w:sz="4" w:space="0"/>
              <w:right w:val="single" w:color="auto" w:sz="8" w:space="0"/>
            </w:tcBorders>
            <w:vAlign w:val="center"/>
          </w:tcPr>
          <w:p>
            <w:pPr>
              <w:widowControl/>
              <w:jc w:val="center"/>
              <w:rPr>
                <w:rFonts w:ascii="宋体" w:hAnsi="宋体" w:eastAsia="宋体" w:cs="宋体"/>
                <w:color w:val="auto"/>
                <w:kern w:val="0"/>
                <w:sz w:val="22"/>
              </w:rPr>
            </w:pPr>
            <w:r>
              <w:rPr>
                <w:rFonts w:ascii="宋体" w:hAnsi="宋体" w:eastAsia="宋体" w:cs="宋体"/>
                <w:color w:val="auto"/>
                <w:kern w:val="0"/>
                <w:sz w:val="22"/>
              </w:rPr>
              <w:drawing>
                <wp:inline distT="0" distB="0" distL="0" distR="0">
                  <wp:extent cx="1489075" cy="2670175"/>
                  <wp:effectExtent l="1905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8" cstate="print"/>
                          <a:srcRect/>
                          <a:stretch>
                            <a:fillRect/>
                          </a:stretch>
                        </pic:blipFill>
                        <pic:spPr>
                          <a:xfrm>
                            <a:off x="0" y="0"/>
                            <a:ext cx="1489075" cy="2670175"/>
                          </a:xfrm>
                          <a:prstGeom prst="rect">
                            <a:avLst/>
                          </a:prstGeom>
                          <a:noFill/>
                          <a:ln w="9525">
                            <a:noFill/>
                            <a:miter lim="800000"/>
                            <a:headEnd/>
                            <a:tailEnd/>
                          </a:ln>
                        </pic:spPr>
                      </pic:pic>
                    </a:graphicData>
                  </a:graphic>
                </wp:inline>
              </w:drawing>
            </w:r>
          </w:p>
        </w:tc>
      </w:tr>
      <w:tr>
        <w:tblPrEx>
          <w:tblCellMar>
            <w:top w:w="0" w:type="dxa"/>
            <w:left w:w="108" w:type="dxa"/>
            <w:bottom w:w="0" w:type="dxa"/>
            <w:right w:w="108" w:type="dxa"/>
          </w:tblCellMar>
        </w:tblPrEx>
        <w:trPr>
          <w:trHeight w:val="599" w:hRule="atLeast"/>
        </w:trPr>
        <w:tc>
          <w:tcPr>
            <w:tcW w:w="20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6</w:t>
            </w:r>
          </w:p>
        </w:tc>
        <w:tc>
          <w:tcPr>
            <w:tcW w:w="47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雅马哈、杰普特、知音</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军镲</w:t>
            </w:r>
          </w:p>
        </w:tc>
        <w:tc>
          <w:tcPr>
            <w:tcW w:w="203"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1副</w:t>
            </w:r>
          </w:p>
        </w:tc>
        <w:tc>
          <w:tcPr>
            <w:tcW w:w="397"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4000</w:t>
            </w:r>
          </w:p>
        </w:tc>
        <w:tc>
          <w:tcPr>
            <w:tcW w:w="421"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4000</w:t>
            </w:r>
          </w:p>
        </w:tc>
        <w:tc>
          <w:tcPr>
            <w:tcW w:w="1748" w:type="pct"/>
            <w:tcBorders>
              <w:top w:val="nil"/>
              <w:left w:val="nil"/>
              <w:bottom w:val="single" w:color="auto" w:sz="4" w:space="0"/>
              <w:right w:val="single" w:color="auto" w:sz="8"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cs="宋体"/>
                <w:color w:val="auto"/>
                <w:szCs w:val="21"/>
              </w:rPr>
              <w:t>镲片材质：采用专用乐器响铜制成，规格：</w:t>
            </w:r>
            <w:r>
              <w:rPr>
                <w:rFonts w:hint="eastAsia"/>
                <w:color w:val="auto"/>
              </w:rPr>
              <w:t>≥</w:t>
            </w:r>
            <w:r>
              <w:rPr>
                <w:rFonts w:hint="eastAsia" w:ascii="宋体" w:hAnsi="宋体" w:cs="宋体"/>
                <w:color w:val="auto"/>
                <w:szCs w:val="21"/>
              </w:rPr>
              <w:t>18寸，表面有纹路工艺。有两片组成，配有专业的皮质手抓带子。配有专用的高低可以调节的架子。</w:t>
            </w:r>
            <w:r>
              <w:rPr>
                <w:rFonts w:hint="eastAsia" w:ascii="宋体" w:hAnsi="宋体" w:eastAsia="宋体" w:cs="宋体"/>
                <w:color w:val="auto"/>
                <w:kern w:val="0"/>
                <w:sz w:val="22"/>
              </w:rPr>
              <w:t>免费保修壹年.</w:t>
            </w:r>
          </w:p>
        </w:tc>
        <w:tc>
          <w:tcPr>
            <w:tcW w:w="1214" w:type="pct"/>
            <w:tcBorders>
              <w:top w:val="nil"/>
              <w:left w:val="nil"/>
              <w:bottom w:val="single" w:color="auto" w:sz="4" w:space="0"/>
              <w:right w:val="single" w:color="auto" w:sz="8" w:space="0"/>
            </w:tcBorders>
            <w:vAlign w:val="center"/>
          </w:tcPr>
          <w:p>
            <w:pPr>
              <w:widowControl/>
              <w:jc w:val="center"/>
              <w:rPr>
                <w:rFonts w:ascii="宋体" w:hAnsi="宋体" w:eastAsia="宋体" w:cs="宋体"/>
                <w:color w:val="auto"/>
                <w:kern w:val="0"/>
                <w:sz w:val="22"/>
              </w:rPr>
            </w:pPr>
            <w:r>
              <w:rPr>
                <w:rFonts w:ascii="宋体" w:hAnsi="宋体" w:eastAsia="宋体" w:cs="宋体"/>
                <w:color w:val="auto"/>
                <w:kern w:val="0"/>
                <w:sz w:val="22"/>
              </w:rPr>
              <w:drawing>
                <wp:inline distT="0" distB="0" distL="0" distR="0">
                  <wp:extent cx="1569720" cy="1577975"/>
                  <wp:effectExtent l="19050" t="0" r="0" b="0"/>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noChangeArrowheads="1"/>
                          </pic:cNvPicPr>
                        </pic:nvPicPr>
                        <pic:blipFill>
                          <a:blip r:embed="rId9" cstate="print"/>
                          <a:srcRect/>
                          <a:stretch>
                            <a:fillRect/>
                          </a:stretch>
                        </pic:blipFill>
                        <pic:spPr>
                          <a:xfrm>
                            <a:off x="0" y="0"/>
                            <a:ext cx="1569720" cy="1577975"/>
                          </a:xfrm>
                          <a:prstGeom prst="rect">
                            <a:avLst/>
                          </a:prstGeom>
                          <a:noFill/>
                          <a:ln w="9525">
                            <a:noFill/>
                            <a:miter lim="800000"/>
                            <a:headEnd/>
                            <a:tailEnd/>
                          </a:ln>
                        </pic:spPr>
                      </pic:pic>
                    </a:graphicData>
                  </a:graphic>
                </wp:inline>
              </w:drawing>
            </w:r>
          </w:p>
        </w:tc>
      </w:tr>
      <w:tr>
        <w:tblPrEx>
          <w:tblCellMar>
            <w:top w:w="0" w:type="dxa"/>
            <w:left w:w="108" w:type="dxa"/>
            <w:bottom w:w="0" w:type="dxa"/>
            <w:right w:w="108" w:type="dxa"/>
          </w:tblCellMar>
        </w:tblPrEx>
        <w:trPr>
          <w:trHeight w:val="599" w:hRule="atLeast"/>
        </w:trPr>
        <w:tc>
          <w:tcPr>
            <w:tcW w:w="20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7</w:t>
            </w:r>
          </w:p>
        </w:tc>
        <w:tc>
          <w:tcPr>
            <w:tcW w:w="47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2"/>
              </w:rPr>
            </w:pPr>
            <w:r>
              <w:rPr>
                <w:rFonts w:hint="eastAsia" w:ascii="宋体" w:hAnsi="宋体" w:eastAsia="宋体" w:cs="宋体"/>
                <w:color w:val="auto"/>
                <w:kern w:val="0"/>
                <w:sz w:val="22"/>
              </w:rPr>
              <w:t>雅马哈、杰普特、艺鸣</w:t>
            </w:r>
          </w:p>
        </w:tc>
        <w:tc>
          <w:tcPr>
            <w:tcW w:w="3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小打套装</w:t>
            </w:r>
          </w:p>
        </w:tc>
        <w:tc>
          <w:tcPr>
            <w:tcW w:w="203"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1套</w:t>
            </w:r>
          </w:p>
        </w:tc>
        <w:tc>
          <w:tcPr>
            <w:tcW w:w="397"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500</w:t>
            </w:r>
          </w:p>
        </w:tc>
        <w:tc>
          <w:tcPr>
            <w:tcW w:w="421"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500</w:t>
            </w:r>
          </w:p>
        </w:tc>
        <w:tc>
          <w:tcPr>
            <w:tcW w:w="1748" w:type="pct"/>
            <w:tcBorders>
              <w:top w:val="nil"/>
              <w:left w:val="nil"/>
              <w:bottom w:val="single" w:color="auto" w:sz="4" w:space="0"/>
              <w:right w:val="single" w:color="auto" w:sz="8" w:space="0"/>
            </w:tcBorders>
            <w:shd w:val="clear" w:color="auto" w:fill="auto"/>
            <w:noWrap/>
            <w:vAlign w:val="center"/>
          </w:tcPr>
          <w:p>
            <w:pPr>
              <w:widowControl/>
              <w:jc w:val="center"/>
              <w:rPr>
                <w:rFonts w:ascii="宋体" w:hAnsi="宋体" w:eastAsia="宋体" w:cs="宋体"/>
                <w:color w:val="auto"/>
                <w:kern w:val="0"/>
                <w:sz w:val="22"/>
              </w:rPr>
            </w:pPr>
            <w:r>
              <w:rPr>
                <w:rFonts w:hint="eastAsia" w:ascii="宋体" w:hAnsi="宋体" w:eastAsia="宋体" w:cs="宋体"/>
                <w:color w:val="auto"/>
                <w:kern w:val="0"/>
                <w:sz w:val="22"/>
              </w:rPr>
              <w:t>小打套装里有：带有专用的铃鼓、带有专业的三角铁,免费保修壹年.</w:t>
            </w:r>
          </w:p>
        </w:tc>
        <w:tc>
          <w:tcPr>
            <w:tcW w:w="1214" w:type="pct"/>
            <w:tcBorders>
              <w:top w:val="nil"/>
              <w:left w:val="nil"/>
              <w:bottom w:val="single" w:color="auto" w:sz="4" w:space="0"/>
              <w:right w:val="single" w:color="auto" w:sz="8" w:space="0"/>
            </w:tcBorders>
            <w:vAlign w:val="center"/>
          </w:tcPr>
          <w:p>
            <w:pPr>
              <w:widowControl/>
              <w:jc w:val="center"/>
              <w:rPr>
                <w:rFonts w:ascii="宋体" w:hAnsi="宋体" w:eastAsia="宋体" w:cs="宋体"/>
                <w:color w:val="auto"/>
                <w:kern w:val="0"/>
                <w:sz w:val="22"/>
              </w:rPr>
            </w:pPr>
          </w:p>
          <w:p>
            <w:pPr>
              <w:widowControl/>
              <w:jc w:val="center"/>
              <w:rPr>
                <w:rFonts w:ascii="宋体" w:hAnsi="宋体" w:eastAsia="宋体" w:cs="宋体"/>
                <w:color w:val="auto"/>
                <w:kern w:val="0"/>
                <w:sz w:val="22"/>
              </w:rPr>
            </w:pPr>
            <w:r>
              <w:rPr>
                <w:rFonts w:ascii="宋体" w:hAnsi="宋体" w:eastAsia="宋体" w:cs="宋体"/>
                <w:color w:val="auto"/>
                <w:kern w:val="0"/>
                <w:sz w:val="22"/>
              </w:rPr>
              <w:drawing>
                <wp:inline distT="0" distB="0" distL="0" distR="0">
                  <wp:extent cx="1569720" cy="1027430"/>
                  <wp:effectExtent l="19050" t="0" r="0" b="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pic:cNvPicPr>
                            <a:picLocks noChangeAspect="1" noChangeArrowheads="1"/>
                          </pic:cNvPicPr>
                        </pic:nvPicPr>
                        <pic:blipFill>
                          <a:blip r:embed="rId10" cstate="print"/>
                          <a:srcRect/>
                          <a:stretch>
                            <a:fillRect/>
                          </a:stretch>
                        </pic:blipFill>
                        <pic:spPr>
                          <a:xfrm>
                            <a:off x="0" y="0"/>
                            <a:ext cx="1569720" cy="1027430"/>
                          </a:xfrm>
                          <a:prstGeom prst="rect">
                            <a:avLst/>
                          </a:prstGeom>
                          <a:noFill/>
                          <a:ln w="9525">
                            <a:noFill/>
                            <a:miter lim="800000"/>
                            <a:headEnd/>
                            <a:tailEnd/>
                          </a:ln>
                        </pic:spPr>
                      </pic:pic>
                    </a:graphicData>
                  </a:graphic>
                </wp:inline>
              </w:drawing>
            </w:r>
            <w:r>
              <w:rPr>
                <w:rFonts w:ascii="宋体" w:hAnsi="宋体" w:eastAsia="宋体" w:cs="宋体"/>
                <w:color w:val="auto"/>
                <w:kern w:val="0"/>
                <w:sz w:val="22"/>
              </w:rPr>
              <w:drawing>
                <wp:inline distT="0" distB="0" distL="0" distR="0">
                  <wp:extent cx="1569720" cy="1416050"/>
                  <wp:effectExtent l="19050" t="0" r="0" b="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pic:cNvPicPr>
                            <a:picLocks noChangeAspect="1" noChangeArrowheads="1"/>
                          </pic:cNvPicPr>
                        </pic:nvPicPr>
                        <pic:blipFill>
                          <a:blip r:embed="rId11" cstate="print"/>
                          <a:srcRect/>
                          <a:stretch>
                            <a:fillRect/>
                          </a:stretch>
                        </pic:blipFill>
                        <pic:spPr>
                          <a:xfrm>
                            <a:off x="0" y="0"/>
                            <a:ext cx="1569720" cy="1416050"/>
                          </a:xfrm>
                          <a:prstGeom prst="rect">
                            <a:avLst/>
                          </a:prstGeom>
                          <a:noFill/>
                          <a:ln w="9525">
                            <a:noFill/>
                            <a:miter lim="800000"/>
                            <a:headEnd/>
                            <a:tailEnd/>
                          </a:ln>
                        </pic:spPr>
                      </pic:pic>
                    </a:graphicData>
                  </a:graphic>
                </wp:inline>
              </w:drawing>
            </w:r>
          </w:p>
          <w:p>
            <w:pPr>
              <w:widowControl/>
              <w:jc w:val="center"/>
              <w:rPr>
                <w:rFonts w:ascii="宋体" w:hAnsi="宋体" w:eastAsia="宋体" w:cs="宋体"/>
                <w:color w:val="auto"/>
                <w:kern w:val="0"/>
                <w:sz w:val="22"/>
              </w:rPr>
            </w:pPr>
          </w:p>
        </w:tc>
      </w:tr>
      <w:bookmarkEnd w:id="0"/>
    </w:tbl>
    <w:p/>
    <w:p/>
    <w:p/>
    <w:p>
      <w:pPr>
        <w:keepNext w:val="0"/>
        <w:keepLines w:val="0"/>
        <w:pageBreakBefore w:val="0"/>
        <w:widowControl/>
        <w:kinsoku/>
        <w:wordWrap/>
        <w:overflowPunct/>
        <w:topLinePunct w:val="0"/>
        <w:autoSpaceDE/>
        <w:autoSpaceDN/>
        <w:bidi w:val="0"/>
        <w:adjustRightInd/>
        <w:snapToGrid/>
        <w:spacing w:beforeAutospacing="0" w:line="400" w:lineRule="exact"/>
        <w:jc w:val="left"/>
        <w:textAlignment w:val="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panose1 w:val="020B0604020202020204"/>
    <w:charset w:val="00"/>
    <w:family w:val="swiss"/>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522"/>
    <w:rsid w:val="00045F7F"/>
    <w:rsid w:val="00490228"/>
    <w:rsid w:val="00567E28"/>
    <w:rsid w:val="00924DE2"/>
    <w:rsid w:val="00D51522"/>
    <w:rsid w:val="03DE2C79"/>
    <w:rsid w:val="071376B7"/>
    <w:rsid w:val="072B3B72"/>
    <w:rsid w:val="07972976"/>
    <w:rsid w:val="0B157580"/>
    <w:rsid w:val="107250BA"/>
    <w:rsid w:val="136628C1"/>
    <w:rsid w:val="13867923"/>
    <w:rsid w:val="1491768E"/>
    <w:rsid w:val="1C1E2256"/>
    <w:rsid w:val="1F0F008A"/>
    <w:rsid w:val="20234D76"/>
    <w:rsid w:val="22CB5120"/>
    <w:rsid w:val="252B126D"/>
    <w:rsid w:val="253776B8"/>
    <w:rsid w:val="27FC43CE"/>
    <w:rsid w:val="2A584D9B"/>
    <w:rsid w:val="2B454E67"/>
    <w:rsid w:val="2EFD1A17"/>
    <w:rsid w:val="34497C87"/>
    <w:rsid w:val="36B12249"/>
    <w:rsid w:val="38352964"/>
    <w:rsid w:val="41464958"/>
    <w:rsid w:val="41AD284D"/>
    <w:rsid w:val="4221760F"/>
    <w:rsid w:val="46A15FF5"/>
    <w:rsid w:val="47B5701D"/>
    <w:rsid w:val="4854242D"/>
    <w:rsid w:val="566F09CB"/>
    <w:rsid w:val="58C6616E"/>
    <w:rsid w:val="5F6C0ADD"/>
    <w:rsid w:val="65CB133D"/>
    <w:rsid w:val="66E24DF1"/>
    <w:rsid w:val="6A5B53EC"/>
    <w:rsid w:val="6AA93EC2"/>
    <w:rsid w:val="77C70284"/>
    <w:rsid w:val="78181A78"/>
    <w:rsid w:val="79673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paragraph" w:styleId="8">
    <w:name w:val="List Paragraph"/>
    <w:basedOn w:val="1"/>
    <w:qFormat/>
    <w:uiPriority w:val="34"/>
    <w:pPr>
      <w:ind w:firstLine="420" w:firstLineChars="200"/>
    </w:pPr>
  </w:style>
  <w:style w:type="paragraph" w:customStyle="1" w:styleId="9">
    <w:name w:val="列出段落1"/>
    <w:basedOn w:val="1"/>
    <w:qFormat/>
    <w:uiPriority w:val="34"/>
    <w:pPr>
      <w:widowControl w:val="0"/>
      <w:adjustRightInd/>
      <w:snapToGrid/>
      <w:spacing w:after="0"/>
      <w:ind w:firstLine="420" w:firstLineChars="200"/>
      <w:jc w:val="both"/>
    </w:pPr>
    <w:rPr>
      <w:rFonts w:ascii="Calibri" w:hAnsi="Calibri" w:eastAsia="宋体" w:cs="Times New Roman"/>
      <w:kern w:val="2"/>
      <w:sz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Pages>
  <Words>30</Words>
  <Characters>172</Characters>
  <Lines>1</Lines>
  <Paragraphs>1</Paragraphs>
  <TotalTime>13</TotalTime>
  <ScaleCrop>false</ScaleCrop>
  <LinksUpToDate>false</LinksUpToDate>
  <CharactersWithSpaces>201</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2019-03-21T07:38:00Z</dcterms:created>
  <dc:creator>USER-</dc:creator>
  <cp:lastModifiedBy>Administrator</cp:lastModifiedBy>
  <cp:lastPrinted>2019-10-25T05:37:00Z</cp:lastPrinted>
  <dcterms:modified xsi:type="dcterms:W3CDTF">2021-10-25T08:21:24Z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54FA4A9591CC40D0A1B41F9AD69CB00A</vt:lpwstr>
  </property>
</Properties>
</file>