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BF46CA">
      <w:pPr>
        <w:pStyle w:val="2"/>
        <w:pageBreakBefore/>
        <w:adjustRightInd w:val="0"/>
        <w:snapToGrid w:val="0"/>
        <w:spacing w:before="0" w:after="0" w:line="312" w:lineRule="auto"/>
        <w:jc w:val="center"/>
        <w:rPr>
          <w:rFonts w:ascii="仿宋_GB2312" w:hAnsi="仿宋" w:eastAsia="仿宋_GB2312" w:cs="仿宋"/>
          <w:color w:val="auto"/>
          <w:sz w:val="28"/>
          <w:szCs w:val="28"/>
          <w:highlight w:val="none"/>
        </w:rPr>
      </w:pPr>
      <w:bookmarkStart w:id="0" w:name="_Toc11867"/>
      <w:bookmarkStart w:id="1" w:name="_Toc9072"/>
      <w:bookmarkStart w:id="2" w:name="_Toc24107"/>
      <w:r>
        <w:rPr>
          <w:rFonts w:hint="eastAsia" w:ascii="仿宋_GB2312" w:hAnsi="仿宋" w:eastAsia="仿宋_GB2312" w:cs="仿宋"/>
          <w:color w:val="auto"/>
          <w:kern w:val="0"/>
          <w:sz w:val="36"/>
          <w:szCs w:val="36"/>
          <w:highlight w:val="none"/>
          <w:lang w:val="zh-CN"/>
        </w:rPr>
        <w:t xml:space="preserve">  招标项目</w:t>
      </w:r>
      <w:r>
        <w:rPr>
          <w:rFonts w:hint="eastAsia" w:ascii="仿宋_GB2312" w:hAnsi="仿宋" w:eastAsia="仿宋_GB2312" w:cs="仿宋"/>
          <w:color w:val="auto"/>
          <w:kern w:val="0"/>
          <w:sz w:val="36"/>
          <w:szCs w:val="36"/>
          <w:highlight w:val="none"/>
        </w:rPr>
        <w:t>技术、服务</w:t>
      </w:r>
      <w:r>
        <w:rPr>
          <w:rFonts w:hint="eastAsia" w:ascii="仿宋_GB2312" w:hAnsi="仿宋" w:eastAsia="仿宋_GB2312" w:cs="仿宋"/>
          <w:color w:val="auto"/>
          <w:kern w:val="0"/>
          <w:sz w:val="36"/>
          <w:szCs w:val="36"/>
          <w:highlight w:val="none"/>
          <w:lang w:val="zh-CN"/>
        </w:rPr>
        <w:t>、商务及其他要求</w:t>
      </w:r>
      <w:bookmarkEnd w:id="0"/>
      <w:bookmarkEnd w:id="1"/>
      <w:bookmarkEnd w:id="2"/>
    </w:p>
    <w:p w14:paraId="5D45B4C8">
      <w:pPr>
        <w:adjustRightInd w:val="0"/>
        <w:snapToGrid w:val="0"/>
        <w:spacing w:line="312" w:lineRule="auto"/>
        <w:ind w:firstLine="422" w:firstLineChars="175"/>
        <w:rPr>
          <w:rFonts w:ascii="仿宋_GB2312" w:hAnsi="仿宋" w:eastAsia="仿宋_GB2312" w:cs="仿宋"/>
          <w:b/>
          <w:bCs/>
          <w:color w:val="auto"/>
          <w:kern w:val="44"/>
          <w:sz w:val="24"/>
          <w:highlight w:val="none"/>
        </w:rPr>
      </w:pPr>
    </w:p>
    <w:p w14:paraId="7C5FDCCE">
      <w:pPr>
        <w:adjustRightInd w:val="0"/>
        <w:snapToGrid w:val="0"/>
        <w:spacing w:line="312" w:lineRule="auto"/>
        <w:ind w:firstLine="422" w:firstLineChars="175"/>
        <w:rPr>
          <w:rFonts w:ascii="仿宋_GB2312" w:hAnsi="仿宋" w:eastAsia="仿宋_GB2312" w:cs="仿宋"/>
          <w:b/>
          <w:bCs/>
          <w:color w:val="auto"/>
          <w:sz w:val="24"/>
          <w:highlight w:val="none"/>
        </w:rPr>
      </w:pPr>
      <w:r>
        <w:rPr>
          <w:rFonts w:hint="eastAsia" w:ascii="仿宋_GB2312" w:hAnsi="仿宋" w:eastAsia="仿宋_GB2312" w:cs="仿宋"/>
          <w:b/>
          <w:bCs/>
          <w:color w:val="auto"/>
          <w:kern w:val="44"/>
          <w:sz w:val="24"/>
          <w:highlight w:val="none"/>
        </w:rPr>
        <w:t>注：本章中</w:t>
      </w:r>
      <w:r>
        <w:rPr>
          <w:rFonts w:hint="eastAsia" w:ascii="仿宋_GB2312" w:hAnsi="仿宋" w:eastAsia="仿宋_GB2312" w:cs="仿宋"/>
          <w:b/>
          <w:color w:val="auto"/>
          <w:sz w:val="24"/>
          <w:highlight w:val="none"/>
        </w:rPr>
        <w:t>带“</w:t>
      </w:r>
      <w:bookmarkStart w:id="3" w:name="OLE_LINK11"/>
      <w:bookmarkStart w:id="4" w:name="OLE_LINK12"/>
      <w:r>
        <w:rPr>
          <w:rFonts w:hint="eastAsia" w:ascii="仿宋_GB2312" w:hAnsi="仿宋" w:eastAsia="仿宋_GB2312" w:cs="仿宋"/>
          <w:b/>
          <w:color w:val="auto"/>
          <w:sz w:val="24"/>
          <w:highlight w:val="none"/>
        </w:rPr>
        <w:t>★</w:t>
      </w:r>
      <w:bookmarkEnd w:id="3"/>
      <w:bookmarkEnd w:id="4"/>
      <w:r>
        <w:rPr>
          <w:rFonts w:hint="eastAsia" w:ascii="仿宋_GB2312" w:hAnsi="仿宋" w:eastAsia="仿宋_GB2312" w:cs="仿宋"/>
          <w:b/>
          <w:color w:val="auto"/>
          <w:sz w:val="24"/>
          <w:highlight w:val="none"/>
        </w:rPr>
        <w:t>”项内容为本项目实质性要求，未响应或不满足，按无效投标处理。</w:t>
      </w:r>
    </w:p>
    <w:p w14:paraId="4225EE70">
      <w:pPr>
        <w:tabs>
          <w:tab w:val="left" w:pos="7665"/>
        </w:tabs>
        <w:adjustRightInd w:val="0"/>
        <w:snapToGrid w:val="0"/>
        <w:spacing w:line="312" w:lineRule="auto"/>
        <w:outlineLvl w:val="1"/>
        <w:rPr>
          <w:rFonts w:ascii="仿宋_GB2312" w:hAnsi="仿宋" w:eastAsia="仿宋_GB2312" w:cs="仿宋"/>
          <w:b/>
          <w:color w:val="auto"/>
          <w:sz w:val="28"/>
          <w:szCs w:val="28"/>
          <w:highlight w:val="none"/>
        </w:rPr>
      </w:pPr>
      <w:r>
        <w:rPr>
          <w:rFonts w:hint="eastAsia" w:ascii="仿宋_GB2312" w:hAnsi="仿宋" w:eastAsia="仿宋_GB2312" w:cs="仿宋"/>
          <w:b/>
          <w:color w:val="auto"/>
          <w:sz w:val="28"/>
          <w:szCs w:val="28"/>
          <w:highlight w:val="none"/>
        </w:rPr>
        <w:t>一、项目概况</w:t>
      </w:r>
    </w:p>
    <w:p w14:paraId="056A5A4D">
      <w:pPr>
        <w:pStyle w:val="4"/>
        <w:adjustRightInd w:val="0"/>
        <w:snapToGrid w:val="0"/>
        <w:spacing w:line="312" w:lineRule="auto"/>
        <w:ind w:firstLine="480"/>
        <w:rPr>
          <w:rFonts w:ascii="仿宋_GB2312" w:hAnsi="仿宋" w:eastAsia="仿宋_GB2312" w:cs="仿宋"/>
          <w:b/>
          <w:color w:val="auto"/>
          <w:sz w:val="24"/>
          <w:highlight w:val="none"/>
        </w:rPr>
      </w:pPr>
      <w:bookmarkStart w:id="62" w:name="_GoBack"/>
      <w:r>
        <w:rPr>
          <w:rFonts w:hint="eastAsia" w:ascii="仿宋_GB2312" w:hAnsi="仿宋" w:eastAsia="仿宋_GB2312" w:cs="仿宋"/>
          <w:color w:val="auto"/>
          <w:sz w:val="24"/>
          <w:highlight w:val="none"/>
        </w:rPr>
        <w:t>四川大学2026-2029年消防维护保养服务采购</w:t>
      </w:r>
      <w:bookmarkEnd w:id="62"/>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本项目共分1个包</w:t>
      </w:r>
      <w:r>
        <w:rPr>
          <w:rFonts w:hint="eastAsia" w:ascii="仿宋_GB2312" w:hAnsi="仿宋" w:eastAsia="仿宋_GB2312" w:cs="仿宋"/>
          <w:bCs/>
          <w:color w:val="auto"/>
          <w:kern w:val="0"/>
          <w:sz w:val="24"/>
          <w:highlight w:val="none"/>
        </w:rPr>
        <w:t>。</w:t>
      </w:r>
    </w:p>
    <w:p w14:paraId="70005F9F">
      <w:pPr>
        <w:pStyle w:val="4"/>
        <w:adjustRightInd w:val="0"/>
        <w:snapToGrid w:val="0"/>
        <w:spacing w:line="312" w:lineRule="auto"/>
        <w:ind w:firstLine="482"/>
        <w:rPr>
          <w:rFonts w:ascii="仿宋_GB2312" w:hAnsi="仿宋" w:eastAsia="仿宋_GB2312" w:cs="仿宋"/>
          <w:b/>
          <w:color w:val="auto"/>
          <w:sz w:val="24"/>
          <w:highlight w:val="none"/>
        </w:rPr>
      </w:pPr>
      <w:r>
        <w:rPr>
          <w:rFonts w:hint="eastAsia" w:ascii="仿宋_GB2312" w:hAnsi="仿宋" w:eastAsia="仿宋_GB2312" w:cs="仿宋"/>
          <w:b/>
          <w:color w:val="auto"/>
          <w:sz w:val="24"/>
          <w:highlight w:val="none"/>
        </w:rPr>
        <w:t>1、标的名称及所属行业</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4835"/>
        <w:gridCol w:w="2693"/>
      </w:tblGrid>
      <w:tr w14:paraId="3038A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080" w:type="dxa"/>
            <w:vAlign w:val="center"/>
          </w:tcPr>
          <w:p w14:paraId="6F902E78">
            <w:pPr>
              <w:pStyle w:val="4"/>
              <w:adjustRightInd w:val="0"/>
              <w:snapToGrid w:val="0"/>
              <w:spacing w:line="312" w:lineRule="auto"/>
              <w:ind w:firstLine="0" w:firstLineChars="0"/>
              <w:jc w:val="center"/>
              <w:rPr>
                <w:rFonts w:ascii="仿宋_GB2312" w:hAnsi="仿宋" w:eastAsia="仿宋_GB2312" w:cs="仿宋"/>
                <w:b/>
                <w:color w:val="auto"/>
                <w:sz w:val="24"/>
                <w:highlight w:val="none"/>
              </w:rPr>
            </w:pPr>
            <w:r>
              <w:rPr>
                <w:rFonts w:hint="eastAsia" w:ascii="仿宋_GB2312" w:hAnsi="仿宋" w:eastAsia="仿宋_GB2312" w:cs="仿宋"/>
                <w:b/>
                <w:color w:val="auto"/>
                <w:sz w:val="24"/>
                <w:highlight w:val="none"/>
              </w:rPr>
              <w:t>序号</w:t>
            </w:r>
          </w:p>
        </w:tc>
        <w:tc>
          <w:tcPr>
            <w:tcW w:w="4835" w:type="dxa"/>
            <w:vAlign w:val="center"/>
          </w:tcPr>
          <w:p w14:paraId="7085DF1B">
            <w:pPr>
              <w:pStyle w:val="4"/>
              <w:adjustRightInd w:val="0"/>
              <w:snapToGrid w:val="0"/>
              <w:spacing w:line="312" w:lineRule="auto"/>
              <w:ind w:firstLine="0" w:firstLineChars="0"/>
              <w:jc w:val="center"/>
              <w:rPr>
                <w:rFonts w:ascii="仿宋_GB2312" w:hAnsi="仿宋" w:eastAsia="仿宋_GB2312" w:cs="仿宋"/>
                <w:b/>
                <w:color w:val="auto"/>
                <w:sz w:val="24"/>
                <w:highlight w:val="none"/>
              </w:rPr>
            </w:pPr>
            <w:r>
              <w:rPr>
                <w:rFonts w:hint="eastAsia" w:ascii="仿宋_GB2312" w:hAnsi="仿宋" w:eastAsia="仿宋_GB2312" w:cs="仿宋"/>
                <w:b/>
                <w:color w:val="auto"/>
                <w:sz w:val="24"/>
                <w:highlight w:val="none"/>
              </w:rPr>
              <w:t>标的名称</w:t>
            </w:r>
          </w:p>
        </w:tc>
        <w:tc>
          <w:tcPr>
            <w:tcW w:w="2693" w:type="dxa"/>
            <w:vAlign w:val="center"/>
          </w:tcPr>
          <w:p w14:paraId="4E7CF25B">
            <w:pPr>
              <w:pStyle w:val="4"/>
              <w:adjustRightInd w:val="0"/>
              <w:snapToGrid w:val="0"/>
              <w:spacing w:line="312" w:lineRule="auto"/>
              <w:ind w:firstLine="0" w:firstLineChars="0"/>
              <w:jc w:val="center"/>
              <w:rPr>
                <w:rFonts w:ascii="仿宋_GB2312" w:hAnsi="仿宋" w:eastAsia="仿宋_GB2312" w:cs="仿宋"/>
                <w:b/>
                <w:color w:val="auto"/>
                <w:sz w:val="24"/>
                <w:highlight w:val="none"/>
              </w:rPr>
            </w:pPr>
            <w:r>
              <w:rPr>
                <w:rFonts w:hint="eastAsia" w:ascii="仿宋_GB2312" w:hAnsi="仿宋" w:eastAsia="仿宋_GB2312" w:cs="仿宋"/>
                <w:b/>
                <w:color w:val="auto"/>
                <w:sz w:val="24"/>
                <w:highlight w:val="none"/>
              </w:rPr>
              <w:t>所属行业</w:t>
            </w:r>
          </w:p>
        </w:tc>
      </w:tr>
      <w:tr w14:paraId="591AD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080" w:type="dxa"/>
            <w:vAlign w:val="center"/>
          </w:tcPr>
          <w:p w14:paraId="6E8CA6F4">
            <w:pPr>
              <w:adjustRightInd w:val="0"/>
              <w:snapToGrid w:val="0"/>
              <w:spacing w:line="312" w:lineRule="auto"/>
              <w:jc w:val="center"/>
              <w:textAlignment w:val="center"/>
              <w:rPr>
                <w:rFonts w:ascii="仿宋_GB2312" w:hAnsi="仿宋" w:eastAsia="仿宋_GB2312" w:cs="仿宋"/>
                <w:color w:val="auto"/>
                <w:sz w:val="24"/>
                <w:highlight w:val="none"/>
              </w:rPr>
            </w:pPr>
            <w:r>
              <w:rPr>
                <w:rFonts w:hint="eastAsia" w:ascii="仿宋_GB2312" w:hAnsi="仿宋" w:eastAsia="仿宋_GB2312" w:cs="宋体"/>
                <w:color w:val="auto"/>
                <w:spacing w:val="-4"/>
                <w:sz w:val="24"/>
                <w:highlight w:val="none"/>
              </w:rPr>
              <w:t>1</w:t>
            </w:r>
          </w:p>
        </w:tc>
        <w:tc>
          <w:tcPr>
            <w:tcW w:w="4835" w:type="dxa"/>
            <w:vAlign w:val="center"/>
          </w:tcPr>
          <w:p w14:paraId="2EE541F6">
            <w:pPr>
              <w:adjustRightInd w:val="0"/>
              <w:snapToGrid w:val="0"/>
              <w:spacing w:line="312" w:lineRule="auto"/>
              <w:jc w:val="center"/>
              <w:textAlignment w:val="center"/>
              <w:rPr>
                <w:rFonts w:ascii="仿宋_GB2312" w:hAnsi="仿宋" w:eastAsia="仿宋_GB2312" w:cs="仿宋"/>
                <w:bCs/>
                <w:color w:val="auto"/>
                <w:sz w:val="24"/>
                <w:highlight w:val="none"/>
              </w:rPr>
            </w:pPr>
            <w:r>
              <w:rPr>
                <w:rFonts w:hint="eastAsia" w:ascii="仿宋_GB2312" w:hAnsi="仿宋" w:eastAsia="仿宋_GB2312" w:cs="仿宋"/>
                <w:color w:val="auto"/>
                <w:sz w:val="24"/>
                <w:highlight w:val="none"/>
              </w:rPr>
              <w:t>四川大学2026-2029年消防维护保养服务</w:t>
            </w:r>
          </w:p>
        </w:tc>
        <w:tc>
          <w:tcPr>
            <w:tcW w:w="2693" w:type="dxa"/>
            <w:vAlign w:val="center"/>
          </w:tcPr>
          <w:p w14:paraId="2245FE64">
            <w:pPr>
              <w:adjustRightInd w:val="0"/>
              <w:snapToGrid w:val="0"/>
              <w:spacing w:line="312" w:lineRule="auto"/>
              <w:jc w:val="center"/>
              <w:textAlignment w:val="center"/>
              <w:rPr>
                <w:rFonts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 xml:space="preserve">其他未列明行业 </w:t>
            </w:r>
          </w:p>
        </w:tc>
      </w:tr>
    </w:tbl>
    <w:p w14:paraId="79E071EF">
      <w:pPr>
        <w:adjustRightInd w:val="0"/>
        <w:snapToGrid w:val="0"/>
        <w:spacing w:line="312" w:lineRule="auto"/>
        <w:ind w:firstLine="480" w:firstLineChars="200"/>
        <w:rPr>
          <w:rFonts w:ascii="仿宋_GB2312" w:hAnsi="仿宋" w:eastAsia="仿宋_GB2312" w:cs="仿宋"/>
          <w:color w:val="auto"/>
          <w:kern w:val="44"/>
          <w:sz w:val="24"/>
          <w:highlight w:val="none"/>
        </w:rPr>
      </w:pPr>
      <w:r>
        <w:rPr>
          <w:rFonts w:hint="eastAsia" w:ascii="仿宋_GB2312" w:hAnsi="仿宋" w:eastAsia="仿宋_GB2312" w:cs="仿宋"/>
          <w:color w:val="auto"/>
          <w:kern w:val="44"/>
          <w:sz w:val="24"/>
          <w:highlight w:val="none"/>
        </w:rPr>
        <w:t>注：1、上表中“所属行业”系指“《工业和信息化部、国家统计局、国家发展和改革委员会、财政部关于印发中小企业划型标准规定的通知》（工信部联企业〔2011〕300号文件）、《统计上大中小微型企业划分办法（2017）》附表：统计上大中小微型企业划分标准”规定的中小企业划型标准所属行业。</w:t>
      </w:r>
    </w:p>
    <w:p w14:paraId="10DFBDDC">
      <w:pPr>
        <w:adjustRightInd w:val="0"/>
        <w:snapToGrid w:val="0"/>
        <w:spacing w:line="312" w:lineRule="auto"/>
        <w:ind w:firstLine="482" w:firstLineChars="200"/>
        <w:rPr>
          <w:rFonts w:ascii="仿宋_GB2312" w:hAnsi="仿宋" w:eastAsia="仿宋_GB2312" w:cs="仿宋"/>
          <w:b/>
          <w:color w:val="auto"/>
          <w:kern w:val="44"/>
          <w:sz w:val="24"/>
          <w:highlight w:val="none"/>
        </w:rPr>
      </w:pPr>
      <w:r>
        <w:rPr>
          <w:rFonts w:hint="eastAsia" w:ascii="仿宋_GB2312" w:hAnsi="仿宋" w:eastAsia="仿宋_GB2312" w:cs="仿宋"/>
          <w:b/>
          <w:color w:val="auto"/>
          <w:kern w:val="44"/>
          <w:sz w:val="24"/>
          <w:highlight w:val="none"/>
        </w:rPr>
        <w:t>2、投标人应按照上表所列标的名称、所属行业填写《中小企业声明函》。</w:t>
      </w:r>
    </w:p>
    <w:p w14:paraId="3CB02DA8">
      <w:pPr>
        <w:adjustRightInd w:val="0"/>
        <w:snapToGrid w:val="0"/>
        <w:spacing w:line="312" w:lineRule="auto"/>
        <w:ind w:firstLine="482" w:firstLineChars="200"/>
        <w:rPr>
          <w:rFonts w:ascii="仿宋_GB2312" w:hAnsi="仿宋" w:eastAsia="仿宋_GB2312" w:cs="仿宋"/>
          <w:b/>
          <w:color w:val="auto"/>
          <w:kern w:val="44"/>
          <w:sz w:val="24"/>
          <w:highlight w:val="none"/>
        </w:rPr>
      </w:pPr>
    </w:p>
    <w:p w14:paraId="37BB43C2">
      <w:pPr>
        <w:adjustRightInd w:val="0"/>
        <w:snapToGrid w:val="0"/>
        <w:spacing w:line="312" w:lineRule="auto"/>
        <w:outlineLvl w:val="1"/>
        <w:rPr>
          <w:rFonts w:ascii="仿宋_GB2312" w:hAnsi="仿宋" w:eastAsia="仿宋_GB2312" w:cs="仿宋"/>
          <w:b/>
          <w:color w:val="auto"/>
          <w:sz w:val="24"/>
          <w:highlight w:val="none"/>
        </w:rPr>
      </w:pPr>
      <w:r>
        <w:rPr>
          <w:rFonts w:hint="eastAsia" w:ascii="仿宋_GB2312" w:hAnsi="仿宋" w:eastAsia="仿宋_GB2312" w:cs="仿宋"/>
          <w:b/>
          <w:bCs/>
          <w:color w:val="auto"/>
          <w:kern w:val="44"/>
          <w:sz w:val="28"/>
          <w:szCs w:val="28"/>
          <w:highlight w:val="none"/>
        </w:rPr>
        <w:t>★二、服务内容及范围</w:t>
      </w:r>
    </w:p>
    <w:p w14:paraId="52B100E2">
      <w:pPr>
        <w:adjustRightInd w:val="0"/>
        <w:snapToGrid w:val="0"/>
        <w:spacing w:line="312" w:lineRule="auto"/>
        <w:ind w:firstLine="482" w:firstLineChars="200"/>
        <w:outlineLvl w:val="2"/>
        <w:rPr>
          <w:rFonts w:ascii="仿宋_GB2312" w:hAnsi="仿宋" w:eastAsia="仿宋_GB2312" w:cs="仿宋"/>
          <w:b/>
          <w:bCs/>
          <w:color w:val="auto"/>
          <w:kern w:val="44"/>
          <w:sz w:val="24"/>
          <w:highlight w:val="none"/>
        </w:rPr>
      </w:pPr>
      <w:r>
        <w:rPr>
          <w:rFonts w:hint="eastAsia" w:ascii="仿宋_GB2312" w:hAnsi="仿宋" w:eastAsia="仿宋_GB2312" w:cs="仿宋"/>
          <w:b/>
          <w:bCs/>
          <w:color w:val="auto"/>
          <w:kern w:val="44"/>
          <w:sz w:val="24"/>
          <w:highlight w:val="none"/>
        </w:rPr>
        <w:t>（一）服务内容</w:t>
      </w:r>
    </w:p>
    <w:p w14:paraId="47D877B0">
      <w:pPr>
        <w:pStyle w:val="11"/>
        <w:shd w:val="clear" w:color="auto" w:fill="FFFFFF"/>
        <w:adjustRightInd w:val="0"/>
        <w:snapToGrid w:val="0"/>
        <w:spacing w:before="0" w:beforeAutospacing="0" w:after="0" w:afterAutospacing="0" w:line="312" w:lineRule="auto"/>
        <w:ind w:firstLine="480" w:firstLineChars="200"/>
        <w:rPr>
          <w:rFonts w:ascii="仿宋_GB2312" w:hAnsi="仿宋" w:eastAsia="仿宋_GB2312" w:cs="仿宋"/>
          <w:color w:val="auto"/>
          <w:kern w:val="2"/>
          <w:sz w:val="24"/>
          <w:szCs w:val="24"/>
          <w:highlight w:val="none"/>
        </w:rPr>
      </w:pPr>
      <w:r>
        <w:rPr>
          <w:rFonts w:hint="eastAsia" w:ascii="仿宋_GB2312" w:hAnsi="仿宋" w:eastAsia="仿宋_GB2312" w:cs="仿宋"/>
          <w:color w:val="auto"/>
          <w:kern w:val="2"/>
          <w:sz w:val="24"/>
          <w:szCs w:val="24"/>
          <w:highlight w:val="none"/>
        </w:rPr>
        <w:t>1、四川大学望江、华西、江安校区消防设施设备维护保养服务项目涉及建筑90栋，建筑总面积1,456,882.63平方米。其中：</w:t>
      </w:r>
    </w:p>
    <w:p w14:paraId="47540EE5">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A类建筑：指建筑内设置的消防设施设备种类仅限于以下范围，可包含其中一项或多项，但不得超出该范围，且不包含B类建筑所列其他系统。该范围包括：火灾自动报警系统（必有）、室内消火栓、室外消火栓、防火分隔设施、应急照明及疏散指示系统、灭火器、消防供配电设施、消防应急广播系统、消防专用电话系统。A类建筑面积为</w:t>
      </w:r>
      <w:r>
        <w:rPr>
          <w:rFonts w:hint="eastAsia" w:ascii="仿宋_GB2312" w:hAnsi="仿宋" w:eastAsia="仿宋_GB2312" w:cs="仿宋"/>
          <w:b/>
          <w:bCs/>
          <w:color w:val="auto"/>
          <w:sz w:val="24"/>
          <w:highlight w:val="none"/>
        </w:rPr>
        <w:t>237,170.7</w:t>
      </w:r>
      <w:r>
        <w:rPr>
          <w:rFonts w:hint="eastAsia" w:ascii="仿宋_GB2312" w:hAnsi="仿宋" w:eastAsia="仿宋_GB2312" w:cs="仿宋"/>
          <w:color w:val="auto"/>
          <w:sz w:val="24"/>
          <w:highlight w:val="none"/>
        </w:rPr>
        <w:t>平方米。</w:t>
      </w:r>
    </w:p>
    <w:p w14:paraId="529CAA7F">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B类建筑：指在A类建筑所列消防设施设备的基础上，还额外设置下列其他系统之一或多项的建筑。B类建筑所列其他系统包括：自动喷水灭火系统、气体灭火系统、防烟排烟系统、电气火灾监控系统、可燃气体探测报警系统、消防设备电源监控、消防水炮、消防电梯、泡沫灭火系统、干粉灭火系统、消防水池/消防水箱、消防水泵及稳压设施及其他类似消防系统。B类建筑面积为</w:t>
      </w:r>
      <w:r>
        <w:rPr>
          <w:rFonts w:hint="eastAsia" w:ascii="仿宋_GB2312" w:hAnsi="仿宋" w:eastAsia="仿宋_GB2312" w:cs="仿宋"/>
          <w:b/>
          <w:bCs/>
          <w:color w:val="auto"/>
          <w:sz w:val="24"/>
          <w:highlight w:val="none"/>
        </w:rPr>
        <w:t xml:space="preserve"> 1,219,711.93</w:t>
      </w:r>
      <w:r>
        <w:rPr>
          <w:rFonts w:hint="eastAsia" w:ascii="仿宋_GB2312" w:hAnsi="仿宋" w:eastAsia="仿宋_GB2312" w:cs="仿宋"/>
          <w:color w:val="auto"/>
          <w:sz w:val="24"/>
          <w:highlight w:val="none"/>
        </w:rPr>
        <w:t>平方米。</w:t>
      </w:r>
    </w:p>
    <w:p w14:paraId="6F45B6AD">
      <w:pPr>
        <w:pStyle w:val="11"/>
        <w:shd w:val="clear" w:color="auto" w:fill="FFFFFF"/>
        <w:adjustRightInd w:val="0"/>
        <w:snapToGrid w:val="0"/>
        <w:spacing w:before="0" w:beforeAutospacing="0" w:after="0" w:afterAutospacing="0" w:line="312" w:lineRule="auto"/>
        <w:ind w:firstLine="480" w:firstLineChars="200"/>
        <w:rPr>
          <w:rFonts w:ascii="仿宋_GB2312" w:hAnsi="仿宋" w:eastAsia="仿宋_GB2312" w:cs="仿宋"/>
          <w:color w:val="auto"/>
          <w:kern w:val="2"/>
          <w:sz w:val="24"/>
          <w:szCs w:val="24"/>
          <w:highlight w:val="none"/>
        </w:rPr>
      </w:pPr>
      <w:r>
        <w:rPr>
          <w:rFonts w:hint="eastAsia" w:ascii="仿宋_GB2312" w:hAnsi="仿宋" w:eastAsia="仿宋_GB2312" w:cs="仿宋"/>
          <w:color w:val="auto"/>
          <w:kern w:val="2"/>
          <w:sz w:val="24"/>
          <w:szCs w:val="24"/>
          <w:highlight w:val="none"/>
        </w:rPr>
        <w:t>2、本项目周期年度服务费用最高限价为1,409,448.49元，总服务周期为36个公历月，自项目服务起始日起算至服务结束日止；招标阶段暂以2026年10月17日为暂定项目服务起始日，据此暂定总服务周期为2026年10月17日至2029年10月16日，该暂定日期仅用于统一投标人报价口径和评审基准，最终以采购人发出的《项目服务起始通知》载明的最终项目服务起始日为唯一锚点，按“满36个公历月”规则自动推算最终服务结束日，总服务周期相应调整，无需另行签订补充协议；总服务周期内合同一年一续签，每个周期年度终了满足续签条件的经采购人书面同意可续签下一年度合同，续签时A类、B类中标单价不变；维保费用按实结算，</w:t>
      </w:r>
      <w:r>
        <w:rPr>
          <w:rFonts w:hint="eastAsia" w:ascii="仿宋_GB2312" w:hAnsi="仿宋" w:eastAsia="仿宋_GB2312" w:cs="仿宋"/>
          <w:bCs/>
          <w:color w:val="auto"/>
          <w:kern w:val="2"/>
          <w:sz w:val="24"/>
          <w:szCs w:val="24"/>
          <w:highlight w:val="none"/>
        </w:rPr>
        <w:t>详见“</w:t>
      </w:r>
      <w:r>
        <w:rPr>
          <w:rFonts w:hint="eastAsia" w:ascii="仿宋_GB2312" w:hAnsi="仿宋" w:eastAsia="仿宋_GB2312" w:cs="仿宋"/>
          <w:bCs/>
          <w:color w:val="auto"/>
          <w:sz w:val="24"/>
          <w:szCs w:val="24"/>
          <w:highlight w:val="none"/>
          <w:shd w:val="clear" w:color="auto" w:fill="FFFFFF"/>
        </w:rPr>
        <w:t>商务要求</w:t>
      </w:r>
      <w:r>
        <w:rPr>
          <w:rFonts w:hint="eastAsia" w:ascii="仿宋_GB2312" w:hAnsi="仿宋" w:eastAsia="仿宋_GB2312" w:cs="仿宋"/>
          <w:bCs/>
          <w:color w:val="auto"/>
          <w:kern w:val="2"/>
          <w:sz w:val="24"/>
          <w:szCs w:val="24"/>
          <w:highlight w:val="none"/>
        </w:rPr>
        <w:t>”</w:t>
      </w:r>
      <w:r>
        <w:rPr>
          <w:rFonts w:hint="eastAsia" w:ascii="仿宋_GB2312" w:hAnsi="仿宋" w:eastAsia="仿宋_GB2312" w:cs="仿宋"/>
          <w:color w:val="auto"/>
          <w:kern w:val="2"/>
          <w:sz w:val="24"/>
          <w:szCs w:val="24"/>
          <w:highlight w:val="none"/>
        </w:rPr>
        <w:t>。本项目采用A/B分类综合单价报价方式。投标人须分别填报A类建筑综合单价和B类建筑综合单价，并满足以下要求：</w:t>
      </w:r>
    </w:p>
    <w:tbl>
      <w:tblPr>
        <w:tblStyle w:val="12"/>
        <w:tblW w:w="89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15" w:type="dxa"/>
          <w:left w:w="15" w:type="dxa"/>
          <w:bottom w:w="15" w:type="dxa"/>
          <w:right w:w="15" w:type="dxa"/>
        </w:tblCellMar>
      </w:tblPr>
      <w:tblGrid>
        <w:gridCol w:w="2922"/>
        <w:gridCol w:w="6071"/>
      </w:tblGrid>
      <w:tr w14:paraId="1D326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2922" w:type="dxa"/>
            <w:shd w:val="clear" w:color="auto" w:fill="FFFFFF"/>
            <w:tcMar>
              <w:top w:w="150" w:type="dxa"/>
              <w:left w:w="0" w:type="dxa"/>
              <w:bottom w:w="150" w:type="dxa"/>
              <w:right w:w="240" w:type="dxa"/>
            </w:tcMar>
            <w:vAlign w:val="center"/>
          </w:tcPr>
          <w:p w14:paraId="09FD63F9">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类别</w:t>
            </w:r>
          </w:p>
        </w:tc>
        <w:tc>
          <w:tcPr>
            <w:tcW w:w="6071" w:type="dxa"/>
            <w:shd w:val="clear" w:color="auto" w:fill="FFFFFF"/>
            <w:tcMar>
              <w:top w:w="150" w:type="dxa"/>
              <w:left w:w="240" w:type="dxa"/>
              <w:bottom w:w="150" w:type="dxa"/>
              <w:right w:w="240" w:type="dxa"/>
            </w:tcMar>
            <w:vAlign w:val="center"/>
          </w:tcPr>
          <w:p w14:paraId="17421E1D">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限价</w:t>
            </w:r>
          </w:p>
        </w:tc>
      </w:tr>
      <w:tr w14:paraId="526E8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2922" w:type="dxa"/>
            <w:shd w:val="clear" w:color="auto" w:fill="FFFFFF"/>
            <w:tcMar>
              <w:top w:w="150" w:type="dxa"/>
              <w:left w:w="0" w:type="dxa"/>
              <w:bottom w:w="150" w:type="dxa"/>
              <w:right w:w="240" w:type="dxa"/>
            </w:tcMar>
            <w:vAlign w:val="center"/>
          </w:tcPr>
          <w:p w14:paraId="4D31CD06">
            <w:pPr>
              <w:widowControl/>
              <w:adjustRightInd w:val="0"/>
              <w:snapToGrid w:val="0"/>
              <w:spacing w:line="312" w:lineRule="auto"/>
              <w:jc w:val="center"/>
              <w:rPr>
                <w:rFonts w:ascii="仿宋_GB2312" w:hAnsi="仿宋" w:eastAsia="仿宋_GB2312" w:cs="仿宋"/>
                <w:color w:val="auto"/>
                <w:sz w:val="24"/>
                <w:highlight w:val="none"/>
              </w:rPr>
            </w:pPr>
            <w:bookmarkStart w:id="5" w:name="_Hlk240893874"/>
            <w:r>
              <w:rPr>
                <w:rFonts w:hint="eastAsia" w:ascii="仿宋_GB2312" w:hAnsi="仿宋" w:eastAsia="仿宋_GB2312" w:cs="仿宋"/>
                <w:color w:val="auto"/>
                <w:sz w:val="24"/>
                <w:highlight w:val="none"/>
              </w:rPr>
              <w:t>A类单价</w:t>
            </w:r>
          </w:p>
        </w:tc>
        <w:tc>
          <w:tcPr>
            <w:tcW w:w="6071" w:type="dxa"/>
            <w:shd w:val="clear" w:color="auto" w:fill="FFFFFF"/>
            <w:tcMar>
              <w:top w:w="150" w:type="dxa"/>
              <w:left w:w="240" w:type="dxa"/>
              <w:bottom w:w="150" w:type="dxa"/>
              <w:right w:w="0" w:type="dxa"/>
            </w:tcMar>
            <w:vAlign w:val="center"/>
          </w:tcPr>
          <w:p w14:paraId="14ADAF37">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xml:space="preserve"> A类单价≤0.80元/</w:t>
            </w:r>
            <w:r>
              <w:rPr>
                <w:rFonts w:hint="eastAsia" w:ascii="Segoe UI Symbol" w:hAnsi="Segoe UI Symbol" w:eastAsia="Segoe UI Symbol" w:cs="Segoe UI Symbol"/>
                <w:color w:val="auto"/>
                <w:sz w:val="24"/>
                <w:highlight w:val="none"/>
              </w:rPr>
              <w:t>㎡</w:t>
            </w:r>
            <w:r>
              <w:rPr>
                <w:rFonts w:hint="eastAsia" w:ascii="仿宋_GB2312" w:hAnsi="仿宋" w:eastAsia="仿宋_GB2312" w:cs="仿宋"/>
                <w:color w:val="auto"/>
                <w:sz w:val="24"/>
                <w:highlight w:val="none"/>
              </w:rPr>
              <w:t>/年</w:t>
            </w:r>
          </w:p>
        </w:tc>
      </w:tr>
      <w:tr w14:paraId="37D4E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2922" w:type="dxa"/>
            <w:shd w:val="clear" w:color="auto" w:fill="FFFFFF"/>
            <w:tcMar>
              <w:top w:w="150" w:type="dxa"/>
              <w:left w:w="0" w:type="dxa"/>
              <w:bottom w:w="150" w:type="dxa"/>
              <w:right w:w="240" w:type="dxa"/>
            </w:tcMar>
            <w:vAlign w:val="center"/>
          </w:tcPr>
          <w:p w14:paraId="34283362">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B类单价</w:t>
            </w:r>
          </w:p>
        </w:tc>
        <w:tc>
          <w:tcPr>
            <w:tcW w:w="6071" w:type="dxa"/>
            <w:shd w:val="clear" w:color="auto" w:fill="FFFFFF"/>
            <w:tcMar>
              <w:top w:w="150" w:type="dxa"/>
              <w:left w:w="240" w:type="dxa"/>
              <w:bottom w:w="150" w:type="dxa"/>
              <w:right w:w="0" w:type="dxa"/>
            </w:tcMar>
            <w:vAlign w:val="center"/>
          </w:tcPr>
          <w:p w14:paraId="08CB6B1E">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xml:space="preserve"> B类单价≤1.00元/</w:t>
            </w:r>
            <w:r>
              <w:rPr>
                <w:rFonts w:hint="eastAsia" w:ascii="Segoe UI Symbol" w:hAnsi="Segoe UI Symbol" w:eastAsia="Segoe UI Symbol" w:cs="Segoe UI Symbol"/>
                <w:color w:val="auto"/>
                <w:sz w:val="24"/>
                <w:highlight w:val="none"/>
              </w:rPr>
              <w:t>㎡</w:t>
            </w:r>
            <w:r>
              <w:rPr>
                <w:rFonts w:hint="eastAsia" w:ascii="仿宋_GB2312" w:hAnsi="仿宋" w:eastAsia="仿宋_GB2312" w:cs="仿宋"/>
                <w:color w:val="auto"/>
                <w:sz w:val="24"/>
                <w:highlight w:val="none"/>
              </w:rPr>
              <w:t>/年</w:t>
            </w:r>
          </w:p>
        </w:tc>
      </w:tr>
      <w:bookmarkEnd w:id="5"/>
      <w:tr w14:paraId="13DC8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2922" w:type="dxa"/>
            <w:shd w:val="clear" w:color="auto" w:fill="FFFFFF"/>
            <w:tcMar>
              <w:top w:w="150" w:type="dxa"/>
              <w:left w:w="0" w:type="dxa"/>
              <w:bottom w:w="150" w:type="dxa"/>
              <w:right w:w="240" w:type="dxa"/>
            </w:tcMar>
            <w:vAlign w:val="center"/>
          </w:tcPr>
          <w:p w14:paraId="78A07195">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投标报价</w:t>
            </w:r>
          </w:p>
        </w:tc>
        <w:tc>
          <w:tcPr>
            <w:tcW w:w="6071" w:type="dxa"/>
            <w:shd w:val="clear" w:color="auto" w:fill="FFFFFF"/>
            <w:tcMar>
              <w:top w:w="150" w:type="dxa"/>
              <w:left w:w="240" w:type="dxa"/>
              <w:bottom w:w="150" w:type="dxa"/>
              <w:right w:w="0" w:type="dxa"/>
            </w:tcMar>
            <w:vAlign w:val="center"/>
          </w:tcPr>
          <w:p w14:paraId="1E59EEF8">
            <w:pPr>
              <w:widowControl/>
              <w:adjustRightInd w:val="0"/>
              <w:snapToGrid w:val="0"/>
              <w:spacing w:line="312" w:lineRule="auto"/>
              <w:jc w:val="center"/>
              <w:rPr>
                <w:rFonts w:ascii="仿宋_GB2312" w:hAnsi="仿宋" w:eastAsia="仿宋_GB2312" w:cs="仿宋"/>
                <w:color w:val="auto"/>
                <w:sz w:val="24"/>
                <w:highlight w:val="none"/>
              </w:rPr>
            </w:pPr>
            <w:bookmarkStart w:id="6" w:name="OLE_LINK9"/>
            <w:bookmarkStart w:id="7" w:name="OLE_LINK10"/>
            <w:r>
              <w:rPr>
                <w:rFonts w:hint="eastAsia" w:ascii="仿宋_GB2312" w:hAnsi="仿宋" w:eastAsia="仿宋_GB2312" w:cs="仿宋"/>
                <w:color w:val="auto"/>
                <w:sz w:val="24"/>
                <w:highlight w:val="none"/>
              </w:rPr>
              <w:t>≤1,409,448.49元</w:t>
            </w:r>
            <w:bookmarkEnd w:id="6"/>
            <w:bookmarkEnd w:id="7"/>
          </w:p>
        </w:tc>
      </w:tr>
    </w:tbl>
    <w:p w14:paraId="150A8278">
      <w:pPr>
        <w:pStyle w:val="11"/>
        <w:shd w:val="clear" w:color="auto" w:fill="FFFFFF"/>
        <w:adjustRightInd w:val="0"/>
        <w:snapToGrid w:val="0"/>
        <w:spacing w:before="0" w:beforeAutospacing="0" w:after="0" w:afterAutospacing="0" w:line="312" w:lineRule="auto"/>
        <w:ind w:firstLine="482" w:firstLineChars="200"/>
        <w:rPr>
          <w:rFonts w:ascii="仿宋_GB2312" w:hAnsi="仿宋" w:eastAsia="仿宋_GB2312" w:cs="仿宋"/>
          <w:b/>
          <w:bCs/>
          <w:color w:val="auto"/>
          <w:kern w:val="2"/>
          <w:sz w:val="24"/>
          <w:szCs w:val="24"/>
          <w:highlight w:val="none"/>
        </w:rPr>
      </w:pPr>
      <w:r>
        <w:rPr>
          <w:rFonts w:hint="eastAsia" w:ascii="仿宋_GB2312" w:hAnsi="仿宋" w:eastAsia="仿宋_GB2312" w:cs="仿宋"/>
          <w:b/>
          <w:bCs/>
          <w:color w:val="auto"/>
          <w:kern w:val="2"/>
          <w:sz w:val="24"/>
          <w:szCs w:val="24"/>
          <w:highlight w:val="none"/>
        </w:rPr>
        <w:t>（1）投标报价= A类单价 ×237,170.7平方米 + B类单价 × 1,219,711.93平方米。此项仅作为投标人投标报价计算分值的依据，</w:t>
      </w:r>
      <w:r>
        <w:rPr>
          <w:rFonts w:ascii="仿宋_GB2312" w:hAnsi="仿宋" w:eastAsia="仿宋_GB2312" w:cs="仿宋"/>
          <w:b/>
          <w:bCs/>
          <w:color w:val="auto"/>
          <w:kern w:val="2"/>
          <w:sz w:val="24"/>
          <w:szCs w:val="24"/>
          <w:highlight w:val="none"/>
        </w:rPr>
        <w:t>具体结算金额按投标人中标单价</w:t>
      </w:r>
      <w:r>
        <w:rPr>
          <w:rFonts w:hint="eastAsia" w:ascii="仿宋_GB2312" w:hAnsi="仿宋" w:eastAsia="仿宋_GB2312" w:cs="仿宋"/>
          <w:b/>
          <w:bCs/>
          <w:color w:val="auto"/>
          <w:kern w:val="2"/>
          <w:sz w:val="24"/>
          <w:szCs w:val="24"/>
          <w:highlight w:val="none"/>
        </w:rPr>
        <w:t>及履约情况按实结算，</w:t>
      </w:r>
      <w:bookmarkStart w:id="8" w:name="OLE_LINK1"/>
      <w:bookmarkStart w:id="9" w:name="OLE_LINK2"/>
      <w:r>
        <w:rPr>
          <w:rFonts w:hint="eastAsia" w:ascii="仿宋_GB2312" w:hAnsi="仿宋" w:eastAsia="仿宋_GB2312" w:cs="仿宋"/>
          <w:b/>
          <w:bCs/>
          <w:color w:val="auto"/>
          <w:kern w:val="2"/>
          <w:sz w:val="24"/>
          <w:szCs w:val="24"/>
          <w:highlight w:val="none"/>
        </w:rPr>
        <w:t>详见“</w:t>
      </w:r>
      <w:r>
        <w:rPr>
          <w:rFonts w:hint="eastAsia" w:ascii="仿宋_GB2312" w:hAnsi="仿宋" w:eastAsia="仿宋_GB2312" w:cs="仿宋"/>
          <w:b/>
          <w:bCs/>
          <w:color w:val="auto"/>
          <w:sz w:val="24"/>
          <w:szCs w:val="24"/>
          <w:highlight w:val="none"/>
          <w:shd w:val="clear" w:color="auto" w:fill="FFFFFF"/>
        </w:rPr>
        <w:t>商务要求</w:t>
      </w:r>
      <w:r>
        <w:rPr>
          <w:rFonts w:hint="eastAsia" w:ascii="仿宋_GB2312" w:hAnsi="仿宋" w:eastAsia="仿宋_GB2312" w:cs="仿宋"/>
          <w:b/>
          <w:bCs/>
          <w:color w:val="auto"/>
          <w:kern w:val="2"/>
          <w:sz w:val="24"/>
          <w:szCs w:val="24"/>
          <w:highlight w:val="none"/>
        </w:rPr>
        <w:t>”</w:t>
      </w:r>
      <w:bookmarkEnd w:id="8"/>
      <w:bookmarkEnd w:id="9"/>
      <w:r>
        <w:rPr>
          <w:rFonts w:hint="eastAsia" w:ascii="仿宋_GB2312" w:hAnsi="仿宋" w:eastAsia="仿宋_GB2312" w:cs="仿宋"/>
          <w:b/>
          <w:bCs/>
          <w:color w:val="auto"/>
          <w:kern w:val="2"/>
          <w:sz w:val="24"/>
          <w:szCs w:val="24"/>
          <w:highlight w:val="none"/>
        </w:rPr>
        <w:t>。</w:t>
      </w:r>
    </w:p>
    <w:p w14:paraId="649646F0">
      <w:pPr>
        <w:pStyle w:val="11"/>
        <w:shd w:val="clear" w:color="auto" w:fill="FFFFFF"/>
        <w:adjustRightInd w:val="0"/>
        <w:snapToGrid w:val="0"/>
        <w:spacing w:before="0" w:beforeAutospacing="0" w:after="0" w:afterAutospacing="0" w:line="312" w:lineRule="auto"/>
        <w:ind w:firstLine="482" w:firstLineChars="200"/>
        <w:rPr>
          <w:rFonts w:ascii="仿宋_GB2312" w:hAnsi="仿宋" w:eastAsia="仿宋_GB2312" w:cs="仿宋"/>
          <w:b/>
          <w:bCs/>
          <w:color w:val="auto"/>
          <w:kern w:val="2"/>
          <w:sz w:val="24"/>
          <w:szCs w:val="24"/>
          <w:highlight w:val="none"/>
        </w:rPr>
      </w:pPr>
      <w:r>
        <w:rPr>
          <w:rFonts w:hint="eastAsia" w:ascii="仿宋_GB2312" w:hAnsi="仿宋" w:eastAsia="仿宋_GB2312" w:cs="仿宋"/>
          <w:b/>
          <w:bCs/>
          <w:color w:val="auto"/>
          <w:kern w:val="2"/>
          <w:sz w:val="24"/>
          <w:szCs w:val="24"/>
          <w:highlight w:val="none"/>
        </w:rPr>
        <w:t>（2）任何一项超过单价限价的，视为无效投标，且报价约束不因最终项目服务起始日的调整而改变。</w:t>
      </w:r>
    </w:p>
    <w:p w14:paraId="2E52505C">
      <w:pPr>
        <w:pStyle w:val="4"/>
        <w:adjustRightInd w:val="0"/>
        <w:snapToGrid w:val="0"/>
        <w:spacing w:line="312" w:lineRule="auto"/>
        <w:ind w:firstLine="482"/>
        <w:rPr>
          <w:rFonts w:ascii="仿宋_GB2312" w:hAnsi="仿宋" w:eastAsia="仿宋_GB2312" w:cs="仿宋"/>
          <w:b/>
          <w:bCs/>
          <w:color w:val="auto"/>
          <w:sz w:val="24"/>
          <w:highlight w:val="none"/>
        </w:rPr>
      </w:pPr>
      <w:r>
        <w:rPr>
          <w:rFonts w:hint="eastAsia" w:ascii="仿宋_GB2312" w:hAnsi="仿宋" w:eastAsia="仿宋_GB2312" w:cs="仿宋"/>
          <w:b/>
          <w:bCs/>
          <w:color w:val="auto"/>
          <w:sz w:val="24"/>
          <w:highlight w:val="none"/>
          <w:shd w:val="clear" w:color="auto" w:fill="FFFFFF"/>
        </w:rPr>
        <w:t>（3）上述A类、B类综合单价均为含税全费用综合单价，包含范围详见“商务要求”。</w:t>
      </w:r>
    </w:p>
    <w:p w14:paraId="0E843E25">
      <w:pPr>
        <w:adjustRightInd w:val="0"/>
        <w:snapToGrid w:val="0"/>
        <w:spacing w:line="312" w:lineRule="auto"/>
        <w:ind w:firstLine="482" w:firstLineChars="200"/>
        <w:outlineLvl w:val="2"/>
        <w:rPr>
          <w:rFonts w:ascii="仿宋_GB2312" w:hAnsi="仿宋" w:eastAsia="仿宋_GB2312" w:cs="仿宋"/>
          <w:b/>
          <w:bCs/>
          <w:color w:val="auto"/>
          <w:kern w:val="44"/>
          <w:sz w:val="24"/>
          <w:highlight w:val="none"/>
        </w:rPr>
      </w:pPr>
      <w:r>
        <w:rPr>
          <w:rFonts w:hint="eastAsia" w:ascii="仿宋_GB2312" w:hAnsi="仿宋" w:eastAsia="仿宋_GB2312" w:cs="仿宋"/>
          <w:b/>
          <w:bCs/>
          <w:color w:val="auto"/>
          <w:kern w:val="44"/>
          <w:sz w:val="24"/>
          <w:highlight w:val="none"/>
        </w:rPr>
        <w:t>（二）服务范围</w:t>
      </w:r>
    </w:p>
    <w:p w14:paraId="32D88160">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1、本项目服务范围涵盖以下九个方面：</w:t>
      </w:r>
    </w:p>
    <w:p w14:paraId="2020C1F5">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(1)前期进场工作（含资料交接、模板确认、进场检测及维保前勘验、公示牌制作）。</w:t>
      </w:r>
    </w:p>
    <w:p w14:paraId="46C6EDAB">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(2)维保内业（含档案建立、计划编制、任务发布、信息收集、报告提交、技术支持）。</w:t>
      </w:r>
    </w:p>
    <w:p w14:paraId="18802902">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(3)日常维保与巡检执行（含驻场巡检、定期保养、节前检查）。</w:t>
      </w:r>
    </w:p>
    <w:p w14:paraId="2E8609DB">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(4)故障处置及应急抢修（含故障分级响应、应急抢修、维修实施）。</w:t>
      </w:r>
    </w:p>
    <w:p w14:paraId="544532CA">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(5)室外消火栓翻新（室外消火栓翻新工作在本项目总服务周期内完成一次）。</w:t>
      </w:r>
    </w:p>
    <w:p w14:paraId="6EA96A31">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(6)数据库信息完善（维保范围内消防设施设备摸排及赋码）。</w:t>
      </w:r>
    </w:p>
    <w:p w14:paraId="29273B1C">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(7)工程验收、检测及维保纳入。</w:t>
      </w:r>
    </w:p>
    <w:p w14:paraId="193CFE2F">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(8)大型活动电气防火安全检测。</w:t>
      </w:r>
    </w:p>
    <w:p w14:paraId="1C743CD5">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(9)培训与演练。</w:t>
      </w:r>
    </w:p>
    <w:p w14:paraId="16C94B8B">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2、本项目涉及建筑包括：</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708"/>
        <w:gridCol w:w="6100"/>
        <w:gridCol w:w="1587"/>
      </w:tblGrid>
      <w:tr w14:paraId="5201F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708" w:type="dxa"/>
            <w:tcMar>
              <w:top w:w="60" w:type="dxa"/>
              <w:left w:w="120" w:type="dxa"/>
              <w:bottom w:w="30" w:type="dxa"/>
              <w:right w:w="120" w:type="dxa"/>
            </w:tcMar>
            <w:vAlign w:val="center"/>
          </w:tcPr>
          <w:p w14:paraId="58732C30">
            <w:pPr>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属性</w:t>
            </w:r>
          </w:p>
        </w:tc>
        <w:tc>
          <w:tcPr>
            <w:tcW w:w="6100" w:type="dxa"/>
            <w:tcMar>
              <w:top w:w="60" w:type="dxa"/>
              <w:left w:w="120" w:type="dxa"/>
              <w:bottom w:w="30" w:type="dxa"/>
              <w:right w:w="120" w:type="dxa"/>
            </w:tcMar>
            <w:vAlign w:val="center"/>
          </w:tcPr>
          <w:p w14:paraId="3BACD305">
            <w:pPr>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建筑</w:t>
            </w:r>
          </w:p>
        </w:tc>
        <w:tc>
          <w:tcPr>
            <w:tcW w:w="1587" w:type="dxa"/>
            <w:tcMar>
              <w:top w:w="60" w:type="dxa"/>
              <w:left w:w="120" w:type="dxa"/>
              <w:bottom w:w="30" w:type="dxa"/>
              <w:right w:w="120" w:type="dxa"/>
            </w:tcMar>
            <w:vAlign w:val="center"/>
          </w:tcPr>
          <w:p w14:paraId="04C99295">
            <w:pPr>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面积合计</w:t>
            </w:r>
          </w:p>
          <w:p w14:paraId="670518C0">
            <w:pPr>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（平方米）</w:t>
            </w:r>
          </w:p>
        </w:tc>
      </w:tr>
      <w:tr w14:paraId="39F53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708" w:type="dxa"/>
            <w:tcMar>
              <w:top w:w="60" w:type="dxa"/>
              <w:left w:w="120" w:type="dxa"/>
              <w:bottom w:w="30" w:type="dxa"/>
              <w:right w:w="120" w:type="dxa"/>
            </w:tcMar>
            <w:vAlign w:val="center"/>
          </w:tcPr>
          <w:p w14:paraId="4A22A297">
            <w:pPr>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需进行维保的建筑</w:t>
            </w:r>
          </w:p>
        </w:tc>
        <w:tc>
          <w:tcPr>
            <w:tcW w:w="6100" w:type="dxa"/>
            <w:tcMar>
              <w:top w:w="60" w:type="dxa"/>
              <w:left w:w="120" w:type="dxa"/>
              <w:bottom w:w="30" w:type="dxa"/>
              <w:right w:w="120" w:type="dxa"/>
            </w:tcMar>
            <w:vAlign w:val="center"/>
          </w:tcPr>
          <w:p w14:paraId="5FFFD611">
            <w:pPr>
              <w:widowControl/>
              <w:jc w:val="left"/>
              <w:textAlignment w:val="center"/>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望江校区：望江行政楼（含望江远程消防监控中心）、生命科学楼（A、B 区）、生命科学楼 C 区（国家生物医学材料中心）、第一理科楼、滨江楼、基础教学楼（A、B、C 栋）、研究生大楼（一、二、三区及水泵房）、高分子创新大楼、东园六舍、青年教师公寓、文理图书馆、工学图书馆、文华活动中心、体育馆、档案馆、学生活动中心食堂、南园食堂、博物馆、先进材料大楼、北二舍、北四舍、北五舍、北八舍、东一舍、南一舍。</w:t>
            </w:r>
          </w:p>
          <w:p w14:paraId="7D25FDA7">
            <w:pPr>
              <w:widowControl/>
              <w:jc w:val="left"/>
              <w:textAlignment w:val="center"/>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华西校区：第九教学楼（含远程监控中心）、第一教学楼、第二教学楼、第四教学楼、第五教学楼、医学展览馆（老图书馆）、华西办公楼（行政楼）、药学大楼、法医楼、医学图书馆、公共卫生大楼、东苑食堂、女生院水泵房、体育馆、成德楼及西一至三号宿舍楼、东五舍、东七舍、东九舍、保健医院。</w:t>
            </w:r>
          </w:p>
          <w:p w14:paraId="4D56FBBB">
            <w:pPr>
              <w:jc w:val="left"/>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江安校区：江安勤务大队消防远程监控中心、第一基础教学楼、第一基础实验楼</w:t>
            </w:r>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第二基础实验楼</w:t>
            </w:r>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动物实验中心</w:t>
            </w:r>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文科楼（一、二区）</w:t>
            </w:r>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文科楼（三、四区）</w:t>
            </w:r>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法学院</w:t>
            </w:r>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东园四、五舍</w:t>
            </w:r>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东园六、七舍</w:t>
            </w:r>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东园八舍</w:t>
            </w:r>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南区学生宿舍一至三号楼</w:t>
            </w:r>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南区食堂</w:t>
            </w:r>
            <w:r>
              <w:rPr>
                <w:rFonts w:hint="eastAsia" w:ascii="仿宋_GB2312" w:hAnsi="仿宋" w:eastAsia="仿宋_GB2312" w:cs="仿宋"/>
                <w:color w:val="auto"/>
                <w:sz w:val="24"/>
                <w:highlight w:val="none"/>
              </w:rPr>
              <w:t>、西园二十二舍、</w:t>
            </w:r>
            <w:r>
              <w:rPr>
                <w:rFonts w:hint="eastAsia" w:ascii="仿宋_GB2312" w:hAnsi="仿宋" w:eastAsia="仿宋_GB2312" w:cs="仿宋"/>
                <w:color w:val="auto"/>
                <w:kern w:val="0"/>
                <w:sz w:val="24"/>
                <w:highlight w:val="none"/>
              </w:rPr>
              <w:t>空天大楼（多学科交叉研究创新大楼）</w:t>
            </w:r>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行政楼及综合大楼</w:t>
            </w:r>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图书馆</w:t>
            </w:r>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体育馆</w:t>
            </w:r>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第一食堂</w:t>
            </w:r>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第二食堂</w:t>
            </w:r>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第三食堂</w:t>
            </w:r>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灾后重建与管理学院（A、C区）</w:t>
            </w:r>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四川大学学业与发展支持中心（i创中心）</w:t>
            </w:r>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卓越工程实验中心</w:t>
            </w:r>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院士公寓</w:t>
            </w:r>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匹兹堡学院大楼</w:t>
            </w:r>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游泳馆。</w:t>
            </w:r>
          </w:p>
        </w:tc>
        <w:tc>
          <w:tcPr>
            <w:tcW w:w="1587" w:type="dxa"/>
            <w:tcMar>
              <w:top w:w="60" w:type="dxa"/>
              <w:left w:w="120" w:type="dxa"/>
              <w:bottom w:w="30" w:type="dxa"/>
              <w:right w:w="120" w:type="dxa"/>
            </w:tcMar>
            <w:vAlign w:val="center"/>
          </w:tcPr>
          <w:p w14:paraId="4EFF776D">
            <w:pPr>
              <w:jc w:val="center"/>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1347349.19</w:t>
            </w:r>
          </w:p>
        </w:tc>
      </w:tr>
      <w:tr w14:paraId="28D04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708" w:type="dxa"/>
            <w:tcMar>
              <w:top w:w="60" w:type="dxa"/>
              <w:left w:w="120" w:type="dxa"/>
              <w:bottom w:w="30" w:type="dxa"/>
              <w:right w:w="120" w:type="dxa"/>
            </w:tcMar>
            <w:vAlign w:val="center"/>
          </w:tcPr>
          <w:p w14:paraId="33E8F64D">
            <w:pPr>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条件允许后才纳入维保的建筑（全部为B类建筑）</w:t>
            </w:r>
          </w:p>
        </w:tc>
        <w:tc>
          <w:tcPr>
            <w:tcW w:w="6100" w:type="dxa"/>
            <w:tcMar>
              <w:top w:w="60" w:type="dxa"/>
              <w:left w:w="120" w:type="dxa"/>
              <w:bottom w:w="30" w:type="dxa"/>
              <w:right w:w="120" w:type="dxa"/>
            </w:tcMar>
            <w:vAlign w:val="center"/>
          </w:tcPr>
          <w:p w14:paraId="3375C01F">
            <w:pPr>
              <w:widowControl/>
              <w:jc w:val="left"/>
              <w:textAlignment w:val="center"/>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望江校区：面向新经济技术交叉与转化中心、望江西区游泳馆。</w:t>
            </w:r>
          </w:p>
          <w:p w14:paraId="69C3BF39">
            <w:pPr>
              <w:widowControl/>
              <w:jc w:val="left"/>
              <w:textAlignment w:val="center"/>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华西校区：前沿医学中心、游泳馆。</w:t>
            </w:r>
          </w:p>
          <w:p w14:paraId="06902E78">
            <w:pPr>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江安校区：多学科交叉大楼</w:t>
            </w:r>
            <w:r>
              <w:rPr>
                <w:rFonts w:hint="eastAsia" w:ascii="仿宋_GB2312" w:hAnsi="仿宋" w:eastAsia="仿宋_GB2312" w:cs="仿宋"/>
                <w:color w:val="auto"/>
                <w:sz w:val="24"/>
                <w:highlight w:val="none"/>
              </w:rPr>
              <w:t>、</w:t>
            </w:r>
            <w:r>
              <w:rPr>
                <w:rFonts w:hint="eastAsia" w:ascii="仿宋_GB2312" w:hAnsi="仿宋" w:eastAsia="仿宋_GB2312" w:cs="仿宋"/>
                <w:color w:val="auto"/>
                <w:kern w:val="0"/>
                <w:sz w:val="24"/>
                <w:highlight w:val="none"/>
              </w:rPr>
              <w:t>灾后重建 B 座。</w:t>
            </w:r>
          </w:p>
        </w:tc>
        <w:tc>
          <w:tcPr>
            <w:tcW w:w="1587" w:type="dxa"/>
            <w:tcMar>
              <w:top w:w="60" w:type="dxa"/>
              <w:left w:w="120" w:type="dxa"/>
              <w:bottom w:w="30" w:type="dxa"/>
              <w:right w:w="120" w:type="dxa"/>
            </w:tcMar>
            <w:vAlign w:val="center"/>
          </w:tcPr>
          <w:p w14:paraId="64FDC7DD">
            <w:pPr>
              <w:jc w:val="center"/>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109533.44</w:t>
            </w:r>
          </w:p>
        </w:tc>
      </w:tr>
    </w:tbl>
    <w:p w14:paraId="5F07765A">
      <w:pPr>
        <w:spacing w:line="520" w:lineRule="exact"/>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3、按照消防设施设备设置情况的分类</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708"/>
        <w:gridCol w:w="6100"/>
        <w:gridCol w:w="1587"/>
      </w:tblGrid>
      <w:tr w14:paraId="6ECB8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708" w:type="dxa"/>
            <w:tcMar>
              <w:top w:w="60" w:type="dxa"/>
              <w:left w:w="120" w:type="dxa"/>
              <w:bottom w:w="30" w:type="dxa"/>
              <w:right w:w="120" w:type="dxa"/>
            </w:tcMar>
            <w:vAlign w:val="center"/>
          </w:tcPr>
          <w:p w14:paraId="3969343A">
            <w:pPr>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分类</w:t>
            </w:r>
          </w:p>
        </w:tc>
        <w:tc>
          <w:tcPr>
            <w:tcW w:w="6100" w:type="dxa"/>
            <w:tcMar>
              <w:top w:w="60" w:type="dxa"/>
              <w:left w:w="120" w:type="dxa"/>
              <w:bottom w:w="30" w:type="dxa"/>
              <w:right w:w="120" w:type="dxa"/>
            </w:tcMar>
            <w:vAlign w:val="center"/>
          </w:tcPr>
          <w:p w14:paraId="6BFD2473">
            <w:pPr>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分类标准</w:t>
            </w:r>
          </w:p>
        </w:tc>
        <w:tc>
          <w:tcPr>
            <w:tcW w:w="1587" w:type="dxa"/>
            <w:tcMar>
              <w:top w:w="60" w:type="dxa"/>
              <w:left w:w="120" w:type="dxa"/>
              <w:bottom w:w="30" w:type="dxa"/>
              <w:right w:w="120" w:type="dxa"/>
            </w:tcMar>
            <w:vAlign w:val="center"/>
          </w:tcPr>
          <w:p w14:paraId="6F2C08C8">
            <w:pPr>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面积合计</w:t>
            </w:r>
          </w:p>
          <w:p w14:paraId="5598EA72">
            <w:pPr>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（平方米）</w:t>
            </w:r>
          </w:p>
        </w:tc>
      </w:tr>
      <w:tr w14:paraId="787A3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708" w:type="dxa"/>
            <w:tcMar>
              <w:top w:w="60" w:type="dxa"/>
              <w:left w:w="120" w:type="dxa"/>
              <w:bottom w:w="30" w:type="dxa"/>
              <w:right w:w="120" w:type="dxa"/>
            </w:tcMar>
            <w:vAlign w:val="center"/>
          </w:tcPr>
          <w:p w14:paraId="5AE5918B">
            <w:pPr>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A类建筑</w:t>
            </w:r>
          </w:p>
        </w:tc>
        <w:tc>
          <w:tcPr>
            <w:tcW w:w="6100" w:type="dxa"/>
            <w:tcMar>
              <w:top w:w="60" w:type="dxa"/>
              <w:left w:w="120" w:type="dxa"/>
              <w:bottom w:w="30" w:type="dxa"/>
              <w:right w:w="120" w:type="dxa"/>
            </w:tcMar>
            <w:vAlign w:val="center"/>
          </w:tcPr>
          <w:p w14:paraId="6AC3D038">
            <w:pPr>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仅设置有：火灾自动报警系统、室内消火栓、室外消火栓、防火分隔设施、应急照明及疏散指示系统、灭火器、消防供配电设施、消防应急广播系统、消防专用电话系统的建筑。</w:t>
            </w:r>
          </w:p>
        </w:tc>
        <w:tc>
          <w:tcPr>
            <w:tcW w:w="1587" w:type="dxa"/>
            <w:tcMar>
              <w:top w:w="60" w:type="dxa"/>
              <w:left w:w="120" w:type="dxa"/>
              <w:bottom w:w="30" w:type="dxa"/>
              <w:right w:w="120" w:type="dxa"/>
            </w:tcMar>
            <w:vAlign w:val="center"/>
          </w:tcPr>
          <w:p w14:paraId="2DC1B14A">
            <w:pPr>
              <w:jc w:val="center"/>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rPr>
              <w:t>237,170.7</w:t>
            </w:r>
          </w:p>
        </w:tc>
      </w:tr>
      <w:tr w14:paraId="29195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708" w:type="dxa"/>
            <w:tcMar>
              <w:top w:w="60" w:type="dxa"/>
              <w:left w:w="120" w:type="dxa"/>
              <w:bottom w:w="30" w:type="dxa"/>
              <w:right w:w="120" w:type="dxa"/>
            </w:tcMar>
            <w:vAlign w:val="center"/>
          </w:tcPr>
          <w:p w14:paraId="40566FBF">
            <w:pPr>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B类建筑</w:t>
            </w:r>
          </w:p>
        </w:tc>
        <w:tc>
          <w:tcPr>
            <w:tcW w:w="6100" w:type="dxa"/>
            <w:tcMar>
              <w:top w:w="60" w:type="dxa"/>
              <w:left w:w="120" w:type="dxa"/>
              <w:bottom w:w="30" w:type="dxa"/>
              <w:right w:w="120" w:type="dxa"/>
            </w:tcMar>
            <w:vAlign w:val="center"/>
          </w:tcPr>
          <w:p w14:paraId="179CBF1F">
            <w:pPr>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除上述A类设施外，还设置有自动喷水灭火系统、气体灭火系统、防烟排烟系统、电气火灾监控系统、可燃气体探测报警系统、消防设备电源监控、消防水炮、消防电梯、泡沫灭火系统、干粉灭火系统、消防水池/消防水箱、消防水泵及稳压设施等的建筑（含</w:t>
            </w:r>
            <w:r>
              <w:rPr>
                <w:rFonts w:hint="eastAsia" w:ascii="仿宋_GB2312" w:hAnsi="仿宋" w:eastAsia="仿宋_GB2312" w:cs="仿宋"/>
                <w:color w:val="auto"/>
                <w:sz w:val="24"/>
                <w:highlight w:val="none"/>
              </w:rPr>
              <w:t>条件允许后才纳入维保的建筑</w:t>
            </w:r>
            <w:r>
              <w:rPr>
                <w:rFonts w:hint="eastAsia" w:ascii="仿宋_GB2312" w:hAnsi="仿宋" w:eastAsia="仿宋_GB2312" w:cs="仿宋"/>
                <w:color w:val="auto"/>
                <w:sz w:val="24"/>
                <w:highlight w:val="none"/>
                <w:shd w:val="clear" w:color="auto" w:fill="FFFFFF"/>
              </w:rPr>
              <w:t>）。</w:t>
            </w:r>
          </w:p>
        </w:tc>
        <w:tc>
          <w:tcPr>
            <w:tcW w:w="1587" w:type="dxa"/>
            <w:tcMar>
              <w:top w:w="60" w:type="dxa"/>
              <w:left w:w="120" w:type="dxa"/>
              <w:bottom w:w="30" w:type="dxa"/>
              <w:right w:w="120" w:type="dxa"/>
            </w:tcMar>
            <w:vAlign w:val="center"/>
          </w:tcPr>
          <w:p w14:paraId="77092A77">
            <w:pPr>
              <w:jc w:val="center"/>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rPr>
              <w:t xml:space="preserve"> 1,219,711.93</w:t>
            </w:r>
          </w:p>
        </w:tc>
      </w:tr>
    </w:tbl>
    <w:p w14:paraId="098B7B39">
      <w:pPr>
        <w:pStyle w:val="6"/>
        <w:adjustRightInd w:val="0"/>
        <w:snapToGrid w:val="0"/>
        <w:spacing w:after="0" w:line="312" w:lineRule="auto"/>
        <w:ind w:firstLineChars="0"/>
        <w:rPr>
          <w:rFonts w:ascii="仿宋_GB2312" w:hAnsi="仿宋" w:cs="仿宋"/>
          <w:b/>
          <w:bCs/>
          <w:color w:val="auto"/>
          <w:sz w:val="24"/>
          <w:highlight w:val="none"/>
        </w:rPr>
      </w:pPr>
      <w:r>
        <w:rPr>
          <w:rFonts w:hint="eastAsia" w:ascii="仿宋_GB2312" w:hAnsi="仿宋" w:cs="仿宋"/>
          <w:b/>
          <w:bCs/>
          <w:color w:val="auto"/>
          <w:sz w:val="24"/>
          <w:highlight w:val="none"/>
        </w:rPr>
        <w:t>4、本次维保涉及的消防设施设备，至少包括：火灾自动报警系统、室内外消火栓系统、自动喷水灭火系统、气体灭火系统、防烟排烟系统、消防应急照明和疏散指示系统、防火分隔设施、电气火灾监控系统、可燃气体探测报警系统、消防设备电源监控系统、消防水炮系统及其他未列明的系统。以上各系统均包含组成该系统的全部设施设备。</w:t>
      </w:r>
    </w:p>
    <w:p w14:paraId="5D2C79EE">
      <w:pPr>
        <w:pStyle w:val="6"/>
        <w:adjustRightInd w:val="0"/>
        <w:snapToGrid w:val="0"/>
        <w:spacing w:after="0" w:line="312" w:lineRule="auto"/>
        <w:ind w:firstLineChars="0"/>
        <w:rPr>
          <w:rFonts w:ascii="仿宋_GB2312" w:hAnsi="仿宋" w:cs="仿宋"/>
          <w:b/>
          <w:bCs/>
          <w:color w:val="auto"/>
          <w:sz w:val="24"/>
          <w:highlight w:val="none"/>
        </w:rPr>
      </w:pPr>
    </w:p>
    <w:p w14:paraId="7A50DBAE">
      <w:pPr>
        <w:adjustRightInd w:val="0"/>
        <w:snapToGrid w:val="0"/>
        <w:spacing w:line="312" w:lineRule="auto"/>
        <w:outlineLvl w:val="1"/>
        <w:rPr>
          <w:rFonts w:ascii="仿宋_GB2312" w:hAnsi="仿宋" w:eastAsia="仿宋_GB2312" w:cs="仿宋"/>
          <w:b/>
          <w:bCs/>
          <w:color w:val="auto"/>
          <w:kern w:val="44"/>
          <w:sz w:val="28"/>
          <w:szCs w:val="28"/>
          <w:highlight w:val="none"/>
        </w:rPr>
      </w:pPr>
      <w:r>
        <w:rPr>
          <w:rFonts w:hint="eastAsia" w:ascii="仿宋_GB2312" w:hAnsi="仿宋" w:eastAsia="仿宋_GB2312" w:cs="仿宋"/>
          <w:b/>
          <w:bCs/>
          <w:color w:val="auto"/>
          <w:kern w:val="44"/>
          <w:sz w:val="28"/>
          <w:szCs w:val="28"/>
          <w:highlight w:val="none"/>
        </w:rPr>
        <w:t>三、服务标准及要求</w:t>
      </w:r>
    </w:p>
    <w:p w14:paraId="0A5B3400">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w:t>
      </w:r>
      <w:r>
        <w:rPr>
          <w:rFonts w:hint="eastAsia" w:ascii="仿宋_GB2312" w:hAnsi="仿宋" w:eastAsia="仿宋_GB2312" w:cs="仿宋"/>
          <w:color w:val="auto"/>
          <w:sz w:val="24"/>
          <w:highlight w:val="none"/>
        </w:rPr>
        <w:t>（一）技术标准要求</w:t>
      </w:r>
    </w:p>
    <w:p w14:paraId="2C5C3A56">
      <w:pPr>
        <w:pStyle w:val="5"/>
        <w:adjustRightInd w:val="0"/>
        <w:snapToGrid w:val="0"/>
        <w:spacing w:after="0" w:line="312" w:lineRule="auto"/>
        <w:ind w:firstLine="480" w:firstLineChars="200"/>
        <w:rPr>
          <w:rFonts w:ascii="仿宋_GB2312" w:hAnsi="仿宋" w:eastAsia="仿宋_GB2312" w:cs="仿宋"/>
          <w:color w:val="auto"/>
          <w:sz w:val="24"/>
          <w:highlight w:val="none"/>
          <w:shd w:val="clear" w:color="auto" w:fill="FFFFFF"/>
        </w:rPr>
      </w:pPr>
      <w:bookmarkStart w:id="10" w:name="heading_8"/>
      <w:r>
        <w:rPr>
          <w:rFonts w:hint="eastAsia" w:ascii="仿宋_GB2312" w:hAnsi="仿宋" w:eastAsia="仿宋_GB2312" w:cs="仿宋"/>
          <w:color w:val="auto"/>
          <w:sz w:val="24"/>
          <w:highlight w:val="none"/>
        </w:rPr>
        <w:t>投标人进行维护保养检测时，须按照《中华人民共和国消防法》《社会消防技术服务管理规定》（应急管理部令第7号）、《建筑消防设施的维护管理》（GB 25201-2010）、《消防设施通用规范》（GB 55036-2022）及现行国家、行业消防技术标准执行。上述标准如有更新，按最新版本执行。</w:t>
      </w:r>
    </w:p>
    <w:p w14:paraId="32E5160F">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w:t>
      </w:r>
      <w:r>
        <w:rPr>
          <w:rFonts w:hint="eastAsia" w:ascii="仿宋_GB2312" w:hAnsi="仿宋" w:eastAsia="仿宋_GB2312" w:cs="仿宋"/>
          <w:color w:val="auto"/>
          <w:sz w:val="24"/>
          <w:highlight w:val="none"/>
        </w:rPr>
        <w:t>（二）维保周期要求</w:t>
      </w:r>
      <w:bookmarkEnd w:id="10"/>
    </w:p>
    <w:p w14:paraId="1F6E8AD4">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xml:space="preserve">投标人进行维护保养时，检查周期及数量须按照下表执行，实际存在但表内未注明的消防设施设备，均按照现行国家标准、行业标准执行。 </w:t>
      </w:r>
    </w:p>
    <w:p w14:paraId="716D40CE">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xml:space="preserve">1、火灾自动报警系统 </w:t>
      </w:r>
    </w:p>
    <w:tbl>
      <w:tblPr>
        <w:tblStyle w:val="12"/>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3969"/>
        <w:gridCol w:w="1276"/>
        <w:gridCol w:w="3544"/>
      </w:tblGrid>
      <w:tr w14:paraId="06140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969" w:type="dxa"/>
            <w:tcMar>
              <w:top w:w="60" w:type="dxa"/>
              <w:left w:w="120" w:type="dxa"/>
              <w:bottom w:w="30" w:type="dxa"/>
              <w:right w:w="120" w:type="dxa"/>
            </w:tcMar>
          </w:tcPr>
          <w:p w14:paraId="00BF5BC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设施设备</w:t>
            </w:r>
          </w:p>
        </w:tc>
        <w:tc>
          <w:tcPr>
            <w:tcW w:w="1276" w:type="dxa"/>
            <w:tcMar>
              <w:top w:w="60" w:type="dxa"/>
              <w:left w:w="120" w:type="dxa"/>
              <w:bottom w:w="30" w:type="dxa"/>
              <w:right w:w="120" w:type="dxa"/>
            </w:tcMar>
          </w:tcPr>
          <w:p w14:paraId="78FC632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周期</w:t>
            </w:r>
          </w:p>
        </w:tc>
        <w:tc>
          <w:tcPr>
            <w:tcW w:w="3544" w:type="dxa"/>
            <w:tcMar>
              <w:top w:w="60" w:type="dxa"/>
              <w:left w:w="120" w:type="dxa"/>
              <w:bottom w:w="30" w:type="dxa"/>
              <w:right w:w="120" w:type="dxa"/>
            </w:tcMar>
          </w:tcPr>
          <w:p w14:paraId="19EBF1F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检查数量</w:t>
            </w:r>
          </w:p>
        </w:tc>
      </w:tr>
      <w:tr w14:paraId="71E5E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969" w:type="dxa"/>
            <w:tcMar>
              <w:top w:w="60" w:type="dxa"/>
              <w:left w:w="120" w:type="dxa"/>
              <w:bottom w:w="30" w:type="dxa"/>
              <w:right w:w="120" w:type="dxa"/>
            </w:tcMar>
          </w:tcPr>
          <w:p w14:paraId="66D0C0E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火灾探测器</w:t>
            </w:r>
          </w:p>
        </w:tc>
        <w:tc>
          <w:tcPr>
            <w:tcW w:w="1276" w:type="dxa"/>
            <w:tcMar>
              <w:top w:w="60" w:type="dxa"/>
              <w:left w:w="120" w:type="dxa"/>
              <w:bottom w:w="30" w:type="dxa"/>
              <w:right w:w="120" w:type="dxa"/>
            </w:tcMar>
          </w:tcPr>
          <w:p w14:paraId="532B5AA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544" w:type="dxa"/>
            <w:tcMar>
              <w:top w:w="60" w:type="dxa"/>
              <w:left w:w="120" w:type="dxa"/>
              <w:bottom w:w="30" w:type="dxa"/>
              <w:right w:w="120" w:type="dxa"/>
            </w:tcMar>
          </w:tcPr>
          <w:p w14:paraId="4F50485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全数，每月≥8%，每季≥25%</w:t>
            </w:r>
          </w:p>
        </w:tc>
      </w:tr>
      <w:tr w14:paraId="4FACD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969" w:type="dxa"/>
            <w:tcMar>
              <w:top w:w="60" w:type="dxa"/>
              <w:left w:w="120" w:type="dxa"/>
              <w:bottom w:w="30" w:type="dxa"/>
              <w:right w:w="120" w:type="dxa"/>
            </w:tcMar>
          </w:tcPr>
          <w:p w14:paraId="020E50E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声光报警器</w:t>
            </w:r>
          </w:p>
        </w:tc>
        <w:tc>
          <w:tcPr>
            <w:tcW w:w="1276" w:type="dxa"/>
            <w:tcMar>
              <w:top w:w="60" w:type="dxa"/>
              <w:left w:w="120" w:type="dxa"/>
              <w:bottom w:w="30" w:type="dxa"/>
              <w:right w:w="120" w:type="dxa"/>
            </w:tcMar>
          </w:tcPr>
          <w:p w14:paraId="6F946BD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544" w:type="dxa"/>
            <w:tcMar>
              <w:top w:w="60" w:type="dxa"/>
              <w:left w:w="120" w:type="dxa"/>
              <w:bottom w:w="30" w:type="dxa"/>
              <w:right w:w="120" w:type="dxa"/>
            </w:tcMar>
          </w:tcPr>
          <w:p w14:paraId="35ACC6E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全数，每月≥8%，每季≥25%</w:t>
            </w:r>
          </w:p>
        </w:tc>
      </w:tr>
      <w:tr w14:paraId="48102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969" w:type="dxa"/>
            <w:tcMar>
              <w:top w:w="60" w:type="dxa"/>
              <w:left w:w="120" w:type="dxa"/>
              <w:bottom w:w="30" w:type="dxa"/>
              <w:right w:w="120" w:type="dxa"/>
            </w:tcMar>
          </w:tcPr>
          <w:p w14:paraId="23668E4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手动报警按钮</w:t>
            </w:r>
          </w:p>
        </w:tc>
        <w:tc>
          <w:tcPr>
            <w:tcW w:w="1276" w:type="dxa"/>
            <w:tcMar>
              <w:top w:w="60" w:type="dxa"/>
              <w:left w:w="120" w:type="dxa"/>
              <w:bottom w:w="30" w:type="dxa"/>
              <w:right w:w="120" w:type="dxa"/>
            </w:tcMar>
          </w:tcPr>
          <w:p w14:paraId="2E0DD8D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544" w:type="dxa"/>
            <w:tcMar>
              <w:top w:w="60" w:type="dxa"/>
              <w:left w:w="120" w:type="dxa"/>
              <w:bottom w:w="30" w:type="dxa"/>
              <w:right w:w="120" w:type="dxa"/>
            </w:tcMar>
          </w:tcPr>
          <w:p w14:paraId="0155D9D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全数，每月≥8%，每季≥25%</w:t>
            </w:r>
          </w:p>
        </w:tc>
      </w:tr>
      <w:tr w14:paraId="514FB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969" w:type="dxa"/>
            <w:tcMar>
              <w:top w:w="60" w:type="dxa"/>
              <w:left w:w="120" w:type="dxa"/>
              <w:bottom w:w="30" w:type="dxa"/>
              <w:right w:w="120" w:type="dxa"/>
            </w:tcMar>
          </w:tcPr>
          <w:p w14:paraId="28AF0E7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消防应急广播</w:t>
            </w:r>
          </w:p>
        </w:tc>
        <w:tc>
          <w:tcPr>
            <w:tcW w:w="1276" w:type="dxa"/>
            <w:tcMar>
              <w:top w:w="60" w:type="dxa"/>
              <w:left w:w="120" w:type="dxa"/>
              <w:bottom w:w="30" w:type="dxa"/>
              <w:right w:w="120" w:type="dxa"/>
            </w:tcMar>
          </w:tcPr>
          <w:p w14:paraId="0CF4A0F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544" w:type="dxa"/>
            <w:tcMar>
              <w:top w:w="60" w:type="dxa"/>
              <w:left w:w="120" w:type="dxa"/>
              <w:bottom w:w="30" w:type="dxa"/>
              <w:right w:w="120" w:type="dxa"/>
            </w:tcMar>
          </w:tcPr>
          <w:p w14:paraId="33936AC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4921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969" w:type="dxa"/>
            <w:tcMar>
              <w:top w:w="60" w:type="dxa"/>
              <w:left w:w="120" w:type="dxa"/>
              <w:bottom w:w="30" w:type="dxa"/>
              <w:right w:w="120" w:type="dxa"/>
            </w:tcMar>
          </w:tcPr>
          <w:p w14:paraId="0E49588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消防电话</w:t>
            </w:r>
          </w:p>
        </w:tc>
        <w:tc>
          <w:tcPr>
            <w:tcW w:w="1276" w:type="dxa"/>
            <w:tcMar>
              <w:top w:w="60" w:type="dxa"/>
              <w:left w:w="120" w:type="dxa"/>
              <w:bottom w:w="30" w:type="dxa"/>
              <w:right w:w="120" w:type="dxa"/>
            </w:tcMar>
          </w:tcPr>
          <w:p w14:paraId="75026F7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544" w:type="dxa"/>
            <w:tcMar>
              <w:top w:w="60" w:type="dxa"/>
              <w:left w:w="120" w:type="dxa"/>
              <w:bottom w:w="30" w:type="dxa"/>
              <w:right w:w="120" w:type="dxa"/>
            </w:tcMar>
          </w:tcPr>
          <w:p w14:paraId="62AFDDE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7E9A2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969" w:type="dxa"/>
            <w:tcMar>
              <w:top w:w="60" w:type="dxa"/>
              <w:left w:w="120" w:type="dxa"/>
              <w:bottom w:w="30" w:type="dxa"/>
              <w:right w:w="120" w:type="dxa"/>
            </w:tcMar>
          </w:tcPr>
          <w:p w14:paraId="042B71F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消防电梯</w:t>
            </w:r>
          </w:p>
        </w:tc>
        <w:tc>
          <w:tcPr>
            <w:tcW w:w="1276" w:type="dxa"/>
            <w:tcMar>
              <w:top w:w="60" w:type="dxa"/>
              <w:left w:w="120" w:type="dxa"/>
              <w:bottom w:w="30" w:type="dxa"/>
              <w:right w:w="120" w:type="dxa"/>
            </w:tcMar>
          </w:tcPr>
          <w:p w14:paraId="2A63D5E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544" w:type="dxa"/>
            <w:tcMar>
              <w:top w:w="60" w:type="dxa"/>
              <w:left w:w="120" w:type="dxa"/>
              <w:bottom w:w="30" w:type="dxa"/>
              <w:right w:w="120" w:type="dxa"/>
            </w:tcMar>
          </w:tcPr>
          <w:p w14:paraId="40290DB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39B9E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969" w:type="dxa"/>
            <w:tcMar>
              <w:top w:w="60" w:type="dxa"/>
              <w:left w:w="120" w:type="dxa"/>
              <w:bottom w:w="30" w:type="dxa"/>
              <w:right w:w="120" w:type="dxa"/>
            </w:tcMar>
          </w:tcPr>
          <w:p w14:paraId="2ABEA56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非消防电源联动切断功能</w:t>
            </w:r>
          </w:p>
        </w:tc>
        <w:tc>
          <w:tcPr>
            <w:tcW w:w="1276" w:type="dxa"/>
            <w:tcMar>
              <w:top w:w="60" w:type="dxa"/>
              <w:left w:w="120" w:type="dxa"/>
              <w:bottom w:w="30" w:type="dxa"/>
              <w:right w:w="120" w:type="dxa"/>
            </w:tcMar>
          </w:tcPr>
          <w:p w14:paraId="4A28383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544" w:type="dxa"/>
            <w:tcMar>
              <w:top w:w="60" w:type="dxa"/>
              <w:left w:w="120" w:type="dxa"/>
              <w:bottom w:w="30" w:type="dxa"/>
              <w:right w:w="120" w:type="dxa"/>
            </w:tcMar>
          </w:tcPr>
          <w:p w14:paraId="61482B2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59594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969" w:type="dxa"/>
            <w:tcMar>
              <w:top w:w="60" w:type="dxa"/>
              <w:left w:w="120" w:type="dxa"/>
              <w:bottom w:w="30" w:type="dxa"/>
              <w:right w:w="120" w:type="dxa"/>
            </w:tcMar>
          </w:tcPr>
          <w:p w14:paraId="173BD82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系统联动测试</w:t>
            </w:r>
          </w:p>
        </w:tc>
        <w:tc>
          <w:tcPr>
            <w:tcW w:w="1276" w:type="dxa"/>
            <w:tcMar>
              <w:top w:w="60" w:type="dxa"/>
              <w:left w:w="120" w:type="dxa"/>
              <w:bottom w:w="30" w:type="dxa"/>
              <w:right w:w="120" w:type="dxa"/>
            </w:tcMar>
          </w:tcPr>
          <w:p w14:paraId="02A4F44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544" w:type="dxa"/>
            <w:tcMar>
              <w:top w:w="60" w:type="dxa"/>
              <w:left w:w="120" w:type="dxa"/>
              <w:bottom w:w="30" w:type="dxa"/>
              <w:right w:w="120" w:type="dxa"/>
            </w:tcMar>
          </w:tcPr>
          <w:p w14:paraId="09B7333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1次</w:t>
            </w:r>
          </w:p>
        </w:tc>
      </w:tr>
      <w:tr w14:paraId="5C58E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969" w:type="dxa"/>
            <w:tcMar>
              <w:top w:w="60" w:type="dxa"/>
              <w:left w:w="120" w:type="dxa"/>
              <w:bottom w:w="30" w:type="dxa"/>
              <w:right w:w="120" w:type="dxa"/>
            </w:tcMar>
          </w:tcPr>
          <w:p w14:paraId="00490E5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火灾显示盘</w:t>
            </w:r>
          </w:p>
        </w:tc>
        <w:tc>
          <w:tcPr>
            <w:tcW w:w="1276" w:type="dxa"/>
            <w:tcMar>
              <w:top w:w="60" w:type="dxa"/>
              <w:left w:w="120" w:type="dxa"/>
              <w:bottom w:w="30" w:type="dxa"/>
              <w:right w:w="120" w:type="dxa"/>
            </w:tcMar>
          </w:tcPr>
          <w:p w14:paraId="2CA9C79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544" w:type="dxa"/>
            <w:tcMar>
              <w:top w:w="60" w:type="dxa"/>
              <w:left w:w="120" w:type="dxa"/>
              <w:bottom w:w="30" w:type="dxa"/>
              <w:right w:w="120" w:type="dxa"/>
            </w:tcMar>
          </w:tcPr>
          <w:p w14:paraId="7715755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07068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969" w:type="dxa"/>
            <w:tcMar>
              <w:top w:w="60" w:type="dxa"/>
              <w:left w:w="120" w:type="dxa"/>
              <w:bottom w:w="30" w:type="dxa"/>
              <w:right w:w="120" w:type="dxa"/>
            </w:tcMar>
          </w:tcPr>
          <w:p w14:paraId="0F7473C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火灾报警控制器及联动控制器</w:t>
            </w:r>
          </w:p>
        </w:tc>
        <w:tc>
          <w:tcPr>
            <w:tcW w:w="1276" w:type="dxa"/>
            <w:tcMar>
              <w:top w:w="60" w:type="dxa"/>
              <w:left w:w="120" w:type="dxa"/>
              <w:bottom w:w="30" w:type="dxa"/>
              <w:right w:w="120" w:type="dxa"/>
            </w:tcMar>
          </w:tcPr>
          <w:p w14:paraId="66C7941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544" w:type="dxa"/>
            <w:tcMar>
              <w:top w:w="60" w:type="dxa"/>
              <w:left w:w="120" w:type="dxa"/>
              <w:bottom w:w="30" w:type="dxa"/>
              <w:right w:w="120" w:type="dxa"/>
            </w:tcMar>
          </w:tcPr>
          <w:p w14:paraId="33A47C9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29B7B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969" w:type="dxa"/>
            <w:tcMar>
              <w:top w:w="60" w:type="dxa"/>
              <w:left w:w="120" w:type="dxa"/>
              <w:bottom w:w="30" w:type="dxa"/>
              <w:right w:w="120" w:type="dxa"/>
            </w:tcMar>
          </w:tcPr>
          <w:p w14:paraId="7EE0CF6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消防控制室图形显示装置</w:t>
            </w:r>
          </w:p>
        </w:tc>
        <w:tc>
          <w:tcPr>
            <w:tcW w:w="1276" w:type="dxa"/>
            <w:tcMar>
              <w:top w:w="60" w:type="dxa"/>
              <w:left w:w="120" w:type="dxa"/>
              <w:bottom w:w="30" w:type="dxa"/>
              <w:right w:w="120" w:type="dxa"/>
            </w:tcMar>
          </w:tcPr>
          <w:p w14:paraId="145006E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544" w:type="dxa"/>
            <w:tcMar>
              <w:top w:w="60" w:type="dxa"/>
              <w:left w:w="120" w:type="dxa"/>
              <w:bottom w:w="30" w:type="dxa"/>
              <w:right w:w="120" w:type="dxa"/>
            </w:tcMar>
          </w:tcPr>
          <w:p w14:paraId="7C03386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bl>
    <w:p w14:paraId="14D04528">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xml:space="preserve">2、消防水源 </w:t>
      </w:r>
    </w:p>
    <w:tbl>
      <w:tblPr>
        <w:tblStyle w:val="12"/>
        <w:tblW w:w="8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43"/>
        <w:gridCol w:w="1417"/>
        <w:gridCol w:w="2975"/>
      </w:tblGrid>
      <w:tr w14:paraId="6C09C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43" w:type="dxa"/>
            <w:tcMar>
              <w:top w:w="60" w:type="dxa"/>
              <w:left w:w="120" w:type="dxa"/>
              <w:bottom w:w="30" w:type="dxa"/>
              <w:right w:w="120" w:type="dxa"/>
            </w:tcMar>
          </w:tcPr>
          <w:p w14:paraId="0817694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设施设备</w:t>
            </w:r>
          </w:p>
        </w:tc>
        <w:tc>
          <w:tcPr>
            <w:tcW w:w="1417" w:type="dxa"/>
            <w:tcMar>
              <w:top w:w="60" w:type="dxa"/>
              <w:left w:w="120" w:type="dxa"/>
              <w:bottom w:w="30" w:type="dxa"/>
              <w:right w:w="120" w:type="dxa"/>
            </w:tcMar>
          </w:tcPr>
          <w:p w14:paraId="35FB16F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周期</w:t>
            </w:r>
          </w:p>
        </w:tc>
        <w:tc>
          <w:tcPr>
            <w:tcW w:w="2975" w:type="dxa"/>
            <w:tcMar>
              <w:top w:w="60" w:type="dxa"/>
              <w:left w:w="120" w:type="dxa"/>
              <w:bottom w:w="30" w:type="dxa"/>
              <w:right w:w="120" w:type="dxa"/>
            </w:tcMar>
          </w:tcPr>
          <w:p w14:paraId="08213FF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检查数量</w:t>
            </w:r>
          </w:p>
        </w:tc>
      </w:tr>
      <w:tr w14:paraId="3D969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43" w:type="dxa"/>
            <w:tcMar>
              <w:top w:w="60" w:type="dxa"/>
              <w:left w:w="120" w:type="dxa"/>
              <w:bottom w:w="30" w:type="dxa"/>
              <w:right w:w="120" w:type="dxa"/>
            </w:tcMar>
          </w:tcPr>
          <w:p w14:paraId="29B07D4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天然水源水位及蓄水量</w:t>
            </w:r>
          </w:p>
        </w:tc>
        <w:tc>
          <w:tcPr>
            <w:tcW w:w="1417" w:type="dxa"/>
            <w:tcMar>
              <w:top w:w="60" w:type="dxa"/>
              <w:left w:w="120" w:type="dxa"/>
              <w:bottom w:w="30" w:type="dxa"/>
              <w:right w:w="120" w:type="dxa"/>
            </w:tcMar>
          </w:tcPr>
          <w:p w14:paraId="702D1DF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2975" w:type="dxa"/>
            <w:tcMar>
              <w:top w:w="60" w:type="dxa"/>
              <w:left w:w="120" w:type="dxa"/>
              <w:bottom w:w="30" w:type="dxa"/>
              <w:right w:w="120" w:type="dxa"/>
            </w:tcMar>
          </w:tcPr>
          <w:p w14:paraId="6A0A2CC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407AD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43" w:type="dxa"/>
            <w:tcMar>
              <w:top w:w="60" w:type="dxa"/>
              <w:left w:w="120" w:type="dxa"/>
              <w:bottom w:w="30" w:type="dxa"/>
              <w:right w:w="120" w:type="dxa"/>
            </w:tcMar>
          </w:tcPr>
          <w:p w14:paraId="79D377B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地下水水源水位及出水量</w:t>
            </w:r>
          </w:p>
        </w:tc>
        <w:tc>
          <w:tcPr>
            <w:tcW w:w="1417" w:type="dxa"/>
            <w:tcMar>
              <w:top w:w="60" w:type="dxa"/>
              <w:left w:w="120" w:type="dxa"/>
              <w:bottom w:w="30" w:type="dxa"/>
              <w:right w:w="120" w:type="dxa"/>
            </w:tcMar>
          </w:tcPr>
          <w:p w14:paraId="2D8C8EC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2975" w:type="dxa"/>
            <w:tcMar>
              <w:top w:w="60" w:type="dxa"/>
              <w:left w:w="120" w:type="dxa"/>
              <w:bottom w:w="30" w:type="dxa"/>
              <w:right w:w="120" w:type="dxa"/>
            </w:tcMar>
          </w:tcPr>
          <w:p w14:paraId="04890A7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11540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43" w:type="dxa"/>
            <w:tcMar>
              <w:top w:w="60" w:type="dxa"/>
              <w:left w:w="120" w:type="dxa"/>
              <w:bottom w:w="30" w:type="dxa"/>
              <w:right w:w="120" w:type="dxa"/>
            </w:tcMar>
          </w:tcPr>
          <w:p w14:paraId="7806427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消防水池/水箱结构材料</w:t>
            </w:r>
          </w:p>
        </w:tc>
        <w:tc>
          <w:tcPr>
            <w:tcW w:w="1417" w:type="dxa"/>
            <w:tcMar>
              <w:top w:w="60" w:type="dxa"/>
              <w:left w:w="120" w:type="dxa"/>
              <w:bottom w:w="30" w:type="dxa"/>
              <w:right w:w="120" w:type="dxa"/>
            </w:tcMar>
          </w:tcPr>
          <w:p w14:paraId="285080A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2975" w:type="dxa"/>
            <w:tcMar>
              <w:top w:w="60" w:type="dxa"/>
              <w:left w:w="120" w:type="dxa"/>
              <w:bottom w:w="30" w:type="dxa"/>
              <w:right w:w="120" w:type="dxa"/>
            </w:tcMar>
          </w:tcPr>
          <w:p w14:paraId="45EFC1C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7B06F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43" w:type="dxa"/>
            <w:tcMar>
              <w:top w:w="60" w:type="dxa"/>
              <w:left w:w="120" w:type="dxa"/>
              <w:bottom w:w="30" w:type="dxa"/>
              <w:right w:w="120" w:type="dxa"/>
            </w:tcMar>
          </w:tcPr>
          <w:p w14:paraId="67D5D43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市政给水管网压力及供水能力</w:t>
            </w:r>
          </w:p>
        </w:tc>
        <w:tc>
          <w:tcPr>
            <w:tcW w:w="1417" w:type="dxa"/>
            <w:tcMar>
              <w:top w:w="60" w:type="dxa"/>
              <w:left w:w="120" w:type="dxa"/>
              <w:bottom w:w="30" w:type="dxa"/>
              <w:right w:w="120" w:type="dxa"/>
            </w:tcMar>
          </w:tcPr>
          <w:p w14:paraId="044CA75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2975" w:type="dxa"/>
            <w:tcMar>
              <w:top w:w="60" w:type="dxa"/>
              <w:left w:w="120" w:type="dxa"/>
              <w:bottom w:w="30" w:type="dxa"/>
              <w:right w:w="120" w:type="dxa"/>
            </w:tcMar>
          </w:tcPr>
          <w:p w14:paraId="7547DC1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5CBB8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43" w:type="dxa"/>
            <w:tcMar>
              <w:top w:w="60" w:type="dxa"/>
              <w:left w:w="120" w:type="dxa"/>
              <w:bottom w:w="30" w:type="dxa"/>
              <w:right w:w="120" w:type="dxa"/>
            </w:tcMar>
          </w:tcPr>
          <w:p w14:paraId="7D420F6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消防水池/高位水箱水位</w:t>
            </w:r>
          </w:p>
        </w:tc>
        <w:tc>
          <w:tcPr>
            <w:tcW w:w="1417" w:type="dxa"/>
            <w:tcMar>
              <w:top w:w="60" w:type="dxa"/>
              <w:left w:w="120" w:type="dxa"/>
              <w:bottom w:w="30" w:type="dxa"/>
              <w:right w:w="120" w:type="dxa"/>
            </w:tcMar>
          </w:tcPr>
          <w:p w14:paraId="6156C3F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2975" w:type="dxa"/>
            <w:tcMar>
              <w:top w:w="60" w:type="dxa"/>
              <w:left w:w="120" w:type="dxa"/>
              <w:bottom w:w="30" w:type="dxa"/>
              <w:right w:w="120" w:type="dxa"/>
            </w:tcMar>
          </w:tcPr>
          <w:p w14:paraId="41755AC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bl>
    <w:p w14:paraId="1CDEDF33">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xml:space="preserve">3、消火栓系统 </w:t>
      </w:r>
    </w:p>
    <w:tbl>
      <w:tblPr>
        <w:tblStyle w:val="12"/>
        <w:tblW w:w="9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60"/>
        <w:gridCol w:w="1400"/>
        <w:gridCol w:w="3232"/>
      </w:tblGrid>
      <w:tr w14:paraId="332EE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60" w:type="dxa"/>
            <w:tcMar>
              <w:top w:w="60" w:type="dxa"/>
              <w:left w:w="120" w:type="dxa"/>
              <w:bottom w:w="30" w:type="dxa"/>
              <w:right w:w="120" w:type="dxa"/>
            </w:tcMar>
          </w:tcPr>
          <w:p w14:paraId="1B3C09C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设施设备</w:t>
            </w:r>
          </w:p>
        </w:tc>
        <w:tc>
          <w:tcPr>
            <w:tcW w:w="1400" w:type="dxa"/>
            <w:tcMar>
              <w:top w:w="60" w:type="dxa"/>
              <w:left w:w="120" w:type="dxa"/>
              <w:bottom w:w="30" w:type="dxa"/>
              <w:right w:w="120" w:type="dxa"/>
            </w:tcMar>
          </w:tcPr>
          <w:p w14:paraId="7685BE6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周期</w:t>
            </w:r>
          </w:p>
        </w:tc>
        <w:tc>
          <w:tcPr>
            <w:tcW w:w="3232" w:type="dxa"/>
            <w:tcMar>
              <w:top w:w="60" w:type="dxa"/>
              <w:left w:w="120" w:type="dxa"/>
              <w:bottom w:w="30" w:type="dxa"/>
              <w:right w:w="120" w:type="dxa"/>
            </w:tcMar>
          </w:tcPr>
          <w:p w14:paraId="6ADC57C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检查数量</w:t>
            </w:r>
          </w:p>
        </w:tc>
      </w:tr>
      <w:tr w14:paraId="75724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60" w:type="dxa"/>
            <w:tcMar>
              <w:top w:w="60" w:type="dxa"/>
              <w:left w:w="120" w:type="dxa"/>
              <w:bottom w:w="30" w:type="dxa"/>
              <w:right w:w="120" w:type="dxa"/>
            </w:tcMar>
          </w:tcPr>
          <w:p w14:paraId="54F7E83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减压阀流量和压力试验</w:t>
            </w:r>
          </w:p>
        </w:tc>
        <w:tc>
          <w:tcPr>
            <w:tcW w:w="1400" w:type="dxa"/>
            <w:tcMar>
              <w:top w:w="60" w:type="dxa"/>
              <w:left w:w="120" w:type="dxa"/>
              <w:bottom w:w="30" w:type="dxa"/>
              <w:right w:w="120" w:type="dxa"/>
            </w:tcMar>
          </w:tcPr>
          <w:p w14:paraId="2D9246C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32" w:type="dxa"/>
            <w:tcMar>
              <w:top w:w="60" w:type="dxa"/>
              <w:left w:w="120" w:type="dxa"/>
              <w:bottom w:w="30" w:type="dxa"/>
              <w:right w:w="120" w:type="dxa"/>
            </w:tcMar>
          </w:tcPr>
          <w:p w14:paraId="0CF5C01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0261A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60" w:type="dxa"/>
            <w:tcMar>
              <w:top w:w="60" w:type="dxa"/>
              <w:left w:w="120" w:type="dxa"/>
              <w:bottom w:w="30" w:type="dxa"/>
              <w:right w:w="120" w:type="dxa"/>
            </w:tcMar>
          </w:tcPr>
          <w:p w14:paraId="02A17CB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消火栓按钮</w:t>
            </w:r>
          </w:p>
        </w:tc>
        <w:tc>
          <w:tcPr>
            <w:tcW w:w="1400" w:type="dxa"/>
            <w:tcMar>
              <w:top w:w="60" w:type="dxa"/>
              <w:left w:w="120" w:type="dxa"/>
              <w:bottom w:w="30" w:type="dxa"/>
              <w:right w:w="120" w:type="dxa"/>
            </w:tcMar>
          </w:tcPr>
          <w:p w14:paraId="42B2C27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32" w:type="dxa"/>
            <w:tcMar>
              <w:top w:w="60" w:type="dxa"/>
              <w:left w:w="120" w:type="dxa"/>
              <w:bottom w:w="30" w:type="dxa"/>
              <w:right w:w="120" w:type="dxa"/>
            </w:tcMar>
          </w:tcPr>
          <w:p w14:paraId="056923D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全数，每月≥8%，每季≥25%</w:t>
            </w:r>
          </w:p>
        </w:tc>
      </w:tr>
      <w:tr w14:paraId="508D6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60" w:type="dxa"/>
            <w:tcMar>
              <w:top w:w="60" w:type="dxa"/>
              <w:left w:w="120" w:type="dxa"/>
              <w:bottom w:w="30" w:type="dxa"/>
              <w:right w:w="120" w:type="dxa"/>
            </w:tcMar>
          </w:tcPr>
          <w:p w14:paraId="7A6EC98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系统过滤器排渣及检查</w:t>
            </w:r>
          </w:p>
        </w:tc>
        <w:tc>
          <w:tcPr>
            <w:tcW w:w="1400" w:type="dxa"/>
            <w:tcMar>
              <w:top w:w="60" w:type="dxa"/>
              <w:left w:w="120" w:type="dxa"/>
              <w:bottom w:w="30" w:type="dxa"/>
              <w:right w:w="120" w:type="dxa"/>
            </w:tcMar>
          </w:tcPr>
          <w:p w14:paraId="5A9ADBD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32" w:type="dxa"/>
            <w:tcMar>
              <w:top w:w="60" w:type="dxa"/>
              <w:left w:w="120" w:type="dxa"/>
              <w:bottom w:w="30" w:type="dxa"/>
              <w:right w:w="120" w:type="dxa"/>
            </w:tcMar>
          </w:tcPr>
          <w:p w14:paraId="1A449F7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37FAD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60" w:type="dxa"/>
            <w:tcMar>
              <w:top w:w="60" w:type="dxa"/>
              <w:left w:w="120" w:type="dxa"/>
              <w:bottom w:w="30" w:type="dxa"/>
              <w:right w:w="120" w:type="dxa"/>
            </w:tcMar>
          </w:tcPr>
          <w:p w14:paraId="4965F99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消火栓系统功能</w:t>
            </w:r>
          </w:p>
        </w:tc>
        <w:tc>
          <w:tcPr>
            <w:tcW w:w="1400" w:type="dxa"/>
            <w:tcMar>
              <w:top w:w="60" w:type="dxa"/>
              <w:left w:w="120" w:type="dxa"/>
              <w:bottom w:w="30" w:type="dxa"/>
              <w:right w:w="120" w:type="dxa"/>
            </w:tcMar>
          </w:tcPr>
          <w:p w14:paraId="1BF9118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32" w:type="dxa"/>
            <w:tcMar>
              <w:top w:w="60" w:type="dxa"/>
              <w:left w:w="120" w:type="dxa"/>
              <w:bottom w:w="30" w:type="dxa"/>
              <w:right w:w="120" w:type="dxa"/>
            </w:tcMar>
          </w:tcPr>
          <w:p w14:paraId="3C16D2D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1次</w:t>
            </w:r>
          </w:p>
        </w:tc>
      </w:tr>
      <w:tr w14:paraId="12D29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60" w:type="dxa"/>
            <w:tcMar>
              <w:top w:w="60" w:type="dxa"/>
              <w:left w:w="120" w:type="dxa"/>
              <w:bottom w:w="30" w:type="dxa"/>
              <w:right w:w="120" w:type="dxa"/>
            </w:tcMar>
          </w:tcPr>
          <w:p w14:paraId="28DB483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消防水泵出流量和压力试验</w:t>
            </w:r>
          </w:p>
        </w:tc>
        <w:tc>
          <w:tcPr>
            <w:tcW w:w="1400" w:type="dxa"/>
            <w:tcMar>
              <w:top w:w="60" w:type="dxa"/>
              <w:left w:w="120" w:type="dxa"/>
              <w:bottom w:w="30" w:type="dxa"/>
              <w:right w:w="120" w:type="dxa"/>
            </w:tcMar>
          </w:tcPr>
          <w:p w14:paraId="35FADE8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32" w:type="dxa"/>
            <w:tcMar>
              <w:top w:w="60" w:type="dxa"/>
              <w:left w:w="120" w:type="dxa"/>
              <w:bottom w:w="30" w:type="dxa"/>
              <w:right w:w="120" w:type="dxa"/>
            </w:tcMar>
          </w:tcPr>
          <w:p w14:paraId="2816558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5B207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60" w:type="dxa"/>
            <w:tcMar>
              <w:top w:w="60" w:type="dxa"/>
              <w:left w:w="120" w:type="dxa"/>
              <w:bottom w:w="30" w:type="dxa"/>
              <w:right w:w="120" w:type="dxa"/>
            </w:tcMar>
          </w:tcPr>
          <w:p w14:paraId="1D30C13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室外阀门井控制阀门</w:t>
            </w:r>
          </w:p>
        </w:tc>
        <w:tc>
          <w:tcPr>
            <w:tcW w:w="1400" w:type="dxa"/>
            <w:tcMar>
              <w:top w:w="60" w:type="dxa"/>
              <w:left w:w="120" w:type="dxa"/>
              <w:bottom w:w="30" w:type="dxa"/>
              <w:right w:w="120" w:type="dxa"/>
            </w:tcMar>
          </w:tcPr>
          <w:p w14:paraId="33AEE51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32" w:type="dxa"/>
            <w:tcMar>
              <w:top w:w="60" w:type="dxa"/>
              <w:left w:w="120" w:type="dxa"/>
              <w:bottom w:w="30" w:type="dxa"/>
              <w:right w:w="120" w:type="dxa"/>
            </w:tcMar>
          </w:tcPr>
          <w:p w14:paraId="4F026D2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76452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60" w:type="dxa"/>
            <w:tcMar>
              <w:top w:w="60" w:type="dxa"/>
              <w:left w:w="120" w:type="dxa"/>
              <w:bottom w:w="30" w:type="dxa"/>
              <w:right w:w="120" w:type="dxa"/>
            </w:tcMar>
          </w:tcPr>
          <w:p w14:paraId="2A51E83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末端试水阀及报警阀放水试验</w:t>
            </w:r>
          </w:p>
        </w:tc>
        <w:tc>
          <w:tcPr>
            <w:tcW w:w="1400" w:type="dxa"/>
            <w:tcMar>
              <w:top w:w="60" w:type="dxa"/>
              <w:left w:w="120" w:type="dxa"/>
              <w:bottom w:w="30" w:type="dxa"/>
              <w:right w:w="120" w:type="dxa"/>
            </w:tcMar>
          </w:tcPr>
          <w:p w14:paraId="1194C13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32" w:type="dxa"/>
            <w:tcMar>
              <w:top w:w="60" w:type="dxa"/>
              <w:left w:w="120" w:type="dxa"/>
              <w:bottom w:w="30" w:type="dxa"/>
              <w:right w:w="120" w:type="dxa"/>
            </w:tcMar>
          </w:tcPr>
          <w:p w14:paraId="4768D41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020BB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60" w:type="dxa"/>
            <w:tcMar>
              <w:top w:w="60" w:type="dxa"/>
              <w:left w:w="120" w:type="dxa"/>
              <w:bottom w:w="30" w:type="dxa"/>
              <w:right w:w="120" w:type="dxa"/>
            </w:tcMar>
          </w:tcPr>
          <w:p w14:paraId="0EF8DB3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水泵接合器接口及附件</w:t>
            </w:r>
          </w:p>
        </w:tc>
        <w:tc>
          <w:tcPr>
            <w:tcW w:w="1400" w:type="dxa"/>
            <w:tcMar>
              <w:top w:w="60" w:type="dxa"/>
              <w:left w:w="120" w:type="dxa"/>
              <w:bottom w:w="30" w:type="dxa"/>
              <w:right w:w="120" w:type="dxa"/>
            </w:tcMar>
          </w:tcPr>
          <w:p w14:paraId="6BD28C7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32" w:type="dxa"/>
            <w:tcMar>
              <w:top w:w="60" w:type="dxa"/>
              <w:left w:w="120" w:type="dxa"/>
              <w:bottom w:w="30" w:type="dxa"/>
              <w:right w:w="120" w:type="dxa"/>
            </w:tcMar>
          </w:tcPr>
          <w:p w14:paraId="1A71618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788B9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60" w:type="dxa"/>
            <w:tcMar>
              <w:top w:w="60" w:type="dxa"/>
              <w:left w:w="120" w:type="dxa"/>
              <w:bottom w:w="30" w:type="dxa"/>
              <w:right w:w="120" w:type="dxa"/>
            </w:tcMar>
          </w:tcPr>
          <w:p w14:paraId="519BFC2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室内消火栓外观及漏水检查</w:t>
            </w:r>
          </w:p>
        </w:tc>
        <w:tc>
          <w:tcPr>
            <w:tcW w:w="1400" w:type="dxa"/>
            <w:tcMar>
              <w:top w:w="60" w:type="dxa"/>
              <w:left w:w="120" w:type="dxa"/>
              <w:bottom w:w="30" w:type="dxa"/>
              <w:right w:w="120" w:type="dxa"/>
            </w:tcMar>
          </w:tcPr>
          <w:p w14:paraId="5D290B9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32" w:type="dxa"/>
            <w:tcMar>
              <w:top w:w="60" w:type="dxa"/>
              <w:left w:w="120" w:type="dxa"/>
              <w:bottom w:w="30" w:type="dxa"/>
              <w:right w:w="120" w:type="dxa"/>
            </w:tcMar>
          </w:tcPr>
          <w:p w14:paraId="521D9B6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0B50B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60" w:type="dxa"/>
            <w:tcMar>
              <w:top w:w="60" w:type="dxa"/>
              <w:left w:w="120" w:type="dxa"/>
              <w:bottom w:w="30" w:type="dxa"/>
              <w:right w:w="120" w:type="dxa"/>
            </w:tcMar>
          </w:tcPr>
          <w:p w14:paraId="1BA03DE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室外消火栓外观及漏水检查</w:t>
            </w:r>
          </w:p>
        </w:tc>
        <w:tc>
          <w:tcPr>
            <w:tcW w:w="1400" w:type="dxa"/>
            <w:tcMar>
              <w:top w:w="60" w:type="dxa"/>
              <w:left w:w="120" w:type="dxa"/>
              <w:bottom w:w="30" w:type="dxa"/>
              <w:right w:w="120" w:type="dxa"/>
            </w:tcMar>
          </w:tcPr>
          <w:p w14:paraId="5E71A80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32" w:type="dxa"/>
            <w:tcMar>
              <w:top w:w="60" w:type="dxa"/>
              <w:left w:w="120" w:type="dxa"/>
              <w:bottom w:w="30" w:type="dxa"/>
              <w:right w:w="120" w:type="dxa"/>
            </w:tcMar>
          </w:tcPr>
          <w:p w14:paraId="760B3E2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1A208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60" w:type="dxa"/>
            <w:tcMar>
              <w:top w:w="60" w:type="dxa"/>
              <w:left w:w="120" w:type="dxa"/>
              <w:bottom w:w="30" w:type="dxa"/>
              <w:right w:w="120" w:type="dxa"/>
            </w:tcMar>
          </w:tcPr>
          <w:p w14:paraId="7728756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管网控制阀</w:t>
            </w:r>
          </w:p>
        </w:tc>
        <w:tc>
          <w:tcPr>
            <w:tcW w:w="1400" w:type="dxa"/>
            <w:tcMar>
              <w:top w:w="60" w:type="dxa"/>
              <w:left w:w="120" w:type="dxa"/>
              <w:bottom w:w="30" w:type="dxa"/>
              <w:right w:w="120" w:type="dxa"/>
            </w:tcMar>
          </w:tcPr>
          <w:p w14:paraId="6360CE5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32" w:type="dxa"/>
            <w:tcMar>
              <w:top w:w="60" w:type="dxa"/>
              <w:left w:w="120" w:type="dxa"/>
              <w:bottom w:w="30" w:type="dxa"/>
              <w:right w:w="120" w:type="dxa"/>
            </w:tcMar>
          </w:tcPr>
          <w:p w14:paraId="52308F8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6ADCE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60" w:type="dxa"/>
            <w:tcMar>
              <w:top w:w="60" w:type="dxa"/>
              <w:left w:w="120" w:type="dxa"/>
              <w:bottom w:w="30" w:type="dxa"/>
              <w:right w:w="120" w:type="dxa"/>
            </w:tcMar>
          </w:tcPr>
          <w:p w14:paraId="5286A89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消防水泵手动启动运转</w:t>
            </w:r>
          </w:p>
        </w:tc>
        <w:tc>
          <w:tcPr>
            <w:tcW w:w="1400" w:type="dxa"/>
            <w:tcMar>
              <w:top w:w="60" w:type="dxa"/>
              <w:left w:w="120" w:type="dxa"/>
              <w:bottom w:w="30" w:type="dxa"/>
              <w:right w:w="120" w:type="dxa"/>
            </w:tcMar>
          </w:tcPr>
          <w:p w14:paraId="45C7383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32" w:type="dxa"/>
            <w:tcMar>
              <w:top w:w="60" w:type="dxa"/>
              <w:left w:w="120" w:type="dxa"/>
              <w:bottom w:w="30" w:type="dxa"/>
              <w:right w:w="120" w:type="dxa"/>
            </w:tcMar>
          </w:tcPr>
          <w:p w14:paraId="1D16C2D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1798E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60" w:type="dxa"/>
            <w:tcMar>
              <w:top w:w="60" w:type="dxa"/>
              <w:left w:w="120" w:type="dxa"/>
              <w:bottom w:w="30" w:type="dxa"/>
              <w:right w:w="120" w:type="dxa"/>
            </w:tcMar>
          </w:tcPr>
          <w:p w14:paraId="755E9C1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柴油机消防水泵手动启动运行</w:t>
            </w:r>
          </w:p>
        </w:tc>
        <w:tc>
          <w:tcPr>
            <w:tcW w:w="1400" w:type="dxa"/>
            <w:tcMar>
              <w:top w:w="60" w:type="dxa"/>
              <w:left w:w="120" w:type="dxa"/>
              <w:bottom w:w="30" w:type="dxa"/>
              <w:right w:w="120" w:type="dxa"/>
            </w:tcMar>
          </w:tcPr>
          <w:p w14:paraId="69BC3BC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32" w:type="dxa"/>
            <w:tcMar>
              <w:top w:w="60" w:type="dxa"/>
              <w:left w:w="120" w:type="dxa"/>
              <w:bottom w:w="30" w:type="dxa"/>
              <w:right w:w="120" w:type="dxa"/>
            </w:tcMar>
          </w:tcPr>
          <w:p w14:paraId="70B5109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463C5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60" w:type="dxa"/>
            <w:tcMar>
              <w:top w:w="60" w:type="dxa"/>
              <w:left w:w="120" w:type="dxa"/>
              <w:bottom w:w="30" w:type="dxa"/>
              <w:right w:w="120" w:type="dxa"/>
            </w:tcMar>
          </w:tcPr>
          <w:p w14:paraId="0070151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气压水罐压力和有效容积</w:t>
            </w:r>
          </w:p>
        </w:tc>
        <w:tc>
          <w:tcPr>
            <w:tcW w:w="1400" w:type="dxa"/>
            <w:tcMar>
              <w:top w:w="60" w:type="dxa"/>
              <w:left w:w="120" w:type="dxa"/>
              <w:bottom w:w="30" w:type="dxa"/>
              <w:right w:w="120" w:type="dxa"/>
            </w:tcMar>
          </w:tcPr>
          <w:p w14:paraId="5DB1BDF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32" w:type="dxa"/>
            <w:tcMar>
              <w:top w:w="60" w:type="dxa"/>
              <w:left w:w="120" w:type="dxa"/>
              <w:bottom w:w="30" w:type="dxa"/>
              <w:right w:w="120" w:type="dxa"/>
            </w:tcMar>
          </w:tcPr>
          <w:p w14:paraId="7C17A68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49991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60" w:type="dxa"/>
            <w:tcMar>
              <w:top w:w="60" w:type="dxa"/>
              <w:left w:w="120" w:type="dxa"/>
              <w:bottom w:w="30" w:type="dxa"/>
              <w:right w:w="120" w:type="dxa"/>
            </w:tcMar>
          </w:tcPr>
          <w:p w14:paraId="13A94E3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减压阀组放水试验</w:t>
            </w:r>
          </w:p>
        </w:tc>
        <w:tc>
          <w:tcPr>
            <w:tcW w:w="1400" w:type="dxa"/>
            <w:tcMar>
              <w:top w:w="60" w:type="dxa"/>
              <w:left w:w="120" w:type="dxa"/>
              <w:bottom w:w="30" w:type="dxa"/>
              <w:right w:w="120" w:type="dxa"/>
            </w:tcMar>
          </w:tcPr>
          <w:p w14:paraId="2F28F5A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32" w:type="dxa"/>
            <w:tcMar>
              <w:top w:w="60" w:type="dxa"/>
              <w:left w:w="120" w:type="dxa"/>
              <w:bottom w:w="30" w:type="dxa"/>
              <w:right w:w="120" w:type="dxa"/>
            </w:tcMar>
          </w:tcPr>
          <w:p w14:paraId="1CA429A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797FF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60" w:type="dxa"/>
            <w:tcMar>
              <w:top w:w="60" w:type="dxa"/>
              <w:left w:w="120" w:type="dxa"/>
              <w:bottom w:w="30" w:type="dxa"/>
              <w:right w:w="120" w:type="dxa"/>
            </w:tcMar>
          </w:tcPr>
          <w:p w14:paraId="5E1E38E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控制阀门铅封/锁链检查</w:t>
            </w:r>
          </w:p>
        </w:tc>
        <w:tc>
          <w:tcPr>
            <w:tcW w:w="1400" w:type="dxa"/>
            <w:tcMar>
              <w:top w:w="60" w:type="dxa"/>
              <w:left w:w="120" w:type="dxa"/>
              <w:bottom w:w="30" w:type="dxa"/>
              <w:right w:w="120" w:type="dxa"/>
            </w:tcMar>
          </w:tcPr>
          <w:p w14:paraId="5E4379B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32" w:type="dxa"/>
            <w:tcMar>
              <w:top w:w="60" w:type="dxa"/>
              <w:left w:w="120" w:type="dxa"/>
              <w:bottom w:w="30" w:type="dxa"/>
              <w:right w:w="120" w:type="dxa"/>
            </w:tcMar>
          </w:tcPr>
          <w:p w14:paraId="6B39DFB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6ED4B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60" w:type="dxa"/>
            <w:tcMar>
              <w:top w:w="60" w:type="dxa"/>
              <w:left w:w="120" w:type="dxa"/>
              <w:bottom w:w="30" w:type="dxa"/>
              <w:right w:w="120" w:type="dxa"/>
            </w:tcMar>
          </w:tcPr>
          <w:p w14:paraId="60A1FC8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电动阀/电磁阀供电及启闭性能</w:t>
            </w:r>
          </w:p>
        </w:tc>
        <w:tc>
          <w:tcPr>
            <w:tcW w:w="1400" w:type="dxa"/>
            <w:tcMar>
              <w:top w:w="60" w:type="dxa"/>
              <w:left w:w="120" w:type="dxa"/>
              <w:bottom w:w="30" w:type="dxa"/>
              <w:right w:w="120" w:type="dxa"/>
            </w:tcMar>
          </w:tcPr>
          <w:p w14:paraId="4303637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32" w:type="dxa"/>
            <w:tcMar>
              <w:top w:w="60" w:type="dxa"/>
              <w:left w:w="120" w:type="dxa"/>
              <w:bottom w:w="30" w:type="dxa"/>
              <w:right w:w="120" w:type="dxa"/>
            </w:tcMar>
          </w:tcPr>
          <w:p w14:paraId="4E60851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01B00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60" w:type="dxa"/>
            <w:tcMar>
              <w:top w:w="60" w:type="dxa"/>
              <w:left w:w="120" w:type="dxa"/>
              <w:bottom w:w="30" w:type="dxa"/>
              <w:right w:w="120" w:type="dxa"/>
            </w:tcMar>
          </w:tcPr>
          <w:p w14:paraId="196EC1E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高位水箱</w:t>
            </w:r>
          </w:p>
        </w:tc>
        <w:tc>
          <w:tcPr>
            <w:tcW w:w="1400" w:type="dxa"/>
            <w:tcMar>
              <w:top w:w="60" w:type="dxa"/>
              <w:left w:w="120" w:type="dxa"/>
              <w:bottom w:w="30" w:type="dxa"/>
              <w:right w:w="120" w:type="dxa"/>
            </w:tcMar>
          </w:tcPr>
          <w:p w14:paraId="41AC6FF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32" w:type="dxa"/>
            <w:tcMar>
              <w:top w:w="60" w:type="dxa"/>
              <w:left w:w="120" w:type="dxa"/>
              <w:bottom w:w="30" w:type="dxa"/>
              <w:right w:w="120" w:type="dxa"/>
            </w:tcMar>
          </w:tcPr>
          <w:p w14:paraId="33A35DF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3E17D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60" w:type="dxa"/>
            <w:tcMar>
              <w:top w:w="60" w:type="dxa"/>
              <w:left w:w="120" w:type="dxa"/>
              <w:bottom w:w="30" w:type="dxa"/>
              <w:right w:w="120" w:type="dxa"/>
            </w:tcMar>
          </w:tcPr>
          <w:p w14:paraId="363B94F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稳压增压设施</w:t>
            </w:r>
          </w:p>
        </w:tc>
        <w:tc>
          <w:tcPr>
            <w:tcW w:w="1400" w:type="dxa"/>
            <w:tcMar>
              <w:top w:w="60" w:type="dxa"/>
              <w:left w:w="120" w:type="dxa"/>
              <w:bottom w:w="30" w:type="dxa"/>
              <w:right w:w="120" w:type="dxa"/>
            </w:tcMar>
          </w:tcPr>
          <w:p w14:paraId="0174601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32" w:type="dxa"/>
            <w:tcMar>
              <w:top w:w="60" w:type="dxa"/>
              <w:left w:w="120" w:type="dxa"/>
              <w:bottom w:w="30" w:type="dxa"/>
              <w:right w:w="120" w:type="dxa"/>
            </w:tcMar>
          </w:tcPr>
          <w:p w14:paraId="28BDF7A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079E7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60" w:type="dxa"/>
            <w:tcMar>
              <w:top w:w="60" w:type="dxa"/>
              <w:left w:w="120" w:type="dxa"/>
              <w:bottom w:w="30" w:type="dxa"/>
              <w:right w:w="120" w:type="dxa"/>
            </w:tcMar>
          </w:tcPr>
          <w:p w14:paraId="5161A91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消防水泵自动启动（模拟巡检）</w:t>
            </w:r>
          </w:p>
        </w:tc>
        <w:tc>
          <w:tcPr>
            <w:tcW w:w="1400" w:type="dxa"/>
            <w:tcMar>
              <w:top w:w="60" w:type="dxa"/>
              <w:left w:w="120" w:type="dxa"/>
              <w:bottom w:w="30" w:type="dxa"/>
              <w:right w:w="120" w:type="dxa"/>
            </w:tcMar>
          </w:tcPr>
          <w:p w14:paraId="23300A1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周</w:t>
            </w:r>
          </w:p>
        </w:tc>
        <w:tc>
          <w:tcPr>
            <w:tcW w:w="3232" w:type="dxa"/>
            <w:tcMar>
              <w:top w:w="60" w:type="dxa"/>
              <w:left w:w="120" w:type="dxa"/>
              <w:bottom w:w="30" w:type="dxa"/>
              <w:right w:w="120" w:type="dxa"/>
            </w:tcMar>
          </w:tcPr>
          <w:p w14:paraId="700B70D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675BC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60" w:type="dxa"/>
            <w:tcMar>
              <w:top w:w="60" w:type="dxa"/>
              <w:left w:w="120" w:type="dxa"/>
              <w:bottom w:w="30" w:type="dxa"/>
              <w:right w:w="120" w:type="dxa"/>
            </w:tcMar>
          </w:tcPr>
          <w:p w14:paraId="283F313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柴油机消防水泵储油箱储油量</w:t>
            </w:r>
          </w:p>
        </w:tc>
        <w:tc>
          <w:tcPr>
            <w:tcW w:w="1400" w:type="dxa"/>
            <w:tcMar>
              <w:top w:w="60" w:type="dxa"/>
              <w:left w:w="120" w:type="dxa"/>
              <w:bottom w:w="30" w:type="dxa"/>
              <w:right w:w="120" w:type="dxa"/>
            </w:tcMar>
          </w:tcPr>
          <w:p w14:paraId="62A21A5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周</w:t>
            </w:r>
          </w:p>
        </w:tc>
        <w:tc>
          <w:tcPr>
            <w:tcW w:w="3232" w:type="dxa"/>
            <w:tcMar>
              <w:top w:w="60" w:type="dxa"/>
              <w:left w:w="120" w:type="dxa"/>
              <w:bottom w:w="30" w:type="dxa"/>
              <w:right w:w="120" w:type="dxa"/>
            </w:tcMar>
          </w:tcPr>
          <w:p w14:paraId="2684422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bl>
    <w:p w14:paraId="4BBA274A">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xml:space="preserve">4、自动喷水灭火系统 </w:t>
      </w:r>
    </w:p>
    <w:tbl>
      <w:tblPr>
        <w:tblStyle w:val="12"/>
        <w:tblW w:w="91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76"/>
        <w:gridCol w:w="1384"/>
        <w:gridCol w:w="3232"/>
      </w:tblGrid>
      <w:tr w14:paraId="75D21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22F4A75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设施设备</w:t>
            </w:r>
          </w:p>
        </w:tc>
        <w:tc>
          <w:tcPr>
            <w:tcW w:w="1384" w:type="dxa"/>
            <w:tcMar>
              <w:top w:w="60" w:type="dxa"/>
              <w:left w:w="120" w:type="dxa"/>
              <w:bottom w:w="30" w:type="dxa"/>
              <w:right w:w="120" w:type="dxa"/>
            </w:tcMar>
          </w:tcPr>
          <w:p w14:paraId="65EEDC0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周期</w:t>
            </w:r>
          </w:p>
        </w:tc>
        <w:tc>
          <w:tcPr>
            <w:tcW w:w="3232" w:type="dxa"/>
            <w:tcMar>
              <w:top w:w="60" w:type="dxa"/>
              <w:left w:w="120" w:type="dxa"/>
              <w:bottom w:w="30" w:type="dxa"/>
              <w:right w:w="120" w:type="dxa"/>
            </w:tcMar>
          </w:tcPr>
          <w:p w14:paraId="50DFEDB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检查数量</w:t>
            </w:r>
          </w:p>
        </w:tc>
      </w:tr>
      <w:tr w14:paraId="7232C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59F2D6A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信号阀</w:t>
            </w:r>
          </w:p>
        </w:tc>
        <w:tc>
          <w:tcPr>
            <w:tcW w:w="1384" w:type="dxa"/>
            <w:tcMar>
              <w:top w:w="60" w:type="dxa"/>
              <w:left w:w="120" w:type="dxa"/>
              <w:bottom w:w="30" w:type="dxa"/>
              <w:right w:w="120" w:type="dxa"/>
            </w:tcMar>
          </w:tcPr>
          <w:p w14:paraId="2023D38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32" w:type="dxa"/>
            <w:tcMar>
              <w:top w:w="60" w:type="dxa"/>
              <w:left w:w="120" w:type="dxa"/>
              <w:bottom w:w="30" w:type="dxa"/>
              <w:right w:w="120" w:type="dxa"/>
            </w:tcMar>
          </w:tcPr>
          <w:p w14:paraId="24153F3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全数，每月≥8%，每季≥25%</w:t>
            </w:r>
          </w:p>
        </w:tc>
      </w:tr>
      <w:tr w14:paraId="387CD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3887CA6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水源供水能力测定</w:t>
            </w:r>
          </w:p>
        </w:tc>
        <w:tc>
          <w:tcPr>
            <w:tcW w:w="1384" w:type="dxa"/>
            <w:tcMar>
              <w:top w:w="60" w:type="dxa"/>
              <w:left w:w="120" w:type="dxa"/>
              <w:bottom w:w="30" w:type="dxa"/>
              <w:right w:w="120" w:type="dxa"/>
            </w:tcMar>
          </w:tcPr>
          <w:p w14:paraId="6BADFAD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32" w:type="dxa"/>
            <w:tcMar>
              <w:top w:w="60" w:type="dxa"/>
              <w:left w:w="120" w:type="dxa"/>
              <w:bottom w:w="30" w:type="dxa"/>
              <w:right w:w="120" w:type="dxa"/>
            </w:tcMar>
          </w:tcPr>
          <w:p w14:paraId="2287C38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1次</w:t>
            </w:r>
          </w:p>
        </w:tc>
      </w:tr>
      <w:tr w14:paraId="2C6B2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599C3DE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消防储水设备检查</w:t>
            </w:r>
          </w:p>
        </w:tc>
        <w:tc>
          <w:tcPr>
            <w:tcW w:w="1384" w:type="dxa"/>
            <w:tcMar>
              <w:top w:w="60" w:type="dxa"/>
              <w:left w:w="120" w:type="dxa"/>
              <w:bottom w:w="30" w:type="dxa"/>
              <w:right w:w="120" w:type="dxa"/>
            </w:tcMar>
          </w:tcPr>
          <w:p w14:paraId="043AC45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32" w:type="dxa"/>
            <w:tcMar>
              <w:top w:w="60" w:type="dxa"/>
              <w:left w:w="120" w:type="dxa"/>
              <w:bottom w:w="30" w:type="dxa"/>
              <w:right w:w="120" w:type="dxa"/>
            </w:tcMar>
          </w:tcPr>
          <w:p w14:paraId="619DD81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597E4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009DEC0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湿式报警阀组</w:t>
            </w:r>
          </w:p>
        </w:tc>
        <w:tc>
          <w:tcPr>
            <w:tcW w:w="1384" w:type="dxa"/>
            <w:tcMar>
              <w:top w:w="60" w:type="dxa"/>
              <w:left w:w="120" w:type="dxa"/>
              <w:bottom w:w="30" w:type="dxa"/>
              <w:right w:w="120" w:type="dxa"/>
            </w:tcMar>
          </w:tcPr>
          <w:p w14:paraId="005977A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32" w:type="dxa"/>
            <w:tcMar>
              <w:top w:w="60" w:type="dxa"/>
              <w:left w:w="120" w:type="dxa"/>
              <w:bottom w:w="30" w:type="dxa"/>
              <w:right w:w="120" w:type="dxa"/>
            </w:tcMar>
          </w:tcPr>
          <w:p w14:paraId="68CBF3D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339D3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3FD4718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预作用报警阀组</w:t>
            </w:r>
          </w:p>
        </w:tc>
        <w:tc>
          <w:tcPr>
            <w:tcW w:w="1384" w:type="dxa"/>
            <w:tcMar>
              <w:top w:w="60" w:type="dxa"/>
              <w:left w:w="120" w:type="dxa"/>
              <w:bottom w:w="30" w:type="dxa"/>
              <w:right w:w="120" w:type="dxa"/>
            </w:tcMar>
          </w:tcPr>
          <w:p w14:paraId="44FABB9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32" w:type="dxa"/>
            <w:tcMar>
              <w:top w:w="60" w:type="dxa"/>
              <w:left w:w="120" w:type="dxa"/>
              <w:bottom w:w="30" w:type="dxa"/>
              <w:right w:w="120" w:type="dxa"/>
            </w:tcMar>
          </w:tcPr>
          <w:p w14:paraId="6136DE9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57423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2BAD55C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干式报警阀组</w:t>
            </w:r>
          </w:p>
        </w:tc>
        <w:tc>
          <w:tcPr>
            <w:tcW w:w="1384" w:type="dxa"/>
            <w:tcMar>
              <w:top w:w="60" w:type="dxa"/>
              <w:left w:w="120" w:type="dxa"/>
              <w:bottom w:w="30" w:type="dxa"/>
              <w:right w:w="120" w:type="dxa"/>
            </w:tcMar>
          </w:tcPr>
          <w:p w14:paraId="01F6C1E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32" w:type="dxa"/>
            <w:tcMar>
              <w:top w:w="60" w:type="dxa"/>
              <w:left w:w="120" w:type="dxa"/>
              <w:bottom w:w="30" w:type="dxa"/>
              <w:right w:w="120" w:type="dxa"/>
            </w:tcMar>
          </w:tcPr>
          <w:p w14:paraId="54FB424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17C6C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3AF6B17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雨淋报警阀组</w:t>
            </w:r>
          </w:p>
        </w:tc>
        <w:tc>
          <w:tcPr>
            <w:tcW w:w="1384" w:type="dxa"/>
            <w:tcMar>
              <w:top w:w="60" w:type="dxa"/>
              <w:left w:w="120" w:type="dxa"/>
              <w:bottom w:w="30" w:type="dxa"/>
              <w:right w:w="120" w:type="dxa"/>
            </w:tcMar>
          </w:tcPr>
          <w:p w14:paraId="6F37494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32" w:type="dxa"/>
            <w:tcMar>
              <w:top w:w="60" w:type="dxa"/>
              <w:left w:w="120" w:type="dxa"/>
              <w:bottom w:w="30" w:type="dxa"/>
              <w:right w:w="120" w:type="dxa"/>
            </w:tcMar>
          </w:tcPr>
          <w:p w14:paraId="22E71ED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4275B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3B8A90E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水流指示器及末端试水装置</w:t>
            </w:r>
          </w:p>
        </w:tc>
        <w:tc>
          <w:tcPr>
            <w:tcW w:w="1384" w:type="dxa"/>
            <w:tcMar>
              <w:top w:w="60" w:type="dxa"/>
              <w:left w:w="120" w:type="dxa"/>
              <w:bottom w:w="30" w:type="dxa"/>
              <w:right w:w="120" w:type="dxa"/>
            </w:tcMar>
          </w:tcPr>
          <w:p w14:paraId="6158CA8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32" w:type="dxa"/>
            <w:tcMar>
              <w:top w:w="60" w:type="dxa"/>
              <w:left w:w="120" w:type="dxa"/>
              <w:bottom w:w="30" w:type="dxa"/>
              <w:right w:w="120" w:type="dxa"/>
            </w:tcMar>
          </w:tcPr>
          <w:p w14:paraId="41A932A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6D35A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4150D7A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湿式系统联动功能测试</w:t>
            </w:r>
          </w:p>
        </w:tc>
        <w:tc>
          <w:tcPr>
            <w:tcW w:w="1384" w:type="dxa"/>
            <w:tcMar>
              <w:top w:w="60" w:type="dxa"/>
              <w:left w:w="120" w:type="dxa"/>
              <w:bottom w:w="30" w:type="dxa"/>
              <w:right w:w="120" w:type="dxa"/>
            </w:tcMar>
          </w:tcPr>
          <w:p w14:paraId="17F7A74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32" w:type="dxa"/>
            <w:tcMar>
              <w:top w:w="60" w:type="dxa"/>
              <w:left w:w="120" w:type="dxa"/>
              <w:bottom w:w="30" w:type="dxa"/>
              <w:right w:w="120" w:type="dxa"/>
            </w:tcMar>
          </w:tcPr>
          <w:p w14:paraId="1263A07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6121F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3E3B7E8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预作用系统联动功能测试</w:t>
            </w:r>
          </w:p>
        </w:tc>
        <w:tc>
          <w:tcPr>
            <w:tcW w:w="1384" w:type="dxa"/>
            <w:tcMar>
              <w:top w:w="60" w:type="dxa"/>
              <w:left w:w="120" w:type="dxa"/>
              <w:bottom w:w="30" w:type="dxa"/>
              <w:right w:w="120" w:type="dxa"/>
            </w:tcMar>
          </w:tcPr>
          <w:p w14:paraId="5773D5D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32" w:type="dxa"/>
            <w:tcMar>
              <w:top w:w="60" w:type="dxa"/>
              <w:left w:w="120" w:type="dxa"/>
              <w:bottom w:w="30" w:type="dxa"/>
              <w:right w:w="120" w:type="dxa"/>
            </w:tcMar>
          </w:tcPr>
          <w:p w14:paraId="10D7341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22452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465EF6D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防护冷却系统联动功能测试</w:t>
            </w:r>
          </w:p>
        </w:tc>
        <w:tc>
          <w:tcPr>
            <w:tcW w:w="1384" w:type="dxa"/>
            <w:tcMar>
              <w:top w:w="60" w:type="dxa"/>
              <w:left w:w="120" w:type="dxa"/>
              <w:bottom w:w="30" w:type="dxa"/>
              <w:right w:w="120" w:type="dxa"/>
            </w:tcMar>
          </w:tcPr>
          <w:p w14:paraId="15EA36F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32" w:type="dxa"/>
            <w:tcMar>
              <w:top w:w="60" w:type="dxa"/>
              <w:left w:w="120" w:type="dxa"/>
              <w:bottom w:w="30" w:type="dxa"/>
              <w:right w:w="120" w:type="dxa"/>
            </w:tcMar>
          </w:tcPr>
          <w:p w14:paraId="7F2B1F1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2D46A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4CDD126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局部应用系统</w:t>
            </w:r>
          </w:p>
        </w:tc>
        <w:tc>
          <w:tcPr>
            <w:tcW w:w="1384" w:type="dxa"/>
            <w:tcMar>
              <w:top w:w="60" w:type="dxa"/>
              <w:left w:w="120" w:type="dxa"/>
              <w:bottom w:w="30" w:type="dxa"/>
              <w:right w:w="120" w:type="dxa"/>
            </w:tcMar>
          </w:tcPr>
          <w:p w14:paraId="7031A16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32" w:type="dxa"/>
            <w:tcMar>
              <w:top w:w="60" w:type="dxa"/>
              <w:left w:w="120" w:type="dxa"/>
              <w:bottom w:w="30" w:type="dxa"/>
              <w:right w:w="120" w:type="dxa"/>
            </w:tcMar>
          </w:tcPr>
          <w:p w14:paraId="550E060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6ECE8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1D0A8B9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消防水泵手动启动运转</w:t>
            </w:r>
          </w:p>
        </w:tc>
        <w:tc>
          <w:tcPr>
            <w:tcW w:w="1384" w:type="dxa"/>
            <w:tcMar>
              <w:top w:w="60" w:type="dxa"/>
              <w:left w:w="120" w:type="dxa"/>
              <w:bottom w:w="30" w:type="dxa"/>
              <w:right w:w="120" w:type="dxa"/>
            </w:tcMar>
          </w:tcPr>
          <w:p w14:paraId="61300AC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32" w:type="dxa"/>
            <w:tcMar>
              <w:top w:w="60" w:type="dxa"/>
              <w:left w:w="120" w:type="dxa"/>
              <w:bottom w:w="30" w:type="dxa"/>
              <w:right w:w="120" w:type="dxa"/>
            </w:tcMar>
          </w:tcPr>
          <w:p w14:paraId="106F9CF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179D3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6ADEFB8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稳压增压设施</w:t>
            </w:r>
          </w:p>
        </w:tc>
        <w:tc>
          <w:tcPr>
            <w:tcW w:w="1384" w:type="dxa"/>
            <w:tcMar>
              <w:top w:w="60" w:type="dxa"/>
              <w:left w:w="120" w:type="dxa"/>
              <w:bottom w:w="30" w:type="dxa"/>
              <w:right w:w="120" w:type="dxa"/>
            </w:tcMar>
          </w:tcPr>
          <w:p w14:paraId="415B92E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32" w:type="dxa"/>
            <w:tcMar>
              <w:top w:w="60" w:type="dxa"/>
              <w:left w:w="120" w:type="dxa"/>
              <w:bottom w:w="30" w:type="dxa"/>
              <w:right w:w="120" w:type="dxa"/>
            </w:tcMar>
          </w:tcPr>
          <w:p w14:paraId="58FEF0A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36042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09D7360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高位水箱</w:t>
            </w:r>
          </w:p>
        </w:tc>
        <w:tc>
          <w:tcPr>
            <w:tcW w:w="1384" w:type="dxa"/>
            <w:tcMar>
              <w:top w:w="60" w:type="dxa"/>
              <w:left w:w="120" w:type="dxa"/>
              <w:bottom w:w="30" w:type="dxa"/>
              <w:right w:w="120" w:type="dxa"/>
            </w:tcMar>
          </w:tcPr>
          <w:p w14:paraId="5FEBF39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32" w:type="dxa"/>
            <w:tcMar>
              <w:top w:w="60" w:type="dxa"/>
              <w:left w:w="120" w:type="dxa"/>
              <w:bottom w:w="30" w:type="dxa"/>
              <w:right w:w="120" w:type="dxa"/>
            </w:tcMar>
          </w:tcPr>
          <w:p w14:paraId="32F170E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71D81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173937D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消防水池/水箱水位及气压给水设备压力</w:t>
            </w:r>
          </w:p>
        </w:tc>
        <w:tc>
          <w:tcPr>
            <w:tcW w:w="1384" w:type="dxa"/>
            <w:tcMar>
              <w:top w:w="60" w:type="dxa"/>
              <w:left w:w="120" w:type="dxa"/>
              <w:bottom w:w="30" w:type="dxa"/>
              <w:right w:w="120" w:type="dxa"/>
            </w:tcMar>
          </w:tcPr>
          <w:p w14:paraId="5CF1488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32" w:type="dxa"/>
            <w:tcMar>
              <w:top w:w="60" w:type="dxa"/>
              <w:left w:w="120" w:type="dxa"/>
              <w:bottom w:w="30" w:type="dxa"/>
              <w:right w:w="120" w:type="dxa"/>
            </w:tcMar>
          </w:tcPr>
          <w:p w14:paraId="3FB82D2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200BF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12FB524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电磁阀检查及启动试验</w:t>
            </w:r>
          </w:p>
        </w:tc>
        <w:tc>
          <w:tcPr>
            <w:tcW w:w="1384" w:type="dxa"/>
            <w:tcMar>
              <w:top w:w="60" w:type="dxa"/>
              <w:left w:w="120" w:type="dxa"/>
              <w:bottom w:w="30" w:type="dxa"/>
              <w:right w:w="120" w:type="dxa"/>
            </w:tcMar>
          </w:tcPr>
          <w:p w14:paraId="2D8F85A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32" w:type="dxa"/>
            <w:tcMar>
              <w:top w:w="60" w:type="dxa"/>
              <w:left w:w="120" w:type="dxa"/>
              <w:bottom w:w="30" w:type="dxa"/>
              <w:right w:w="120" w:type="dxa"/>
            </w:tcMar>
          </w:tcPr>
          <w:p w14:paraId="74DF92F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14920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6F0613A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喷头外观检查</w:t>
            </w:r>
          </w:p>
        </w:tc>
        <w:tc>
          <w:tcPr>
            <w:tcW w:w="1384" w:type="dxa"/>
            <w:tcMar>
              <w:top w:w="60" w:type="dxa"/>
              <w:left w:w="120" w:type="dxa"/>
              <w:bottom w:w="30" w:type="dxa"/>
              <w:right w:w="120" w:type="dxa"/>
            </w:tcMar>
          </w:tcPr>
          <w:p w14:paraId="3C77A67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32" w:type="dxa"/>
            <w:tcMar>
              <w:top w:w="60" w:type="dxa"/>
              <w:left w:w="120" w:type="dxa"/>
              <w:bottom w:w="30" w:type="dxa"/>
              <w:right w:w="120" w:type="dxa"/>
            </w:tcMar>
          </w:tcPr>
          <w:p w14:paraId="07E4505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435B8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471EA60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消防水泵自动启动（模拟巡检）</w:t>
            </w:r>
          </w:p>
        </w:tc>
        <w:tc>
          <w:tcPr>
            <w:tcW w:w="1384" w:type="dxa"/>
            <w:tcMar>
              <w:top w:w="60" w:type="dxa"/>
              <w:left w:w="120" w:type="dxa"/>
              <w:bottom w:w="30" w:type="dxa"/>
              <w:right w:w="120" w:type="dxa"/>
            </w:tcMar>
          </w:tcPr>
          <w:p w14:paraId="76043A4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周</w:t>
            </w:r>
          </w:p>
        </w:tc>
        <w:tc>
          <w:tcPr>
            <w:tcW w:w="3232" w:type="dxa"/>
            <w:tcMar>
              <w:top w:w="60" w:type="dxa"/>
              <w:left w:w="120" w:type="dxa"/>
              <w:bottom w:w="30" w:type="dxa"/>
              <w:right w:w="120" w:type="dxa"/>
            </w:tcMar>
          </w:tcPr>
          <w:p w14:paraId="2F5CCE3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bl>
    <w:p w14:paraId="59687BF4">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xml:space="preserve">5、消防水炮系统 </w:t>
      </w:r>
    </w:p>
    <w:tbl>
      <w:tblPr>
        <w:tblStyle w:val="12"/>
        <w:tblW w:w="91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76"/>
        <w:gridCol w:w="1367"/>
        <w:gridCol w:w="3249"/>
      </w:tblGrid>
      <w:tr w14:paraId="64E2D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2C58AEA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设施设备</w:t>
            </w:r>
          </w:p>
        </w:tc>
        <w:tc>
          <w:tcPr>
            <w:tcW w:w="1367" w:type="dxa"/>
            <w:tcMar>
              <w:top w:w="60" w:type="dxa"/>
              <w:left w:w="120" w:type="dxa"/>
              <w:bottom w:w="30" w:type="dxa"/>
              <w:right w:w="120" w:type="dxa"/>
            </w:tcMar>
          </w:tcPr>
          <w:p w14:paraId="367C8CA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周期</w:t>
            </w:r>
          </w:p>
        </w:tc>
        <w:tc>
          <w:tcPr>
            <w:tcW w:w="3249" w:type="dxa"/>
            <w:tcMar>
              <w:top w:w="60" w:type="dxa"/>
              <w:left w:w="120" w:type="dxa"/>
              <w:bottom w:w="30" w:type="dxa"/>
              <w:right w:w="120" w:type="dxa"/>
            </w:tcMar>
          </w:tcPr>
          <w:p w14:paraId="7DBCC2F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检查数量</w:t>
            </w:r>
          </w:p>
        </w:tc>
      </w:tr>
      <w:tr w14:paraId="3E2A1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4BB3B8B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消防水炮系统联动试验</w:t>
            </w:r>
          </w:p>
        </w:tc>
        <w:tc>
          <w:tcPr>
            <w:tcW w:w="1367" w:type="dxa"/>
            <w:tcMar>
              <w:top w:w="60" w:type="dxa"/>
              <w:left w:w="120" w:type="dxa"/>
              <w:bottom w:w="30" w:type="dxa"/>
              <w:right w:w="120" w:type="dxa"/>
            </w:tcMar>
          </w:tcPr>
          <w:p w14:paraId="50DEC36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49" w:type="dxa"/>
            <w:tcMar>
              <w:top w:w="60" w:type="dxa"/>
              <w:left w:w="120" w:type="dxa"/>
              <w:bottom w:w="30" w:type="dxa"/>
              <w:right w:w="120" w:type="dxa"/>
            </w:tcMar>
          </w:tcPr>
          <w:p w14:paraId="5BA4C42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1次</w:t>
            </w:r>
          </w:p>
        </w:tc>
      </w:tr>
      <w:tr w14:paraId="7A307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3F0420A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消防水炮系统全面检查（管道、阀门、连接件）</w:t>
            </w:r>
          </w:p>
        </w:tc>
        <w:tc>
          <w:tcPr>
            <w:tcW w:w="1367" w:type="dxa"/>
            <w:tcMar>
              <w:top w:w="60" w:type="dxa"/>
              <w:left w:w="120" w:type="dxa"/>
              <w:bottom w:w="30" w:type="dxa"/>
              <w:right w:w="120" w:type="dxa"/>
            </w:tcMar>
          </w:tcPr>
          <w:p w14:paraId="41E6B48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49" w:type="dxa"/>
            <w:tcMar>
              <w:top w:w="60" w:type="dxa"/>
              <w:left w:w="120" w:type="dxa"/>
              <w:bottom w:w="30" w:type="dxa"/>
              <w:right w:w="120" w:type="dxa"/>
            </w:tcMar>
          </w:tcPr>
          <w:p w14:paraId="5B014A6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3769A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60CD54F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检修阀</w:t>
            </w:r>
          </w:p>
        </w:tc>
        <w:tc>
          <w:tcPr>
            <w:tcW w:w="1367" w:type="dxa"/>
            <w:tcMar>
              <w:top w:w="60" w:type="dxa"/>
              <w:left w:w="120" w:type="dxa"/>
              <w:bottom w:w="30" w:type="dxa"/>
              <w:right w:w="120" w:type="dxa"/>
            </w:tcMar>
          </w:tcPr>
          <w:p w14:paraId="133CE1B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半年</w:t>
            </w:r>
          </w:p>
        </w:tc>
        <w:tc>
          <w:tcPr>
            <w:tcW w:w="3249" w:type="dxa"/>
            <w:tcMar>
              <w:top w:w="60" w:type="dxa"/>
              <w:left w:w="120" w:type="dxa"/>
              <w:bottom w:w="30" w:type="dxa"/>
              <w:right w:w="120" w:type="dxa"/>
            </w:tcMar>
          </w:tcPr>
          <w:p w14:paraId="3AED6C2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0D8C9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0156F52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水流指示器</w:t>
            </w:r>
          </w:p>
        </w:tc>
        <w:tc>
          <w:tcPr>
            <w:tcW w:w="1367" w:type="dxa"/>
            <w:tcMar>
              <w:top w:w="60" w:type="dxa"/>
              <w:left w:w="120" w:type="dxa"/>
              <w:bottom w:w="30" w:type="dxa"/>
              <w:right w:w="120" w:type="dxa"/>
            </w:tcMar>
          </w:tcPr>
          <w:p w14:paraId="6325B3C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半年</w:t>
            </w:r>
          </w:p>
        </w:tc>
        <w:tc>
          <w:tcPr>
            <w:tcW w:w="3249" w:type="dxa"/>
            <w:tcMar>
              <w:top w:w="60" w:type="dxa"/>
              <w:left w:w="120" w:type="dxa"/>
              <w:bottom w:w="30" w:type="dxa"/>
              <w:right w:w="120" w:type="dxa"/>
            </w:tcMar>
          </w:tcPr>
          <w:p w14:paraId="182D43A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6B6E2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1BEDEDF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消防水炮系统喷水试验</w:t>
            </w:r>
          </w:p>
        </w:tc>
        <w:tc>
          <w:tcPr>
            <w:tcW w:w="1367" w:type="dxa"/>
            <w:tcMar>
              <w:top w:w="60" w:type="dxa"/>
              <w:left w:w="120" w:type="dxa"/>
              <w:bottom w:w="30" w:type="dxa"/>
              <w:right w:w="120" w:type="dxa"/>
            </w:tcMar>
          </w:tcPr>
          <w:p w14:paraId="7CEB638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半年</w:t>
            </w:r>
          </w:p>
        </w:tc>
        <w:tc>
          <w:tcPr>
            <w:tcW w:w="3249" w:type="dxa"/>
            <w:tcMar>
              <w:top w:w="60" w:type="dxa"/>
              <w:left w:w="120" w:type="dxa"/>
              <w:bottom w:w="30" w:type="dxa"/>
              <w:right w:w="120" w:type="dxa"/>
            </w:tcMar>
          </w:tcPr>
          <w:p w14:paraId="2C8FD34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1次</w:t>
            </w:r>
          </w:p>
        </w:tc>
      </w:tr>
      <w:tr w14:paraId="3CF3F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05B428E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消防水炮电动阀及反馈信号</w:t>
            </w:r>
          </w:p>
        </w:tc>
        <w:tc>
          <w:tcPr>
            <w:tcW w:w="1367" w:type="dxa"/>
            <w:tcMar>
              <w:top w:w="60" w:type="dxa"/>
              <w:left w:w="120" w:type="dxa"/>
              <w:bottom w:w="30" w:type="dxa"/>
              <w:right w:w="120" w:type="dxa"/>
            </w:tcMar>
          </w:tcPr>
          <w:p w14:paraId="1027EF9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49" w:type="dxa"/>
            <w:tcMar>
              <w:top w:w="60" w:type="dxa"/>
              <w:left w:w="120" w:type="dxa"/>
              <w:bottom w:w="30" w:type="dxa"/>
              <w:right w:w="120" w:type="dxa"/>
            </w:tcMar>
          </w:tcPr>
          <w:p w14:paraId="073F2D9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7FB99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2CA8101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消防水炮探测器（感光探测组件清洁）</w:t>
            </w:r>
          </w:p>
        </w:tc>
        <w:tc>
          <w:tcPr>
            <w:tcW w:w="1367" w:type="dxa"/>
            <w:tcMar>
              <w:top w:w="60" w:type="dxa"/>
              <w:left w:w="120" w:type="dxa"/>
              <w:bottom w:w="30" w:type="dxa"/>
              <w:right w:w="120" w:type="dxa"/>
            </w:tcMar>
          </w:tcPr>
          <w:p w14:paraId="2299C01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49" w:type="dxa"/>
            <w:tcMar>
              <w:top w:w="60" w:type="dxa"/>
              <w:left w:w="120" w:type="dxa"/>
              <w:bottom w:w="30" w:type="dxa"/>
              <w:right w:w="120" w:type="dxa"/>
            </w:tcMar>
          </w:tcPr>
          <w:p w14:paraId="7DD1D4D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17723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52FF74A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消防水炮探测器（功能试验）</w:t>
            </w:r>
          </w:p>
        </w:tc>
        <w:tc>
          <w:tcPr>
            <w:tcW w:w="1367" w:type="dxa"/>
            <w:tcMar>
              <w:top w:w="60" w:type="dxa"/>
              <w:left w:w="120" w:type="dxa"/>
              <w:bottom w:w="30" w:type="dxa"/>
              <w:right w:w="120" w:type="dxa"/>
            </w:tcMar>
          </w:tcPr>
          <w:p w14:paraId="5E751C6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49" w:type="dxa"/>
            <w:tcMar>
              <w:top w:w="60" w:type="dxa"/>
              <w:left w:w="120" w:type="dxa"/>
              <w:bottom w:w="30" w:type="dxa"/>
              <w:right w:w="120" w:type="dxa"/>
            </w:tcMar>
          </w:tcPr>
          <w:p w14:paraId="4EF2D04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09919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4B5B9EE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消防水炮控制柜操作试验</w:t>
            </w:r>
          </w:p>
        </w:tc>
        <w:tc>
          <w:tcPr>
            <w:tcW w:w="1367" w:type="dxa"/>
            <w:tcMar>
              <w:top w:w="60" w:type="dxa"/>
              <w:left w:w="120" w:type="dxa"/>
              <w:bottom w:w="30" w:type="dxa"/>
              <w:right w:w="120" w:type="dxa"/>
            </w:tcMar>
          </w:tcPr>
          <w:p w14:paraId="5A4D633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49" w:type="dxa"/>
            <w:tcMar>
              <w:top w:w="60" w:type="dxa"/>
              <w:left w:w="120" w:type="dxa"/>
              <w:bottom w:w="30" w:type="dxa"/>
              <w:right w:w="120" w:type="dxa"/>
            </w:tcMar>
          </w:tcPr>
          <w:p w14:paraId="4AF9862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70D8E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533082C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消防水炮炮体外观及固定</w:t>
            </w:r>
          </w:p>
        </w:tc>
        <w:tc>
          <w:tcPr>
            <w:tcW w:w="1367" w:type="dxa"/>
            <w:tcMar>
              <w:top w:w="60" w:type="dxa"/>
              <w:left w:w="120" w:type="dxa"/>
              <w:bottom w:w="30" w:type="dxa"/>
              <w:right w:w="120" w:type="dxa"/>
            </w:tcMar>
          </w:tcPr>
          <w:p w14:paraId="109C6E9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49" w:type="dxa"/>
            <w:tcMar>
              <w:top w:w="60" w:type="dxa"/>
              <w:left w:w="120" w:type="dxa"/>
              <w:bottom w:w="30" w:type="dxa"/>
              <w:right w:w="120" w:type="dxa"/>
            </w:tcMar>
          </w:tcPr>
          <w:p w14:paraId="4BCA9A3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5FC2D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54954AC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消防水炮控制阀门</w:t>
            </w:r>
          </w:p>
        </w:tc>
        <w:tc>
          <w:tcPr>
            <w:tcW w:w="1367" w:type="dxa"/>
            <w:tcMar>
              <w:top w:w="60" w:type="dxa"/>
              <w:left w:w="120" w:type="dxa"/>
              <w:bottom w:w="30" w:type="dxa"/>
              <w:right w:w="120" w:type="dxa"/>
            </w:tcMar>
          </w:tcPr>
          <w:p w14:paraId="565245D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49" w:type="dxa"/>
            <w:tcMar>
              <w:top w:w="60" w:type="dxa"/>
              <w:left w:w="120" w:type="dxa"/>
              <w:bottom w:w="30" w:type="dxa"/>
              <w:right w:w="120" w:type="dxa"/>
            </w:tcMar>
          </w:tcPr>
          <w:p w14:paraId="463561C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22B29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3C5CA88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消防水炮直流/水雾转换及转角灵活性</w:t>
            </w:r>
          </w:p>
        </w:tc>
        <w:tc>
          <w:tcPr>
            <w:tcW w:w="1367" w:type="dxa"/>
            <w:tcMar>
              <w:top w:w="60" w:type="dxa"/>
              <w:left w:w="120" w:type="dxa"/>
              <w:bottom w:w="30" w:type="dxa"/>
              <w:right w:w="120" w:type="dxa"/>
            </w:tcMar>
          </w:tcPr>
          <w:p w14:paraId="493E474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49" w:type="dxa"/>
            <w:tcMar>
              <w:top w:w="60" w:type="dxa"/>
              <w:left w:w="120" w:type="dxa"/>
              <w:bottom w:w="30" w:type="dxa"/>
              <w:right w:w="120" w:type="dxa"/>
            </w:tcMar>
          </w:tcPr>
          <w:p w14:paraId="78351DB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1467A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6A0A594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消防水炮控制装置（现场控制箱、控制主机）</w:t>
            </w:r>
          </w:p>
        </w:tc>
        <w:tc>
          <w:tcPr>
            <w:tcW w:w="1367" w:type="dxa"/>
            <w:tcMar>
              <w:top w:w="60" w:type="dxa"/>
              <w:left w:w="120" w:type="dxa"/>
              <w:bottom w:w="30" w:type="dxa"/>
              <w:right w:w="120" w:type="dxa"/>
            </w:tcMar>
          </w:tcPr>
          <w:p w14:paraId="7C6F4DE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49" w:type="dxa"/>
            <w:tcMar>
              <w:top w:w="60" w:type="dxa"/>
              <w:left w:w="120" w:type="dxa"/>
              <w:bottom w:w="30" w:type="dxa"/>
              <w:right w:w="120" w:type="dxa"/>
            </w:tcMar>
          </w:tcPr>
          <w:p w14:paraId="3B018F6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55069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0996B3A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消防水炮电磁阀</w:t>
            </w:r>
          </w:p>
        </w:tc>
        <w:tc>
          <w:tcPr>
            <w:tcW w:w="1367" w:type="dxa"/>
            <w:tcMar>
              <w:top w:w="60" w:type="dxa"/>
              <w:left w:w="120" w:type="dxa"/>
              <w:bottom w:w="30" w:type="dxa"/>
              <w:right w:w="120" w:type="dxa"/>
            </w:tcMar>
          </w:tcPr>
          <w:p w14:paraId="33055BF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49" w:type="dxa"/>
            <w:tcMar>
              <w:top w:w="60" w:type="dxa"/>
              <w:left w:w="120" w:type="dxa"/>
              <w:bottom w:w="30" w:type="dxa"/>
              <w:right w:w="120" w:type="dxa"/>
            </w:tcMar>
          </w:tcPr>
          <w:p w14:paraId="24E7129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081AC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6238EBA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阀门启闭（检修阀、控制阀）</w:t>
            </w:r>
          </w:p>
        </w:tc>
        <w:tc>
          <w:tcPr>
            <w:tcW w:w="1367" w:type="dxa"/>
            <w:tcMar>
              <w:top w:w="60" w:type="dxa"/>
              <w:left w:w="120" w:type="dxa"/>
              <w:bottom w:w="30" w:type="dxa"/>
              <w:right w:w="120" w:type="dxa"/>
            </w:tcMar>
          </w:tcPr>
          <w:p w14:paraId="7D23495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周</w:t>
            </w:r>
          </w:p>
        </w:tc>
        <w:tc>
          <w:tcPr>
            <w:tcW w:w="3249" w:type="dxa"/>
            <w:tcMar>
              <w:top w:w="60" w:type="dxa"/>
              <w:left w:w="120" w:type="dxa"/>
              <w:bottom w:w="30" w:type="dxa"/>
              <w:right w:w="120" w:type="dxa"/>
            </w:tcMar>
          </w:tcPr>
          <w:p w14:paraId="33CA8A0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72FF6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4F834C7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炮体回转机构</w:t>
            </w:r>
          </w:p>
        </w:tc>
        <w:tc>
          <w:tcPr>
            <w:tcW w:w="1367" w:type="dxa"/>
            <w:tcMar>
              <w:top w:w="60" w:type="dxa"/>
              <w:left w:w="120" w:type="dxa"/>
              <w:bottom w:w="30" w:type="dxa"/>
              <w:right w:w="120" w:type="dxa"/>
            </w:tcMar>
          </w:tcPr>
          <w:p w14:paraId="55AD3EC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周</w:t>
            </w:r>
          </w:p>
        </w:tc>
        <w:tc>
          <w:tcPr>
            <w:tcW w:w="3249" w:type="dxa"/>
            <w:tcMar>
              <w:top w:w="60" w:type="dxa"/>
              <w:left w:w="120" w:type="dxa"/>
              <w:bottom w:w="30" w:type="dxa"/>
              <w:right w:w="120" w:type="dxa"/>
            </w:tcMar>
          </w:tcPr>
          <w:p w14:paraId="3728166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bl>
    <w:p w14:paraId="3FA02496">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xml:space="preserve">6、气体灭火系统 </w:t>
      </w:r>
    </w:p>
    <w:tbl>
      <w:tblPr>
        <w:tblStyle w:val="12"/>
        <w:tblW w:w="91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93"/>
        <w:gridCol w:w="1333"/>
        <w:gridCol w:w="3266"/>
      </w:tblGrid>
      <w:tr w14:paraId="0723B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593" w:type="dxa"/>
            <w:tcMar>
              <w:top w:w="60" w:type="dxa"/>
              <w:left w:w="120" w:type="dxa"/>
              <w:bottom w:w="30" w:type="dxa"/>
              <w:right w:w="120" w:type="dxa"/>
            </w:tcMar>
          </w:tcPr>
          <w:p w14:paraId="7025C83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设施设备</w:t>
            </w:r>
          </w:p>
        </w:tc>
        <w:tc>
          <w:tcPr>
            <w:tcW w:w="1333" w:type="dxa"/>
            <w:tcMar>
              <w:top w:w="60" w:type="dxa"/>
              <w:left w:w="120" w:type="dxa"/>
              <w:bottom w:w="30" w:type="dxa"/>
              <w:right w:w="120" w:type="dxa"/>
            </w:tcMar>
          </w:tcPr>
          <w:p w14:paraId="32BCAFA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周期</w:t>
            </w:r>
          </w:p>
        </w:tc>
        <w:tc>
          <w:tcPr>
            <w:tcW w:w="3266" w:type="dxa"/>
            <w:tcMar>
              <w:top w:w="60" w:type="dxa"/>
              <w:left w:w="120" w:type="dxa"/>
              <w:bottom w:w="30" w:type="dxa"/>
              <w:right w:w="120" w:type="dxa"/>
            </w:tcMar>
          </w:tcPr>
          <w:p w14:paraId="3210A9C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检查数量</w:t>
            </w:r>
          </w:p>
        </w:tc>
      </w:tr>
      <w:tr w14:paraId="3B025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93" w:type="dxa"/>
            <w:tcMar>
              <w:top w:w="60" w:type="dxa"/>
              <w:left w:w="120" w:type="dxa"/>
              <w:bottom w:w="30" w:type="dxa"/>
              <w:right w:w="120" w:type="dxa"/>
            </w:tcMar>
          </w:tcPr>
          <w:p w14:paraId="4A212DB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管道及支架</w:t>
            </w:r>
          </w:p>
        </w:tc>
        <w:tc>
          <w:tcPr>
            <w:tcW w:w="1333" w:type="dxa"/>
            <w:tcMar>
              <w:top w:w="60" w:type="dxa"/>
              <w:left w:w="120" w:type="dxa"/>
              <w:bottom w:w="30" w:type="dxa"/>
              <w:right w:w="120" w:type="dxa"/>
            </w:tcMar>
          </w:tcPr>
          <w:p w14:paraId="468460B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66" w:type="dxa"/>
            <w:tcMar>
              <w:top w:w="60" w:type="dxa"/>
              <w:left w:w="120" w:type="dxa"/>
              <w:bottom w:w="30" w:type="dxa"/>
              <w:right w:w="120" w:type="dxa"/>
            </w:tcMar>
          </w:tcPr>
          <w:p w14:paraId="59024FF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11FAF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93" w:type="dxa"/>
            <w:tcMar>
              <w:top w:w="60" w:type="dxa"/>
              <w:left w:w="120" w:type="dxa"/>
              <w:bottom w:w="30" w:type="dxa"/>
              <w:right w:w="120" w:type="dxa"/>
            </w:tcMar>
          </w:tcPr>
          <w:p w14:paraId="63E8D1F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模拟启动试验</w:t>
            </w:r>
          </w:p>
        </w:tc>
        <w:tc>
          <w:tcPr>
            <w:tcW w:w="1333" w:type="dxa"/>
            <w:tcMar>
              <w:top w:w="60" w:type="dxa"/>
              <w:left w:w="120" w:type="dxa"/>
              <w:bottom w:w="30" w:type="dxa"/>
              <w:right w:w="120" w:type="dxa"/>
            </w:tcMar>
          </w:tcPr>
          <w:p w14:paraId="2924151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66" w:type="dxa"/>
            <w:tcMar>
              <w:top w:w="60" w:type="dxa"/>
              <w:left w:w="120" w:type="dxa"/>
              <w:bottom w:w="30" w:type="dxa"/>
              <w:right w:w="120" w:type="dxa"/>
            </w:tcMar>
          </w:tcPr>
          <w:p w14:paraId="4A57C06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每防护区1次</w:t>
            </w:r>
          </w:p>
        </w:tc>
      </w:tr>
      <w:tr w14:paraId="73D8A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93" w:type="dxa"/>
            <w:tcMar>
              <w:top w:w="60" w:type="dxa"/>
              <w:left w:w="120" w:type="dxa"/>
              <w:bottom w:w="30" w:type="dxa"/>
              <w:right w:w="120" w:type="dxa"/>
            </w:tcMar>
          </w:tcPr>
          <w:p w14:paraId="7F6121A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模拟喷气试验</w:t>
            </w:r>
          </w:p>
        </w:tc>
        <w:tc>
          <w:tcPr>
            <w:tcW w:w="1333" w:type="dxa"/>
            <w:tcMar>
              <w:top w:w="60" w:type="dxa"/>
              <w:left w:w="120" w:type="dxa"/>
              <w:bottom w:w="30" w:type="dxa"/>
              <w:right w:w="120" w:type="dxa"/>
            </w:tcMar>
          </w:tcPr>
          <w:p w14:paraId="7D6DBC6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66" w:type="dxa"/>
            <w:tcMar>
              <w:top w:w="60" w:type="dxa"/>
              <w:left w:w="120" w:type="dxa"/>
              <w:bottom w:w="30" w:type="dxa"/>
              <w:right w:w="120" w:type="dxa"/>
            </w:tcMar>
          </w:tcPr>
          <w:p w14:paraId="62E758E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每防护区1次</w:t>
            </w:r>
          </w:p>
        </w:tc>
      </w:tr>
      <w:tr w14:paraId="5209D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93" w:type="dxa"/>
            <w:tcMar>
              <w:top w:w="60" w:type="dxa"/>
              <w:left w:w="120" w:type="dxa"/>
              <w:bottom w:w="30" w:type="dxa"/>
              <w:right w:w="120" w:type="dxa"/>
            </w:tcMar>
          </w:tcPr>
          <w:p w14:paraId="4CA944D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可燃物种类分布及防护区开口情况</w:t>
            </w:r>
          </w:p>
        </w:tc>
        <w:tc>
          <w:tcPr>
            <w:tcW w:w="1333" w:type="dxa"/>
            <w:tcMar>
              <w:top w:w="60" w:type="dxa"/>
              <w:left w:w="120" w:type="dxa"/>
              <w:bottom w:w="30" w:type="dxa"/>
              <w:right w:w="120" w:type="dxa"/>
            </w:tcMar>
          </w:tcPr>
          <w:p w14:paraId="1BC57C7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66" w:type="dxa"/>
            <w:tcMar>
              <w:top w:w="60" w:type="dxa"/>
              <w:left w:w="120" w:type="dxa"/>
              <w:bottom w:w="30" w:type="dxa"/>
              <w:right w:w="120" w:type="dxa"/>
            </w:tcMar>
          </w:tcPr>
          <w:p w14:paraId="3F52018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6288F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93" w:type="dxa"/>
            <w:tcMar>
              <w:top w:w="60" w:type="dxa"/>
              <w:left w:w="120" w:type="dxa"/>
              <w:bottom w:w="30" w:type="dxa"/>
              <w:right w:w="120" w:type="dxa"/>
            </w:tcMar>
          </w:tcPr>
          <w:p w14:paraId="372E7AF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储存装置间设备及管道支吊架固定</w:t>
            </w:r>
          </w:p>
        </w:tc>
        <w:tc>
          <w:tcPr>
            <w:tcW w:w="1333" w:type="dxa"/>
            <w:tcMar>
              <w:top w:w="60" w:type="dxa"/>
              <w:left w:w="120" w:type="dxa"/>
              <w:bottom w:w="30" w:type="dxa"/>
              <w:right w:w="120" w:type="dxa"/>
            </w:tcMar>
          </w:tcPr>
          <w:p w14:paraId="5F22295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66" w:type="dxa"/>
            <w:tcMar>
              <w:top w:w="60" w:type="dxa"/>
              <w:left w:w="120" w:type="dxa"/>
              <w:bottom w:w="30" w:type="dxa"/>
              <w:right w:w="120" w:type="dxa"/>
            </w:tcMar>
          </w:tcPr>
          <w:p w14:paraId="2A7C9D3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3D9F4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93" w:type="dxa"/>
            <w:tcMar>
              <w:top w:w="60" w:type="dxa"/>
              <w:left w:w="120" w:type="dxa"/>
              <w:bottom w:w="30" w:type="dxa"/>
              <w:right w:w="120" w:type="dxa"/>
            </w:tcMar>
          </w:tcPr>
          <w:p w14:paraId="4576BB3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连接管变形裂纹老化检查</w:t>
            </w:r>
          </w:p>
        </w:tc>
        <w:tc>
          <w:tcPr>
            <w:tcW w:w="1333" w:type="dxa"/>
            <w:tcMar>
              <w:top w:w="60" w:type="dxa"/>
              <w:left w:w="120" w:type="dxa"/>
              <w:bottom w:w="30" w:type="dxa"/>
              <w:right w:w="120" w:type="dxa"/>
            </w:tcMar>
          </w:tcPr>
          <w:p w14:paraId="4B1DA3A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66" w:type="dxa"/>
            <w:tcMar>
              <w:top w:w="60" w:type="dxa"/>
              <w:left w:w="120" w:type="dxa"/>
              <w:bottom w:w="30" w:type="dxa"/>
              <w:right w:w="120" w:type="dxa"/>
            </w:tcMar>
          </w:tcPr>
          <w:p w14:paraId="3482A15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603DE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93" w:type="dxa"/>
            <w:tcMar>
              <w:top w:w="60" w:type="dxa"/>
              <w:left w:w="120" w:type="dxa"/>
              <w:bottom w:w="30" w:type="dxa"/>
              <w:right w:w="120" w:type="dxa"/>
            </w:tcMar>
          </w:tcPr>
          <w:p w14:paraId="5A313DD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喷嘴孔口堵塞检查</w:t>
            </w:r>
          </w:p>
        </w:tc>
        <w:tc>
          <w:tcPr>
            <w:tcW w:w="1333" w:type="dxa"/>
            <w:tcMar>
              <w:top w:w="60" w:type="dxa"/>
              <w:left w:w="120" w:type="dxa"/>
              <w:bottom w:w="30" w:type="dxa"/>
              <w:right w:w="120" w:type="dxa"/>
            </w:tcMar>
          </w:tcPr>
          <w:p w14:paraId="1E4CCBE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66" w:type="dxa"/>
            <w:tcMar>
              <w:top w:w="60" w:type="dxa"/>
              <w:left w:w="120" w:type="dxa"/>
              <w:bottom w:w="30" w:type="dxa"/>
              <w:right w:w="120" w:type="dxa"/>
            </w:tcMar>
          </w:tcPr>
          <w:p w14:paraId="2BD07B1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2CAA0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93" w:type="dxa"/>
            <w:tcMar>
              <w:top w:w="60" w:type="dxa"/>
              <w:left w:w="120" w:type="dxa"/>
              <w:bottom w:w="30" w:type="dxa"/>
              <w:right w:w="120" w:type="dxa"/>
            </w:tcMar>
          </w:tcPr>
          <w:p w14:paraId="7B86538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高压二氧化碳储存容器逐个称重</w:t>
            </w:r>
          </w:p>
        </w:tc>
        <w:tc>
          <w:tcPr>
            <w:tcW w:w="1333" w:type="dxa"/>
            <w:tcMar>
              <w:top w:w="60" w:type="dxa"/>
              <w:left w:w="120" w:type="dxa"/>
              <w:bottom w:w="30" w:type="dxa"/>
              <w:right w:w="120" w:type="dxa"/>
            </w:tcMar>
          </w:tcPr>
          <w:p w14:paraId="50AA781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66" w:type="dxa"/>
            <w:tcMar>
              <w:top w:w="60" w:type="dxa"/>
              <w:left w:w="120" w:type="dxa"/>
              <w:bottom w:w="30" w:type="dxa"/>
              <w:right w:w="120" w:type="dxa"/>
            </w:tcMar>
          </w:tcPr>
          <w:p w14:paraId="28CECC0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3288D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93" w:type="dxa"/>
            <w:tcMar>
              <w:top w:w="60" w:type="dxa"/>
              <w:left w:w="120" w:type="dxa"/>
              <w:bottom w:w="30" w:type="dxa"/>
              <w:right w:w="120" w:type="dxa"/>
            </w:tcMar>
          </w:tcPr>
          <w:p w14:paraId="576DE03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灭火剂输送管道损伤堵塞检查</w:t>
            </w:r>
          </w:p>
        </w:tc>
        <w:tc>
          <w:tcPr>
            <w:tcW w:w="1333" w:type="dxa"/>
            <w:tcMar>
              <w:top w:w="60" w:type="dxa"/>
              <w:left w:w="120" w:type="dxa"/>
              <w:bottom w:w="30" w:type="dxa"/>
              <w:right w:w="120" w:type="dxa"/>
            </w:tcMar>
          </w:tcPr>
          <w:p w14:paraId="3EAF2A1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66" w:type="dxa"/>
            <w:tcMar>
              <w:top w:w="60" w:type="dxa"/>
              <w:left w:w="120" w:type="dxa"/>
              <w:bottom w:w="30" w:type="dxa"/>
              <w:right w:w="120" w:type="dxa"/>
            </w:tcMar>
          </w:tcPr>
          <w:p w14:paraId="5FD2D25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31A87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93" w:type="dxa"/>
            <w:tcMar>
              <w:top w:w="60" w:type="dxa"/>
              <w:left w:w="120" w:type="dxa"/>
              <w:bottom w:w="30" w:type="dxa"/>
              <w:right w:w="120" w:type="dxa"/>
            </w:tcMar>
          </w:tcPr>
          <w:p w14:paraId="05D9D37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气体灭火控制器</w:t>
            </w:r>
          </w:p>
        </w:tc>
        <w:tc>
          <w:tcPr>
            <w:tcW w:w="1333" w:type="dxa"/>
            <w:tcMar>
              <w:top w:w="60" w:type="dxa"/>
              <w:left w:w="120" w:type="dxa"/>
              <w:bottom w:w="30" w:type="dxa"/>
              <w:right w:w="120" w:type="dxa"/>
            </w:tcMar>
          </w:tcPr>
          <w:p w14:paraId="329CCC8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66" w:type="dxa"/>
            <w:tcMar>
              <w:top w:w="60" w:type="dxa"/>
              <w:left w:w="120" w:type="dxa"/>
              <w:bottom w:w="30" w:type="dxa"/>
              <w:right w:w="120" w:type="dxa"/>
            </w:tcMar>
          </w:tcPr>
          <w:p w14:paraId="0697F73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58F50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93" w:type="dxa"/>
            <w:tcMar>
              <w:top w:w="60" w:type="dxa"/>
              <w:left w:w="120" w:type="dxa"/>
              <w:bottom w:w="30" w:type="dxa"/>
              <w:right w:w="120" w:type="dxa"/>
            </w:tcMar>
          </w:tcPr>
          <w:p w14:paraId="3F08291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低压二氧化碳液位计（灭火剂损失≤10%）</w:t>
            </w:r>
          </w:p>
        </w:tc>
        <w:tc>
          <w:tcPr>
            <w:tcW w:w="1333" w:type="dxa"/>
            <w:tcMar>
              <w:top w:w="60" w:type="dxa"/>
              <w:left w:w="120" w:type="dxa"/>
              <w:bottom w:w="30" w:type="dxa"/>
              <w:right w:w="120" w:type="dxa"/>
            </w:tcMar>
          </w:tcPr>
          <w:p w14:paraId="7DC4F82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66" w:type="dxa"/>
            <w:tcMar>
              <w:top w:w="60" w:type="dxa"/>
              <w:left w:w="120" w:type="dxa"/>
              <w:bottom w:w="30" w:type="dxa"/>
              <w:right w:w="120" w:type="dxa"/>
            </w:tcMar>
          </w:tcPr>
          <w:p w14:paraId="45E99AF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3D451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93" w:type="dxa"/>
            <w:tcMar>
              <w:top w:w="60" w:type="dxa"/>
              <w:left w:w="120" w:type="dxa"/>
              <w:bottom w:w="30" w:type="dxa"/>
              <w:right w:w="120" w:type="dxa"/>
            </w:tcMar>
          </w:tcPr>
          <w:p w14:paraId="2B86153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高压二氧化碳/七氟丙烷/IG541全部系统组件</w:t>
            </w:r>
          </w:p>
        </w:tc>
        <w:tc>
          <w:tcPr>
            <w:tcW w:w="1333" w:type="dxa"/>
            <w:tcMar>
              <w:top w:w="60" w:type="dxa"/>
              <w:left w:w="120" w:type="dxa"/>
              <w:bottom w:w="30" w:type="dxa"/>
              <w:right w:w="120" w:type="dxa"/>
            </w:tcMar>
          </w:tcPr>
          <w:p w14:paraId="76BE23E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66" w:type="dxa"/>
            <w:tcMar>
              <w:top w:w="60" w:type="dxa"/>
              <w:left w:w="120" w:type="dxa"/>
              <w:bottom w:w="30" w:type="dxa"/>
              <w:right w:w="120" w:type="dxa"/>
            </w:tcMar>
          </w:tcPr>
          <w:p w14:paraId="14CB278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493E3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93" w:type="dxa"/>
            <w:tcMar>
              <w:top w:w="60" w:type="dxa"/>
              <w:left w:w="120" w:type="dxa"/>
              <w:bottom w:w="30" w:type="dxa"/>
              <w:right w:w="120" w:type="dxa"/>
            </w:tcMar>
          </w:tcPr>
          <w:p w14:paraId="0242D50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灭火剂和驱动气体储存容器内压力</w:t>
            </w:r>
          </w:p>
        </w:tc>
        <w:tc>
          <w:tcPr>
            <w:tcW w:w="1333" w:type="dxa"/>
            <w:tcMar>
              <w:top w:w="60" w:type="dxa"/>
              <w:left w:w="120" w:type="dxa"/>
              <w:bottom w:w="30" w:type="dxa"/>
              <w:right w:w="120" w:type="dxa"/>
            </w:tcMar>
          </w:tcPr>
          <w:p w14:paraId="47636E0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66" w:type="dxa"/>
            <w:tcMar>
              <w:top w:w="60" w:type="dxa"/>
              <w:left w:w="120" w:type="dxa"/>
              <w:bottom w:w="30" w:type="dxa"/>
              <w:right w:w="120" w:type="dxa"/>
            </w:tcMar>
          </w:tcPr>
          <w:p w14:paraId="4C93FC6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26B81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93" w:type="dxa"/>
            <w:tcMar>
              <w:top w:w="60" w:type="dxa"/>
              <w:left w:w="120" w:type="dxa"/>
              <w:bottom w:w="30" w:type="dxa"/>
              <w:right w:w="120" w:type="dxa"/>
            </w:tcMar>
          </w:tcPr>
          <w:p w14:paraId="05C35D9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预制灭火系统设备状态</w:t>
            </w:r>
          </w:p>
        </w:tc>
        <w:tc>
          <w:tcPr>
            <w:tcW w:w="1333" w:type="dxa"/>
            <w:tcMar>
              <w:top w:w="60" w:type="dxa"/>
              <w:left w:w="120" w:type="dxa"/>
              <w:bottom w:w="30" w:type="dxa"/>
              <w:right w:w="120" w:type="dxa"/>
            </w:tcMar>
          </w:tcPr>
          <w:p w14:paraId="28B8E12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66" w:type="dxa"/>
            <w:tcMar>
              <w:top w:w="60" w:type="dxa"/>
              <w:left w:w="120" w:type="dxa"/>
              <w:bottom w:w="30" w:type="dxa"/>
              <w:right w:w="120" w:type="dxa"/>
            </w:tcMar>
          </w:tcPr>
          <w:p w14:paraId="6CD76EA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bl>
    <w:p w14:paraId="006D98D3">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xml:space="preserve">7、防烟排烟系统 </w:t>
      </w:r>
    </w:p>
    <w:tbl>
      <w:tblPr>
        <w:tblStyle w:val="12"/>
        <w:tblW w:w="92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93"/>
        <w:gridCol w:w="1333"/>
        <w:gridCol w:w="3322"/>
      </w:tblGrid>
      <w:tr w14:paraId="533C7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93" w:type="dxa"/>
            <w:tcMar>
              <w:top w:w="60" w:type="dxa"/>
              <w:left w:w="120" w:type="dxa"/>
              <w:bottom w:w="30" w:type="dxa"/>
              <w:right w:w="120" w:type="dxa"/>
            </w:tcMar>
          </w:tcPr>
          <w:p w14:paraId="2D7C637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设施设备</w:t>
            </w:r>
          </w:p>
        </w:tc>
        <w:tc>
          <w:tcPr>
            <w:tcW w:w="1333" w:type="dxa"/>
            <w:tcMar>
              <w:top w:w="60" w:type="dxa"/>
              <w:left w:w="120" w:type="dxa"/>
              <w:bottom w:w="30" w:type="dxa"/>
              <w:right w:w="120" w:type="dxa"/>
            </w:tcMar>
          </w:tcPr>
          <w:p w14:paraId="17B1C67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周期</w:t>
            </w:r>
          </w:p>
        </w:tc>
        <w:tc>
          <w:tcPr>
            <w:tcW w:w="3322" w:type="dxa"/>
            <w:tcMar>
              <w:top w:w="60" w:type="dxa"/>
              <w:left w:w="120" w:type="dxa"/>
              <w:bottom w:w="30" w:type="dxa"/>
              <w:right w:w="120" w:type="dxa"/>
            </w:tcMar>
          </w:tcPr>
          <w:p w14:paraId="1BE24CE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检查数量</w:t>
            </w:r>
          </w:p>
        </w:tc>
      </w:tr>
      <w:tr w14:paraId="5A7C5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93" w:type="dxa"/>
            <w:tcMar>
              <w:top w:w="60" w:type="dxa"/>
              <w:left w:w="120" w:type="dxa"/>
              <w:bottom w:w="30" w:type="dxa"/>
              <w:right w:w="120" w:type="dxa"/>
            </w:tcMar>
          </w:tcPr>
          <w:p w14:paraId="1516571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消防风管</w:t>
            </w:r>
          </w:p>
        </w:tc>
        <w:tc>
          <w:tcPr>
            <w:tcW w:w="1333" w:type="dxa"/>
            <w:tcMar>
              <w:top w:w="60" w:type="dxa"/>
              <w:left w:w="120" w:type="dxa"/>
              <w:bottom w:w="30" w:type="dxa"/>
              <w:right w:w="120" w:type="dxa"/>
            </w:tcMar>
          </w:tcPr>
          <w:p w14:paraId="53B0B47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322" w:type="dxa"/>
            <w:tcMar>
              <w:top w:w="60" w:type="dxa"/>
              <w:left w:w="120" w:type="dxa"/>
              <w:bottom w:w="30" w:type="dxa"/>
              <w:right w:w="120" w:type="dxa"/>
            </w:tcMar>
          </w:tcPr>
          <w:p w14:paraId="1D870A9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24285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4593" w:type="dxa"/>
            <w:tcMar>
              <w:top w:w="60" w:type="dxa"/>
              <w:left w:w="120" w:type="dxa"/>
              <w:bottom w:w="30" w:type="dxa"/>
              <w:right w:w="120" w:type="dxa"/>
            </w:tcMar>
          </w:tcPr>
          <w:p w14:paraId="56FD915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系统联动试验</w:t>
            </w:r>
          </w:p>
        </w:tc>
        <w:tc>
          <w:tcPr>
            <w:tcW w:w="1333" w:type="dxa"/>
            <w:tcMar>
              <w:top w:w="60" w:type="dxa"/>
              <w:left w:w="120" w:type="dxa"/>
              <w:bottom w:w="30" w:type="dxa"/>
              <w:right w:w="120" w:type="dxa"/>
            </w:tcMar>
          </w:tcPr>
          <w:p w14:paraId="2BD9E90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322" w:type="dxa"/>
            <w:tcMar>
              <w:top w:w="60" w:type="dxa"/>
              <w:left w:w="120" w:type="dxa"/>
              <w:bottom w:w="30" w:type="dxa"/>
              <w:right w:w="120" w:type="dxa"/>
            </w:tcMar>
          </w:tcPr>
          <w:p w14:paraId="7E2775C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1次</w:t>
            </w:r>
          </w:p>
        </w:tc>
      </w:tr>
      <w:tr w14:paraId="5C02B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93" w:type="dxa"/>
            <w:tcMar>
              <w:top w:w="60" w:type="dxa"/>
              <w:left w:w="120" w:type="dxa"/>
              <w:bottom w:w="30" w:type="dxa"/>
              <w:right w:w="120" w:type="dxa"/>
            </w:tcMar>
          </w:tcPr>
          <w:p w14:paraId="087E309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排烟防火阀自动和手动启动试验</w:t>
            </w:r>
          </w:p>
        </w:tc>
        <w:tc>
          <w:tcPr>
            <w:tcW w:w="1333" w:type="dxa"/>
            <w:tcMar>
              <w:top w:w="60" w:type="dxa"/>
              <w:left w:w="120" w:type="dxa"/>
              <w:bottom w:w="30" w:type="dxa"/>
              <w:right w:w="120" w:type="dxa"/>
            </w:tcMar>
          </w:tcPr>
          <w:p w14:paraId="3C74F27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半年</w:t>
            </w:r>
          </w:p>
        </w:tc>
        <w:tc>
          <w:tcPr>
            <w:tcW w:w="3322" w:type="dxa"/>
            <w:tcMar>
              <w:top w:w="60" w:type="dxa"/>
              <w:left w:w="120" w:type="dxa"/>
              <w:bottom w:w="30" w:type="dxa"/>
              <w:right w:w="120" w:type="dxa"/>
            </w:tcMar>
          </w:tcPr>
          <w:p w14:paraId="409CF8F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4FEC0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93" w:type="dxa"/>
            <w:tcMar>
              <w:top w:w="60" w:type="dxa"/>
              <w:left w:w="120" w:type="dxa"/>
              <w:bottom w:w="30" w:type="dxa"/>
              <w:right w:w="120" w:type="dxa"/>
            </w:tcMar>
          </w:tcPr>
          <w:p w14:paraId="4B32EE2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送风阀（口）自动和手动启动试验</w:t>
            </w:r>
          </w:p>
        </w:tc>
        <w:tc>
          <w:tcPr>
            <w:tcW w:w="1333" w:type="dxa"/>
            <w:tcMar>
              <w:top w:w="60" w:type="dxa"/>
              <w:left w:w="120" w:type="dxa"/>
              <w:bottom w:w="30" w:type="dxa"/>
              <w:right w:w="120" w:type="dxa"/>
            </w:tcMar>
          </w:tcPr>
          <w:p w14:paraId="0A9615F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半年</w:t>
            </w:r>
          </w:p>
        </w:tc>
        <w:tc>
          <w:tcPr>
            <w:tcW w:w="3322" w:type="dxa"/>
            <w:tcMar>
              <w:top w:w="60" w:type="dxa"/>
              <w:left w:w="120" w:type="dxa"/>
              <w:bottom w:w="30" w:type="dxa"/>
              <w:right w:w="120" w:type="dxa"/>
            </w:tcMar>
          </w:tcPr>
          <w:p w14:paraId="2D761E9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0CB85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93" w:type="dxa"/>
            <w:tcMar>
              <w:top w:w="60" w:type="dxa"/>
              <w:left w:w="120" w:type="dxa"/>
              <w:bottom w:w="30" w:type="dxa"/>
              <w:right w:w="120" w:type="dxa"/>
            </w:tcMar>
          </w:tcPr>
          <w:p w14:paraId="1A0647E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排烟阀（口）自动和手动启动试验</w:t>
            </w:r>
          </w:p>
        </w:tc>
        <w:tc>
          <w:tcPr>
            <w:tcW w:w="1333" w:type="dxa"/>
            <w:tcMar>
              <w:top w:w="60" w:type="dxa"/>
              <w:left w:w="120" w:type="dxa"/>
              <w:bottom w:w="30" w:type="dxa"/>
              <w:right w:w="120" w:type="dxa"/>
            </w:tcMar>
          </w:tcPr>
          <w:p w14:paraId="79C77FF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半年</w:t>
            </w:r>
          </w:p>
        </w:tc>
        <w:tc>
          <w:tcPr>
            <w:tcW w:w="3322" w:type="dxa"/>
            <w:tcMar>
              <w:top w:w="60" w:type="dxa"/>
              <w:left w:w="120" w:type="dxa"/>
              <w:bottom w:w="30" w:type="dxa"/>
              <w:right w:w="120" w:type="dxa"/>
            </w:tcMar>
          </w:tcPr>
          <w:p w14:paraId="2F4917E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42740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93" w:type="dxa"/>
            <w:tcMar>
              <w:top w:w="60" w:type="dxa"/>
              <w:left w:w="120" w:type="dxa"/>
              <w:bottom w:w="30" w:type="dxa"/>
              <w:right w:w="120" w:type="dxa"/>
            </w:tcMar>
          </w:tcPr>
          <w:p w14:paraId="07958CB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防烟排烟风机功能检测启动试验</w:t>
            </w:r>
          </w:p>
        </w:tc>
        <w:tc>
          <w:tcPr>
            <w:tcW w:w="1333" w:type="dxa"/>
            <w:tcMar>
              <w:top w:w="60" w:type="dxa"/>
              <w:left w:w="120" w:type="dxa"/>
              <w:bottom w:w="30" w:type="dxa"/>
              <w:right w:w="120" w:type="dxa"/>
            </w:tcMar>
          </w:tcPr>
          <w:p w14:paraId="7754DD5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322" w:type="dxa"/>
            <w:tcMar>
              <w:top w:w="60" w:type="dxa"/>
              <w:left w:w="120" w:type="dxa"/>
              <w:bottom w:w="30" w:type="dxa"/>
              <w:right w:w="120" w:type="dxa"/>
            </w:tcMar>
          </w:tcPr>
          <w:p w14:paraId="734FBF8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6DA09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93" w:type="dxa"/>
            <w:tcMar>
              <w:top w:w="60" w:type="dxa"/>
              <w:left w:w="120" w:type="dxa"/>
              <w:bottom w:w="30" w:type="dxa"/>
              <w:right w:w="120" w:type="dxa"/>
            </w:tcMar>
          </w:tcPr>
          <w:p w14:paraId="4F583EE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活动挡烟垂壁功能检测启动试验</w:t>
            </w:r>
          </w:p>
        </w:tc>
        <w:tc>
          <w:tcPr>
            <w:tcW w:w="1333" w:type="dxa"/>
            <w:tcMar>
              <w:top w:w="60" w:type="dxa"/>
              <w:left w:w="120" w:type="dxa"/>
              <w:bottom w:w="30" w:type="dxa"/>
              <w:right w:w="120" w:type="dxa"/>
            </w:tcMar>
          </w:tcPr>
          <w:p w14:paraId="7A8D45C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322" w:type="dxa"/>
            <w:tcMar>
              <w:top w:w="60" w:type="dxa"/>
              <w:left w:w="120" w:type="dxa"/>
              <w:bottom w:w="30" w:type="dxa"/>
              <w:right w:w="120" w:type="dxa"/>
            </w:tcMar>
          </w:tcPr>
          <w:p w14:paraId="194E49A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0CBFE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93" w:type="dxa"/>
            <w:tcMar>
              <w:top w:w="60" w:type="dxa"/>
              <w:left w:w="120" w:type="dxa"/>
              <w:bottom w:w="30" w:type="dxa"/>
              <w:right w:w="120" w:type="dxa"/>
            </w:tcMar>
          </w:tcPr>
          <w:p w14:paraId="78CB0D3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自动排烟窗功能检测启动试验</w:t>
            </w:r>
          </w:p>
        </w:tc>
        <w:tc>
          <w:tcPr>
            <w:tcW w:w="1333" w:type="dxa"/>
            <w:tcMar>
              <w:top w:w="60" w:type="dxa"/>
              <w:left w:w="120" w:type="dxa"/>
              <w:bottom w:w="30" w:type="dxa"/>
              <w:right w:w="120" w:type="dxa"/>
            </w:tcMar>
          </w:tcPr>
          <w:p w14:paraId="6FD2371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322" w:type="dxa"/>
            <w:tcMar>
              <w:top w:w="60" w:type="dxa"/>
              <w:left w:w="120" w:type="dxa"/>
              <w:bottom w:w="30" w:type="dxa"/>
              <w:right w:w="120" w:type="dxa"/>
            </w:tcMar>
          </w:tcPr>
          <w:p w14:paraId="3FF8FEF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1EDF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593" w:type="dxa"/>
            <w:tcMar>
              <w:top w:w="60" w:type="dxa"/>
              <w:left w:w="120" w:type="dxa"/>
              <w:bottom w:w="30" w:type="dxa"/>
              <w:right w:w="120" w:type="dxa"/>
            </w:tcMar>
          </w:tcPr>
          <w:p w14:paraId="63635B0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供电线路检查</w:t>
            </w:r>
          </w:p>
        </w:tc>
        <w:tc>
          <w:tcPr>
            <w:tcW w:w="1333" w:type="dxa"/>
            <w:tcMar>
              <w:top w:w="60" w:type="dxa"/>
              <w:left w:w="120" w:type="dxa"/>
              <w:bottom w:w="30" w:type="dxa"/>
              <w:right w:w="120" w:type="dxa"/>
            </w:tcMar>
          </w:tcPr>
          <w:p w14:paraId="09899CC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322" w:type="dxa"/>
            <w:tcMar>
              <w:top w:w="60" w:type="dxa"/>
              <w:left w:w="120" w:type="dxa"/>
              <w:bottom w:w="30" w:type="dxa"/>
              <w:right w:w="120" w:type="dxa"/>
            </w:tcMar>
          </w:tcPr>
          <w:p w14:paraId="27ADA84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bl>
    <w:p w14:paraId="66DACC1C">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xml:space="preserve">8、消防应急照明和疏散指示系统 </w:t>
      </w:r>
    </w:p>
    <w:tbl>
      <w:tblPr>
        <w:tblStyle w:val="12"/>
        <w:tblW w:w="91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76"/>
        <w:gridCol w:w="1334"/>
        <w:gridCol w:w="3282"/>
      </w:tblGrid>
      <w:tr w14:paraId="73935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3E6CB78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设施设备</w:t>
            </w:r>
          </w:p>
        </w:tc>
        <w:tc>
          <w:tcPr>
            <w:tcW w:w="1334" w:type="dxa"/>
            <w:tcMar>
              <w:top w:w="60" w:type="dxa"/>
              <w:left w:w="120" w:type="dxa"/>
              <w:bottom w:w="30" w:type="dxa"/>
              <w:right w:w="120" w:type="dxa"/>
            </w:tcMar>
          </w:tcPr>
          <w:p w14:paraId="68F80BD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周期</w:t>
            </w:r>
          </w:p>
        </w:tc>
        <w:tc>
          <w:tcPr>
            <w:tcW w:w="3282" w:type="dxa"/>
            <w:tcMar>
              <w:top w:w="60" w:type="dxa"/>
              <w:left w:w="120" w:type="dxa"/>
              <w:bottom w:w="30" w:type="dxa"/>
              <w:right w:w="120" w:type="dxa"/>
            </w:tcMar>
          </w:tcPr>
          <w:p w14:paraId="55E0D36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检查数量</w:t>
            </w:r>
          </w:p>
        </w:tc>
      </w:tr>
      <w:tr w14:paraId="76DF7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6210039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应急照明集中电源</w:t>
            </w:r>
          </w:p>
        </w:tc>
        <w:tc>
          <w:tcPr>
            <w:tcW w:w="1334" w:type="dxa"/>
            <w:tcMar>
              <w:top w:w="60" w:type="dxa"/>
              <w:left w:w="120" w:type="dxa"/>
              <w:bottom w:w="30" w:type="dxa"/>
              <w:right w:w="120" w:type="dxa"/>
            </w:tcMar>
          </w:tcPr>
          <w:p w14:paraId="6D8853B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82" w:type="dxa"/>
            <w:tcMar>
              <w:top w:w="60" w:type="dxa"/>
              <w:left w:w="120" w:type="dxa"/>
              <w:bottom w:w="30" w:type="dxa"/>
              <w:right w:w="120" w:type="dxa"/>
            </w:tcMar>
          </w:tcPr>
          <w:p w14:paraId="57460E0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2984F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7616A12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应急照明配电箱</w:t>
            </w:r>
          </w:p>
        </w:tc>
        <w:tc>
          <w:tcPr>
            <w:tcW w:w="1334" w:type="dxa"/>
            <w:tcMar>
              <w:top w:w="60" w:type="dxa"/>
              <w:left w:w="120" w:type="dxa"/>
              <w:bottom w:w="30" w:type="dxa"/>
              <w:right w:w="120" w:type="dxa"/>
            </w:tcMar>
          </w:tcPr>
          <w:p w14:paraId="0D18477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82" w:type="dxa"/>
            <w:tcMar>
              <w:top w:w="60" w:type="dxa"/>
              <w:left w:w="120" w:type="dxa"/>
              <w:bottom w:w="30" w:type="dxa"/>
              <w:right w:w="120" w:type="dxa"/>
            </w:tcMar>
          </w:tcPr>
          <w:p w14:paraId="1C3544A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1A030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795D9F3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应急照明灯具和疏散指示标志灯具</w:t>
            </w:r>
          </w:p>
        </w:tc>
        <w:tc>
          <w:tcPr>
            <w:tcW w:w="1334" w:type="dxa"/>
            <w:tcMar>
              <w:top w:w="60" w:type="dxa"/>
              <w:left w:w="120" w:type="dxa"/>
              <w:bottom w:w="30" w:type="dxa"/>
              <w:right w:w="120" w:type="dxa"/>
            </w:tcMar>
          </w:tcPr>
          <w:p w14:paraId="6916F66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82" w:type="dxa"/>
            <w:tcMar>
              <w:top w:w="60" w:type="dxa"/>
              <w:left w:w="120" w:type="dxa"/>
              <w:bottom w:w="30" w:type="dxa"/>
              <w:right w:w="120" w:type="dxa"/>
            </w:tcMar>
          </w:tcPr>
          <w:p w14:paraId="296F442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全数，每月≥8%，每季≥25%</w:t>
            </w:r>
          </w:p>
        </w:tc>
      </w:tr>
      <w:tr w14:paraId="19CA8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5D54022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火灾状态下自动应急启动功能</w:t>
            </w:r>
          </w:p>
        </w:tc>
        <w:tc>
          <w:tcPr>
            <w:tcW w:w="1334" w:type="dxa"/>
            <w:tcMar>
              <w:top w:w="60" w:type="dxa"/>
              <w:left w:w="120" w:type="dxa"/>
              <w:bottom w:w="30" w:type="dxa"/>
              <w:right w:w="120" w:type="dxa"/>
            </w:tcMar>
          </w:tcPr>
          <w:p w14:paraId="23A201A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82" w:type="dxa"/>
            <w:tcMar>
              <w:top w:w="60" w:type="dxa"/>
              <w:left w:w="120" w:type="dxa"/>
              <w:bottom w:w="30" w:type="dxa"/>
              <w:right w:w="120" w:type="dxa"/>
            </w:tcMar>
          </w:tcPr>
          <w:p w14:paraId="36C934A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每个防火分区≥1次</w:t>
            </w:r>
          </w:p>
        </w:tc>
      </w:tr>
      <w:tr w14:paraId="08C4C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625F449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系统功能</w:t>
            </w:r>
          </w:p>
        </w:tc>
        <w:tc>
          <w:tcPr>
            <w:tcW w:w="1334" w:type="dxa"/>
            <w:tcMar>
              <w:top w:w="60" w:type="dxa"/>
              <w:left w:w="120" w:type="dxa"/>
              <w:bottom w:w="30" w:type="dxa"/>
              <w:right w:w="120" w:type="dxa"/>
            </w:tcMar>
          </w:tcPr>
          <w:p w14:paraId="5AF8041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82" w:type="dxa"/>
            <w:tcMar>
              <w:top w:w="60" w:type="dxa"/>
              <w:left w:w="120" w:type="dxa"/>
              <w:bottom w:w="30" w:type="dxa"/>
              <w:right w:w="120" w:type="dxa"/>
            </w:tcMar>
          </w:tcPr>
          <w:p w14:paraId="71A541C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1次</w:t>
            </w:r>
          </w:p>
        </w:tc>
      </w:tr>
      <w:tr w14:paraId="6EA48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62CF283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应急照明控制器</w:t>
            </w:r>
          </w:p>
        </w:tc>
        <w:tc>
          <w:tcPr>
            <w:tcW w:w="1334" w:type="dxa"/>
            <w:tcMar>
              <w:top w:w="60" w:type="dxa"/>
              <w:left w:w="120" w:type="dxa"/>
              <w:bottom w:w="30" w:type="dxa"/>
              <w:right w:w="120" w:type="dxa"/>
            </w:tcMar>
          </w:tcPr>
          <w:p w14:paraId="3EE6172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82" w:type="dxa"/>
            <w:tcMar>
              <w:top w:w="60" w:type="dxa"/>
              <w:left w:w="120" w:type="dxa"/>
              <w:bottom w:w="30" w:type="dxa"/>
              <w:right w:w="120" w:type="dxa"/>
            </w:tcMar>
          </w:tcPr>
          <w:p w14:paraId="7432859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0D6D2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6" w:type="dxa"/>
            <w:tcMar>
              <w:top w:w="60" w:type="dxa"/>
              <w:left w:w="120" w:type="dxa"/>
              <w:bottom w:w="30" w:type="dxa"/>
              <w:right w:w="120" w:type="dxa"/>
            </w:tcMar>
          </w:tcPr>
          <w:p w14:paraId="40A305B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手动应急启动功能</w:t>
            </w:r>
          </w:p>
        </w:tc>
        <w:tc>
          <w:tcPr>
            <w:tcW w:w="1334" w:type="dxa"/>
            <w:tcMar>
              <w:top w:w="60" w:type="dxa"/>
              <w:left w:w="120" w:type="dxa"/>
              <w:bottom w:w="30" w:type="dxa"/>
              <w:right w:w="120" w:type="dxa"/>
            </w:tcMar>
          </w:tcPr>
          <w:p w14:paraId="53744FB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月/季（每月、每季各1次）</w:t>
            </w:r>
          </w:p>
        </w:tc>
        <w:tc>
          <w:tcPr>
            <w:tcW w:w="3282" w:type="dxa"/>
            <w:tcMar>
              <w:top w:w="60" w:type="dxa"/>
              <w:left w:w="120" w:type="dxa"/>
              <w:bottom w:w="30" w:type="dxa"/>
              <w:right w:w="120" w:type="dxa"/>
            </w:tcMar>
          </w:tcPr>
          <w:p w14:paraId="7A92E8D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1次</w:t>
            </w:r>
          </w:p>
        </w:tc>
      </w:tr>
    </w:tbl>
    <w:p w14:paraId="393105D6">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xml:space="preserve">9、防火分隔设施 </w:t>
      </w:r>
    </w:p>
    <w:tbl>
      <w:tblPr>
        <w:tblStyle w:val="12"/>
        <w:tblW w:w="91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73"/>
        <w:gridCol w:w="1350"/>
        <w:gridCol w:w="3269"/>
      </w:tblGrid>
      <w:tr w14:paraId="47848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3" w:type="dxa"/>
            <w:tcMar>
              <w:top w:w="60" w:type="dxa"/>
              <w:left w:w="120" w:type="dxa"/>
              <w:bottom w:w="30" w:type="dxa"/>
              <w:right w:w="120" w:type="dxa"/>
            </w:tcMar>
          </w:tcPr>
          <w:p w14:paraId="1AB1B20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设施设备</w:t>
            </w:r>
          </w:p>
        </w:tc>
        <w:tc>
          <w:tcPr>
            <w:tcW w:w="1350" w:type="dxa"/>
            <w:tcMar>
              <w:top w:w="60" w:type="dxa"/>
              <w:left w:w="120" w:type="dxa"/>
              <w:bottom w:w="30" w:type="dxa"/>
              <w:right w:w="120" w:type="dxa"/>
            </w:tcMar>
          </w:tcPr>
          <w:p w14:paraId="2D3A924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周期</w:t>
            </w:r>
          </w:p>
        </w:tc>
        <w:tc>
          <w:tcPr>
            <w:tcW w:w="3269" w:type="dxa"/>
            <w:tcMar>
              <w:top w:w="60" w:type="dxa"/>
              <w:left w:w="120" w:type="dxa"/>
              <w:bottom w:w="30" w:type="dxa"/>
              <w:right w:w="120" w:type="dxa"/>
            </w:tcMar>
          </w:tcPr>
          <w:p w14:paraId="61AABB1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检查数量</w:t>
            </w:r>
          </w:p>
        </w:tc>
      </w:tr>
      <w:tr w14:paraId="4D632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3" w:type="dxa"/>
            <w:tcMar>
              <w:top w:w="60" w:type="dxa"/>
              <w:left w:w="120" w:type="dxa"/>
              <w:bottom w:w="30" w:type="dxa"/>
              <w:right w:w="120" w:type="dxa"/>
            </w:tcMar>
          </w:tcPr>
          <w:p w14:paraId="748C83B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电动防火门</w:t>
            </w:r>
          </w:p>
        </w:tc>
        <w:tc>
          <w:tcPr>
            <w:tcW w:w="1350" w:type="dxa"/>
            <w:tcMar>
              <w:top w:w="60" w:type="dxa"/>
              <w:left w:w="120" w:type="dxa"/>
              <w:bottom w:w="30" w:type="dxa"/>
              <w:right w:w="120" w:type="dxa"/>
            </w:tcMar>
          </w:tcPr>
          <w:p w14:paraId="0E8BBE7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69" w:type="dxa"/>
            <w:tcMar>
              <w:top w:w="60" w:type="dxa"/>
              <w:left w:w="120" w:type="dxa"/>
              <w:bottom w:w="30" w:type="dxa"/>
              <w:right w:w="120" w:type="dxa"/>
            </w:tcMar>
          </w:tcPr>
          <w:p w14:paraId="47936EA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2D590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3" w:type="dxa"/>
            <w:tcMar>
              <w:top w:w="60" w:type="dxa"/>
              <w:left w:w="120" w:type="dxa"/>
              <w:bottom w:w="30" w:type="dxa"/>
              <w:right w:w="120" w:type="dxa"/>
            </w:tcMar>
          </w:tcPr>
          <w:p w14:paraId="1E216A7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防火卷帘</w:t>
            </w:r>
          </w:p>
        </w:tc>
        <w:tc>
          <w:tcPr>
            <w:tcW w:w="1350" w:type="dxa"/>
            <w:tcMar>
              <w:top w:w="60" w:type="dxa"/>
              <w:left w:w="120" w:type="dxa"/>
              <w:bottom w:w="30" w:type="dxa"/>
              <w:right w:w="120" w:type="dxa"/>
            </w:tcMar>
          </w:tcPr>
          <w:p w14:paraId="5E80A41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69" w:type="dxa"/>
            <w:tcMar>
              <w:top w:w="60" w:type="dxa"/>
              <w:left w:w="120" w:type="dxa"/>
              <w:bottom w:w="30" w:type="dxa"/>
              <w:right w:w="120" w:type="dxa"/>
            </w:tcMar>
          </w:tcPr>
          <w:p w14:paraId="204D41B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bl>
    <w:p w14:paraId="2E68C931">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10、电气火灾监控系统</w:t>
      </w:r>
    </w:p>
    <w:tbl>
      <w:tblPr>
        <w:tblStyle w:val="12"/>
        <w:tblW w:w="91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63"/>
        <w:gridCol w:w="1350"/>
        <w:gridCol w:w="3279"/>
      </w:tblGrid>
      <w:tr w14:paraId="1C2E8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63" w:type="dxa"/>
            <w:tcMar>
              <w:top w:w="60" w:type="dxa"/>
              <w:left w:w="120" w:type="dxa"/>
              <w:bottom w:w="30" w:type="dxa"/>
              <w:right w:w="120" w:type="dxa"/>
            </w:tcMar>
          </w:tcPr>
          <w:p w14:paraId="06069C7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设施设备</w:t>
            </w:r>
          </w:p>
        </w:tc>
        <w:tc>
          <w:tcPr>
            <w:tcW w:w="1350" w:type="dxa"/>
            <w:tcMar>
              <w:top w:w="60" w:type="dxa"/>
              <w:left w:w="120" w:type="dxa"/>
              <w:bottom w:w="30" w:type="dxa"/>
              <w:right w:w="120" w:type="dxa"/>
            </w:tcMar>
          </w:tcPr>
          <w:p w14:paraId="3A520AB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周期</w:t>
            </w:r>
          </w:p>
        </w:tc>
        <w:tc>
          <w:tcPr>
            <w:tcW w:w="3279" w:type="dxa"/>
            <w:tcMar>
              <w:top w:w="60" w:type="dxa"/>
              <w:left w:w="120" w:type="dxa"/>
              <w:bottom w:w="30" w:type="dxa"/>
              <w:right w:w="120" w:type="dxa"/>
            </w:tcMar>
          </w:tcPr>
          <w:p w14:paraId="1DFD7CF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检查数量</w:t>
            </w:r>
          </w:p>
        </w:tc>
      </w:tr>
      <w:tr w14:paraId="1A7EE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63" w:type="dxa"/>
            <w:tcMar>
              <w:top w:w="60" w:type="dxa"/>
              <w:left w:w="120" w:type="dxa"/>
              <w:bottom w:w="30" w:type="dxa"/>
              <w:right w:w="120" w:type="dxa"/>
            </w:tcMar>
          </w:tcPr>
          <w:p w14:paraId="0F03057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剩余电流式电气火灾监控探测器</w:t>
            </w:r>
          </w:p>
        </w:tc>
        <w:tc>
          <w:tcPr>
            <w:tcW w:w="1350" w:type="dxa"/>
            <w:tcMar>
              <w:top w:w="60" w:type="dxa"/>
              <w:left w:w="120" w:type="dxa"/>
              <w:bottom w:w="30" w:type="dxa"/>
              <w:right w:w="120" w:type="dxa"/>
            </w:tcMar>
          </w:tcPr>
          <w:p w14:paraId="5582228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79" w:type="dxa"/>
            <w:tcMar>
              <w:top w:w="60" w:type="dxa"/>
              <w:left w:w="120" w:type="dxa"/>
              <w:bottom w:w="30" w:type="dxa"/>
              <w:right w:w="120" w:type="dxa"/>
            </w:tcMar>
          </w:tcPr>
          <w:p w14:paraId="4CEDD09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428FF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63" w:type="dxa"/>
            <w:tcMar>
              <w:top w:w="60" w:type="dxa"/>
              <w:left w:w="120" w:type="dxa"/>
              <w:bottom w:w="30" w:type="dxa"/>
              <w:right w:w="120" w:type="dxa"/>
            </w:tcMar>
          </w:tcPr>
          <w:p w14:paraId="4F204D2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测温式电气火灾监控探测器</w:t>
            </w:r>
          </w:p>
        </w:tc>
        <w:tc>
          <w:tcPr>
            <w:tcW w:w="1350" w:type="dxa"/>
            <w:tcMar>
              <w:top w:w="60" w:type="dxa"/>
              <w:left w:w="120" w:type="dxa"/>
              <w:bottom w:w="30" w:type="dxa"/>
              <w:right w:w="120" w:type="dxa"/>
            </w:tcMar>
          </w:tcPr>
          <w:p w14:paraId="0CA95F0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79" w:type="dxa"/>
            <w:tcMar>
              <w:top w:w="60" w:type="dxa"/>
              <w:left w:w="120" w:type="dxa"/>
              <w:bottom w:w="30" w:type="dxa"/>
              <w:right w:w="120" w:type="dxa"/>
            </w:tcMar>
          </w:tcPr>
          <w:p w14:paraId="7CD014A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1A565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63" w:type="dxa"/>
            <w:tcMar>
              <w:top w:w="60" w:type="dxa"/>
              <w:left w:w="120" w:type="dxa"/>
              <w:bottom w:w="30" w:type="dxa"/>
              <w:right w:w="120" w:type="dxa"/>
            </w:tcMar>
          </w:tcPr>
          <w:p w14:paraId="23B7382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故障电弧探测器</w:t>
            </w:r>
          </w:p>
        </w:tc>
        <w:tc>
          <w:tcPr>
            <w:tcW w:w="1350" w:type="dxa"/>
            <w:tcMar>
              <w:top w:w="60" w:type="dxa"/>
              <w:left w:w="120" w:type="dxa"/>
              <w:bottom w:w="30" w:type="dxa"/>
              <w:right w:w="120" w:type="dxa"/>
            </w:tcMar>
          </w:tcPr>
          <w:p w14:paraId="5B032C6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79" w:type="dxa"/>
            <w:tcMar>
              <w:top w:w="60" w:type="dxa"/>
              <w:left w:w="120" w:type="dxa"/>
              <w:bottom w:w="30" w:type="dxa"/>
              <w:right w:w="120" w:type="dxa"/>
            </w:tcMar>
          </w:tcPr>
          <w:p w14:paraId="1327D83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0CDEB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63" w:type="dxa"/>
            <w:tcMar>
              <w:top w:w="60" w:type="dxa"/>
              <w:left w:w="120" w:type="dxa"/>
              <w:bottom w:w="30" w:type="dxa"/>
              <w:right w:w="120" w:type="dxa"/>
            </w:tcMar>
          </w:tcPr>
          <w:p w14:paraId="598EB8E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监控设备</w:t>
            </w:r>
          </w:p>
        </w:tc>
        <w:tc>
          <w:tcPr>
            <w:tcW w:w="1350" w:type="dxa"/>
            <w:tcMar>
              <w:top w:w="60" w:type="dxa"/>
              <w:left w:w="120" w:type="dxa"/>
              <w:bottom w:w="30" w:type="dxa"/>
              <w:right w:w="120" w:type="dxa"/>
            </w:tcMar>
          </w:tcPr>
          <w:p w14:paraId="02CA4F3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79" w:type="dxa"/>
            <w:tcMar>
              <w:top w:w="60" w:type="dxa"/>
              <w:left w:w="120" w:type="dxa"/>
              <w:bottom w:w="30" w:type="dxa"/>
              <w:right w:w="120" w:type="dxa"/>
            </w:tcMar>
          </w:tcPr>
          <w:p w14:paraId="4C94604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bl>
    <w:p w14:paraId="6AA5059C">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11、可燃气体探测报警系统</w:t>
      </w:r>
    </w:p>
    <w:tbl>
      <w:tblPr>
        <w:tblStyle w:val="12"/>
        <w:tblW w:w="91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73"/>
        <w:gridCol w:w="1331"/>
        <w:gridCol w:w="3288"/>
      </w:tblGrid>
      <w:tr w14:paraId="2CB61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3" w:type="dxa"/>
            <w:tcMar>
              <w:top w:w="60" w:type="dxa"/>
              <w:left w:w="120" w:type="dxa"/>
              <w:bottom w:w="30" w:type="dxa"/>
              <w:right w:w="120" w:type="dxa"/>
            </w:tcMar>
          </w:tcPr>
          <w:p w14:paraId="76D81EF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设施设备</w:t>
            </w:r>
          </w:p>
        </w:tc>
        <w:tc>
          <w:tcPr>
            <w:tcW w:w="1331" w:type="dxa"/>
            <w:tcMar>
              <w:top w:w="60" w:type="dxa"/>
              <w:left w:w="120" w:type="dxa"/>
              <w:bottom w:w="30" w:type="dxa"/>
              <w:right w:w="120" w:type="dxa"/>
            </w:tcMar>
          </w:tcPr>
          <w:p w14:paraId="41A9CFE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周期</w:t>
            </w:r>
          </w:p>
        </w:tc>
        <w:tc>
          <w:tcPr>
            <w:tcW w:w="3288" w:type="dxa"/>
            <w:tcMar>
              <w:top w:w="60" w:type="dxa"/>
              <w:left w:w="120" w:type="dxa"/>
              <w:bottom w:w="30" w:type="dxa"/>
              <w:right w:w="120" w:type="dxa"/>
            </w:tcMar>
          </w:tcPr>
          <w:p w14:paraId="03F6321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检查数量</w:t>
            </w:r>
          </w:p>
        </w:tc>
      </w:tr>
      <w:tr w14:paraId="745A8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3" w:type="dxa"/>
            <w:tcMar>
              <w:top w:w="60" w:type="dxa"/>
              <w:left w:w="120" w:type="dxa"/>
              <w:bottom w:w="30" w:type="dxa"/>
              <w:right w:w="120" w:type="dxa"/>
            </w:tcMar>
          </w:tcPr>
          <w:p w14:paraId="251C007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可燃气体探测器</w:t>
            </w:r>
          </w:p>
        </w:tc>
        <w:tc>
          <w:tcPr>
            <w:tcW w:w="1331" w:type="dxa"/>
            <w:tcMar>
              <w:top w:w="60" w:type="dxa"/>
              <w:left w:w="120" w:type="dxa"/>
              <w:bottom w:w="30" w:type="dxa"/>
              <w:right w:w="120" w:type="dxa"/>
            </w:tcMar>
          </w:tcPr>
          <w:p w14:paraId="2A6942B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88" w:type="dxa"/>
            <w:tcMar>
              <w:top w:w="60" w:type="dxa"/>
              <w:left w:w="120" w:type="dxa"/>
              <w:bottom w:w="30" w:type="dxa"/>
              <w:right w:w="120" w:type="dxa"/>
            </w:tcMar>
          </w:tcPr>
          <w:p w14:paraId="48A936C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2279C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73" w:type="dxa"/>
            <w:tcMar>
              <w:top w:w="60" w:type="dxa"/>
              <w:left w:w="120" w:type="dxa"/>
              <w:bottom w:w="30" w:type="dxa"/>
              <w:right w:w="120" w:type="dxa"/>
            </w:tcMar>
          </w:tcPr>
          <w:p w14:paraId="11F27FC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可燃气体报警控制器</w:t>
            </w:r>
          </w:p>
        </w:tc>
        <w:tc>
          <w:tcPr>
            <w:tcW w:w="1331" w:type="dxa"/>
            <w:tcMar>
              <w:top w:w="60" w:type="dxa"/>
              <w:left w:w="120" w:type="dxa"/>
              <w:bottom w:w="30" w:type="dxa"/>
              <w:right w:w="120" w:type="dxa"/>
            </w:tcMar>
          </w:tcPr>
          <w:p w14:paraId="52E9004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88" w:type="dxa"/>
            <w:tcMar>
              <w:top w:w="60" w:type="dxa"/>
              <w:left w:w="120" w:type="dxa"/>
              <w:bottom w:w="30" w:type="dxa"/>
              <w:right w:w="120" w:type="dxa"/>
            </w:tcMar>
          </w:tcPr>
          <w:p w14:paraId="569F9BA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bl>
    <w:p w14:paraId="6BA707B9">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12、消防设备电源监控系统</w:t>
      </w:r>
    </w:p>
    <w:tbl>
      <w:tblPr>
        <w:tblStyle w:val="12"/>
        <w:tblW w:w="91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63"/>
        <w:gridCol w:w="1341"/>
        <w:gridCol w:w="3288"/>
      </w:tblGrid>
      <w:tr w14:paraId="2F259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63" w:type="dxa"/>
            <w:tcMar>
              <w:top w:w="60" w:type="dxa"/>
              <w:left w:w="120" w:type="dxa"/>
              <w:bottom w:w="30" w:type="dxa"/>
              <w:right w:w="120" w:type="dxa"/>
            </w:tcMar>
          </w:tcPr>
          <w:p w14:paraId="49E5F07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设施设备</w:t>
            </w:r>
          </w:p>
        </w:tc>
        <w:tc>
          <w:tcPr>
            <w:tcW w:w="1341" w:type="dxa"/>
            <w:tcMar>
              <w:top w:w="60" w:type="dxa"/>
              <w:left w:w="120" w:type="dxa"/>
              <w:bottom w:w="30" w:type="dxa"/>
              <w:right w:w="120" w:type="dxa"/>
            </w:tcMar>
          </w:tcPr>
          <w:p w14:paraId="0028971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周期</w:t>
            </w:r>
          </w:p>
        </w:tc>
        <w:tc>
          <w:tcPr>
            <w:tcW w:w="3288" w:type="dxa"/>
            <w:tcMar>
              <w:top w:w="60" w:type="dxa"/>
              <w:left w:w="120" w:type="dxa"/>
              <w:bottom w:w="30" w:type="dxa"/>
              <w:right w:w="120" w:type="dxa"/>
            </w:tcMar>
          </w:tcPr>
          <w:p w14:paraId="400F263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检查数量</w:t>
            </w:r>
          </w:p>
        </w:tc>
      </w:tr>
      <w:tr w14:paraId="2D191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63" w:type="dxa"/>
            <w:tcMar>
              <w:top w:w="60" w:type="dxa"/>
              <w:left w:w="120" w:type="dxa"/>
              <w:bottom w:w="30" w:type="dxa"/>
              <w:right w:w="120" w:type="dxa"/>
            </w:tcMar>
          </w:tcPr>
          <w:p w14:paraId="41411C2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传感器</w:t>
            </w:r>
          </w:p>
        </w:tc>
        <w:tc>
          <w:tcPr>
            <w:tcW w:w="1341" w:type="dxa"/>
            <w:tcMar>
              <w:top w:w="60" w:type="dxa"/>
              <w:left w:w="120" w:type="dxa"/>
              <w:bottom w:w="30" w:type="dxa"/>
              <w:right w:w="120" w:type="dxa"/>
            </w:tcMar>
          </w:tcPr>
          <w:p w14:paraId="0208073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88" w:type="dxa"/>
            <w:tcMar>
              <w:top w:w="60" w:type="dxa"/>
              <w:left w:w="120" w:type="dxa"/>
              <w:bottom w:w="30" w:type="dxa"/>
              <w:right w:w="120" w:type="dxa"/>
            </w:tcMar>
          </w:tcPr>
          <w:p w14:paraId="52321B8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60760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63" w:type="dxa"/>
            <w:tcMar>
              <w:top w:w="60" w:type="dxa"/>
              <w:left w:w="120" w:type="dxa"/>
              <w:bottom w:w="30" w:type="dxa"/>
              <w:right w:w="120" w:type="dxa"/>
            </w:tcMar>
          </w:tcPr>
          <w:p w14:paraId="59CEEB4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消防设备电源监控主机</w:t>
            </w:r>
          </w:p>
        </w:tc>
        <w:tc>
          <w:tcPr>
            <w:tcW w:w="1341" w:type="dxa"/>
            <w:tcMar>
              <w:top w:w="60" w:type="dxa"/>
              <w:left w:w="120" w:type="dxa"/>
              <w:bottom w:w="30" w:type="dxa"/>
              <w:right w:w="120" w:type="dxa"/>
            </w:tcMar>
          </w:tcPr>
          <w:p w14:paraId="51A4C00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88" w:type="dxa"/>
            <w:tcMar>
              <w:top w:w="60" w:type="dxa"/>
              <w:left w:w="120" w:type="dxa"/>
              <w:bottom w:w="30" w:type="dxa"/>
              <w:right w:w="120" w:type="dxa"/>
            </w:tcMar>
          </w:tcPr>
          <w:p w14:paraId="1776F35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bl>
    <w:p w14:paraId="23FA06F1">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13、防火门监控系统</w:t>
      </w:r>
    </w:p>
    <w:tbl>
      <w:tblPr>
        <w:tblStyle w:val="12"/>
        <w:tblW w:w="91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54"/>
        <w:gridCol w:w="1359"/>
        <w:gridCol w:w="3279"/>
      </w:tblGrid>
      <w:tr w14:paraId="226AD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54" w:type="dxa"/>
            <w:tcMar>
              <w:top w:w="60" w:type="dxa"/>
              <w:left w:w="120" w:type="dxa"/>
              <w:bottom w:w="30" w:type="dxa"/>
              <w:right w:w="120" w:type="dxa"/>
            </w:tcMar>
          </w:tcPr>
          <w:p w14:paraId="51A104C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设施设备</w:t>
            </w:r>
          </w:p>
        </w:tc>
        <w:tc>
          <w:tcPr>
            <w:tcW w:w="1359" w:type="dxa"/>
            <w:tcMar>
              <w:top w:w="60" w:type="dxa"/>
              <w:left w:w="120" w:type="dxa"/>
              <w:bottom w:w="30" w:type="dxa"/>
              <w:right w:w="120" w:type="dxa"/>
            </w:tcMar>
          </w:tcPr>
          <w:p w14:paraId="4A37D90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周期</w:t>
            </w:r>
          </w:p>
        </w:tc>
        <w:tc>
          <w:tcPr>
            <w:tcW w:w="3279" w:type="dxa"/>
            <w:tcMar>
              <w:top w:w="60" w:type="dxa"/>
              <w:left w:w="120" w:type="dxa"/>
              <w:bottom w:w="30" w:type="dxa"/>
              <w:right w:w="120" w:type="dxa"/>
            </w:tcMar>
          </w:tcPr>
          <w:p w14:paraId="3DEE94B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检查数量</w:t>
            </w:r>
          </w:p>
        </w:tc>
      </w:tr>
      <w:tr w14:paraId="37F95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54" w:type="dxa"/>
            <w:tcMar>
              <w:top w:w="60" w:type="dxa"/>
              <w:left w:w="120" w:type="dxa"/>
              <w:bottom w:w="30" w:type="dxa"/>
              <w:right w:w="120" w:type="dxa"/>
            </w:tcMar>
          </w:tcPr>
          <w:p w14:paraId="5DC8D0E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电动闭门器（电动释放器）</w:t>
            </w:r>
          </w:p>
        </w:tc>
        <w:tc>
          <w:tcPr>
            <w:tcW w:w="1359" w:type="dxa"/>
            <w:tcMar>
              <w:top w:w="60" w:type="dxa"/>
              <w:left w:w="120" w:type="dxa"/>
              <w:bottom w:w="30" w:type="dxa"/>
              <w:right w:w="120" w:type="dxa"/>
            </w:tcMar>
          </w:tcPr>
          <w:p w14:paraId="494EE58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79" w:type="dxa"/>
            <w:tcMar>
              <w:top w:w="60" w:type="dxa"/>
              <w:left w:w="120" w:type="dxa"/>
              <w:bottom w:w="30" w:type="dxa"/>
              <w:right w:w="120" w:type="dxa"/>
            </w:tcMar>
          </w:tcPr>
          <w:p w14:paraId="3CFF734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7085B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54" w:type="dxa"/>
            <w:tcMar>
              <w:top w:w="60" w:type="dxa"/>
              <w:left w:w="120" w:type="dxa"/>
              <w:bottom w:w="30" w:type="dxa"/>
              <w:right w:w="120" w:type="dxa"/>
            </w:tcMar>
          </w:tcPr>
          <w:p w14:paraId="73597E8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控制功能</w:t>
            </w:r>
          </w:p>
        </w:tc>
        <w:tc>
          <w:tcPr>
            <w:tcW w:w="1359" w:type="dxa"/>
            <w:tcMar>
              <w:top w:w="60" w:type="dxa"/>
              <w:left w:w="120" w:type="dxa"/>
              <w:bottom w:w="30" w:type="dxa"/>
              <w:right w:w="120" w:type="dxa"/>
            </w:tcMar>
          </w:tcPr>
          <w:p w14:paraId="2A93F54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79" w:type="dxa"/>
            <w:tcMar>
              <w:top w:w="60" w:type="dxa"/>
              <w:left w:w="120" w:type="dxa"/>
              <w:bottom w:w="30" w:type="dxa"/>
              <w:right w:w="120" w:type="dxa"/>
            </w:tcMar>
          </w:tcPr>
          <w:p w14:paraId="21D46B2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5ABDA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54" w:type="dxa"/>
            <w:tcMar>
              <w:top w:w="60" w:type="dxa"/>
              <w:left w:w="120" w:type="dxa"/>
              <w:bottom w:w="30" w:type="dxa"/>
              <w:right w:w="120" w:type="dxa"/>
            </w:tcMar>
          </w:tcPr>
          <w:p w14:paraId="70D77ED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防火门监控器主机</w:t>
            </w:r>
          </w:p>
        </w:tc>
        <w:tc>
          <w:tcPr>
            <w:tcW w:w="1359" w:type="dxa"/>
            <w:tcMar>
              <w:top w:w="60" w:type="dxa"/>
              <w:left w:w="120" w:type="dxa"/>
              <w:bottom w:w="30" w:type="dxa"/>
              <w:right w:w="120" w:type="dxa"/>
            </w:tcMar>
          </w:tcPr>
          <w:p w14:paraId="788C92E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79" w:type="dxa"/>
            <w:tcMar>
              <w:top w:w="60" w:type="dxa"/>
              <w:left w:w="120" w:type="dxa"/>
              <w:bottom w:w="30" w:type="dxa"/>
              <w:right w:w="120" w:type="dxa"/>
            </w:tcMar>
          </w:tcPr>
          <w:p w14:paraId="202A111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bl>
    <w:p w14:paraId="6B29A2C2">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14、远程消防监控系统</w:t>
      </w:r>
    </w:p>
    <w:tbl>
      <w:tblPr>
        <w:tblStyle w:val="12"/>
        <w:tblW w:w="91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44"/>
        <w:gridCol w:w="1360"/>
        <w:gridCol w:w="3288"/>
      </w:tblGrid>
      <w:tr w14:paraId="1A688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44" w:type="dxa"/>
            <w:tcMar>
              <w:top w:w="60" w:type="dxa"/>
              <w:left w:w="120" w:type="dxa"/>
              <w:bottom w:w="30" w:type="dxa"/>
              <w:right w:w="120" w:type="dxa"/>
            </w:tcMar>
          </w:tcPr>
          <w:p w14:paraId="4E1BC22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设施设备</w:t>
            </w:r>
          </w:p>
        </w:tc>
        <w:tc>
          <w:tcPr>
            <w:tcW w:w="1360" w:type="dxa"/>
            <w:tcMar>
              <w:top w:w="60" w:type="dxa"/>
              <w:left w:w="120" w:type="dxa"/>
              <w:bottom w:w="30" w:type="dxa"/>
              <w:right w:w="120" w:type="dxa"/>
            </w:tcMar>
          </w:tcPr>
          <w:p w14:paraId="74B2C77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周期</w:t>
            </w:r>
          </w:p>
        </w:tc>
        <w:tc>
          <w:tcPr>
            <w:tcW w:w="3288" w:type="dxa"/>
            <w:tcMar>
              <w:top w:w="60" w:type="dxa"/>
              <w:left w:w="120" w:type="dxa"/>
              <w:bottom w:w="30" w:type="dxa"/>
              <w:right w:w="120" w:type="dxa"/>
            </w:tcMar>
          </w:tcPr>
          <w:p w14:paraId="72918AD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检查数量</w:t>
            </w:r>
          </w:p>
        </w:tc>
      </w:tr>
      <w:tr w14:paraId="23368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44" w:type="dxa"/>
            <w:tcMar>
              <w:top w:w="60" w:type="dxa"/>
              <w:left w:w="120" w:type="dxa"/>
              <w:bottom w:w="30" w:type="dxa"/>
              <w:right w:w="120" w:type="dxa"/>
            </w:tcMar>
          </w:tcPr>
          <w:p w14:paraId="29F6C95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数据库使用及硬盘记录整理</w:t>
            </w:r>
          </w:p>
        </w:tc>
        <w:tc>
          <w:tcPr>
            <w:tcW w:w="1360" w:type="dxa"/>
            <w:tcMar>
              <w:top w:w="60" w:type="dxa"/>
              <w:left w:w="120" w:type="dxa"/>
              <w:bottom w:w="30" w:type="dxa"/>
              <w:right w:w="120" w:type="dxa"/>
            </w:tcMar>
          </w:tcPr>
          <w:p w14:paraId="72BDEE6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88" w:type="dxa"/>
            <w:tcMar>
              <w:top w:w="60" w:type="dxa"/>
              <w:left w:w="120" w:type="dxa"/>
              <w:bottom w:w="30" w:type="dxa"/>
              <w:right w:w="120" w:type="dxa"/>
            </w:tcMar>
          </w:tcPr>
          <w:p w14:paraId="31DB128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3B5AE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44" w:type="dxa"/>
            <w:tcMar>
              <w:top w:w="60" w:type="dxa"/>
              <w:left w:w="120" w:type="dxa"/>
              <w:bottom w:w="30" w:type="dxa"/>
              <w:right w:w="120" w:type="dxa"/>
            </w:tcMar>
          </w:tcPr>
          <w:p w14:paraId="00B5E4F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火灾报警信息、建筑消防设施运行状态信息备份清理</w:t>
            </w:r>
          </w:p>
        </w:tc>
        <w:tc>
          <w:tcPr>
            <w:tcW w:w="1360" w:type="dxa"/>
            <w:tcMar>
              <w:top w:w="60" w:type="dxa"/>
              <w:left w:w="120" w:type="dxa"/>
              <w:bottom w:w="30" w:type="dxa"/>
              <w:right w:w="120" w:type="dxa"/>
            </w:tcMar>
          </w:tcPr>
          <w:p w14:paraId="3E2FEEE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w:t>
            </w:r>
          </w:p>
        </w:tc>
        <w:tc>
          <w:tcPr>
            <w:tcW w:w="3288" w:type="dxa"/>
            <w:tcMar>
              <w:top w:w="60" w:type="dxa"/>
              <w:left w:w="120" w:type="dxa"/>
              <w:bottom w:w="30" w:type="dxa"/>
              <w:right w:w="120" w:type="dxa"/>
            </w:tcMar>
          </w:tcPr>
          <w:p w14:paraId="12BDC35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47451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44" w:type="dxa"/>
            <w:tcMar>
              <w:top w:w="60" w:type="dxa"/>
              <w:left w:w="120" w:type="dxa"/>
              <w:bottom w:w="30" w:type="dxa"/>
              <w:right w:w="120" w:type="dxa"/>
            </w:tcMar>
          </w:tcPr>
          <w:p w14:paraId="51FB269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主电源和备用电源</w:t>
            </w:r>
          </w:p>
        </w:tc>
        <w:tc>
          <w:tcPr>
            <w:tcW w:w="1360" w:type="dxa"/>
            <w:tcMar>
              <w:top w:w="60" w:type="dxa"/>
              <w:left w:w="120" w:type="dxa"/>
              <w:bottom w:w="30" w:type="dxa"/>
              <w:right w:w="120" w:type="dxa"/>
            </w:tcMar>
          </w:tcPr>
          <w:p w14:paraId="4783FB5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88" w:type="dxa"/>
            <w:tcMar>
              <w:top w:w="60" w:type="dxa"/>
              <w:left w:w="120" w:type="dxa"/>
              <w:bottom w:w="30" w:type="dxa"/>
              <w:right w:w="120" w:type="dxa"/>
            </w:tcMar>
          </w:tcPr>
          <w:p w14:paraId="53BB321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52D77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44" w:type="dxa"/>
            <w:tcMar>
              <w:top w:w="60" w:type="dxa"/>
              <w:left w:w="120" w:type="dxa"/>
              <w:bottom w:w="30" w:type="dxa"/>
              <w:right w:w="120" w:type="dxa"/>
            </w:tcMar>
          </w:tcPr>
          <w:p w14:paraId="7AD5567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录音文件</w:t>
            </w:r>
          </w:p>
        </w:tc>
        <w:tc>
          <w:tcPr>
            <w:tcW w:w="1360" w:type="dxa"/>
            <w:tcMar>
              <w:top w:w="60" w:type="dxa"/>
              <w:left w:w="120" w:type="dxa"/>
              <w:bottom w:w="30" w:type="dxa"/>
              <w:right w:w="120" w:type="dxa"/>
            </w:tcMar>
          </w:tcPr>
          <w:p w14:paraId="7E4FC58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88" w:type="dxa"/>
            <w:tcMar>
              <w:top w:w="60" w:type="dxa"/>
              <w:left w:w="120" w:type="dxa"/>
              <w:bottom w:w="30" w:type="dxa"/>
              <w:right w:w="120" w:type="dxa"/>
            </w:tcMar>
          </w:tcPr>
          <w:p w14:paraId="4CCDEAA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7F752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44" w:type="dxa"/>
            <w:tcMar>
              <w:top w:w="60" w:type="dxa"/>
              <w:left w:w="120" w:type="dxa"/>
              <w:bottom w:w="30" w:type="dxa"/>
              <w:right w:w="120" w:type="dxa"/>
            </w:tcMar>
          </w:tcPr>
          <w:p w14:paraId="146C84B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通信服务器、信息查询系统、用户服务系统、火警信息终端</w:t>
            </w:r>
          </w:p>
        </w:tc>
        <w:tc>
          <w:tcPr>
            <w:tcW w:w="1360" w:type="dxa"/>
            <w:tcMar>
              <w:top w:w="60" w:type="dxa"/>
              <w:left w:w="120" w:type="dxa"/>
              <w:bottom w:w="30" w:type="dxa"/>
              <w:right w:w="120" w:type="dxa"/>
            </w:tcMar>
          </w:tcPr>
          <w:p w14:paraId="140D258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88" w:type="dxa"/>
            <w:tcMar>
              <w:top w:w="60" w:type="dxa"/>
              <w:left w:w="120" w:type="dxa"/>
              <w:bottom w:w="30" w:type="dxa"/>
              <w:right w:w="120" w:type="dxa"/>
            </w:tcMar>
          </w:tcPr>
          <w:p w14:paraId="115F551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1DA42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44" w:type="dxa"/>
            <w:tcMar>
              <w:top w:w="60" w:type="dxa"/>
              <w:left w:w="120" w:type="dxa"/>
              <w:bottom w:w="30" w:type="dxa"/>
              <w:right w:w="120" w:type="dxa"/>
            </w:tcMar>
          </w:tcPr>
          <w:p w14:paraId="5FCD32C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系统运行及维护记录</w:t>
            </w:r>
          </w:p>
        </w:tc>
        <w:tc>
          <w:tcPr>
            <w:tcW w:w="1360" w:type="dxa"/>
            <w:tcMar>
              <w:top w:w="60" w:type="dxa"/>
              <w:left w:w="120" w:type="dxa"/>
              <w:bottom w:w="30" w:type="dxa"/>
              <w:right w:w="120" w:type="dxa"/>
            </w:tcMar>
          </w:tcPr>
          <w:p w14:paraId="3D7FFDE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88" w:type="dxa"/>
            <w:tcMar>
              <w:top w:w="60" w:type="dxa"/>
              <w:left w:w="120" w:type="dxa"/>
              <w:bottom w:w="30" w:type="dxa"/>
              <w:right w:w="120" w:type="dxa"/>
            </w:tcMar>
          </w:tcPr>
          <w:p w14:paraId="37DB808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2EF20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44" w:type="dxa"/>
            <w:tcMar>
              <w:top w:w="60" w:type="dxa"/>
              <w:left w:w="120" w:type="dxa"/>
              <w:bottom w:w="30" w:type="dxa"/>
              <w:right w:w="120" w:type="dxa"/>
            </w:tcMar>
          </w:tcPr>
          <w:p w14:paraId="44EE4F7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系统网络安全</w:t>
            </w:r>
          </w:p>
        </w:tc>
        <w:tc>
          <w:tcPr>
            <w:tcW w:w="1360" w:type="dxa"/>
            <w:tcMar>
              <w:top w:w="60" w:type="dxa"/>
              <w:left w:w="120" w:type="dxa"/>
              <w:bottom w:w="30" w:type="dxa"/>
              <w:right w:w="120" w:type="dxa"/>
            </w:tcMar>
          </w:tcPr>
          <w:p w14:paraId="04909B8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88" w:type="dxa"/>
            <w:tcMar>
              <w:top w:w="60" w:type="dxa"/>
              <w:left w:w="120" w:type="dxa"/>
              <w:bottom w:w="30" w:type="dxa"/>
              <w:right w:w="120" w:type="dxa"/>
            </w:tcMar>
          </w:tcPr>
          <w:p w14:paraId="6E16AD9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0A0D2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44" w:type="dxa"/>
            <w:tcMar>
              <w:top w:w="60" w:type="dxa"/>
              <w:left w:w="120" w:type="dxa"/>
              <w:bottom w:w="30" w:type="dxa"/>
              <w:right w:w="120" w:type="dxa"/>
            </w:tcMar>
          </w:tcPr>
          <w:p w14:paraId="34500DB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监控系统日志整理备份</w:t>
            </w:r>
          </w:p>
        </w:tc>
        <w:tc>
          <w:tcPr>
            <w:tcW w:w="1360" w:type="dxa"/>
            <w:tcMar>
              <w:top w:w="60" w:type="dxa"/>
              <w:left w:w="120" w:type="dxa"/>
              <w:bottom w:w="30" w:type="dxa"/>
              <w:right w:w="120" w:type="dxa"/>
            </w:tcMar>
          </w:tcPr>
          <w:p w14:paraId="00F62CE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季</w:t>
            </w:r>
          </w:p>
        </w:tc>
        <w:tc>
          <w:tcPr>
            <w:tcW w:w="3288" w:type="dxa"/>
            <w:tcMar>
              <w:top w:w="60" w:type="dxa"/>
              <w:left w:w="120" w:type="dxa"/>
              <w:bottom w:w="30" w:type="dxa"/>
              <w:right w:w="120" w:type="dxa"/>
            </w:tcMar>
          </w:tcPr>
          <w:p w14:paraId="6AA3097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r w14:paraId="02049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44" w:type="dxa"/>
            <w:tcMar>
              <w:top w:w="60" w:type="dxa"/>
              <w:left w:w="120" w:type="dxa"/>
              <w:bottom w:w="30" w:type="dxa"/>
              <w:right w:w="120" w:type="dxa"/>
            </w:tcMar>
          </w:tcPr>
          <w:p w14:paraId="037B64D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电气保护接地干线</w:t>
            </w:r>
          </w:p>
        </w:tc>
        <w:tc>
          <w:tcPr>
            <w:tcW w:w="1360" w:type="dxa"/>
            <w:tcMar>
              <w:top w:w="60" w:type="dxa"/>
              <w:left w:w="120" w:type="dxa"/>
              <w:bottom w:w="30" w:type="dxa"/>
              <w:right w:w="120" w:type="dxa"/>
            </w:tcMar>
          </w:tcPr>
          <w:p w14:paraId="2B2E0F5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月</w:t>
            </w:r>
          </w:p>
        </w:tc>
        <w:tc>
          <w:tcPr>
            <w:tcW w:w="3288" w:type="dxa"/>
            <w:tcMar>
              <w:top w:w="60" w:type="dxa"/>
              <w:left w:w="120" w:type="dxa"/>
              <w:bottom w:w="30" w:type="dxa"/>
              <w:right w:w="120" w:type="dxa"/>
            </w:tcMar>
          </w:tcPr>
          <w:p w14:paraId="2BCDBBF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全数</w:t>
            </w:r>
          </w:p>
        </w:tc>
      </w:tr>
    </w:tbl>
    <w:p w14:paraId="366316D5">
      <w:pPr>
        <w:adjustRightInd w:val="0"/>
        <w:snapToGrid w:val="0"/>
        <w:spacing w:line="312" w:lineRule="auto"/>
        <w:jc w:val="left"/>
        <w:rPr>
          <w:rFonts w:ascii="仿宋_GB2312" w:hAnsi="仿宋" w:eastAsia="仿宋_GB2312" w:cs="仿宋"/>
          <w:b/>
          <w:bCs/>
          <w:color w:val="auto"/>
          <w:sz w:val="24"/>
          <w:highlight w:val="none"/>
        </w:rPr>
      </w:pPr>
      <w:r>
        <w:rPr>
          <w:rFonts w:hint="eastAsia" w:ascii="仿宋_GB2312" w:hAnsi="仿宋" w:eastAsia="仿宋_GB2312" w:cs="仿宋"/>
          <w:b/>
          <w:bCs/>
          <w:color w:val="auto"/>
          <w:sz w:val="24"/>
          <w:highlight w:val="none"/>
        </w:rPr>
        <w:t>注：</w:t>
      </w:r>
    </w:p>
    <w:p w14:paraId="0B95E38B">
      <w:pPr>
        <w:pStyle w:val="11"/>
        <w:shd w:val="clear" w:color="auto" w:fill="FFFFFF"/>
        <w:adjustRightInd w:val="0"/>
        <w:snapToGrid w:val="0"/>
        <w:spacing w:before="0" w:beforeAutospacing="0" w:after="0" w:afterAutospacing="0" w:line="312" w:lineRule="auto"/>
        <w:ind w:firstLine="482" w:firstLineChars="200"/>
        <w:rPr>
          <w:rFonts w:ascii="仿宋_GB2312" w:hAnsi="仿宋" w:eastAsia="仿宋_GB2312" w:cs="仿宋"/>
          <w:b/>
          <w:bCs/>
          <w:color w:val="auto"/>
          <w:sz w:val="24"/>
          <w:szCs w:val="24"/>
          <w:highlight w:val="none"/>
        </w:rPr>
      </w:pPr>
      <w:r>
        <w:rPr>
          <w:rFonts w:hint="eastAsia" w:ascii="仿宋_GB2312" w:hAnsi="仿宋" w:eastAsia="仿宋_GB2312" w:cs="仿宋"/>
          <w:b/>
          <w:bCs/>
          <w:color w:val="auto"/>
          <w:sz w:val="24"/>
          <w:szCs w:val="24"/>
          <w:highlight w:val="none"/>
        </w:rPr>
        <w:t>1.维保周期以“项目服务起始日”或“单栋建筑服务起始日”起算，包括周检、月度、季度、半年度、年度维护保养；各周期（月、季、半年、年）规定的检查范围及数量比例要求按照现行国家标准、行业标准执行。</w:t>
      </w:r>
    </w:p>
    <w:p w14:paraId="4031BE42">
      <w:pPr>
        <w:pStyle w:val="11"/>
        <w:shd w:val="clear" w:color="auto" w:fill="FFFFFF"/>
        <w:adjustRightInd w:val="0"/>
        <w:snapToGrid w:val="0"/>
        <w:spacing w:before="0" w:beforeAutospacing="0" w:after="0" w:afterAutospacing="0" w:line="312" w:lineRule="auto"/>
        <w:ind w:firstLine="482" w:firstLineChars="200"/>
        <w:rPr>
          <w:rFonts w:ascii="仿宋_GB2312" w:hAnsi="仿宋" w:eastAsia="仿宋_GB2312" w:cs="仿宋"/>
          <w:b/>
          <w:bCs/>
          <w:color w:val="auto"/>
          <w:sz w:val="24"/>
          <w:szCs w:val="24"/>
          <w:highlight w:val="none"/>
        </w:rPr>
      </w:pPr>
      <w:r>
        <w:rPr>
          <w:rFonts w:hint="eastAsia" w:ascii="仿宋_GB2312" w:hAnsi="仿宋" w:eastAsia="仿宋_GB2312" w:cs="仿宋"/>
          <w:b/>
          <w:bCs/>
          <w:color w:val="auto"/>
          <w:sz w:val="24"/>
          <w:szCs w:val="24"/>
          <w:highlight w:val="none"/>
        </w:rPr>
        <w:t>2.周检项目按附表规定的周期独立执行，其检查内容不自动纳入月度及以上周期的维护保养工作范围，但中标人应在年度维护保养报告中单独汇总周检执行情况（含检查次数、合格率、异常处理等），作为年度履约评价的依据之一。</w:t>
      </w:r>
    </w:p>
    <w:p w14:paraId="01E9223D">
      <w:pPr>
        <w:pStyle w:val="11"/>
        <w:shd w:val="clear" w:color="auto" w:fill="FFFFFF"/>
        <w:adjustRightInd w:val="0"/>
        <w:snapToGrid w:val="0"/>
        <w:spacing w:before="0" w:beforeAutospacing="0" w:after="0" w:afterAutospacing="0" w:line="312" w:lineRule="auto"/>
        <w:ind w:firstLine="482" w:firstLineChars="200"/>
        <w:rPr>
          <w:rFonts w:ascii="仿宋_GB2312" w:hAnsi="仿宋" w:eastAsia="仿宋_GB2312" w:cs="仿宋"/>
          <w:b/>
          <w:bCs/>
          <w:color w:val="auto"/>
          <w:sz w:val="24"/>
          <w:szCs w:val="24"/>
          <w:highlight w:val="none"/>
        </w:rPr>
      </w:pPr>
      <w:r>
        <w:rPr>
          <w:rFonts w:hint="eastAsia" w:ascii="仿宋_GB2312" w:hAnsi="仿宋" w:eastAsia="仿宋_GB2312" w:cs="仿宋"/>
          <w:b/>
          <w:bCs/>
          <w:color w:val="auto"/>
          <w:sz w:val="24"/>
          <w:szCs w:val="24"/>
          <w:highlight w:val="none"/>
        </w:rPr>
        <w:t>3.涉及维保周期为每日的，驻场人员应按要求纳入日常巡检，并做好相关记录。</w:t>
      </w:r>
    </w:p>
    <w:p w14:paraId="45775159">
      <w:pPr>
        <w:pStyle w:val="11"/>
        <w:shd w:val="clear" w:color="auto" w:fill="FFFFFF"/>
        <w:adjustRightInd w:val="0"/>
        <w:snapToGrid w:val="0"/>
        <w:spacing w:before="0" w:beforeAutospacing="0" w:after="0" w:afterAutospacing="0" w:line="312" w:lineRule="auto"/>
        <w:ind w:firstLine="482" w:firstLineChars="200"/>
        <w:rPr>
          <w:rFonts w:ascii="仿宋_GB2312" w:hAnsi="仿宋" w:eastAsia="仿宋_GB2312" w:cs="仿宋"/>
          <w:b/>
          <w:bCs/>
          <w:color w:val="auto"/>
          <w:sz w:val="24"/>
          <w:szCs w:val="24"/>
          <w:highlight w:val="none"/>
        </w:rPr>
      </w:pPr>
      <w:r>
        <w:rPr>
          <w:rFonts w:hint="eastAsia" w:ascii="仿宋_GB2312" w:hAnsi="仿宋" w:eastAsia="仿宋_GB2312" w:cs="仿宋"/>
          <w:b/>
          <w:bCs/>
          <w:color w:val="auto"/>
          <w:sz w:val="24"/>
          <w:szCs w:val="24"/>
          <w:highlight w:val="none"/>
        </w:rPr>
        <w:t>4.建筑实际安装，但表内未列明的消防设施设备均须按照相关国家标准规定的周期、数量进行维护保养。</w:t>
      </w:r>
    </w:p>
    <w:p w14:paraId="3DFF8737">
      <w:pPr>
        <w:adjustRightInd w:val="0"/>
        <w:snapToGrid w:val="0"/>
        <w:spacing w:line="312" w:lineRule="auto"/>
        <w:ind w:firstLine="482" w:firstLineChars="200"/>
        <w:jc w:val="left"/>
        <w:rPr>
          <w:rFonts w:ascii="仿宋_GB2312" w:hAnsi="仿宋" w:eastAsia="仿宋_GB2312" w:cs="仿宋"/>
          <w:b/>
          <w:bCs/>
          <w:color w:val="auto"/>
          <w:kern w:val="0"/>
          <w:sz w:val="24"/>
          <w:highlight w:val="none"/>
        </w:rPr>
      </w:pPr>
      <w:r>
        <w:rPr>
          <w:rFonts w:hint="eastAsia" w:ascii="仿宋_GB2312" w:hAnsi="仿宋" w:eastAsia="仿宋_GB2312" w:cs="仿宋"/>
          <w:b/>
          <w:bCs/>
          <w:color w:val="auto"/>
          <w:kern w:val="0"/>
          <w:sz w:val="24"/>
          <w:highlight w:val="none"/>
        </w:rPr>
        <w:t>5.维保周期及数量与国家标准、行业标准不一致时，投标人应在合同签订前向采购人提出书面说明，并附国家标准原文及佐证材料，经采购人书面确认后按确认后的标准执行。</w:t>
      </w:r>
    </w:p>
    <w:p w14:paraId="7E0D9277">
      <w:pPr>
        <w:adjustRightInd w:val="0"/>
        <w:snapToGrid w:val="0"/>
        <w:spacing w:line="312" w:lineRule="auto"/>
        <w:ind w:firstLine="482" w:firstLineChars="200"/>
        <w:jc w:val="left"/>
        <w:rPr>
          <w:rFonts w:ascii="仿宋_GB2312" w:hAnsi="仿宋" w:eastAsia="仿宋_GB2312" w:cs="仿宋"/>
          <w:b/>
          <w:bCs/>
          <w:color w:val="auto"/>
          <w:kern w:val="44"/>
          <w:sz w:val="24"/>
          <w:highlight w:val="none"/>
        </w:rPr>
      </w:pPr>
      <w:r>
        <w:rPr>
          <w:rFonts w:hint="eastAsia" w:ascii="仿宋_GB2312" w:hAnsi="仿宋" w:eastAsia="仿宋_GB2312" w:cs="仿宋"/>
          <w:b/>
          <w:bCs/>
          <w:color w:val="auto"/>
          <w:sz w:val="24"/>
          <w:highlight w:val="none"/>
        </w:rPr>
        <w:t>6.如国家标准、行业标准有变更时，自动按最新版本的规定执行。</w:t>
      </w:r>
    </w:p>
    <w:p w14:paraId="0A0D11E5">
      <w:pPr>
        <w:adjustRightInd w:val="0"/>
        <w:snapToGrid w:val="0"/>
        <w:spacing w:line="312" w:lineRule="auto"/>
        <w:ind w:firstLine="482" w:firstLineChars="200"/>
        <w:jc w:val="left"/>
        <w:outlineLvl w:val="2"/>
        <w:rPr>
          <w:rFonts w:ascii="仿宋_GB2312" w:hAnsi="仿宋" w:eastAsia="仿宋_GB2312" w:cs="仿宋"/>
          <w:b/>
          <w:color w:val="auto"/>
          <w:sz w:val="24"/>
          <w:highlight w:val="none"/>
        </w:rPr>
      </w:pPr>
      <w:r>
        <w:rPr>
          <w:rFonts w:hint="eastAsia" w:ascii="仿宋_GB2312" w:hAnsi="仿宋" w:eastAsia="仿宋_GB2312" w:cs="仿宋"/>
          <w:b/>
          <w:color w:val="auto"/>
          <w:sz w:val="24"/>
          <w:highlight w:val="none"/>
        </w:rPr>
        <w:t>（三）项目组人员配置及资质要求</w:t>
      </w:r>
    </w:p>
    <w:p w14:paraId="126A6BF2">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1、投标人须针对本项目成立专门的维保服务项目组，具体要求如下：</w:t>
      </w:r>
    </w:p>
    <w:p w14:paraId="4ADF116E">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bookmarkStart w:id="11" w:name="heading_12"/>
      <w:r>
        <w:rPr>
          <w:rFonts w:hint="eastAsia" w:ascii="仿宋_GB2312" w:hAnsi="仿宋" w:eastAsia="仿宋_GB2312" w:cs="仿宋"/>
          <w:color w:val="auto"/>
          <w:sz w:val="24"/>
          <w:highlight w:val="none"/>
          <w:shd w:val="clear" w:color="auto" w:fill="FFFFFF"/>
        </w:rPr>
        <w:t>★</w:t>
      </w:r>
      <w:r>
        <w:rPr>
          <w:rFonts w:hint="eastAsia" w:ascii="仿宋_GB2312" w:hAnsi="仿宋" w:eastAsia="仿宋_GB2312" w:cs="仿宋"/>
          <w:color w:val="auto"/>
          <w:sz w:val="24"/>
          <w:highlight w:val="none"/>
        </w:rPr>
        <w:t>（1）人员配置</w:t>
      </w:r>
      <w:bookmarkEnd w:id="11"/>
    </w:p>
    <w:p w14:paraId="6378EBF5">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项目组投入成员不得少于9人，各岗位人员不得兼任，包括：</w:t>
      </w:r>
    </w:p>
    <w:p w14:paraId="3C0300A0">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1）技术负责人1名；</w:t>
      </w:r>
    </w:p>
    <w:p w14:paraId="6FA3EA36">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2）项目负责人1名；</w:t>
      </w:r>
    </w:p>
    <w:p w14:paraId="0CB76AF8">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3）内业管理专员1名；</w:t>
      </w:r>
    </w:p>
    <w:p w14:paraId="508D1431">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4）驻场维保人员6名（望江校区2名、华西校区2名、江安校区2名）。</w:t>
      </w:r>
    </w:p>
    <w:p w14:paraId="7FE2A076">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bookmarkStart w:id="12" w:name="heading_13"/>
      <w:r>
        <w:rPr>
          <w:rFonts w:hint="eastAsia" w:ascii="仿宋_GB2312" w:hAnsi="仿宋" w:eastAsia="仿宋_GB2312" w:cs="仿宋"/>
          <w:color w:val="auto"/>
          <w:sz w:val="24"/>
          <w:highlight w:val="none"/>
          <w:shd w:val="clear" w:color="auto" w:fill="FFFFFF"/>
        </w:rPr>
        <w:t>★</w:t>
      </w:r>
      <w:r>
        <w:rPr>
          <w:rFonts w:hint="eastAsia" w:ascii="仿宋_GB2312" w:hAnsi="仿宋" w:eastAsia="仿宋_GB2312" w:cs="仿宋"/>
          <w:color w:val="auto"/>
          <w:sz w:val="24"/>
          <w:highlight w:val="none"/>
        </w:rPr>
        <w:t>（2）人员资质</w:t>
      </w:r>
      <w:bookmarkEnd w:id="12"/>
    </w:p>
    <w:p w14:paraId="5B857330">
      <w:pPr>
        <w:adjustRightInd w:val="0"/>
        <w:snapToGrid w:val="0"/>
        <w:spacing w:line="312" w:lineRule="auto"/>
        <w:ind w:firstLine="480" w:firstLineChars="200"/>
        <w:jc w:val="left"/>
        <w:rPr>
          <w:rFonts w:ascii="仿宋_GB2312" w:hAnsi="仿宋" w:eastAsia="仿宋_GB2312" w:cs="仿宋"/>
          <w:b/>
          <w:color w:val="auto"/>
          <w:sz w:val="24"/>
          <w:highlight w:val="none"/>
        </w:rPr>
      </w:pPr>
      <w:r>
        <w:rPr>
          <w:rFonts w:hint="eastAsia" w:ascii="仿宋_GB2312" w:hAnsi="仿宋" w:eastAsia="仿宋_GB2312" w:cs="仿宋"/>
          <w:color w:val="auto"/>
          <w:sz w:val="24"/>
          <w:highlight w:val="none"/>
        </w:rPr>
        <w:t>1）年龄18岁至法定退休年龄，无违法犯罪记录</w:t>
      </w:r>
      <w:r>
        <w:rPr>
          <w:rFonts w:hint="eastAsia" w:ascii="仿宋_GB2312" w:hAnsi="仿宋" w:eastAsia="仿宋_GB2312" w:cs="仿宋"/>
          <w:b/>
          <w:bCs/>
          <w:color w:val="auto"/>
          <w:sz w:val="24"/>
          <w:highlight w:val="none"/>
        </w:rPr>
        <w:t>（中标后，签订合同前提供无违法犯罪记录证明材料采购人备案）</w:t>
      </w:r>
      <w:r>
        <w:rPr>
          <w:rFonts w:hint="eastAsia" w:ascii="仿宋_GB2312" w:hAnsi="仿宋" w:eastAsia="仿宋_GB2312" w:cs="仿宋"/>
          <w:b/>
          <w:color w:val="auto"/>
          <w:sz w:val="24"/>
          <w:highlight w:val="none"/>
        </w:rPr>
        <w:t>；</w:t>
      </w:r>
    </w:p>
    <w:p w14:paraId="3E56A193">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2）身体健康，无传染性疾病及精神疾病等不能控制自己行为的疾病病史；</w:t>
      </w:r>
    </w:p>
    <w:p w14:paraId="1AD8B70A">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3）本项目技术负责人应具备</w:t>
      </w:r>
      <w:bookmarkStart w:id="13" w:name="OLE_LINK3"/>
      <w:bookmarkStart w:id="14" w:name="OLE_LINK4"/>
      <w:r>
        <w:rPr>
          <w:rFonts w:hint="eastAsia" w:ascii="仿宋_GB2312" w:hAnsi="仿宋" w:eastAsia="仿宋_GB2312" w:cs="仿宋"/>
          <w:color w:val="auto"/>
          <w:sz w:val="24"/>
          <w:highlight w:val="none"/>
        </w:rPr>
        <w:t>一级注册消防工程师资格</w:t>
      </w:r>
      <w:bookmarkEnd w:id="13"/>
      <w:bookmarkEnd w:id="14"/>
      <w:r>
        <w:rPr>
          <w:rFonts w:hint="eastAsia" w:ascii="仿宋_GB2312" w:hAnsi="仿宋" w:eastAsia="仿宋_GB2312" w:cs="仿宋"/>
          <w:color w:val="auto"/>
          <w:sz w:val="24"/>
          <w:highlight w:val="none"/>
        </w:rPr>
        <w:t>；项目负责人应具备二级或以上等级注册消防工程师资格</w:t>
      </w:r>
      <w:r>
        <w:rPr>
          <w:rFonts w:hint="eastAsia" w:ascii="仿宋_GB2312" w:hAnsi="仿宋" w:eastAsia="仿宋_GB2312" w:cs="仿宋"/>
          <w:b/>
          <w:bCs/>
          <w:color w:val="auto"/>
          <w:sz w:val="24"/>
          <w:highlight w:val="none"/>
        </w:rPr>
        <w:t>（需提供证书复印件并加盖投标人公章）</w:t>
      </w:r>
      <w:r>
        <w:rPr>
          <w:rFonts w:hint="eastAsia" w:ascii="仿宋_GB2312" w:hAnsi="仿宋" w:eastAsia="仿宋_GB2312" w:cs="仿宋"/>
          <w:color w:val="auto"/>
          <w:sz w:val="24"/>
          <w:highlight w:val="none"/>
        </w:rPr>
        <w:t>；</w:t>
      </w:r>
    </w:p>
    <w:p w14:paraId="589BBC0F">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4）驻场维保人员应持有由国家法定职业资格发证部门核发的四级（中级）及以上等级《消防设施操作员》国家职业资格证书；同等级《建（构）筑物消防员》国家职业资格证书同等有效</w:t>
      </w:r>
      <w:r>
        <w:rPr>
          <w:rFonts w:hint="eastAsia" w:ascii="仿宋_GB2312" w:hAnsi="仿宋" w:eastAsia="仿宋_GB2312" w:cs="仿宋"/>
          <w:b/>
          <w:bCs/>
          <w:color w:val="auto"/>
          <w:sz w:val="24"/>
          <w:highlight w:val="none"/>
        </w:rPr>
        <w:t>（需提供证书复印件并加盖投标人公章）</w:t>
      </w:r>
      <w:r>
        <w:rPr>
          <w:rFonts w:hint="eastAsia" w:ascii="仿宋_GB2312" w:hAnsi="仿宋" w:eastAsia="仿宋_GB2312" w:cs="仿宋"/>
          <w:color w:val="auto"/>
          <w:sz w:val="24"/>
          <w:highlight w:val="none"/>
        </w:rPr>
        <w:t>。</w:t>
      </w:r>
    </w:p>
    <w:p w14:paraId="1E3C2AED">
      <w:pPr>
        <w:adjustRightInd w:val="0"/>
        <w:snapToGrid w:val="0"/>
        <w:spacing w:line="312" w:lineRule="auto"/>
        <w:ind w:firstLine="480" w:firstLineChars="200"/>
        <w:jc w:val="left"/>
        <w:rPr>
          <w:rStyle w:val="14"/>
          <w:rFonts w:ascii="仿宋_GB2312" w:hAnsi="Cambria" w:eastAsia="仿宋_GB2312"/>
          <w:color w:val="auto"/>
          <w:highlight w:val="none"/>
        </w:rPr>
      </w:pPr>
      <w:r>
        <w:rPr>
          <w:rFonts w:hint="eastAsia" w:ascii="仿宋_GB2312" w:hAnsi="仿宋" w:eastAsia="仿宋_GB2312" w:cs="仿宋"/>
          <w:color w:val="auto"/>
          <w:sz w:val="24"/>
          <w:highlight w:val="none"/>
        </w:rPr>
        <w:t>5）内业管理专员应持有由国家法定职业资格发证部门核发的四级（中级）及以上等级《消防设施操作员》国家职业资格证书；同等级《建（构）筑物消防员》国家职业资格证书同等有效</w:t>
      </w:r>
      <w:r>
        <w:rPr>
          <w:rFonts w:hint="eastAsia" w:ascii="仿宋_GB2312" w:hAnsi="仿宋" w:eastAsia="仿宋_GB2312" w:cs="仿宋"/>
          <w:b/>
          <w:bCs/>
          <w:color w:val="auto"/>
          <w:sz w:val="24"/>
          <w:highlight w:val="none"/>
        </w:rPr>
        <w:t>（需提供证书复印件并加盖投标人公章）</w:t>
      </w:r>
      <w:r>
        <w:rPr>
          <w:rFonts w:hint="eastAsia" w:ascii="仿宋_GB2312" w:hAnsi="仿宋" w:eastAsia="仿宋_GB2312" w:cs="仿宋"/>
          <w:color w:val="auto"/>
          <w:sz w:val="24"/>
          <w:highlight w:val="none"/>
          <w:shd w:val="clear" w:color="auto" w:fill="FFFFFF"/>
        </w:rPr>
        <w:t>；熟悉消防维保档案管理、计划编制、工单管理、报告编制及数据库维护。</w:t>
      </w:r>
    </w:p>
    <w:p w14:paraId="2A9FF7A5">
      <w:pPr>
        <w:adjustRightInd w:val="0"/>
        <w:snapToGrid w:val="0"/>
        <w:spacing w:line="312" w:lineRule="auto"/>
        <w:ind w:firstLine="480" w:firstLineChars="200"/>
        <w:jc w:val="left"/>
        <w:rPr>
          <w:rStyle w:val="14"/>
          <w:rFonts w:ascii="仿宋_GB2312" w:hAnsi="Cambria" w:eastAsia="仿宋_GB2312"/>
          <w:color w:val="auto"/>
          <w:highlight w:val="none"/>
        </w:rPr>
      </w:pPr>
      <w:r>
        <w:rPr>
          <w:rFonts w:hint="eastAsia" w:ascii="仿宋_GB2312" w:hAnsi="仿宋" w:eastAsia="仿宋_GB2312" w:cs="仿宋"/>
          <w:color w:val="auto"/>
          <w:sz w:val="24"/>
          <w:highlight w:val="none"/>
        </w:rPr>
        <w:t>6）为保障三校区消防设施日常带电维保、高空外墙及高位消防设施作业安全，望江、华西、江安三个校区各配置的2名驻场维保人员中，各校区须1人具备低压电工特种作业操作证、1人具备高处作业特种作业操作证，两类证书可由同一人同时具备。</w:t>
      </w:r>
      <w:r>
        <w:rPr>
          <w:rFonts w:hint="eastAsia" w:ascii="仿宋_GB2312" w:hAnsi="仿宋" w:eastAsia="仿宋_GB2312" w:cs="仿宋"/>
          <w:b/>
          <w:bCs/>
          <w:color w:val="auto"/>
          <w:sz w:val="24"/>
          <w:highlight w:val="none"/>
        </w:rPr>
        <w:t>（需提供证书复印件并加盖投标人公章）</w:t>
      </w:r>
      <w:r>
        <w:rPr>
          <w:rFonts w:hint="eastAsia" w:ascii="MS Gothic" w:hAnsi="MS Gothic" w:eastAsia="MS Gothic" w:cs="MS Gothic"/>
          <w:b/>
          <w:color w:val="auto"/>
          <w:sz w:val="24"/>
          <w:highlight w:val="none"/>
        </w:rPr>
        <w:t>‌</w:t>
      </w:r>
      <w:r>
        <w:rPr>
          <w:rFonts w:hint="eastAsia" w:ascii="仿宋_GB2312" w:hAnsi="仿宋" w:eastAsia="仿宋_GB2312" w:cs="仿宋"/>
          <w:color w:val="auto"/>
          <w:sz w:val="24"/>
          <w:highlight w:val="none"/>
        </w:rPr>
        <w:t>。</w:t>
      </w:r>
    </w:p>
    <w:p w14:paraId="13754E74">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投标人可在满足上述项目组人员配置和资质要求的基础上，额外增配专业技术人员。增配人员不占用驻场维保人员、内业管理专员岗位。增配人员应为投标人依法签订劳动合同的员工，其资质类型至少应为以下其中一类：</w:t>
      </w:r>
    </w:p>
    <w:p w14:paraId="66C453DD">
      <w:pPr>
        <w:adjustRightInd w:val="0"/>
        <w:snapToGrid w:val="0"/>
        <w:spacing w:line="312" w:lineRule="auto"/>
        <w:ind w:firstLine="480" w:firstLineChars="200"/>
        <w:jc w:val="left"/>
        <w:rPr>
          <w:rFonts w:ascii="仿宋_GB2312" w:hAnsi="仿宋" w:eastAsia="仿宋_GB2312" w:cs="仿宋"/>
          <w:color w:val="auto"/>
          <w:sz w:val="24"/>
          <w:highlight w:val="none"/>
        </w:rPr>
      </w:pPr>
      <w:bookmarkStart w:id="15" w:name="OLE_LINK8"/>
      <w:bookmarkStart w:id="16" w:name="OLE_LINK7"/>
      <w:r>
        <w:rPr>
          <w:rFonts w:hint="eastAsia" w:ascii="仿宋_GB2312" w:hAnsi="仿宋" w:eastAsia="仿宋_GB2312" w:cs="仿宋"/>
          <w:color w:val="auto"/>
          <w:sz w:val="24"/>
          <w:highlight w:val="none"/>
        </w:rPr>
        <w:t>1）一级注册消防工程师；</w:t>
      </w:r>
    </w:p>
    <w:p w14:paraId="396EDE32">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2）二级注册消防工程师；</w:t>
      </w:r>
    </w:p>
    <w:p w14:paraId="62CC40EF">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3）四级/中级及以上《消防设施操作员》或同等级《建（构）筑物消防员》；</w:t>
      </w:r>
    </w:p>
    <w:p w14:paraId="4F8E16F6">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4）电气或自动化或给排水或暖通空调相关专业中级及以上技术职称；</w:t>
      </w:r>
    </w:p>
    <w:p w14:paraId="70E9F63A">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5）注册电气工程师或注册公用设备工程师（给水排水或暖通空调）执业资格；</w:t>
      </w:r>
    </w:p>
    <w:p w14:paraId="061DB7F8">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6）低压电工特种操作证或高处作业特种操作证。</w:t>
      </w:r>
    </w:p>
    <w:bookmarkEnd w:id="15"/>
    <w:bookmarkEnd w:id="16"/>
    <w:p w14:paraId="2AE7B41F">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7）关联性说明：本项目覆盖望江、华西、江安三校区共90栋建筑，总建筑面积1,456,882.63平方米，其中A类建筑</w:t>
      </w:r>
      <w:r>
        <w:rPr>
          <w:rFonts w:hint="eastAsia" w:ascii="仿宋_GB2312" w:hAnsi="仿宋" w:eastAsia="仿宋_GB2312" w:cs="仿宋"/>
          <w:b/>
          <w:bCs/>
          <w:color w:val="auto"/>
          <w:sz w:val="24"/>
          <w:highlight w:val="none"/>
        </w:rPr>
        <w:t>237,170.7</w:t>
      </w:r>
      <w:r>
        <w:rPr>
          <w:rFonts w:hint="eastAsia" w:ascii="仿宋_GB2312" w:hAnsi="仿宋" w:eastAsia="仿宋_GB2312" w:cs="仿宋"/>
          <w:color w:val="auto"/>
          <w:sz w:val="24"/>
          <w:highlight w:val="none"/>
        </w:rPr>
        <w:t>平方米、B类建筑</w:t>
      </w:r>
      <w:r>
        <w:rPr>
          <w:rFonts w:hint="eastAsia" w:ascii="仿宋_GB2312" w:hAnsi="仿宋" w:eastAsia="仿宋_GB2312" w:cs="仿宋"/>
          <w:b/>
          <w:bCs/>
          <w:color w:val="auto"/>
          <w:sz w:val="24"/>
          <w:highlight w:val="none"/>
        </w:rPr>
        <w:t xml:space="preserve"> 1,219,711.93</w:t>
      </w:r>
      <w:r>
        <w:rPr>
          <w:rFonts w:hint="eastAsia" w:ascii="仿宋_GB2312" w:hAnsi="仿宋" w:eastAsia="仿宋_GB2312" w:cs="仿宋"/>
          <w:color w:val="auto"/>
          <w:sz w:val="24"/>
          <w:highlight w:val="none"/>
        </w:rPr>
        <w:t>平方米，涉及火灾自动报警、自动喷水灭火、气体灭火、防烟排烟、电气火灾监控、消防水炮、应急照明及疏散指示等多种系统，且包含室外消火栓翻新、数据库摸排赋码、大型活动电气防火检测、培训演练等专项工作。增配具备注册消防工程师、消防设施操作员、电气/给排水/暖通等专业的非驻场技术人员，用于多校区技术统筹、复杂故障诊断、专项检测、应急抢修支援、技术方案编制、内业审核和培训指导，直接关系维保服务质量、响应效率和履约能力。本项要求与采购需求的技术复杂程度、多校区管理难度和应急响应要求直接对应。</w:t>
      </w:r>
    </w:p>
    <w:p w14:paraId="059CDB51">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bookmarkStart w:id="17" w:name="heading_14"/>
      <w:bookmarkStart w:id="18" w:name="heading_15"/>
      <w:r>
        <w:rPr>
          <w:rFonts w:hint="eastAsia" w:ascii="仿宋_GB2312" w:hAnsi="仿宋" w:eastAsia="仿宋_GB2312" w:cs="仿宋"/>
          <w:color w:val="auto"/>
          <w:sz w:val="24"/>
          <w:highlight w:val="none"/>
          <w:shd w:val="clear" w:color="auto" w:fill="FFFFFF"/>
        </w:rPr>
        <w:t>★</w:t>
      </w:r>
      <w:r>
        <w:rPr>
          <w:rFonts w:hint="eastAsia" w:ascii="仿宋_GB2312" w:hAnsi="仿宋" w:eastAsia="仿宋_GB2312" w:cs="仿宋"/>
          <w:color w:val="auto"/>
          <w:sz w:val="24"/>
          <w:highlight w:val="none"/>
        </w:rPr>
        <w:t>（4）劳动关系及费用承担</w:t>
      </w:r>
      <w:bookmarkEnd w:id="17"/>
    </w:p>
    <w:p w14:paraId="19AF205B">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投标人应严格遵守《中华人民共和国劳动合同法》《中华人民共和国社会保险法》等相关法律法规，与项目组成员签订劳动合同并缴纳社会保险。人员的基本工资标准按照投标人内部薪酬制度执行，但不得低于项目所在地市（区）人民政府规定的最低工资标准。</w:t>
      </w:r>
    </w:p>
    <w:p w14:paraId="697D00DC">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2）若因国家或地方政府政策调整导致社保最低缴费基数提高的，该部分风险由投标人自行承担。投标人应在报价中充分考虑服务期内社保缴费基数调整可能增加的成本，招标文件已就该项风险作出充分提示。</w:t>
      </w:r>
    </w:p>
    <w:p w14:paraId="3F2B5E4A">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w:t>
      </w:r>
      <w:r>
        <w:rPr>
          <w:rFonts w:hint="eastAsia" w:ascii="仿宋_GB2312" w:hAnsi="仿宋" w:eastAsia="仿宋_GB2312" w:cs="仿宋"/>
          <w:color w:val="auto"/>
          <w:sz w:val="24"/>
          <w:highlight w:val="none"/>
        </w:rPr>
        <w:t>（5）人员变更</w:t>
      </w:r>
    </w:p>
    <w:p w14:paraId="1E829EB8">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中标人不得擅自更换项目组成员。确需更换的，应提前10个工作日内向采购人提交书面申请，说明更换原因并提供拟更换人员的完整资质证明材料（含职业资格证书、无违法犯罪记录证明等），经采购人书面同意后方可更换，</w:t>
      </w:r>
      <w:r>
        <w:rPr>
          <w:rFonts w:hint="eastAsia" w:ascii="仿宋_GB2312" w:hAnsi="仿宋" w:eastAsia="仿宋_GB2312" w:cs="仿宋"/>
          <w:color w:val="auto"/>
          <w:sz w:val="24"/>
          <w:highlight w:val="none"/>
          <w:shd w:val="clear" w:color="auto" w:fill="FFFFFF"/>
        </w:rPr>
        <w:t>继任人员资质不得低于原岗位要求。未经采购人书面同意擅自更换的，视为违约，采购人有权按每人次扣减当月服务费的2%，并要求中标人限期纠正。中标人对扣减金额有异议的，可在收到扣减通知后5个工作日内向采购人提出书面异议，采购人应在收到异议后10个工作日内作出书面答复。</w:t>
      </w:r>
    </w:p>
    <w:p w14:paraId="27043332">
      <w:pPr>
        <w:adjustRightInd w:val="0"/>
        <w:snapToGrid w:val="0"/>
        <w:spacing w:line="312" w:lineRule="auto"/>
        <w:ind w:firstLine="480" w:firstLineChars="200"/>
        <w:jc w:val="left"/>
        <w:outlineLvl w:val="2"/>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rPr>
        <w:t>（四）驻场服务要求</w:t>
      </w:r>
      <w:bookmarkEnd w:id="18"/>
    </w:p>
    <w:p w14:paraId="539F5BEC">
      <w:pPr>
        <w:adjustRightInd w:val="0"/>
        <w:snapToGrid w:val="0"/>
        <w:spacing w:line="312" w:lineRule="auto"/>
        <w:ind w:firstLine="480" w:firstLineChars="200"/>
        <w:jc w:val="left"/>
        <w:outlineLvl w:val="3"/>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shd w:val="clear" w:color="auto" w:fill="FFFFFF"/>
        </w:rPr>
        <w:t>★1、中标人须安排6名驻场维保人员（望江校区2名、华西校区2名、江安校区2名）开展驻场维保工作，安排1名内业管理专员开展维保内业工作。</w:t>
      </w:r>
    </w:p>
    <w:p w14:paraId="6E9D9B7F">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1）驻场维保人员负责开展驻场所在校区范围内的日常巡检、定期保养、故障处理、应急抢修、维修实施、节前检查、信息收集、技术支持、检测验收、室外消火栓翻新、大型活动电气防火安全检测、培训与演练、公示牌制作等工作。内业管理专员负责统筹上述工作的内业闭环</w:t>
      </w:r>
      <w:r>
        <w:rPr>
          <w:rFonts w:hint="eastAsia" w:ascii="仿宋_GB2312" w:hAnsi="仿宋" w:eastAsia="仿宋_GB2312" w:cs="仿宋"/>
          <w:color w:val="auto"/>
          <w:sz w:val="24"/>
          <w:highlight w:val="none"/>
        </w:rPr>
        <w:t>。</w:t>
      </w:r>
    </w:p>
    <w:p w14:paraId="5006AED2">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2）内业管理专员负责三校区内业统筹工作，包括档案建立、计划编制、任务发布、信息收集、报告提交、以及数据库更新等。驻场维保人员应配合内业管理专员完成记录签署、影像采集、工单执行与闭环、资料上传等工作。</w:t>
      </w:r>
    </w:p>
    <w:p w14:paraId="0EE41383">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bookmarkStart w:id="19" w:name="heading_16"/>
      <w:r>
        <w:rPr>
          <w:rFonts w:hint="eastAsia" w:ascii="仿宋_GB2312" w:hAnsi="仿宋" w:eastAsia="仿宋_GB2312" w:cs="仿宋"/>
          <w:color w:val="auto"/>
          <w:sz w:val="24"/>
          <w:highlight w:val="none"/>
          <w:shd w:val="clear" w:color="auto" w:fill="FFFFFF"/>
        </w:rPr>
        <w:t>★</w:t>
      </w:r>
      <w:r>
        <w:rPr>
          <w:rFonts w:hint="eastAsia" w:ascii="仿宋_GB2312" w:hAnsi="仿宋" w:eastAsia="仿宋_GB2312" w:cs="仿宋"/>
          <w:color w:val="auto"/>
          <w:sz w:val="24"/>
          <w:highlight w:val="none"/>
        </w:rPr>
        <w:t>2、时段界定</w:t>
      </w:r>
      <w:bookmarkEnd w:id="19"/>
    </w:p>
    <w:p w14:paraId="63548275">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（1）驻场时段：指服务周期内周一至周五工作日08:30-17:30。</w:t>
      </w:r>
    </w:p>
    <w:p w14:paraId="6CCBD76A">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（2）非驻场时段：服务周期内周一至周五工作日17:30至次日08:30及周末、节假日全天。</w:t>
      </w:r>
    </w:p>
    <w:p w14:paraId="35C1429A">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bookmarkStart w:id="20" w:name="heading_17"/>
      <w:r>
        <w:rPr>
          <w:rFonts w:hint="eastAsia" w:ascii="仿宋_GB2312" w:hAnsi="仿宋" w:eastAsia="仿宋_GB2312" w:cs="仿宋"/>
          <w:color w:val="auto"/>
          <w:sz w:val="24"/>
          <w:highlight w:val="none"/>
          <w:shd w:val="clear" w:color="auto" w:fill="FFFFFF"/>
        </w:rPr>
        <w:t>★</w:t>
      </w:r>
      <w:r>
        <w:rPr>
          <w:rFonts w:hint="eastAsia" w:ascii="仿宋_GB2312" w:hAnsi="仿宋" w:eastAsia="仿宋_GB2312" w:cs="仿宋"/>
          <w:color w:val="auto"/>
          <w:sz w:val="24"/>
          <w:highlight w:val="none"/>
        </w:rPr>
        <w:t>3、在岗要求</w:t>
      </w:r>
      <w:bookmarkEnd w:id="20"/>
    </w:p>
    <w:p w14:paraId="4CE84E1A">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（1）按照采购人要求，完成上班考勤。</w:t>
      </w:r>
    </w:p>
    <w:p w14:paraId="20BE830B">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（2）驻场时段内，</w:t>
      </w:r>
      <w:r>
        <w:rPr>
          <w:rFonts w:hint="eastAsia" w:ascii="仿宋_GB2312" w:hAnsi="仿宋" w:eastAsia="仿宋_GB2312" w:cs="仿宋"/>
          <w:color w:val="auto"/>
          <w:sz w:val="24"/>
          <w:highlight w:val="none"/>
          <w:shd w:val="clear" w:color="auto" w:fill="FFFFFF"/>
        </w:rPr>
        <w:t>驻场维保人员</w:t>
      </w:r>
      <w:r>
        <w:rPr>
          <w:rFonts w:hint="eastAsia" w:ascii="仿宋_GB2312" w:hAnsi="仿宋" w:eastAsia="仿宋_GB2312" w:cs="仿宋"/>
          <w:color w:val="auto"/>
          <w:sz w:val="24"/>
          <w:highlight w:val="none"/>
        </w:rPr>
        <w:t>全员应在岗（指在驻场所在校区内从事维保外业），不得擅自轮岗、离岗、脱岗，</w:t>
      </w:r>
      <w:r>
        <w:rPr>
          <w:rFonts w:hint="eastAsia" w:ascii="仿宋_GB2312" w:hAnsi="仿宋" w:eastAsia="仿宋_GB2312" w:cs="仿宋"/>
          <w:color w:val="auto"/>
          <w:sz w:val="24"/>
          <w:highlight w:val="none"/>
          <w:shd w:val="clear" w:color="auto" w:fill="FFFFFF"/>
        </w:rPr>
        <w:t>内业管理专员应在采购人指定工位在岗。</w:t>
      </w:r>
    </w:p>
    <w:p w14:paraId="36EE1710">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w:t>
      </w:r>
      <w:r>
        <w:rPr>
          <w:rFonts w:hint="eastAsia" w:ascii="仿宋_GB2312" w:hAnsi="仿宋" w:eastAsia="仿宋_GB2312" w:cs="仿宋"/>
          <w:color w:val="auto"/>
          <w:sz w:val="24"/>
          <w:highlight w:val="none"/>
          <w:shd w:val="clear" w:color="auto" w:fill="FFFFFF"/>
        </w:rPr>
        <w:t>各校区驻场维保人员不得跨校区轮岗；但经采购人同意，或因紧急情况确需多人参与实施而需跨校区调配人员的除外</w:t>
      </w:r>
      <w:r>
        <w:rPr>
          <w:rFonts w:hint="eastAsia" w:ascii="仿宋_GB2312" w:hAnsi="仿宋" w:eastAsia="仿宋_GB2312" w:cs="仿宋"/>
          <w:color w:val="auto"/>
          <w:sz w:val="24"/>
          <w:highlight w:val="none"/>
        </w:rPr>
        <w:t>。</w:t>
      </w:r>
    </w:p>
    <w:p w14:paraId="3A51D8FE">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（4）法定节假日和学校在周末举行重大活动期间，应至少保证1名驻场维保人员在岗备勤，在岗备勤时间按实际情况进行安排。</w:t>
      </w:r>
      <w:r>
        <w:rPr>
          <w:rFonts w:hint="eastAsia" w:ascii="仿宋_GB2312" w:hAnsi="仿宋" w:eastAsia="仿宋_GB2312" w:cs="仿宋"/>
          <w:color w:val="auto"/>
          <w:sz w:val="24"/>
          <w:highlight w:val="none"/>
          <w:shd w:val="clear" w:color="auto" w:fill="FFFFFF"/>
        </w:rPr>
        <w:t>内业管理专员应按采购人要求值班或远程支持。休息日、</w:t>
      </w:r>
      <w:r>
        <w:rPr>
          <w:rFonts w:hint="eastAsia" w:ascii="仿宋_GB2312" w:hAnsi="仿宋" w:eastAsia="仿宋_GB2312" w:cs="仿宋"/>
          <w:color w:val="auto"/>
          <w:sz w:val="24"/>
          <w:highlight w:val="none"/>
        </w:rPr>
        <w:t>法定节假日安排驻场维保人员的相关费用由投标人承担，投标人应在报价中统筹考虑此项成本。</w:t>
      </w:r>
    </w:p>
    <w:p w14:paraId="1B079F9F">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bookmarkStart w:id="21" w:name="heading_18"/>
      <w:r>
        <w:rPr>
          <w:rFonts w:hint="eastAsia" w:ascii="仿宋_GB2312" w:hAnsi="仿宋" w:eastAsia="仿宋_GB2312" w:cs="仿宋"/>
          <w:color w:val="auto"/>
          <w:sz w:val="24"/>
          <w:highlight w:val="none"/>
          <w:shd w:val="clear" w:color="auto" w:fill="FFFFFF"/>
        </w:rPr>
        <w:t>★</w:t>
      </w:r>
      <w:r>
        <w:rPr>
          <w:rFonts w:hint="eastAsia" w:ascii="仿宋_GB2312" w:hAnsi="仿宋" w:eastAsia="仿宋_GB2312" w:cs="仿宋"/>
          <w:color w:val="auto"/>
          <w:sz w:val="24"/>
          <w:highlight w:val="none"/>
        </w:rPr>
        <w:t>4、行为规范</w:t>
      </w:r>
      <w:bookmarkEnd w:id="21"/>
    </w:p>
    <w:p w14:paraId="04138B6C">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(1)投标人、维保驻场人员及</w:t>
      </w:r>
      <w:r>
        <w:rPr>
          <w:rFonts w:hint="eastAsia" w:ascii="仿宋_GB2312" w:hAnsi="仿宋" w:eastAsia="仿宋_GB2312" w:cs="仿宋"/>
          <w:color w:val="auto"/>
          <w:sz w:val="24"/>
          <w:highlight w:val="none"/>
          <w:shd w:val="clear" w:color="auto" w:fill="FFFFFF"/>
        </w:rPr>
        <w:t>内业管理专员</w:t>
      </w:r>
      <w:r>
        <w:rPr>
          <w:rFonts w:hint="eastAsia" w:ascii="仿宋_GB2312" w:hAnsi="仿宋" w:eastAsia="仿宋_GB2312" w:cs="仿宋"/>
          <w:color w:val="auto"/>
          <w:sz w:val="24"/>
          <w:highlight w:val="none"/>
        </w:rPr>
        <w:t>应严格遵守国家各类安全法律法规及学校相关安全管理规定。</w:t>
      </w:r>
    </w:p>
    <w:p w14:paraId="75CAAF64">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(2)维保驻场人员及</w:t>
      </w:r>
      <w:r>
        <w:rPr>
          <w:rFonts w:hint="eastAsia" w:ascii="仿宋_GB2312" w:hAnsi="仿宋" w:eastAsia="仿宋_GB2312" w:cs="仿宋"/>
          <w:color w:val="auto"/>
          <w:sz w:val="24"/>
          <w:highlight w:val="none"/>
          <w:shd w:val="clear" w:color="auto" w:fill="FFFFFF"/>
        </w:rPr>
        <w:t>内业管理专员</w:t>
      </w:r>
      <w:r>
        <w:rPr>
          <w:rFonts w:hint="eastAsia" w:ascii="仿宋_GB2312" w:hAnsi="仿宋" w:eastAsia="仿宋_GB2312" w:cs="仿宋"/>
          <w:color w:val="auto"/>
          <w:sz w:val="24"/>
          <w:highlight w:val="none"/>
        </w:rPr>
        <w:t>应穿着统一工作服，举止文明，非紧急情况下不得打扰办公、教学、作息等正常秩序。</w:t>
      </w:r>
    </w:p>
    <w:p w14:paraId="5F98C604">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(3)不得收受他人财物、侵占公私财物、倒卖学校资产。</w:t>
      </w:r>
    </w:p>
    <w:p w14:paraId="6EA84E4F">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(4)不得以任何方式和理由，承接他人私下委托的涉及改动校内消防设施设备的施工作业。</w:t>
      </w:r>
    </w:p>
    <w:p w14:paraId="384E979B">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(5)按照“故障处置及应急抢修”要求处置故障问题。</w:t>
      </w:r>
    </w:p>
    <w:p w14:paraId="51B5E22D">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(6)作业过程中，如需进入有人房间，必须先敲门并表明身份，征得同意后方可进入；不得擅自闯入、强行进入或在无人情况下私自进入房间。</w:t>
      </w:r>
    </w:p>
    <w:p w14:paraId="6BB323E9">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作业过程中，不得翻动、触碰、损坏办公用品、私人物品，不得擅自拍照、录像、录音，但为履行本合同约定的维保记录义务而进行的常规影像资料留存除外。常规影像资料留存应限于故障设备、维修过程及验收环节，不得拍摄无关区域或人员。前述例外情况仍适用“保密要求”第2款的保密义务规定。</w:t>
      </w:r>
    </w:p>
    <w:p w14:paraId="0204F8DD">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(8)作业结束后，应及时清理现场，恢复原状，不得遗留任何工具、垃圾或杂物。</w:t>
      </w:r>
    </w:p>
    <w:p w14:paraId="14BC914E">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bookmarkStart w:id="22" w:name="heading_19"/>
      <w:r>
        <w:rPr>
          <w:rFonts w:hint="eastAsia" w:ascii="仿宋_GB2312" w:hAnsi="仿宋" w:eastAsia="仿宋_GB2312" w:cs="仿宋"/>
          <w:color w:val="auto"/>
          <w:sz w:val="24"/>
          <w:highlight w:val="none"/>
          <w:shd w:val="clear" w:color="auto" w:fill="FFFFFF"/>
        </w:rPr>
        <w:t>★</w:t>
      </w:r>
      <w:r>
        <w:rPr>
          <w:rFonts w:hint="eastAsia" w:ascii="仿宋_GB2312" w:hAnsi="仿宋" w:eastAsia="仿宋_GB2312" w:cs="仿宋"/>
          <w:color w:val="auto"/>
          <w:sz w:val="24"/>
          <w:highlight w:val="none"/>
        </w:rPr>
        <w:t>5、安全作业</w:t>
      </w:r>
      <w:bookmarkEnd w:id="22"/>
    </w:p>
    <w:p w14:paraId="7B20CFBF">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(1)投标人应对驻场维保人员及</w:t>
      </w:r>
      <w:r>
        <w:rPr>
          <w:rFonts w:hint="eastAsia" w:ascii="仿宋_GB2312" w:hAnsi="仿宋" w:eastAsia="仿宋_GB2312" w:cs="仿宋"/>
          <w:color w:val="auto"/>
          <w:sz w:val="24"/>
          <w:highlight w:val="none"/>
          <w:shd w:val="clear" w:color="auto" w:fill="FFFFFF"/>
        </w:rPr>
        <w:t>内业管理专员</w:t>
      </w:r>
      <w:r>
        <w:rPr>
          <w:rFonts w:hint="eastAsia" w:ascii="仿宋_GB2312" w:hAnsi="仿宋" w:eastAsia="仿宋_GB2312" w:cs="仿宋"/>
          <w:color w:val="auto"/>
          <w:sz w:val="24"/>
          <w:highlight w:val="none"/>
        </w:rPr>
        <w:t>进行安全培训，提供必要的安全防护装备，确保作业安全。</w:t>
      </w:r>
    </w:p>
    <w:p w14:paraId="4E5B98FB">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(2)驻场维保人员及</w:t>
      </w:r>
      <w:r>
        <w:rPr>
          <w:rFonts w:hint="eastAsia" w:ascii="仿宋_GB2312" w:hAnsi="仿宋" w:eastAsia="仿宋_GB2312" w:cs="仿宋"/>
          <w:color w:val="auto"/>
          <w:sz w:val="24"/>
          <w:highlight w:val="none"/>
          <w:shd w:val="clear" w:color="auto" w:fill="FFFFFF"/>
        </w:rPr>
        <w:t>内业管理专员</w:t>
      </w:r>
      <w:r>
        <w:rPr>
          <w:rFonts w:hint="eastAsia" w:ascii="仿宋_GB2312" w:hAnsi="仿宋" w:eastAsia="仿宋_GB2312" w:cs="仿宋"/>
          <w:color w:val="auto"/>
          <w:sz w:val="24"/>
          <w:highlight w:val="none"/>
        </w:rPr>
        <w:t>在进行维护保养作业时，必须严格遵守四川大学相关安全管理规定，包括治安、消防、交通、学生宿舍等管理规定要求。</w:t>
      </w:r>
    </w:p>
    <w:p w14:paraId="43F15589">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维护保养作业过程中，需要设备断电，导致该设备或系统无法正常运行超过30分钟的，应由采购人批准，并采取安全防护措施；紧急情况（如设备故障可能引发火灾、爆炸等直接威胁人身安全）下，经现场评估后应及时报采购人，得到紧急授权后可先行断电处置，事后2小时内补报审批手续，采购人应予以配合。</w:t>
      </w:r>
    </w:p>
    <w:p w14:paraId="3AEA324E">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(4)需要进入危险区域的，应设置警戒围挡、警示标志，采取专人值守等警戒措施，作业人员应经专业安全培训合格，个人防护装备、操作程序等应符合相关规定。</w:t>
      </w:r>
    </w:p>
    <w:p w14:paraId="468383FE">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(5)进行带电作业、高处作业、受限空间作业的，须持有对应类别的国家认可特种作业操作证,须严格遵守安全操作规程，应采取必要的防护措施，防止坠落、触电、挤压等安全事故发生。</w:t>
      </w:r>
    </w:p>
    <w:p w14:paraId="22677892">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(6)检测时应采取防止误动作措施，避免触发联动功能造成设备或装修损坏。</w:t>
      </w:r>
    </w:p>
    <w:p w14:paraId="3E98E872">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(7)对声光、广播、非消防电源切断等易引起恐慌的设备功能测试前，须经采购人、责任单位批准并提前三天张贴告知书。</w:t>
      </w:r>
    </w:p>
    <w:p w14:paraId="1A5DCB85">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作业涉及化学化工实验室、危化品库房、藏书室等特殊场所时，应制定专项安全作业方案，明确进入前的安全评估程序、作业过程中的防护措施、突发事件的应急处置流程，进入时须经采购人、责任单位、现场人员的三方批准</w:t>
      </w:r>
    </w:p>
    <w:p w14:paraId="7DF3F0DD">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w:t>
      </w:r>
      <w:bookmarkStart w:id="23" w:name="heading_20"/>
      <w:r>
        <w:rPr>
          <w:rFonts w:hint="eastAsia" w:ascii="仿宋_GB2312" w:hAnsi="仿宋" w:eastAsia="仿宋_GB2312" w:cs="仿宋"/>
          <w:color w:val="auto"/>
          <w:sz w:val="24"/>
          <w:highlight w:val="none"/>
        </w:rPr>
        <w:t>所有维保作业须严格遵守国家及行业其他现行有效安全操作规程。</w:t>
      </w:r>
    </w:p>
    <w:p w14:paraId="4B616032">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6、人员考核与培训</w:t>
      </w:r>
    </w:p>
    <w:p w14:paraId="56A2DDAB">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中标人应针对本项目建立项目组人员考核与培训制度，对技术负责人、项目负责人、内业管理专员及驻场维保人员实施全过程考核与培训管理。投标人应在投标文件中提交针对本项目的人员考核与培训计划，中标后按计划执行，并根据采购人要求持续完善。</w:t>
      </w:r>
    </w:p>
    <w:p w14:paraId="5EF08265">
      <w:pPr>
        <w:adjustRightInd w:val="0"/>
        <w:snapToGrid w:val="0"/>
        <w:spacing w:line="312" w:lineRule="auto"/>
        <w:ind w:firstLine="480" w:firstLineChars="200"/>
        <w:jc w:val="left"/>
        <w:outlineLvl w:val="4"/>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1)与采购人监督的衔接</w:t>
      </w:r>
    </w:p>
    <w:p w14:paraId="5CC9A837">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采购人有权对中标人人员考核与培训执行情况进行检查、抽查，并调阅考核记录、培训记录、签到表、影像资料及整改记录。中标人应积极配合，不得拒绝、拖延或提供虚假资料。</w:t>
      </w:r>
    </w:p>
    <w:p w14:paraId="491B16EC">
      <w:pPr>
        <w:adjustRightInd w:val="0"/>
        <w:snapToGrid w:val="0"/>
        <w:spacing w:line="312" w:lineRule="auto"/>
        <w:ind w:firstLine="480" w:firstLineChars="200"/>
        <w:jc w:val="left"/>
        <w:outlineLvl w:val="4"/>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2)与第十八条培训与演练的区分</w:t>
      </w:r>
    </w:p>
    <w:p w14:paraId="7EA19860">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本条所述人员考核与培训，指中标人对其项目组内部人员实施的管理性考核与培训，不替代第六章“十八、培训与演练”中约定的面向采购人指定人员的消防系统操作培训和消防模拟演练。中标人应分别制定计划、分别组织实施并分别归档。</w:t>
      </w:r>
    </w:p>
    <w:p w14:paraId="5A31DCB3">
      <w:pPr>
        <w:adjustRightInd w:val="0"/>
        <w:snapToGrid w:val="0"/>
        <w:spacing w:line="312" w:lineRule="auto"/>
        <w:ind w:firstLine="482"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b/>
          <w:bCs/>
          <w:color w:val="auto"/>
          <w:sz w:val="24"/>
          <w:highlight w:val="none"/>
          <w:shd w:val="clear" w:color="auto" w:fill="FFFFFF"/>
        </w:rPr>
        <w:t>★</w:t>
      </w:r>
      <w:r>
        <w:rPr>
          <w:rFonts w:hint="eastAsia" w:ascii="仿宋_GB2312" w:hAnsi="仿宋" w:eastAsia="仿宋_GB2312" w:cs="仿宋"/>
          <w:color w:val="auto"/>
          <w:sz w:val="24"/>
          <w:highlight w:val="none"/>
        </w:rPr>
        <w:t>（五）安全生产管理协议</w:t>
      </w:r>
    </w:p>
    <w:p w14:paraId="568966E7">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1、中标人</w:t>
      </w:r>
      <w:r>
        <w:rPr>
          <w:rFonts w:hint="eastAsia" w:ascii="仿宋_GB2312" w:hAnsi="仿宋" w:eastAsia="仿宋_GB2312" w:cs="仿宋"/>
          <w:color w:val="auto"/>
          <w:sz w:val="24"/>
          <w:highlight w:val="none"/>
          <w:lang w:val="en-US" w:eastAsia="zh-CN"/>
        </w:rPr>
        <w:t>应</w:t>
      </w:r>
      <w:r>
        <w:rPr>
          <w:rFonts w:hint="eastAsia" w:ascii="仿宋_GB2312" w:hAnsi="仿宋" w:eastAsia="仿宋_GB2312" w:cs="仿宋"/>
          <w:color w:val="auto"/>
          <w:sz w:val="24"/>
          <w:highlight w:val="none"/>
        </w:rPr>
        <w:t>与采购人签订专门的安全生产管理协议，明确双方各自的安全生产管理职责。协议至少应包括以下内容：</w:t>
      </w:r>
    </w:p>
    <w:p w14:paraId="26BDD99E">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(1)采购人对中标人安全生产工作的统一协调、管理职责；</w:t>
      </w:r>
    </w:p>
    <w:p w14:paraId="6ED91E17">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(2)中标人对驻场人员安全生产的直接管理职责；</w:t>
      </w:r>
    </w:p>
    <w:p w14:paraId="54776A1E">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(3)定期安全检查机制及隐患整改闭环要求；</w:t>
      </w:r>
    </w:p>
    <w:p w14:paraId="5587FD1E">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(4)安全生产事故报告和应急处置程序；</w:t>
      </w:r>
    </w:p>
    <w:p w14:paraId="2762F0C6">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(5)双方安全生产管理责任人及联系方式。</w:t>
      </w:r>
    </w:p>
    <w:p w14:paraId="0A5238EF">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采购人另行委托第三方实施应急抢修或零星维修的，应与该第三方签订专门的安全生产管理协议，明确各自的安全生产管理职责。</w:t>
      </w:r>
    </w:p>
    <w:p w14:paraId="633D4189">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（六）维保工具与设备配置要求</w:t>
      </w:r>
    </w:p>
    <w:p w14:paraId="28744696">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1、投标人须充分考虑驻场服务需求，为三校区分别配备满足日常维保、巡检、检测、故障诊断与维修工作需要的工具及设备，至少包括以下类别：</w:t>
      </w:r>
    </w:p>
    <w:p w14:paraId="0930D39A">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bookmarkStart w:id="24" w:name="heading_24"/>
      <w:r>
        <w:rPr>
          <w:rFonts w:hint="eastAsia" w:ascii="仿宋_GB2312" w:hAnsi="仿宋" w:eastAsia="仿宋_GB2312" w:cs="仿宋"/>
          <w:color w:val="auto"/>
          <w:sz w:val="24"/>
          <w:highlight w:val="none"/>
        </w:rPr>
        <w:t>（1）基本维保工具</w:t>
      </w:r>
      <w:bookmarkEnd w:id="24"/>
    </w:p>
    <w:p w14:paraId="29C5C381">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基础五金工具（螺丝刀套装、扳手/套筒套装、内六角扳手、电工钳/剥线钳/压线钳、电工刀、锤子、锯弓、锉刀等）；电气测量仪表（万用表、兆欧表、钳形电流表、接地电阻测试仪等）；环境参数检测仪器（红外测温仪、照度计、风速仪、声级计等）；专用测试设备（感烟探测器功能试验器、感温探测器功能试验器、消火栓测压接头、喷淋末端试水接头及压力表等），其他维保需要的工具和设备。</w:t>
      </w:r>
    </w:p>
    <w:p w14:paraId="0DAAA3A8">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bookmarkStart w:id="25" w:name="heading_25"/>
      <w:r>
        <w:rPr>
          <w:rFonts w:hint="eastAsia" w:ascii="仿宋_GB2312" w:hAnsi="仿宋" w:eastAsia="仿宋_GB2312" w:cs="仿宋"/>
          <w:color w:val="auto"/>
          <w:sz w:val="24"/>
          <w:highlight w:val="none"/>
        </w:rPr>
        <w:t>（2）登高及辅助作业设备</w:t>
      </w:r>
      <w:bookmarkEnd w:id="25"/>
    </w:p>
    <w:p w14:paraId="519DEECB">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人字梯、伸缩梯（满足校区内各建筑不同层高需求）；移动式作业平台或脚手架（如需）；安全绳、安全带、安全帽等个人防护装备。</w:t>
      </w:r>
    </w:p>
    <w:p w14:paraId="27E15206">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bookmarkStart w:id="26" w:name="heading_26"/>
      <w:r>
        <w:rPr>
          <w:rFonts w:hint="eastAsia" w:ascii="仿宋_GB2312" w:hAnsi="仿宋" w:eastAsia="仿宋_GB2312" w:cs="仿宋"/>
          <w:color w:val="auto"/>
          <w:sz w:val="24"/>
          <w:highlight w:val="none"/>
        </w:rPr>
        <w:t>（3）通讯及记录设备</w:t>
      </w:r>
      <w:bookmarkEnd w:id="26"/>
    </w:p>
    <w:p w14:paraId="0DC08940">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1）对讲机（每个校区不少于2台），确保驻场人员与消防远程监控中心保持即时通讯；</w:t>
      </w:r>
    </w:p>
    <w:p w14:paraId="43E011E5">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2）配备照相/摄像功能的记录设备，用于故障现场、维修过程及验收环节的影像资料留存。</w:t>
      </w:r>
    </w:p>
    <w:p w14:paraId="0936EFD0">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bookmarkStart w:id="27" w:name="heading_27"/>
      <w:r>
        <w:rPr>
          <w:rFonts w:hint="eastAsia" w:ascii="仿宋_GB2312" w:hAnsi="仿宋" w:eastAsia="仿宋_GB2312" w:cs="仿宋"/>
          <w:color w:val="auto"/>
          <w:sz w:val="24"/>
          <w:highlight w:val="none"/>
        </w:rPr>
        <w:t>（4）应急照明设备</w:t>
      </w:r>
      <w:bookmarkEnd w:id="27"/>
    </w:p>
    <w:p w14:paraId="31BE10C8">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应急照明灯、头灯，确保在断电或光线不足的作业环境中能够正常开展维保工作。</w:t>
      </w:r>
    </w:p>
    <w:p w14:paraId="3818FCDB">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bookmarkStart w:id="28" w:name="heading_28"/>
      <w:r>
        <w:rPr>
          <w:rFonts w:hint="eastAsia" w:ascii="仿宋_GB2312" w:hAnsi="仿宋" w:eastAsia="仿宋_GB2312" w:cs="仿宋"/>
          <w:color w:val="auto"/>
          <w:sz w:val="24"/>
          <w:highlight w:val="none"/>
        </w:rPr>
        <w:t>（5）其他要求</w:t>
      </w:r>
      <w:bookmarkEnd w:id="28"/>
    </w:p>
    <w:p w14:paraId="67C80602">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1）投标人应确保所有工具及设备处于良好可用状态，需定期校准的仪器须在有效校准期内，中标后采购人如有需要，须提供校准证书，供采购人检查备案。</w:t>
      </w:r>
    </w:p>
    <w:p w14:paraId="1EFA2260">
      <w:pPr>
        <w:pStyle w:val="5"/>
        <w:adjustRightInd w:val="0"/>
        <w:snapToGrid w:val="0"/>
        <w:spacing w:after="0"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2）因工具设备不全或失效导致维保、抢修工作延误的，由投标人承担相应责任。</w:t>
      </w:r>
    </w:p>
    <w:bookmarkEnd w:id="23"/>
    <w:p w14:paraId="42B1F036">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bookmarkStart w:id="29" w:name="heading_21"/>
      <w:r>
        <w:rPr>
          <w:rFonts w:hint="eastAsia" w:ascii="仿宋_GB2312" w:hAnsi="仿宋" w:eastAsia="仿宋_GB2312" w:cs="仿宋"/>
          <w:color w:val="auto"/>
          <w:sz w:val="24"/>
          <w:highlight w:val="none"/>
        </w:rPr>
        <w:t>（七）服务启动与前期准备</w:t>
      </w:r>
      <w:bookmarkEnd w:id="29"/>
    </w:p>
    <w:p w14:paraId="3F21473F">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w:t>
      </w:r>
      <w:r>
        <w:rPr>
          <w:rFonts w:hint="eastAsia" w:ascii="仿宋_GB2312" w:hAnsi="仿宋" w:eastAsia="仿宋_GB2312" w:cs="仿宋"/>
          <w:color w:val="auto"/>
          <w:sz w:val="24"/>
          <w:highlight w:val="none"/>
          <w:shd w:val="clear" w:color="auto" w:fill="FFFFFF"/>
        </w:rPr>
        <w:t>资料交接：投标人自“服务起始日”起30个日历天内，应完成与施工单位或原维护保养单位的资料交接。交接资料至少包括：建筑物基本信息、消防设施设备清单、相关图纸、各类系统操作手册、系统管理权限。交接完成后，投标人应就交接资料内容对采购人指定人员进行交底告知，确保采购人人员知悉资料存放位置及基本使用方法</w:t>
      </w:r>
      <w:r>
        <w:rPr>
          <w:rFonts w:hint="eastAsia" w:ascii="仿宋_GB2312" w:hAnsi="仿宋" w:eastAsia="仿宋_GB2312" w:cs="仿宋"/>
          <w:color w:val="auto"/>
          <w:sz w:val="24"/>
          <w:highlight w:val="none"/>
        </w:rPr>
        <w:t>，</w:t>
      </w:r>
      <w:r>
        <w:rPr>
          <w:rFonts w:hint="eastAsia" w:ascii="仿宋_GB2312" w:hAnsi="仿宋" w:eastAsia="仿宋_GB2312" w:cs="仿宋"/>
          <w:color w:val="auto"/>
          <w:sz w:val="24"/>
          <w:highlight w:val="none"/>
          <w:shd w:val="clear" w:color="auto" w:fill="FFFFFF"/>
        </w:rPr>
        <w:t>内业管理专员应在5个工作日内建立初始电子档案目录。</w:t>
      </w:r>
    </w:p>
    <w:p w14:paraId="615D4350">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2、维保档案模板确认：</w:t>
      </w:r>
      <w:r>
        <w:rPr>
          <w:rFonts w:hint="eastAsia" w:ascii="仿宋_GB2312" w:hAnsi="仿宋" w:eastAsia="仿宋_GB2312" w:cs="仿宋"/>
          <w:color w:val="auto"/>
          <w:sz w:val="24"/>
          <w:highlight w:val="none"/>
          <w:shd w:val="clear" w:color="auto" w:fill="FFFFFF"/>
        </w:rPr>
        <w:t>投标人自“服务起始日”起15个日历天内，应向采购人提交维保档案电子模板（PDF格式）。模板内容框架至少应包括：设备台账、日常巡检记录、培训台账、月度维保报告、故障检查记录、联动测试报告、年度/月/周计划模板、工单模板、技术支持记录表、数据库更新日志、档案移交清单以及相关影像资料。模板应经采购人书面确认后方可启用</w:t>
      </w:r>
      <w:r>
        <w:rPr>
          <w:rFonts w:hint="eastAsia" w:ascii="仿宋_GB2312" w:hAnsi="仿宋" w:eastAsia="仿宋_GB2312" w:cs="仿宋"/>
          <w:color w:val="auto"/>
          <w:sz w:val="24"/>
          <w:highlight w:val="none"/>
        </w:rPr>
        <w:t>。</w:t>
      </w:r>
    </w:p>
    <w:p w14:paraId="08DD6EBE">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3、进场首次检测：投标人进场后30个日历天内，须对已确定纳入维保范围的建筑物内所有消防设施设备进行一次全数检测，并出具《四川大学**校区**建筑维保进场首检报告》，报送采购人。</w:t>
      </w:r>
      <w:r>
        <w:rPr>
          <w:rFonts w:hint="eastAsia" w:ascii="仿宋_GB2312" w:hAnsi="仿宋" w:eastAsia="仿宋_GB2312" w:cs="仿宋"/>
          <w:color w:val="auto"/>
          <w:sz w:val="24"/>
          <w:highlight w:val="none"/>
          <w:shd w:val="clear" w:color="auto" w:fill="FFFFFF"/>
        </w:rPr>
        <w:t>首检报告出具后3个工作日内，内业管理专员应将报告、问题清单、影像资料归档。</w:t>
      </w:r>
    </w:p>
    <w:p w14:paraId="56DC1DCE">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4、维保前勘验：</w:t>
      </w:r>
      <w:r>
        <w:rPr>
          <w:rFonts w:hint="eastAsia" w:ascii="仿宋_GB2312" w:hAnsi="仿宋" w:eastAsia="仿宋_GB2312" w:cs="仿宋"/>
          <w:color w:val="auto"/>
          <w:sz w:val="24"/>
          <w:highlight w:val="none"/>
          <w:shd w:val="clear" w:color="auto" w:fill="FFFFFF"/>
        </w:rPr>
        <w:t>维保前勘验指对计划纳入维保的建筑进行消防设施设备运行情况的全面检测，包括联动测试、独立运行测试等。投标人在开展进场首次检测的同时，应对尚未纳入维保的建筑物内所有消防设施设备进行一次全数检测，并于勘验结束后3个工作日内出具《</w:t>
      </w:r>
      <w:r>
        <w:rPr>
          <w:rFonts w:hint="eastAsia" w:ascii="仿宋_GB2312" w:hAnsi="仿宋" w:eastAsia="仿宋_GB2312" w:cs="仿宋"/>
          <w:color w:val="auto"/>
          <w:sz w:val="24"/>
          <w:highlight w:val="none"/>
        </w:rPr>
        <w:t>四川大学**校区**建筑</w:t>
      </w:r>
      <w:r>
        <w:rPr>
          <w:rFonts w:hint="eastAsia" w:ascii="仿宋_GB2312" w:hAnsi="仿宋" w:eastAsia="仿宋_GB2312" w:cs="仿宋"/>
          <w:color w:val="auto"/>
          <w:sz w:val="24"/>
          <w:highlight w:val="none"/>
          <w:shd w:val="clear" w:color="auto" w:fill="FFFFFF"/>
        </w:rPr>
        <w:t>维保前勘验报告》</w:t>
      </w:r>
      <w:r>
        <w:rPr>
          <w:rFonts w:hint="eastAsia" w:ascii="仿宋_GB2312" w:hAnsi="仿宋" w:eastAsia="仿宋_GB2312" w:cs="仿宋"/>
          <w:color w:val="auto"/>
          <w:sz w:val="24"/>
          <w:highlight w:val="none"/>
        </w:rPr>
        <w:t>。</w:t>
      </w:r>
      <w:r>
        <w:rPr>
          <w:rFonts w:hint="eastAsia" w:ascii="仿宋_GB2312" w:hAnsi="仿宋" w:eastAsia="仿宋_GB2312" w:cs="仿宋"/>
          <w:color w:val="auto"/>
          <w:sz w:val="24"/>
          <w:highlight w:val="none"/>
          <w:shd w:val="clear" w:color="auto" w:fill="FFFFFF"/>
        </w:rPr>
        <w:t>勘验报告应在出具后3个工作日内归档，并同步更新“条件允许后才纳入维保的建筑”台账。</w:t>
      </w:r>
    </w:p>
    <w:p w14:paraId="00233449">
      <w:pPr>
        <w:adjustRightInd w:val="0"/>
        <w:snapToGrid w:val="0"/>
        <w:spacing w:line="312" w:lineRule="auto"/>
        <w:ind w:firstLine="480" w:firstLineChars="200"/>
        <w:jc w:val="left"/>
        <w:rPr>
          <w:rFonts w:ascii="仿宋_GB2312" w:hAnsi="宋体" w:eastAsia="仿宋_GB2312" w:cs="宋体"/>
          <w:color w:val="auto"/>
          <w:sz w:val="24"/>
          <w:highlight w:val="none"/>
        </w:rPr>
      </w:pPr>
      <w:r>
        <w:rPr>
          <w:rFonts w:hint="eastAsia" w:ascii="仿宋_GB2312" w:hAnsi="仿宋" w:eastAsia="仿宋_GB2312" w:cs="仿宋"/>
          <w:color w:val="auto"/>
          <w:sz w:val="24"/>
          <w:highlight w:val="none"/>
          <w:shd w:val="clear" w:color="auto" w:fill="FFFFFF"/>
        </w:rPr>
        <w:t>5、公示牌制作：投标人应自服务起始日起30个日历天内，完成消防远程监控中心、各消防控制室及各建筑值班室公示牌的制作与安装。消防远程监控中心公示牌内容应包括消防技术服务机构名称、项目负责人、驻场维保人员信息（证书、姓名及联系方式）、维护保养周期等信息；各建筑消防控制室或值班室公示牌内容应至少包括消防技术服务机构名称、驻场维保人员信息（姓名及联系方式）、维护保养周期信息。公示牌材质统一采用亚克力板，规格、样式应经采购人书面确认后方可制作安装。</w:t>
      </w:r>
      <w:bookmarkStart w:id="30" w:name="heading_22"/>
    </w:p>
    <w:p w14:paraId="3101FBE3">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（八）维保内业管理</w:t>
      </w:r>
    </w:p>
    <w:p w14:paraId="6C0E2E0C">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总体要求：投标人应建立完整的维保内业管理体系，配置内业管理专员1名，在采购人指定工位开展内业工作，并配备相应的办公用品及相应耗材，包括文件柜、电脑、打印机等。平台上线前，内业管理应采用书面工单、纸质记录、电子表格等采购人认可的方式，确保档案建立、计划编制、任务发布、信息收集、报告提交和技术支持真实、完整、可追溯。平台上线后，按“平台上线后的维保内业管理要求”执行。</w:t>
      </w:r>
    </w:p>
    <w:p w14:paraId="2BFC213B">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2、内业管理专员为维保内业管理第一责任人，具体职责包括：</w:t>
      </w:r>
    </w:p>
    <w:p w14:paraId="49DB7DCC">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（1）建立并维护“一建筑一档案、一设备一档案”；</w:t>
      </w:r>
    </w:p>
    <w:p w14:paraId="1EC287FC">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（2）编制年度维保总计划、月度维保计划、周巡检计划；</w:t>
      </w:r>
    </w:p>
    <w:p w14:paraId="7F1056C2">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（3）通过采购人指定平台或书面工单发布任务，跟踪工单闭环；</w:t>
      </w:r>
    </w:p>
    <w:p w14:paraId="2C725803">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（4）收集各校区巡检、保养、故障、维修、培训、演练、数据库更新等记录；</w:t>
      </w:r>
    </w:p>
    <w:p w14:paraId="6F3A2E0A">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（5）汇总提交日报、周报、月报、季报、年度报告及专项报告；</w:t>
      </w:r>
    </w:p>
    <w:p w14:paraId="6C674154">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（6）维护基础数据库更新日志；</w:t>
      </w:r>
    </w:p>
    <w:p w14:paraId="73C89027">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（7）归集技术支持记录、影像资料、纸质与电子档案；</w:t>
      </w:r>
    </w:p>
    <w:p w14:paraId="5E980741">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（8）组织驻场人员完成资料上传、初审和归档；</w:t>
      </w:r>
    </w:p>
    <w:p w14:paraId="7C05AC1F">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（9）配合采购人检查、考核、审计和档案移交。</w:t>
      </w:r>
    </w:p>
    <w:p w14:paraId="2F7EBD92">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档案建立：投标人应按照“一建筑一档案、一设备一档案”的原则建立维保档案。档案内容包括但不限于建筑物基本信息、消防设施设备台账、系统图纸、操作手册、维保计划、巡检记录、保养记录、故障记录、维修记录、联动测试报告、培训记录、演练记录、影像资料及数据库更新记录。档案实行纸质与电子双套管理，电子档案应按采购人要求存储、备份并设置权限。</w:t>
      </w:r>
    </w:p>
    <w:p w14:paraId="6B76A10C">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计划编制：投标人应在服务起始日起15个日历天内提交年度维保总计划，每月25日前提交下月维保计划，每周五提交下周巡检计划。计划应明确任务内容、执行标准、周期、责任人、完成时限及覆盖点位，经采购人确认后执行。平台上线前，所有计划以纸质或电子表格方式提交；平台上线后，按“平台上线后的维保内业管理要求”通过指定平台编制、提交、审批、发布和调整。</w:t>
      </w:r>
    </w:p>
    <w:p w14:paraId="3659D401">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任务发布：平台上线前，投标人应通过书面工单、电子邮件、即时通讯或其他经采购人书面认可的方式发布维保、巡检、故障处置任务，并建立临时任务台账，记录任务内容、责任人、执行时间、完成情况、照片及定位信息。驻场人员接单后应按要求执行，完成后上传记录、照片、定位等信息，形成任务闭环。采购人有权随时查看任务进度及完成情况。平台上线后，统一通过指定平台发布，并按“平台上线后的维保内业管理要求”执行。形成工单闭环。</w:t>
      </w:r>
    </w:p>
    <w:p w14:paraId="088C8C23">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信息收集：内业管理专员应负责日常巡检记录、定期保养记录、故障处置记录、备件更换记录、检测勘验报告、培训演练记录、数据库变更记录等信息的收集、整理和归档，确保信息真实、完整、可追溯。平台上线前，使用采购人认可的电子表格或纸质台账收集；平台上线后，按平台要求录入并归档。</w:t>
      </w:r>
    </w:p>
    <w:p w14:paraId="5DD0CF34">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7、报告提交：投标人应按采购人要求提交日报、周报、月报、季报、年度报告及专项报告。</w:t>
      </w:r>
      <w:r>
        <w:rPr>
          <w:rFonts w:hint="eastAsia" w:ascii="仿宋_GB2312" w:hAnsi="仿宋" w:eastAsia="仿宋_GB2312" w:cs="仿宋"/>
          <w:color w:val="auto"/>
          <w:sz w:val="24"/>
          <w:highlight w:val="none"/>
          <w:shd w:val="clear" w:color="auto" w:fill="FFFFFF"/>
        </w:rPr>
        <w:t>每月维护保养记录表</w:t>
      </w:r>
      <w:r>
        <w:rPr>
          <w:rFonts w:hint="eastAsia" w:ascii="仿宋_GB2312" w:hAnsi="仿宋" w:eastAsia="仿宋_GB2312" w:cs="仿宋"/>
          <w:color w:val="auto"/>
          <w:sz w:val="24"/>
          <w:highlight w:val="none"/>
        </w:rPr>
        <w:t>应于次月5日前提交，</w:t>
      </w:r>
      <w:r>
        <w:rPr>
          <w:rFonts w:hint="eastAsia" w:ascii="仿宋_GB2312" w:hAnsi="仿宋" w:eastAsia="仿宋_GB2312" w:cs="仿宋"/>
          <w:color w:val="auto"/>
          <w:sz w:val="24"/>
          <w:highlight w:val="none"/>
          <w:shd w:val="clear" w:color="auto" w:fill="FFFFFF"/>
        </w:rPr>
        <w:t>且须按建筑逐栋提交，每栋一份。</w:t>
      </w:r>
      <w:r>
        <w:rPr>
          <w:rFonts w:hint="eastAsia" w:ascii="仿宋_GB2312" w:hAnsi="仿宋" w:eastAsia="仿宋_GB2312" w:cs="仿宋"/>
          <w:color w:val="auto"/>
          <w:sz w:val="24"/>
          <w:highlight w:val="none"/>
        </w:rPr>
        <w:t>季度报告应于季度结束后10日内提交，年度报告应于年度结束后15日内提交。故障报告按“故障处置及应急抢修”规定时限提交。所有报告均应加盖投标人公章，并按文件签署要求由技术负责人、项目负责人、驻场维保人员签名或加盖执业印章。平台上线前，报告提交纸质版和电子版；平台上线后，同步上传指定平台。需提交消防救援机构的周期性报告，按照消防救援机构要求执行。</w:t>
      </w:r>
    </w:p>
    <w:p w14:paraId="70B8C4CE">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技术支持：投标人应对采购人指定人员、建筑物责任单位及施工单位提供消防设施日常操作、巡检要点、故障识别、隐患整改、施工配合等技术支持，必要时出具书面技术意见。技术支持应填写《技术支持记录表》并归档；平台上线后，上传指定平台。</w:t>
      </w:r>
    </w:p>
    <w:p w14:paraId="72EC6381">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（九）平台上线后的维保内业管理要求</w:t>
      </w:r>
    </w:p>
    <w:p w14:paraId="113B2F10">
      <w:pPr>
        <w:adjustRightInd w:val="0"/>
        <w:snapToGrid w:val="0"/>
        <w:spacing w:line="312" w:lineRule="auto"/>
        <w:ind w:firstLine="480" w:firstLineChars="200"/>
        <w:jc w:val="left"/>
        <w:outlineLvl w:val="4"/>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1、平台维保功能架构优化与使用授权</w:t>
      </w:r>
    </w:p>
    <w:p w14:paraId="4A4740D7">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采购人已建有消防安全管理平台，服务期内将对平台维护保养功能架构进行优化，通过测试后，授权中标人用于日常维护保养相关工作。维保功能架构优化由采购人委托第三方技术机构实施，优化费用不包含在此次维保服务费内。</w:t>
      </w:r>
    </w:p>
    <w:p w14:paraId="2C559159">
      <w:pPr>
        <w:adjustRightInd w:val="0"/>
        <w:snapToGrid w:val="0"/>
        <w:spacing w:line="312" w:lineRule="auto"/>
        <w:ind w:firstLine="480" w:firstLineChars="200"/>
        <w:jc w:val="left"/>
        <w:outlineLvl w:val="4"/>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xml:space="preserve">2、适用时间 </w:t>
      </w:r>
    </w:p>
    <w:p w14:paraId="53E2EDC4">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平台上线日以采购人书面通知载明的日期为准。自平台上线之日起，中标人应通过采购人指定平台开展维保内业管理。平台上线前，按“维保内业管理”执行；平台上线后，按本条执行。</w:t>
      </w:r>
    </w:p>
    <w:p w14:paraId="4EBC477B">
      <w:pPr>
        <w:adjustRightInd w:val="0"/>
        <w:snapToGrid w:val="0"/>
        <w:spacing w:line="312" w:lineRule="auto"/>
        <w:ind w:firstLine="480" w:firstLineChars="200"/>
        <w:jc w:val="left"/>
        <w:outlineLvl w:val="4"/>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3、过渡期与历史数据补录</w:t>
      </w:r>
    </w:p>
    <w:p w14:paraId="096929D7">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平台上线后30个日历天为双轨过渡期。过渡期内，原纸质、电子表格记录与平台记录并行，以平台数据为准。中标人应在平台上线后30个日历天内，完成已形成的巡检、保养、故障、维修、报告、培训、演练、数据库等历史资料补录；基础数据库历史数据应在60个日历天内完成导入、关联和校验。过渡期结束后，除采购人书面同意外，全部内业管理均通过平台完成。</w:t>
      </w:r>
    </w:p>
    <w:p w14:paraId="4EFD096A">
      <w:pPr>
        <w:adjustRightInd w:val="0"/>
        <w:snapToGrid w:val="0"/>
        <w:spacing w:line="312" w:lineRule="auto"/>
        <w:ind w:firstLine="480" w:firstLineChars="200"/>
        <w:jc w:val="left"/>
        <w:outlineLvl w:val="4"/>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4、计划编制与发布</w:t>
      </w:r>
    </w:p>
    <w:p w14:paraId="2382F9B9">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年度维保总计划、月度维保计划、周巡检计划，均应在平台编制、提交、审批、发布和调整。经采购人确认后执行。未在平台发布或未经采购人确认的计划，不得作为执行和结算依据。</w:t>
      </w:r>
    </w:p>
    <w:p w14:paraId="4EA0C49B">
      <w:pPr>
        <w:adjustRightInd w:val="0"/>
        <w:snapToGrid w:val="0"/>
        <w:spacing w:line="312" w:lineRule="auto"/>
        <w:ind w:firstLine="480" w:firstLineChars="200"/>
        <w:jc w:val="left"/>
        <w:outlineLvl w:val="4"/>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5、任务发布与工单闭环</w:t>
      </w:r>
    </w:p>
    <w:p w14:paraId="6DAF532B">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所有维保、巡检、保养、故障处置、应急抢修、维修、检测、培训、演练等任务，均通过平台派单。驻场人员接单后执行，并上传记录、照片、定位、签字等信息。任务完成后，由采购人或责任单位在平台确认，形成工单闭环。未闭环任务不得计入已完成工作量。</w:t>
      </w:r>
    </w:p>
    <w:p w14:paraId="1CD0A389">
      <w:pPr>
        <w:adjustRightInd w:val="0"/>
        <w:snapToGrid w:val="0"/>
        <w:spacing w:line="312" w:lineRule="auto"/>
        <w:ind w:firstLine="480" w:firstLineChars="200"/>
        <w:jc w:val="left"/>
        <w:outlineLvl w:val="4"/>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6、巡检与保养执行</w:t>
      </w:r>
    </w:p>
    <w:p w14:paraId="13A77A67">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驻场人员应按平台生成的巡检路线、点位、频次和覆盖率执行，通过扫码、NFC、定位、拍照等方式打卡并记录。定期保养应按平台计划执行，上传保养记录、测试数据、影像资料。平台自动生成台账，中标人不得事后补造、篡改。</w:t>
      </w:r>
    </w:p>
    <w:p w14:paraId="5A1939F7">
      <w:pPr>
        <w:adjustRightInd w:val="0"/>
        <w:snapToGrid w:val="0"/>
        <w:spacing w:line="312" w:lineRule="auto"/>
        <w:ind w:firstLine="480" w:firstLineChars="200"/>
        <w:jc w:val="left"/>
        <w:outlineLvl w:val="4"/>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7、故障处置与应急抢修</w:t>
      </w:r>
    </w:p>
    <w:p w14:paraId="2637022C">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故障接报后，内业管理专员应在30分钟内在平台创建工单。紧急、重大故障按“故障处置及应急抢修”时限响应、抵达和修复；修复后2小时内在平台提交初报，24小时内提交书面报告。一般、轻微故障按平台流程闭环。经采购人临时授权实施的应急抢修，应在平台补录授权指令、抢修过程、费用凭证和验收记录。</w:t>
      </w:r>
    </w:p>
    <w:p w14:paraId="4DCAB97A">
      <w:pPr>
        <w:adjustRightInd w:val="0"/>
        <w:snapToGrid w:val="0"/>
        <w:spacing w:line="312" w:lineRule="auto"/>
        <w:ind w:firstLine="480" w:firstLineChars="200"/>
        <w:jc w:val="left"/>
        <w:outlineLvl w:val="4"/>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8、报告提交与签署</w:t>
      </w:r>
    </w:p>
    <w:p w14:paraId="03B85294">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日报、周报、月报、季报、年度报告及专项报告，应通过平台生成或上传，并按第十一条规定时限提交。技术负责人、项目负责人、驻场维保人员应按要求电子签名或上传签章页。平台提交时间以系统记录为准。</w:t>
      </w:r>
    </w:p>
    <w:p w14:paraId="6A841524">
      <w:pPr>
        <w:adjustRightInd w:val="0"/>
        <w:snapToGrid w:val="0"/>
        <w:spacing w:line="312" w:lineRule="auto"/>
        <w:ind w:firstLine="480" w:firstLineChars="200"/>
        <w:jc w:val="left"/>
        <w:outlineLvl w:val="4"/>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9、档案管理</w:t>
      </w:r>
    </w:p>
    <w:p w14:paraId="1B8D0E4B">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平台上线后，维保档案实行电子档案为主、纸质档案为辅。电子档案应与平台“一建筑一档案、一设备一档案”关联；纸质档案应扫描上传。平台数据与纸质档案不一致时，以采购人确认的平台数据为准。合同终止或解除后，应按采购人要求导出、移交平台数据。</w:t>
      </w:r>
    </w:p>
    <w:p w14:paraId="27AA8BBA">
      <w:pPr>
        <w:adjustRightInd w:val="0"/>
        <w:snapToGrid w:val="0"/>
        <w:spacing w:line="312" w:lineRule="auto"/>
        <w:ind w:firstLine="480" w:firstLineChars="200"/>
        <w:jc w:val="left"/>
        <w:outlineLvl w:val="4"/>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10、基础数据库与赋码</w:t>
      </w:r>
    </w:p>
    <w:p w14:paraId="3B01F801">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设备摸排、赋码、二维码、台账、更新日志均应在平台中维护。设备更换、位置调整、新增维保建筑或设备，应在规定时限内更新平台数据并重新赋码。月度维保报告应同步提交平台数据库更新日志。</w:t>
      </w:r>
    </w:p>
    <w:p w14:paraId="2A1D67C0">
      <w:pPr>
        <w:adjustRightInd w:val="0"/>
        <w:snapToGrid w:val="0"/>
        <w:spacing w:line="312" w:lineRule="auto"/>
        <w:ind w:firstLine="480" w:firstLineChars="200"/>
        <w:jc w:val="left"/>
        <w:outlineLvl w:val="4"/>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11、技术支持、培训与演练</w:t>
      </w:r>
    </w:p>
    <w:p w14:paraId="23324D6D">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技术支持记录、培训签到、影像资料、考核记录、演练方案和总结报告，应上传平台并归档。采购人可通过平台查看、统计、导出。</w:t>
      </w:r>
    </w:p>
    <w:p w14:paraId="65091585">
      <w:pPr>
        <w:adjustRightInd w:val="0"/>
        <w:snapToGrid w:val="0"/>
        <w:spacing w:line="312" w:lineRule="auto"/>
        <w:ind w:firstLine="480" w:firstLineChars="200"/>
        <w:jc w:val="left"/>
        <w:outlineLvl w:val="4"/>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12、账号、权限与保密</w:t>
      </w:r>
    </w:p>
    <w:p w14:paraId="769C0E7E">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中标人应指定内业管理专员为平台主要操作人，按采购人要求分配账号和权限，不得共享、转借、泄露。人员变更应在3个工作日内书面报采购人并更换密码。平台数据、图纸、设备清单、监控信息等属于保密信息，适用“保密要求”。</w:t>
      </w:r>
    </w:p>
    <w:p w14:paraId="5669C2A5">
      <w:pPr>
        <w:adjustRightInd w:val="0"/>
        <w:snapToGrid w:val="0"/>
        <w:spacing w:line="312" w:lineRule="auto"/>
        <w:ind w:firstLine="480" w:firstLineChars="200"/>
        <w:jc w:val="left"/>
        <w:outlineLvl w:val="4"/>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13、平台故障或功能未开放</w:t>
      </w:r>
    </w:p>
    <w:p w14:paraId="48548CB3">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因采购人平台故障、功能未开放、系统维护等原因导致无法通过平台操作的，经采购人书面或即时通讯确认后，可临时采用线下方式，并在故障恢复或功能开放后3个工作日内补录。中标人不因此承担违约责任，但仍应保证记录真实、完整、可追溯。</w:t>
      </w:r>
    </w:p>
    <w:p w14:paraId="2515132F">
      <w:pPr>
        <w:adjustRightInd w:val="0"/>
        <w:snapToGrid w:val="0"/>
        <w:spacing w:line="312" w:lineRule="auto"/>
        <w:ind w:firstLine="480" w:firstLineChars="200"/>
        <w:jc w:val="left"/>
        <w:outlineLvl w:val="4"/>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★14、考核与付款</w:t>
      </w:r>
    </w:p>
    <w:p w14:paraId="79767E8F">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平台上线后，采购人以平台数据为主要考核依据。未按时发布计划、未形成工单闭环、未上传记录、未补录历史数据、平台数据与纸质档案严重不一致的，按“维保服务考核办法”扣分。篡改、删除平台数据，或档案、报告、数据库信息弄虚作假的，按一票否决情形处理。付款申请应附平台数据导出表、工单闭环统计表、档案更新清单、数据库更新日志等。</w:t>
      </w:r>
    </w:p>
    <w:p w14:paraId="3D2C8AB6">
      <w:pPr>
        <w:adjustRightInd w:val="0"/>
        <w:snapToGrid w:val="0"/>
        <w:spacing w:line="312" w:lineRule="auto"/>
        <w:ind w:firstLine="480" w:firstLineChars="200"/>
        <w:jc w:val="left"/>
        <w:outlineLvl w:val="4"/>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★15、采购人义务</w:t>
      </w:r>
    </w:p>
    <w:p w14:paraId="05BED1E7">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采购人负责平台账号分配和操作培训，并提前不少于15个日历天书面通知平台上线日。平台功能调整影响中标人操作的，采购人应提前通知并组织培训。</w:t>
      </w:r>
    </w:p>
    <w:p w14:paraId="72DFEAFD">
      <w:pPr>
        <w:adjustRightInd w:val="0"/>
        <w:snapToGrid w:val="0"/>
        <w:spacing w:line="312" w:lineRule="auto"/>
        <w:ind w:firstLine="480" w:firstLineChars="200"/>
        <w:jc w:val="left"/>
        <w:outlineLvl w:val="4"/>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★16、中标人义务</w:t>
      </w:r>
    </w:p>
    <w:p w14:paraId="6071CBA4">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中标人应配合平台需求调研、测试、数据初始化、历史数据迁移和人员培训，确保内业管理专员和驻场维保人员熟练使用平台。平台上线后，不得以未培训、不熟悉等理由拒绝使用平台。</w:t>
      </w:r>
    </w:p>
    <w:p w14:paraId="501A6300">
      <w:pPr>
        <w:adjustRightInd w:val="0"/>
        <w:snapToGrid w:val="0"/>
        <w:spacing w:line="312" w:lineRule="auto"/>
        <w:ind w:firstLine="480" w:firstLineChars="200"/>
        <w:jc w:val="left"/>
        <w:outlineLvl w:val="4"/>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★17、违约责任</w:t>
      </w:r>
    </w:p>
    <w:p w14:paraId="0F652998">
      <w:pPr>
        <w:adjustRightInd w:val="0"/>
        <w:snapToGrid w:val="0"/>
        <w:spacing w:line="312" w:lineRule="auto"/>
        <w:ind w:firstLine="480" w:firstLineChars="200"/>
        <w:jc w:val="left"/>
        <w:rPr>
          <w:rFonts w:ascii="仿宋_GB2312" w:hAnsi="宋体" w:eastAsia="仿宋_GB2312" w:cs="宋体"/>
          <w:color w:val="auto"/>
          <w:sz w:val="24"/>
          <w:highlight w:val="none"/>
        </w:rPr>
      </w:pPr>
      <w:r>
        <w:rPr>
          <w:rFonts w:hint="eastAsia" w:ascii="仿宋_GB2312" w:hAnsi="仿宋" w:eastAsia="仿宋_GB2312" w:cs="仿宋"/>
          <w:color w:val="auto"/>
          <w:sz w:val="24"/>
          <w:highlight w:val="none"/>
        </w:rPr>
        <w:t>中标人未按本条使用平台、补录数据、维护档案或更新数据库的，采购人有权发出书面警告、扣减服务费，情节严重的可解除合同。因中标人原因导致平台数据丢失、篡改、泄露的，应承担赔偿责任；因采购人平台自身技术故障、系统升级、服务器异常等原因导致数据丢失、损坏或无法访问的，中标人不承担违约责任。中标人应及时配合采购人恢复数据，采购人应提供必要的技术支持。</w:t>
      </w:r>
    </w:p>
    <w:p w14:paraId="17377592">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（十）日常维保与巡检执行</w:t>
      </w:r>
      <w:bookmarkEnd w:id="30"/>
    </w:p>
    <w:p w14:paraId="469170AB">
      <w:pPr>
        <w:adjustRightInd w:val="0"/>
        <w:snapToGrid w:val="0"/>
        <w:spacing w:line="312" w:lineRule="auto"/>
        <w:ind w:firstLine="42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w:t>
      </w:r>
      <w:r>
        <w:rPr>
          <w:rFonts w:hint="eastAsia" w:ascii="仿宋_GB2312" w:hAnsi="仿宋" w:eastAsia="仿宋_GB2312" w:cs="仿宋"/>
          <w:color w:val="auto"/>
          <w:sz w:val="24"/>
          <w:highlight w:val="none"/>
        </w:rPr>
        <w:t>1、维保执行标准：投标人应严格按照国家标准、行业标准规定的工艺、流程、频次要求开展维护保养检测，保证经维护保养的建筑消防设施设备符合国家标准、行业标准，并能通过采购人及各级人民政府消防救援机构的检查。如因投标人维保不力，且该不力行为系火灾事故发生的直接原因之一，导致在火灾事故发生时维保范围内消防设施设备不能发挥相应作用，造成人身财产损失的，由投标人依法承担相应的法律责任。</w:t>
      </w:r>
    </w:p>
    <w:p w14:paraId="023D7448">
      <w:pPr>
        <w:adjustRightInd w:val="0"/>
        <w:snapToGrid w:val="0"/>
        <w:spacing w:line="312" w:lineRule="auto"/>
        <w:ind w:firstLine="42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★2、日常巡检：</w:t>
      </w:r>
      <w:r>
        <w:rPr>
          <w:rFonts w:hint="eastAsia" w:ascii="仿宋_GB2312" w:hAnsi="仿宋" w:eastAsia="仿宋_GB2312" w:cs="仿宋"/>
          <w:color w:val="auto"/>
          <w:sz w:val="24"/>
          <w:highlight w:val="none"/>
          <w:shd w:val="clear" w:color="auto" w:fill="FFFFFF"/>
        </w:rPr>
        <w:t>驻场维保人员应按照内业管理专员编制的巡检计划，对维保范围内消防设施设备进行日常巡检，并做好巡检记录，该记录须驻场维保人员及责任单位（若有）或建筑物值班人员签字。平台上线前，巡检记录可采用纸质或电子表格；平台上线后，驻场人员应通过平台接单、执行、上传记录、照片和定位信息。平台上线前形成的巡检记录，应在平台上线后30个日历天内补录。</w:t>
      </w:r>
    </w:p>
    <w:p w14:paraId="6CFAB11E">
      <w:pPr>
        <w:adjustRightInd w:val="0"/>
        <w:snapToGrid w:val="0"/>
        <w:spacing w:line="312" w:lineRule="auto"/>
        <w:ind w:firstLine="42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★3、定期维护保养：投标人应严格按照“维保周期要求”中规定的周期开展维护保养工作，并出具相应周期的维保报告。</w:t>
      </w:r>
      <w:r>
        <w:rPr>
          <w:rFonts w:hint="eastAsia" w:ascii="仿宋_GB2312" w:hAnsi="仿宋" w:eastAsia="仿宋_GB2312" w:cs="仿宋"/>
          <w:color w:val="auto"/>
          <w:sz w:val="24"/>
          <w:highlight w:val="none"/>
          <w:shd w:val="clear" w:color="auto" w:fill="FFFFFF"/>
        </w:rPr>
        <w:t>平台上线后，保养记录应上传指定平台。每月维护保养记录表须按建筑逐栋编制，每栋建筑单独一份，不得合并编制，记录表按照消防救援机构要求进行编制。</w:t>
      </w:r>
    </w:p>
    <w:p w14:paraId="76BF626D">
      <w:pPr>
        <w:adjustRightInd w:val="0"/>
        <w:snapToGrid w:val="0"/>
        <w:spacing w:line="312" w:lineRule="auto"/>
        <w:ind w:firstLine="42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书面结论文件：投标人出具的各类型书面结论必须真实、客观、完整。所有上报文件均须加盖投标人公章，技术负责人、项目负责人、驻场维保人员应按照文件签署相关要求，视情况签名或（和）加盖执业印章。</w:t>
      </w:r>
    </w:p>
    <w:p w14:paraId="7BB473FD">
      <w:pPr>
        <w:adjustRightInd w:val="0"/>
        <w:snapToGrid w:val="0"/>
        <w:spacing w:line="312" w:lineRule="auto"/>
        <w:ind w:firstLine="42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重大活动及节日前检查：遇学校举行重大活动或重要法定节日，投标人应提前3天对采购人指定的相关建筑消防设施进行专项检查，检查内容至少包括：火灾自动报警系统运行状态、消防水系统压力、疏散指示及应急照明功能、灭火器材配备情况，并向学校消防安全管理部门出具《活动前期消防检查报告》或《（法定节日）前消防检查报告》。</w:t>
      </w:r>
      <w:r>
        <w:rPr>
          <w:rFonts w:hint="eastAsia" w:ascii="仿宋_GB2312" w:hAnsi="仿宋" w:eastAsia="仿宋_GB2312" w:cs="仿宋"/>
          <w:color w:val="auto"/>
          <w:sz w:val="24"/>
          <w:highlight w:val="none"/>
          <w:shd w:val="clear" w:color="auto" w:fill="FFFFFF"/>
        </w:rPr>
        <w:t>检查报告由内业管理专员归档；平台上线后上传平台。</w:t>
      </w:r>
    </w:p>
    <w:p w14:paraId="5F74EA6E">
      <w:pPr>
        <w:adjustRightInd w:val="0"/>
        <w:snapToGrid w:val="0"/>
        <w:spacing w:line="312" w:lineRule="auto"/>
        <w:ind w:firstLine="42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★6、向消防救援机构提交报告：投标人应按照国家标准、行业标准及当地消防救援机构要求，向校区所属消防救援机构提交周期性检查报告。</w:t>
      </w:r>
      <w:r>
        <w:rPr>
          <w:rFonts w:hint="eastAsia" w:ascii="仿宋_GB2312" w:hAnsi="仿宋" w:eastAsia="仿宋_GB2312" w:cs="仿宋"/>
          <w:color w:val="auto"/>
          <w:sz w:val="24"/>
          <w:highlight w:val="none"/>
          <w:shd w:val="clear" w:color="auto" w:fill="FFFFFF"/>
        </w:rPr>
        <w:t>内业管理专员留存归档。</w:t>
      </w:r>
    </w:p>
    <w:p w14:paraId="641B6B0F">
      <w:pPr>
        <w:adjustRightInd w:val="0"/>
        <w:snapToGrid w:val="0"/>
        <w:spacing w:line="312" w:lineRule="auto"/>
        <w:ind w:firstLine="420"/>
        <w:jc w:val="left"/>
        <w:outlineLvl w:val="3"/>
        <w:rPr>
          <w:rFonts w:ascii="仿宋_GB2312" w:hAnsi="宋体" w:eastAsia="仿宋_GB2312" w:cs="宋体"/>
          <w:color w:val="auto"/>
          <w:sz w:val="24"/>
          <w:highlight w:val="none"/>
        </w:rPr>
      </w:pPr>
      <w:r>
        <w:rPr>
          <w:rFonts w:hint="eastAsia" w:ascii="仿宋_GB2312" w:hAnsi="仿宋" w:eastAsia="仿宋_GB2312" w:cs="仿宋"/>
          <w:color w:val="auto"/>
          <w:sz w:val="24"/>
          <w:highlight w:val="none"/>
        </w:rPr>
        <w:t>★7、维保档案移交：投标人应于项目结束后3个工作日内，将全部纸质版与电子版维保档案移交采购人。</w:t>
      </w:r>
      <w:bookmarkStart w:id="31" w:name="heading_29"/>
    </w:p>
    <w:p w14:paraId="633092AE">
      <w:pPr>
        <w:adjustRightInd w:val="0"/>
        <w:snapToGrid w:val="0"/>
        <w:spacing w:line="312" w:lineRule="auto"/>
        <w:ind w:firstLine="480" w:firstLineChars="200"/>
        <w:jc w:val="left"/>
        <w:outlineLvl w:val="2"/>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shd w:val="clear" w:color="auto" w:fill="FFFFFF"/>
        </w:rPr>
        <w:t>（十一）故障处置及应急抢修</w:t>
      </w:r>
    </w:p>
    <w:p w14:paraId="7243AAF8">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1、故障</w:t>
      </w:r>
      <w:bookmarkEnd w:id="31"/>
      <w:r>
        <w:rPr>
          <w:rFonts w:hint="eastAsia" w:ascii="仿宋_GB2312" w:hAnsi="仿宋" w:eastAsia="仿宋_GB2312" w:cs="仿宋"/>
          <w:color w:val="auto"/>
          <w:sz w:val="24"/>
          <w:highlight w:val="none"/>
        </w:rPr>
        <w:t>分级与响应标准</w:t>
      </w:r>
    </w:p>
    <w:p w14:paraId="347D3D46">
      <w:pPr>
        <w:adjustRightInd w:val="0"/>
        <w:snapToGrid w:val="0"/>
        <w:spacing w:line="312" w:lineRule="auto"/>
        <w:ind w:firstLine="480" w:firstLineChars="200"/>
        <w:jc w:val="left"/>
        <w:outlineLvl w:val="4"/>
        <w:rPr>
          <w:rFonts w:ascii="仿宋_GB2312" w:hAnsi="仿宋" w:eastAsia="仿宋_GB2312" w:cs="仿宋"/>
          <w:color w:val="auto"/>
          <w:sz w:val="24"/>
          <w:highlight w:val="none"/>
        </w:rPr>
      </w:pPr>
      <w:bookmarkStart w:id="32" w:name="heading_30"/>
      <w:r>
        <w:rPr>
          <w:rFonts w:hint="eastAsia" w:ascii="仿宋_GB2312" w:hAnsi="仿宋" w:eastAsia="仿宋_GB2312" w:cs="仿宋"/>
          <w:color w:val="auto"/>
          <w:sz w:val="24"/>
          <w:highlight w:val="none"/>
        </w:rPr>
        <w:t>（1）术语定义</w:t>
      </w:r>
      <w:bookmarkEnd w:id="32"/>
    </w:p>
    <w:p w14:paraId="3B3E5F4E">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1）抵达现场：指维保人员物理到达故障设备所在具体楼层/房间/部位。</w:t>
      </w:r>
    </w:p>
    <w:p w14:paraId="5DFD4DEC">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2）常用部件：指投标人参考“常用备件参考清单”，在中标后签订合同之前提交并经双方核定的“常用备件清单”中所列部件。</w:t>
      </w:r>
    </w:p>
    <w:p w14:paraId="3FD3BB22">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3）响应：指通过电话、远程指令或到场等方式对故障作出处置应答。</w:t>
      </w:r>
    </w:p>
    <w:p w14:paraId="55FCC072">
      <w:pPr>
        <w:adjustRightInd w:val="0"/>
        <w:snapToGrid w:val="0"/>
        <w:spacing w:line="312" w:lineRule="auto"/>
        <w:ind w:firstLine="480" w:firstLineChars="200"/>
        <w:jc w:val="left"/>
        <w:outlineLvl w:val="4"/>
        <w:rPr>
          <w:rFonts w:ascii="仿宋_GB2312" w:hAnsi="仿宋" w:eastAsia="仿宋_GB2312" w:cs="仿宋"/>
          <w:color w:val="auto"/>
          <w:sz w:val="24"/>
          <w:highlight w:val="none"/>
        </w:rPr>
      </w:pPr>
      <w:bookmarkStart w:id="33" w:name="heading_31"/>
      <w:r>
        <w:rPr>
          <w:rFonts w:hint="eastAsia" w:ascii="仿宋_GB2312" w:hAnsi="仿宋" w:eastAsia="仿宋_GB2312" w:cs="仿宋"/>
          <w:color w:val="auto"/>
          <w:sz w:val="24"/>
          <w:highlight w:val="none"/>
        </w:rPr>
        <w:t>（2）故障分级与响应时效</w:t>
      </w:r>
      <w:bookmarkEnd w:id="33"/>
    </w:p>
    <w:p w14:paraId="0EA1FD34">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w:t>
      </w:r>
      <w:r>
        <w:rPr>
          <w:rFonts w:hint="eastAsia" w:ascii="仿宋_GB2312" w:hAnsi="仿宋" w:eastAsia="仿宋_GB2312" w:cs="仿宋"/>
          <w:color w:val="auto"/>
          <w:sz w:val="24"/>
          <w:highlight w:val="none"/>
        </w:rPr>
        <w:t>1）投标人须建立消防设施故障分级标准，并按照下表规定的时效进行响应与处置：</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337"/>
        <w:gridCol w:w="2683"/>
        <w:gridCol w:w="2190"/>
        <w:gridCol w:w="2796"/>
      </w:tblGrid>
      <w:tr w14:paraId="32D83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337" w:type="dxa"/>
            <w:tcMar>
              <w:top w:w="60" w:type="dxa"/>
              <w:left w:w="120" w:type="dxa"/>
              <w:bottom w:w="30" w:type="dxa"/>
              <w:right w:w="120" w:type="dxa"/>
            </w:tcMar>
          </w:tcPr>
          <w:p w14:paraId="3E5F4326">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等级</w:t>
            </w:r>
          </w:p>
        </w:tc>
        <w:tc>
          <w:tcPr>
            <w:tcW w:w="2683" w:type="dxa"/>
            <w:tcMar>
              <w:top w:w="60" w:type="dxa"/>
              <w:left w:w="120" w:type="dxa"/>
              <w:bottom w:w="30" w:type="dxa"/>
              <w:right w:w="120" w:type="dxa"/>
            </w:tcMar>
          </w:tcPr>
          <w:p w14:paraId="1404A7BD">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定义</w:t>
            </w:r>
          </w:p>
        </w:tc>
        <w:tc>
          <w:tcPr>
            <w:tcW w:w="2190" w:type="dxa"/>
            <w:tcMar>
              <w:top w:w="60" w:type="dxa"/>
              <w:left w:w="120" w:type="dxa"/>
              <w:bottom w:w="30" w:type="dxa"/>
              <w:right w:w="120" w:type="dxa"/>
            </w:tcMar>
          </w:tcPr>
          <w:p w14:paraId="516977A2">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响应及抵达时限</w:t>
            </w:r>
          </w:p>
        </w:tc>
        <w:tc>
          <w:tcPr>
            <w:tcW w:w="2796" w:type="dxa"/>
            <w:tcMar>
              <w:top w:w="60" w:type="dxa"/>
              <w:left w:w="120" w:type="dxa"/>
              <w:bottom w:w="30" w:type="dxa"/>
              <w:right w:w="120" w:type="dxa"/>
            </w:tcMar>
          </w:tcPr>
          <w:p w14:paraId="14FFAE9C">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修复时限</w:t>
            </w:r>
          </w:p>
        </w:tc>
      </w:tr>
      <w:tr w14:paraId="3E6EB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337" w:type="dxa"/>
            <w:tcMar>
              <w:top w:w="60" w:type="dxa"/>
              <w:left w:w="120" w:type="dxa"/>
              <w:bottom w:w="30" w:type="dxa"/>
              <w:right w:w="120" w:type="dxa"/>
            </w:tcMar>
          </w:tcPr>
          <w:p w14:paraId="0258A40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紧急故障</w:t>
            </w:r>
          </w:p>
        </w:tc>
        <w:tc>
          <w:tcPr>
            <w:tcW w:w="2683" w:type="dxa"/>
            <w:tcMar>
              <w:top w:w="60" w:type="dxa"/>
              <w:left w:w="120" w:type="dxa"/>
              <w:bottom w:w="30" w:type="dxa"/>
              <w:right w:w="120" w:type="dxa"/>
            </w:tcMar>
          </w:tcPr>
          <w:p w14:paraId="3FE28F4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导致消防系统整体或主要功能失效，须立即处置的；符合“应急抢修启动条件”所列情形之一的</w:t>
            </w:r>
          </w:p>
        </w:tc>
        <w:tc>
          <w:tcPr>
            <w:tcW w:w="2190" w:type="dxa"/>
            <w:tcMar>
              <w:top w:w="60" w:type="dxa"/>
              <w:left w:w="120" w:type="dxa"/>
              <w:bottom w:w="30" w:type="dxa"/>
              <w:right w:w="120" w:type="dxa"/>
            </w:tcMar>
          </w:tcPr>
          <w:p w14:paraId="6055200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驻场时段：10分钟内抵达；非驻场时段：</w:t>
            </w:r>
            <w:r>
              <w:rPr>
                <w:rFonts w:ascii="仿宋_GB2312" w:hAnsi="仿宋" w:eastAsia="仿宋_GB2312" w:cs="仿宋"/>
                <w:color w:val="auto"/>
                <w:sz w:val="24"/>
                <w:highlight w:val="none"/>
              </w:rPr>
              <w:t>1</w:t>
            </w:r>
            <w:r>
              <w:rPr>
                <w:rFonts w:hint="eastAsia" w:ascii="仿宋_GB2312" w:hAnsi="仿宋" w:eastAsia="仿宋_GB2312" w:cs="仿宋"/>
                <w:color w:val="auto"/>
                <w:sz w:val="24"/>
                <w:highlight w:val="none"/>
              </w:rPr>
              <w:t>小时内抵达现场</w:t>
            </w:r>
          </w:p>
        </w:tc>
        <w:tc>
          <w:tcPr>
            <w:tcW w:w="2796" w:type="dxa"/>
            <w:tcMar>
              <w:top w:w="60" w:type="dxa"/>
              <w:left w:w="120" w:type="dxa"/>
              <w:bottom w:w="30" w:type="dxa"/>
              <w:right w:w="120" w:type="dxa"/>
            </w:tcMar>
          </w:tcPr>
          <w:p w14:paraId="3CE81AC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4小时内恢复系统主要功能；需更换大额零部件的，经采购人确认后可适当延长</w:t>
            </w:r>
          </w:p>
        </w:tc>
      </w:tr>
      <w:tr w14:paraId="29C77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337" w:type="dxa"/>
            <w:tcMar>
              <w:top w:w="60" w:type="dxa"/>
              <w:left w:w="120" w:type="dxa"/>
              <w:bottom w:w="30" w:type="dxa"/>
              <w:right w:w="120" w:type="dxa"/>
            </w:tcMar>
          </w:tcPr>
          <w:p w14:paraId="4AA9632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重大故障</w:t>
            </w:r>
          </w:p>
        </w:tc>
        <w:tc>
          <w:tcPr>
            <w:tcW w:w="2683" w:type="dxa"/>
            <w:tcMar>
              <w:top w:w="60" w:type="dxa"/>
              <w:left w:w="120" w:type="dxa"/>
              <w:bottom w:w="30" w:type="dxa"/>
              <w:right w:w="120" w:type="dxa"/>
            </w:tcMar>
          </w:tcPr>
          <w:p w14:paraId="0339341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导致某个防火分区或重要功能失效，影响范围较大</w:t>
            </w:r>
          </w:p>
        </w:tc>
        <w:tc>
          <w:tcPr>
            <w:tcW w:w="2190" w:type="dxa"/>
            <w:tcMar>
              <w:top w:w="60" w:type="dxa"/>
              <w:left w:w="120" w:type="dxa"/>
              <w:bottom w:w="30" w:type="dxa"/>
              <w:right w:w="120" w:type="dxa"/>
            </w:tcMar>
          </w:tcPr>
          <w:p w14:paraId="46FDB29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驻场时段：10分钟内抵达；非驻场时段：2小时内抵达现场</w:t>
            </w:r>
          </w:p>
        </w:tc>
        <w:tc>
          <w:tcPr>
            <w:tcW w:w="2796" w:type="dxa"/>
            <w:tcMar>
              <w:top w:w="60" w:type="dxa"/>
              <w:left w:w="120" w:type="dxa"/>
              <w:bottom w:w="30" w:type="dxa"/>
              <w:right w:w="120" w:type="dxa"/>
            </w:tcMar>
          </w:tcPr>
          <w:p w14:paraId="5726808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24小时内完成修复；需更换非常用部件或返厂维修的，经采购人书面确认后可适当延长</w:t>
            </w:r>
          </w:p>
        </w:tc>
      </w:tr>
      <w:tr w14:paraId="21844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337" w:type="dxa"/>
            <w:tcMar>
              <w:top w:w="60" w:type="dxa"/>
              <w:left w:w="120" w:type="dxa"/>
              <w:bottom w:w="30" w:type="dxa"/>
              <w:right w:w="120" w:type="dxa"/>
            </w:tcMar>
          </w:tcPr>
          <w:p w14:paraId="133F0D0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一般故障</w:t>
            </w:r>
          </w:p>
        </w:tc>
        <w:tc>
          <w:tcPr>
            <w:tcW w:w="2683" w:type="dxa"/>
            <w:tcMar>
              <w:top w:w="60" w:type="dxa"/>
              <w:left w:w="120" w:type="dxa"/>
              <w:bottom w:w="30" w:type="dxa"/>
              <w:right w:w="120" w:type="dxa"/>
            </w:tcMar>
          </w:tcPr>
          <w:p w14:paraId="21CC997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单个设备失灵/损坏，不影响系统整体运行</w:t>
            </w:r>
          </w:p>
        </w:tc>
        <w:tc>
          <w:tcPr>
            <w:tcW w:w="2190" w:type="dxa"/>
            <w:tcMar>
              <w:top w:w="60" w:type="dxa"/>
              <w:left w:w="120" w:type="dxa"/>
              <w:bottom w:w="30" w:type="dxa"/>
              <w:right w:w="120" w:type="dxa"/>
            </w:tcMar>
          </w:tcPr>
          <w:p w14:paraId="46EFF30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驻场时段：10分钟内抵达；非驻场时段：</w:t>
            </w:r>
            <w:r>
              <w:rPr>
                <w:rFonts w:ascii="仿宋_GB2312" w:hAnsi="仿宋" w:eastAsia="仿宋_GB2312" w:cs="仿宋"/>
                <w:color w:val="auto"/>
                <w:sz w:val="24"/>
                <w:highlight w:val="none"/>
              </w:rPr>
              <w:t>21</w:t>
            </w:r>
            <w:r>
              <w:rPr>
                <w:rFonts w:hint="eastAsia" w:ascii="仿宋_GB2312" w:hAnsi="仿宋" w:eastAsia="仿宋_GB2312" w:cs="仿宋"/>
                <w:color w:val="auto"/>
                <w:sz w:val="24"/>
                <w:highlight w:val="none"/>
              </w:rPr>
              <w:t>：</w:t>
            </w:r>
            <w:r>
              <w:rPr>
                <w:rFonts w:ascii="仿宋_GB2312" w:hAnsi="仿宋" w:eastAsia="仿宋_GB2312" w:cs="仿宋"/>
                <w:color w:val="auto"/>
                <w:sz w:val="24"/>
                <w:highlight w:val="none"/>
              </w:rPr>
              <w:t>00</w:t>
            </w:r>
            <w:r>
              <w:rPr>
                <w:rFonts w:hint="eastAsia" w:ascii="仿宋_GB2312" w:hAnsi="仿宋" w:eastAsia="仿宋_GB2312" w:cs="仿宋"/>
                <w:color w:val="auto"/>
                <w:sz w:val="24"/>
                <w:highlight w:val="none"/>
              </w:rPr>
              <w:t>前，</w:t>
            </w:r>
            <w:r>
              <w:rPr>
                <w:rFonts w:ascii="仿宋_GB2312" w:hAnsi="仿宋" w:eastAsia="仿宋_GB2312" w:cs="仿宋"/>
                <w:color w:val="auto"/>
                <w:sz w:val="24"/>
                <w:highlight w:val="none"/>
              </w:rPr>
              <w:t>2</w:t>
            </w:r>
            <w:r>
              <w:rPr>
                <w:rFonts w:hint="eastAsia" w:ascii="仿宋_GB2312" w:hAnsi="仿宋" w:eastAsia="仿宋_GB2312" w:cs="仿宋"/>
                <w:color w:val="auto"/>
                <w:sz w:val="24"/>
                <w:highlight w:val="none"/>
              </w:rPr>
              <w:t>小时内抵达现场，</w:t>
            </w:r>
            <w:r>
              <w:rPr>
                <w:rFonts w:ascii="仿宋_GB2312" w:hAnsi="仿宋" w:eastAsia="仿宋_GB2312" w:cs="仿宋"/>
                <w:color w:val="auto"/>
                <w:sz w:val="24"/>
                <w:highlight w:val="none"/>
              </w:rPr>
              <w:t>21</w:t>
            </w:r>
            <w:r>
              <w:rPr>
                <w:rFonts w:hint="eastAsia" w:ascii="仿宋_GB2312" w:hAnsi="仿宋" w:eastAsia="仿宋_GB2312" w:cs="仿宋"/>
                <w:color w:val="auto"/>
                <w:sz w:val="24"/>
                <w:highlight w:val="none"/>
              </w:rPr>
              <w:t>：</w:t>
            </w:r>
            <w:r>
              <w:rPr>
                <w:rFonts w:ascii="仿宋_GB2312" w:hAnsi="仿宋" w:eastAsia="仿宋_GB2312" w:cs="仿宋"/>
                <w:color w:val="auto"/>
                <w:sz w:val="24"/>
                <w:highlight w:val="none"/>
              </w:rPr>
              <w:t>00</w:t>
            </w:r>
            <w:r>
              <w:rPr>
                <w:rFonts w:hint="eastAsia" w:ascii="仿宋_GB2312" w:hAnsi="仿宋" w:eastAsia="仿宋_GB2312" w:cs="仿宋"/>
                <w:color w:val="auto"/>
                <w:sz w:val="24"/>
                <w:highlight w:val="none"/>
              </w:rPr>
              <w:t>后第二天</w:t>
            </w:r>
            <w:r>
              <w:rPr>
                <w:rFonts w:ascii="仿宋_GB2312" w:hAnsi="仿宋" w:eastAsia="仿宋_GB2312" w:cs="仿宋"/>
                <w:color w:val="auto"/>
                <w:sz w:val="24"/>
                <w:highlight w:val="none"/>
              </w:rPr>
              <w:t>09</w:t>
            </w:r>
            <w:r>
              <w:rPr>
                <w:rFonts w:hint="eastAsia" w:ascii="仿宋_GB2312" w:hAnsi="仿宋" w:eastAsia="仿宋_GB2312" w:cs="仿宋"/>
                <w:color w:val="auto"/>
                <w:sz w:val="24"/>
                <w:highlight w:val="none"/>
              </w:rPr>
              <w:t>：</w:t>
            </w:r>
            <w:r>
              <w:rPr>
                <w:rFonts w:ascii="仿宋_GB2312" w:hAnsi="仿宋" w:eastAsia="仿宋_GB2312" w:cs="仿宋"/>
                <w:color w:val="auto"/>
                <w:sz w:val="24"/>
                <w:highlight w:val="none"/>
              </w:rPr>
              <w:t>00</w:t>
            </w:r>
            <w:r>
              <w:rPr>
                <w:rFonts w:hint="eastAsia" w:ascii="仿宋_GB2312" w:hAnsi="仿宋" w:eastAsia="仿宋_GB2312" w:cs="仿宋"/>
                <w:color w:val="auto"/>
                <w:sz w:val="24"/>
                <w:highlight w:val="none"/>
              </w:rPr>
              <w:t>前抵达现场。</w:t>
            </w:r>
          </w:p>
        </w:tc>
        <w:tc>
          <w:tcPr>
            <w:tcW w:w="2796" w:type="dxa"/>
            <w:tcMar>
              <w:top w:w="60" w:type="dxa"/>
              <w:left w:w="120" w:type="dxa"/>
              <w:bottom w:w="30" w:type="dxa"/>
              <w:right w:w="120" w:type="dxa"/>
            </w:tcMar>
          </w:tcPr>
          <w:p w14:paraId="3F521A2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基础故障</w:t>
            </w:r>
            <w:r>
              <w:rPr>
                <w:rFonts w:ascii="仿宋_GB2312" w:hAnsi="仿宋" w:eastAsia="仿宋_GB2312" w:cs="仿宋"/>
                <w:color w:val="auto"/>
                <w:sz w:val="24"/>
                <w:highlight w:val="none"/>
              </w:rPr>
              <w:t>6</w:t>
            </w:r>
            <w:r>
              <w:rPr>
                <w:rFonts w:hint="eastAsia" w:ascii="仿宋_GB2312" w:hAnsi="仿宋" w:eastAsia="仿宋_GB2312" w:cs="仿宋"/>
                <w:color w:val="auto"/>
                <w:sz w:val="24"/>
                <w:highlight w:val="none"/>
              </w:rPr>
              <w:t>小时内修复；简单部件更换24小时内完成</w:t>
            </w:r>
          </w:p>
        </w:tc>
      </w:tr>
      <w:tr w14:paraId="3636E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337" w:type="dxa"/>
            <w:tcMar>
              <w:top w:w="60" w:type="dxa"/>
              <w:left w:w="120" w:type="dxa"/>
              <w:bottom w:w="30" w:type="dxa"/>
              <w:right w:w="120" w:type="dxa"/>
            </w:tcMar>
          </w:tcPr>
          <w:p w14:paraId="065DC25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轻微故障</w:t>
            </w:r>
          </w:p>
        </w:tc>
        <w:tc>
          <w:tcPr>
            <w:tcW w:w="2683" w:type="dxa"/>
            <w:tcMar>
              <w:top w:w="60" w:type="dxa"/>
              <w:left w:w="120" w:type="dxa"/>
              <w:bottom w:w="30" w:type="dxa"/>
              <w:right w:w="120" w:type="dxa"/>
            </w:tcMar>
          </w:tcPr>
          <w:p w14:paraId="69AB9F4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单个设备临时性异常或参数波动，设备无物理损坏</w:t>
            </w:r>
          </w:p>
        </w:tc>
        <w:tc>
          <w:tcPr>
            <w:tcW w:w="2190" w:type="dxa"/>
            <w:tcMar>
              <w:top w:w="60" w:type="dxa"/>
              <w:left w:w="120" w:type="dxa"/>
              <w:bottom w:w="30" w:type="dxa"/>
              <w:right w:w="120" w:type="dxa"/>
            </w:tcMar>
          </w:tcPr>
          <w:p w14:paraId="39FB6DC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驻场时段：10分钟内远程响应；</w:t>
            </w:r>
            <w:r>
              <w:rPr>
                <w:rFonts w:ascii="仿宋_GB2312" w:hAnsi="仿宋" w:eastAsia="仿宋_GB2312" w:cs="仿宋"/>
                <w:color w:val="auto"/>
                <w:sz w:val="24"/>
                <w:highlight w:val="none"/>
              </w:rPr>
              <w:t>非驻场时段：21：00前，2小时内抵达现场，21：00后第二天09：00前抵达现场。</w:t>
            </w:r>
          </w:p>
        </w:tc>
        <w:tc>
          <w:tcPr>
            <w:tcW w:w="2796" w:type="dxa"/>
            <w:tcMar>
              <w:top w:w="60" w:type="dxa"/>
              <w:left w:w="120" w:type="dxa"/>
              <w:bottom w:w="30" w:type="dxa"/>
              <w:right w:w="120" w:type="dxa"/>
            </w:tcMar>
          </w:tcPr>
          <w:p w14:paraId="7C7BFD96">
            <w:pPr>
              <w:adjustRightInd w:val="0"/>
              <w:snapToGrid w:val="0"/>
              <w:spacing w:line="312" w:lineRule="auto"/>
              <w:jc w:val="left"/>
              <w:rPr>
                <w:rFonts w:ascii="仿宋_GB2312" w:hAnsi="仿宋" w:eastAsia="仿宋_GB2312" w:cs="仿宋"/>
                <w:color w:val="auto"/>
                <w:sz w:val="24"/>
                <w:highlight w:val="none"/>
              </w:rPr>
            </w:pPr>
            <w:r>
              <w:rPr>
                <w:rFonts w:ascii="仿宋_GB2312" w:hAnsi="仿宋" w:eastAsia="仿宋_GB2312" w:cs="仿宋"/>
                <w:color w:val="auto"/>
                <w:sz w:val="24"/>
                <w:highlight w:val="none"/>
              </w:rPr>
              <w:t>基础故障3小时内修复；简单部件更换24小时内完成</w:t>
            </w:r>
          </w:p>
        </w:tc>
      </w:tr>
    </w:tbl>
    <w:p w14:paraId="2DFB6312">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2）</w:t>
      </w:r>
      <w:r>
        <w:rPr>
          <w:rFonts w:hint="eastAsia" w:ascii="仿宋_GB2312" w:hAnsi="仿宋" w:eastAsia="仿宋_GB2312" w:cs="仿宋"/>
          <w:color w:val="auto"/>
          <w:sz w:val="24"/>
          <w:highlight w:val="none"/>
        </w:rPr>
        <w:t>投标人须在非驻场时段安排后方技术支持团队值班，确保7×24小时值班响应电话畅通。</w:t>
      </w:r>
    </w:p>
    <w:p w14:paraId="43856D9E">
      <w:pPr>
        <w:adjustRightInd w:val="0"/>
        <w:snapToGrid w:val="0"/>
        <w:spacing w:line="312" w:lineRule="auto"/>
        <w:ind w:firstLine="480" w:firstLineChars="200"/>
        <w:jc w:val="left"/>
        <w:outlineLvl w:val="4"/>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w:t>
      </w:r>
      <w:r>
        <w:rPr>
          <w:rFonts w:hint="eastAsia" w:ascii="仿宋_GB2312" w:hAnsi="仿宋" w:eastAsia="仿宋_GB2312" w:cs="仿宋"/>
          <w:color w:val="auto"/>
          <w:sz w:val="24"/>
          <w:highlight w:val="none"/>
          <w:shd w:val="clear" w:color="auto" w:fill="FFFFFF"/>
        </w:rPr>
        <w:t>故障处置一般规则</w:t>
      </w:r>
    </w:p>
    <w:p w14:paraId="1F2DF764">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1）次一级故障达到上一级故障标准后，须提级处理，即故障的响应时效、修复时限及报告对象均按上一级故障标准执行。</w:t>
      </w:r>
    </w:p>
    <w:p w14:paraId="7583B525">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2）超出修复时限仍未修复的，投标人应书面通知采购人，说明超时原因及补救措施，同时增加临时安全防范力量。</w:t>
      </w:r>
    </w:p>
    <w:p w14:paraId="4956AC4B">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3）同一设备在季度内出现3次及以上重复故障的，应启动专项质量审查，查找根本原因。</w:t>
      </w:r>
    </w:p>
    <w:p w14:paraId="33A4264E">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4）常用部件更换须在24小时内完成；非常用部件在非紧急情况下更换不超过72小时；在非紧急情况下需原厂提供配件的，应在5个工作日内完成更换。</w:t>
      </w:r>
    </w:p>
    <w:p w14:paraId="317803AF">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2、应急抢修的认定、启动与实施</w:t>
      </w:r>
    </w:p>
    <w:p w14:paraId="3CAAC9C8">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bookmarkStart w:id="34" w:name="heading_32"/>
      <w:r>
        <w:rPr>
          <w:rFonts w:hint="eastAsia" w:ascii="仿宋_GB2312" w:hAnsi="仿宋" w:eastAsia="仿宋_GB2312" w:cs="仿宋"/>
          <w:color w:val="auto"/>
          <w:sz w:val="24"/>
          <w:highlight w:val="none"/>
        </w:rPr>
        <w:t>(1)术语定义</w:t>
      </w:r>
    </w:p>
    <w:p w14:paraId="60B32348">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 应急抢修：在满足“突发性、紧急性、不可替代性”三重条件时，所启动的“先行维修、事后补单”特殊处置程序。</w:t>
      </w:r>
    </w:p>
    <w:p w14:paraId="2CC1CB97">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①突发性：故障突然发生，非计划性、周期性维护所能预见；</w:t>
      </w:r>
    </w:p>
    <w:p w14:paraId="5D265676">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②紧急性：若不立即处置，将直接危及人身安全或可能导致火灾扩大；</w:t>
      </w:r>
    </w:p>
    <w:p w14:paraId="5012C1B7">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③不可替代性：无法通过临时措施替代，必须通过实质性维修恢复功能。</w:t>
      </w:r>
    </w:p>
    <w:p w14:paraId="7B68F9FF">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(2)应急抢修</w:t>
      </w:r>
      <w:bookmarkEnd w:id="34"/>
      <w:r>
        <w:rPr>
          <w:rFonts w:hint="eastAsia" w:ascii="仿宋_GB2312" w:hAnsi="仿宋" w:eastAsia="仿宋_GB2312" w:cs="仿宋"/>
          <w:color w:val="auto"/>
          <w:sz w:val="24"/>
          <w:highlight w:val="none"/>
        </w:rPr>
        <w:t>启动条件</w:t>
      </w:r>
    </w:p>
    <w:p w14:paraId="4DF27FA1">
      <w:pPr>
        <w:adjustRightInd w:val="0"/>
        <w:snapToGrid w:val="0"/>
        <w:spacing w:line="312" w:lineRule="auto"/>
        <w:ind w:firstLine="480" w:firstLineChars="200"/>
        <w:jc w:val="left"/>
        <w:rPr>
          <w:rFonts w:ascii="仿宋_GB2312" w:hAnsi="仿宋" w:eastAsia="仿宋_GB2312" w:cs="仿宋"/>
          <w:color w:val="auto"/>
          <w:sz w:val="24"/>
          <w:highlight w:val="none"/>
        </w:rPr>
      </w:pPr>
      <w:bookmarkStart w:id="35" w:name="heading_33"/>
      <w:r>
        <w:rPr>
          <w:rFonts w:hint="eastAsia" w:ascii="仿宋_GB2312" w:hAnsi="仿宋" w:eastAsia="仿宋_GB2312" w:cs="仿宋"/>
          <w:color w:val="auto"/>
          <w:sz w:val="24"/>
          <w:highlight w:val="none"/>
          <w:shd w:val="clear" w:color="auto" w:fill="FFFFFF"/>
        </w:rPr>
        <w:t>符合下列情形之一的，属于消防应急抢修范围，自动认定为紧急故障，并触发“应急抢修的实施主体与决策程序”，无需逐项论证</w:t>
      </w:r>
      <w:r>
        <w:rPr>
          <w:rFonts w:hint="eastAsia" w:ascii="仿宋_GB2312" w:hAnsi="仿宋" w:eastAsia="仿宋_GB2312" w:cs="仿宋"/>
          <w:color w:val="auto"/>
          <w:sz w:val="24"/>
          <w:highlight w:val="none"/>
        </w:rPr>
        <w:t>“突发性、紧急性、不可替代性”</w:t>
      </w:r>
      <w:r>
        <w:rPr>
          <w:rFonts w:hint="eastAsia" w:ascii="仿宋_GB2312" w:hAnsi="仿宋" w:eastAsia="仿宋_GB2312" w:cs="仿宋"/>
          <w:color w:val="auto"/>
          <w:sz w:val="24"/>
          <w:highlight w:val="none"/>
          <w:shd w:val="clear" w:color="auto" w:fill="FFFFFF"/>
        </w:rPr>
        <w:t>三重条件：</w:t>
      </w:r>
    </w:p>
    <w:p w14:paraId="2073342E">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1）消防给水系统：消防给水管网因地基下沉、腐蚀严重或突发爆裂造成多点位渗漏或主管道断裂，导致消火栓水压无法满足灭火需求的；</w:t>
      </w:r>
    </w:p>
    <w:p w14:paraId="59009AF0">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2）火灾自动报警系统：火灾自动报警控制器主板老化、控制主机严重损坏，或两个及以上同类部件损坏，导致系统无法正常运行的；</w:t>
      </w:r>
    </w:p>
    <w:p w14:paraId="46124703">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3）消防联动系统：温感、烟感探测器、手报按钮、输入输出模块等外接设备因非人为因素发生区域性大面积损坏，影响联动功能的；</w:t>
      </w:r>
    </w:p>
    <w:p w14:paraId="25527DE2">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4）防排烟系统与防火分隔设施：防排烟系统整体或大面积故障、防火门大面积损坏、防火卷帘大面积失效，丧失防火防烟功能的；</w:t>
      </w:r>
    </w:p>
    <w:p w14:paraId="147EB8E8">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5）消防供水设施：消防水泵、稳压泵、消防水箱（池）等关键供水设备突发故障，导致消防供水系统整体或部分瘫痪的；</w:t>
      </w:r>
    </w:p>
    <w:p w14:paraId="01CB6AAA">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6）市政及室外消防设施：市政消火栓被撞断、严重倾斜、栓体严重漏水不能正常使用的；天然水源消防取水设施损坏不能正常使用的；</w:t>
      </w:r>
    </w:p>
    <w:p w14:paraId="5FF7E355">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7）消防供电与应急照明：消防专用供电线路突然中断、消防配电柜（控制柜）严重故障，或应急照明与疏散指示系统突然大面积失效，严重影响疏散安全的；</w:t>
      </w:r>
    </w:p>
    <w:p w14:paraId="13699B63">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8）气体灭火系统：气体灭火系统误喷或意外启动；气体灭火系统启动装置采用自动控制、手动控制方式均无法正常启动；灭火剂净重小于设计储存量的90%；驱动气体瓶组泄漏、系统超压；</w:t>
      </w:r>
    </w:p>
    <w:p w14:paraId="29B9908A">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9）消防广播与消防电话系统：消防应急广播系统主机故障导致全系统无法播音；消防电话总机故障导致全系统无法通话；</w:t>
      </w:r>
    </w:p>
    <w:p w14:paraId="0F89FA2C">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10）消防电梯：消防电梯无法正常运行，影响消防人员运输和灭火救援的</w:t>
      </w:r>
      <w:bookmarkEnd w:id="35"/>
      <w:r>
        <w:rPr>
          <w:rFonts w:hint="eastAsia" w:ascii="仿宋_GB2312" w:hAnsi="仿宋" w:eastAsia="仿宋_GB2312" w:cs="仿宋"/>
          <w:color w:val="auto"/>
          <w:sz w:val="24"/>
          <w:highlight w:val="none"/>
        </w:rPr>
        <w:t>。</w:t>
      </w:r>
    </w:p>
    <w:p w14:paraId="77C19131">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w:t>
      </w:r>
      <w:r>
        <w:rPr>
          <w:rFonts w:hint="eastAsia" w:ascii="仿宋_GB2312" w:hAnsi="仿宋" w:eastAsia="仿宋_GB2312" w:cs="仿宋"/>
          <w:color w:val="auto"/>
          <w:sz w:val="24"/>
          <w:highlight w:val="none"/>
          <w:shd w:val="clear" w:color="auto" w:fill="FFFFFF"/>
        </w:rPr>
        <w:t>不符合上述十种情形但采购人认为确需应急抢修的，应经采购人确认后方可启动应急抢修程序。</w:t>
      </w:r>
    </w:p>
    <w:p w14:paraId="6BA979FC">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(4)下列情形之一的，不纳入消防应急抢修范围：</w:t>
      </w:r>
    </w:p>
    <w:p w14:paraId="25674394">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1）灭火器到期充装、更换；</w:t>
      </w:r>
    </w:p>
    <w:p w14:paraId="43ED647C">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2）应急照明灯、疏散指示标志的批量更换；</w:t>
      </w:r>
    </w:p>
    <w:p w14:paraId="4158EF67">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3）消防水带、水枪、接口等器材的日常更换；</w:t>
      </w:r>
    </w:p>
    <w:p w14:paraId="563010CE">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4）应由其他施工单位承担的维修；</w:t>
      </w:r>
    </w:p>
    <w:p w14:paraId="4F617648">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5）可纳入年度工作计划、非紧急的设施设备更新改造；</w:t>
      </w:r>
    </w:p>
    <w:p w14:paraId="3EAFA08C">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6）同一品类或同一区域多次发生的维修，经认定为可预见、可计划的常规维修项目。</w:t>
      </w:r>
    </w:p>
    <w:p w14:paraId="4C8ECF44">
      <w:pPr>
        <w:pStyle w:val="11"/>
        <w:adjustRightInd w:val="0"/>
        <w:snapToGrid w:val="0"/>
        <w:spacing w:before="0" w:beforeAutospacing="0" w:after="0" w:afterAutospacing="0" w:line="312" w:lineRule="auto"/>
        <w:ind w:firstLine="480" w:firstLineChars="200"/>
        <w:outlineLvl w:val="3"/>
        <w:rPr>
          <w:rFonts w:ascii="仿宋_GB2312" w:hAnsi="仿宋" w:eastAsia="仿宋_GB2312" w:cs="仿宋"/>
          <w:color w:val="auto"/>
          <w:sz w:val="24"/>
          <w:szCs w:val="24"/>
          <w:highlight w:val="none"/>
          <w:shd w:val="clear" w:color="auto" w:fill="FFFFFF"/>
        </w:rPr>
      </w:pPr>
      <w:bookmarkStart w:id="36" w:name="heading_36"/>
      <w:r>
        <w:rPr>
          <w:rFonts w:hint="eastAsia" w:ascii="仿宋_GB2312" w:hAnsi="仿宋" w:eastAsia="仿宋_GB2312" w:cs="仿宋"/>
          <w:color w:val="auto"/>
          <w:sz w:val="24"/>
          <w:szCs w:val="24"/>
          <w:highlight w:val="none"/>
          <w:shd w:val="clear" w:color="auto" w:fill="FFFFFF"/>
        </w:rPr>
        <w:t>(5)应急抢修的实施主体与决策程序</w:t>
      </w:r>
    </w:p>
    <w:p w14:paraId="2A02B246">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1）实施主体选择权：属于“应急抢修启动条件”认定的应急抢修范围的，采购人有权自主决定由下列主体之一实施：</w:t>
      </w:r>
    </w:p>
    <w:p w14:paraId="72B00FEF">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①委托具备消防设施工程专业承包资质的第三方技术服务机构或施工单位实施；</w:t>
      </w:r>
    </w:p>
    <w:p w14:paraId="0E09C8E0">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②委托中标人实施（中标人须具备消防设施工程专业承包资质）。</w:t>
      </w:r>
    </w:p>
    <w:p w14:paraId="51060534">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采购人的选择权不受任何限制，中标人不得干涉、阻挠或以任何理由主张优先权。如审计部门或学校对采购人实施主体选择权有其他要求，按照审计部门或学校的要求执行。</w:t>
      </w:r>
    </w:p>
    <w:p w14:paraId="3265961C">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2）紧急情况下的临时授权：</w:t>
      </w:r>
    </w:p>
    <w:p w14:paraId="6CC0D829">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①发生“应急抢修启动条件”所列情形且情况紧急的，采购人可先行通过书面、电子邮件或即时通讯工具向中标人发出临时授权指令；</w:t>
      </w:r>
    </w:p>
    <w:p w14:paraId="59AD741C">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②中标人凭该指令先行开展抢修工作，事后3个工作日内补办书面委托手续；</w:t>
      </w:r>
    </w:p>
    <w:p w14:paraId="1FE2E68E">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③中标人在承接紧急抢修工作前应确认自身具备承接该项工作所需的法定资质；不具备的，应在接到采购人临时授权指令后1小时内书面告知采购人，由采购人另行委托第三方实施；</w:t>
      </w:r>
    </w:p>
    <w:p w14:paraId="22662E83">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④紧急临时授权不代表采购人放弃实施主体选择权，也不代表该工作纳入本合同维保范围。</w:t>
      </w:r>
    </w:p>
    <w:p w14:paraId="478D210E">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3）紧急故障与大额零部件更换的衔接：</w:t>
      </w:r>
    </w:p>
    <w:p w14:paraId="04CDC003">
      <w:pPr>
        <w:pStyle w:val="11"/>
        <w:wordWrap w:val="0"/>
        <w:topLinePunct/>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shd w:val="clear" w:color="auto" w:fill="FFFFFF"/>
        </w:rPr>
        <w:t>当“故障分级与响应时效”认定的“紧急故障”或“重大故障”需更换单价≥300元的零部件时，无论该零部件在“维修费用承担规则”中属于何种费用归属，投标人在收到采购人紧急授权后，均应无条件先行抢修以履行修复时限义务。事后该费用按“大额零部件更换与应急抢修实施程序”处理，由采购人承担。</w:t>
      </w:r>
    </w:p>
    <w:p w14:paraId="0A5DEB58">
      <w:pPr>
        <w:pStyle w:val="11"/>
        <w:wordWrap w:val="0"/>
        <w:topLinePunct/>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shd w:val="clear" w:color="auto" w:fill="FFFFFF"/>
        </w:rPr>
        <w:t>4）第三方实施时投标人的配合义务：</w:t>
      </w:r>
    </w:p>
    <w:p w14:paraId="7E9160D2">
      <w:pPr>
        <w:pStyle w:val="11"/>
        <w:wordWrap w:val="0"/>
        <w:topLinePunct/>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shd w:val="clear" w:color="auto" w:fill="FFFFFF"/>
        </w:rPr>
        <w:t>采购人委托第三方实施时，中标人应在合理范围内予以配合，至少包括提供必要的技术资料、现场情况说明、系统联动关系说明等。因中标人无正当理由拒绝配合或故意阻挠，导致抢修进度延误、损失扩大的，中标人就扩大损失部分依法承担相应的赔偿责任。</w:t>
      </w:r>
    </w:p>
    <w:p w14:paraId="38809B47">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（十二）维修费用承担规则</w:t>
      </w:r>
    </w:p>
    <w:p w14:paraId="2296E95A">
      <w:pPr>
        <w:pStyle w:val="11"/>
        <w:shd w:val="clear" w:color="auto" w:fill="FFFFFF"/>
        <w:adjustRightInd w:val="0"/>
        <w:snapToGrid w:val="0"/>
        <w:spacing w:before="0" w:beforeAutospacing="0" w:after="0" w:afterAutospacing="0" w:line="312" w:lineRule="auto"/>
        <w:ind w:firstLine="480" w:firstLineChars="200"/>
        <w:outlineLvl w:val="4"/>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★1、费用承担总则</w:t>
      </w:r>
    </w:p>
    <w:p w14:paraId="6F1470F5">
      <w:pPr>
        <w:pStyle w:val="11"/>
        <w:shd w:val="clear" w:color="auto" w:fill="FFFFFF"/>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shd w:val="clear" w:color="auto" w:fill="FFFFFF"/>
        </w:rPr>
        <w:t>投标人进行故障处置、应急抢修与零部件更换时，维修费用按本条规定确定承担主体与结算方式。各项维修工作的费用承担，以下表为准：</w:t>
      </w:r>
    </w:p>
    <w:tbl>
      <w:tblPr>
        <w:tblStyle w:val="12"/>
        <w:tblW w:w="94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650"/>
        <w:gridCol w:w="2170"/>
        <w:gridCol w:w="1683"/>
        <w:gridCol w:w="1617"/>
        <w:gridCol w:w="2287"/>
      </w:tblGrid>
      <w:tr w14:paraId="60BAC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0" w:type="dxa"/>
            <w:tcMar>
              <w:top w:w="60" w:type="dxa"/>
              <w:left w:w="120" w:type="dxa"/>
              <w:bottom w:w="30" w:type="dxa"/>
              <w:right w:w="120" w:type="dxa"/>
            </w:tcMar>
          </w:tcPr>
          <w:p w14:paraId="31EA676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维修类型</w:t>
            </w:r>
          </w:p>
        </w:tc>
        <w:tc>
          <w:tcPr>
            <w:tcW w:w="2170" w:type="dxa"/>
            <w:tcMar>
              <w:top w:w="60" w:type="dxa"/>
              <w:left w:w="120" w:type="dxa"/>
              <w:bottom w:w="30" w:type="dxa"/>
              <w:right w:w="120" w:type="dxa"/>
            </w:tcMar>
          </w:tcPr>
          <w:p w14:paraId="2DE2F18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认定标准</w:t>
            </w:r>
          </w:p>
        </w:tc>
        <w:tc>
          <w:tcPr>
            <w:tcW w:w="1683" w:type="dxa"/>
            <w:tcMar>
              <w:top w:w="60" w:type="dxa"/>
              <w:left w:w="120" w:type="dxa"/>
              <w:bottom w:w="30" w:type="dxa"/>
              <w:right w:w="120" w:type="dxa"/>
            </w:tcMar>
          </w:tcPr>
          <w:p w14:paraId="385A8BD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实施主体</w:t>
            </w:r>
          </w:p>
        </w:tc>
        <w:tc>
          <w:tcPr>
            <w:tcW w:w="1617" w:type="dxa"/>
            <w:tcMar>
              <w:top w:w="60" w:type="dxa"/>
              <w:left w:w="120" w:type="dxa"/>
              <w:bottom w:w="30" w:type="dxa"/>
              <w:right w:w="120" w:type="dxa"/>
            </w:tcMar>
          </w:tcPr>
          <w:p w14:paraId="09F9767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费用承担</w:t>
            </w:r>
          </w:p>
        </w:tc>
        <w:tc>
          <w:tcPr>
            <w:tcW w:w="2287" w:type="dxa"/>
            <w:tcMar>
              <w:top w:w="60" w:type="dxa"/>
              <w:left w:w="120" w:type="dxa"/>
              <w:bottom w:w="30" w:type="dxa"/>
              <w:right w:w="120" w:type="dxa"/>
            </w:tcMar>
          </w:tcPr>
          <w:p w14:paraId="7A2B799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费用上限/特殊规定</w:t>
            </w:r>
          </w:p>
        </w:tc>
      </w:tr>
      <w:tr w14:paraId="0DAEF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0" w:type="dxa"/>
            <w:tcMar>
              <w:top w:w="60" w:type="dxa"/>
              <w:left w:w="120" w:type="dxa"/>
              <w:bottom w:w="30" w:type="dxa"/>
              <w:right w:w="120" w:type="dxa"/>
            </w:tcMar>
          </w:tcPr>
          <w:p w14:paraId="4AD3D9E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常规消耗性材料</w:t>
            </w:r>
          </w:p>
        </w:tc>
        <w:tc>
          <w:tcPr>
            <w:tcW w:w="2170" w:type="dxa"/>
            <w:tcMar>
              <w:top w:w="60" w:type="dxa"/>
              <w:left w:w="120" w:type="dxa"/>
              <w:bottom w:w="30" w:type="dxa"/>
              <w:right w:w="120" w:type="dxa"/>
            </w:tcMar>
          </w:tcPr>
          <w:p w14:paraId="24B589A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维保所必需的消耗品（含润滑油、密封胶带、保险管等同类耗材）</w:t>
            </w:r>
          </w:p>
        </w:tc>
        <w:tc>
          <w:tcPr>
            <w:tcW w:w="1683" w:type="dxa"/>
            <w:tcMar>
              <w:top w:w="60" w:type="dxa"/>
              <w:left w:w="120" w:type="dxa"/>
              <w:bottom w:w="30" w:type="dxa"/>
              <w:right w:w="120" w:type="dxa"/>
            </w:tcMar>
          </w:tcPr>
          <w:p w14:paraId="384305D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投标人</w:t>
            </w:r>
          </w:p>
        </w:tc>
        <w:tc>
          <w:tcPr>
            <w:tcW w:w="1617" w:type="dxa"/>
            <w:tcMar>
              <w:top w:w="60" w:type="dxa"/>
              <w:left w:w="120" w:type="dxa"/>
              <w:bottom w:w="30" w:type="dxa"/>
              <w:right w:w="120" w:type="dxa"/>
            </w:tcMar>
          </w:tcPr>
          <w:p w14:paraId="79BA8C5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投标人承担</w:t>
            </w:r>
          </w:p>
        </w:tc>
        <w:tc>
          <w:tcPr>
            <w:tcW w:w="2287" w:type="dxa"/>
            <w:tcMar>
              <w:top w:w="60" w:type="dxa"/>
              <w:left w:w="120" w:type="dxa"/>
              <w:bottom w:w="30" w:type="dxa"/>
              <w:right w:w="120" w:type="dxa"/>
            </w:tcMar>
          </w:tcPr>
          <w:p w14:paraId="3BFC922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相关费用已全部包含在合同总价内，不另行计费</w:t>
            </w:r>
          </w:p>
        </w:tc>
      </w:tr>
      <w:tr w14:paraId="357FB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0" w:type="dxa"/>
            <w:tcMar>
              <w:top w:w="60" w:type="dxa"/>
              <w:left w:w="120" w:type="dxa"/>
              <w:bottom w:w="30" w:type="dxa"/>
              <w:right w:w="120" w:type="dxa"/>
            </w:tcMar>
          </w:tcPr>
          <w:p w14:paraId="65D2DA8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小额零部件更换</w:t>
            </w:r>
          </w:p>
        </w:tc>
        <w:tc>
          <w:tcPr>
            <w:tcW w:w="2170" w:type="dxa"/>
            <w:tcMar>
              <w:top w:w="60" w:type="dxa"/>
              <w:left w:w="120" w:type="dxa"/>
              <w:bottom w:w="30" w:type="dxa"/>
              <w:right w:w="120" w:type="dxa"/>
            </w:tcMar>
          </w:tcPr>
          <w:p w14:paraId="7D8BCC7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单价低于300元（不含本数）的零部件更换</w:t>
            </w:r>
          </w:p>
        </w:tc>
        <w:tc>
          <w:tcPr>
            <w:tcW w:w="1683" w:type="dxa"/>
            <w:tcMar>
              <w:top w:w="60" w:type="dxa"/>
              <w:left w:w="120" w:type="dxa"/>
              <w:bottom w:w="30" w:type="dxa"/>
              <w:right w:w="120" w:type="dxa"/>
            </w:tcMar>
          </w:tcPr>
          <w:p w14:paraId="4CB4895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投标人</w:t>
            </w:r>
          </w:p>
        </w:tc>
        <w:tc>
          <w:tcPr>
            <w:tcW w:w="1617" w:type="dxa"/>
            <w:tcMar>
              <w:top w:w="60" w:type="dxa"/>
              <w:left w:w="120" w:type="dxa"/>
              <w:bottom w:w="30" w:type="dxa"/>
              <w:right w:w="120" w:type="dxa"/>
            </w:tcMar>
          </w:tcPr>
          <w:p w14:paraId="59C356F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投标人承担</w:t>
            </w:r>
          </w:p>
        </w:tc>
        <w:tc>
          <w:tcPr>
            <w:tcW w:w="2287" w:type="dxa"/>
            <w:tcMar>
              <w:top w:w="60" w:type="dxa"/>
              <w:left w:w="120" w:type="dxa"/>
              <w:bottom w:w="30" w:type="dxa"/>
              <w:right w:w="120" w:type="dxa"/>
            </w:tcMar>
          </w:tcPr>
          <w:p w14:paraId="5934DAA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周期年度内此类费用累计总额不超过周期年度合同金额的10%；累计超出部分由采购人承担</w:t>
            </w:r>
          </w:p>
        </w:tc>
      </w:tr>
      <w:tr w14:paraId="2D175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0" w:type="dxa"/>
            <w:tcMar>
              <w:top w:w="60" w:type="dxa"/>
              <w:left w:w="120" w:type="dxa"/>
              <w:bottom w:w="30" w:type="dxa"/>
              <w:right w:w="120" w:type="dxa"/>
            </w:tcMar>
          </w:tcPr>
          <w:p w14:paraId="35F4589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大额零部件更换</w:t>
            </w:r>
          </w:p>
        </w:tc>
        <w:tc>
          <w:tcPr>
            <w:tcW w:w="2170" w:type="dxa"/>
            <w:tcMar>
              <w:top w:w="60" w:type="dxa"/>
              <w:left w:w="120" w:type="dxa"/>
              <w:bottom w:w="30" w:type="dxa"/>
              <w:right w:w="120" w:type="dxa"/>
            </w:tcMar>
          </w:tcPr>
          <w:p w14:paraId="0BDE857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单价≥300元（含本数）的零部件更换</w:t>
            </w:r>
          </w:p>
        </w:tc>
        <w:tc>
          <w:tcPr>
            <w:tcW w:w="1683" w:type="dxa"/>
            <w:tcMar>
              <w:top w:w="60" w:type="dxa"/>
              <w:left w:w="120" w:type="dxa"/>
              <w:bottom w:w="30" w:type="dxa"/>
              <w:right w:w="120" w:type="dxa"/>
            </w:tcMar>
          </w:tcPr>
          <w:p w14:paraId="6BA0426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采购人自主决定（可委托投标人或第三方）</w:t>
            </w:r>
          </w:p>
        </w:tc>
        <w:tc>
          <w:tcPr>
            <w:tcW w:w="1617" w:type="dxa"/>
            <w:tcMar>
              <w:top w:w="60" w:type="dxa"/>
              <w:left w:w="120" w:type="dxa"/>
              <w:bottom w:w="30" w:type="dxa"/>
              <w:right w:w="120" w:type="dxa"/>
            </w:tcMar>
          </w:tcPr>
          <w:p w14:paraId="7116D97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采购人承担</w:t>
            </w:r>
          </w:p>
        </w:tc>
        <w:tc>
          <w:tcPr>
            <w:tcW w:w="2287" w:type="dxa"/>
            <w:tcMar>
              <w:top w:w="60" w:type="dxa"/>
              <w:left w:w="120" w:type="dxa"/>
              <w:bottom w:w="30" w:type="dxa"/>
              <w:right w:w="120" w:type="dxa"/>
            </w:tcMar>
          </w:tcPr>
          <w:p w14:paraId="02DE87E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转为零星维修工程程序，按采购人内部审计及财务管理规定据实结算</w:t>
            </w:r>
          </w:p>
        </w:tc>
      </w:tr>
      <w:tr w14:paraId="14EB7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0" w:type="dxa"/>
            <w:tcMar>
              <w:top w:w="60" w:type="dxa"/>
              <w:left w:w="120" w:type="dxa"/>
              <w:bottom w:w="30" w:type="dxa"/>
              <w:right w:w="120" w:type="dxa"/>
            </w:tcMar>
          </w:tcPr>
          <w:p w14:paraId="192DF1B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应急抢修</w:t>
            </w:r>
          </w:p>
        </w:tc>
        <w:tc>
          <w:tcPr>
            <w:tcW w:w="2170" w:type="dxa"/>
            <w:tcMar>
              <w:top w:w="60" w:type="dxa"/>
              <w:left w:w="120" w:type="dxa"/>
              <w:bottom w:w="30" w:type="dxa"/>
              <w:right w:w="120" w:type="dxa"/>
            </w:tcMar>
          </w:tcPr>
          <w:p w14:paraId="1956539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符合本条第（二）2款所列应急抢修情形</w:t>
            </w:r>
          </w:p>
        </w:tc>
        <w:tc>
          <w:tcPr>
            <w:tcW w:w="1683" w:type="dxa"/>
            <w:tcMar>
              <w:top w:w="60" w:type="dxa"/>
              <w:left w:w="120" w:type="dxa"/>
              <w:bottom w:w="30" w:type="dxa"/>
              <w:right w:w="120" w:type="dxa"/>
            </w:tcMar>
          </w:tcPr>
          <w:p w14:paraId="300ADFD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采购人自主决定</w:t>
            </w:r>
          </w:p>
        </w:tc>
        <w:tc>
          <w:tcPr>
            <w:tcW w:w="1617" w:type="dxa"/>
            <w:tcMar>
              <w:top w:w="60" w:type="dxa"/>
              <w:left w:w="120" w:type="dxa"/>
              <w:bottom w:w="30" w:type="dxa"/>
              <w:right w:w="120" w:type="dxa"/>
            </w:tcMar>
          </w:tcPr>
          <w:p w14:paraId="0575BE4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采购人承担</w:t>
            </w:r>
          </w:p>
        </w:tc>
        <w:tc>
          <w:tcPr>
            <w:tcW w:w="2287" w:type="dxa"/>
            <w:tcMar>
              <w:top w:w="60" w:type="dxa"/>
              <w:left w:w="120" w:type="dxa"/>
              <w:bottom w:w="30" w:type="dxa"/>
              <w:right w:w="120" w:type="dxa"/>
            </w:tcMar>
          </w:tcPr>
          <w:p w14:paraId="796123A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严格按“应急抢修的认定、启动与实施”的程序执行；</w:t>
            </w:r>
          </w:p>
        </w:tc>
      </w:tr>
      <w:tr w14:paraId="62555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0" w:type="dxa"/>
            <w:tcMar>
              <w:top w:w="60" w:type="dxa"/>
              <w:left w:w="120" w:type="dxa"/>
              <w:bottom w:w="30" w:type="dxa"/>
              <w:right w:w="120" w:type="dxa"/>
            </w:tcMar>
          </w:tcPr>
          <w:p w14:paraId="6C0243D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人为损坏维修</w:t>
            </w:r>
          </w:p>
        </w:tc>
        <w:tc>
          <w:tcPr>
            <w:tcW w:w="2170" w:type="dxa"/>
            <w:tcMar>
              <w:top w:w="60" w:type="dxa"/>
              <w:left w:w="120" w:type="dxa"/>
              <w:bottom w:w="30" w:type="dxa"/>
              <w:right w:w="120" w:type="dxa"/>
            </w:tcMar>
          </w:tcPr>
          <w:p w14:paraId="6E2A39E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经第三方认定的人为责任事故、人为损坏故障</w:t>
            </w:r>
          </w:p>
        </w:tc>
        <w:tc>
          <w:tcPr>
            <w:tcW w:w="1683" w:type="dxa"/>
            <w:tcMar>
              <w:top w:w="60" w:type="dxa"/>
              <w:left w:w="120" w:type="dxa"/>
              <w:bottom w:w="30" w:type="dxa"/>
              <w:right w:w="120" w:type="dxa"/>
            </w:tcMar>
          </w:tcPr>
          <w:p w14:paraId="48BF627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采购人委托实施（投标人或第三方）</w:t>
            </w:r>
          </w:p>
        </w:tc>
        <w:tc>
          <w:tcPr>
            <w:tcW w:w="1617" w:type="dxa"/>
            <w:tcMar>
              <w:top w:w="60" w:type="dxa"/>
              <w:left w:w="120" w:type="dxa"/>
              <w:bottom w:w="30" w:type="dxa"/>
              <w:right w:w="120" w:type="dxa"/>
            </w:tcMar>
          </w:tcPr>
          <w:p w14:paraId="14946C5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责任人承担</w:t>
            </w:r>
          </w:p>
        </w:tc>
        <w:tc>
          <w:tcPr>
            <w:tcW w:w="2287" w:type="dxa"/>
            <w:tcMar>
              <w:top w:w="60" w:type="dxa"/>
              <w:left w:w="120" w:type="dxa"/>
              <w:bottom w:w="30" w:type="dxa"/>
              <w:right w:w="120" w:type="dxa"/>
            </w:tcMar>
          </w:tcPr>
          <w:p w14:paraId="1F97789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投标人先行无条件抢修</w:t>
            </w:r>
          </w:p>
        </w:tc>
      </w:tr>
    </w:tbl>
    <w:p w14:paraId="68DF7504">
      <w:pPr>
        <w:adjustRightInd w:val="0"/>
        <w:snapToGrid w:val="0"/>
        <w:spacing w:line="312" w:lineRule="auto"/>
        <w:ind w:firstLine="482" w:firstLineChars="200"/>
        <w:jc w:val="left"/>
        <w:rPr>
          <w:rFonts w:ascii="仿宋_GB2312" w:hAnsi="仿宋" w:eastAsia="仿宋_GB2312" w:cs="仿宋"/>
          <w:b/>
          <w:bCs/>
          <w:color w:val="auto"/>
          <w:sz w:val="24"/>
          <w:highlight w:val="none"/>
        </w:rPr>
      </w:pPr>
      <w:r>
        <w:rPr>
          <w:rFonts w:hint="eastAsia" w:ascii="仿宋_GB2312" w:hAnsi="仿宋" w:eastAsia="仿宋_GB2312" w:cs="仿宋"/>
          <w:b/>
          <w:bCs/>
          <w:color w:val="auto"/>
          <w:sz w:val="24"/>
          <w:highlight w:val="none"/>
        </w:rPr>
        <w:t>注：常规消耗性材料至少包括：润滑油、润滑脂、防锈油、除锈剂、普通螺栓/螺母/垫圈、密封胶垫/圈、生料带、焊锡、线缆接头/端子、绝缘胶带、保险管/熔断器、示警灯/指示灯、打印纸/色带（消防主机用）、过滤网、工业清洁剂、感烟探测器测试烟枪耗材等。以上费用已全部包含在服务费中。</w:t>
      </w:r>
    </w:p>
    <w:p w14:paraId="017A093B">
      <w:pPr>
        <w:pStyle w:val="11"/>
        <w:adjustRightInd w:val="0"/>
        <w:snapToGrid w:val="0"/>
        <w:spacing w:before="0" w:beforeAutospacing="0" w:after="0" w:afterAutospacing="0" w:line="312" w:lineRule="auto"/>
        <w:ind w:firstLine="480" w:firstLineChars="200"/>
        <w:outlineLvl w:val="4"/>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★2、费用认定特别规则</w:t>
      </w:r>
    </w:p>
    <w:p w14:paraId="6E50FA83">
      <w:pPr>
        <w:pStyle w:val="11"/>
        <w:numPr>
          <w:ilvl w:val="0"/>
          <w:numId w:val="1"/>
        </w:numPr>
        <w:adjustRightInd w:val="0"/>
        <w:snapToGrid w:val="0"/>
        <w:spacing w:before="0" w:beforeAutospacing="0" w:after="0" w:afterAutospacing="0" w:line="312" w:lineRule="auto"/>
        <w:ind w:left="0" w:firstLine="480" w:firstLineChars="200"/>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shd w:val="clear" w:color="auto" w:fill="FFFFFF"/>
        </w:rPr>
        <w:t>零部件单价核定依据：以双方合同签订前核定的《常用备件清单》中的实际单价为准。清单核定单价低于300元的，按常规类处理；等于或高于300元的，按非常规类处理。</w:t>
      </w:r>
    </w:p>
    <w:p w14:paraId="524FC5CE">
      <w:pPr>
        <w:pStyle w:val="11"/>
        <w:numPr>
          <w:ilvl w:val="0"/>
          <w:numId w:val="1"/>
        </w:numPr>
        <w:adjustRightInd w:val="0"/>
        <w:snapToGrid w:val="0"/>
        <w:spacing w:before="0" w:beforeAutospacing="0" w:after="0" w:afterAutospacing="0" w:line="312" w:lineRule="auto"/>
        <w:ind w:left="0"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禁止拆分规避：投标人不得将单价≥300元的零部件拆分为多个小于300元的子项以规避转入大额更换程序。同一设备同一故障涉及多个零部件的，合并计算总价后按本条规定确定费用归属。</w:t>
      </w:r>
    </w:p>
    <w:p w14:paraId="42FDBC28">
      <w:pPr>
        <w:pStyle w:val="11"/>
        <w:numPr>
          <w:ilvl w:val="0"/>
          <w:numId w:val="1"/>
        </w:numPr>
        <w:adjustRightInd w:val="0"/>
        <w:snapToGrid w:val="0"/>
        <w:spacing w:before="0" w:beforeAutospacing="0" w:after="0" w:afterAutospacing="0" w:line="312" w:lineRule="auto"/>
        <w:ind w:left="0"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清单定期核定：每个周期季度核定一次《常用备件清单》。首次核定，中标人应在签订合同后5个工作日内提交《常用备件清单》进行首次核定，需逐项标明价格，经双方核定后作为该季度零星维修及应急抢修时备件认质核价的依据。核定后的《常用备件清单》自审核确认之日起生效，前次清单于新清单生效时自动废止；若当期核定未能按期完成，则在新清单生效前，仍沿用上一周期清单作为临时依据。</w:t>
      </w:r>
    </w:p>
    <w:p w14:paraId="6DEC1B49">
      <w:pPr>
        <w:pStyle w:val="11"/>
        <w:adjustRightInd w:val="0"/>
        <w:snapToGrid w:val="0"/>
        <w:spacing w:before="0" w:beforeAutospacing="0" w:after="0" w:afterAutospacing="0" w:line="312" w:lineRule="auto"/>
        <w:ind w:firstLine="480" w:firstLineChars="200"/>
        <w:outlineLvl w:val="4"/>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★3、大额零部件更换与应急抢修实施程序</w:t>
      </w:r>
    </w:p>
    <w:p w14:paraId="618ED2B9">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（1）大额零部件更换程序</w:t>
      </w:r>
    </w:p>
    <w:p w14:paraId="17B97128">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①投标人判断故障涉及单价≥300元零部件更换的，应立即向采购人提交《大额更换建议书》，说明故障情况、建议更换的零部件名称、型号、数量、单价及更换必要性；</w:t>
      </w:r>
    </w:p>
    <w:p w14:paraId="1EC0D058">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②采购人收到建议书后有权自主决定由投标人实施或另行委托第三方实施；</w:t>
      </w:r>
    </w:p>
    <w:p w14:paraId="1FAC3873">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③采购人决定委托投标人实施的，双方另行出具书面委托书，费用按采购人内部审计及财务管理规定据实结算。</w:t>
      </w:r>
    </w:p>
    <w:p w14:paraId="610176A1">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（2）应急抢修：</w:t>
      </w:r>
    </w:p>
    <w:p w14:paraId="5A5E616E">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①被认定为应急抢修的，实施主体由采购人自主决定，相关费用由采购人承担；</w:t>
      </w:r>
    </w:p>
    <w:p w14:paraId="4495F950">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②如采购人委托投标人实施，投标人须按照采购人要求和临时授权无条件抢修，相关费用事后自动转为零星维修工程程序，由采购人承担。投标人不得以任何理由拒绝或拖延采购人授权的紧急抢修。</w:t>
      </w:r>
    </w:p>
    <w:p w14:paraId="17CF962D">
      <w:pPr>
        <w:pStyle w:val="11"/>
        <w:adjustRightInd w:val="0"/>
        <w:snapToGrid w:val="0"/>
        <w:spacing w:before="0" w:beforeAutospacing="0" w:after="0" w:afterAutospacing="0" w:line="312" w:lineRule="auto"/>
        <w:ind w:firstLine="480" w:firstLineChars="200"/>
        <w:outlineLvl w:val="4"/>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★4、人为损坏问题的处理</w:t>
      </w:r>
    </w:p>
    <w:p w14:paraId="13A45777">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消防设施设备因人为损坏导致故障的，投标人仍须按应急抢修程序无条件先行抢修。费用最终由责任人承担，具体操作程序如下：</w:t>
      </w:r>
    </w:p>
    <w:p w14:paraId="7401DC59">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（1）投标人先行抢修，全程保留影像资料及书面记录，作为后续追偿的证据；</w:t>
      </w:r>
    </w:p>
    <w:p w14:paraId="757DCB97">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（2）修复完成后，由采购人、责任单位、投标人三方共同认定损坏原因及责任人；</w:t>
      </w:r>
    </w:p>
    <w:p w14:paraId="376E7E2C">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（3）费用由责任人承担，采购人负责向责任人追偿，投标人应提供必要的费用凭证和证据材料予以协助；</w:t>
      </w:r>
    </w:p>
    <w:p w14:paraId="63AB9D48">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（4）在责任人支付前，采购人先行垫付维修费用，待追偿成功后从追偿所得中抵扣；追偿不成的，由采购人承担。</w:t>
      </w:r>
    </w:p>
    <w:p w14:paraId="5FB4E448">
      <w:pPr>
        <w:pStyle w:val="11"/>
        <w:adjustRightInd w:val="0"/>
        <w:snapToGrid w:val="0"/>
        <w:spacing w:before="0" w:beforeAutospacing="0" w:after="0" w:afterAutospacing="0" w:line="312" w:lineRule="auto"/>
        <w:ind w:firstLine="480" w:firstLineChars="200"/>
        <w:outlineLvl w:val="4"/>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★5、更换零部件质保期管理</w:t>
      </w:r>
    </w:p>
    <w:p w14:paraId="604D7454">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本次项目，由采购人委托中标人进行维修更换的所有零部件，质保期自设备维修验收合格、正式投入使用之日起计算，质保期限不少于12个月。采购人应在维修完成后7个工作日内组织验收。逾期未组织验收且无正当理由的，视为验收合格，质保期自维修完成之日起计算。在约定质保期内，若因中标人更换的零部件自身质量问题再次引发设备故障、功能异常的，采购人有权直接要求中标人更换全新零部件、维修调试，由此产生的所有费用由中标人自行承担。</w:t>
      </w:r>
    </w:p>
    <w:p w14:paraId="478C8469">
      <w:pPr>
        <w:pStyle w:val="11"/>
        <w:adjustRightInd w:val="0"/>
        <w:snapToGrid w:val="0"/>
        <w:spacing w:before="0" w:beforeAutospacing="0" w:after="0" w:afterAutospacing="0" w:line="312" w:lineRule="auto"/>
        <w:ind w:firstLine="480" w:firstLineChars="200"/>
        <w:outlineLvl w:val="4"/>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★6、质保期内故障处置要求</w:t>
      </w:r>
    </w:p>
    <w:p w14:paraId="2FE59CB6">
      <w:pPr>
        <w:pStyle w:val="11"/>
        <w:adjustRightInd w:val="0"/>
        <w:snapToGrid w:val="0"/>
        <w:spacing w:before="0" w:beforeAutospacing="0" w:after="0" w:afterAutospacing="0" w:line="312" w:lineRule="auto"/>
        <w:ind w:firstLine="480" w:firstLineChars="200"/>
        <w:rPr>
          <w:rFonts w:ascii="仿宋_GB2312" w:hAnsi="仿宋" w:eastAsia="仿宋_GB2312" w:cs="仿宋"/>
          <w:color w:val="auto"/>
          <w:sz w:val="24"/>
          <w:szCs w:val="24"/>
          <w:highlight w:val="none"/>
          <w:shd w:val="clear" w:color="auto" w:fill="FFFFFF"/>
        </w:rPr>
      </w:pPr>
      <w:r>
        <w:rPr>
          <w:rFonts w:hint="eastAsia" w:ascii="仿宋_GB2312" w:hAnsi="仿宋" w:eastAsia="仿宋_GB2312" w:cs="仿宋"/>
          <w:color w:val="auto"/>
          <w:sz w:val="24"/>
          <w:szCs w:val="24"/>
          <w:highlight w:val="none"/>
          <w:shd w:val="clear" w:color="auto" w:fill="FFFFFF"/>
        </w:rPr>
        <w:t>投标人应积极配合采购人与工程质保方就质保期内消防设施故障问题进行对接。确需在工程质保方到场前紧急介入的，应提前告知质保方、采购人及责任单位，再开展保护性止损工作，全程录音录像，录像资料保存期限不少于6个月，不得擅自抢修。</w:t>
      </w:r>
    </w:p>
    <w:bookmarkEnd w:id="36"/>
    <w:p w14:paraId="10E00D27">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（十三）故障处置内业管理要求</w:t>
      </w:r>
    </w:p>
    <w:p w14:paraId="008644EB">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1、平台上线前，故障接报后30分钟内由内业管理专员创建书面或电子工单；紧急/重大故障修复后2小时内提交初报，24小时内提交书面故障报告；一般/轻微故障按周报汇总。</w:t>
      </w:r>
    </w:p>
    <w:p w14:paraId="20E380B2">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2、平台上线后，应在平台上线后30个日历天内补录故障工单、处置记录、费用凭证和影像资料。</w:t>
      </w:r>
    </w:p>
    <w:p w14:paraId="4BC46C1A">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3、故障处置完成后，将故障描述、原因分析、处置过程、更换备件、费用归属、验收确认、影像资料归入“一设备一档案”。</w:t>
      </w:r>
    </w:p>
    <w:p w14:paraId="1ECBCE89">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4、经采购人临时授权实施的应急抢修，事后3个工作日内补办书面委托，并补录临时工单或平台工单、补交抢修报告和费用凭证。</w:t>
      </w:r>
    </w:p>
    <w:p w14:paraId="32B72153">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w:t>
      </w:r>
      <w:r>
        <w:rPr>
          <w:rFonts w:hint="eastAsia" w:ascii="仿宋_GB2312" w:hAnsi="仿宋" w:eastAsia="仿宋_GB2312" w:cs="仿宋"/>
          <w:color w:val="auto"/>
          <w:sz w:val="24"/>
          <w:highlight w:val="none"/>
        </w:rPr>
        <w:t>5、同一设备季度内3次及以上重复故障的，形成《重复故障根因分析报告》并归档。</w:t>
      </w:r>
    </w:p>
    <w:p w14:paraId="29209A21">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（十四）室外消火栓翻新</w:t>
      </w:r>
    </w:p>
    <w:p w14:paraId="736F508B">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1、工作目的</w:t>
      </w:r>
    </w:p>
    <w:p w14:paraId="57B910DF">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投标人须在本项目服务周期内，对采购人指定区域的室外消火栓进行全面、系统的重新喷涂上漆维护。通过彻底清除旧漆层与锈蚀、重新涂装防腐涂层及标识，恢复室外消火栓的外观整洁、标识清晰、防腐性能达标。</w:t>
      </w:r>
    </w:p>
    <w:p w14:paraId="6EB8B08F">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2、工作范围</w:t>
      </w:r>
    </w:p>
    <w:p w14:paraId="48E1C499">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工作次数：室外消火栓翻新工作在本项目总服务周期内完成一次。具体实施时间由采购人根据室外消火栓实际状况，以书面通知形式确定。中标人应在接到采购人书面通知之日起3个月内完成全部室外消火栓的重新喷涂上漆工作（含返工整改时间）。因暴雨、大风等不可抗力天气原因导致无法室外作业的，经采购人书面确认后可顺延工期。</w:t>
      </w:r>
    </w:p>
    <w:p w14:paraId="54AF322C">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(2)工作范围：望江、华西、江安校区内所有室外消火栓（含地上式消火栓、地下式消火栓、水泵接合器），具体数量及位置以采购人提供的清单为准。</w:t>
      </w:r>
    </w:p>
    <w:p w14:paraId="0B71C4F3">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投标人进场后15个工作日内，应对校区内全部室外消火栓进行一次全面排查，完善采购人建立的《室外消火栓现状台账》，逐一核对编号、位置、型号、锈蚀程度、损坏情况（含是否存在漏水、阀门无法开启、栓体倾斜等），并附影像资料。该台账经采购人确认后作为</w:t>
      </w:r>
      <w:r>
        <w:rPr>
          <w:rFonts w:hint="eastAsia" w:ascii="仿宋_GB2312" w:hAnsi="仿宋" w:eastAsia="仿宋_GB2312" w:cs="仿宋"/>
          <w:color w:val="auto"/>
          <w:sz w:val="24"/>
          <w:highlight w:val="none"/>
          <w:shd w:val="clear" w:color="auto" w:fill="FFFFFF"/>
        </w:rPr>
        <w:t>重新喷涂上漆工作</w:t>
      </w:r>
      <w:r>
        <w:rPr>
          <w:rFonts w:hint="eastAsia" w:ascii="仿宋_GB2312" w:hAnsi="仿宋" w:eastAsia="仿宋_GB2312" w:cs="仿宋"/>
          <w:color w:val="auto"/>
          <w:sz w:val="24"/>
          <w:highlight w:val="none"/>
        </w:rPr>
        <w:t>的实施依据。</w:t>
      </w:r>
    </w:p>
    <w:p w14:paraId="471AA18B">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3、作业内容与工艺要求</w:t>
      </w:r>
    </w:p>
    <w:p w14:paraId="1082A80A">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(1)投标人应严格按照以下工艺流程实施重新喷涂上漆，每道工序须经采购人现场抽查认可后方可进入下一道工序。</w:t>
      </w:r>
    </w:p>
    <w:p w14:paraId="7E911797">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旧涂层与锈蚀清除：采用手工铲除、钢丝刷清理或机械打磨（角磨机配钢丝轮/砂轮片）等方式，彻底清除消火栓表面所有旧漆层、锈蚀、氧化皮及污垢。对缝隙、螺纹、焊缝等难及部位，须使用专用工具细致清理，确保金属基体裸露率不低于95%。清除后的表面清洁度应达到St2级（手工除锈）或Sa2级（喷射除锈）标准。</w:t>
      </w:r>
    </w:p>
    <w:p w14:paraId="08ACA2FF">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(3)表面清洁与干燥：清除完成后，用压缩空气或清洁布彻底清除表面残留粉尘、碎屑及油污，确保金属表面洁净、干燥、无污染。</w:t>
      </w:r>
    </w:p>
    <w:p w14:paraId="20568FA7">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底漆涂装：选用与消火栓材质（铸铁/球墨铸铁）相适应的防锈底漆（推荐环氧富锌底漆或红丹防锈漆），采用刷涂、滚涂或喷涂方式均匀涂装，不得有漏涂、流挂、起泡、针孔等缺陷。底漆干膜厚度不低于60μm。底漆表干后方可进行面漆涂装。</w:t>
      </w:r>
    </w:p>
    <w:p w14:paraId="69574C03">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★(5)面漆涂装（重新喷涂）：底漆表干后，均匀喷涂或涂刷面漆。面漆颜色应符合《消防安全标志 第1部分：标志》（GB13495.1-2015）及属地消防救援机构关于室外消火栓外观颜色的统一要求（红色，色标建议采用RAL3000或同类标准），涂装完成后色泽均匀、光滑平整，干膜总厚度（底漆+面漆）不低于100μm。采用喷涂工艺时，应控制喷涂压力与走枪速度，避免流挂与橘皮现象。</w:t>
      </w:r>
    </w:p>
    <w:p w14:paraId="56E20156">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标识重新喷涂：面漆完全干燥后，在消火栓栓体正面或指定显著位置，使用耐候型白色或黄色油漆重新喷涂标识，内容至少包括：消火栓编号、供水压力等级（若适用）及“消火栓”字样（或国际通用消防符号）。字体应工整、清晰、大小适宜，具有长期耐候性。</w:t>
      </w:r>
    </w:p>
    <w:p w14:paraId="79F2AF91">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(7)活动部件润滑与密封：对消火栓的阀杆、接口螺纹、闷盖等活动部件，在喷涂完成后涂抹适量专用润滑脂，确保启闭灵活、无卡阻、密封良好。同时检查并更换老化或破损的密封圈。</w:t>
      </w:r>
    </w:p>
    <w:p w14:paraId="67965D63">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4、材料要求</w:t>
      </w:r>
    </w:p>
    <w:p w14:paraId="1863B3F1">
      <w:pPr>
        <w:adjustRightInd w:val="0"/>
        <w:snapToGrid w:val="0"/>
        <w:spacing w:line="312" w:lineRule="auto"/>
        <w:ind w:firstLine="482" w:firstLineChars="200"/>
        <w:jc w:val="left"/>
        <w:rPr>
          <w:rFonts w:ascii="仿宋_GB2312" w:hAnsi="仿宋" w:eastAsia="仿宋_GB2312" w:cs="仿宋"/>
          <w:color w:val="auto"/>
          <w:sz w:val="24"/>
          <w:highlight w:val="none"/>
        </w:rPr>
      </w:pPr>
      <w:r>
        <w:rPr>
          <w:rFonts w:hint="eastAsia" w:ascii="仿宋_GB2312" w:hAnsi="仿宋" w:eastAsia="仿宋_GB2312" w:cs="仿宋"/>
          <w:b/>
          <w:color w:val="auto"/>
          <w:sz w:val="24"/>
          <w:highlight w:val="none"/>
        </w:rPr>
        <w:t>★</w:t>
      </w:r>
      <w:r>
        <w:rPr>
          <w:rFonts w:hint="eastAsia" w:ascii="仿宋_GB2312" w:hAnsi="仿宋" w:eastAsia="仿宋_GB2312" w:cs="仿宋"/>
          <w:color w:val="auto"/>
          <w:sz w:val="24"/>
          <w:highlight w:val="none"/>
        </w:rPr>
        <w:t>(1)投标人使用的涂料（底漆、面漆）、稀释剂、润滑脂等材料应符合国家现行相关标准（如《醇酸树脂涂料》GB/T 25251-2010</w:t>
      </w:r>
      <w:r>
        <w:rPr>
          <w:rFonts w:hint="eastAsia" w:ascii="MS Gothic" w:hAnsi="MS Gothic" w:eastAsia="MS Gothic" w:cs="MS Gothic"/>
          <w:color w:val="auto"/>
          <w:sz w:val="24"/>
          <w:highlight w:val="none"/>
        </w:rPr>
        <w:t>‌</w:t>
      </w:r>
      <w:r>
        <w:rPr>
          <w:rFonts w:hint="eastAsia" w:ascii="仿宋_GB2312" w:hAnsi="仿宋_GB2312" w:eastAsia="仿宋_GB2312" w:cs="仿宋_GB2312"/>
          <w:color w:val="auto"/>
          <w:sz w:val="24"/>
          <w:highlight w:val="none"/>
        </w:rPr>
        <w:t>、《酚醛树脂防锈涂料》</w:t>
      </w:r>
      <w:r>
        <w:rPr>
          <w:rFonts w:hint="eastAsia" w:ascii="仿宋_GB2312" w:hAnsi="仿宋" w:eastAsia="仿宋_GB2312" w:cs="仿宋"/>
          <w:color w:val="auto"/>
          <w:sz w:val="24"/>
          <w:highlight w:val="none"/>
        </w:rPr>
        <w:t>GB/T 25252-2010），中标后提供产品合格证明、出厂检测报告（至少含VOC含量、附着力、耐盐雾性、耐候性指标）查验。</w:t>
      </w:r>
    </w:p>
    <w:p w14:paraId="130D11DB">
      <w:pPr>
        <w:adjustRightInd w:val="0"/>
        <w:snapToGrid w:val="0"/>
        <w:spacing w:line="312" w:lineRule="auto"/>
        <w:ind w:firstLine="482" w:firstLineChars="200"/>
        <w:jc w:val="left"/>
        <w:rPr>
          <w:rFonts w:ascii="仿宋_GB2312" w:hAnsi="仿宋" w:eastAsia="仿宋_GB2312" w:cs="仿宋"/>
          <w:b/>
          <w:bCs/>
          <w:color w:val="auto"/>
          <w:sz w:val="24"/>
          <w:highlight w:val="none"/>
        </w:rPr>
      </w:pPr>
      <w:r>
        <w:rPr>
          <w:rFonts w:hint="eastAsia" w:ascii="仿宋_GB2312" w:hAnsi="仿宋" w:eastAsia="仿宋_GB2312" w:cs="仿宋"/>
          <w:b/>
          <w:color w:val="auto"/>
          <w:sz w:val="24"/>
          <w:highlight w:val="none"/>
        </w:rPr>
        <w:t>★</w:t>
      </w:r>
      <w:r>
        <w:rPr>
          <w:rFonts w:hint="eastAsia" w:ascii="仿宋_GB2312" w:hAnsi="仿宋" w:eastAsia="仿宋_GB2312" w:cs="仿宋"/>
          <w:b/>
          <w:bCs/>
          <w:color w:val="auto"/>
          <w:sz w:val="24"/>
          <w:highlight w:val="none"/>
        </w:rPr>
        <w:t>(2)涂料（底漆、面漆）、稀释剂、润滑脂品牌须在投标文件中明确（格式自拟），并在进场后经采购人书面确认后方可使用，施工过程中不得擅自更换品牌。</w:t>
      </w:r>
    </w:p>
    <w:p w14:paraId="6F274804">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 涂料应具备优良的耐候性、耐水性、耐化学品腐蚀性，适应成都地区潮湿多雨的气候环境，设计使用寿命不低于5年。</w:t>
      </w:r>
    </w:p>
    <w:p w14:paraId="23C661F8">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5、安全与文明作业要求</w:t>
      </w:r>
    </w:p>
    <w:p w14:paraId="19A2B43A">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(1)喷涂上漆作业前，投标人应编制专项安全作业方案（含防尘、防火、防中毒、高空作业防护等），报采购人审批后方可实施。</w:t>
      </w:r>
    </w:p>
    <w:p w14:paraId="111E21B4">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(2)作业区域应设置明显的警戒围挡和警示标识，防止无关人员及车辆进入；作业人员至少须佩戴护目镜、防尘口罩（或防毒面具）、防护手套、安全帽个人防护装备。</w:t>
      </w:r>
    </w:p>
    <w:p w14:paraId="0099D00B">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(3)除锈和喷涂过程中产生的粉尘、废漆渣、废溶剂等应及时清理，分类收集并合规处置，不得污染校园环境；喷涂时应对周边路面、路缘石、绿化带、建筑物墙面等进行有效遮蔽保护，防止涂料飞溅造成污染。</w:t>
      </w:r>
    </w:p>
    <w:p w14:paraId="3629EB79">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(4)作业结束后，应及时清理现场，恢复路面、绿化等原状，妥善处理剩余涂料及废弃物，不得遗留任何施工垃圾。</w:t>
      </w:r>
    </w:p>
    <w:p w14:paraId="18588495">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6、质量验收标准</w:t>
      </w:r>
    </w:p>
    <w:p w14:paraId="74F8BC13">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(1)外观质量：漆膜表面光滑、平整、色泽一致，无漏涂、流挂、起泡、裂纹、剥落、橘皮等缺陷；标识字样清晰、位置正确、耐候性良好。</w:t>
      </w:r>
    </w:p>
    <w:p w14:paraId="7927ADDD">
      <w:pPr>
        <w:adjustRightInd w:val="0"/>
        <w:snapToGrid w:val="0"/>
        <w:spacing w:line="312" w:lineRule="auto"/>
        <w:ind w:firstLine="482" w:firstLineChars="200"/>
        <w:jc w:val="left"/>
        <w:rPr>
          <w:rFonts w:ascii="仿宋_GB2312" w:hAnsi="仿宋" w:eastAsia="仿宋_GB2312" w:cs="仿宋"/>
          <w:color w:val="auto"/>
          <w:sz w:val="24"/>
          <w:highlight w:val="none"/>
        </w:rPr>
      </w:pPr>
      <w:r>
        <w:rPr>
          <w:rFonts w:hint="eastAsia" w:ascii="仿宋_GB2312" w:hAnsi="仿宋" w:eastAsia="仿宋_GB2312" w:cs="仿宋"/>
          <w:b/>
          <w:color w:val="auto"/>
          <w:sz w:val="24"/>
          <w:highlight w:val="none"/>
        </w:rPr>
        <w:t>★</w:t>
      </w:r>
      <w:r>
        <w:rPr>
          <w:rFonts w:hint="eastAsia" w:ascii="仿宋_GB2312" w:hAnsi="仿宋" w:eastAsia="仿宋_GB2312" w:cs="仿宋"/>
          <w:color w:val="auto"/>
          <w:sz w:val="24"/>
          <w:highlight w:val="none"/>
        </w:rPr>
        <w:t>(2)涂层附着力：</w:t>
      </w:r>
      <w:r>
        <w:rPr>
          <w:rFonts w:hint="eastAsia" w:ascii="MS Gothic" w:hAnsi="MS Gothic" w:eastAsia="MS Gothic" w:cs="MS Gothic"/>
          <w:color w:val="auto"/>
          <w:sz w:val="24"/>
          <w:highlight w:val="none"/>
        </w:rPr>
        <w:t>‌</w:t>
      </w:r>
      <w:r>
        <w:rPr>
          <w:rFonts w:hint="eastAsia" w:ascii="仿宋_GB2312" w:hAnsi="仿宋_GB2312" w:eastAsia="仿宋_GB2312" w:cs="仿宋_GB2312"/>
          <w:color w:val="auto"/>
          <w:sz w:val="24"/>
          <w:highlight w:val="none"/>
        </w:rPr>
        <w:t>涂层附着</w:t>
      </w:r>
      <w:r>
        <w:rPr>
          <w:rFonts w:hint="eastAsia" w:ascii="仿宋_GB2312" w:hAnsi="仿宋" w:eastAsia="仿宋_GB2312" w:cs="仿宋"/>
          <w:color w:val="auto"/>
          <w:sz w:val="24"/>
          <w:highlight w:val="none"/>
        </w:rPr>
        <w:t>力检测采用划格法执行，依据GB/T 9286-2021《色漆和清漆 划格试验》标准操作，涂层附着力等级不低于2级。</w:t>
      </w:r>
    </w:p>
    <w:p w14:paraId="35A2DD10">
      <w:pPr>
        <w:adjustRightInd w:val="0"/>
        <w:snapToGrid w:val="0"/>
        <w:spacing w:line="312" w:lineRule="auto"/>
        <w:ind w:firstLine="482" w:firstLineChars="200"/>
        <w:jc w:val="left"/>
        <w:rPr>
          <w:rFonts w:ascii="仿宋_GB2312" w:hAnsi="仿宋" w:eastAsia="仿宋_GB2312" w:cs="仿宋"/>
          <w:color w:val="auto"/>
          <w:sz w:val="24"/>
          <w:highlight w:val="none"/>
        </w:rPr>
      </w:pPr>
      <w:r>
        <w:rPr>
          <w:rFonts w:hint="eastAsia" w:ascii="仿宋_GB2312" w:hAnsi="仿宋" w:eastAsia="仿宋_GB2312" w:cs="仿宋"/>
          <w:b/>
          <w:color w:val="auto"/>
          <w:sz w:val="24"/>
          <w:highlight w:val="none"/>
        </w:rPr>
        <w:t>★</w:t>
      </w:r>
      <w:r>
        <w:rPr>
          <w:rFonts w:hint="eastAsia" w:ascii="仿宋_GB2312" w:hAnsi="仿宋" w:eastAsia="仿宋_GB2312" w:cs="仿宋"/>
          <w:color w:val="auto"/>
          <w:sz w:val="24"/>
          <w:highlight w:val="none"/>
        </w:rPr>
        <w:t>(3)涂层厚度：按“作业内容与工艺要求”，检测点不少于每套消火栓3处（栓体上部、中部、下部各一处），干膜总厚度平均值不低于100μm，最小单点厚度不低于80μm。</w:t>
      </w:r>
    </w:p>
    <w:p w14:paraId="2646DA45">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(4)启闭功能与密封性：消火栓阀门启闭灵活、无卡阻、无渗漏；闷盖、接口开启顺畅，密封圈完好，压力测试合格。</w:t>
      </w:r>
    </w:p>
    <w:p w14:paraId="7F739886">
      <w:pPr>
        <w:adjustRightInd w:val="0"/>
        <w:snapToGrid w:val="0"/>
        <w:spacing w:line="312" w:lineRule="auto"/>
        <w:ind w:firstLine="482" w:firstLineChars="200"/>
        <w:jc w:val="left"/>
        <w:rPr>
          <w:rFonts w:ascii="仿宋_GB2312" w:hAnsi="仿宋" w:eastAsia="仿宋_GB2312" w:cs="仿宋"/>
          <w:color w:val="auto"/>
          <w:sz w:val="24"/>
          <w:highlight w:val="none"/>
        </w:rPr>
      </w:pPr>
      <w:r>
        <w:rPr>
          <w:rFonts w:hint="eastAsia" w:ascii="仿宋_GB2312" w:hAnsi="仿宋" w:eastAsia="仿宋_GB2312" w:cs="仿宋"/>
          <w:b/>
          <w:color w:val="auto"/>
          <w:sz w:val="24"/>
          <w:highlight w:val="none"/>
        </w:rPr>
        <w:t>★</w:t>
      </w:r>
      <w:r>
        <w:rPr>
          <w:rFonts w:hint="eastAsia" w:ascii="仿宋_GB2312" w:hAnsi="仿宋" w:eastAsia="仿宋_GB2312" w:cs="仿宋"/>
          <w:color w:val="auto"/>
          <w:sz w:val="24"/>
          <w:highlight w:val="none"/>
        </w:rPr>
        <w:t>(5)验收方式：投标人完成全部重新喷涂上漆工作后，应提交《室外消火栓重新喷涂上漆竣工报告》（含每套消火栓作业前、中、后的高清对比影像资料、漆膜厚度检测原始记录、材料合格证明等），由采购人按照不低于20%的比例进行现场抽检验收。抽验不合格的，投标人应在10个工作日内无条件返工整改，直至全部验收合格，返工费用由投标人承担。</w:t>
      </w:r>
    </w:p>
    <w:p w14:paraId="3BFE1EC7">
      <w:pPr>
        <w:adjustRightInd w:val="0"/>
        <w:snapToGrid w:val="0"/>
        <w:spacing w:line="312" w:lineRule="auto"/>
        <w:ind w:firstLine="482"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b/>
          <w:color w:val="auto"/>
          <w:sz w:val="24"/>
          <w:highlight w:val="none"/>
        </w:rPr>
        <w:t>★</w:t>
      </w:r>
      <w:r>
        <w:rPr>
          <w:rFonts w:hint="eastAsia" w:ascii="仿宋_GB2312" w:hAnsi="仿宋" w:eastAsia="仿宋_GB2312" w:cs="仿宋"/>
          <w:color w:val="auto"/>
          <w:sz w:val="24"/>
          <w:highlight w:val="none"/>
        </w:rPr>
        <w:t>7、质保期</w:t>
      </w:r>
    </w:p>
    <w:p w14:paraId="076AEC51">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经除锈上漆维护的室外消火栓，自验收合格之日起12个月内，如出现漆膜剥落、锈蚀返锈、标识褪色模糊、阀门卡阻等质量缺陷（不含人为损坏或不可抗力造成），投标人应返工处理，并承担因此产生的全部费用。</w:t>
      </w:r>
    </w:p>
    <w:p w14:paraId="1F6385E6">
      <w:pPr>
        <w:adjustRightInd w:val="0"/>
        <w:snapToGrid w:val="0"/>
        <w:spacing w:line="312" w:lineRule="auto"/>
        <w:ind w:firstLine="482"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b/>
          <w:color w:val="auto"/>
          <w:sz w:val="24"/>
          <w:highlight w:val="none"/>
        </w:rPr>
        <w:t>★</w:t>
      </w:r>
      <w:r>
        <w:rPr>
          <w:rFonts w:hint="eastAsia" w:ascii="仿宋_GB2312" w:hAnsi="仿宋" w:eastAsia="仿宋_GB2312" w:cs="仿宋"/>
          <w:color w:val="auto"/>
          <w:sz w:val="24"/>
          <w:highlight w:val="none"/>
        </w:rPr>
        <w:t>8、费用承担</w:t>
      </w:r>
    </w:p>
    <w:p w14:paraId="55B2B76C">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室外消火栓重新喷涂上漆工作所需的全部人工、材料（含涂料、稀释剂、润滑脂、遮蔽材料、密封圈等）、工具设备、安全防护、废弃物处置、检测及验收配合等费用，均已包含在服务费内，由投标人承担，采购人不再另行支付任何费用。</w:t>
      </w:r>
    </w:p>
    <w:p w14:paraId="5B8C04DD">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9、工作时间</w:t>
      </w:r>
    </w:p>
    <w:p w14:paraId="2140A417">
      <w:pPr>
        <w:adjustRightInd w:val="0"/>
        <w:snapToGrid w:val="0"/>
        <w:spacing w:line="312" w:lineRule="auto"/>
        <w:ind w:firstLine="480" w:firstLineChars="200"/>
        <w:jc w:val="left"/>
        <w:rPr>
          <w:rFonts w:ascii="仿宋_GB2312" w:hAnsi="仿宋" w:eastAsia="仿宋_GB2312" w:cs="仿宋"/>
          <w:color w:val="auto"/>
          <w:sz w:val="24"/>
          <w:highlight w:val="none"/>
        </w:rPr>
      </w:pPr>
      <w:bookmarkStart w:id="37" w:name="_Toc23566"/>
      <w:r>
        <w:rPr>
          <w:rFonts w:hint="eastAsia" w:ascii="仿宋_GB2312" w:hAnsi="仿宋" w:eastAsia="仿宋_GB2312" w:cs="仿宋"/>
          <w:color w:val="auto"/>
          <w:sz w:val="24"/>
          <w:highlight w:val="none"/>
        </w:rPr>
        <w:t>具体实施时间由采购人书面通知投标人，投标人应在接到书面通知之日起3个月内完成全部室外消火栓的重新喷涂上漆工作（含返工整改时间）。因暴雨、大风等不可抗力天气原因导致无法室外作业的，经采购人书面确认后可顺延工期，但投标人应提前做好天气预报研判，合理安排作业计划。</w:t>
      </w:r>
    </w:p>
    <w:p w14:paraId="5CE10C37">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10、内业资料归档与平台上传要求</w:t>
      </w:r>
    </w:p>
    <w:p w14:paraId="544F56BE">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翻新前排查台账、作业前中后影像、漆膜厚度检测记录、材料合格证明、竣工验收报告等，均由内业管理专员归档，并同步更新基础数据库。</w:t>
      </w:r>
      <w:r>
        <w:rPr>
          <w:rFonts w:hint="eastAsia" w:ascii="仿宋_GB2312" w:hAnsi="仿宋" w:eastAsia="仿宋_GB2312" w:cs="仿宋"/>
          <w:color w:val="auto"/>
          <w:sz w:val="24"/>
          <w:highlight w:val="none"/>
          <w:shd w:val="clear" w:color="auto" w:fill="FFFFFF"/>
        </w:rPr>
        <w:t>平台上线后上传指定平台并校验</w:t>
      </w:r>
      <w:r>
        <w:rPr>
          <w:rFonts w:hint="eastAsia" w:ascii="仿宋_GB2312" w:hAnsi="仿宋" w:eastAsia="仿宋_GB2312" w:cs="仿宋"/>
          <w:color w:val="auto"/>
          <w:sz w:val="24"/>
          <w:highlight w:val="none"/>
        </w:rPr>
        <w:t>。</w:t>
      </w:r>
    </w:p>
    <w:p w14:paraId="0AE8B91B">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（十五）</w:t>
      </w:r>
      <w:bookmarkEnd w:id="37"/>
      <w:r>
        <w:rPr>
          <w:rFonts w:hint="eastAsia" w:ascii="仿宋_GB2312" w:hAnsi="仿宋" w:eastAsia="仿宋_GB2312" w:cs="仿宋"/>
          <w:color w:val="auto"/>
          <w:sz w:val="24"/>
          <w:highlight w:val="none"/>
        </w:rPr>
        <w:t>数据库信息完善（维保范围内消防设施设备摸排及赋码）</w:t>
      </w:r>
    </w:p>
    <w:p w14:paraId="1D6C5EDF">
      <w:pPr>
        <w:adjustRightInd w:val="0"/>
        <w:snapToGrid w:val="0"/>
        <w:spacing w:line="312" w:lineRule="auto"/>
        <w:ind w:firstLine="480" w:firstLineChars="200"/>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1、工作目的</w:t>
      </w:r>
    </w:p>
    <w:p w14:paraId="4A510D88">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投标人须在本项目服务周期内，对维保范围内的消防设施设备进行一次全面、系统的摸排清查，逐项登记设施设备基本信息、技术参数、安装位置及运行状态，并按照采购人数据库信息收集要求，对每一台（套/件/个）设备实施统一编码赋号管理，形成“一设备一档案一编码”。通过此项工作，为后续日常维保、巡检管理、故障追踪、统计分析及学校消防安全管理决策提供准确、可靠的数据支撑。</w:t>
      </w:r>
    </w:p>
    <w:p w14:paraId="542843D3">
      <w:pPr>
        <w:adjustRightInd w:val="0"/>
        <w:snapToGrid w:val="0"/>
        <w:spacing w:line="312" w:lineRule="auto"/>
        <w:ind w:firstLine="480" w:firstLineChars="200"/>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2、工作范围</w:t>
      </w:r>
    </w:p>
    <w:p w14:paraId="1BDE2A0D">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（1）摸排赋码范围：望江、华西、江安校区维保建筑（包括已纳入维保范围及后续条件允许后纳入维保范围的建筑）内的全部消防设施设备。</w:t>
      </w:r>
    </w:p>
    <w:p w14:paraId="33F7D3F1">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摸排对象至少包括：火灾自动报警系统、室内外消火栓系统、自动喷水灭火系统、气体灭火系统、防烟排烟系统、消防应急照明和疏散指示系统、防火分隔设施、电气火灾监控系统、可燃气体探测报警系统、消防设备电源监控系统、消防水炮系统及其他未列明系统的组成设备，至少包括各类探测器、报警器、控制器、水泵、阀门、喷头、风机、卷帘、应急灯具、监控主机及各类模块。</w:t>
      </w:r>
    </w:p>
    <w:p w14:paraId="558281FE">
      <w:pPr>
        <w:adjustRightInd w:val="0"/>
        <w:snapToGrid w:val="0"/>
        <w:spacing w:line="312" w:lineRule="auto"/>
        <w:ind w:firstLine="480" w:firstLineChars="200"/>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3、工作时间</w:t>
      </w:r>
    </w:p>
    <w:p w14:paraId="54D27E5A">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起始时间及时限要求以采购人书面通知为准。</w:t>
      </w:r>
    </w:p>
    <w:p w14:paraId="62A5E211">
      <w:pPr>
        <w:adjustRightInd w:val="0"/>
        <w:snapToGrid w:val="0"/>
        <w:spacing w:line="312" w:lineRule="auto"/>
        <w:ind w:firstLine="480" w:firstLineChars="200"/>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4、摸排内容与数据采集标准</w:t>
      </w:r>
    </w:p>
    <w:p w14:paraId="4E74E141">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投标人须对每一台（套/件/个）消防设施设备采集并记录以下信息，形成标准化的设备档案条目：</w:t>
      </w:r>
    </w:p>
    <w:p w14:paraId="6B91D1C4">
      <w:pPr>
        <w:numPr>
          <w:ilvl w:val="0"/>
          <w:numId w:val="2"/>
        </w:numPr>
        <w:adjustRightInd w:val="0"/>
        <w:snapToGrid w:val="0"/>
        <w:spacing w:line="312" w:lineRule="auto"/>
        <w:ind w:left="0"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基本信息：设备名称、设备型号、出厂编号、生产厂家、出厂日期。</w:t>
      </w:r>
    </w:p>
    <w:p w14:paraId="16833929">
      <w:pPr>
        <w:numPr>
          <w:ilvl w:val="0"/>
          <w:numId w:val="2"/>
        </w:numPr>
        <w:adjustRightInd w:val="0"/>
        <w:snapToGrid w:val="0"/>
        <w:spacing w:line="312" w:lineRule="auto"/>
        <w:ind w:left="0"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安装信息：所属校区、所属建筑名称及编号、具体安装位置（楼层/房间号/部位描述，须精确到可据此唯一定位）。</w:t>
      </w:r>
    </w:p>
    <w:p w14:paraId="206531F1">
      <w:pPr>
        <w:numPr>
          <w:ilvl w:val="0"/>
          <w:numId w:val="2"/>
        </w:numPr>
        <w:adjustRightInd w:val="0"/>
        <w:snapToGrid w:val="0"/>
        <w:spacing w:line="312" w:lineRule="auto"/>
        <w:ind w:left="0"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技术参数：额定电压/功率/压力/流量/容量等关键参数（视设备类型而定）。</w:t>
      </w:r>
    </w:p>
    <w:p w14:paraId="3078A754">
      <w:pPr>
        <w:numPr>
          <w:ilvl w:val="0"/>
          <w:numId w:val="2"/>
        </w:numPr>
        <w:adjustRightInd w:val="0"/>
        <w:snapToGrid w:val="0"/>
        <w:spacing w:line="312" w:lineRule="auto"/>
        <w:ind w:left="0"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运行状态：当前运行状态（正常/故障/停用/待维修）、最近一次维保日期及结论、累计运行时长（如有计量）。</w:t>
      </w:r>
    </w:p>
    <w:p w14:paraId="4D1E5D39">
      <w:pPr>
        <w:numPr>
          <w:ilvl w:val="0"/>
          <w:numId w:val="2"/>
        </w:numPr>
        <w:adjustRightInd w:val="0"/>
        <w:snapToGrid w:val="0"/>
        <w:spacing w:line="312" w:lineRule="auto"/>
        <w:ind w:left="0"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编码信息：以采购人数据库编码规则为准。</w:t>
      </w:r>
    </w:p>
    <w:p w14:paraId="7BAE2D0A">
      <w:pPr>
        <w:numPr>
          <w:ilvl w:val="0"/>
          <w:numId w:val="2"/>
        </w:numPr>
        <w:adjustRightInd w:val="0"/>
        <w:snapToGrid w:val="0"/>
        <w:spacing w:line="312" w:lineRule="auto"/>
        <w:ind w:left="0"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影像资料：设备本体照片（含设备铭牌特写）及安装环境照片，照片应清晰、光线充足、能反映设备全貌及周边环境特征。</w:t>
      </w:r>
    </w:p>
    <w:p w14:paraId="58A2080C">
      <w:pPr>
        <w:numPr>
          <w:ilvl w:val="0"/>
          <w:numId w:val="2"/>
        </w:numPr>
        <w:adjustRightInd w:val="0"/>
        <w:snapToGrid w:val="0"/>
        <w:spacing w:line="312" w:lineRule="auto"/>
        <w:ind w:left="0"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关联关系：设备所属系统、联动关联设备清单、上下游管线路由及连接关系。</w:t>
      </w:r>
    </w:p>
    <w:p w14:paraId="7A07F64B">
      <w:pPr>
        <w:adjustRightInd w:val="0"/>
        <w:snapToGrid w:val="0"/>
        <w:spacing w:line="312" w:lineRule="auto"/>
        <w:ind w:firstLine="480" w:firstLineChars="200"/>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5、赋码标签制作与安装</w:t>
      </w:r>
    </w:p>
    <w:p w14:paraId="16711D75">
      <w:pPr>
        <w:numPr>
          <w:ilvl w:val="0"/>
          <w:numId w:val="3"/>
        </w:numPr>
        <w:adjustRightInd w:val="0"/>
        <w:snapToGrid w:val="0"/>
        <w:spacing w:line="312" w:lineRule="auto"/>
        <w:ind w:left="0"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标签材质要求：赋码标签（二维码）应采用耐磨、防水、防紫外线、耐候性强的材质，适应室内外不同环境条件，确保在服务周期内清晰可读、不易脱落或损毁。</w:t>
      </w:r>
    </w:p>
    <w:p w14:paraId="2DF8FC75">
      <w:pPr>
        <w:numPr>
          <w:ilvl w:val="0"/>
          <w:numId w:val="3"/>
        </w:numPr>
        <w:adjustRightInd w:val="0"/>
        <w:snapToGrid w:val="0"/>
        <w:spacing w:line="312" w:lineRule="auto"/>
        <w:ind w:left="0"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标签规格：尺寸应适中，便于扫码识别。</w:t>
      </w:r>
    </w:p>
    <w:p w14:paraId="4C11A67D">
      <w:pPr>
        <w:numPr>
          <w:ilvl w:val="0"/>
          <w:numId w:val="3"/>
        </w:numPr>
        <w:adjustRightInd w:val="0"/>
        <w:snapToGrid w:val="0"/>
        <w:spacing w:line="312" w:lineRule="auto"/>
        <w:ind w:left="0"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标签安装位置：标签应固定在设备本体显著且不易被触碰损坏的位置；对小型设备（如探测器、模块等），可统一固定于设备底座或邻近墙面/桥架侧壁，并确保扫描时无遮挡。</w:t>
      </w:r>
    </w:p>
    <w:p w14:paraId="160597EE">
      <w:pPr>
        <w:numPr>
          <w:ilvl w:val="0"/>
          <w:numId w:val="3"/>
        </w:numPr>
        <w:adjustRightInd w:val="0"/>
        <w:snapToGrid w:val="0"/>
        <w:spacing w:line="312" w:lineRule="auto"/>
        <w:ind w:left="0"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安装要求：标签安装应牢固、平整，不得遮挡设备铭牌、指示灯、操作面板及维护标识。采用粘贴方式固定的，应使用工业级强力胶或专用固定件，确保长期不脱落。</w:t>
      </w:r>
    </w:p>
    <w:p w14:paraId="101092C3">
      <w:pPr>
        <w:numPr>
          <w:ilvl w:val="0"/>
          <w:numId w:val="3"/>
        </w:numPr>
        <w:adjustRightInd w:val="0"/>
        <w:snapToGrid w:val="0"/>
        <w:spacing w:line="312" w:lineRule="auto"/>
        <w:ind w:left="0"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标签补做：服务期内因标签损坏、脱落、褪色导致无法扫描识读的，投标人应在发现或接到通知后10个工作日内补做安装。</w:t>
      </w:r>
    </w:p>
    <w:p w14:paraId="0F794397">
      <w:pPr>
        <w:adjustRightInd w:val="0"/>
        <w:snapToGrid w:val="0"/>
        <w:spacing w:line="312" w:lineRule="auto"/>
        <w:ind w:firstLine="480" w:firstLineChars="200"/>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6、数据库动态更新与维护</w:t>
      </w:r>
    </w:p>
    <w:p w14:paraId="5CB03D26">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（1）基础数据库建成后，投标人应在日常维保工作中持续维护更新数据库内容，包括但不限于：</w:t>
      </w:r>
    </w:p>
    <w:p w14:paraId="07D80371">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①设备更换后，更新设备信息并重新赋码（原码作废，新码关联至新设备）；</w:t>
      </w:r>
    </w:p>
    <w:p w14:paraId="0FD35713">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②设备位置调整后，更新安装位置记录；</w:t>
      </w:r>
    </w:p>
    <w:p w14:paraId="7FBBF84D">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③新增纳入维保的建筑及设备，须在正式纳入之日起60个日历天内完成设备摸排、赋码及入库。</w:t>
      </w:r>
    </w:p>
    <w:p w14:paraId="0E56F885">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（2）每次月度维保报告提交时，同步提交数据库更新日志，说明当月新增、变更、作废的设备记录。</w:t>
      </w:r>
    </w:p>
    <w:p w14:paraId="268E35F0">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（3）平台上线前，设备摸排、赋码、数据库更新日志可采用电子表格或纸质台账方式记录，并按月提交。</w:t>
      </w:r>
    </w:p>
    <w:p w14:paraId="11509D80">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（4）平台上线后，应在平台上线后60个日历天内完成全部历史数据导入、关联和校验；设备更换、位置调整、新增纳入维保的，按平台要求更新。</w:t>
      </w:r>
    </w:p>
    <w:p w14:paraId="5A696C63">
      <w:pPr>
        <w:adjustRightInd w:val="0"/>
        <w:snapToGrid w:val="0"/>
        <w:spacing w:line="312" w:lineRule="auto"/>
        <w:ind w:firstLine="480" w:firstLineChars="200"/>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7、成果交付与验收</w:t>
      </w:r>
    </w:p>
    <w:p w14:paraId="08917D8E">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★（1）成果交付清单：投标人应在采购规定期限内完成全部维保建筑（已纳入维保范围以及后续条件允许后纳入维保范围）的摸排赋码工作，并向采购人提交以下成果文件：</w:t>
      </w:r>
    </w:p>
    <w:p w14:paraId="1F6EDD16">
      <w:pPr>
        <w:adjustRightInd w:val="0"/>
        <w:snapToGrid w:val="0"/>
        <w:spacing w:line="312" w:lineRule="auto"/>
        <w:ind w:firstLine="480" w:firstLineChars="200"/>
        <w:rPr>
          <w:rFonts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①</w:t>
      </w:r>
      <w:r>
        <w:rPr>
          <w:rFonts w:hint="eastAsia" w:ascii="仿宋_GB2312" w:hAnsi="仿宋" w:eastAsia="仿宋_GB2312" w:cs="仿宋"/>
          <w:color w:val="auto"/>
          <w:sz w:val="24"/>
          <w:highlight w:val="none"/>
        </w:rPr>
        <w:t>《四川大学望江、华西、江安校区消防设施设备基础数据库》</w:t>
      </w:r>
      <w:r>
        <w:rPr>
          <w:rFonts w:hint="eastAsia" w:ascii="仿宋_GB2312" w:hAnsi="仿宋" w:eastAsia="仿宋_GB2312" w:cs="仿宋"/>
          <w:bCs/>
          <w:color w:val="auto"/>
          <w:sz w:val="24"/>
          <w:highlight w:val="none"/>
        </w:rPr>
        <w:t>（电子版，含全部设备条目及照片）；</w:t>
      </w:r>
    </w:p>
    <w:p w14:paraId="02AF00EF">
      <w:pPr>
        <w:adjustRightInd w:val="0"/>
        <w:snapToGrid w:val="0"/>
        <w:spacing w:line="312" w:lineRule="auto"/>
        <w:ind w:firstLine="480" w:firstLineChars="200"/>
        <w:rPr>
          <w:rFonts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②《四川大学望江、华西、江安校区消防设施设备赋码编码规则说明》；</w:t>
      </w:r>
    </w:p>
    <w:p w14:paraId="15809D6B">
      <w:pPr>
        <w:adjustRightInd w:val="0"/>
        <w:snapToGrid w:val="0"/>
        <w:spacing w:line="312" w:lineRule="auto"/>
        <w:ind w:firstLine="480" w:firstLineChars="200"/>
        <w:rPr>
          <w:rFonts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③</w:t>
      </w:r>
      <w:r>
        <w:rPr>
          <w:rFonts w:hint="eastAsia" w:ascii="仿宋_GB2312" w:hAnsi="仿宋" w:eastAsia="仿宋_GB2312" w:cs="仿宋"/>
          <w:color w:val="auto"/>
          <w:sz w:val="24"/>
          <w:highlight w:val="none"/>
        </w:rPr>
        <w:t>《设备赋码标签安装位置平面示意图》</w:t>
      </w:r>
      <w:r>
        <w:rPr>
          <w:rFonts w:hint="eastAsia" w:ascii="仿宋_GB2312" w:hAnsi="仿宋" w:eastAsia="仿宋_GB2312" w:cs="仿宋"/>
          <w:bCs/>
          <w:color w:val="auto"/>
          <w:sz w:val="24"/>
          <w:highlight w:val="none"/>
        </w:rPr>
        <w:t>（按建筑/楼层编制，标注标签安装点位）；</w:t>
      </w:r>
    </w:p>
    <w:p w14:paraId="6D94EC39">
      <w:pPr>
        <w:adjustRightInd w:val="0"/>
        <w:snapToGrid w:val="0"/>
        <w:spacing w:line="312" w:lineRule="auto"/>
        <w:ind w:firstLine="480" w:firstLineChars="200"/>
        <w:rPr>
          <w:rFonts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④</w:t>
      </w:r>
      <w:r>
        <w:rPr>
          <w:rFonts w:hint="eastAsia" w:ascii="仿宋_GB2312" w:hAnsi="仿宋" w:eastAsia="仿宋_GB2312" w:cs="仿宋"/>
          <w:color w:val="auto"/>
          <w:sz w:val="24"/>
          <w:highlight w:val="none"/>
        </w:rPr>
        <w:t>纸质版《设备台账总册》</w:t>
      </w:r>
      <w:r>
        <w:rPr>
          <w:rFonts w:hint="eastAsia" w:ascii="仿宋_GB2312" w:hAnsi="仿宋" w:eastAsia="仿宋_GB2312" w:cs="仿宋"/>
          <w:bCs/>
          <w:color w:val="auto"/>
          <w:sz w:val="24"/>
          <w:highlight w:val="none"/>
        </w:rPr>
        <w:t>（按建筑分册装订，含设备编码、名称、位置、系统归属及验收人员签字栏）。</w:t>
      </w:r>
    </w:p>
    <w:p w14:paraId="0C08E414">
      <w:pPr>
        <w:adjustRightInd w:val="0"/>
        <w:snapToGrid w:val="0"/>
        <w:spacing w:line="312" w:lineRule="auto"/>
        <w:ind w:firstLine="482" w:firstLineChars="200"/>
        <w:rPr>
          <w:rFonts w:ascii="仿宋_GB2312" w:hAnsi="仿宋" w:eastAsia="仿宋_GB2312" w:cs="仿宋"/>
          <w:color w:val="auto"/>
          <w:sz w:val="24"/>
          <w:highlight w:val="none"/>
          <w:shd w:val="clear" w:color="auto" w:fill="FFFFFF"/>
        </w:rPr>
      </w:pPr>
      <w:r>
        <w:rPr>
          <w:rFonts w:hint="eastAsia" w:ascii="仿宋_GB2312" w:hAnsi="仿宋" w:eastAsia="仿宋_GB2312" w:cs="仿宋"/>
          <w:b/>
          <w:color w:val="auto"/>
          <w:sz w:val="24"/>
          <w:highlight w:val="none"/>
        </w:rPr>
        <w:t>★</w:t>
      </w:r>
      <w:r>
        <w:rPr>
          <w:rFonts w:hint="eastAsia" w:ascii="仿宋_GB2312" w:hAnsi="仿宋" w:eastAsia="仿宋_GB2312" w:cs="仿宋"/>
          <w:color w:val="auto"/>
          <w:sz w:val="24"/>
          <w:highlight w:val="none"/>
        </w:rPr>
        <w:t>（2）验收方式：</w:t>
      </w:r>
      <w:r>
        <w:rPr>
          <w:rFonts w:hint="eastAsia" w:ascii="仿宋_GB2312" w:hAnsi="仿宋" w:eastAsia="仿宋_GB2312" w:cs="仿宋"/>
          <w:color w:val="auto"/>
          <w:sz w:val="24"/>
          <w:highlight w:val="none"/>
          <w:shd w:val="clear" w:color="auto" w:fill="FFFFFF"/>
        </w:rPr>
        <w:t>采购人按照不低于15%的比例对已赋码设备进行现场抽查核验。合格率计算公式为：合格设备数÷抽查设备总数×100%。不合格情形至少包括：设备信息错误、标签缺失或脱落、二维码无法识读、照片与实际不符、安装位置错误等。抽查合格率低于95%的，投标人须对全部设备信息进行复核整改，并于15个工作日内完成，整改后重新提交验收。整改后仍不合格的，采购人有权按每低1个百分点扣减合同总价0.1%的方式追究违约责任。验收资料由内业管理专员归档，平台上线后上传指定平台并校验。</w:t>
      </w:r>
    </w:p>
    <w:p w14:paraId="17168D9A">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（3）基础数据库通过采购人验收后，作为日常维保、巡检管理及故障追踪的基础依据，同时也是年度履约评价的重要参考。</w:t>
      </w:r>
    </w:p>
    <w:p w14:paraId="386F580C">
      <w:pPr>
        <w:adjustRightInd w:val="0"/>
        <w:snapToGrid w:val="0"/>
        <w:spacing w:line="312" w:lineRule="auto"/>
        <w:ind w:firstLine="482" w:firstLineChars="200"/>
        <w:outlineLvl w:val="3"/>
        <w:rPr>
          <w:rFonts w:ascii="仿宋_GB2312" w:hAnsi="仿宋" w:eastAsia="仿宋_GB2312" w:cs="仿宋"/>
          <w:color w:val="auto"/>
          <w:sz w:val="24"/>
          <w:highlight w:val="none"/>
        </w:rPr>
      </w:pPr>
      <w:r>
        <w:rPr>
          <w:rFonts w:hint="eastAsia" w:ascii="仿宋_GB2312" w:hAnsi="仿宋" w:eastAsia="仿宋_GB2312" w:cs="仿宋"/>
          <w:b/>
          <w:color w:val="auto"/>
          <w:sz w:val="24"/>
          <w:highlight w:val="none"/>
        </w:rPr>
        <w:t>★</w:t>
      </w:r>
      <w:r>
        <w:rPr>
          <w:rFonts w:hint="eastAsia" w:ascii="仿宋_GB2312" w:hAnsi="仿宋" w:eastAsia="仿宋_GB2312" w:cs="仿宋"/>
          <w:color w:val="auto"/>
          <w:sz w:val="24"/>
          <w:highlight w:val="none"/>
        </w:rPr>
        <w:t>8、费用承担</w:t>
      </w:r>
    </w:p>
    <w:p w14:paraId="201115D4">
      <w:pPr>
        <w:adjustRightInd w:val="0"/>
        <w:snapToGrid w:val="0"/>
        <w:spacing w:line="312" w:lineRule="auto"/>
        <w:ind w:firstLine="480" w:firstLineChars="200"/>
        <w:jc w:val="left"/>
        <w:rPr>
          <w:rFonts w:ascii="仿宋_GB2312" w:hAnsi="宋体" w:eastAsia="仿宋_GB2312" w:cs="宋体"/>
          <w:color w:val="auto"/>
          <w:sz w:val="24"/>
          <w:highlight w:val="none"/>
        </w:rPr>
      </w:pPr>
      <w:r>
        <w:rPr>
          <w:rFonts w:hint="eastAsia" w:ascii="仿宋_GB2312" w:hAnsi="仿宋" w:eastAsia="仿宋_GB2312" w:cs="仿宋"/>
          <w:color w:val="auto"/>
          <w:sz w:val="24"/>
          <w:highlight w:val="none"/>
        </w:rPr>
        <w:t>消防设施设备摸排及赋码工作所需的人工、材料（至少含标签标牌、打印耗材）、工具设备全部费用，均已包含在服务费内，由中标人承担，采购人不再另行支付</w:t>
      </w:r>
      <w:r>
        <w:rPr>
          <w:rFonts w:hint="eastAsia" w:ascii="仿宋_GB2312" w:hAnsi="仿宋" w:eastAsia="仿宋_GB2312" w:cs="仿宋"/>
          <w:b/>
          <w:bCs/>
          <w:color w:val="auto"/>
          <w:sz w:val="24"/>
          <w:highlight w:val="none"/>
        </w:rPr>
        <w:t>（需提供承诺函，格式自拟，并加盖投标人公章）</w:t>
      </w:r>
      <w:r>
        <w:rPr>
          <w:rFonts w:hint="eastAsia" w:ascii="仿宋_GB2312" w:hAnsi="仿宋" w:eastAsia="仿宋_GB2312" w:cs="仿宋"/>
          <w:color w:val="auto"/>
          <w:sz w:val="24"/>
          <w:highlight w:val="none"/>
        </w:rPr>
        <w:t>。</w:t>
      </w:r>
    </w:p>
    <w:p w14:paraId="0ACBC04B">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（十六）工程验收、检测及维保纳入</w:t>
      </w:r>
    </w:p>
    <w:p w14:paraId="7DF00C94">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1、工程验收配合</w:t>
      </w:r>
    </w:p>
    <w:p w14:paraId="1CA3C306">
      <w:pPr>
        <w:numPr>
          <w:ilvl w:val="0"/>
          <w:numId w:val="4"/>
        </w:numPr>
        <w:adjustRightInd w:val="0"/>
        <w:snapToGrid w:val="0"/>
        <w:spacing w:line="312" w:lineRule="auto"/>
        <w:ind w:left="0" w:firstLine="480" w:firstLineChars="200"/>
        <w:jc w:val="left"/>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shd w:val="clear" w:color="auto" w:fill="FFFFFF"/>
        </w:rPr>
        <w:t>校内相关责任单位因改建、扩建或装饰装修工程，需对维保范围内的消防设施设备进行改造时，投标人应协助采购人向施工单位提供技术支持及建议，并配合开展施工期间的隐患排查与整改指导。</w:t>
      </w:r>
    </w:p>
    <w:p w14:paraId="554B7D91">
      <w:pPr>
        <w:numPr>
          <w:ilvl w:val="0"/>
          <w:numId w:val="4"/>
        </w:numPr>
        <w:adjustRightInd w:val="0"/>
        <w:snapToGrid w:val="0"/>
        <w:spacing w:line="312" w:lineRule="auto"/>
        <w:ind w:left="0" w:firstLine="480" w:firstLineChars="200"/>
        <w:jc w:val="left"/>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shd w:val="clear" w:color="auto" w:fill="FFFFFF"/>
        </w:rPr>
        <w:t>工程验收前，采购人书面通知投标人对该工程范围内的消防设施设备进行测试的，投标人应自接到通知之日起3个工作日内完成功能测试和联动测试，并将测试记录或测试报告提交采购人。</w:t>
      </w:r>
    </w:p>
    <w:p w14:paraId="23445FB0">
      <w:pPr>
        <w:numPr>
          <w:ilvl w:val="0"/>
          <w:numId w:val="4"/>
        </w:numPr>
        <w:adjustRightInd w:val="0"/>
        <w:snapToGrid w:val="0"/>
        <w:spacing w:line="312" w:lineRule="auto"/>
        <w:ind w:left="0" w:firstLine="480" w:firstLineChars="200"/>
        <w:jc w:val="left"/>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shd w:val="clear" w:color="auto" w:fill="FFFFFF"/>
        </w:rPr>
        <w:t>第三方机构出具的消防设施检测报告不作为投标人开展上述测试的前置条件；采购人另有要求的，从其要求。</w:t>
      </w:r>
    </w:p>
    <w:p w14:paraId="2C41B22D">
      <w:pPr>
        <w:numPr>
          <w:ilvl w:val="0"/>
          <w:numId w:val="4"/>
        </w:numPr>
        <w:adjustRightInd w:val="0"/>
        <w:snapToGrid w:val="0"/>
        <w:spacing w:line="312" w:lineRule="auto"/>
        <w:ind w:left="0"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测试记录或测试报告提交采购人后，由内业管理专员归档；平台上线后上传指定平台。</w:t>
      </w:r>
    </w:p>
    <w:p w14:paraId="24ACF13E">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★2、投标人在完成</w:t>
      </w:r>
      <w:r>
        <w:rPr>
          <w:rFonts w:hint="eastAsia" w:ascii="仿宋_GB2312" w:hAnsi="仿宋" w:eastAsia="仿宋_GB2312" w:cs="仿宋"/>
          <w:color w:val="auto"/>
          <w:sz w:val="24"/>
          <w:highlight w:val="none"/>
          <w:shd w:val="clear" w:color="auto" w:fill="FFFFFF"/>
        </w:rPr>
        <w:t>“</w:t>
      </w:r>
      <w:r>
        <w:rPr>
          <w:rFonts w:hint="eastAsia" w:ascii="仿宋_GB2312" w:hAnsi="仿宋" w:eastAsia="仿宋_GB2312" w:cs="仿宋"/>
          <w:color w:val="auto"/>
          <w:sz w:val="24"/>
          <w:highlight w:val="none"/>
        </w:rPr>
        <w:t>工程验收配合</w:t>
      </w:r>
      <w:r>
        <w:rPr>
          <w:rFonts w:hint="eastAsia" w:ascii="仿宋_GB2312" w:hAnsi="仿宋" w:eastAsia="仿宋_GB2312" w:cs="仿宋"/>
          <w:color w:val="auto"/>
          <w:sz w:val="24"/>
          <w:highlight w:val="none"/>
          <w:shd w:val="clear" w:color="auto" w:fill="FFFFFF"/>
        </w:rPr>
        <w:t>”</w:t>
      </w:r>
      <w:r>
        <w:rPr>
          <w:rFonts w:hint="eastAsia" w:ascii="仿宋_GB2312" w:hAnsi="仿宋" w:eastAsia="仿宋_GB2312" w:cs="仿宋"/>
          <w:color w:val="auto"/>
          <w:sz w:val="24"/>
          <w:highlight w:val="none"/>
        </w:rPr>
        <w:t>相关工作后，新增加的消防设施设备自动纳入本项目维护保养范围内，不改变该建筑的计价建筑分类，不得以任何理由另行收取费用。</w:t>
      </w:r>
      <w:r>
        <w:rPr>
          <w:rFonts w:hint="eastAsia" w:ascii="仿宋_GB2312" w:hAnsi="仿宋" w:eastAsia="仿宋_GB2312" w:cs="仿宋"/>
          <w:color w:val="auto"/>
          <w:sz w:val="24"/>
          <w:highlight w:val="none"/>
          <w:shd w:val="clear" w:color="auto" w:fill="FFFFFF"/>
        </w:rPr>
        <w:t>新增设备应在60个日历天内完成摸排、赋码、建档和平台录入。</w:t>
      </w:r>
      <w:r>
        <w:rPr>
          <w:rFonts w:hint="eastAsia" w:ascii="仿宋_GB2312" w:hAnsi="仿宋" w:eastAsia="仿宋_GB2312" w:cs="仿宋"/>
          <w:b/>
          <w:bCs/>
          <w:color w:val="auto"/>
          <w:sz w:val="24"/>
          <w:highlight w:val="none"/>
        </w:rPr>
        <w:t>（需提供承诺函，格式自拟，并加盖投标人公章）</w:t>
      </w:r>
    </w:p>
    <w:p w14:paraId="24ABB5FB">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3、新建建筑检测</w:t>
      </w:r>
    </w:p>
    <w:p w14:paraId="7FF2A9CC">
      <w:pPr>
        <w:adjustRightInd w:val="0"/>
        <w:snapToGrid w:val="0"/>
        <w:spacing w:line="312" w:lineRule="auto"/>
        <w:ind w:firstLine="480" w:firstLineChars="200"/>
        <w:jc w:val="left"/>
        <w:rPr>
          <w:rFonts w:ascii="仿宋_GB2312" w:hAnsi="宋体" w:eastAsia="仿宋_GB2312" w:cs="宋体"/>
          <w:color w:val="auto"/>
          <w:sz w:val="24"/>
          <w:highlight w:val="none"/>
        </w:rPr>
      </w:pPr>
      <w:r>
        <w:rPr>
          <w:rFonts w:hint="eastAsia" w:ascii="仿宋_GB2312" w:hAnsi="仿宋" w:eastAsia="仿宋_GB2312" w:cs="仿宋"/>
          <w:color w:val="auto"/>
          <w:sz w:val="24"/>
          <w:highlight w:val="none"/>
        </w:rPr>
        <w:t xml:space="preserve">学校新建建筑在校内验收阶段，投标人接到采购人书面通知后7个工作日内，应安排人员对指定的新建建筑所有消防设施设备进行全数检测，并提供检测报告，报告内容应包括检测建筑名称、检测时间、检测人员、所有设施设备检测结论，问题清单明细。检测报告由内业管理专员归档；平台上线后上传指定平台。 </w:t>
      </w:r>
    </w:p>
    <w:p w14:paraId="16D02929">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（十七）大型活动电气防火安全检测</w:t>
      </w:r>
    </w:p>
    <w:p w14:paraId="6CB03DBF">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1、工作目的</w:t>
      </w:r>
    </w:p>
    <w:p w14:paraId="064EADF9">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投标人须在本项目服务周期内，对四川大学校内举办的大型活动所涉及的场所及临时用电设施进行电气防火安全检测。通过全面、系统的检测，排查电气火灾隐患，确保活动场所电气线路及用电设备符合国家消防技术标准，预防因电气故障引发的火灾事故，保障大型活动期间师生生命财产安全和活动顺利进行。</w:t>
      </w:r>
    </w:p>
    <w:p w14:paraId="6EE40AB0">
      <w:pPr>
        <w:adjustRightInd w:val="0"/>
        <w:snapToGrid w:val="0"/>
        <w:spacing w:line="312" w:lineRule="auto"/>
        <w:ind w:firstLine="480" w:firstLineChars="200"/>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★2、工作依据</w:t>
      </w:r>
    </w:p>
    <w:p w14:paraId="4ECFEA5F">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投标人进行大型活动电气防火安全检测时，须严格遵循以下标准及规范（有变更时按最新版本执行）：</w:t>
      </w:r>
    </w:p>
    <w:p w14:paraId="58FF327A">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(1)《电气装置安装工程 低压电器施工及验收规范》（</w:t>
      </w:r>
      <w:r>
        <w:rPr>
          <w:color w:val="auto"/>
          <w:highlight w:val="none"/>
        </w:rPr>
        <w:fldChar w:fldCharType="begin"/>
      </w:r>
      <w:r>
        <w:rPr>
          <w:color w:val="auto"/>
          <w:highlight w:val="none"/>
        </w:rPr>
        <w:instrText xml:space="preserve"> HYPERLINK "http://www.csres.com/detail/438892.html" \t "http://www.csres.com/_blank" </w:instrText>
      </w:r>
      <w:r>
        <w:rPr>
          <w:color w:val="auto"/>
          <w:highlight w:val="none"/>
        </w:rPr>
        <w:fldChar w:fldCharType="separate"/>
      </w:r>
      <w:r>
        <w:rPr>
          <w:rFonts w:hint="eastAsia" w:ascii="仿宋_GB2312" w:hAnsi="仿宋" w:eastAsia="仿宋_GB2312" w:cs="仿宋"/>
          <w:color w:val="auto"/>
          <w:sz w:val="24"/>
          <w:highlight w:val="none"/>
        </w:rPr>
        <w:t>DL/T 5899-2025</w:t>
      </w:r>
      <w:r>
        <w:rPr>
          <w:rFonts w:hint="eastAsia" w:ascii="仿宋_GB2312" w:hAnsi="仿宋" w:eastAsia="仿宋_GB2312" w:cs="仿宋"/>
          <w:color w:val="auto"/>
          <w:sz w:val="24"/>
          <w:highlight w:val="none"/>
        </w:rPr>
        <w:fldChar w:fldCharType="end"/>
      </w:r>
      <w:r>
        <w:rPr>
          <w:rFonts w:hint="eastAsia" w:ascii="仿宋_GB2312" w:hAnsi="仿宋" w:eastAsia="仿宋_GB2312" w:cs="仿宋"/>
          <w:color w:val="auto"/>
          <w:sz w:val="24"/>
          <w:highlight w:val="none"/>
        </w:rPr>
        <w:t>）；</w:t>
      </w:r>
    </w:p>
    <w:p w14:paraId="2C3DFC48">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(2)《建筑电气工程施工质量验收规范》（GB 50303-2015）；</w:t>
      </w:r>
    </w:p>
    <w:p w14:paraId="45690605">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w:t>
      </w:r>
      <w:r>
        <w:rPr>
          <w:rFonts w:hint="eastAsia" w:ascii="仿宋_GB2312" w:hAnsi="仿宋" w:eastAsia="仿宋_GB2312" w:cs="仿宋"/>
          <w:color w:val="auto"/>
          <w:sz w:val="24"/>
          <w:highlight w:val="none"/>
          <w:shd w:val="clear" w:color="auto" w:fill="FFFFFF"/>
        </w:rPr>
        <w:t>《消防设施通用规范》（GB 55036-2022）；</w:t>
      </w:r>
    </w:p>
    <w:p w14:paraId="4B0B1031">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(4)《建筑设计防火规范(2018年版)》（GB 50016-2014）；</w:t>
      </w:r>
    </w:p>
    <w:p w14:paraId="0A8CC2ED">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(5)其他现行国家、行业电气防火相关技术标准。</w:t>
      </w:r>
    </w:p>
    <w:p w14:paraId="7D31E250">
      <w:pPr>
        <w:adjustRightInd w:val="0"/>
        <w:snapToGrid w:val="0"/>
        <w:spacing w:line="312" w:lineRule="auto"/>
        <w:ind w:firstLine="480" w:firstLineChars="200"/>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★3、检测范围</w:t>
      </w:r>
    </w:p>
    <w:p w14:paraId="5D3BE4B3">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(1)适用范围：投标人负责对采购人指定的校内大型活动（至少包括开学典礼、毕业典礼、校庆活动、重要会议）所涉及的活动场所进行电气防火安全检测。</w:t>
      </w:r>
    </w:p>
    <w:p w14:paraId="4FDEB680">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检测对象：活动场所内固定电气设施（配电室/配电箱、固定线路、照明灯具、插座等）及为活动临时敷设、安装的电气设施（至少包括临时供配电系统、临时线路、临时照明、舞台灯光音响设备、大功率用电设备、临时搭建物内电气设施）。</w:t>
      </w:r>
    </w:p>
    <w:p w14:paraId="2F3CF16D">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(3)检测次数：本项目周期年度内，电气防火安全检测次数不超过6次。</w:t>
      </w:r>
    </w:p>
    <w:p w14:paraId="3AA91471">
      <w:pPr>
        <w:adjustRightInd w:val="0"/>
        <w:snapToGrid w:val="0"/>
        <w:spacing w:line="312" w:lineRule="auto"/>
        <w:ind w:firstLine="480" w:firstLineChars="200"/>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4、隐患整改与复检</w:t>
      </w:r>
    </w:p>
    <w:p w14:paraId="25F050D7">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(1)隐患告知：检测过程中发现电气火灾隐患的，投标人应立即向采购人及活动承办单位书面告知，说明隐患位置、隐患描述、危险等级（严重/一般/轻微）及整改建议。</w:t>
      </w:r>
    </w:p>
    <w:p w14:paraId="7A0CF080">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(2)紧急处置：对可能直接引发火灾的严重隐患（如线路严重过载、绝缘破损漏电、设备异常发热等），投标人应在发现问题后1小时内报告采购人，并协助采取断电、隔离等紧急处置措施。</w:t>
      </w:r>
    </w:p>
    <w:p w14:paraId="68D7D7F1">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(3)整改复检：采购人或活动承办单位完成隐患整改后，投标人应在24小时内进行复检，确认隐患已消除并出具复检结论。复检费用已包含在检测费用内，由投标人承担。</w:t>
      </w:r>
    </w:p>
    <w:p w14:paraId="34767843">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(4)隐患告知、整改复检记录、复检结论纳入专项档案。</w:t>
      </w:r>
    </w:p>
    <w:p w14:paraId="29659396">
      <w:pPr>
        <w:adjustRightInd w:val="0"/>
        <w:snapToGrid w:val="0"/>
        <w:spacing w:line="312" w:lineRule="auto"/>
        <w:ind w:firstLine="480" w:firstLineChars="200"/>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★5、检测报告</w:t>
      </w:r>
    </w:p>
    <w:p w14:paraId="2B53C2DA">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投标人应于检测完成后 2个工作日内，向采购人提交《四川大学（活动名称）电气防火安全检测报告》。</w:t>
      </w:r>
      <w:r>
        <w:rPr>
          <w:rFonts w:hint="eastAsia" w:ascii="仿宋_GB2312" w:hAnsi="仿宋" w:eastAsia="仿宋_GB2312" w:cs="仿宋"/>
          <w:color w:val="auto"/>
          <w:sz w:val="24"/>
          <w:highlight w:val="none"/>
          <w:shd w:val="clear" w:color="auto" w:fill="FFFFFF"/>
        </w:rPr>
        <w:t>检测报告提交后3个工作日内由内业管理专员归档；平台上线后上传指定平台。</w:t>
      </w:r>
    </w:p>
    <w:p w14:paraId="67A9FBA4">
      <w:pPr>
        <w:adjustRightInd w:val="0"/>
        <w:snapToGrid w:val="0"/>
        <w:spacing w:line="312" w:lineRule="auto"/>
        <w:ind w:firstLine="480" w:firstLineChars="200"/>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6、检测人员与设备要求</w:t>
      </w:r>
    </w:p>
    <w:p w14:paraId="1A12FFA8">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人员要求：中标人委派的从事电气防火安全检测的人员应具备电气或消防相关专业能力，具备有效的低压电工操作证或消防设施操作员等相关职业资格证书，并经采购人备案确认后方可从事检测工作。检测人员应熟悉电气防火检测标准及检测方法。</w:t>
      </w:r>
    </w:p>
    <w:p w14:paraId="284A2C95">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检测设备：投标人应配备开展电气防火安全检测所需的仪器设备，至少包括：红外热像仪、绝缘电阻测试仪、接地电阻测试仪、钳形电流表、漏电保护测试仪、照度计等。所有仪器设备应处于良好可用状态，需定期校准的仪器应在有效校准期内。</w:t>
      </w:r>
    </w:p>
    <w:p w14:paraId="511CA673">
      <w:pPr>
        <w:adjustRightInd w:val="0"/>
        <w:snapToGrid w:val="0"/>
        <w:spacing w:line="312" w:lineRule="auto"/>
        <w:ind w:firstLine="480" w:firstLineChars="200"/>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★7、费用承担</w:t>
      </w:r>
    </w:p>
    <w:p w14:paraId="1BEE2633">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大型活动电气防火安全检测工作所需的人工、仪器设备、交通、报告编制全部费用，已包含在服务费内，由投标人承担，采购人不再另行支付。</w:t>
      </w:r>
    </w:p>
    <w:p w14:paraId="0830913D">
      <w:pPr>
        <w:adjustRightInd w:val="0"/>
        <w:snapToGrid w:val="0"/>
        <w:spacing w:line="312" w:lineRule="auto"/>
        <w:ind w:firstLine="480" w:firstLineChars="200"/>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8、响应时效</w:t>
      </w:r>
    </w:p>
    <w:p w14:paraId="44EA34CF">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(1)采购人提出大型活动电气防火安全检测需求后，投标人应在 24小时内响应，安排检测人员对接，并在采购人要求的时间内完成现场检测。</w:t>
      </w:r>
    </w:p>
    <w:p w14:paraId="3A912230">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(2)因投标人响应不及时导致活动延期或造成损失的，由投标人承担相应责任。</w:t>
      </w:r>
    </w:p>
    <w:p w14:paraId="4D2407A5">
      <w:pPr>
        <w:adjustRightInd w:val="0"/>
        <w:snapToGrid w:val="0"/>
        <w:spacing w:line="312" w:lineRule="auto"/>
        <w:ind w:firstLine="480" w:firstLineChars="200"/>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9、检测过程中的保密要求</w:t>
      </w:r>
    </w:p>
    <w:p w14:paraId="1E5AE512">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检测过程中知悉的活动场所内部布局、电气系统配置、安保信息等，均属于保密信息，投标人及其检测人员须严格遵守“保密要求”的相关规定，不得擅自泄露或用于其他用途。</w:t>
      </w:r>
    </w:p>
    <w:p w14:paraId="515D6F3D">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（十八）培训与演练</w:t>
      </w:r>
    </w:p>
    <w:p w14:paraId="18293DD7">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bookmarkStart w:id="38" w:name="heading_44"/>
      <w:r>
        <w:rPr>
          <w:rFonts w:hint="eastAsia" w:ascii="仿宋_GB2312" w:hAnsi="仿宋" w:eastAsia="仿宋_GB2312" w:cs="仿宋"/>
          <w:color w:val="auto"/>
          <w:sz w:val="24"/>
          <w:highlight w:val="none"/>
        </w:rPr>
        <w:t>1、消防系统操作培训</w:t>
      </w:r>
      <w:bookmarkEnd w:id="38"/>
    </w:p>
    <w:p w14:paraId="56CE0770">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在本项目服务周期内，投标人须提供每年每校区不少于四次的消防系统操作培训。对采购人指定人员进行消防设施设备基本运行原理、日常巡检、操作使用、常见故障排除等培训，并留存签到记录及影像资料。培训台账须纳入维保档案模板体系，由参训人员签字确认培训效果。</w:t>
      </w:r>
    </w:p>
    <w:p w14:paraId="35495257">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2、消防模拟演练</w:t>
      </w:r>
    </w:p>
    <w:p w14:paraId="400EB645">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在本项目服务周期内，投标人须提供每年每校区不少于两次的模拟演练，每半年至少一次。每次演练须提前3天将方案报学校消防安全管理部门审批，结束后5个工作日内出具《消防模拟演练总结报告》，内容应包含：演练概况、设施联动响应数据、存在问题、整改措施及人员操作能力评估。</w:t>
      </w:r>
    </w:p>
    <w:p w14:paraId="0133AC8A">
      <w:pPr>
        <w:adjustRightInd w:val="0"/>
        <w:snapToGrid w:val="0"/>
        <w:spacing w:line="312" w:lineRule="auto"/>
        <w:ind w:firstLine="480" w:firstLineChars="200"/>
        <w:jc w:val="left"/>
        <w:outlineLvl w:val="3"/>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rPr>
        <w:t>3、</w:t>
      </w:r>
      <w:r>
        <w:rPr>
          <w:rFonts w:hint="eastAsia" w:ascii="仿宋_GB2312" w:hAnsi="仿宋" w:eastAsia="仿宋_GB2312" w:cs="仿宋"/>
          <w:color w:val="auto"/>
          <w:sz w:val="24"/>
          <w:highlight w:val="none"/>
          <w:shd w:val="clear" w:color="auto" w:fill="FFFFFF"/>
        </w:rPr>
        <w:t>内业归档要求</w:t>
      </w:r>
    </w:p>
    <w:p w14:paraId="70267EE1">
      <w:pPr>
        <w:adjustRightInd w:val="0"/>
        <w:snapToGrid w:val="0"/>
        <w:spacing w:line="312" w:lineRule="auto"/>
        <w:ind w:firstLine="480" w:firstLineChars="200"/>
        <w:jc w:val="left"/>
        <w:rPr>
          <w:rFonts w:ascii="仿宋_GB2312" w:hAnsi="宋体" w:eastAsia="仿宋_GB2312" w:cs="宋体"/>
          <w:color w:val="auto"/>
          <w:sz w:val="24"/>
          <w:highlight w:val="none"/>
        </w:rPr>
      </w:pPr>
      <w:r>
        <w:rPr>
          <w:rFonts w:hint="eastAsia" w:ascii="仿宋_GB2312" w:hAnsi="仿宋" w:eastAsia="仿宋_GB2312" w:cs="仿宋"/>
          <w:color w:val="auto"/>
          <w:sz w:val="24"/>
          <w:highlight w:val="none"/>
          <w:shd w:val="clear" w:color="auto" w:fill="FFFFFF"/>
        </w:rPr>
        <w:t>培训签到、影像资料、考核记录、演练总结报告应纳入维保档案模板体系，由内业管理专员统一归档，并在维保年度报告中汇总。平台上线后，上传指定平台。</w:t>
      </w:r>
    </w:p>
    <w:p w14:paraId="78F647FD">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（十九）保密要求</w:t>
      </w:r>
    </w:p>
    <w:p w14:paraId="41AA2992">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bookmarkStart w:id="39" w:name="heading_39"/>
      <w:r>
        <w:rPr>
          <w:rFonts w:hint="eastAsia" w:ascii="仿宋_GB2312" w:hAnsi="仿宋" w:eastAsia="仿宋_GB2312" w:cs="仿宋"/>
          <w:color w:val="auto"/>
          <w:sz w:val="24"/>
          <w:highlight w:val="none"/>
        </w:rPr>
        <w:t>1、保密范围</w:t>
      </w:r>
      <w:bookmarkEnd w:id="39"/>
    </w:p>
    <w:p w14:paraId="68D6E45E">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投标人及其人员在履行本合同过程中知悉的以下信息，均属于保密信息：</w:t>
      </w:r>
    </w:p>
    <w:p w14:paraId="118CA72C">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(1)校园安全保卫布局，至少包括安保力量配置、安保岗位设置及巡逻路线、安防设备分布点位。</w:t>
      </w:r>
    </w:p>
    <w:p w14:paraId="1FB83FB5">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(2)消防系统核心信息，至少包括消防控制室内部布局及设备配置、火灾自动报警系统平面图纸、消防水源及管网分布图、各建筑消防设施设备详细清单及技术参数。</w:t>
      </w:r>
    </w:p>
    <w:p w14:paraId="0D22E782">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(3)监控及信息化系统信息，至少包括视频监控点位分布图及编号规则、消防远程监控系统账号密码、监控视频存储位置及保存周期。</w:t>
      </w:r>
    </w:p>
    <w:p w14:paraId="589B59A5">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(4)应急管理信息，至少包括突发事件应急预案、消防应急疏散预案、重大活动安保方案。</w:t>
      </w:r>
    </w:p>
    <w:p w14:paraId="273B1BBC">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(5)建筑内部非公开信息，至少包括建筑物内部结构、功能布局及设备配置、重要档案资料室位置及存放内容、未公开的建筑设计图纸及竣工资料。</w:t>
      </w:r>
    </w:p>
    <w:p w14:paraId="3E3431CD">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(6)师生员工个人相关信息。</w:t>
      </w:r>
    </w:p>
    <w:p w14:paraId="4B328CCD">
      <w:pPr>
        <w:adjustRightInd w:val="0"/>
        <w:snapToGrid w:val="0"/>
        <w:spacing w:line="312" w:lineRule="auto"/>
        <w:ind w:firstLine="480" w:firstLineChars="200"/>
        <w:jc w:val="left"/>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shd w:val="clear" w:color="auto" w:fill="FFFFFF"/>
        </w:rPr>
        <w:t>(7)</w:t>
      </w:r>
      <w:r>
        <w:rPr>
          <w:rFonts w:hint="eastAsia" w:ascii="仿宋_GB2312" w:hAnsi="仿宋" w:eastAsia="仿宋_GB2312" w:cs="仿宋"/>
          <w:color w:val="auto"/>
          <w:sz w:val="24"/>
          <w:highlight w:val="none"/>
        </w:rPr>
        <w:t>至少包括</w:t>
      </w:r>
      <w:r>
        <w:rPr>
          <w:rFonts w:hint="eastAsia" w:ascii="仿宋_GB2312" w:hAnsi="仿宋" w:eastAsia="仿宋_GB2312" w:cs="仿宋"/>
          <w:color w:val="auto"/>
          <w:sz w:val="24"/>
          <w:highlight w:val="none"/>
          <w:shd w:val="clear" w:color="auto" w:fill="FFFFFF"/>
        </w:rPr>
        <w:t>指定平台账号、密码、电子档案权限、数据库备份文件信息。</w:t>
      </w:r>
    </w:p>
    <w:p w14:paraId="16161E76">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(8)其他采购人明确要求保密的信息。</w:t>
      </w:r>
    </w:p>
    <w:p w14:paraId="26726112">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bookmarkStart w:id="40" w:name="heading_40"/>
      <w:r>
        <w:rPr>
          <w:rFonts w:hint="eastAsia" w:ascii="仿宋_GB2312" w:hAnsi="仿宋" w:eastAsia="仿宋_GB2312" w:cs="仿宋"/>
          <w:color w:val="auto"/>
          <w:sz w:val="24"/>
          <w:highlight w:val="none"/>
        </w:rPr>
        <w:t>2、保密义务</w:t>
      </w:r>
      <w:bookmarkEnd w:id="40"/>
    </w:p>
    <w:p w14:paraId="6007CEA2">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(1)投标人及其人员仅可将保密信息用于履行本合同，不得用于任何其他用途。</w:t>
      </w:r>
    </w:p>
    <w:p w14:paraId="3EDFDFFC">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(2)投标人及其人员不得擅自拍摄、录制、复制、摘抄、传播或以其他方式泄露保密信息。</w:t>
      </w:r>
    </w:p>
    <w:p w14:paraId="7F061448">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因工作需要确需对涉及保密信息的场所、设备、图纸等进行拍摄或记录的，应事先经采购人及现场当事人批准，并对影像资料中涉及个人隐私的部分进行模糊处理或遮盖，且仅限于当次工作闭环报告使用，使用完毕后应在采购人监督下删除或销毁。</w:t>
      </w:r>
    </w:p>
    <w:p w14:paraId="46C3C4FA">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(4)投标人应采取必要措施，确保其项目组所有人员知悉并遵守本条保密义务。投标人应对其人员违反保密义务的行为承担全部责任。</w:t>
      </w:r>
    </w:p>
    <w:p w14:paraId="56E2E7EA">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w:t>
      </w:r>
      <w:r>
        <w:rPr>
          <w:rFonts w:hint="eastAsia" w:ascii="仿宋_GB2312" w:hAnsi="仿宋" w:eastAsia="仿宋_GB2312" w:cs="仿宋"/>
          <w:color w:val="auto"/>
          <w:sz w:val="24"/>
          <w:highlight w:val="none"/>
          <w:shd w:val="clear" w:color="auto" w:fill="FFFFFF"/>
        </w:rPr>
        <w:t>指定平台账号、密码、电子档案权限、数据库备份文件等均属保密信息。内业管理专员为平台主要操作人，人员变更时应在3个工作日内书面报告采购人，并更换密码。</w:t>
      </w:r>
    </w:p>
    <w:p w14:paraId="411C2628">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bookmarkStart w:id="41" w:name="heading_41"/>
      <w:r>
        <w:rPr>
          <w:rFonts w:hint="eastAsia" w:ascii="仿宋_GB2312" w:hAnsi="仿宋" w:eastAsia="仿宋_GB2312" w:cs="仿宋"/>
          <w:color w:val="auto"/>
          <w:sz w:val="24"/>
          <w:highlight w:val="none"/>
        </w:rPr>
        <w:t>★3、合同到期或终止后的资料处理</w:t>
      </w:r>
      <w:bookmarkEnd w:id="41"/>
    </w:p>
    <w:p w14:paraId="34EB45EA">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合同终止或解除后，投标人应将所有涉及保密信息的资料全部归还或移交采购人，不得私自留存、复制或备份。</w:t>
      </w:r>
    </w:p>
    <w:p w14:paraId="4CE1D28E">
      <w:pPr>
        <w:adjustRightInd w:val="0"/>
        <w:snapToGrid w:val="0"/>
        <w:spacing w:line="312" w:lineRule="auto"/>
        <w:ind w:firstLine="482" w:firstLineChars="200"/>
        <w:jc w:val="left"/>
        <w:outlineLvl w:val="3"/>
        <w:rPr>
          <w:rFonts w:ascii="仿宋_GB2312" w:hAnsi="仿宋" w:eastAsia="仿宋_GB2312" w:cs="仿宋"/>
          <w:color w:val="auto"/>
          <w:sz w:val="24"/>
          <w:highlight w:val="none"/>
        </w:rPr>
      </w:pPr>
      <w:bookmarkStart w:id="42" w:name="heading_42"/>
      <w:r>
        <w:rPr>
          <w:rFonts w:hint="eastAsia" w:ascii="仿宋_GB2312" w:hAnsi="仿宋" w:eastAsia="仿宋_GB2312" w:cs="仿宋"/>
          <w:b/>
          <w:color w:val="auto"/>
          <w:sz w:val="24"/>
          <w:highlight w:val="none"/>
        </w:rPr>
        <w:t>★</w:t>
      </w:r>
      <w:r>
        <w:rPr>
          <w:rFonts w:hint="eastAsia" w:ascii="仿宋_GB2312" w:hAnsi="仿宋" w:eastAsia="仿宋_GB2312" w:cs="仿宋"/>
          <w:color w:val="auto"/>
          <w:sz w:val="24"/>
          <w:highlight w:val="none"/>
        </w:rPr>
        <w:t>4、违约责任</w:t>
      </w:r>
      <w:bookmarkEnd w:id="42"/>
    </w:p>
    <w:p w14:paraId="0828F422">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违反本条保密义务的，采购人有权依据本文件“责任认定及违约行为处理”条款追究投标人违约责任，情节严重的，采购人有权单方解除合同。</w:t>
      </w:r>
      <w:bookmarkStart w:id="43" w:name="heading_46"/>
    </w:p>
    <w:p w14:paraId="436C3B45">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（二十）责任认定</w:t>
      </w:r>
      <w:bookmarkEnd w:id="43"/>
      <w:r>
        <w:rPr>
          <w:rFonts w:hint="eastAsia" w:ascii="仿宋_GB2312" w:hAnsi="仿宋" w:eastAsia="仿宋_GB2312" w:cs="仿宋"/>
          <w:color w:val="auto"/>
          <w:sz w:val="24"/>
          <w:highlight w:val="none"/>
        </w:rPr>
        <w:t>及违约行为处理</w:t>
      </w:r>
    </w:p>
    <w:p w14:paraId="36330BEE">
      <w:pPr>
        <w:adjustRightInd w:val="0"/>
        <w:snapToGrid w:val="0"/>
        <w:spacing w:line="312" w:lineRule="auto"/>
        <w:ind w:firstLine="482" w:firstLineChars="200"/>
        <w:jc w:val="left"/>
        <w:outlineLvl w:val="3"/>
        <w:rPr>
          <w:rFonts w:ascii="仿宋_GB2312" w:hAnsi="仿宋" w:eastAsia="仿宋_GB2312" w:cs="仿宋"/>
          <w:color w:val="auto"/>
          <w:sz w:val="24"/>
          <w:highlight w:val="none"/>
        </w:rPr>
      </w:pPr>
      <w:bookmarkStart w:id="44" w:name="heading_47"/>
      <w:r>
        <w:rPr>
          <w:rFonts w:hint="eastAsia" w:ascii="仿宋_GB2312" w:hAnsi="仿宋" w:eastAsia="仿宋_GB2312" w:cs="仿宋"/>
          <w:b/>
          <w:color w:val="auto"/>
          <w:sz w:val="24"/>
          <w:highlight w:val="none"/>
        </w:rPr>
        <w:t>★</w:t>
      </w:r>
      <w:r>
        <w:rPr>
          <w:rFonts w:hint="eastAsia" w:ascii="仿宋_GB2312" w:hAnsi="仿宋" w:eastAsia="仿宋_GB2312" w:cs="仿宋"/>
          <w:color w:val="auto"/>
          <w:sz w:val="24"/>
          <w:highlight w:val="none"/>
        </w:rPr>
        <w:t>1、责任认定</w:t>
      </w:r>
      <w:bookmarkEnd w:id="44"/>
    </w:p>
    <w:p w14:paraId="2EE75A79">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因投标人维保不力，且该不力行为系导致维保范围内消防设施设备在火灾事故发生时不能发挥相应作用的直接原因之一，造成人身财产损失的，由投标人依法承担相应的法律责任。若火灾事故系多方原因共同造成的，投标人按过错程度承担相应责任。涉及火灾事故中投标人过错程度认定的，采购人应委托具备资质的第三方火灾事故调查机构出具技术分析报告，以该报告认定的过错参与度作为采购人认定责任的主要参考依据。投标人有权对报告结论提出异议，并可自行委托具备资质的机构出具技术意见。</w:t>
      </w:r>
    </w:p>
    <w:p w14:paraId="036908DF">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(2)因投标人违反相关安全操作规程或现场安全防护不到位，造成人员伤亡和（或）财产损失的，由投标人依法承担相应的法律责任。</w:t>
      </w:r>
    </w:p>
    <w:p w14:paraId="525B7810">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(3)因投标人无正当理由推诿、阻拦等原因延误抢修进度，造成损失扩大的，由投标人就扩大损失部分依法承担相应的法律责任。</w:t>
      </w:r>
    </w:p>
    <w:p w14:paraId="1DC83ACE">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(4)因投标人及其人员违反保密义务，造成信息泄露或引发安全事件的，由投标人依法承担全部赔偿责任及其他法律责任。</w:t>
      </w:r>
    </w:p>
    <w:p w14:paraId="77AADDA4">
      <w:pPr>
        <w:adjustRightInd w:val="0"/>
        <w:snapToGrid w:val="0"/>
        <w:spacing w:line="312" w:lineRule="auto"/>
        <w:ind w:firstLine="482" w:firstLineChars="200"/>
        <w:jc w:val="left"/>
        <w:outlineLvl w:val="3"/>
        <w:rPr>
          <w:rFonts w:ascii="仿宋_GB2312" w:hAnsi="仿宋" w:eastAsia="仿宋_GB2312" w:cs="仿宋"/>
          <w:color w:val="auto"/>
          <w:sz w:val="24"/>
          <w:highlight w:val="none"/>
          <w:shd w:val="clear" w:color="auto" w:fill="FFFFFF"/>
        </w:rPr>
      </w:pPr>
      <w:r>
        <w:rPr>
          <w:rFonts w:hint="eastAsia" w:ascii="仿宋_GB2312" w:hAnsi="仿宋" w:eastAsia="仿宋_GB2312" w:cs="仿宋"/>
          <w:b/>
          <w:color w:val="auto"/>
          <w:sz w:val="24"/>
          <w:highlight w:val="none"/>
        </w:rPr>
        <w:t>★</w:t>
      </w:r>
      <w:r>
        <w:rPr>
          <w:rFonts w:hint="eastAsia" w:ascii="仿宋_GB2312" w:hAnsi="仿宋" w:eastAsia="仿宋_GB2312" w:cs="仿宋"/>
          <w:color w:val="auto"/>
          <w:sz w:val="24"/>
          <w:highlight w:val="none"/>
        </w:rPr>
        <w:t>2、</w:t>
      </w:r>
      <w:r>
        <w:rPr>
          <w:rFonts w:hint="eastAsia" w:ascii="仿宋_GB2312" w:hAnsi="仿宋" w:eastAsia="仿宋_GB2312" w:cs="仿宋"/>
          <w:color w:val="auto"/>
          <w:sz w:val="24"/>
          <w:highlight w:val="none"/>
          <w:shd w:val="clear" w:color="auto" w:fill="FFFFFF"/>
        </w:rPr>
        <w:t>违约行为分类</w:t>
      </w:r>
    </w:p>
    <w:p w14:paraId="7841C363">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将违约行为按严重程度分为三类：</w:t>
      </w:r>
    </w:p>
    <w:tbl>
      <w:tblPr>
        <w:tblStyle w:val="12"/>
        <w:tblW w:w="8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15" w:type="dxa"/>
          <w:left w:w="15" w:type="dxa"/>
          <w:bottom w:w="15" w:type="dxa"/>
          <w:right w:w="15" w:type="dxa"/>
        </w:tblCellMar>
      </w:tblPr>
      <w:tblGrid>
        <w:gridCol w:w="1226"/>
        <w:gridCol w:w="3457"/>
        <w:gridCol w:w="4195"/>
      </w:tblGrid>
      <w:tr w14:paraId="6AB06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blHeader/>
          <w:jc w:val="center"/>
        </w:trPr>
        <w:tc>
          <w:tcPr>
            <w:tcW w:w="1226" w:type="dxa"/>
            <w:shd w:val="clear" w:color="auto" w:fill="FFFFFF"/>
            <w:tcMar>
              <w:top w:w="150" w:type="dxa"/>
              <w:left w:w="0" w:type="dxa"/>
              <w:bottom w:w="150" w:type="dxa"/>
              <w:right w:w="240" w:type="dxa"/>
            </w:tcMar>
            <w:vAlign w:val="center"/>
          </w:tcPr>
          <w:p w14:paraId="3E4E2414">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类别</w:t>
            </w:r>
          </w:p>
        </w:tc>
        <w:tc>
          <w:tcPr>
            <w:tcW w:w="3457" w:type="dxa"/>
            <w:shd w:val="clear" w:color="auto" w:fill="FFFFFF"/>
            <w:tcMar>
              <w:top w:w="150" w:type="dxa"/>
              <w:left w:w="240" w:type="dxa"/>
              <w:bottom w:w="150" w:type="dxa"/>
              <w:right w:w="240" w:type="dxa"/>
            </w:tcMar>
            <w:vAlign w:val="center"/>
          </w:tcPr>
          <w:p w14:paraId="6DEA166A">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定义</w:t>
            </w:r>
          </w:p>
        </w:tc>
        <w:tc>
          <w:tcPr>
            <w:tcW w:w="4195" w:type="dxa"/>
            <w:shd w:val="clear" w:color="auto" w:fill="FFFFFF"/>
            <w:tcMar>
              <w:top w:w="150" w:type="dxa"/>
              <w:left w:w="240" w:type="dxa"/>
              <w:bottom w:w="150" w:type="dxa"/>
              <w:right w:w="240" w:type="dxa"/>
            </w:tcMar>
            <w:vAlign w:val="center"/>
          </w:tcPr>
          <w:p w14:paraId="58837437">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典型情形</w:t>
            </w:r>
          </w:p>
        </w:tc>
      </w:tr>
      <w:tr w14:paraId="414AC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226" w:type="dxa"/>
            <w:shd w:val="clear" w:color="auto" w:fill="FFFFFF"/>
            <w:tcMar>
              <w:top w:w="150" w:type="dxa"/>
              <w:left w:w="0" w:type="dxa"/>
              <w:bottom w:w="150" w:type="dxa"/>
              <w:right w:w="240" w:type="dxa"/>
            </w:tcMar>
            <w:vAlign w:val="center"/>
          </w:tcPr>
          <w:p w14:paraId="4D4E7035">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一般违约</w:t>
            </w:r>
          </w:p>
        </w:tc>
        <w:tc>
          <w:tcPr>
            <w:tcW w:w="3457" w:type="dxa"/>
            <w:shd w:val="clear" w:color="auto" w:fill="FFFFFF"/>
            <w:tcMar>
              <w:top w:w="150" w:type="dxa"/>
              <w:left w:w="240" w:type="dxa"/>
              <w:bottom w:w="150" w:type="dxa"/>
              <w:right w:w="240" w:type="dxa"/>
            </w:tcMar>
            <w:vAlign w:val="center"/>
          </w:tcPr>
          <w:p w14:paraId="31A62A76">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未按合同约定履行义务，但未造成实质影响</w:t>
            </w:r>
          </w:p>
        </w:tc>
        <w:tc>
          <w:tcPr>
            <w:tcW w:w="4195" w:type="dxa"/>
            <w:shd w:val="clear" w:color="auto" w:fill="FFFFFF"/>
            <w:tcMar>
              <w:top w:w="150" w:type="dxa"/>
              <w:left w:w="240" w:type="dxa"/>
              <w:bottom w:w="150" w:type="dxa"/>
              <w:right w:w="0" w:type="dxa"/>
            </w:tcMar>
            <w:vAlign w:val="center"/>
          </w:tcPr>
          <w:p w14:paraId="2094ACAF">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未按时提交报告、记录不完整、人员未在岗</w:t>
            </w:r>
          </w:p>
        </w:tc>
      </w:tr>
      <w:tr w14:paraId="7EA0F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226" w:type="dxa"/>
            <w:shd w:val="clear" w:color="auto" w:fill="FFFFFF"/>
            <w:tcMar>
              <w:top w:w="150" w:type="dxa"/>
              <w:left w:w="0" w:type="dxa"/>
              <w:bottom w:w="150" w:type="dxa"/>
              <w:right w:w="240" w:type="dxa"/>
            </w:tcMar>
            <w:vAlign w:val="center"/>
          </w:tcPr>
          <w:p w14:paraId="05D68130">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较重违约</w:t>
            </w:r>
          </w:p>
        </w:tc>
        <w:tc>
          <w:tcPr>
            <w:tcW w:w="3457" w:type="dxa"/>
            <w:shd w:val="clear" w:color="auto" w:fill="FFFFFF"/>
            <w:tcMar>
              <w:top w:w="150" w:type="dxa"/>
              <w:left w:w="240" w:type="dxa"/>
              <w:bottom w:w="150" w:type="dxa"/>
              <w:right w:w="240" w:type="dxa"/>
            </w:tcMar>
            <w:vAlign w:val="center"/>
          </w:tcPr>
          <w:p w14:paraId="48C2B94A">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违约行为造成一定影响或重复发生</w:t>
            </w:r>
          </w:p>
        </w:tc>
        <w:tc>
          <w:tcPr>
            <w:tcW w:w="4195" w:type="dxa"/>
            <w:shd w:val="clear" w:color="auto" w:fill="FFFFFF"/>
            <w:tcMar>
              <w:top w:w="150" w:type="dxa"/>
              <w:left w:w="240" w:type="dxa"/>
              <w:bottom w:w="150" w:type="dxa"/>
              <w:right w:w="0" w:type="dxa"/>
            </w:tcMar>
            <w:vAlign w:val="center"/>
          </w:tcPr>
          <w:p w14:paraId="2A789CEC">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累计3次书面警告未整改、考核连续低于80分、未按要求补录历史数据</w:t>
            </w:r>
          </w:p>
        </w:tc>
      </w:tr>
      <w:tr w14:paraId="33FEE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226" w:type="dxa"/>
            <w:shd w:val="clear" w:color="auto" w:fill="FFFFFF"/>
            <w:tcMar>
              <w:top w:w="150" w:type="dxa"/>
              <w:left w:w="0" w:type="dxa"/>
              <w:bottom w:w="150" w:type="dxa"/>
              <w:right w:w="240" w:type="dxa"/>
            </w:tcMar>
            <w:vAlign w:val="center"/>
          </w:tcPr>
          <w:p w14:paraId="35C5C1CE">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严重违约</w:t>
            </w:r>
          </w:p>
        </w:tc>
        <w:tc>
          <w:tcPr>
            <w:tcW w:w="3457" w:type="dxa"/>
            <w:shd w:val="clear" w:color="auto" w:fill="FFFFFF"/>
            <w:tcMar>
              <w:top w:w="150" w:type="dxa"/>
              <w:left w:w="240" w:type="dxa"/>
              <w:bottom w:w="150" w:type="dxa"/>
              <w:right w:w="240" w:type="dxa"/>
            </w:tcMar>
            <w:vAlign w:val="center"/>
          </w:tcPr>
          <w:p w14:paraId="28D47349">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违约行为造成重大影响或根本性违反合同</w:t>
            </w:r>
          </w:p>
        </w:tc>
        <w:tc>
          <w:tcPr>
            <w:tcW w:w="4195" w:type="dxa"/>
            <w:shd w:val="clear" w:color="auto" w:fill="FFFFFF"/>
            <w:tcMar>
              <w:top w:w="150" w:type="dxa"/>
              <w:left w:w="240" w:type="dxa"/>
              <w:bottom w:w="150" w:type="dxa"/>
              <w:right w:w="0" w:type="dxa"/>
            </w:tcMar>
            <w:vAlign w:val="center"/>
          </w:tcPr>
          <w:p w14:paraId="44F7BDBD">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维保不力导致火灾事故、弄虚作假、拒绝应急抢修、泄露保密信息</w:t>
            </w:r>
          </w:p>
        </w:tc>
      </w:tr>
    </w:tbl>
    <w:p w14:paraId="3B0A5E63">
      <w:pPr>
        <w:adjustRightInd w:val="0"/>
        <w:snapToGrid w:val="0"/>
        <w:spacing w:line="312" w:lineRule="auto"/>
        <w:ind w:firstLine="482"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b/>
          <w:color w:val="auto"/>
          <w:sz w:val="24"/>
          <w:highlight w:val="none"/>
        </w:rPr>
        <w:t>★</w:t>
      </w:r>
      <w:r>
        <w:rPr>
          <w:rFonts w:hint="eastAsia" w:ascii="仿宋_GB2312" w:hAnsi="仿宋" w:eastAsia="仿宋_GB2312" w:cs="仿宋"/>
          <w:color w:val="auto"/>
          <w:sz w:val="24"/>
          <w:highlight w:val="none"/>
          <w:shd w:val="clear" w:color="auto" w:fill="FFFFFF"/>
        </w:rPr>
        <w:t>3、处理措施</w:t>
      </w:r>
    </w:p>
    <w:tbl>
      <w:tblPr>
        <w:tblStyle w:val="12"/>
        <w:tblW w:w="89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15" w:type="dxa"/>
          <w:left w:w="15" w:type="dxa"/>
          <w:bottom w:w="15" w:type="dxa"/>
          <w:right w:w="15" w:type="dxa"/>
        </w:tblCellMar>
      </w:tblPr>
      <w:tblGrid>
        <w:gridCol w:w="1238"/>
        <w:gridCol w:w="2566"/>
        <w:gridCol w:w="2864"/>
        <w:gridCol w:w="2268"/>
      </w:tblGrid>
      <w:tr w14:paraId="1C2C5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1262" w:hRule="atLeast"/>
          <w:tblHeader/>
        </w:trPr>
        <w:tc>
          <w:tcPr>
            <w:tcW w:w="1238" w:type="dxa"/>
            <w:shd w:val="clear" w:color="auto" w:fill="FFFFFF"/>
            <w:tcMar>
              <w:top w:w="150" w:type="dxa"/>
              <w:left w:w="0" w:type="dxa"/>
              <w:bottom w:w="150" w:type="dxa"/>
              <w:right w:w="240" w:type="dxa"/>
            </w:tcMar>
            <w:vAlign w:val="center"/>
          </w:tcPr>
          <w:p w14:paraId="3EC15426">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违约类别</w:t>
            </w:r>
          </w:p>
        </w:tc>
        <w:tc>
          <w:tcPr>
            <w:tcW w:w="2566" w:type="dxa"/>
            <w:shd w:val="clear" w:color="auto" w:fill="FFFFFF"/>
            <w:tcMar>
              <w:top w:w="150" w:type="dxa"/>
              <w:left w:w="240" w:type="dxa"/>
              <w:bottom w:w="150" w:type="dxa"/>
              <w:right w:w="240" w:type="dxa"/>
            </w:tcMar>
            <w:vAlign w:val="center"/>
          </w:tcPr>
          <w:p w14:paraId="48A9357C">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具体措施</w:t>
            </w:r>
          </w:p>
        </w:tc>
        <w:tc>
          <w:tcPr>
            <w:tcW w:w="2864" w:type="dxa"/>
            <w:shd w:val="clear" w:color="auto" w:fill="FFFFFF"/>
            <w:tcMar>
              <w:top w:w="150" w:type="dxa"/>
              <w:left w:w="240" w:type="dxa"/>
              <w:bottom w:w="150" w:type="dxa"/>
              <w:right w:w="240" w:type="dxa"/>
            </w:tcMar>
            <w:vAlign w:val="center"/>
          </w:tcPr>
          <w:p w14:paraId="1F359FC5">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适用情形</w:t>
            </w:r>
          </w:p>
        </w:tc>
        <w:tc>
          <w:tcPr>
            <w:tcW w:w="2268" w:type="dxa"/>
            <w:shd w:val="clear" w:color="auto" w:fill="FFFFFF"/>
            <w:tcMar>
              <w:top w:w="150" w:type="dxa"/>
              <w:left w:w="240" w:type="dxa"/>
              <w:bottom w:w="150" w:type="dxa"/>
              <w:right w:w="240" w:type="dxa"/>
            </w:tcMar>
            <w:vAlign w:val="center"/>
          </w:tcPr>
          <w:p w14:paraId="0E4E2B78">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升级/衔接规则</w:t>
            </w:r>
          </w:p>
        </w:tc>
      </w:tr>
      <w:tr w14:paraId="2C3CB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c>
          <w:tcPr>
            <w:tcW w:w="1238" w:type="dxa"/>
            <w:shd w:val="clear" w:color="auto" w:fill="FFFFFF"/>
            <w:tcMar>
              <w:top w:w="150" w:type="dxa"/>
              <w:left w:w="0" w:type="dxa"/>
              <w:bottom w:w="150" w:type="dxa"/>
              <w:right w:w="240" w:type="dxa"/>
            </w:tcMar>
            <w:vAlign w:val="center"/>
          </w:tcPr>
          <w:p w14:paraId="0A207DE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一般违约</w:t>
            </w:r>
          </w:p>
        </w:tc>
        <w:tc>
          <w:tcPr>
            <w:tcW w:w="2566" w:type="dxa"/>
            <w:shd w:val="clear" w:color="auto" w:fill="FFFFFF"/>
            <w:tcMar>
              <w:top w:w="150" w:type="dxa"/>
              <w:left w:w="240" w:type="dxa"/>
              <w:bottom w:w="150" w:type="dxa"/>
              <w:right w:w="240" w:type="dxa"/>
            </w:tcMar>
            <w:vAlign w:val="center"/>
          </w:tcPr>
          <w:p w14:paraId="41693DE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1.采购人发出书面警告，责令限期整改；2.整改期限15个日历天；3.中标人在5个日历天内提交书面整改报告</w:t>
            </w:r>
          </w:p>
        </w:tc>
        <w:tc>
          <w:tcPr>
            <w:tcW w:w="2864" w:type="dxa"/>
            <w:shd w:val="clear" w:color="auto" w:fill="FFFFFF"/>
            <w:tcMar>
              <w:top w:w="150" w:type="dxa"/>
              <w:left w:w="240" w:type="dxa"/>
              <w:bottom w:w="150" w:type="dxa"/>
              <w:right w:w="240" w:type="dxa"/>
            </w:tcMar>
            <w:vAlign w:val="center"/>
          </w:tcPr>
          <w:p w14:paraId="3629EC2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未按合同约定履行义务，但未造成实质影响，如：未按时提交报告、记录不完整、人员未在岗。</w:t>
            </w:r>
          </w:p>
        </w:tc>
        <w:tc>
          <w:tcPr>
            <w:tcW w:w="2268" w:type="dxa"/>
            <w:shd w:val="clear" w:color="auto" w:fill="FFFFFF"/>
            <w:tcMar>
              <w:top w:w="150" w:type="dxa"/>
              <w:left w:w="240" w:type="dxa"/>
              <w:bottom w:w="150" w:type="dxa"/>
              <w:right w:w="0" w:type="dxa"/>
            </w:tcMar>
            <w:vAlign w:val="center"/>
          </w:tcPr>
          <w:p w14:paraId="263D6A7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同一问题连续三次书面警告后仍未整改或整改不合格的，升级为较重违约。</w:t>
            </w:r>
          </w:p>
        </w:tc>
      </w:tr>
      <w:tr w14:paraId="51DE1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c>
          <w:tcPr>
            <w:tcW w:w="1238" w:type="dxa"/>
            <w:shd w:val="clear" w:color="auto" w:fill="FFFFFF"/>
            <w:tcMar>
              <w:top w:w="150" w:type="dxa"/>
              <w:left w:w="0" w:type="dxa"/>
              <w:bottom w:w="150" w:type="dxa"/>
              <w:right w:w="240" w:type="dxa"/>
            </w:tcMar>
            <w:vAlign w:val="center"/>
          </w:tcPr>
          <w:p w14:paraId="6D2A843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较重违约</w:t>
            </w:r>
          </w:p>
        </w:tc>
        <w:tc>
          <w:tcPr>
            <w:tcW w:w="2566" w:type="dxa"/>
            <w:shd w:val="clear" w:color="auto" w:fill="FFFFFF"/>
            <w:tcMar>
              <w:top w:w="150" w:type="dxa"/>
              <w:left w:w="240" w:type="dxa"/>
              <w:bottom w:w="150" w:type="dxa"/>
              <w:right w:w="240" w:type="dxa"/>
            </w:tcMar>
            <w:vAlign w:val="center"/>
          </w:tcPr>
          <w:p w14:paraId="17A7DDD4">
            <w:pPr>
              <w:widowControl/>
              <w:numPr>
                <w:ilvl w:val="0"/>
                <w:numId w:val="5"/>
              </w:numPr>
              <w:adjustRightInd w:val="0"/>
              <w:snapToGrid w:val="0"/>
              <w:spacing w:line="312" w:lineRule="auto"/>
              <w:ind w:left="0"/>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shd w:val="clear" w:color="auto" w:fill="FFFFFF"/>
              </w:rPr>
              <w:t>1.扣除履约保证金的50%，但扣除金额应与中标人违约行为给采购人造成的实际损失相当。中标人有权在收到扣除通知后10个工作日内提出书面异议，并提供相关证据材料。采购人应在收到异议后15个工作日内作出书面答复；</w:t>
            </w:r>
          </w:p>
          <w:p w14:paraId="573FD80A">
            <w:pPr>
              <w:widowControl/>
              <w:numPr>
                <w:ilvl w:val="0"/>
                <w:numId w:val="5"/>
              </w:numPr>
              <w:adjustRightInd w:val="0"/>
              <w:snapToGrid w:val="0"/>
              <w:spacing w:line="312" w:lineRule="auto"/>
              <w:ind w:left="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2.要求中标人更换项目负责人或相关责任人员；</w:t>
            </w:r>
          </w:p>
          <w:p w14:paraId="49179618">
            <w:pPr>
              <w:widowControl/>
              <w:numPr>
                <w:ilvl w:val="0"/>
                <w:numId w:val="5"/>
              </w:numPr>
              <w:adjustRightInd w:val="0"/>
              <w:snapToGrid w:val="0"/>
              <w:spacing w:line="312" w:lineRule="auto"/>
              <w:ind w:left="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3.按“维保服务考核办法”扣减服务费（不适用于已按考核得分扣减的情形）</w:t>
            </w:r>
          </w:p>
        </w:tc>
        <w:tc>
          <w:tcPr>
            <w:tcW w:w="2864" w:type="dxa"/>
            <w:shd w:val="clear" w:color="auto" w:fill="FFFFFF"/>
            <w:tcMar>
              <w:top w:w="150" w:type="dxa"/>
              <w:left w:w="240" w:type="dxa"/>
              <w:bottom w:w="150" w:type="dxa"/>
              <w:right w:w="240" w:type="dxa"/>
            </w:tcMar>
            <w:vAlign w:val="center"/>
          </w:tcPr>
          <w:p w14:paraId="2C494174">
            <w:pPr>
              <w:adjustRightInd w:val="0"/>
              <w:snapToGrid w:val="0"/>
              <w:spacing w:line="312" w:lineRule="auto"/>
              <w:jc w:val="left"/>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shd w:val="clear" w:color="auto" w:fill="FFFFFF"/>
              </w:rPr>
              <w:t>1. 同一问题累计收到3次书面警告仍未整改到位的；</w:t>
            </w:r>
          </w:p>
          <w:p w14:paraId="37B6E3A2">
            <w:pPr>
              <w:adjustRightInd w:val="0"/>
              <w:snapToGrid w:val="0"/>
              <w:spacing w:line="312" w:lineRule="auto"/>
              <w:jc w:val="left"/>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shd w:val="clear" w:color="auto" w:fill="FFFFFF"/>
              </w:rPr>
              <w:t>2. 连续2个月考核得分低于80分的；</w:t>
            </w:r>
          </w:p>
          <w:p w14:paraId="66B9D2DA">
            <w:pPr>
              <w:adjustRightInd w:val="0"/>
              <w:snapToGrid w:val="0"/>
              <w:spacing w:line="312" w:lineRule="auto"/>
              <w:jc w:val="left"/>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shd w:val="clear" w:color="auto" w:fill="FFFFFF"/>
              </w:rPr>
              <w:t>3. 周期年度内累计3个月考核得分低于80分的；</w:t>
            </w:r>
          </w:p>
          <w:p w14:paraId="000A85E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4. 未按要求补录平台历史数据，经书面催告后仍未完成的</w:t>
            </w:r>
          </w:p>
        </w:tc>
        <w:tc>
          <w:tcPr>
            <w:tcW w:w="2268" w:type="dxa"/>
            <w:shd w:val="clear" w:color="auto" w:fill="FFFFFF"/>
            <w:tcMar>
              <w:top w:w="150" w:type="dxa"/>
              <w:left w:w="240" w:type="dxa"/>
              <w:bottom w:w="150" w:type="dxa"/>
              <w:right w:w="0" w:type="dxa"/>
            </w:tcMar>
            <w:vAlign w:val="center"/>
          </w:tcPr>
          <w:p w14:paraId="0AE6F25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同一行为同时符合较重违约和严重违约的，按严重违约处理</w:t>
            </w:r>
          </w:p>
        </w:tc>
      </w:tr>
      <w:tr w14:paraId="1E3B7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38" w:type="dxa"/>
            <w:shd w:val="clear" w:color="auto" w:fill="FFFFFF"/>
            <w:tcMar>
              <w:top w:w="150" w:type="dxa"/>
              <w:left w:w="0" w:type="dxa"/>
              <w:bottom w:w="150" w:type="dxa"/>
              <w:right w:w="240" w:type="dxa"/>
            </w:tcMar>
            <w:vAlign w:val="center"/>
          </w:tcPr>
          <w:p w14:paraId="4FA9856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严重违约</w:t>
            </w:r>
          </w:p>
        </w:tc>
        <w:tc>
          <w:tcPr>
            <w:tcW w:w="2566" w:type="dxa"/>
            <w:shd w:val="clear" w:color="auto" w:fill="FFFFFF"/>
            <w:tcMar>
              <w:top w:w="150" w:type="dxa"/>
              <w:left w:w="240" w:type="dxa"/>
              <w:bottom w:w="150" w:type="dxa"/>
              <w:right w:w="240" w:type="dxa"/>
            </w:tcMar>
            <w:vAlign w:val="center"/>
          </w:tcPr>
          <w:p w14:paraId="33467C21">
            <w:pPr>
              <w:adjustRightInd w:val="0"/>
              <w:snapToGrid w:val="0"/>
              <w:spacing w:line="312" w:lineRule="auto"/>
              <w:jc w:val="left"/>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shd w:val="clear" w:color="auto" w:fill="FFFFFF"/>
              </w:rPr>
              <w:t>1.单方解除合同，不承担任何违约责任；</w:t>
            </w:r>
          </w:p>
          <w:p w14:paraId="1F2458A6">
            <w:pPr>
              <w:adjustRightInd w:val="0"/>
              <w:snapToGrid w:val="0"/>
              <w:spacing w:line="312" w:lineRule="auto"/>
              <w:jc w:val="left"/>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shd w:val="clear" w:color="auto" w:fill="FFFFFF"/>
              </w:rPr>
              <w:t>2.不予退还全部履约保证金，但采购人应就实际损失与履约保证金金额之间的关系作出合理说明。中标人有权在收到不予退还通知后10个工作日内提出书面异议，双方对扣除金额存在争议的，按合同争议解决条款处理；</w:t>
            </w:r>
          </w:p>
          <w:p w14:paraId="00AE3951">
            <w:pPr>
              <w:adjustRightInd w:val="0"/>
              <w:snapToGrid w:val="0"/>
              <w:spacing w:line="312" w:lineRule="auto"/>
              <w:jc w:val="left"/>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shd w:val="clear" w:color="auto" w:fill="FFFFFF"/>
              </w:rPr>
              <w:t>3.按实际服务天数结算当期服务费；</w:t>
            </w:r>
          </w:p>
          <w:p w14:paraId="5CA8115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4.依法追究赔偿责任</w:t>
            </w:r>
          </w:p>
        </w:tc>
        <w:tc>
          <w:tcPr>
            <w:tcW w:w="2864" w:type="dxa"/>
            <w:shd w:val="clear" w:color="auto" w:fill="FFFFFF"/>
            <w:tcMar>
              <w:top w:w="150" w:type="dxa"/>
              <w:left w:w="240" w:type="dxa"/>
              <w:bottom w:w="150" w:type="dxa"/>
              <w:right w:w="240" w:type="dxa"/>
            </w:tcMar>
            <w:vAlign w:val="center"/>
          </w:tcPr>
          <w:p w14:paraId="73FC54D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 因中标人维保不力，且该不力行为系导致维保范围内消防设施设备在火灾事故发生时不能发挥相应作用的直接原因之一；</w:t>
            </w:r>
            <w:r>
              <w:rPr>
                <w:rFonts w:hint="eastAsia" w:ascii="仿宋_GB2312" w:hAnsi="仿宋" w:eastAsia="仿宋_GB2312" w:cs="仿宋"/>
                <w:color w:val="auto"/>
                <w:sz w:val="24"/>
                <w:highlight w:val="none"/>
              </w:rPr>
              <w:br w:type="textWrapping"/>
            </w:r>
            <w:r>
              <w:rPr>
                <w:rFonts w:hint="eastAsia" w:ascii="仿宋_GB2312" w:hAnsi="仿宋" w:eastAsia="仿宋_GB2312" w:cs="仿宋"/>
                <w:color w:val="auto"/>
                <w:sz w:val="24"/>
                <w:highlight w:val="none"/>
              </w:rPr>
              <w:t>2. 中标人无正当理由拒绝或拖延经采购人临时授权或书面委托的应急抢修，导致损失扩大的；</w:t>
            </w:r>
            <w:r>
              <w:rPr>
                <w:rFonts w:hint="eastAsia" w:ascii="仿宋_GB2312" w:hAnsi="仿宋" w:eastAsia="仿宋_GB2312" w:cs="仿宋"/>
                <w:color w:val="auto"/>
                <w:sz w:val="24"/>
                <w:highlight w:val="none"/>
              </w:rPr>
              <w:br w:type="textWrapping"/>
            </w:r>
            <w:r>
              <w:rPr>
                <w:rFonts w:hint="eastAsia" w:ascii="仿宋_GB2312" w:hAnsi="仿宋" w:eastAsia="仿宋_GB2312" w:cs="仿宋"/>
                <w:color w:val="auto"/>
                <w:sz w:val="24"/>
                <w:highlight w:val="none"/>
              </w:rPr>
              <w:t>3. 中标人出具的维保报告、检测报告或平台数据存在弄虚作假；</w:t>
            </w:r>
            <w:r>
              <w:rPr>
                <w:rFonts w:hint="eastAsia" w:ascii="仿宋_GB2312" w:hAnsi="仿宋" w:eastAsia="仿宋_GB2312" w:cs="仿宋"/>
                <w:color w:val="auto"/>
                <w:sz w:val="24"/>
                <w:highlight w:val="none"/>
              </w:rPr>
              <w:br w:type="textWrapping"/>
            </w:r>
            <w:r>
              <w:rPr>
                <w:rFonts w:hint="eastAsia" w:ascii="仿宋_GB2312" w:hAnsi="仿宋" w:eastAsia="仿宋_GB2312" w:cs="仿宋"/>
                <w:color w:val="auto"/>
                <w:sz w:val="24"/>
                <w:highlight w:val="none"/>
              </w:rPr>
              <w:t>4. 中标人违反保密义务，造成信息泄露或引发安全事件；</w:t>
            </w:r>
            <w:r>
              <w:rPr>
                <w:rFonts w:hint="eastAsia" w:ascii="仿宋_GB2312" w:hAnsi="仿宋" w:eastAsia="仿宋_GB2312" w:cs="仿宋"/>
                <w:color w:val="auto"/>
                <w:sz w:val="24"/>
                <w:highlight w:val="none"/>
              </w:rPr>
              <w:br w:type="textWrapping"/>
            </w:r>
            <w:r>
              <w:rPr>
                <w:rFonts w:hint="eastAsia" w:ascii="仿宋_GB2312" w:hAnsi="仿宋" w:eastAsia="仿宋_GB2312" w:cs="仿宋"/>
                <w:color w:val="auto"/>
                <w:sz w:val="24"/>
                <w:highlight w:val="none"/>
              </w:rPr>
              <w:t>5. 因中标人原因造成人身伤亡或重大财产损失事故；</w:t>
            </w:r>
            <w:r>
              <w:rPr>
                <w:rFonts w:hint="eastAsia" w:ascii="仿宋_GB2312" w:hAnsi="仿宋" w:eastAsia="仿宋_GB2312" w:cs="仿宋"/>
                <w:color w:val="auto"/>
                <w:sz w:val="24"/>
                <w:highlight w:val="none"/>
              </w:rPr>
              <w:br w:type="textWrapping"/>
            </w:r>
            <w:r>
              <w:rPr>
                <w:rFonts w:hint="eastAsia" w:ascii="仿宋_GB2312" w:hAnsi="仿宋" w:eastAsia="仿宋_GB2312" w:cs="仿宋"/>
                <w:color w:val="auto"/>
                <w:sz w:val="24"/>
                <w:highlight w:val="none"/>
              </w:rPr>
              <w:t>6. 中标人篡改、删除平台数据，或维保档案、报告、数据库信息弄虚作假的；</w:t>
            </w:r>
            <w:r>
              <w:rPr>
                <w:rFonts w:hint="eastAsia" w:ascii="仿宋_GB2312" w:hAnsi="仿宋" w:eastAsia="仿宋_GB2312" w:cs="仿宋"/>
                <w:color w:val="auto"/>
                <w:sz w:val="24"/>
                <w:highlight w:val="none"/>
              </w:rPr>
              <w:br w:type="textWrapping"/>
            </w:r>
            <w:r>
              <w:rPr>
                <w:rFonts w:hint="eastAsia" w:ascii="仿宋_GB2312" w:hAnsi="仿宋" w:eastAsia="仿宋_GB2312" w:cs="仿宋"/>
                <w:color w:val="auto"/>
                <w:sz w:val="24"/>
                <w:highlight w:val="none"/>
              </w:rPr>
              <w:t>7. 中标人无正当理由拒绝履行或擅自终止合同的；</w:t>
            </w:r>
            <w:r>
              <w:rPr>
                <w:rFonts w:hint="eastAsia" w:ascii="仿宋_GB2312" w:hAnsi="仿宋" w:eastAsia="仿宋_GB2312" w:cs="仿宋"/>
                <w:color w:val="auto"/>
                <w:sz w:val="24"/>
                <w:highlight w:val="none"/>
              </w:rPr>
              <w:br w:type="textWrapping"/>
            </w:r>
            <w:r>
              <w:rPr>
                <w:rFonts w:hint="eastAsia" w:ascii="仿宋_GB2312" w:hAnsi="仿宋" w:eastAsia="仿宋_GB2312" w:cs="仿宋"/>
                <w:color w:val="auto"/>
                <w:sz w:val="24"/>
                <w:highlight w:val="none"/>
              </w:rPr>
              <w:t>8. 中标人擅自将本合同项下权利义务转让给第三方的。</w:t>
            </w:r>
          </w:p>
          <w:p w14:paraId="0F35D2F9">
            <w:pPr>
              <w:adjustRightInd w:val="0"/>
              <w:snapToGrid w:val="0"/>
              <w:spacing w:line="312" w:lineRule="auto"/>
              <w:jc w:val="left"/>
              <w:rPr>
                <w:rFonts w:ascii="仿宋_GB2312" w:hAnsi="仿宋" w:eastAsia="仿宋_GB2312" w:cs="仿宋"/>
                <w:color w:val="auto"/>
                <w:sz w:val="24"/>
                <w:highlight w:val="none"/>
              </w:rPr>
            </w:pPr>
            <w:r>
              <w:rPr>
                <w:rFonts w:ascii="仿宋_GB2312" w:hAnsi="仿宋" w:eastAsia="仿宋_GB2312" w:cs="仿宋"/>
                <w:color w:val="auto"/>
                <w:sz w:val="24"/>
                <w:highlight w:val="none"/>
              </w:rPr>
              <w:t xml:space="preserve">9. </w:t>
            </w:r>
            <w:r>
              <w:rPr>
                <w:rFonts w:hint="eastAsia" w:ascii="仿宋_GB2312" w:hAnsi="仿宋" w:eastAsia="仿宋_GB2312" w:cs="仿宋"/>
                <w:color w:val="auto"/>
                <w:sz w:val="24"/>
                <w:highlight w:val="none"/>
              </w:rPr>
              <w:t>因“较重违约”被书面警告后，中标人在整改期限内仍未完成整改或整改仍不合格的。</w:t>
            </w:r>
          </w:p>
        </w:tc>
        <w:tc>
          <w:tcPr>
            <w:tcW w:w="2268" w:type="dxa"/>
            <w:shd w:val="clear" w:color="auto" w:fill="FFFFFF"/>
            <w:tcMar>
              <w:top w:w="150" w:type="dxa"/>
              <w:left w:w="240" w:type="dxa"/>
              <w:bottom w:w="150" w:type="dxa"/>
              <w:right w:w="0" w:type="dxa"/>
            </w:tcMar>
            <w:vAlign w:val="center"/>
          </w:tcPr>
          <w:p w14:paraId="43BFE476">
            <w:pPr>
              <w:adjustRightInd w:val="0"/>
              <w:snapToGrid w:val="0"/>
              <w:spacing w:line="312" w:lineRule="auto"/>
              <w:jc w:val="left"/>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shd w:val="clear" w:color="auto" w:fill="FFFFFF"/>
              </w:rPr>
              <w:t>采购人选择解除合同的，过渡期</w:t>
            </w:r>
          </w:p>
          <w:p w14:paraId="04418C4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安排按“考核结果应用”执行</w:t>
            </w:r>
          </w:p>
        </w:tc>
      </w:tr>
    </w:tbl>
    <w:p w14:paraId="024319C1">
      <w:pPr>
        <w:adjustRightInd w:val="0"/>
        <w:snapToGrid w:val="0"/>
        <w:spacing w:line="312" w:lineRule="auto"/>
        <w:ind w:firstLine="482" w:firstLineChars="200"/>
        <w:jc w:val="left"/>
        <w:rPr>
          <w:rFonts w:ascii="仿宋_GB2312" w:hAnsi="仿宋" w:eastAsia="仿宋_GB2312" w:cs="仿宋"/>
          <w:b/>
          <w:bCs/>
          <w:color w:val="auto"/>
          <w:sz w:val="24"/>
          <w:highlight w:val="none"/>
        </w:rPr>
      </w:pPr>
      <w:r>
        <w:rPr>
          <w:rFonts w:hint="eastAsia" w:ascii="仿宋_GB2312" w:hAnsi="仿宋" w:eastAsia="仿宋_GB2312" w:cs="仿宋"/>
          <w:b/>
          <w:bCs/>
          <w:color w:val="auto"/>
          <w:sz w:val="24"/>
          <w:highlight w:val="none"/>
        </w:rPr>
        <w:t>注：衔接规则说明</w:t>
      </w:r>
    </w:p>
    <w:p w14:paraId="420DF964">
      <w:pPr>
        <w:adjustRightInd w:val="0"/>
        <w:snapToGrid w:val="0"/>
        <w:spacing w:line="312" w:lineRule="auto"/>
        <w:ind w:firstLine="482" w:firstLineChars="200"/>
        <w:jc w:val="left"/>
        <w:rPr>
          <w:rFonts w:ascii="仿宋_GB2312" w:hAnsi="仿宋" w:eastAsia="仿宋_GB2312" w:cs="仿宋"/>
          <w:b/>
          <w:bCs/>
          <w:color w:val="auto"/>
          <w:sz w:val="24"/>
          <w:highlight w:val="none"/>
        </w:rPr>
      </w:pPr>
      <w:r>
        <w:rPr>
          <w:rFonts w:hint="eastAsia" w:ascii="仿宋_GB2312" w:hAnsi="仿宋" w:eastAsia="仿宋_GB2312" w:cs="仿宋"/>
          <w:b/>
          <w:bCs/>
          <w:color w:val="auto"/>
          <w:sz w:val="24"/>
          <w:highlight w:val="none"/>
        </w:rPr>
        <w:t>1.同一违约行为同时符合多种处理措施的，按“就高不就低”原则处理，但不得重复扣款。</w:t>
      </w:r>
    </w:p>
    <w:p w14:paraId="5D31C5C9">
      <w:pPr>
        <w:adjustRightInd w:val="0"/>
        <w:snapToGrid w:val="0"/>
        <w:spacing w:line="312" w:lineRule="auto"/>
        <w:ind w:firstLine="482" w:firstLineChars="200"/>
        <w:jc w:val="left"/>
        <w:rPr>
          <w:rFonts w:ascii="仿宋_GB2312" w:hAnsi="仿宋" w:eastAsia="仿宋_GB2312" w:cs="仿宋"/>
          <w:b/>
          <w:bCs/>
          <w:color w:val="auto"/>
          <w:sz w:val="24"/>
          <w:highlight w:val="none"/>
        </w:rPr>
      </w:pPr>
      <w:r>
        <w:rPr>
          <w:rFonts w:hint="eastAsia" w:ascii="仿宋_GB2312" w:hAnsi="仿宋" w:eastAsia="仿宋_GB2312" w:cs="仿宋"/>
          <w:b/>
          <w:bCs/>
          <w:color w:val="auto"/>
          <w:sz w:val="24"/>
          <w:highlight w:val="none"/>
        </w:rPr>
        <w:t>2.</w:t>
      </w:r>
      <w:r>
        <w:rPr>
          <w:rFonts w:hint="eastAsia" w:ascii="仿宋_GB2312" w:hAnsi="仿宋" w:eastAsia="仿宋_GB2312" w:cs="仿宋"/>
          <w:b/>
          <w:bCs/>
          <w:color w:val="auto"/>
          <w:sz w:val="24"/>
          <w:highlight w:val="none"/>
          <w:shd w:val="clear" w:color="auto" w:fill="FFFFFF"/>
        </w:rPr>
        <w:t>考核扣分与违约处理并行不悖，但同一行为不得重复扣款。考核扣分不足以纠正的，可升级为较重违约或严重违约。</w:t>
      </w:r>
    </w:p>
    <w:p w14:paraId="092AB6BC">
      <w:pPr>
        <w:adjustRightInd w:val="0"/>
        <w:snapToGrid w:val="0"/>
        <w:spacing w:line="312" w:lineRule="auto"/>
        <w:ind w:firstLine="482" w:firstLineChars="200"/>
        <w:jc w:val="left"/>
        <w:rPr>
          <w:rFonts w:ascii="仿宋_GB2312" w:hAnsi="仿宋" w:eastAsia="仿宋_GB2312" w:cs="仿宋"/>
          <w:b/>
          <w:bCs/>
          <w:color w:val="auto"/>
          <w:sz w:val="24"/>
          <w:highlight w:val="none"/>
        </w:rPr>
      </w:pPr>
      <w:r>
        <w:rPr>
          <w:rFonts w:hint="eastAsia" w:ascii="仿宋_GB2312" w:hAnsi="仿宋" w:eastAsia="仿宋_GB2312" w:cs="仿宋"/>
          <w:b/>
          <w:bCs/>
          <w:color w:val="auto"/>
          <w:sz w:val="24"/>
          <w:highlight w:val="none"/>
        </w:rPr>
        <w:t>3.书面警告累计次数以同一问题为计算单位，不同问题分别累计。</w:t>
      </w:r>
    </w:p>
    <w:p w14:paraId="39223A7D">
      <w:pPr>
        <w:adjustRightInd w:val="0"/>
        <w:snapToGrid w:val="0"/>
        <w:spacing w:line="312" w:lineRule="auto"/>
        <w:ind w:firstLine="482" w:firstLineChars="200"/>
        <w:jc w:val="left"/>
        <w:rPr>
          <w:rFonts w:ascii="仿宋_GB2312" w:hAnsi="仿宋" w:eastAsia="仿宋_GB2312" w:cs="仿宋"/>
          <w:b/>
          <w:bCs/>
          <w:color w:val="auto"/>
          <w:kern w:val="44"/>
          <w:sz w:val="28"/>
          <w:szCs w:val="28"/>
          <w:highlight w:val="none"/>
        </w:rPr>
      </w:pPr>
      <w:r>
        <w:rPr>
          <w:rFonts w:hint="eastAsia" w:ascii="仿宋_GB2312" w:hAnsi="仿宋" w:eastAsia="仿宋_GB2312" w:cs="仿宋"/>
          <w:b/>
          <w:bCs/>
          <w:color w:val="auto"/>
          <w:sz w:val="24"/>
          <w:highlight w:val="none"/>
        </w:rPr>
        <w:t>4.所有处理措施均应以书面形式通知中标人，载明事实、依据、处理方式、金额及异议期限。</w:t>
      </w:r>
    </w:p>
    <w:p w14:paraId="5947AE41">
      <w:pPr>
        <w:adjustRightInd w:val="0"/>
        <w:snapToGrid w:val="0"/>
        <w:spacing w:line="312" w:lineRule="auto"/>
        <w:outlineLvl w:val="1"/>
        <w:rPr>
          <w:rFonts w:ascii="仿宋_GB2312" w:hAnsi="仿宋" w:eastAsia="仿宋_GB2312" w:cs="仿宋"/>
          <w:b/>
          <w:bCs/>
          <w:color w:val="auto"/>
          <w:kern w:val="44"/>
          <w:sz w:val="28"/>
          <w:szCs w:val="28"/>
          <w:highlight w:val="none"/>
        </w:rPr>
      </w:pPr>
      <w:r>
        <w:rPr>
          <w:rFonts w:hint="eastAsia" w:ascii="仿宋_GB2312" w:hAnsi="仿宋" w:eastAsia="仿宋_GB2312" w:cs="仿宋"/>
          <w:b/>
          <w:bCs/>
          <w:color w:val="auto"/>
          <w:kern w:val="44"/>
          <w:sz w:val="28"/>
          <w:szCs w:val="28"/>
          <w:highlight w:val="none"/>
        </w:rPr>
        <w:br w:type="textWrapping"/>
      </w:r>
      <w:r>
        <w:rPr>
          <w:rFonts w:hint="eastAsia" w:ascii="仿宋_GB2312" w:hAnsi="仿宋" w:eastAsia="仿宋_GB2312" w:cs="仿宋"/>
          <w:b/>
          <w:bCs/>
          <w:color w:val="auto"/>
          <w:kern w:val="44"/>
          <w:sz w:val="28"/>
          <w:szCs w:val="28"/>
          <w:highlight w:val="none"/>
        </w:rPr>
        <w:t>四、商务要求</w:t>
      </w:r>
    </w:p>
    <w:p w14:paraId="11975CC0">
      <w:pPr>
        <w:adjustRightInd w:val="0"/>
        <w:snapToGrid w:val="0"/>
        <w:spacing w:line="312" w:lineRule="auto"/>
        <w:ind w:firstLine="482" w:firstLineChars="200"/>
        <w:jc w:val="left"/>
        <w:outlineLvl w:val="2"/>
        <w:rPr>
          <w:rFonts w:ascii="仿宋_GB2312" w:hAnsi="仿宋" w:eastAsia="仿宋_GB2312" w:cs="仿宋"/>
          <w:b/>
          <w:color w:val="auto"/>
          <w:sz w:val="24"/>
          <w:highlight w:val="none"/>
        </w:rPr>
      </w:pPr>
      <w:r>
        <w:rPr>
          <w:rFonts w:hint="eastAsia" w:ascii="仿宋_GB2312" w:hAnsi="仿宋" w:eastAsia="仿宋_GB2312" w:cs="仿宋"/>
          <w:b/>
          <w:color w:val="auto"/>
          <w:sz w:val="24"/>
          <w:highlight w:val="none"/>
          <w:shd w:val="clear" w:color="auto" w:fill="FFFFFF"/>
        </w:rPr>
        <w:t>★（一）报价方式及报价包含范围</w:t>
      </w:r>
    </w:p>
    <w:p w14:paraId="2961AEA6">
      <w:pPr>
        <w:adjustRightInd w:val="0"/>
        <w:snapToGrid w:val="0"/>
        <w:spacing w:line="312" w:lineRule="auto"/>
        <w:ind w:firstLine="480" w:firstLineChars="200"/>
        <w:jc w:val="left"/>
        <w:outlineLvl w:val="3"/>
        <w:rPr>
          <w:rFonts w:ascii="仿宋_GB2312" w:hAnsi="仿宋" w:eastAsia="仿宋_GB2312" w:cs="仿宋"/>
          <w:color w:val="auto"/>
          <w:sz w:val="24"/>
          <w:highlight w:val="none"/>
          <w:shd w:val="clear" w:color="auto" w:fill="FFFFFF"/>
        </w:rPr>
      </w:pPr>
      <w:bookmarkStart w:id="45" w:name="heading_50"/>
      <w:r>
        <w:rPr>
          <w:rFonts w:hint="eastAsia" w:ascii="仿宋_GB2312" w:hAnsi="仿宋" w:eastAsia="仿宋_GB2312" w:cs="仿宋"/>
          <w:color w:val="auto"/>
          <w:sz w:val="24"/>
          <w:highlight w:val="none"/>
          <w:shd w:val="clear" w:color="auto" w:fill="FFFFFF"/>
        </w:rPr>
        <w:t>1、本项目采用A/B分类综合单价计价方式。投标人须分别填报A类建筑综合单价和B类建筑综合单价。投标报价= A类单价×</w:t>
      </w:r>
      <w:r>
        <w:rPr>
          <w:rFonts w:hint="eastAsia" w:ascii="仿宋_GB2312" w:hAnsi="仿宋" w:eastAsia="仿宋_GB2312" w:cs="仿宋"/>
          <w:b/>
          <w:bCs/>
          <w:color w:val="auto"/>
          <w:sz w:val="24"/>
          <w:highlight w:val="none"/>
        </w:rPr>
        <w:t>237,170.7</w:t>
      </w:r>
      <w:r>
        <w:rPr>
          <w:rFonts w:hint="eastAsia" w:ascii="仿宋_GB2312" w:hAnsi="仿宋" w:eastAsia="仿宋_GB2312" w:cs="仿宋"/>
          <w:color w:val="auto"/>
          <w:sz w:val="24"/>
          <w:highlight w:val="none"/>
          <w:shd w:val="clear" w:color="auto" w:fill="FFFFFF"/>
        </w:rPr>
        <w:t>平方米 + B类单价×</w:t>
      </w:r>
      <w:r>
        <w:rPr>
          <w:rFonts w:hint="eastAsia" w:ascii="仿宋_GB2312" w:hAnsi="仿宋" w:eastAsia="仿宋_GB2312" w:cs="仿宋"/>
          <w:b/>
          <w:bCs/>
          <w:color w:val="auto"/>
          <w:sz w:val="24"/>
          <w:highlight w:val="none"/>
        </w:rPr>
        <w:t xml:space="preserve"> 1,219,711.93</w:t>
      </w:r>
      <w:r>
        <w:rPr>
          <w:rFonts w:hint="eastAsia" w:ascii="仿宋_GB2312" w:hAnsi="仿宋" w:eastAsia="仿宋_GB2312" w:cs="仿宋"/>
          <w:color w:val="auto"/>
          <w:sz w:val="24"/>
          <w:highlight w:val="none"/>
          <w:shd w:val="clear" w:color="auto" w:fill="FFFFFF"/>
        </w:rPr>
        <w:t>平方米。</w:t>
      </w:r>
    </w:p>
    <w:p w14:paraId="086CE939">
      <w:pPr>
        <w:adjustRightInd w:val="0"/>
        <w:snapToGrid w:val="0"/>
        <w:spacing w:line="312" w:lineRule="auto"/>
        <w:ind w:firstLine="480" w:firstLineChars="200"/>
        <w:jc w:val="left"/>
        <w:outlineLvl w:val="3"/>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shd w:val="clear" w:color="auto" w:fill="FFFFFF"/>
        </w:rPr>
        <w:t>2、报价包含范围：投标人填报的A类、B类综合单价均为含税全费用综合单价，已包含完成本项目招标文件全部服务内容所需的一切费用，至少包括：人员工资、奖金、津贴、加班费、法定节假日及周末备勤费用、社会保险费、住房公积金、人身意外伤害险、雇主责任险保险费用、福利费、劳保用品及统一工作服费用、现场管理费、企业管理费、利润、税金及附加、交通费、通讯费、食宿费、培训费、演练费、招标文件约定由投标人承担的检测费、仪器设备及工具购置/租赁/校准/维护费、常规消耗性材料费、单价低于300元的小额零部件更换费、档案及资料制作费、影像采集及存储费、公示牌制作安装费、室外消火栓翻新费、基础数据库摸排赋码费、大型活动电气防火安全检测费、采购人指定平台的日常操作及数据录入/补录费、安全防护及文明施工费、废弃物处置费、应急响应及7×24小时值班费、项目验收配合费、质保期内配合费，以及合同期内因最低工资标准、社保及公积金缴费基数、市场价格等变化产生的风险费用等本项目服务过程中涉及的所有费用。除招标文件明确规定由采购人另行承担的费用外，采购人不再另行支付任何费用。</w:t>
      </w:r>
    </w:p>
    <w:p w14:paraId="32D83F82">
      <w:pPr>
        <w:adjustRightInd w:val="0"/>
        <w:snapToGrid w:val="0"/>
        <w:spacing w:line="312" w:lineRule="auto"/>
        <w:ind w:firstLine="480" w:firstLineChars="200"/>
        <w:jc w:val="left"/>
        <w:outlineLvl w:val="3"/>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shd w:val="clear" w:color="auto" w:fill="FFFFFF"/>
        </w:rPr>
        <w:t>3、与费用承担规则的衔接：常规消耗性材料及单价低于300元的小额零部件更换费用由投标人承担，已包含在投标报价内；但周期年度内小额零部件更换累计超过周期年度合同金额10%的部分、单价≥300元的大额零部件更换费用、经采购人认定的应急抢修费用以及人为损坏维修费用，按“维修费用承担规则”约定处理，不包含在投标报价内。</w:t>
      </w:r>
    </w:p>
    <w:p w14:paraId="2A5687A1">
      <w:pPr>
        <w:adjustRightInd w:val="0"/>
        <w:snapToGrid w:val="0"/>
        <w:spacing w:line="312" w:lineRule="auto"/>
        <w:ind w:firstLine="480" w:firstLineChars="200"/>
        <w:jc w:val="left"/>
        <w:outlineLvl w:val="3"/>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shd w:val="clear" w:color="auto" w:fill="FFFFFF"/>
        </w:rPr>
        <w:t>4、报价固定性：合同履行期间，A类、B类中标综合单价固定不变，不因人工、社保、公积金、最低工资、材料、工具、交通、通讯、食宿、市场价格等变化而调整。国家税率调整的，按国家规定执行，中标及结算单价不变。</w:t>
      </w:r>
    </w:p>
    <w:p w14:paraId="08A6EA5F">
      <w:pPr>
        <w:adjustRightInd w:val="0"/>
        <w:snapToGrid w:val="0"/>
        <w:spacing w:line="312" w:lineRule="auto"/>
        <w:ind w:firstLine="480" w:firstLineChars="200"/>
        <w:jc w:val="left"/>
        <w:outlineLvl w:val="3"/>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shd w:val="clear" w:color="auto" w:fill="FFFFFF"/>
        </w:rPr>
        <w:t>5、投标人不得以漏报、少报、未考虑或实际成本增加为由，要求调整A类、B类综合单价或另行结算。</w:t>
      </w:r>
    </w:p>
    <w:p w14:paraId="566AEEFE">
      <w:pPr>
        <w:adjustRightInd w:val="0"/>
        <w:snapToGrid w:val="0"/>
        <w:spacing w:line="312" w:lineRule="auto"/>
        <w:ind w:firstLine="482" w:firstLineChars="200"/>
        <w:jc w:val="left"/>
        <w:outlineLvl w:val="2"/>
        <w:rPr>
          <w:rFonts w:ascii="仿宋_GB2312" w:hAnsi="仿宋" w:eastAsia="仿宋_GB2312" w:cs="仿宋"/>
          <w:b/>
          <w:bCs/>
          <w:color w:val="auto"/>
          <w:sz w:val="24"/>
          <w:highlight w:val="none"/>
        </w:rPr>
      </w:pPr>
      <w:r>
        <w:rPr>
          <w:rFonts w:hint="eastAsia" w:ascii="仿宋_GB2312" w:hAnsi="仿宋" w:eastAsia="仿宋_GB2312" w:cs="仿宋"/>
          <w:b/>
          <w:bCs/>
          <w:color w:val="auto"/>
          <w:sz w:val="24"/>
          <w:highlight w:val="none"/>
          <w:shd w:val="clear" w:color="auto" w:fill="FFFFFF"/>
        </w:rPr>
        <w:t>★</w:t>
      </w:r>
      <w:r>
        <w:rPr>
          <w:rFonts w:hint="eastAsia" w:ascii="仿宋_GB2312" w:hAnsi="仿宋" w:eastAsia="仿宋_GB2312" w:cs="仿宋"/>
          <w:b/>
          <w:bCs/>
          <w:color w:val="auto"/>
          <w:sz w:val="24"/>
          <w:highlight w:val="none"/>
        </w:rPr>
        <w:t>（二）服务期限</w:t>
      </w:r>
      <w:bookmarkEnd w:id="45"/>
    </w:p>
    <w:p w14:paraId="1F341CBE">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本项目总服务期为自合同签订生效之日起三个周期年度，合同一年一签。</w:t>
      </w:r>
    </w:p>
    <w:p w14:paraId="4E321915">
      <w:pPr>
        <w:adjustRightInd w:val="0"/>
        <w:snapToGrid w:val="0"/>
        <w:spacing w:line="312" w:lineRule="auto"/>
        <w:ind w:firstLine="482" w:firstLineChars="200"/>
        <w:jc w:val="left"/>
        <w:outlineLvl w:val="2"/>
        <w:rPr>
          <w:rFonts w:ascii="仿宋_GB2312" w:hAnsi="仿宋" w:eastAsia="仿宋_GB2312" w:cs="仿宋"/>
          <w:b/>
          <w:bCs/>
          <w:color w:val="auto"/>
          <w:sz w:val="24"/>
          <w:highlight w:val="none"/>
        </w:rPr>
      </w:pPr>
      <w:bookmarkStart w:id="46" w:name="heading_51"/>
      <w:r>
        <w:rPr>
          <w:rFonts w:hint="eastAsia" w:ascii="仿宋_GB2312" w:hAnsi="仿宋" w:eastAsia="仿宋_GB2312" w:cs="仿宋"/>
          <w:b/>
          <w:bCs/>
          <w:color w:val="auto"/>
          <w:sz w:val="24"/>
          <w:highlight w:val="none"/>
          <w:shd w:val="clear" w:color="auto" w:fill="FFFFFF"/>
        </w:rPr>
        <w:t>★</w:t>
      </w:r>
      <w:r>
        <w:rPr>
          <w:rFonts w:hint="eastAsia" w:ascii="仿宋_GB2312" w:hAnsi="仿宋" w:eastAsia="仿宋_GB2312" w:cs="仿宋"/>
          <w:b/>
          <w:bCs/>
          <w:color w:val="auto"/>
          <w:sz w:val="24"/>
          <w:highlight w:val="none"/>
        </w:rPr>
        <w:t>（三）付款周期</w:t>
      </w:r>
      <w:bookmarkEnd w:id="46"/>
    </w:p>
    <w:p w14:paraId="25469CC9">
      <w:pPr>
        <w:adjustRightInd w:val="0"/>
        <w:snapToGrid w:val="0"/>
        <w:spacing w:line="312" w:lineRule="auto"/>
        <w:ind w:firstLine="480" w:firstLineChars="200"/>
        <w:jc w:val="left"/>
        <w:rPr>
          <w:rFonts w:ascii="仿宋_GB2312" w:hAnsi="仿宋" w:eastAsia="仿宋_GB2312" w:cs="仿宋"/>
          <w:color w:val="auto"/>
          <w:sz w:val="24"/>
          <w:highlight w:val="none"/>
        </w:rPr>
      </w:pPr>
      <w:bookmarkStart w:id="47" w:name="heading_52"/>
      <w:r>
        <w:rPr>
          <w:rFonts w:hint="eastAsia" w:ascii="仿宋_GB2312" w:hAnsi="仿宋" w:eastAsia="仿宋_GB2312" w:cs="仿宋"/>
          <w:color w:val="auto"/>
          <w:sz w:val="24"/>
          <w:highlight w:val="none"/>
        </w:rPr>
        <w:t>本项目服务费用每季度支付一次。季度应付服务费 = 该季度内各月应付服务费之和。采购人应在每月考核结束后5个工作日内将考核结果书面通知中标人。中标人提交季度付款申请时，应附具已完成的各月考核评分表。</w:t>
      </w:r>
    </w:p>
    <w:p w14:paraId="17645A28">
      <w:pPr>
        <w:adjustRightInd w:val="0"/>
        <w:snapToGrid w:val="0"/>
        <w:spacing w:line="312" w:lineRule="auto"/>
        <w:ind w:firstLine="482" w:firstLineChars="200"/>
        <w:jc w:val="left"/>
        <w:outlineLvl w:val="2"/>
        <w:rPr>
          <w:rFonts w:ascii="仿宋_GB2312" w:hAnsi="仿宋" w:eastAsia="仿宋_GB2312" w:cs="仿宋"/>
          <w:b/>
          <w:bCs/>
          <w:color w:val="auto"/>
          <w:sz w:val="24"/>
          <w:highlight w:val="none"/>
        </w:rPr>
      </w:pPr>
      <w:r>
        <w:rPr>
          <w:rFonts w:hint="eastAsia" w:ascii="仿宋_GB2312" w:hAnsi="仿宋" w:eastAsia="仿宋_GB2312" w:cs="仿宋"/>
          <w:b/>
          <w:bCs/>
          <w:color w:val="auto"/>
          <w:sz w:val="24"/>
          <w:highlight w:val="none"/>
          <w:shd w:val="clear" w:color="auto" w:fill="FFFFFF"/>
        </w:rPr>
        <w:t>★</w:t>
      </w:r>
      <w:r>
        <w:rPr>
          <w:rFonts w:hint="eastAsia" w:ascii="仿宋_GB2312" w:hAnsi="仿宋" w:eastAsia="仿宋_GB2312" w:cs="仿宋"/>
          <w:b/>
          <w:bCs/>
          <w:color w:val="auto"/>
          <w:sz w:val="24"/>
          <w:highlight w:val="none"/>
        </w:rPr>
        <w:t>（四）付款申请与依据</w:t>
      </w:r>
      <w:bookmarkEnd w:id="47"/>
    </w:p>
    <w:p w14:paraId="7C6E51A5">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1、中标人应于每个付款周期结束后7个工作日内，向采购人提交《四川大学望江、华西、江安校区消防维护保养服务付款申请报告》。该报告须附具以下完整文件：</w:t>
      </w:r>
    </w:p>
    <w:p w14:paraId="64A4D28E">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四川大学望江、华西、江安校区消防维护保养服务范围确认单》：须经双方签章确认，内容应详细列明截至该期结束之日，已纳入维保服务范围的全部区域/楼栋的计费建筑面积及其对应的维保服务起始日期。</w:t>
      </w:r>
    </w:p>
    <w:p w14:paraId="019B499C">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(2)《四川大学望江、华西、江安校区消防维护保养服务报告》：应全面、客观地反映本期服务情况，内容包括日常工作日志、定期巡检记录、故障处理记录、系统及设备运行状态分析与评估建议等。</w:t>
      </w:r>
    </w:p>
    <w:p w14:paraId="4F6BD0C7">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w:t>
      </w:r>
      <w:r>
        <w:rPr>
          <w:rFonts w:hint="eastAsia" w:ascii="仿宋_GB2312" w:hAnsi="仿宋" w:eastAsia="仿宋_GB2312" w:cs="仿宋"/>
          <w:color w:val="auto"/>
          <w:sz w:val="24"/>
          <w:highlight w:val="none"/>
          <w:shd w:val="clear" w:color="auto" w:fill="FFFFFF"/>
        </w:rPr>
        <w:t>每月维护保养记录表，每栋建筑一份；未提交或未经采购人确认的，采购人有权暂缓支付相应服务费。</w:t>
      </w:r>
    </w:p>
    <w:p w14:paraId="2F01B7EE">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(4)与本次申请付款金额完全一致的合法有效增值税发票。</w:t>
      </w:r>
    </w:p>
    <w:p w14:paraId="030476F5">
      <w:pPr>
        <w:adjustRightInd w:val="0"/>
        <w:snapToGrid w:val="0"/>
        <w:spacing w:line="312" w:lineRule="auto"/>
        <w:ind w:firstLine="482" w:firstLineChars="200"/>
        <w:jc w:val="left"/>
        <w:outlineLvl w:val="2"/>
        <w:rPr>
          <w:rFonts w:ascii="仿宋_GB2312" w:hAnsi="仿宋" w:eastAsia="仿宋_GB2312" w:cs="仿宋"/>
          <w:b/>
          <w:bCs/>
          <w:color w:val="auto"/>
          <w:sz w:val="24"/>
          <w:highlight w:val="none"/>
        </w:rPr>
      </w:pPr>
      <w:bookmarkStart w:id="48" w:name="heading_53"/>
      <w:r>
        <w:rPr>
          <w:rFonts w:hint="eastAsia" w:ascii="仿宋_GB2312" w:hAnsi="仿宋" w:eastAsia="仿宋_GB2312" w:cs="仿宋"/>
          <w:b/>
          <w:bCs/>
          <w:color w:val="auto"/>
          <w:sz w:val="24"/>
          <w:highlight w:val="none"/>
          <w:shd w:val="clear" w:color="auto" w:fill="FFFFFF"/>
        </w:rPr>
        <w:t>★</w:t>
      </w:r>
      <w:r>
        <w:rPr>
          <w:rFonts w:hint="eastAsia" w:ascii="仿宋_GB2312" w:hAnsi="仿宋" w:eastAsia="仿宋_GB2312" w:cs="仿宋"/>
          <w:b/>
          <w:bCs/>
          <w:color w:val="auto"/>
          <w:sz w:val="24"/>
          <w:highlight w:val="none"/>
        </w:rPr>
        <w:t>（五）服务费用计算</w:t>
      </w:r>
      <w:bookmarkEnd w:id="48"/>
    </w:p>
    <w:p w14:paraId="1220D384">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1、服务费用根据“按实结算”原则，按照付款周期（三个月）内每月实际提供维保服务的建筑情况累计计算，计算公式如下：</w:t>
      </w:r>
    </w:p>
    <w:p w14:paraId="106F1C81">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（1）每月应付服务费= （A类当月实际计费面积 × A类中标单价 + B类当月实际计费面积 × B类中标单价）÷ 365天 × 该月实际服务天数 × 该月考核得分对应支付比例。</w:t>
      </w:r>
    </w:p>
    <w:p w14:paraId="4693326A">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（2）季度应付服务费 = 连续三个月的应付服务费合计费用。</w:t>
      </w:r>
    </w:p>
    <w:p w14:paraId="48EBEDA9">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其中：</w:t>
      </w:r>
    </w:p>
    <w:p w14:paraId="257A6D23">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w:t>
      </w:r>
      <w:r>
        <w:rPr>
          <w:rFonts w:hint="eastAsia" w:ascii="仿宋_GB2312" w:hAnsi="仿宋" w:eastAsia="仿宋_GB2312" w:cs="仿宋"/>
          <w:color w:val="auto"/>
          <w:sz w:val="24"/>
          <w:highlight w:val="none"/>
          <w:shd w:val="clear" w:color="auto" w:fill="FFFFFF"/>
        </w:rPr>
        <w:t>A类/B类当月实际计费面积：以采购人及中标人双方签章确认的《四川大学望江、华西、江安校区消防维护保养服务范围确认单》中列明的面积为准，须分别列明A类、B类各自的实际纳入面积</w:t>
      </w:r>
      <w:r>
        <w:rPr>
          <w:rFonts w:hint="eastAsia" w:ascii="仿宋_GB2312" w:hAnsi="仿宋" w:eastAsia="仿宋_GB2312" w:cs="仿宋"/>
          <w:color w:val="auto"/>
          <w:sz w:val="24"/>
          <w:highlight w:val="none"/>
        </w:rPr>
        <w:t>。</w:t>
      </w:r>
    </w:p>
    <w:p w14:paraId="18549B15">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2）该月实际服务天数：指各区域/楼栋在本月内实际接受维保服务的日历天数，自该单栋建筑服务起始日起算至当月最后一日。该月实际服务天数以日历天数为准（含休息日及法定节假日）。</w:t>
      </w:r>
    </w:p>
    <w:p w14:paraId="0000B2F3">
      <w:pPr>
        <w:adjustRightInd w:val="0"/>
        <w:snapToGrid w:val="0"/>
        <w:spacing w:line="312" w:lineRule="auto"/>
        <w:ind w:firstLine="482" w:firstLineChars="200"/>
        <w:jc w:val="left"/>
        <w:outlineLvl w:val="2"/>
        <w:rPr>
          <w:rFonts w:ascii="仿宋_GB2312" w:hAnsi="仿宋" w:eastAsia="仿宋_GB2312" w:cs="仿宋"/>
          <w:b/>
          <w:bCs/>
          <w:color w:val="auto"/>
          <w:sz w:val="24"/>
          <w:highlight w:val="none"/>
        </w:rPr>
      </w:pPr>
      <w:bookmarkStart w:id="49" w:name="heading_54"/>
      <w:r>
        <w:rPr>
          <w:rFonts w:hint="eastAsia" w:ascii="仿宋_GB2312" w:hAnsi="仿宋" w:eastAsia="仿宋_GB2312" w:cs="仿宋"/>
          <w:b/>
          <w:bCs/>
          <w:color w:val="auto"/>
          <w:sz w:val="24"/>
          <w:highlight w:val="none"/>
          <w:shd w:val="clear" w:color="auto" w:fill="FFFFFF"/>
        </w:rPr>
        <w:t>★</w:t>
      </w:r>
      <w:r>
        <w:rPr>
          <w:rFonts w:hint="eastAsia" w:ascii="仿宋_GB2312" w:hAnsi="仿宋" w:eastAsia="仿宋_GB2312" w:cs="仿宋"/>
          <w:b/>
          <w:bCs/>
          <w:color w:val="auto"/>
          <w:sz w:val="24"/>
          <w:highlight w:val="none"/>
        </w:rPr>
        <w:t>（六）支付程序</w:t>
      </w:r>
      <w:bookmarkEnd w:id="49"/>
    </w:p>
    <w:p w14:paraId="4570CEBA">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1、采购人在收到中标人提交的《四川大学望江、华西、江安校区消防维护保养服务付款申请报告》及全部附件后，应在15个工作日内完成审核与确认，以银行对公转账方式向中标人支付该期的维保服务费。</w:t>
      </w:r>
    </w:p>
    <w:p w14:paraId="1FCB15A8">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如该付款周期内发生重大安全事故且事故责任涉及中标人的，采购人有权暂停支付该期服务费，待具备资质的第三方火灾事故调查机构责任认定明确后，再按认定结论进行结算支付。事故调查期间超过付款审核期限的，不视为采购人逾期付款。</w:t>
      </w:r>
    </w:p>
    <w:p w14:paraId="24905436">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3、平台上线前，采购人不得以未提供平台导出数据为由暂缓付款；平台上线后，中标人未按要求补录历史数据的，采购人有权暂缓支付相应服务费，且不视为逾期付款。</w:t>
      </w:r>
    </w:p>
    <w:p w14:paraId="28DA0744">
      <w:pPr>
        <w:adjustRightInd w:val="0"/>
        <w:snapToGrid w:val="0"/>
        <w:spacing w:line="312" w:lineRule="auto"/>
        <w:ind w:firstLine="482" w:firstLineChars="200"/>
        <w:jc w:val="left"/>
        <w:outlineLvl w:val="2"/>
        <w:rPr>
          <w:rFonts w:ascii="仿宋_GB2312" w:hAnsi="仿宋" w:eastAsia="仿宋_GB2312" w:cs="仿宋"/>
          <w:b/>
          <w:bCs/>
          <w:color w:val="auto"/>
          <w:sz w:val="24"/>
          <w:highlight w:val="none"/>
        </w:rPr>
      </w:pPr>
      <w:bookmarkStart w:id="50" w:name="heading_55"/>
      <w:r>
        <w:rPr>
          <w:rFonts w:hint="eastAsia" w:ascii="仿宋_GB2312" w:hAnsi="仿宋" w:eastAsia="仿宋_GB2312" w:cs="仿宋"/>
          <w:b/>
          <w:bCs/>
          <w:color w:val="auto"/>
          <w:sz w:val="24"/>
          <w:highlight w:val="none"/>
          <w:shd w:val="clear" w:color="auto" w:fill="FFFFFF"/>
        </w:rPr>
        <w:t>★</w:t>
      </w:r>
      <w:r>
        <w:rPr>
          <w:rFonts w:hint="eastAsia" w:ascii="仿宋_GB2312" w:hAnsi="仿宋" w:eastAsia="仿宋_GB2312" w:cs="仿宋"/>
          <w:b/>
          <w:bCs/>
          <w:color w:val="auto"/>
          <w:sz w:val="24"/>
          <w:highlight w:val="none"/>
        </w:rPr>
        <w:t>（七）履约保证金</w:t>
      </w:r>
      <w:bookmarkEnd w:id="50"/>
    </w:p>
    <w:p w14:paraId="518A9BEF">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1、缴纳金额：以合同金额的5%计取，不受实际结算金额变动影响。</w:t>
      </w:r>
    </w:p>
    <w:p w14:paraId="6D5209F0">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2、缴纳时间：中标人应在合同签订前，向采购人缴纳履约保证金。</w:t>
      </w:r>
    </w:p>
    <w:p w14:paraId="47842475">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3、缴纳形式：</w:t>
      </w:r>
      <w:r>
        <w:rPr>
          <w:rFonts w:hint="eastAsia" w:ascii="仿宋_GB2312" w:hAnsi="仿宋" w:eastAsia="仿宋_GB2312" w:cs="仿宋"/>
          <w:color w:val="auto"/>
          <w:sz w:val="24"/>
          <w:highlight w:val="none"/>
          <w:lang w:val="zh-CN"/>
        </w:rPr>
        <w:t>以支票、汇票、本票或者金融机构、担保机构出具的保函等非现金形式向采购人交纳。</w:t>
      </w:r>
    </w:p>
    <w:p w14:paraId="6E412FD5">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4、退还条件与时限：本项目服务期满，中标人已按照本合同约定全面履行全部维保义务且无违约情形的，中标人向采购人提交履约保证金退还申请后，采购人应在15个工作日内无息退还履约保证金。</w:t>
      </w:r>
    </w:p>
    <w:p w14:paraId="431D251F">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5、履约保证金的扣除：具体适用情形及扣除比例按“责任认定及违约行为处理”执行。</w:t>
      </w:r>
    </w:p>
    <w:p w14:paraId="32A0AD77">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采购人决定不予退还或部分扣除履约保证金的，应以书面形式通知中标人，通知内容应包含不予退还或扣除的原因、依据、金额及中标人提出异议的期限与途径。中标人有权在收到通知后10个工作日内向采购人提出书面异议。采购人应在收到异议后15个工作日内作出书面答复。双方对扣除金额或不予退还存在争议的，按合同争议解决条款处理。</w:t>
      </w:r>
    </w:p>
    <w:p w14:paraId="172AC0E2">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余额退还：剩余部分在服务期满后15个工作日内，通过对公银行转账的方式无息退还中标人。</w:t>
      </w:r>
    </w:p>
    <w:p w14:paraId="31B97B90">
      <w:pPr>
        <w:pStyle w:val="11"/>
        <w:shd w:val="clear" w:color="auto" w:fill="FFFFFF"/>
        <w:adjustRightInd w:val="0"/>
        <w:snapToGrid w:val="0"/>
        <w:spacing w:before="0" w:beforeAutospacing="0" w:after="0" w:afterAutospacing="0" w:line="312" w:lineRule="auto"/>
        <w:ind w:firstLine="482" w:firstLineChars="200"/>
        <w:outlineLvl w:val="2"/>
        <w:rPr>
          <w:rFonts w:ascii="仿宋_GB2312" w:hAnsi="仿宋" w:eastAsia="仿宋_GB2312" w:cs="仿宋"/>
          <w:b/>
          <w:bCs/>
          <w:color w:val="auto"/>
          <w:kern w:val="2"/>
          <w:sz w:val="24"/>
          <w:szCs w:val="24"/>
          <w:highlight w:val="none"/>
        </w:rPr>
      </w:pPr>
      <w:r>
        <w:rPr>
          <w:rFonts w:hint="eastAsia" w:ascii="仿宋_GB2312" w:hAnsi="仿宋" w:eastAsia="仿宋_GB2312" w:cs="仿宋"/>
          <w:b/>
          <w:bCs/>
          <w:color w:val="auto"/>
          <w:sz w:val="24"/>
          <w:highlight w:val="none"/>
          <w:shd w:val="clear" w:color="auto" w:fill="FFFFFF"/>
        </w:rPr>
        <w:t>★</w:t>
      </w:r>
      <w:r>
        <w:rPr>
          <w:rFonts w:hint="eastAsia" w:ascii="仿宋_GB2312" w:hAnsi="仿宋" w:eastAsia="仿宋_GB2312" w:cs="仿宋"/>
          <w:b/>
          <w:bCs/>
          <w:color w:val="auto"/>
          <w:kern w:val="2"/>
          <w:sz w:val="24"/>
          <w:szCs w:val="24"/>
          <w:highlight w:val="none"/>
        </w:rPr>
        <w:t>（八）预估面积风险承担</w:t>
      </w:r>
    </w:p>
    <w:p w14:paraId="1AB218C7">
      <w:pPr>
        <w:pStyle w:val="11"/>
        <w:shd w:val="clear" w:color="auto" w:fill="FFFFFF"/>
        <w:adjustRightInd w:val="0"/>
        <w:snapToGrid w:val="0"/>
        <w:spacing w:before="0" w:beforeAutospacing="0" w:after="0" w:afterAutospacing="0" w:line="312" w:lineRule="auto"/>
        <w:ind w:firstLine="480" w:firstLineChars="200"/>
        <w:rPr>
          <w:rFonts w:ascii="仿宋_GB2312" w:hAnsi="仿宋" w:eastAsia="仿宋_GB2312" w:cs="仿宋"/>
          <w:color w:val="auto"/>
          <w:kern w:val="2"/>
          <w:sz w:val="24"/>
          <w:szCs w:val="24"/>
          <w:highlight w:val="none"/>
        </w:rPr>
      </w:pPr>
      <w:r>
        <w:rPr>
          <w:rFonts w:hint="eastAsia" w:ascii="仿宋_GB2312" w:hAnsi="仿宋" w:eastAsia="仿宋_GB2312" w:cs="仿宋"/>
          <w:color w:val="auto"/>
          <w:kern w:val="2"/>
          <w:sz w:val="24"/>
          <w:szCs w:val="24"/>
          <w:highlight w:val="none"/>
        </w:rPr>
        <w:t>招标文件所列A类、B类建筑面积之和的偏差在</w:t>
      </w:r>
      <w:bookmarkStart w:id="51" w:name="OLE_LINK17"/>
      <w:bookmarkStart w:id="52" w:name="OLE_LINK18"/>
      <w:r>
        <w:rPr>
          <w:rFonts w:hint="eastAsia" w:ascii="仿宋_GB2312" w:hAnsi="仿宋" w:eastAsia="仿宋_GB2312" w:cs="仿宋"/>
          <w:color w:val="auto"/>
          <w:kern w:val="2"/>
          <w:sz w:val="24"/>
          <w:szCs w:val="24"/>
          <w:highlight w:val="none"/>
        </w:rPr>
        <w:t>3</w:t>
      </w:r>
      <w:r>
        <w:rPr>
          <w:rFonts w:ascii="Arial" w:hAnsi="Arial" w:cs="Arial"/>
          <w:color w:val="auto"/>
          <w:highlight w:val="none"/>
          <w:shd w:val="clear" w:color="auto" w:fill="FFFFFF"/>
        </w:rPr>
        <w:t>‰</w:t>
      </w:r>
      <w:bookmarkEnd w:id="51"/>
      <w:bookmarkEnd w:id="52"/>
      <w:r>
        <w:rPr>
          <w:rFonts w:ascii="Arial" w:hAnsi="Arial" w:cs="Arial"/>
          <w:color w:val="auto"/>
          <w:highlight w:val="none"/>
          <w:shd w:val="clear" w:color="auto" w:fill="FFFFFF"/>
        </w:rPr>
        <w:t> </w:t>
      </w:r>
      <w:r>
        <w:rPr>
          <w:rFonts w:hint="eastAsia" w:ascii="仿宋_GB2312" w:hAnsi="仿宋" w:eastAsia="仿宋_GB2312" w:cs="仿宋"/>
          <w:color w:val="auto"/>
          <w:kern w:val="2"/>
          <w:sz w:val="24"/>
          <w:szCs w:val="24"/>
          <w:highlight w:val="none"/>
        </w:rPr>
        <w:t>以内，仅供投标人报价参考。实际维保面积以采购人发出的《单栋建筑维护保养服务起始通知》及双方签章确认的《服务范围确认单》为准。投标人应在投标报价中充分考虑预估面积与实际面积可能存在的差异，均以现场实际面积为准，不得以实际面积与预估面积不一致为由要求调整A类或B类中标单价。</w:t>
      </w:r>
    </w:p>
    <w:p w14:paraId="0E9E3CC1">
      <w:pPr>
        <w:pStyle w:val="11"/>
        <w:shd w:val="clear" w:color="auto" w:fill="FFFFFF"/>
        <w:adjustRightInd w:val="0"/>
        <w:snapToGrid w:val="0"/>
        <w:spacing w:before="0" w:beforeAutospacing="0" w:after="0" w:afterAutospacing="0" w:line="312" w:lineRule="auto"/>
        <w:ind w:firstLine="480" w:firstLineChars="200"/>
        <w:rPr>
          <w:rFonts w:ascii="仿宋_GB2312" w:hAnsi="仿宋" w:eastAsia="仿宋_GB2312" w:cs="仿宋"/>
          <w:color w:val="auto"/>
          <w:kern w:val="2"/>
          <w:sz w:val="24"/>
          <w:szCs w:val="24"/>
          <w:highlight w:val="none"/>
        </w:rPr>
      </w:pPr>
      <w:r>
        <w:rPr>
          <w:rFonts w:hint="eastAsia" w:ascii="仿宋_GB2312" w:hAnsi="仿宋" w:eastAsia="仿宋_GB2312" w:cs="仿宋"/>
          <w:color w:val="auto"/>
          <w:kern w:val="2"/>
          <w:sz w:val="24"/>
          <w:szCs w:val="24"/>
          <w:highlight w:val="none"/>
        </w:rPr>
        <w:t>实际纳入维保服务的A类或B类建筑面积与招标文件所列对应类别面积偏差超过3</w:t>
      </w:r>
      <w:r>
        <w:rPr>
          <w:rFonts w:ascii="Arial" w:hAnsi="Arial" w:cs="Arial"/>
          <w:color w:val="auto"/>
          <w:highlight w:val="none"/>
          <w:shd w:val="clear" w:color="auto" w:fill="FFFFFF"/>
        </w:rPr>
        <w:t>‰</w:t>
      </w:r>
      <w:r>
        <w:rPr>
          <w:rFonts w:hint="eastAsia" w:ascii="仿宋_GB2312" w:hAnsi="仿宋" w:eastAsia="仿宋_GB2312" w:cs="仿宋"/>
          <w:color w:val="auto"/>
          <w:kern w:val="2"/>
          <w:sz w:val="24"/>
          <w:szCs w:val="24"/>
          <w:highlight w:val="none"/>
        </w:rPr>
        <w:t>的，双方应就超出部分的A类或B类中标单价进行友好协商，协商不成的，可按以下方式处理：</w:t>
      </w:r>
      <w:r>
        <w:rPr>
          <w:rFonts w:hint="eastAsia" w:ascii="仿宋_GB2312" w:hAnsi="仿宋" w:eastAsia="仿宋_GB2312" w:cs="仿宋"/>
          <w:color w:val="auto"/>
          <w:kern w:val="2"/>
          <w:sz w:val="24"/>
          <w:szCs w:val="24"/>
          <w:highlight w:val="none"/>
        </w:rPr>
        <w:br w:type="textWrapping"/>
      </w:r>
      <w:r>
        <w:rPr>
          <w:rFonts w:hint="eastAsia" w:ascii="仿宋_GB2312" w:hAnsi="仿宋" w:eastAsia="仿宋_GB2312" w:cs="仿宋"/>
          <w:color w:val="auto"/>
          <w:kern w:val="2"/>
          <w:sz w:val="24"/>
          <w:szCs w:val="24"/>
          <w:highlight w:val="none"/>
        </w:rPr>
        <w:t xml:space="preserve">  （1）A类或B类实际面积增加超过3</w:t>
      </w:r>
      <w:r>
        <w:rPr>
          <w:rFonts w:ascii="Arial" w:hAnsi="Arial" w:cs="Arial"/>
          <w:color w:val="auto"/>
          <w:highlight w:val="none"/>
          <w:shd w:val="clear" w:color="auto" w:fill="FFFFFF"/>
        </w:rPr>
        <w:t>‰</w:t>
      </w:r>
      <w:r>
        <w:rPr>
          <w:rFonts w:hint="eastAsia" w:ascii="仿宋_GB2312" w:hAnsi="仿宋" w:eastAsia="仿宋_GB2312" w:cs="仿宋"/>
          <w:color w:val="auto"/>
          <w:kern w:val="2"/>
          <w:sz w:val="24"/>
          <w:szCs w:val="24"/>
          <w:highlight w:val="none"/>
        </w:rPr>
        <w:t>的，超出3</w:t>
      </w:r>
      <w:r>
        <w:rPr>
          <w:rFonts w:ascii="Arial" w:hAnsi="Arial" w:cs="Arial"/>
          <w:color w:val="auto"/>
          <w:highlight w:val="none"/>
          <w:shd w:val="clear" w:color="auto" w:fill="FFFFFF"/>
        </w:rPr>
        <w:t>‰</w:t>
      </w:r>
      <w:r>
        <w:rPr>
          <w:rFonts w:hint="eastAsia" w:ascii="仿宋_GB2312" w:hAnsi="仿宋" w:eastAsia="仿宋_GB2312" w:cs="仿宋"/>
          <w:color w:val="auto"/>
          <w:kern w:val="2"/>
          <w:sz w:val="24"/>
          <w:szCs w:val="24"/>
          <w:highlight w:val="none"/>
        </w:rPr>
        <w:t>部分的维保服务单价由双方按中标单价确定；</w:t>
      </w:r>
      <w:r>
        <w:rPr>
          <w:rFonts w:hint="eastAsia" w:ascii="仿宋_GB2312" w:hAnsi="仿宋" w:eastAsia="仿宋_GB2312" w:cs="仿宋"/>
          <w:color w:val="auto"/>
          <w:kern w:val="2"/>
          <w:sz w:val="24"/>
          <w:szCs w:val="24"/>
          <w:highlight w:val="none"/>
        </w:rPr>
        <w:br w:type="textWrapping"/>
      </w:r>
      <w:r>
        <w:rPr>
          <w:rFonts w:hint="eastAsia" w:ascii="仿宋_GB2312" w:hAnsi="仿宋" w:eastAsia="仿宋_GB2312" w:cs="仿宋"/>
          <w:color w:val="auto"/>
          <w:kern w:val="2"/>
          <w:sz w:val="24"/>
          <w:szCs w:val="24"/>
          <w:highlight w:val="none"/>
        </w:rPr>
        <w:t xml:space="preserve">  （2）A类或B类实际面积减少超过3</w:t>
      </w:r>
      <w:r>
        <w:rPr>
          <w:rFonts w:ascii="Arial" w:hAnsi="Arial" w:cs="Arial"/>
          <w:color w:val="auto"/>
          <w:highlight w:val="none"/>
          <w:shd w:val="clear" w:color="auto" w:fill="FFFFFF"/>
        </w:rPr>
        <w:t>‰</w:t>
      </w:r>
      <w:r>
        <w:rPr>
          <w:rFonts w:hint="eastAsia" w:ascii="仿宋_GB2312" w:hAnsi="仿宋" w:eastAsia="仿宋_GB2312" w:cs="仿宋"/>
          <w:color w:val="auto"/>
          <w:kern w:val="2"/>
          <w:sz w:val="24"/>
          <w:szCs w:val="24"/>
          <w:highlight w:val="none"/>
        </w:rPr>
        <w:t>的，减少部分对应的合同金额相应核减，中标单价不变。</w:t>
      </w:r>
    </w:p>
    <w:p w14:paraId="71EE21B6">
      <w:pPr>
        <w:pStyle w:val="11"/>
        <w:shd w:val="clear" w:color="auto" w:fill="FFFFFF"/>
        <w:adjustRightInd w:val="0"/>
        <w:snapToGrid w:val="0"/>
        <w:spacing w:before="0" w:beforeAutospacing="0" w:after="0" w:afterAutospacing="0" w:line="312" w:lineRule="auto"/>
        <w:ind w:firstLine="480" w:firstLineChars="200"/>
        <w:rPr>
          <w:rFonts w:ascii="仿宋_GB2312" w:hAnsi="仿宋" w:eastAsia="仿宋_GB2312" w:cs="仿宋"/>
          <w:color w:val="auto"/>
          <w:kern w:val="2"/>
          <w:sz w:val="24"/>
          <w:szCs w:val="24"/>
          <w:highlight w:val="none"/>
        </w:rPr>
      </w:pPr>
      <w:r>
        <w:rPr>
          <w:rFonts w:hint="eastAsia" w:ascii="仿宋_GB2312" w:hAnsi="仿宋" w:eastAsia="仿宋_GB2312" w:cs="仿宋"/>
          <w:color w:val="auto"/>
          <w:kern w:val="2"/>
          <w:sz w:val="24"/>
          <w:szCs w:val="24"/>
          <w:highlight w:val="none"/>
        </w:rPr>
        <w:t>上述协商机制不影响第（九）款“年度结算总额封顶”的执行。</w:t>
      </w:r>
    </w:p>
    <w:p w14:paraId="35A3B47E">
      <w:pPr>
        <w:pStyle w:val="11"/>
        <w:shd w:val="clear" w:color="auto" w:fill="FFFFFF"/>
        <w:adjustRightInd w:val="0"/>
        <w:snapToGrid w:val="0"/>
        <w:spacing w:before="0" w:beforeAutospacing="0" w:after="0" w:afterAutospacing="0" w:line="312" w:lineRule="auto"/>
        <w:ind w:firstLine="482" w:firstLineChars="200"/>
        <w:outlineLvl w:val="2"/>
        <w:rPr>
          <w:rFonts w:ascii="仿宋_GB2312" w:hAnsi="仿宋" w:eastAsia="仿宋_GB2312" w:cs="仿宋"/>
          <w:b/>
          <w:bCs/>
          <w:color w:val="auto"/>
          <w:kern w:val="2"/>
          <w:sz w:val="24"/>
          <w:szCs w:val="24"/>
          <w:highlight w:val="none"/>
        </w:rPr>
      </w:pPr>
      <w:r>
        <w:rPr>
          <w:rFonts w:hint="eastAsia" w:ascii="仿宋_GB2312" w:hAnsi="仿宋" w:eastAsia="仿宋_GB2312" w:cs="仿宋"/>
          <w:b/>
          <w:bCs/>
          <w:color w:val="auto"/>
          <w:sz w:val="24"/>
          <w:highlight w:val="none"/>
          <w:shd w:val="clear" w:color="auto" w:fill="FFFFFF"/>
        </w:rPr>
        <w:t>★</w:t>
      </w:r>
      <w:r>
        <w:rPr>
          <w:rFonts w:hint="eastAsia" w:ascii="仿宋_GB2312" w:hAnsi="仿宋" w:eastAsia="仿宋_GB2312" w:cs="仿宋"/>
          <w:b/>
          <w:bCs/>
          <w:color w:val="auto"/>
          <w:kern w:val="2"/>
          <w:sz w:val="24"/>
          <w:szCs w:val="24"/>
          <w:highlight w:val="none"/>
        </w:rPr>
        <w:t>（九）年度结算总额封顶</w:t>
      </w:r>
    </w:p>
    <w:p w14:paraId="3B173542">
      <w:pPr>
        <w:pStyle w:val="11"/>
        <w:shd w:val="clear" w:color="auto" w:fill="FFFFFF"/>
        <w:adjustRightInd w:val="0"/>
        <w:snapToGrid w:val="0"/>
        <w:spacing w:before="0" w:beforeAutospacing="0" w:after="0" w:afterAutospacing="0" w:line="312" w:lineRule="auto"/>
        <w:ind w:firstLine="480" w:firstLineChars="200"/>
        <w:rPr>
          <w:rFonts w:ascii="仿宋_GB2312" w:hAnsi="仿宋" w:eastAsia="仿宋_GB2312" w:cs="仿宋"/>
          <w:color w:val="auto"/>
          <w:kern w:val="2"/>
          <w:sz w:val="24"/>
          <w:szCs w:val="24"/>
          <w:highlight w:val="none"/>
        </w:rPr>
      </w:pPr>
      <w:r>
        <w:rPr>
          <w:rFonts w:hint="eastAsia" w:ascii="仿宋_GB2312" w:hAnsi="仿宋" w:eastAsia="仿宋_GB2312" w:cs="仿宋"/>
          <w:color w:val="auto"/>
          <w:kern w:val="2"/>
          <w:sz w:val="24"/>
          <w:szCs w:val="24"/>
          <w:highlight w:val="none"/>
        </w:rPr>
        <w:t>每周期年度实际结算总额不得超过中标价。</w:t>
      </w:r>
    </w:p>
    <w:p w14:paraId="40FE2897">
      <w:pPr>
        <w:pStyle w:val="11"/>
        <w:shd w:val="clear" w:color="auto" w:fill="FFFFFF"/>
        <w:adjustRightInd w:val="0"/>
        <w:snapToGrid w:val="0"/>
        <w:spacing w:before="0" w:beforeAutospacing="0" w:after="0" w:afterAutospacing="0" w:line="312" w:lineRule="auto"/>
        <w:ind w:firstLine="482" w:firstLineChars="200"/>
        <w:outlineLvl w:val="2"/>
        <w:rPr>
          <w:rFonts w:ascii="仿宋_GB2312" w:hAnsi="仿宋" w:eastAsia="仿宋_GB2312" w:cs="仿宋"/>
          <w:b/>
          <w:bCs/>
          <w:color w:val="auto"/>
          <w:kern w:val="2"/>
          <w:sz w:val="24"/>
          <w:szCs w:val="24"/>
          <w:highlight w:val="none"/>
        </w:rPr>
      </w:pPr>
      <w:r>
        <w:rPr>
          <w:rFonts w:hint="eastAsia" w:ascii="仿宋_GB2312" w:hAnsi="仿宋" w:eastAsia="仿宋_GB2312" w:cs="仿宋"/>
          <w:b/>
          <w:bCs/>
          <w:color w:val="auto"/>
          <w:sz w:val="24"/>
          <w:highlight w:val="none"/>
          <w:shd w:val="clear" w:color="auto" w:fill="FFFFFF"/>
        </w:rPr>
        <w:t>★</w:t>
      </w:r>
      <w:r>
        <w:rPr>
          <w:rFonts w:hint="eastAsia" w:ascii="仿宋_GB2312" w:hAnsi="仿宋" w:eastAsia="仿宋_GB2312" w:cs="仿宋"/>
          <w:b/>
          <w:bCs/>
          <w:color w:val="auto"/>
          <w:kern w:val="2"/>
          <w:sz w:val="24"/>
          <w:szCs w:val="24"/>
          <w:highlight w:val="none"/>
        </w:rPr>
        <w:t>（十）续签条件</w:t>
      </w:r>
    </w:p>
    <w:p w14:paraId="296A99BC">
      <w:pPr>
        <w:pStyle w:val="11"/>
        <w:shd w:val="clear" w:color="auto" w:fill="FFFFFF"/>
        <w:adjustRightInd w:val="0"/>
        <w:snapToGrid w:val="0"/>
        <w:spacing w:before="0" w:beforeAutospacing="0" w:after="0" w:afterAutospacing="0" w:line="312" w:lineRule="auto"/>
        <w:ind w:firstLine="480" w:firstLineChars="200"/>
        <w:rPr>
          <w:rFonts w:ascii="仿宋_GB2312" w:hAnsi="仿宋" w:eastAsia="仿宋_GB2312" w:cs="仿宋"/>
          <w:color w:val="auto"/>
          <w:kern w:val="2"/>
          <w:sz w:val="24"/>
          <w:szCs w:val="24"/>
          <w:highlight w:val="none"/>
        </w:rPr>
      </w:pPr>
      <w:r>
        <w:rPr>
          <w:rFonts w:hint="eastAsia" w:ascii="仿宋_GB2312" w:hAnsi="仿宋" w:eastAsia="仿宋_GB2312" w:cs="仿宋"/>
          <w:color w:val="auto"/>
          <w:kern w:val="2"/>
          <w:sz w:val="24"/>
          <w:szCs w:val="24"/>
          <w:highlight w:val="none"/>
        </w:rPr>
        <w:t>1、每周期年度终了，同时满足以下条件的，经采购人书面同意，可续签下一年度合同：</w:t>
      </w:r>
    </w:p>
    <w:p w14:paraId="65B5AE8A">
      <w:pPr>
        <w:pStyle w:val="11"/>
        <w:shd w:val="clear" w:color="auto" w:fill="FFFFFF"/>
        <w:adjustRightInd w:val="0"/>
        <w:snapToGrid w:val="0"/>
        <w:spacing w:before="0" w:beforeAutospacing="0" w:after="0" w:afterAutospacing="0" w:line="312" w:lineRule="auto"/>
        <w:ind w:firstLine="480" w:firstLineChars="200"/>
        <w:rPr>
          <w:rFonts w:ascii="仿宋_GB2312" w:hAnsi="仿宋" w:eastAsia="仿宋_GB2312" w:cs="仿宋"/>
          <w:color w:val="auto"/>
          <w:kern w:val="2"/>
          <w:sz w:val="24"/>
          <w:szCs w:val="24"/>
          <w:highlight w:val="none"/>
        </w:rPr>
      </w:pPr>
      <w:r>
        <w:rPr>
          <w:rFonts w:hint="eastAsia" w:ascii="仿宋_GB2312" w:hAnsi="仿宋" w:eastAsia="仿宋_GB2312" w:cs="仿宋"/>
          <w:color w:val="auto"/>
          <w:kern w:val="2"/>
          <w:sz w:val="24"/>
          <w:szCs w:val="24"/>
          <w:highlight w:val="none"/>
        </w:rPr>
        <w:t>（1）该周期年度内未触发第十四条“考核结果与合同解除挂钩”中任何一项合同解除情形；</w:t>
      </w:r>
    </w:p>
    <w:p w14:paraId="56DBE754">
      <w:pPr>
        <w:pStyle w:val="11"/>
        <w:shd w:val="clear" w:color="auto" w:fill="FFFFFF"/>
        <w:adjustRightInd w:val="0"/>
        <w:snapToGrid w:val="0"/>
        <w:spacing w:before="0" w:beforeAutospacing="0" w:after="0" w:afterAutospacing="0" w:line="312" w:lineRule="auto"/>
        <w:ind w:firstLine="480" w:firstLineChars="200"/>
        <w:rPr>
          <w:rFonts w:ascii="仿宋_GB2312" w:hAnsi="仿宋" w:eastAsia="仿宋_GB2312" w:cs="仿宋"/>
          <w:color w:val="auto"/>
          <w:kern w:val="2"/>
          <w:sz w:val="24"/>
          <w:szCs w:val="24"/>
          <w:highlight w:val="none"/>
        </w:rPr>
      </w:pPr>
      <w:r>
        <w:rPr>
          <w:rFonts w:hint="eastAsia" w:ascii="仿宋_GB2312" w:hAnsi="仿宋" w:eastAsia="仿宋_GB2312" w:cs="仿宋"/>
          <w:color w:val="auto"/>
          <w:kern w:val="2"/>
          <w:sz w:val="24"/>
          <w:szCs w:val="24"/>
          <w:highlight w:val="none"/>
        </w:rPr>
        <w:t>（2）该周期年度全年月度考核平均得分不低于80分。</w:t>
      </w:r>
    </w:p>
    <w:p w14:paraId="5F8D572E">
      <w:pPr>
        <w:pStyle w:val="11"/>
        <w:shd w:val="clear" w:color="auto" w:fill="FFFFFF"/>
        <w:adjustRightInd w:val="0"/>
        <w:snapToGrid w:val="0"/>
        <w:spacing w:before="0" w:beforeAutospacing="0" w:after="0" w:afterAutospacing="0" w:line="312" w:lineRule="auto"/>
        <w:ind w:firstLine="480" w:firstLineChars="200"/>
        <w:rPr>
          <w:rFonts w:ascii="仿宋_GB2312" w:hAnsi="仿宋" w:eastAsia="仿宋_GB2312" w:cs="仿宋"/>
          <w:color w:val="auto"/>
          <w:kern w:val="2"/>
          <w:sz w:val="24"/>
          <w:szCs w:val="24"/>
          <w:highlight w:val="none"/>
        </w:rPr>
      </w:pPr>
      <w:r>
        <w:rPr>
          <w:rFonts w:hint="eastAsia" w:ascii="仿宋_GB2312" w:hAnsi="仿宋" w:eastAsia="仿宋_GB2312" w:cs="仿宋"/>
          <w:color w:val="auto"/>
          <w:kern w:val="2"/>
          <w:sz w:val="24"/>
          <w:szCs w:val="24"/>
          <w:highlight w:val="none"/>
        </w:rPr>
        <w:t>2、不满足上述任一条件的，采购人有权不再续签，且不承担任何违约责任。</w:t>
      </w:r>
    </w:p>
    <w:p w14:paraId="509FEACB">
      <w:pPr>
        <w:pStyle w:val="11"/>
        <w:shd w:val="clear" w:color="auto" w:fill="FFFFFF"/>
        <w:adjustRightInd w:val="0"/>
        <w:snapToGrid w:val="0"/>
        <w:spacing w:before="0" w:beforeAutospacing="0" w:after="0" w:afterAutospacing="0" w:line="312" w:lineRule="auto"/>
        <w:ind w:firstLine="480" w:firstLineChars="200"/>
        <w:rPr>
          <w:rFonts w:ascii="仿宋_GB2312" w:hAnsi="仿宋" w:eastAsia="仿宋_GB2312" w:cs="仿宋"/>
          <w:color w:val="auto"/>
          <w:kern w:val="2"/>
          <w:sz w:val="24"/>
          <w:szCs w:val="24"/>
          <w:highlight w:val="none"/>
        </w:rPr>
      </w:pPr>
      <w:r>
        <w:rPr>
          <w:rFonts w:hint="eastAsia" w:ascii="仿宋_GB2312" w:hAnsi="仿宋" w:eastAsia="仿宋_GB2312" w:cs="仿宋"/>
          <w:color w:val="auto"/>
          <w:kern w:val="2"/>
          <w:sz w:val="24"/>
          <w:szCs w:val="24"/>
          <w:highlight w:val="none"/>
        </w:rPr>
        <w:t>3、续签时A类、B类中标单价不变。</w:t>
      </w:r>
    </w:p>
    <w:p w14:paraId="05927FCC">
      <w:pPr>
        <w:pStyle w:val="11"/>
        <w:shd w:val="clear" w:color="auto" w:fill="FFFFFF"/>
        <w:adjustRightInd w:val="0"/>
        <w:snapToGrid w:val="0"/>
        <w:spacing w:before="0" w:beforeAutospacing="0" w:after="0" w:afterAutospacing="0" w:line="312" w:lineRule="auto"/>
        <w:ind w:firstLine="480" w:firstLineChars="200"/>
        <w:rPr>
          <w:rFonts w:ascii="仿宋_GB2312" w:hAnsi="仿宋" w:eastAsia="仿宋_GB2312" w:cs="仿宋"/>
          <w:color w:val="auto"/>
          <w:kern w:val="2"/>
          <w:sz w:val="24"/>
          <w:szCs w:val="24"/>
          <w:highlight w:val="none"/>
        </w:rPr>
      </w:pPr>
      <w:r>
        <w:rPr>
          <w:rFonts w:hint="eastAsia" w:ascii="仿宋_GB2312" w:hAnsi="仿宋" w:eastAsia="仿宋_GB2312" w:cs="仿宋"/>
          <w:color w:val="auto"/>
          <w:kern w:val="2"/>
          <w:sz w:val="24"/>
          <w:szCs w:val="24"/>
          <w:highlight w:val="none"/>
        </w:rPr>
        <w:t>4、若该周期年度内已触发合同解除情形且采购人已发出解除通知的，合同自通知载明之日起解除，不适用本条续签条件。</w:t>
      </w:r>
    </w:p>
    <w:p w14:paraId="2E274176">
      <w:pPr>
        <w:pStyle w:val="11"/>
        <w:shd w:val="clear" w:color="auto" w:fill="FFFFFF"/>
        <w:adjustRightInd w:val="0"/>
        <w:snapToGrid w:val="0"/>
        <w:spacing w:before="0" w:beforeAutospacing="0" w:after="0" w:afterAutospacing="0" w:line="312" w:lineRule="auto"/>
        <w:ind w:firstLine="480" w:firstLineChars="200"/>
        <w:rPr>
          <w:rFonts w:ascii="仿宋_GB2312" w:hAnsi="仿宋" w:eastAsia="仿宋_GB2312" w:cs="仿宋"/>
          <w:color w:val="auto"/>
          <w:kern w:val="2"/>
          <w:sz w:val="24"/>
          <w:szCs w:val="24"/>
          <w:highlight w:val="none"/>
        </w:rPr>
      </w:pPr>
      <w:r>
        <w:rPr>
          <w:rFonts w:hint="eastAsia" w:ascii="仿宋_GB2312" w:hAnsi="仿宋" w:eastAsia="仿宋_GB2312" w:cs="仿宋"/>
          <w:color w:val="auto"/>
          <w:kern w:val="2"/>
          <w:sz w:val="24"/>
          <w:szCs w:val="24"/>
          <w:highlight w:val="none"/>
        </w:rPr>
        <w:t>5、若该周期年度内已触发合同解除情形但采购人未行使解除权的，采购人仍有权在合同期满后选择不再续签，且不承担任何违约责任。</w:t>
      </w:r>
    </w:p>
    <w:p w14:paraId="439C0486">
      <w:pPr>
        <w:pStyle w:val="11"/>
        <w:shd w:val="clear" w:color="auto" w:fill="FFFFFF"/>
        <w:adjustRightInd w:val="0"/>
        <w:snapToGrid w:val="0"/>
        <w:spacing w:before="0" w:beforeAutospacing="0" w:after="0" w:afterAutospacing="0" w:line="312" w:lineRule="auto"/>
        <w:ind w:firstLine="482" w:firstLineChars="200"/>
        <w:outlineLvl w:val="2"/>
        <w:rPr>
          <w:rFonts w:ascii="仿宋_GB2312" w:hAnsi="仿宋" w:eastAsia="仿宋_GB2312" w:cs="仿宋"/>
          <w:b/>
          <w:bCs/>
          <w:color w:val="auto"/>
          <w:kern w:val="2"/>
          <w:sz w:val="24"/>
          <w:szCs w:val="24"/>
          <w:highlight w:val="none"/>
        </w:rPr>
      </w:pPr>
      <w:r>
        <w:rPr>
          <w:rFonts w:hint="eastAsia" w:ascii="仿宋_GB2312" w:hAnsi="仿宋" w:eastAsia="仿宋_GB2312" w:cs="仿宋"/>
          <w:b/>
          <w:bCs/>
          <w:color w:val="auto"/>
          <w:sz w:val="24"/>
          <w:highlight w:val="none"/>
          <w:shd w:val="clear" w:color="auto" w:fill="FFFFFF"/>
        </w:rPr>
        <w:t>★</w:t>
      </w:r>
      <w:r>
        <w:rPr>
          <w:rFonts w:hint="eastAsia" w:ascii="仿宋_GB2312" w:hAnsi="仿宋" w:eastAsia="仿宋_GB2312" w:cs="仿宋"/>
          <w:b/>
          <w:bCs/>
          <w:color w:val="auto"/>
          <w:kern w:val="2"/>
          <w:sz w:val="24"/>
          <w:szCs w:val="24"/>
          <w:highlight w:val="none"/>
        </w:rPr>
        <w:t>（十一）</w:t>
      </w:r>
      <w:r>
        <w:rPr>
          <w:rFonts w:hint="eastAsia" w:ascii="仿宋_GB2312" w:hAnsi="仿宋" w:eastAsia="仿宋_GB2312" w:cs="仿宋"/>
          <w:b/>
          <w:bCs/>
          <w:color w:val="auto"/>
          <w:sz w:val="24"/>
          <w:szCs w:val="24"/>
          <w:highlight w:val="none"/>
          <w:shd w:val="clear" w:color="auto" w:fill="FFFFFF"/>
        </w:rPr>
        <w:t>中标通知书的法律效力</w:t>
      </w:r>
    </w:p>
    <w:p w14:paraId="07B80316">
      <w:pPr>
        <w:pStyle w:val="11"/>
        <w:shd w:val="clear" w:color="auto" w:fill="FFFFFF"/>
        <w:adjustRightInd w:val="0"/>
        <w:snapToGrid w:val="0"/>
        <w:spacing w:before="0" w:beforeAutospacing="0" w:after="0" w:afterAutospacing="0" w:line="312" w:lineRule="auto"/>
        <w:ind w:firstLine="480" w:firstLineChars="200"/>
        <w:rPr>
          <w:rFonts w:ascii="仿宋_GB2312" w:hAnsi="仿宋" w:eastAsia="仿宋_GB2312" w:cs="仿宋"/>
          <w:color w:val="auto"/>
          <w:kern w:val="2"/>
          <w:sz w:val="24"/>
          <w:szCs w:val="24"/>
          <w:highlight w:val="none"/>
        </w:rPr>
      </w:pPr>
      <w:r>
        <w:rPr>
          <w:rFonts w:hint="eastAsia" w:ascii="仿宋_GB2312" w:hAnsi="仿宋" w:eastAsia="仿宋_GB2312" w:cs="仿宋"/>
          <w:color w:val="auto"/>
          <w:kern w:val="2"/>
          <w:sz w:val="24"/>
          <w:szCs w:val="24"/>
          <w:highlight w:val="none"/>
        </w:rPr>
        <w:t>1、中标通知书到达中标人时，采购人与中标人之间的政府采购合同即告成立。中标通知书对采购人和中标人均具有法律效力。</w:t>
      </w:r>
    </w:p>
    <w:p w14:paraId="3A74AF6C">
      <w:pPr>
        <w:pStyle w:val="11"/>
        <w:shd w:val="clear" w:color="auto" w:fill="FFFFFF"/>
        <w:adjustRightInd w:val="0"/>
        <w:snapToGrid w:val="0"/>
        <w:spacing w:before="0" w:beforeAutospacing="0" w:after="0" w:afterAutospacing="0" w:line="312" w:lineRule="auto"/>
        <w:ind w:firstLine="480" w:firstLineChars="200"/>
        <w:rPr>
          <w:rFonts w:ascii="仿宋_GB2312" w:hAnsi="仿宋" w:eastAsia="仿宋_GB2312" w:cs="仿宋"/>
          <w:color w:val="auto"/>
          <w:kern w:val="2"/>
          <w:sz w:val="24"/>
          <w:szCs w:val="24"/>
          <w:highlight w:val="none"/>
        </w:rPr>
      </w:pPr>
      <w:r>
        <w:rPr>
          <w:rFonts w:hint="eastAsia" w:ascii="仿宋_GB2312" w:hAnsi="仿宋" w:eastAsia="仿宋_GB2312" w:cs="仿宋"/>
          <w:color w:val="auto"/>
          <w:kern w:val="2"/>
          <w:sz w:val="24"/>
          <w:szCs w:val="24"/>
          <w:highlight w:val="none"/>
        </w:rPr>
        <w:t>2、采购人与中标人应当自中标通知书发出之日起30日内，按照招标文件和中标人投标文件的约定，签订书面合同。书面合同不得对招标文件确定的事项和中标人投标文件作实质性修改。</w:t>
      </w:r>
    </w:p>
    <w:p w14:paraId="4AF64E89">
      <w:pPr>
        <w:pStyle w:val="11"/>
        <w:shd w:val="clear" w:color="auto" w:fill="FFFFFF"/>
        <w:adjustRightInd w:val="0"/>
        <w:snapToGrid w:val="0"/>
        <w:spacing w:before="0" w:beforeAutospacing="0" w:after="0" w:afterAutospacing="0" w:line="312" w:lineRule="auto"/>
        <w:ind w:firstLine="480" w:firstLineChars="200"/>
        <w:rPr>
          <w:rFonts w:ascii="仿宋_GB2312" w:eastAsia="仿宋_GB2312" w:cs="宋体"/>
          <w:color w:val="auto"/>
          <w:sz w:val="24"/>
          <w:szCs w:val="24"/>
          <w:highlight w:val="none"/>
        </w:rPr>
      </w:pPr>
      <w:r>
        <w:rPr>
          <w:rFonts w:hint="eastAsia" w:ascii="仿宋_GB2312" w:hAnsi="仿宋" w:eastAsia="仿宋_GB2312" w:cs="仿宋"/>
          <w:color w:val="auto"/>
          <w:kern w:val="2"/>
          <w:sz w:val="24"/>
          <w:szCs w:val="24"/>
          <w:highlight w:val="none"/>
        </w:rPr>
        <w:t>3、中标人无正当理由拒绝签订书面合同的，采购人有权取消其中标资格，不予退还投标保证金（如有），并依法追究其违约责任。</w:t>
      </w:r>
    </w:p>
    <w:p w14:paraId="33E382E8">
      <w:pPr>
        <w:adjustRightInd w:val="0"/>
        <w:snapToGrid w:val="0"/>
        <w:spacing w:line="312" w:lineRule="auto"/>
        <w:ind w:firstLine="482" w:firstLineChars="200"/>
        <w:jc w:val="left"/>
        <w:outlineLvl w:val="2"/>
        <w:rPr>
          <w:rFonts w:ascii="仿宋_GB2312" w:hAnsi="仿宋" w:eastAsia="仿宋_GB2312" w:cs="仿宋"/>
          <w:b/>
          <w:bCs/>
          <w:color w:val="auto"/>
          <w:sz w:val="24"/>
          <w:highlight w:val="none"/>
        </w:rPr>
      </w:pPr>
      <w:r>
        <w:rPr>
          <w:rFonts w:hint="eastAsia" w:ascii="仿宋_GB2312" w:hAnsi="仿宋" w:eastAsia="仿宋_GB2312" w:cs="仿宋"/>
          <w:b/>
          <w:bCs/>
          <w:color w:val="auto"/>
          <w:sz w:val="24"/>
          <w:highlight w:val="none"/>
        </w:rPr>
        <w:t>（十二）维保服务考核办法</w:t>
      </w:r>
    </w:p>
    <w:p w14:paraId="47DADD34">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bookmarkStart w:id="53" w:name="heading_1"/>
      <w:r>
        <w:rPr>
          <w:rFonts w:hint="eastAsia" w:ascii="仿宋_GB2312" w:hAnsi="仿宋" w:eastAsia="仿宋_GB2312" w:cs="仿宋"/>
          <w:color w:val="auto"/>
          <w:sz w:val="24"/>
          <w:highlight w:val="none"/>
          <w:shd w:val="clear" w:color="auto" w:fill="FFFFFF"/>
        </w:rPr>
        <w:t>★</w:t>
      </w:r>
      <w:r>
        <w:rPr>
          <w:rFonts w:hint="eastAsia" w:ascii="仿宋_GB2312" w:hAnsi="仿宋" w:eastAsia="仿宋_GB2312" w:cs="仿宋"/>
          <w:color w:val="auto"/>
          <w:sz w:val="24"/>
          <w:highlight w:val="none"/>
        </w:rPr>
        <w:t>1、考核目的</w:t>
      </w:r>
      <w:bookmarkEnd w:id="53"/>
    </w:p>
    <w:p w14:paraId="43968AA3">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为保障四川大学望江、华西、江安校区消防设施设备稳定运行，督促中标人全面履行合同约定的维保义务，提高维保服务质量和响应效率，建立客观、公正的服务评价体系，制定本考核办法。</w:t>
      </w:r>
    </w:p>
    <w:p w14:paraId="77FD1432">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w:t>
      </w:r>
      <w:r>
        <w:rPr>
          <w:rFonts w:hint="eastAsia" w:ascii="仿宋_GB2312" w:hAnsi="仿宋" w:eastAsia="仿宋_GB2312" w:cs="仿宋"/>
          <w:color w:val="auto"/>
          <w:sz w:val="24"/>
          <w:highlight w:val="none"/>
        </w:rPr>
        <w:t>2、考核对象</w:t>
      </w:r>
    </w:p>
    <w:p w14:paraId="2DBC3C24">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考核对象为中标人及其派出的项目管理人员</w:t>
      </w:r>
      <w:r>
        <w:rPr>
          <w:rFonts w:hint="eastAsia" w:ascii="仿宋_GB2312" w:hAnsi="仿宋" w:eastAsia="仿宋_GB2312" w:cs="仿宋"/>
          <w:color w:val="auto"/>
          <w:sz w:val="24"/>
          <w:highlight w:val="none"/>
          <w:shd w:val="clear" w:color="auto" w:fill="FFFFFF"/>
        </w:rPr>
        <w:t>（含内业管理专员）</w:t>
      </w:r>
      <w:r>
        <w:rPr>
          <w:rFonts w:hint="eastAsia" w:ascii="仿宋_GB2312" w:hAnsi="仿宋" w:eastAsia="仿宋_GB2312" w:cs="仿宋"/>
          <w:color w:val="auto"/>
          <w:sz w:val="24"/>
          <w:highlight w:val="none"/>
        </w:rPr>
        <w:t>及全部驻场维保人员。</w:t>
      </w:r>
    </w:p>
    <w:p w14:paraId="16EAA24C">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w:t>
      </w:r>
      <w:r>
        <w:rPr>
          <w:rFonts w:hint="eastAsia" w:ascii="仿宋_GB2312" w:hAnsi="仿宋" w:eastAsia="仿宋_GB2312" w:cs="仿宋"/>
          <w:color w:val="auto"/>
          <w:sz w:val="24"/>
          <w:highlight w:val="none"/>
        </w:rPr>
        <w:t>3、考核主体</w:t>
      </w:r>
    </w:p>
    <w:p w14:paraId="63DA0CE7">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采购人负责组织实施考核工作，由采购人牵头，责任单位、物业单位参与配合。采购人也可邀请第三方专业机构或技术专家参与考核评分。</w:t>
      </w:r>
    </w:p>
    <w:p w14:paraId="271CDFB3">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w:t>
      </w:r>
      <w:r>
        <w:rPr>
          <w:rFonts w:hint="eastAsia" w:ascii="仿宋_GB2312" w:hAnsi="仿宋" w:eastAsia="仿宋_GB2312" w:cs="仿宋"/>
          <w:color w:val="auto"/>
          <w:sz w:val="24"/>
          <w:highlight w:val="none"/>
        </w:rPr>
        <w:t>4、考核频率</w:t>
      </w:r>
    </w:p>
    <w:p w14:paraId="10F90B42">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（1）实行月度考核制度，每月进行一次考核评分。</w:t>
      </w:r>
    </w:p>
    <w:p w14:paraId="64216145">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w:t>
      </w:r>
      <w:r>
        <w:rPr>
          <w:rFonts w:hint="eastAsia" w:ascii="仿宋_GB2312" w:hAnsi="仿宋" w:eastAsia="仿宋_GB2312" w:cs="仿宋"/>
          <w:color w:val="auto"/>
          <w:sz w:val="24"/>
          <w:highlight w:val="none"/>
          <w:shd w:val="clear" w:color="auto" w:fill="FFFFFF"/>
        </w:rPr>
        <w:t>自项目服务起始日起开始计算考核周期。每月开始后的10个日历天内，由采购人组织对前一个月维保服务情况进行考核评分，考核结果作为季度支付周期中前一个月服务费的计价和支付依据。</w:t>
      </w:r>
    </w:p>
    <w:p w14:paraId="2659676B">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①首个考核周期： 自最终项目服务起始日起至该起始日所在公历月的最后一日止。若最终项目服务起始日为该公历月第一日，则首个考核周期为该完整公历月；若最终项目服务起始日不是该公历月第一日，则首个考核周期为不完整公历月，考核指标按已纳入维保的建筑在该考核周期内的实际服务天数占该公历月总天数的比例折算。</w:t>
      </w:r>
    </w:p>
    <w:p w14:paraId="3ABD17FB">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②后续考核周期： 自首个考核周期结束后的次月第一日起，每个完整公历月为一个考核周期，依次顺延。</w:t>
      </w:r>
    </w:p>
    <w:p w14:paraId="52F8146C">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③最后一个考核周期： 自服务结束日所在公历月第一日起至服务结束日止。若服务结束日为该公历月最后一日，则为完整公历月；若服务结束日不是该公历月最后一日，则为不完整公历月，考核指标按实际服务天数占该公历月总天数的比例折算。</w:t>
      </w:r>
    </w:p>
    <w:p w14:paraId="0067AFBC">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④招标阶段暂定首个考核周期： 鉴于招标阶段无法确定最终项目服务起始日，暂以2026年10月17日为暂定项目服务起始日，据此暂定首个考核周期为2026年10月17日至2026年10月31日，考核指标按已纳入维保的建筑实际服务天数比例折算。该暂定安排仅用于统一投标人报价口径和评审基准，最终以《项目服务起始通知》载明的最终项目服务起始日为准。</w:t>
      </w:r>
    </w:p>
    <w:p w14:paraId="129FDD8D">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⑤首个考核周期仅用于首月考核评分，不影响周期季度和周期年度的正常划分。周期季度和周期年度仍以最终项目服务起始日为锚点，按“每连续3个公历月”“每连续12个公历月”独立计算。首个考核周期的考核结果计入首个周期季度的月度考核平均分。</w:t>
      </w:r>
    </w:p>
    <w:p w14:paraId="6767D815">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（3）每季度汇总月度考核平均分，作为季度综合评价；每年度汇总月度考核平均分，作为年度综合评价。</w:t>
      </w:r>
    </w:p>
    <w:p w14:paraId="1A66EF72">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w:t>
      </w:r>
      <w:r>
        <w:rPr>
          <w:rFonts w:hint="eastAsia" w:ascii="仿宋_GB2312" w:hAnsi="仿宋" w:eastAsia="仿宋_GB2312" w:cs="仿宋"/>
          <w:color w:val="auto"/>
          <w:sz w:val="24"/>
          <w:highlight w:val="none"/>
        </w:rPr>
        <w:t>5、考核内容与评分标准</w:t>
      </w:r>
    </w:p>
    <w:p w14:paraId="02574747">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（1）考核采用百分制，总分100分，评分项目、分值及标准由以下三部分组成：</w:t>
      </w:r>
    </w:p>
    <w:p w14:paraId="7FF086B0">
      <w:pPr>
        <w:adjustRightInd w:val="0"/>
        <w:snapToGrid w:val="0"/>
        <w:spacing w:line="312" w:lineRule="auto"/>
        <w:jc w:val="left"/>
        <w:outlineLvl w:val="4"/>
        <w:rPr>
          <w:rFonts w:ascii="仿宋_GB2312" w:hAnsi="仿宋" w:eastAsia="仿宋_GB2312" w:cs="仿宋"/>
          <w:color w:val="auto"/>
          <w:sz w:val="24"/>
          <w:highlight w:val="none"/>
        </w:rPr>
      </w:pPr>
      <w:bookmarkStart w:id="54" w:name="_Toc5807"/>
      <w:bookmarkStart w:id="55" w:name="_Toc1650"/>
      <w:r>
        <w:rPr>
          <w:rFonts w:hint="eastAsia" w:ascii="仿宋_GB2312" w:hAnsi="仿宋" w:eastAsia="仿宋_GB2312" w:cs="仿宋"/>
          <w:color w:val="auto"/>
          <w:sz w:val="24"/>
          <w:highlight w:val="none"/>
        </w:rPr>
        <w:t>1）维保服务质量（60分）</w:t>
      </w:r>
      <w:bookmarkEnd w:id="54"/>
      <w:bookmarkEnd w:id="55"/>
    </w:p>
    <w:tbl>
      <w:tblPr>
        <w:tblStyle w:val="12"/>
        <w:tblW w:w="89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29"/>
        <w:gridCol w:w="1695"/>
        <w:gridCol w:w="685"/>
        <w:gridCol w:w="5800"/>
      </w:tblGrid>
      <w:tr w14:paraId="5069B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29" w:type="dxa"/>
            <w:tcMar>
              <w:top w:w="60" w:type="dxa"/>
              <w:left w:w="120" w:type="dxa"/>
              <w:bottom w:w="30" w:type="dxa"/>
              <w:right w:w="120" w:type="dxa"/>
            </w:tcMar>
            <w:vAlign w:val="center"/>
          </w:tcPr>
          <w:p w14:paraId="638E923B">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序号</w:t>
            </w:r>
          </w:p>
        </w:tc>
        <w:tc>
          <w:tcPr>
            <w:tcW w:w="1695" w:type="dxa"/>
            <w:tcMar>
              <w:top w:w="60" w:type="dxa"/>
              <w:left w:w="120" w:type="dxa"/>
              <w:bottom w:w="30" w:type="dxa"/>
              <w:right w:w="120" w:type="dxa"/>
            </w:tcMar>
            <w:vAlign w:val="center"/>
          </w:tcPr>
          <w:p w14:paraId="33D5B4D6">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评分项</w:t>
            </w:r>
          </w:p>
        </w:tc>
        <w:tc>
          <w:tcPr>
            <w:tcW w:w="685" w:type="dxa"/>
            <w:tcMar>
              <w:top w:w="60" w:type="dxa"/>
              <w:left w:w="120" w:type="dxa"/>
              <w:bottom w:w="30" w:type="dxa"/>
              <w:right w:w="120" w:type="dxa"/>
            </w:tcMar>
            <w:vAlign w:val="center"/>
          </w:tcPr>
          <w:p w14:paraId="18784F49">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分值</w:t>
            </w:r>
          </w:p>
        </w:tc>
        <w:tc>
          <w:tcPr>
            <w:tcW w:w="5800" w:type="dxa"/>
            <w:tcMar>
              <w:top w:w="60" w:type="dxa"/>
              <w:left w:w="120" w:type="dxa"/>
              <w:bottom w:w="30" w:type="dxa"/>
              <w:right w:w="120" w:type="dxa"/>
            </w:tcMar>
            <w:vAlign w:val="center"/>
          </w:tcPr>
          <w:p w14:paraId="48AC4F79">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评分标准</w:t>
            </w:r>
          </w:p>
        </w:tc>
      </w:tr>
      <w:tr w14:paraId="14D4E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408" w:hRule="atLeast"/>
          <w:jc w:val="center"/>
        </w:trPr>
        <w:tc>
          <w:tcPr>
            <w:tcW w:w="729" w:type="dxa"/>
            <w:tcMar>
              <w:top w:w="60" w:type="dxa"/>
              <w:left w:w="120" w:type="dxa"/>
              <w:bottom w:w="30" w:type="dxa"/>
              <w:right w:w="120" w:type="dxa"/>
            </w:tcMar>
            <w:vAlign w:val="center"/>
          </w:tcPr>
          <w:p w14:paraId="223A7AF7">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w:t>
            </w:r>
          </w:p>
        </w:tc>
        <w:tc>
          <w:tcPr>
            <w:tcW w:w="1695" w:type="dxa"/>
            <w:tcMar>
              <w:top w:w="60" w:type="dxa"/>
              <w:left w:w="120" w:type="dxa"/>
              <w:bottom w:w="30" w:type="dxa"/>
              <w:right w:w="120" w:type="dxa"/>
            </w:tcMar>
            <w:vAlign w:val="center"/>
          </w:tcPr>
          <w:p w14:paraId="4DB22DE9">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日常巡检执行</w:t>
            </w:r>
          </w:p>
        </w:tc>
        <w:tc>
          <w:tcPr>
            <w:tcW w:w="685" w:type="dxa"/>
            <w:tcMar>
              <w:top w:w="60" w:type="dxa"/>
              <w:left w:w="120" w:type="dxa"/>
              <w:bottom w:w="30" w:type="dxa"/>
              <w:right w:w="120" w:type="dxa"/>
            </w:tcMar>
            <w:vAlign w:val="center"/>
          </w:tcPr>
          <w:p w14:paraId="52E5C3E1">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15分</w:t>
            </w:r>
          </w:p>
        </w:tc>
        <w:tc>
          <w:tcPr>
            <w:tcW w:w="5800" w:type="dxa"/>
            <w:tcMar>
              <w:top w:w="60" w:type="dxa"/>
              <w:left w:w="120" w:type="dxa"/>
              <w:bottom w:w="30" w:type="dxa"/>
              <w:right w:w="120" w:type="dxa"/>
            </w:tcMar>
          </w:tcPr>
          <w:p w14:paraId="66E8917B">
            <w:pPr>
              <w:adjustRightInd w:val="0"/>
              <w:snapToGrid w:val="0"/>
              <w:spacing w:line="312" w:lineRule="auto"/>
              <w:jc w:val="left"/>
              <w:rPr>
                <w:rFonts w:ascii="仿宋_GB2312" w:hAnsi="仿宋" w:eastAsia="仿宋_GB2312" w:cs="仿宋"/>
                <w:color w:val="auto"/>
                <w:sz w:val="24"/>
                <w:highlight w:val="none"/>
              </w:rPr>
            </w:pPr>
            <w:r>
              <w:rPr>
                <w:rFonts w:ascii="仿宋_GB2312" w:hAnsi="仿宋" w:eastAsia="仿宋_GB2312" w:cs="仿宋"/>
                <w:color w:val="auto"/>
                <w:sz w:val="24"/>
                <w:highlight w:val="none"/>
              </w:rPr>
              <w:t>1．</w:t>
            </w:r>
            <w:r>
              <w:rPr>
                <w:rFonts w:hint="eastAsia" w:ascii="仿宋_GB2312" w:hAnsi="仿宋" w:eastAsia="仿宋_GB2312" w:cs="仿宋"/>
                <w:color w:val="auto"/>
                <w:sz w:val="24"/>
                <w:highlight w:val="none"/>
              </w:rPr>
              <w:t>未按拟定的巡检路线、点位覆盖率及频次开展日常巡检的每少1次扣3分；两者不一致时以较高标准为准。</w:t>
            </w:r>
          </w:p>
          <w:p w14:paraId="3B87970C">
            <w:pPr>
              <w:adjustRightInd w:val="0"/>
              <w:snapToGrid w:val="0"/>
              <w:spacing w:line="312" w:lineRule="auto"/>
              <w:jc w:val="left"/>
              <w:rPr>
                <w:rFonts w:ascii="仿宋_GB2312" w:hAnsi="仿宋" w:eastAsia="仿宋_GB2312" w:cs="仿宋"/>
                <w:color w:val="auto"/>
                <w:sz w:val="24"/>
                <w:highlight w:val="none"/>
              </w:rPr>
            </w:pPr>
            <w:r>
              <w:rPr>
                <w:rFonts w:ascii="仿宋_GB2312" w:hAnsi="仿宋" w:eastAsia="仿宋_GB2312" w:cs="仿宋"/>
                <w:color w:val="auto"/>
                <w:sz w:val="24"/>
                <w:highlight w:val="none"/>
              </w:rPr>
              <w:t>2．</w:t>
            </w:r>
            <w:r>
              <w:rPr>
                <w:rFonts w:hint="eastAsia" w:ascii="仿宋_GB2312" w:hAnsi="仿宋" w:eastAsia="仿宋_GB2312" w:cs="仿宋"/>
                <w:color w:val="auto"/>
                <w:sz w:val="24"/>
                <w:highlight w:val="none"/>
              </w:rPr>
              <w:t>巡检记录未注明检查人、时间、问题及处理结果的，每次扣1分；巡检记录弄虚作假的，每查实一项扣2分。</w:t>
            </w:r>
          </w:p>
        </w:tc>
      </w:tr>
      <w:tr w14:paraId="14B85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29" w:type="dxa"/>
            <w:tcMar>
              <w:top w:w="60" w:type="dxa"/>
              <w:left w:w="120" w:type="dxa"/>
              <w:bottom w:w="30" w:type="dxa"/>
              <w:right w:w="120" w:type="dxa"/>
            </w:tcMar>
            <w:vAlign w:val="center"/>
          </w:tcPr>
          <w:p w14:paraId="068596FE">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w:t>
            </w:r>
          </w:p>
        </w:tc>
        <w:tc>
          <w:tcPr>
            <w:tcW w:w="1695" w:type="dxa"/>
            <w:tcMar>
              <w:top w:w="60" w:type="dxa"/>
              <w:left w:w="120" w:type="dxa"/>
              <w:bottom w:w="30" w:type="dxa"/>
              <w:right w:w="120" w:type="dxa"/>
            </w:tcMar>
            <w:vAlign w:val="center"/>
          </w:tcPr>
          <w:p w14:paraId="25811EC1">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定期维护保养</w:t>
            </w:r>
          </w:p>
        </w:tc>
        <w:tc>
          <w:tcPr>
            <w:tcW w:w="685" w:type="dxa"/>
            <w:tcMar>
              <w:top w:w="60" w:type="dxa"/>
              <w:left w:w="120" w:type="dxa"/>
              <w:bottom w:w="30" w:type="dxa"/>
              <w:right w:w="120" w:type="dxa"/>
            </w:tcMar>
            <w:vAlign w:val="center"/>
          </w:tcPr>
          <w:p w14:paraId="1F7AF15D">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15分</w:t>
            </w:r>
          </w:p>
        </w:tc>
        <w:tc>
          <w:tcPr>
            <w:tcW w:w="5800" w:type="dxa"/>
            <w:tcMar>
              <w:top w:w="60" w:type="dxa"/>
              <w:left w:w="120" w:type="dxa"/>
              <w:bottom w:w="30" w:type="dxa"/>
              <w:right w:w="120" w:type="dxa"/>
            </w:tcMar>
          </w:tcPr>
          <w:p w14:paraId="6AF52BC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 未按“维保周期要求”规定的周期开展月度/季度/半年度/年度维护保养的，每少1项扣5分；</w:t>
            </w:r>
          </w:p>
          <w:p w14:paraId="18CD2FA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 保养内容不完整、未覆盖全部系统的，每遗漏1个系统扣2分（日常巡检已覆盖的内容不重复扣分）。</w:t>
            </w:r>
          </w:p>
        </w:tc>
      </w:tr>
      <w:tr w14:paraId="76200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29" w:type="dxa"/>
            <w:tcMar>
              <w:top w:w="60" w:type="dxa"/>
              <w:left w:w="120" w:type="dxa"/>
              <w:bottom w:w="30" w:type="dxa"/>
              <w:right w:w="120" w:type="dxa"/>
            </w:tcMar>
            <w:vAlign w:val="center"/>
          </w:tcPr>
          <w:p w14:paraId="17DD912C">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w:t>
            </w:r>
          </w:p>
        </w:tc>
        <w:tc>
          <w:tcPr>
            <w:tcW w:w="1695" w:type="dxa"/>
            <w:tcMar>
              <w:top w:w="60" w:type="dxa"/>
              <w:left w:w="120" w:type="dxa"/>
              <w:bottom w:w="30" w:type="dxa"/>
              <w:right w:w="120" w:type="dxa"/>
            </w:tcMar>
            <w:vAlign w:val="center"/>
          </w:tcPr>
          <w:p w14:paraId="33AE14BC">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报告与内业管理</w:t>
            </w:r>
          </w:p>
        </w:tc>
        <w:tc>
          <w:tcPr>
            <w:tcW w:w="685" w:type="dxa"/>
            <w:tcMar>
              <w:top w:w="60" w:type="dxa"/>
              <w:left w:w="120" w:type="dxa"/>
              <w:bottom w:w="30" w:type="dxa"/>
              <w:right w:w="120" w:type="dxa"/>
            </w:tcMar>
            <w:vAlign w:val="center"/>
          </w:tcPr>
          <w:p w14:paraId="1DF2DC23">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15分</w:t>
            </w:r>
          </w:p>
        </w:tc>
        <w:tc>
          <w:tcPr>
            <w:tcW w:w="5800" w:type="dxa"/>
            <w:tcMar>
              <w:top w:w="60" w:type="dxa"/>
              <w:left w:w="120" w:type="dxa"/>
              <w:bottom w:w="30" w:type="dxa"/>
              <w:right w:w="120" w:type="dxa"/>
            </w:tcMar>
          </w:tcPr>
          <w:p w14:paraId="43BBE14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1.未按时发布年度/月/周计划的，每次扣2分；</w:t>
            </w:r>
          </w:p>
          <w:p w14:paraId="6E1AF71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2.未通过书面工单或平台形成工单闭环的，每项扣1分；</w:t>
            </w:r>
          </w:p>
          <w:p w14:paraId="15002BB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3.信息收集不完整、归档不及时的，每项扣1分；</w:t>
            </w:r>
          </w:p>
          <w:p w14:paraId="1BEE921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4.技术支持未记录或未归档的，每次扣1分；</w:t>
            </w:r>
          </w:p>
          <w:p w14:paraId="7BD000E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5.报告、档案、平台数据弄虚作假的，每次扣5分，并可按一票否决处理；</w:t>
            </w:r>
          </w:p>
          <w:p w14:paraId="3A5F11C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w:t>
            </w:r>
            <w:r>
              <w:rPr>
                <w:rFonts w:hint="eastAsia" w:ascii="仿宋_GB2312" w:hAnsi="仿宋" w:eastAsia="仿宋_GB2312" w:cs="仿宋"/>
                <w:color w:val="auto"/>
                <w:sz w:val="24"/>
                <w:highlight w:val="none"/>
                <w:shd w:val="clear" w:color="auto" w:fill="FFFFFF"/>
              </w:rPr>
              <w:t>月度维保记录/报告未按建筑逐栋提交的，每栋次扣1分；缺失、弄虚作假的，按弄虚作假处理。</w:t>
            </w:r>
          </w:p>
        </w:tc>
      </w:tr>
      <w:tr w14:paraId="69300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29" w:type="dxa"/>
            <w:tcMar>
              <w:top w:w="60" w:type="dxa"/>
              <w:left w:w="120" w:type="dxa"/>
              <w:bottom w:w="30" w:type="dxa"/>
              <w:right w:w="120" w:type="dxa"/>
            </w:tcMar>
            <w:vAlign w:val="center"/>
          </w:tcPr>
          <w:p w14:paraId="2C5EBBC3">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w:t>
            </w:r>
          </w:p>
        </w:tc>
        <w:tc>
          <w:tcPr>
            <w:tcW w:w="1695" w:type="dxa"/>
            <w:tcMar>
              <w:top w:w="60" w:type="dxa"/>
              <w:left w:w="120" w:type="dxa"/>
              <w:bottom w:w="30" w:type="dxa"/>
              <w:right w:w="120" w:type="dxa"/>
            </w:tcMar>
            <w:vAlign w:val="center"/>
          </w:tcPr>
          <w:p w14:paraId="2731F5D1">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档案管理</w:t>
            </w:r>
          </w:p>
        </w:tc>
        <w:tc>
          <w:tcPr>
            <w:tcW w:w="685" w:type="dxa"/>
            <w:tcMar>
              <w:top w:w="60" w:type="dxa"/>
              <w:left w:w="120" w:type="dxa"/>
              <w:bottom w:w="30" w:type="dxa"/>
              <w:right w:w="120" w:type="dxa"/>
            </w:tcMar>
            <w:vAlign w:val="center"/>
          </w:tcPr>
          <w:p w14:paraId="42A7A3A5">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10分</w:t>
            </w:r>
          </w:p>
        </w:tc>
        <w:tc>
          <w:tcPr>
            <w:tcW w:w="5800" w:type="dxa"/>
            <w:tcMar>
              <w:top w:w="60" w:type="dxa"/>
              <w:left w:w="120" w:type="dxa"/>
              <w:bottom w:w="30" w:type="dxa"/>
              <w:right w:w="120" w:type="dxa"/>
            </w:tcMar>
          </w:tcPr>
          <w:p w14:paraId="4246EF1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设备台账未及时更新的，扣3分；维保档案（巡检记录、维修记录、检测报告等）缺失或不完整的，每缺1项扣2分</w:t>
            </w:r>
          </w:p>
        </w:tc>
      </w:tr>
      <w:tr w14:paraId="32EA4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29" w:type="dxa"/>
            <w:tcMar>
              <w:top w:w="60" w:type="dxa"/>
              <w:left w:w="120" w:type="dxa"/>
              <w:bottom w:w="30" w:type="dxa"/>
              <w:right w:w="120" w:type="dxa"/>
            </w:tcMar>
            <w:vAlign w:val="center"/>
          </w:tcPr>
          <w:p w14:paraId="18960272">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w:t>
            </w:r>
          </w:p>
        </w:tc>
        <w:tc>
          <w:tcPr>
            <w:tcW w:w="1695" w:type="dxa"/>
            <w:tcMar>
              <w:top w:w="60" w:type="dxa"/>
              <w:left w:w="120" w:type="dxa"/>
              <w:bottom w:w="30" w:type="dxa"/>
              <w:right w:w="120" w:type="dxa"/>
            </w:tcMar>
            <w:vAlign w:val="center"/>
          </w:tcPr>
          <w:p w14:paraId="7E302304">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公示牌管理</w:t>
            </w:r>
          </w:p>
        </w:tc>
        <w:tc>
          <w:tcPr>
            <w:tcW w:w="685" w:type="dxa"/>
            <w:tcMar>
              <w:top w:w="60" w:type="dxa"/>
              <w:left w:w="120" w:type="dxa"/>
              <w:bottom w:w="30" w:type="dxa"/>
              <w:right w:w="120" w:type="dxa"/>
            </w:tcMar>
            <w:vAlign w:val="center"/>
          </w:tcPr>
          <w:p w14:paraId="1714457A">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5分</w:t>
            </w:r>
          </w:p>
        </w:tc>
        <w:tc>
          <w:tcPr>
            <w:tcW w:w="5800" w:type="dxa"/>
            <w:tcMar>
              <w:top w:w="60" w:type="dxa"/>
              <w:left w:w="120" w:type="dxa"/>
              <w:bottom w:w="30" w:type="dxa"/>
              <w:right w:w="120" w:type="dxa"/>
            </w:tcMar>
          </w:tcPr>
          <w:p w14:paraId="1EEDE55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未按规定制作和公示维保信息牌的，扣3分；信息牌内容不完整的，扣2分。</w:t>
            </w:r>
          </w:p>
        </w:tc>
      </w:tr>
    </w:tbl>
    <w:p w14:paraId="3407B89A">
      <w:pPr>
        <w:adjustRightInd w:val="0"/>
        <w:snapToGrid w:val="0"/>
        <w:spacing w:line="312" w:lineRule="auto"/>
        <w:jc w:val="left"/>
        <w:outlineLvl w:val="4"/>
        <w:rPr>
          <w:rFonts w:ascii="仿宋_GB2312" w:hAnsi="仿宋" w:eastAsia="仿宋_GB2312" w:cs="仿宋"/>
          <w:color w:val="auto"/>
          <w:sz w:val="24"/>
          <w:highlight w:val="none"/>
        </w:rPr>
      </w:pPr>
      <w:bookmarkStart w:id="56" w:name="_Toc25711"/>
      <w:bookmarkStart w:id="57" w:name="_Toc26790"/>
      <w:r>
        <w:rPr>
          <w:rFonts w:hint="eastAsia" w:ascii="仿宋_GB2312" w:hAnsi="仿宋" w:eastAsia="仿宋_GB2312" w:cs="仿宋"/>
          <w:color w:val="auto"/>
          <w:sz w:val="24"/>
          <w:highlight w:val="none"/>
        </w:rPr>
        <w:t>2）故障响应与处置（25分）</w:t>
      </w:r>
      <w:bookmarkEnd w:id="56"/>
      <w:bookmarkEnd w:id="57"/>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51"/>
        <w:gridCol w:w="1680"/>
        <w:gridCol w:w="855"/>
        <w:gridCol w:w="5765"/>
      </w:tblGrid>
      <w:tr w14:paraId="69315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51" w:type="dxa"/>
            <w:tcMar>
              <w:top w:w="60" w:type="dxa"/>
              <w:left w:w="120" w:type="dxa"/>
              <w:bottom w:w="30" w:type="dxa"/>
              <w:right w:w="120" w:type="dxa"/>
            </w:tcMar>
            <w:vAlign w:val="center"/>
          </w:tcPr>
          <w:p w14:paraId="2ED1E0AA">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序号</w:t>
            </w:r>
          </w:p>
        </w:tc>
        <w:tc>
          <w:tcPr>
            <w:tcW w:w="1680" w:type="dxa"/>
            <w:tcMar>
              <w:top w:w="60" w:type="dxa"/>
              <w:left w:w="120" w:type="dxa"/>
              <w:bottom w:w="30" w:type="dxa"/>
              <w:right w:w="120" w:type="dxa"/>
            </w:tcMar>
            <w:vAlign w:val="center"/>
          </w:tcPr>
          <w:p w14:paraId="69394F64">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评分项</w:t>
            </w:r>
          </w:p>
        </w:tc>
        <w:tc>
          <w:tcPr>
            <w:tcW w:w="855" w:type="dxa"/>
            <w:tcMar>
              <w:top w:w="60" w:type="dxa"/>
              <w:left w:w="120" w:type="dxa"/>
              <w:bottom w:w="30" w:type="dxa"/>
              <w:right w:w="120" w:type="dxa"/>
            </w:tcMar>
            <w:vAlign w:val="center"/>
          </w:tcPr>
          <w:p w14:paraId="397379BC">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分值</w:t>
            </w:r>
          </w:p>
        </w:tc>
        <w:tc>
          <w:tcPr>
            <w:tcW w:w="5765" w:type="dxa"/>
            <w:tcMar>
              <w:top w:w="60" w:type="dxa"/>
              <w:left w:w="120" w:type="dxa"/>
              <w:bottom w:w="30" w:type="dxa"/>
              <w:right w:w="120" w:type="dxa"/>
            </w:tcMar>
            <w:vAlign w:val="center"/>
          </w:tcPr>
          <w:p w14:paraId="6144ACE5">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评分标准</w:t>
            </w:r>
          </w:p>
        </w:tc>
      </w:tr>
      <w:tr w14:paraId="451BB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51" w:type="dxa"/>
            <w:tcMar>
              <w:top w:w="60" w:type="dxa"/>
              <w:left w:w="120" w:type="dxa"/>
              <w:bottom w:w="30" w:type="dxa"/>
              <w:right w:w="120" w:type="dxa"/>
            </w:tcMar>
            <w:vAlign w:val="center"/>
          </w:tcPr>
          <w:p w14:paraId="3FED2A86">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w:t>
            </w:r>
          </w:p>
        </w:tc>
        <w:tc>
          <w:tcPr>
            <w:tcW w:w="1680" w:type="dxa"/>
            <w:tcMar>
              <w:top w:w="60" w:type="dxa"/>
              <w:left w:w="120" w:type="dxa"/>
              <w:bottom w:w="30" w:type="dxa"/>
              <w:right w:w="120" w:type="dxa"/>
            </w:tcMar>
            <w:vAlign w:val="center"/>
          </w:tcPr>
          <w:p w14:paraId="33B041A7">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故障响应时效</w:t>
            </w:r>
          </w:p>
        </w:tc>
        <w:tc>
          <w:tcPr>
            <w:tcW w:w="855" w:type="dxa"/>
            <w:tcMar>
              <w:top w:w="60" w:type="dxa"/>
              <w:left w:w="120" w:type="dxa"/>
              <w:bottom w:w="30" w:type="dxa"/>
              <w:right w:w="120" w:type="dxa"/>
            </w:tcMar>
            <w:vAlign w:val="center"/>
          </w:tcPr>
          <w:p w14:paraId="03AAFF45">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10分</w:t>
            </w:r>
          </w:p>
        </w:tc>
        <w:tc>
          <w:tcPr>
            <w:tcW w:w="5765" w:type="dxa"/>
            <w:tcMar>
              <w:top w:w="60" w:type="dxa"/>
              <w:left w:w="120" w:type="dxa"/>
              <w:bottom w:w="30" w:type="dxa"/>
              <w:right w:w="120" w:type="dxa"/>
            </w:tcMar>
          </w:tcPr>
          <w:p w14:paraId="6FA909A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未按</w:t>
            </w:r>
            <w:r>
              <w:rPr>
                <w:rFonts w:hint="eastAsia" w:ascii="仿宋_GB2312" w:hAnsi="仿宋" w:eastAsia="仿宋_GB2312" w:cs="仿宋"/>
                <w:color w:val="auto"/>
                <w:sz w:val="24"/>
                <w:highlight w:val="none"/>
                <w:shd w:val="clear" w:color="auto" w:fill="FFFFFF"/>
              </w:rPr>
              <w:t>“故障分级与响应时效”</w:t>
            </w:r>
            <w:r>
              <w:rPr>
                <w:rFonts w:hint="eastAsia" w:ascii="仿宋_GB2312" w:hAnsi="仿宋" w:eastAsia="仿宋_GB2312" w:cs="仿宋"/>
                <w:color w:val="auto"/>
                <w:sz w:val="24"/>
                <w:highlight w:val="none"/>
              </w:rPr>
              <w:t>规定的时限响应的，紧急/重大故障每次扣5分，一般故障每次扣2分，轻微故障每次扣1分。</w:t>
            </w:r>
          </w:p>
        </w:tc>
      </w:tr>
      <w:tr w14:paraId="78471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51" w:type="dxa"/>
            <w:tcMar>
              <w:top w:w="60" w:type="dxa"/>
              <w:left w:w="120" w:type="dxa"/>
              <w:bottom w:w="30" w:type="dxa"/>
              <w:right w:w="120" w:type="dxa"/>
            </w:tcMar>
            <w:vAlign w:val="center"/>
          </w:tcPr>
          <w:p w14:paraId="130164FF">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w:t>
            </w:r>
          </w:p>
        </w:tc>
        <w:tc>
          <w:tcPr>
            <w:tcW w:w="1680" w:type="dxa"/>
            <w:tcMar>
              <w:top w:w="60" w:type="dxa"/>
              <w:left w:w="120" w:type="dxa"/>
              <w:bottom w:w="30" w:type="dxa"/>
              <w:right w:w="120" w:type="dxa"/>
            </w:tcMar>
            <w:vAlign w:val="center"/>
          </w:tcPr>
          <w:p w14:paraId="31C19FA0">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抵达现场时效</w:t>
            </w:r>
          </w:p>
        </w:tc>
        <w:tc>
          <w:tcPr>
            <w:tcW w:w="855" w:type="dxa"/>
            <w:tcMar>
              <w:top w:w="60" w:type="dxa"/>
              <w:left w:w="120" w:type="dxa"/>
              <w:bottom w:w="30" w:type="dxa"/>
              <w:right w:w="120" w:type="dxa"/>
            </w:tcMar>
            <w:vAlign w:val="center"/>
          </w:tcPr>
          <w:p w14:paraId="7DC2C576">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8分</w:t>
            </w:r>
          </w:p>
        </w:tc>
        <w:tc>
          <w:tcPr>
            <w:tcW w:w="5765" w:type="dxa"/>
            <w:tcMar>
              <w:top w:w="60" w:type="dxa"/>
              <w:left w:w="120" w:type="dxa"/>
              <w:bottom w:w="30" w:type="dxa"/>
              <w:right w:w="120" w:type="dxa"/>
            </w:tcMar>
          </w:tcPr>
          <w:p w14:paraId="3D692FE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未按</w:t>
            </w:r>
            <w:r>
              <w:rPr>
                <w:rFonts w:hint="eastAsia" w:ascii="仿宋_GB2312" w:hAnsi="仿宋" w:eastAsia="仿宋_GB2312" w:cs="仿宋"/>
                <w:color w:val="auto"/>
                <w:sz w:val="24"/>
                <w:highlight w:val="none"/>
                <w:shd w:val="clear" w:color="auto" w:fill="FFFFFF"/>
              </w:rPr>
              <w:t>“故障分级与响应时效”</w:t>
            </w:r>
            <w:r>
              <w:rPr>
                <w:rFonts w:hint="eastAsia" w:ascii="仿宋_GB2312" w:hAnsi="仿宋" w:eastAsia="仿宋_GB2312" w:cs="仿宋"/>
                <w:color w:val="auto"/>
                <w:sz w:val="24"/>
                <w:highlight w:val="none"/>
              </w:rPr>
              <w:t>规定的时限抵达现场的，紧急/重大故障每次扣4分，一般故障每次扣2分。</w:t>
            </w:r>
          </w:p>
        </w:tc>
      </w:tr>
      <w:tr w14:paraId="01D83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51" w:type="dxa"/>
            <w:tcMar>
              <w:top w:w="60" w:type="dxa"/>
              <w:left w:w="120" w:type="dxa"/>
              <w:bottom w:w="30" w:type="dxa"/>
              <w:right w:w="120" w:type="dxa"/>
            </w:tcMar>
            <w:vAlign w:val="center"/>
          </w:tcPr>
          <w:p w14:paraId="238F5B89">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w:t>
            </w:r>
          </w:p>
        </w:tc>
        <w:tc>
          <w:tcPr>
            <w:tcW w:w="1680" w:type="dxa"/>
            <w:tcMar>
              <w:top w:w="60" w:type="dxa"/>
              <w:left w:w="120" w:type="dxa"/>
              <w:bottom w:w="30" w:type="dxa"/>
              <w:right w:w="120" w:type="dxa"/>
            </w:tcMar>
            <w:vAlign w:val="center"/>
          </w:tcPr>
          <w:p w14:paraId="3EC77912">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故障修复时效</w:t>
            </w:r>
          </w:p>
        </w:tc>
        <w:tc>
          <w:tcPr>
            <w:tcW w:w="855" w:type="dxa"/>
            <w:tcMar>
              <w:top w:w="60" w:type="dxa"/>
              <w:left w:w="120" w:type="dxa"/>
              <w:bottom w:w="30" w:type="dxa"/>
              <w:right w:w="120" w:type="dxa"/>
            </w:tcMar>
            <w:vAlign w:val="center"/>
          </w:tcPr>
          <w:p w14:paraId="46F0E342">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7分</w:t>
            </w:r>
          </w:p>
        </w:tc>
        <w:tc>
          <w:tcPr>
            <w:tcW w:w="5765" w:type="dxa"/>
            <w:tcMar>
              <w:top w:w="60" w:type="dxa"/>
              <w:left w:w="120" w:type="dxa"/>
              <w:bottom w:w="30" w:type="dxa"/>
              <w:right w:w="120" w:type="dxa"/>
            </w:tcMar>
          </w:tcPr>
          <w:p w14:paraId="202DFDD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未按</w:t>
            </w:r>
            <w:r>
              <w:rPr>
                <w:rFonts w:hint="eastAsia" w:ascii="仿宋_GB2312" w:hAnsi="仿宋" w:eastAsia="仿宋_GB2312" w:cs="仿宋"/>
                <w:color w:val="auto"/>
                <w:sz w:val="24"/>
                <w:highlight w:val="none"/>
                <w:shd w:val="clear" w:color="auto" w:fill="FFFFFF"/>
              </w:rPr>
              <w:t>“故障分级与响应时效”</w:t>
            </w:r>
            <w:r>
              <w:rPr>
                <w:rFonts w:hint="eastAsia" w:ascii="仿宋_GB2312" w:hAnsi="仿宋" w:eastAsia="仿宋_GB2312" w:cs="仿宋"/>
                <w:color w:val="auto"/>
                <w:sz w:val="24"/>
                <w:highlight w:val="none"/>
              </w:rPr>
              <w:t>规定的时限完成修复的，紧急/重大故障每次扣3分，一般故障每次扣2分。</w:t>
            </w:r>
          </w:p>
        </w:tc>
      </w:tr>
    </w:tbl>
    <w:p w14:paraId="052A8AB4">
      <w:pPr>
        <w:adjustRightInd w:val="0"/>
        <w:snapToGrid w:val="0"/>
        <w:spacing w:line="312" w:lineRule="auto"/>
        <w:jc w:val="left"/>
        <w:outlineLvl w:val="4"/>
        <w:rPr>
          <w:rFonts w:ascii="仿宋_GB2312" w:hAnsi="仿宋" w:eastAsia="仿宋_GB2312" w:cs="仿宋"/>
          <w:color w:val="auto"/>
          <w:sz w:val="24"/>
          <w:highlight w:val="none"/>
        </w:rPr>
      </w:pPr>
      <w:bookmarkStart w:id="58" w:name="_Toc24074"/>
      <w:bookmarkStart w:id="59" w:name="_Toc14561"/>
      <w:r>
        <w:rPr>
          <w:rFonts w:hint="eastAsia" w:ascii="仿宋_GB2312" w:hAnsi="仿宋" w:eastAsia="仿宋_GB2312" w:cs="仿宋"/>
          <w:color w:val="auto"/>
          <w:sz w:val="24"/>
          <w:highlight w:val="none"/>
        </w:rPr>
        <w:t>3）综合管理（15分）</w:t>
      </w:r>
      <w:bookmarkEnd w:id="58"/>
      <w:bookmarkEnd w:id="59"/>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36"/>
        <w:gridCol w:w="1725"/>
        <w:gridCol w:w="825"/>
        <w:gridCol w:w="5765"/>
      </w:tblGrid>
      <w:tr w14:paraId="5E23B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6" w:type="dxa"/>
            <w:tcMar>
              <w:top w:w="60" w:type="dxa"/>
              <w:left w:w="120" w:type="dxa"/>
              <w:bottom w:w="30" w:type="dxa"/>
              <w:right w:w="120" w:type="dxa"/>
            </w:tcMar>
          </w:tcPr>
          <w:p w14:paraId="20498A02">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序号</w:t>
            </w:r>
          </w:p>
        </w:tc>
        <w:tc>
          <w:tcPr>
            <w:tcW w:w="1725" w:type="dxa"/>
            <w:tcMar>
              <w:top w:w="60" w:type="dxa"/>
              <w:left w:w="120" w:type="dxa"/>
              <w:bottom w:w="30" w:type="dxa"/>
              <w:right w:w="120" w:type="dxa"/>
            </w:tcMar>
          </w:tcPr>
          <w:p w14:paraId="47AE9BB2">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评分项</w:t>
            </w:r>
          </w:p>
        </w:tc>
        <w:tc>
          <w:tcPr>
            <w:tcW w:w="825" w:type="dxa"/>
            <w:tcMar>
              <w:top w:w="60" w:type="dxa"/>
              <w:left w:w="120" w:type="dxa"/>
              <w:bottom w:w="30" w:type="dxa"/>
              <w:right w:w="120" w:type="dxa"/>
            </w:tcMar>
          </w:tcPr>
          <w:p w14:paraId="501C9E75">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分值</w:t>
            </w:r>
          </w:p>
        </w:tc>
        <w:tc>
          <w:tcPr>
            <w:tcW w:w="5765" w:type="dxa"/>
            <w:tcMar>
              <w:top w:w="60" w:type="dxa"/>
              <w:left w:w="120" w:type="dxa"/>
              <w:bottom w:w="30" w:type="dxa"/>
              <w:right w:w="120" w:type="dxa"/>
            </w:tcMar>
          </w:tcPr>
          <w:p w14:paraId="4D45582C">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评分标准</w:t>
            </w:r>
          </w:p>
        </w:tc>
      </w:tr>
      <w:tr w14:paraId="4BE64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6" w:type="dxa"/>
            <w:tcMar>
              <w:top w:w="60" w:type="dxa"/>
              <w:left w:w="120" w:type="dxa"/>
              <w:bottom w:w="30" w:type="dxa"/>
              <w:right w:w="120" w:type="dxa"/>
            </w:tcMar>
            <w:vAlign w:val="center"/>
          </w:tcPr>
          <w:p w14:paraId="2A023662">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w:t>
            </w:r>
          </w:p>
        </w:tc>
        <w:tc>
          <w:tcPr>
            <w:tcW w:w="1725" w:type="dxa"/>
            <w:tcMar>
              <w:top w:w="60" w:type="dxa"/>
              <w:left w:w="120" w:type="dxa"/>
              <w:bottom w:w="30" w:type="dxa"/>
              <w:right w:w="120" w:type="dxa"/>
            </w:tcMar>
            <w:vAlign w:val="center"/>
          </w:tcPr>
          <w:p w14:paraId="1931C33B">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人员到岗</w:t>
            </w:r>
          </w:p>
        </w:tc>
        <w:tc>
          <w:tcPr>
            <w:tcW w:w="825" w:type="dxa"/>
            <w:tcMar>
              <w:top w:w="60" w:type="dxa"/>
              <w:left w:w="120" w:type="dxa"/>
              <w:bottom w:w="30" w:type="dxa"/>
              <w:right w:w="120" w:type="dxa"/>
            </w:tcMar>
            <w:vAlign w:val="center"/>
          </w:tcPr>
          <w:p w14:paraId="5C7F1C74">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5分</w:t>
            </w:r>
          </w:p>
        </w:tc>
        <w:tc>
          <w:tcPr>
            <w:tcW w:w="5765" w:type="dxa"/>
            <w:tcMar>
              <w:top w:w="60" w:type="dxa"/>
              <w:left w:w="120" w:type="dxa"/>
              <w:bottom w:w="30" w:type="dxa"/>
              <w:right w:w="120" w:type="dxa"/>
            </w:tcMar>
          </w:tcPr>
          <w:p w14:paraId="2D83271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1．驻场时段内人员未到岗或擅自离岗的，每人次扣2分。</w:t>
            </w:r>
          </w:p>
          <w:p w14:paraId="795B63D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2．节假日及重大活动期间未按要求保证在岗备勤人员的，每次扣2分。</w:t>
            </w:r>
          </w:p>
          <w:p w14:paraId="709A628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w:t>
            </w:r>
            <w:r>
              <w:rPr>
                <w:rFonts w:hint="eastAsia" w:ascii="仿宋_GB2312" w:hAnsi="仿宋" w:eastAsia="仿宋_GB2312" w:cs="仿宋"/>
                <w:color w:val="auto"/>
                <w:sz w:val="24"/>
                <w:highlight w:val="none"/>
                <w:shd w:val="clear" w:color="auto" w:fill="FFFFFF"/>
              </w:rPr>
              <w:t>内业管理专员未在采购人指定工位在岗或擅自离岗的，每人次扣2分。</w:t>
            </w:r>
          </w:p>
        </w:tc>
      </w:tr>
      <w:tr w14:paraId="33A2B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6" w:type="dxa"/>
            <w:tcMar>
              <w:top w:w="60" w:type="dxa"/>
              <w:left w:w="120" w:type="dxa"/>
              <w:bottom w:w="30" w:type="dxa"/>
              <w:right w:w="120" w:type="dxa"/>
            </w:tcMar>
            <w:vAlign w:val="center"/>
          </w:tcPr>
          <w:p w14:paraId="2DEF5C21">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w:t>
            </w:r>
          </w:p>
        </w:tc>
        <w:tc>
          <w:tcPr>
            <w:tcW w:w="1725" w:type="dxa"/>
            <w:tcMar>
              <w:top w:w="60" w:type="dxa"/>
              <w:left w:w="120" w:type="dxa"/>
              <w:bottom w:w="30" w:type="dxa"/>
              <w:right w:w="120" w:type="dxa"/>
            </w:tcMar>
            <w:vAlign w:val="center"/>
          </w:tcPr>
          <w:p w14:paraId="5796258B">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行为规范</w:t>
            </w:r>
          </w:p>
        </w:tc>
        <w:tc>
          <w:tcPr>
            <w:tcW w:w="825" w:type="dxa"/>
            <w:tcMar>
              <w:top w:w="60" w:type="dxa"/>
              <w:left w:w="120" w:type="dxa"/>
              <w:bottom w:w="30" w:type="dxa"/>
              <w:right w:w="120" w:type="dxa"/>
            </w:tcMar>
            <w:vAlign w:val="center"/>
          </w:tcPr>
          <w:p w14:paraId="2C00A4DC">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4分</w:t>
            </w:r>
          </w:p>
        </w:tc>
        <w:tc>
          <w:tcPr>
            <w:tcW w:w="5765" w:type="dxa"/>
            <w:tcMar>
              <w:top w:w="60" w:type="dxa"/>
              <w:left w:w="120" w:type="dxa"/>
              <w:bottom w:w="30" w:type="dxa"/>
              <w:right w:w="120" w:type="dxa"/>
            </w:tcMar>
          </w:tcPr>
          <w:p w14:paraId="6366FCB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违反“行为规范”任一项的，每次扣2分；造成不良影响的，每次扣4分。</w:t>
            </w:r>
          </w:p>
        </w:tc>
      </w:tr>
      <w:tr w14:paraId="79D4C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6" w:type="dxa"/>
            <w:tcMar>
              <w:top w:w="60" w:type="dxa"/>
              <w:left w:w="120" w:type="dxa"/>
              <w:bottom w:w="30" w:type="dxa"/>
              <w:right w:w="120" w:type="dxa"/>
            </w:tcMar>
            <w:vAlign w:val="center"/>
          </w:tcPr>
          <w:p w14:paraId="71138C69">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w:t>
            </w:r>
          </w:p>
        </w:tc>
        <w:tc>
          <w:tcPr>
            <w:tcW w:w="1725" w:type="dxa"/>
            <w:tcMar>
              <w:top w:w="60" w:type="dxa"/>
              <w:left w:w="120" w:type="dxa"/>
              <w:bottom w:w="30" w:type="dxa"/>
              <w:right w:w="120" w:type="dxa"/>
            </w:tcMar>
            <w:vAlign w:val="center"/>
          </w:tcPr>
          <w:p w14:paraId="67CFA650">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安全作业</w:t>
            </w:r>
          </w:p>
        </w:tc>
        <w:tc>
          <w:tcPr>
            <w:tcW w:w="825" w:type="dxa"/>
            <w:tcMar>
              <w:top w:w="60" w:type="dxa"/>
              <w:left w:w="120" w:type="dxa"/>
              <w:bottom w:w="30" w:type="dxa"/>
              <w:right w:w="120" w:type="dxa"/>
            </w:tcMar>
            <w:vAlign w:val="center"/>
          </w:tcPr>
          <w:p w14:paraId="03CC291D">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3分</w:t>
            </w:r>
          </w:p>
        </w:tc>
        <w:tc>
          <w:tcPr>
            <w:tcW w:w="5765" w:type="dxa"/>
            <w:tcMar>
              <w:top w:w="60" w:type="dxa"/>
              <w:left w:w="120" w:type="dxa"/>
              <w:bottom w:w="30" w:type="dxa"/>
              <w:right w:w="120" w:type="dxa"/>
            </w:tcMar>
          </w:tcPr>
          <w:p w14:paraId="5294B8B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违反“安全作业”任一项的，每次扣2分；造成安全事故的，本项得0分并另行追究责任。</w:t>
            </w:r>
          </w:p>
        </w:tc>
      </w:tr>
      <w:tr w14:paraId="75A97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6" w:type="dxa"/>
            <w:tcMar>
              <w:top w:w="60" w:type="dxa"/>
              <w:left w:w="120" w:type="dxa"/>
              <w:bottom w:w="30" w:type="dxa"/>
              <w:right w:w="120" w:type="dxa"/>
            </w:tcMar>
            <w:vAlign w:val="center"/>
          </w:tcPr>
          <w:p w14:paraId="3EFC42D3">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w:t>
            </w:r>
          </w:p>
        </w:tc>
        <w:tc>
          <w:tcPr>
            <w:tcW w:w="1725" w:type="dxa"/>
            <w:tcMar>
              <w:top w:w="60" w:type="dxa"/>
              <w:left w:w="120" w:type="dxa"/>
              <w:bottom w:w="30" w:type="dxa"/>
              <w:right w:w="120" w:type="dxa"/>
            </w:tcMar>
            <w:vAlign w:val="center"/>
          </w:tcPr>
          <w:p w14:paraId="0F0E1035">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采购人指令配合</w:t>
            </w:r>
          </w:p>
        </w:tc>
        <w:tc>
          <w:tcPr>
            <w:tcW w:w="825" w:type="dxa"/>
            <w:tcMar>
              <w:top w:w="60" w:type="dxa"/>
              <w:left w:w="120" w:type="dxa"/>
              <w:bottom w:w="30" w:type="dxa"/>
              <w:right w:w="120" w:type="dxa"/>
            </w:tcMar>
            <w:vAlign w:val="center"/>
          </w:tcPr>
          <w:p w14:paraId="4A6A7EAB">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3分</w:t>
            </w:r>
          </w:p>
        </w:tc>
        <w:tc>
          <w:tcPr>
            <w:tcW w:w="5765" w:type="dxa"/>
            <w:tcMar>
              <w:top w:w="60" w:type="dxa"/>
              <w:left w:w="120" w:type="dxa"/>
              <w:bottom w:w="30" w:type="dxa"/>
              <w:right w:w="120" w:type="dxa"/>
            </w:tcMar>
          </w:tcPr>
          <w:p w14:paraId="2793CCC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无正当理由拒绝或拖延执行采购人合理工作指令的，每次扣2分。</w:t>
            </w:r>
          </w:p>
        </w:tc>
      </w:tr>
    </w:tbl>
    <w:p w14:paraId="7370DCA2">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（2）中标人月度考核得分为各项评分的加总。如中标人对考核结果有异议，需在收到考核结果后3个工作日内书面申请复议，采购人应在收到复议申请后5个工作日内作出答复。复议结果为最终结果。</w:t>
      </w:r>
    </w:p>
    <w:p w14:paraId="27B1847C">
      <w:pPr>
        <w:adjustRightInd w:val="0"/>
        <w:snapToGrid w:val="0"/>
        <w:spacing w:line="312" w:lineRule="auto"/>
        <w:ind w:firstLine="480" w:firstLineChars="200"/>
        <w:jc w:val="left"/>
        <w:outlineLvl w:val="3"/>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（3）本考核办法的评分细则以</w:t>
      </w:r>
      <w:r>
        <w:rPr>
          <w:rFonts w:hint="eastAsia" w:ascii="仿宋_GB2312" w:hAnsi="仿宋" w:eastAsia="仿宋_GB2312" w:cs="仿宋"/>
          <w:color w:val="auto"/>
          <w:sz w:val="24"/>
          <w:highlight w:val="none"/>
          <w:shd w:val="clear" w:color="auto" w:fill="FFFFFF"/>
        </w:rPr>
        <w:t>本条“考核内容与评分标准”</w:t>
      </w:r>
      <w:r>
        <w:rPr>
          <w:rFonts w:hint="eastAsia" w:ascii="仿宋_GB2312" w:hAnsi="仿宋" w:eastAsia="仿宋_GB2312" w:cs="仿宋"/>
          <w:color w:val="auto"/>
          <w:sz w:val="24"/>
          <w:highlight w:val="none"/>
        </w:rPr>
        <w:t>，双方在签订合同时可对评分细则的操作性细节进行补充约定，但不得变更评分项的分值分配、评分标准和扣分规则等实质性内容。</w:t>
      </w:r>
    </w:p>
    <w:p w14:paraId="53CDBED6">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w:t>
      </w:r>
      <w:r>
        <w:rPr>
          <w:rFonts w:hint="eastAsia" w:ascii="仿宋_GB2312" w:hAnsi="仿宋" w:eastAsia="仿宋_GB2312" w:cs="仿宋"/>
          <w:color w:val="auto"/>
          <w:sz w:val="24"/>
          <w:highlight w:val="none"/>
        </w:rPr>
        <w:t>（十三）考核结果应用</w:t>
      </w:r>
    </w:p>
    <w:p w14:paraId="4B1FD103">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1、每月考核结果与每月维保服务费挂钩：</w:t>
      </w:r>
    </w:p>
    <w:tbl>
      <w:tblPr>
        <w:tblStyle w:val="12"/>
        <w:tblW w:w="91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715"/>
        <w:gridCol w:w="2548"/>
        <w:gridCol w:w="4929"/>
      </w:tblGrid>
      <w:tr w14:paraId="69C22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715" w:type="dxa"/>
            <w:tcMar>
              <w:top w:w="60" w:type="dxa"/>
              <w:left w:w="120" w:type="dxa"/>
              <w:bottom w:w="30" w:type="dxa"/>
              <w:right w:w="120" w:type="dxa"/>
            </w:tcMar>
          </w:tcPr>
          <w:p w14:paraId="2B9648E5">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考核得分</w:t>
            </w:r>
          </w:p>
        </w:tc>
        <w:tc>
          <w:tcPr>
            <w:tcW w:w="2548" w:type="dxa"/>
            <w:tcMar>
              <w:top w:w="60" w:type="dxa"/>
              <w:left w:w="120" w:type="dxa"/>
              <w:bottom w:w="30" w:type="dxa"/>
              <w:right w:w="120" w:type="dxa"/>
            </w:tcMar>
          </w:tcPr>
          <w:p w14:paraId="05223146">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维保服务费支付比例</w:t>
            </w:r>
          </w:p>
        </w:tc>
        <w:tc>
          <w:tcPr>
            <w:tcW w:w="4929" w:type="dxa"/>
            <w:tcMar>
              <w:top w:w="60" w:type="dxa"/>
              <w:left w:w="120" w:type="dxa"/>
              <w:bottom w:w="30" w:type="dxa"/>
              <w:right w:w="120" w:type="dxa"/>
            </w:tcMar>
          </w:tcPr>
          <w:p w14:paraId="48547FD5">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措施</w:t>
            </w:r>
          </w:p>
        </w:tc>
      </w:tr>
      <w:tr w14:paraId="42955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715" w:type="dxa"/>
            <w:tcMar>
              <w:top w:w="60" w:type="dxa"/>
              <w:left w:w="120" w:type="dxa"/>
              <w:bottom w:w="30" w:type="dxa"/>
              <w:right w:w="120" w:type="dxa"/>
            </w:tcMar>
            <w:vAlign w:val="center"/>
          </w:tcPr>
          <w:p w14:paraId="61CAFDD1">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95分及以上</w:t>
            </w:r>
          </w:p>
        </w:tc>
        <w:tc>
          <w:tcPr>
            <w:tcW w:w="2548" w:type="dxa"/>
            <w:tcMar>
              <w:top w:w="60" w:type="dxa"/>
              <w:left w:w="120" w:type="dxa"/>
              <w:bottom w:w="30" w:type="dxa"/>
              <w:right w:w="120" w:type="dxa"/>
            </w:tcMar>
            <w:vAlign w:val="center"/>
          </w:tcPr>
          <w:p w14:paraId="2B7B45C1">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100%</w:t>
            </w:r>
          </w:p>
        </w:tc>
        <w:tc>
          <w:tcPr>
            <w:tcW w:w="4929" w:type="dxa"/>
            <w:tcMar>
              <w:top w:w="60" w:type="dxa"/>
              <w:left w:w="120" w:type="dxa"/>
              <w:bottom w:w="30" w:type="dxa"/>
              <w:right w:w="120" w:type="dxa"/>
            </w:tcMar>
          </w:tcPr>
          <w:p w14:paraId="21D53C8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全额支付</w:t>
            </w:r>
          </w:p>
        </w:tc>
      </w:tr>
      <w:tr w14:paraId="4AF3C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715" w:type="dxa"/>
            <w:tcMar>
              <w:top w:w="60" w:type="dxa"/>
              <w:left w:w="120" w:type="dxa"/>
              <w:bottom w:w="30" w:type="dxa"/>
              <w:right w:w="120" w:type="dxa"/>
            </w:tcMar>
            <w:vAlign w:val="center"/>
          </w:tcPr>
          <w:p w14:paraId="18AB44CB">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90—94分</w:t>
            </w:r>
          </w:p>
        </w:tc>
        <w:tc>
          <w:tcPr>
            <w:tcW w:w="2548" w:type="dxa"/>
            <w:tcMar>
              <w:top w:w="60" w:type="dxa"/>
              <w:left w:w="120" w:type="dxa"/>
              <w:bottom w:w="30" w:type="dxa"/>
              <w:right w:w="120" w:type="dxa"/>
            </w:tcMar>
            <w:vAlign w:val="center"/>
          </w:tcPr>
          <w:p w14:paraId="2C44C893">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100%</w:t>
            </w:r>
          </w:p>
        </w:tc>
        <w:tc>
          <w:tcPr>
            <w:tcW w:w="4929" w:type="dxa"/>
            <w:tcMar>
              <w:top w:w="60" w:type="dxa"/>
              <w:left w:w="120" w:type="dxa"/>
              <w:bottom w:w="30" w:type="dxa"/>
              <w:right w:w="120" w:type="dxa"/>
            </w:tcMar>
          </w:tcPr>
          <w:p w14:paraId="7BA8608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全额支付，但须书面说明扣分原因及整改措施</w:t>
            </w:r>
          </w:p>
        </w:tc>
      </w:tr>
      <w:tr w14:paraId="0C890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715" w:type="dxa"/>
            <w:tcMar>
              <w:top w:w="60" w:type="dxa"/>
              <w:left w:w="120" w:type="dxa"/>
              <w:bottom w:w="30" w:type="dxa"/>
              <w:right w:w="120" w:type="dxa"/>
            </w:tcMar>
            <w:vAlign w:val="center"/>
          </w:tcPr>
          <w:p w14:paraId="03C01D35">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85—89分</w:t>
            </w:r>
          </w:p>
        </w:tc>
        <w:tc>
          <w:tcPr>
            <w:tcW w:w="2548" w:type="dxa"/>
            <w:tcMar>
              <w:top w:w="60" w:type="dxa"/>
              <w:left w:w="120" w:type="dxa"/>
              <w:bottom w:w="30" w:type="dxa"/>
              <w:right w:w="120" w:type="dxa"/>
            </w:tcMar>
            <w:vAlign w:val="center"/>
          </w:tcPr>
          <w:p w14:paraId="109D093F">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95%</w:t>
            </w:r>
          </w:p>
        </w:tc>
        <w:tc>
          <w:tcPr>
            <w:tcW w:w="4929" w:type="dxa"/>
            <w:tcMar>
              <w:top w:w="60" w:type="dxa"/>
              <w:left w:w="120" w:type="dxa"/>
              <w:bottom w:w="30" w:type="dxa"/>
              <w:right w:w="120" w:type="dxa"/>
            </w:tcMar>
          </w:tcPr>
          <w:p w14:paraId="0CC8C36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扣减当月服务费的5%</w:t>
            </w:r>
          </w:p>
        </w:tc>
      </w:tr>
      <w:tr w14:paraId="4E3A1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715" w:type="dxa"/>
            <w:tcMar>
              <w:top w:w="60" w:type="dxa"/>
              <w:left w:w="120" w:type="dxa"/>
              <w:bottom w:w="30" w:type="dxa"/>
              <w:right w:w="120" w:type="dxa"/>
            </w:tcMar>
            <w:vAlign w:val="center"/>
          </w:tcPr>
          <w:p w14:paraId="0D8FF239">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80—84分</w:t>
            </w:r>
          </w:p>
        </w:tc>
        <w:tc>
          <w:tcPr>
            <w:tcW w:w="2548" w:type="dxa"/>
            <w:tcMar>
              <w:top w:w="60" w:type="dxa"/>
              <w:left w:w="120" w:type="dxa"/>
              <w:bottom w:w="30" w:type="dxa"/>
              <w:right w:w="120" w:type="dxa"/>
            </w:tcMar>
            <w:vAlign w:val="center"/>
          </w:tcPr>
          <w:p w14:paraId="0391B9BD">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90%</w:t>
            </w:r>
          </w:p>
        </w:tc>
        <w:tc>
          <w:tcPr>
            <w:tcW w:w="4929" w:type="dxa"/>
            <w:tcMar>
              <w:top w:w="60" w:type="dxa"/>
              <w:left w:w="120" w:type="dxa"/>
              <w:bottom w:w="30" w:type="dxa"/>
              <w:right w:w="120" w:type="dxa"/>
            </w:tcMar>
          </w:tcPr>
          <w:p w14:paraId="00A4651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扣减当月服务费的10%</w:t>
            </w:r>
          </w:p>
        </w:tc>
      </w:tr>
      <w:tr w14:paraId="1BB9C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715" w:type="dxa"/>
            <w:tcMar>
              <w:top w:w="60" w:type="dxa"/>
              <w:left w:w="120" w:type="dxa"/>
              <w:bottom w:w="30" w:type="dxa"/>
              <w:right w:w="120" w:type="dxa"/>
            </w:tcMar>
            <w:vAlign w:val="center"/>
          </w:tcPr>
          <w:p w14:paraId="671738DD">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70—79分</w:t>
            </w:r>
          </w:p>
        </w:tc>
        <w:tc>
          <w:tcPr>
            <w:tcW w:w="2548" w:type="dxa"/>
            <w:tcMar>
              <w:top w:w="60" w:type="dxa"/>
              <w:left w:w="120" w:type="dxa"/>
              <w:bottom w:w="30" w:type="dxa"/>
              <w:right w:w="120" w:type="dxa"/>
            </w:tcMar>
            <w:vAlign w:val="center"/>
          </w:tcPr>
          <w:p w14:paraId="02943352">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80%</w:t>
            </w:r>
          </w:p>
        </w:tc>
        <w:tc>
          <w:tcPr>
            <w:tcW w:w="4929" w:type="dxa"/>
            <w:tcMar>
              <w:top w:w="60" w:type="dxa"/>
              <w:left w:w="120" w:type="dxa"/>
              <w:bottom w:w="30" w:type="dxa"/>
              <w:right w:w="120" w:type="dxa"/>
            </w:tcMar>
          </w:tcPr>
          <w:p w14:paraId="7A75CDB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扣减当月服务费的20%</w:t>
            </w:r>
          </w:p>
        </w:tc>
      </w:tr>
      <w:tr w14:paraId="16A34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715" w:type="dxa"/>
            <w:tcMar>
              <w:top w:w="60" w:type="dxa"/>
              <w:left w:w="120" w:type="dxa"/>
              <w:bottom w:w="30" w:type="dxa"/>
              <w:right w:w="120" w:type="dxa"/>
            </w:tcMar>
            <w:vAlign w:val="center"/>
          </w:tcPr>
          <w:p w14:paraId="010809C3">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低于70分</w:t>
            </w:r>
          </w:p>
        </w:tc>
        <w:tc>
          <w:tcPr>
            <w:tcW w:w="2548" w:type="dxa"/>
            <w:tcMar>
              <w:top w:w="60" w:type="dxa"/>
              <w:left w:w="120" w:type="dxa"/>
              <w:bottom w:w="30" w:type="dxa"/>
              <w:right w:w="120" w:type="dxa"/>
            </w:tcMar>
            <w:vAlign w:val="center"/>
          </w:tcPr>
          <w:p w14:paraId="785D27FA">
            <w:pPr>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70%</w:t>
            </w:r>
          </w:p>
        </w:tc>
        <w:tc>
          <w:tcPr>
            <w:tcW w:w="4929" w:type="dxa"/>
            <w:tcMar>
              <w:top w:w="60" w:type="dxa"/>
              <w:left w:w="120" w:type="dxa"/>
              <w:bottom w:w="30" w:type="dxa"/>
              <w:right w:w="120" w:type="dxa"/>
            </w:tcMar>
          </w:tcPr>
          <w:p w14:paraId="101D870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扣减当月服务费的30%，约谈中标人</w:t>
            </w:r>
          </w:p>
        </w:tc>
      </w:tr>
    </w:tbl>
    <w:p w14:paraId="0F660A6F">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考核扣款与按实结算的关系：考核扣款系在按实结算基础上另行扣减，即当月应付服务费=按实结算金额×考核得分对应支付比例。单月考核扣款总额不超过当月按实结算金额的30%。如当月考核得分低于70分，采购人有权约谈中标人负责人，但扣款比例仍以30%为上限。</w:t>
      </w:r>
    </w:p>
    <w:p w14:paraId="525E1307">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w:t>
      </w:r>
      <w:r>
        <w:rPr>
          <w:rFonts w:hint="eastAsia" w:ascii="仿宋_GB2312" w:hAnsi="仿宋" w:eastAsia="仿宋_GB2312" w:cs="仿宋"/>
          <w:color w:val="auto"/>
          <w:sz w:val="24"/>
          <w:highlight w:val="none"/>
          <w:shd w:val="clear" w:color="auto" w:fill="FFFFFF"/>
        </w:rPr>
        <w:t>平台上线前，考核以书面工单、临时台账、纸质记录、电子表格为准。未使用上述方式或使用不规范的，按评分标准扣分。</w:t>
      </w:r>
    </w:p>
    <w:p w14:paraId="0D2FC0A2">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2、考核结果与合同解除挂钩</w:t>
      </w:r>
    </w:p>
    <w:p w14:paraId="34DBFDA8">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月度考核得分＜90分且大于等于80分的，采购人有权对中标人进行书面警告并要求限期完成整改。针对同一问题连续三次书面警告后，中标人在整改期限内仍未完成整改或整改仍不合格的，采购人有权单方解除合同，且不承担任何违约责任。</w:t>
      </w:r>
    </w:p>
    <w:p w14:paraId="7760F057">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连续2个月考核得分低于80分的，或服务周期内累计3个月考核得分低于80分的，采购人有权按“责任认定及违约行为处理”中“较重违约”的处理措施执行，采购人对中标人做出较重违约处理后，中标人再次出现</w:t>
      </w:r>
      <w:r>
        <w:rPr>
          <w:rFonts w:ascii="仿宋_GB2312" w:hAnsi="仿宋" w:eastAsia="仿宋_GB2312" w:cs="仿宋"/>
          <w:color w:val="auto"/>
          <w:sz w:val="24"/>
          <w:highlight w:val="none"/>
        </w:rPr>
        <w:t>连续2个月考核得分低于80分的，或服务周期内累计3个月考核得分低于80分的</w:t>
      </w:r>
      <w:r>
        <w:rPr>
          <w:rFonts w:hint="eastAsia" w:ascii="仿宋_GB2312" w:hAnsi="仿宋" w:eastAsia="仿宋_GB2312" w:cs="仿宋"/>
          <w:color w:val="auto"/>
          <w:sz w:val="24"/>
          <w:highlight w:val="none"/>
        </w:rPr>
        <w:t>情形，采购人有权单方解除合同，且不承担任何违约责任。</w:t>
      </w:r>
    </w:p>
    <w:p w14:paraId="4B842FFD">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3、一票否决情形：</w:t>
      </w:r>
      <w:r>
        <w:rPr>
          <w:rFonts w:hint="eastAsia" w:ascii="仿宋_GB2312" w:hAnsi="仿宋" w:eastAsia="仿宋_GB2312" w:cs="仿宋"/>
          <w:color w:val="auto"/>
          <w:sz w:val="24"/>
          <w:highlight w:val="none"/>
          <w:shd w:val="clear" w:color="auto" w:fill="FFFFFF"/>
        </w:rPr>
        <w:t>中标人出现“责任认定及违约行为”中“严重违约”情形之一的，采购人有权单方解除合同，并按“责任认定及违约行为”中处理措施表衔接规则说明处理。</w:t>
      </w:r>
    </w:p>
    <w:p w14:paraId="62A46025">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整改时限及要求：采购人发出书面警告时，整改期限为从发出书面警告当天起算15个日历天。中标人应在5个日历天内，向采购人提交书面整改报告，明确整改措施、责任人及完成时限。采购人有权对整改情况进行复查，复查不合格的，采购人有权再次发出书面警告。</w:t>
      </w:r>
    </w:p>
    <w:p w14:paraId="40705125">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5、考核记录存档：所有考核记录（至少包含评分表、整改报告、复议申请及答复）纳入维保档案，作为履约评价和合同管理的依据。</w:t>
      </w:r>
    </w:p>
    <w:p w14:paraId="5D988A1A">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6、解除后的过渡期安排</w:t>
      </w:r>
    </w:p>
    <w:p w14:paraId="7ACFF96A">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采购人依据“考核结果与合同解除挂钩”解除合同的，中标人应继续提供不超过60日的过渡期维保服务，直至采购人选定新的服务供应商并完成交接为止。过渡期内的服务标准、费用标准按本合同约定执行，费用由采购人据实支付。</w:t>
      </w:r>
    </w:p>
    <w:p w14:paraId="5E4207FA">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（2）中标人无正当理由拒绝提供过渡期服务的，采购人有权不予退还全部或部分履约保证金，并依法追究中标人的违约责任。</w:t>
      </w:r>
    </w:p>
    <w:p w14:paraId="3C924C25">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过渡期内，中标人应配合采购人及新供应商完成维保资料移交、系统操作交底、设备状态确认等交接工作。因中标人无正当理由拒绝配合或故意拖延，导致交接延误或造成损失的，中标人应承担相应的赔偿责任。</w:t>
      </w:r>
    </w:p>
    <w:p w14:paraId="772FCBCB">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w:t>
      </w:r>
      <w:r>
        <w:rPr>
          <w:rFonts w:hint="eastAsia" w:ascii="仿宋_GB2312" w:hAnsi="仿宋" w:eastAsia="仿宋_GB2312" w:cs="仿宋"/>
          <w:color w:val="auto"/>
          <w:sz w:val="24"/>
          <w:highlight w:val="none"/>
        </w:rPr>
        <w:t>（十四）考核与履约验收的关系</w:t>
      </w:r>
    </w:p>
    <w:p w14:paraId="14BE24CC">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1、每月的考核结果作为采购人支付每季度维保服务费的主要依据。</w:t>
      </w:r>
    </w:p>
    <w:p w14:paraId="08401B8F">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2、季度考核和年度考核结果作为履约评价和履约保证金退还的参考依据。</w:t>
      </w:r>
    </w:p>
    <w:p w14:paraId="71B3DF2C">
      <w:pPr>
        <w:adjustRightInd w:val="0"/>
        <w:snapToGrid w:val="0"/>
        <w:spacing w:line="312" w:lineRule="auto"/>
        <w:ind w:firstLine="480" w:firstLineChars="200"/>
        <w:jc w:val="left"/>
        <w:rPr>
          <w:rFonts w:ascii="仿宋_GB2312" w:hAnsi="宋体" w:eastAsia="仿宋_GB2312" w:cs="宋体"/>
          <w:color w:val="auto"/>
          <w:sz w:val="24"/>
          <w:highlight w:val="none"/>
        </w:rPr>
      </w:pPr>
      <w:r>
        <w:rPr>
          <w:rFonts w:hint="eastAsia" w:ascii="仿宋_GB2312" w:hAnsi="仿宋" w:eastAsia="仿宋_GB2312" w:cs="仿宋"/>
          <w:color w:val="auto"/>
          <w:sz w:val="24"/>
          <w:highlight w:val="none"/>
        </w:rPr>
        <w:t>3、采购人有权根据考核结果调整对中标人的监管力度，对考核中发现的问题进行重点跟踪。</w:t>
      </w:r>
    </w:p>
    <w:p w14:paraId="2CF60B77">
      <w:pPr>
        <w:adjustRightInd w:val="0"/>
        <w:snapToGrid w:val="0"/>
        <w:spacing w:line="312" w:lineRule="auto"/>
        <w:ind w:firstLine="480" w:firstLineChars="200"/>
        <w:jc w:val="left"/>
        <w:outlineLvl w:val="2"/>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（十五）常用备件参考清单</w:t>
      </w:r>
    </w:p>
    <w:tbl>
      <w:tblPr>
        <w:tblStyle w:val="12"/>
        <w:tblW w:w="497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79"/>
        <w:gridCol w:w="2085"/>
        <w:gridCol w:w="2385"/>
        <w:gridCol w:w="1872"/>
        <w:gridCol w:w="511"/>
        <w:gridCol w:w="970"/>
      </w:tblGrid>
      <w:tr w14:paraId="5C669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0BCAA37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序号</w:t>
            </w:r>
          </w:p>
        </w:tc>
        <w:tc>
          <w:tcPr>
            <w:tcW w:w="1226" w:type="pct"/>
            <w:tcMar>
              <w:top w:w="60" w:type="dxa"/>
              <w:left w:w="120" w:type="dxa"/>
              <w:bottom w:w="30" w:type="dxa"/>
              <w:right w:w="120" w:type="dxa"/>
            </w:tcMar>
          </w:tcPr>
          <w:p w14:paraId="560FCC0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所属系统</w:t>
            </w:r>
          </w:p>
        </w:tc>
        <w:tc>
          <w:tcPr>
            <w:tcW w:w="1403" w:type="pct"/>
            <w:tcMar>
              <w:top w:w="60" w:type="dxa"/>
              <w:left w:w="120" w:type="dxa"/>
              <w:bottom w:w="30" w:type="dxa"/>
              <w:right w:w="120" w:type="dxa"/>
            </w:tcMar>
          </w:tcPr>
          <w:p w14:paraId="2DE4B57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备件名称</w:t>
            </w:r>
          </w:p>
        </w:tc>
        <w:tc>
          <w:tcPr>
            <w:tcW w:w="1101" w:type="pct"/>
            <w:tcMar>
              <w:top w:w="60" w:type="dxa"/>
              <w:left w:w="120" w:type="dxa"/>
              <w:bottom w:w="30" w:type="dxa"/>
              <w:right w:w="120" w:type="dxa"/>
            </w:tcMar>
          </w:tcPr>
          <w:p w14:paraId="1B957B2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参考型号/规格</w:t>
            </w:r>
          </w:p>
        </w:tc>
        <w:tc>
          <w:tcPr>
            <w:tcW w:w="301" w:type="pct"/>
            <w:tcMar>
              <w:top w:w="60" w:type="dxa"/>
              <w:left w:w="120" w:type="dxa"/>
              <w:bottom w:w="30" w:type="dxa"/>
              <w:right w:w="120" w:type="dxa"/>
            </w:tcMar>
          </w:tcPr>
          <w:p w14:paraId="27CCB2B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单位</w:t>
            </w:r>
          </w:p>
        </w:tc>
        <w:tc>
          <w:tcPr>
            <w:tcW w:w="570" w:type="pct"/>
            <w:tcMar>
              <w:top w:w="60" w:type="dxa"/>
              <w:left w:w="120" w:type="dxa"/>
              <w:bottom w:w="30" w:type="dxa"/>
              <w:right w:w="120" w:type="dxa"/>
            </w:tcMar>
          </w:tcPr>
          <w:p w14:paraId="3007C6D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类别</w:t>
            </w:r>
          </w:p>
        </w:tc>
      </w:tr>
      <w:tr w14:paraId="48F13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2713007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w:t>
            </w:r>
          </w:p>
        </w:tc>
        <w:tc>
          <w:tcPr>
            <w:tcW w:w="1226" w:type="pct"/>
            <w:tcMar>
              <w:top w:w="60" w:type="dxa"/>
              <w:left w:w="120" w:type="dxa"/>
              <w:bottom w:w="30" w:type="dxa"/>
              <w:right w:w="120" w:type="dxa"/>
            </w:tcMar>
          </w:tcPr>
          <w:p w14:paraId="07CB2FA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火灾自动报警系统</w:t>
            </w:r>
          </w:p>
        </w:tc>
        <w:tc>
          <w:tcPr>
            <w:tcW w:w="1403" w:type="pct"/>
            <w:tcMar>
              <w:top w:w="60" w:type="dxa"/>
              <w:left w:w="120" w:type="dxa"/>
              <w:bottom w:w="30" w:type="dxa"/>
              <w:right w:w="120" w:type="dxa"/>
            </w:tcMar>
          </w:tcPr>
          <w:p w14:paraId="3F60DDA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智能光电感烟探测器（含底座）</w:t>
            </w:r>
          </w:p>
        </w:tc>
        <w:tc>
          <w:tcPr>
            <w:tcW w:w="1101" w:type="pct"/>
            <w:tcMar>
              <w:top w:w="60" w:type="dxa"/>
              <w:left w:w="120" w:type="dxa"/>
              <w:bottom w:w="30" w:type="dxa"/>
              <w:right w:w="120" w:type="dxa"/>
            </w:tcMar>
          </w:tcPr>
          <w:p w14:paraId="08A62DB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JTY-GD-系列</w:t>
            </w:r>
          </w:p>
        </w:tc>
        <w:tc>
          <w:tcPr>
            <w:tcW w:w="301" w:type="pct"/>
            <w:tcMar>
              <w:top w:w="60" w:type="dxa"/>
              <w:left w:w="120" w:type="dxa"/>
              <w:bottom w:w="30" w:type="dxa"/>
              <w:right w:w="120" w:type="dxa"/>
            </w:tcMar>
          </w:tcPr>
          <w:p w14:paraId="5759B79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74D31D7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59150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27D0178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w:t>
            </w:r>
          </w:p>
        </w:tc>
        <w:tc>
          <w:tcPr>
            <w:tcW w:w="1226" w:type="pct"/>
            <w:tcMar>
              <w:top w:w="60" w:type="dxa"/>
              <w:left w:w="120" w:type="dxa"/>
              <w:bottom w:w="30" w:type="dxa"/>
              <w:right w:w="120" w:type="dxa"/>
            </w:tcMar>
          </w:tcPr>
          <w:p w14:paraId="092E545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火灾自动报警系统</w:t>
            </w:r>
          </w:p>
        </w:tc>
        <w:tc>
          <w:tcPr>
            <w:tcW w:w="1403" w:type="pct"/>
            <w:tcMar>
              <w:top w:w="60" w:type="dxa"/>
              <w:left w:w="120" w:type="dxa"/>
              <w:bottom w:w="30" w:type="dxa"/>
              <w:right w:w="120" w:type="dxa"/>
            </w:tcMar>
          </w:tcPr>
          <w:p w14:paraId="5440847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智能电子感温探测器（含底座）</w:t>
            </w:r>
          </w:p>
        </w:tc>
        <w:tc>
          <w:tcPr>
            <w:tcW w:w="1101" w:type="pct"/>
            <w:tcMar>
              <w:top w:w="60" w:type="dxa"/>
              <w:left w:w="120" w:type="dxa"/>
              <w:bottom w:w="30" w:type="dxa"/>
              <w:right w:w="120" w:type="dxa"/>
            </w:tcMar>
          </w:tcPr>
          <w:p w14:paraId="40B4189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JTW-ZD-系列</w:t>
            </w:r>
          </w:p>
        </w:tc>
        <w:tc>
          <w:tcPr>
            <w:tcW w:w="301" w:type="pct"/>
            <w:tcMar>
              <w:top w:w="60" w:type="dxa"/>
              <w:left w:w="120" w:type="dxa"/>
              <w:bottom w:w="30" w:type="dxa"/>
              <w:right w:w="120" w:type="dxa"/>
            </w:tcMar>
          </w:tcPr>
          <w:p w14:paraId="4322A52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709989B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0AF64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1B7057B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w:t>
            </w:r>
          </w:p>
        </w:tc>
        <w:tc>
          <w:tcPr>
            <w:tcW w:w="1226" w:type="pct"/>
            <w:tcMar>
              <w:top w:w="60" w:type="dxa"/>
              <w:left w:w="120" w:type="dxa"/>
              <w:bottom w:w="30" w:type="dxa"/>
              <w:right w:w="120" w:type="dxa"/>
            </w:tcMar>
          </w:tcPr>
          <w:p w14:paraId="125362A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火灾自动报警系统</w:t>
            </w:r>
          </w:p>
        </w:tc>
        <w:tc>
          <w:tcPr>
            <w:tcW w:w="1403" w:type="pct"/>
            <w:tcMar>
              <w:top w:w="60" w:type="dxa"/>
              <w:left w:w="120" w:type="dxa"/>
              <w:bottom w:w="30" w:type="dxa"/>
              <w:right w:w="120" w:type="dxa"/>
            </w:tcMar>
          </w:tcPr>
          <w:p w14:paraId="1142604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烟温复合探测器（含底座）</w:t>
            </w:r>
          </w:p>
        </w:tc>
        <w:tc>
          <w:tcPr>
            <w:tcW w:w="1101" w:type="pct"/>
            <w:tcMar>
              <w:top w:w="60" w:type="dxa"/>
              <w:left w:w="120" w:type="dxa"/>
              <w:bottom w:w="30" w:type="dxa"/>
              <w:right w:w="120" w:type="dxa"/>
            </w:tcMar>
          </w:tcPr>
          <w:p w14:paraId="0BC0360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复合式</w:t>
            </w:r>
          </w:p>
        </w:tc>
        <w:tc>
          <w:tcPr>
            <w:tcW w:w="301" w:type="pct"/>
            <w:tcMar>
              <w:top w:w="60" w:type="dxa"/>
              <w:left w:w="120" w:type="dxa"/>
              <w:bottom w:w="30" w:type="dxa"/>
              <w:right w:w="120" w:type="dxa"/>
            </w:tcMar>
          </w:tcPr>
          <w:p w14:paraId="5A05B40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464F58B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77774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1E86191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w:t>
            </w:r>
          </w:p>
        </w:tc>
        <w:tc>
          <w:tcPr>
            <w:tcW w:w="1226" w:type="pct"/>
            <w:tcMar>
              <w:top w:w="60" w:type="dxa"/>
              <w:left w:w="120" w:type="dxa"/>
              <w:bottom w:w="30" w:type="dxa"/>
              <w:right w:w="120" w:type="dxa"/>
            </w:tcMar>
          </w:tcPr>
          <w:p w14:paraId="35FC5C3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火灾自动报警系统</w:t>
            </w:r>
          </w:p>
        </w:tc>
        <w:tc>
          <w:tcPr>
            <w:tcW w:w="1403" w:type="pct"/>
            <w:tcMar>
              <w:top w:w="60" w:type="dxa"/>
              <w:left w:w="120" w:type="dxa"/>
              <w:bottom w:w="30" w:type="dxa"/>
              <w:right w:w="120" w:type="dxa"/>
            </w:tcMar>
          </w:tcPr>
          <w:p w14:paraId="19D5AB3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手动报警按钮（含电话插孔）</w:t>
            </w:r>
          </w:p>
        </w:tc>
        <w:tc>
          <w:tcPr>
            <w:tcW w:w="1101" w:type="pct"/>
            <w:tcMar>
              <w:top w:w="60" w:type="dxa"/>
              <w:left w:w="120" w:type="dxa"/>
              <w:bottom w:w="30" w:type="dxa"/>
              <w:right w:w="120" w:type="dxa"/>
            </w:tcMar>
          </w:tcPr>
          <w:p w14:paraId="576030C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含底座</w:t>
            </w:r>
          </w:p>
        </w:tc>
        <w:tc>
          <w:tcPr>
            <w:tcW w:w="301" w:type="pct"/>
            <w:tcMar>
              <w:top w:w="60" w:type="dxa"/>
              <w:left w:w="120" w:type="dxa"/>
              <w:bottom w:w="30" w:type="dxa"/>
              <w:right w:w="120" w:type="dxa"/>
            </w:tcMar>
          </w:tcPr>
          <w:p w14:paraId="251E5A8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6BA4652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597D8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0610D59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w:t>
            </w:r>
          </w:p>
        </w:tc>
        <w:tc>
          <w:tcPr>
            <w:tcW w:w="1226" w:type="pct"/>
            <w:tcMar>
              <w:top w:w="60" w:type="dxa"/>
              <w:left w:w="120" w:type="dxa"/>
              <w:bottom w:w="30" w:type="dxa"/>
              <w:right w:w="120" w:type="dxa"/>
            </w:tcMar>
          </w:tcPr>
          <w:p w14:paraId="239B674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火灾自动报警系统</w:t>
            </w:r>
          </w:p>
        </w:tc>
        <w:tc>
          <w:tcPr>
            <w:tcW w:w="1403" w:type="pct"/>
            <w:tcMar>
              <w:top w:w="60" w:type="dxa"/>
              <w:left w:w="120" w:type="dxa"/>
              <w:bottom w:w="30" w:type="dxa"/>
              <w:right w:w="120" w:type="dxa"/>
            </w:tcMar>
          </w:tcPr>
          <w:p w14:paraId="4DEA3B9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编码消火栓按钮</w:t>
            </w:r>
          </w:p>
        </w:tc>
        <w:tc>
          <w:tcPr>
            <w:tcW w:w="1101" w:type="pct"/>
            <w:tcMar>
              <w:top w:w="60" w:type="dxa"/>
              <w:left w:w="120" w:type="dxa"/>
              <w:bottom w:w="30" w:type="dxa"/>
              <w:right w:w="120" w:type="dxa"/>
            </w:tcMar>
          </w:tcPr>
          <w:p w14:paraId="53C58FE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含底座</w:t>
            </w:r>
          </w:p>
        </w:tc>
        <w:tc>
          <w:tcPr>
            <w:tcW w:w="301" w:type="pct"/>
            <w:tcMar>
              <w:top w:w="60" w:type="dxa"/>
              <w:left w:w="120" w:type="dxa"/>
              <w:bottom w:w="30" w:type="dxa"/>
              <w:right w:w="120" w:type="dxa"/>
            </w:tcMar>
          </w:tcPr>
          <w:p w14:paraId="09C171B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682138E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18F85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6307272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w:t>
            </w:r>
          </w:p>
        </w:tc>
        <w:tc>
          <w:tcPr>
            <w:tcW w:w="1226" w:type="pct"/>
            <w:tcMar>
              <w:top w:w="60" w:type="dxa"/>
              <w:left w:w="120" w:type="dxa"/>
              <w:bottom w:w="30" w:type="dxa"/>
              <w:right w:w="120" w:type="dxa"/>
            </w:tcMar>
          </w:tcPr>
          <w:p w14:paraId="5BAB711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火灾自动报警系统</w:t>
            </w:r>
          </w:p>
        </w:tc>
        <w:tc>
          <w:tcPr>
            <w:tcW w:w="1403" w:type="pct"/>
            <w:tcMar>
              <w:top w:w="60" w:type="dxa"/>
              <w:left w:w="120" w:type="dxa"/>
              <w:bottom w:w="30" w:type="dxa"/>
              <w:right w:w="120" w:type="dxa"/>
            </w:tcMar>
          </w:tcPr>
          <w:p w14:paraId="6E6841F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单输入模块</w:t>
            </w:r>
          </w:p>
        </w:tc>
        <w:tc>
          <w:tcPr>
            <w:tcW w:w="1101" w:type="pct"/>
            <w:tcMar>
              <w:top w:w="60" w:type="dxa"/>
              <w:left w:w="120" w:type="dxa"/>
              <w:bottom w:w="30" w:type="dxa"/>
              <w:right w:w="120" w:type="dxa"/>
            </w:tcMar>
          </w:tcPr>
          <w:p w14:paraId="08821BE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输入模块</w:t>
            </w:r>
          </w:p>
        </w:tc>
        <w:tc>
          <w:tcPr>
            <w:tcW w:w="301" w:type="pct"/>
            <w:tcMar>
              <w:top w:w="60" w:type="dxa"/>
              <w:left w:w="120" w:type="dxa"/>
              <w:bottom w:w="30" w:type="dxa"/>
              <w:right w:w="120" w:type="dxa"/>
            </w:tcMar>
          </w:tcPr>
          <w:p w14:paraId="30FB99B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7AEDD7A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4ADEB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4DE7013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w:t>
            </w:r>
          </w:p>
        </w:tc>
        <w:tc>
          <w:tcPr>
            <w:tcW w:w="1226" w:type="pct"/>
            <w:tcMar>
              <w:top w:w="60" w:type="dxa"/>
              <w:left w:w="120" w:type="dxa"/>
              <w:bottom w:w="30" w:type="dxa"/>
              <w:right w:w="120" w:type="dxa"/>
            </w:tcMar>
          </w:tcPr>
          <w:p w14:paraId="57AF459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火灾自动报警系统</w:t>
            </w:r>
          </w:p>
        </w:tc>
        <w:tc>
          <w:tcPr>
            <w:tcW w:w="1403" w:type="pct"/>
            <w:tcMar>
              <w:top w:w="60" w:type="dxa"/>
              <w:left w:w="120" w:type="dxa"/>
              <w:bottom w:w="30" w:type="dxa"/>
              <w:right w:w="120" w:type="dxa"/>
            </w:tcMar>
          </w:tcPr>
          <w:p w14:paraId="0817077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单输出模块</w:t>
            </w:r>
          </w:p>
        </w:tc>
        <w:tc>
          <w:tcPr>
            <w:tcW w:w="1101" w:type="pct"/>
            <w:tcMar>
              <w:top w:w="60" w:type="dxa"/>
              <w:left w:w="120" w:type="dxa"/>
              <w:bottom w:w="30" w:type="dxa"/>
              <w:right w:w="120" w:type="dxa"/>
            </w:tcMar>
          </w:tcPr>
          <w:p w14:paraId="2B61BE0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输出模块</w:t>
            </w:r>
          </w:p>
        </w:tc>
        <w:tc>
          <w:tcPr>
            <w:tcW w:w="301" w:type="pct"/>
            <w:tcMar>
              <w:top w:w="60" w:type="dxa"/>
              <w:left w:w="120" w:type="dxa"/>
              <w:bottom w:w="30" w:type="dxa"/>
              <w:right w:w="120" w:type="dxa"/>
            </w:tcMar>
          </w:tcPr>
          <w:p w14:paraId="26425B9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4E3DF0C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01789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6F97919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w:t>
            </w:r>
          </w:p>
        </w:tc>
        <w:tc>
          <w:tcPr>
            <w:tcW w:w="1226" w:type="pct"/>
            <w:tcMar>
              <w:top w:w="60" w:type="dxa"/>
              <w:left w:w="120" w:type="dxa"/>
              <w:bottom w:w="30" w:type="dxa"/>
              <w:right w:w="120" w:type="dxa"/>
            </w:tcMar>
          </w:tcPr>
          <w:p w14:paraId="600DF7F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火灾自动报警系统</w:t>
            </w:r>
          </w:p>
        </w:tc>
        <w:tc>
          <w:tcPr>
            <w:tcW w:w="1403" w:type="pct"/>
            <w:tcMar>
              <w:top w:w="60" w:type="dxa"/>
              <w:left w:w="120" w:type="dxa"/>
              <w:bottom w:w="30" w:type="dxa"/>
              <w:right w:w="120" w:type="dxa"/>
            </w:tcMar>
          </w:tcPr>
          <w:p w14:paraId="139A30E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单输入/输出模块</w:t>
            </w:r>
          </w:p>
        </w:tc>
        <w:tc>
          <w:tcPr>
            <w:tcW w:w="1101" w:type="pct"/>
            <w:tcMar>
              <w:top w:w="60" w:type="dxa"/>
              <w:left w:w="120" w:type="dxa"/>
              <w:bottom w:w="30" w:type="dxa"/>
              <w:right w:w="120" w:type="dxa"/>
            </w:tcMar>
          </w:tcPr>
          <w:p w14:paraId="056E030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输入/输出模块</w:t>
            </w:r>
          </w:p>
        </w:tc>
        <w:tc>
          <w:tcPr>
            <w:tcW w:w="301" w:type="pct"/>
            <w:tcMar>
              <w:top w:w="60" w:type="dxa"/>
              <w:left w:w="120" w:type="dxa"/>
              <w:bottom w:w="30" w:type="dxa"/>
              <w:right w:w="120" w:type="dxa"/>
            </w:tcMar>
          </w:tcPr>
          <w:p w14:paraId="64736C6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6CFA058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14A96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5C7F904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w:t>
            </w:r>
          </w:p>
        </w:tc>
        <w:tc>
          <w:tcPr>
            <w:tcW w:w="1226" w:type="pct"/>
            <w:tcMar>
              <w:top w:w="60" w:type="dxa"/>
              <w:left w:w="120" w:type="dxa"/>
              <w:bottom w:w="30" w:type="dxa"/>
              <w:right w:w="120" w:type="dxa"/>
            </w:tcMar>
          </w:tcPr>
          <w:p w14:paraId="6067FD2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火灾自动报警系统</w:t>
            </w:r>
          </w:p>
        </w:tc>
        <w:tc>
          <w:tcPr>
            <w:tcW w:w="1403" w:type="pct"/>
            <w:tcMar>
              <w:top w:w="60" w:type="dxa"/>
              <w:left w:w="120" w:type="dxa"/>
              <w:bottom w:w="30" w:type="dxa"/>
              <w:right w:w="120" w:type="dxa"/>
            </w:tcMar>
          </w:tcPr>
          <w:p w14:paraId="77AC091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双输入/输出模块</w:t>
            </w:r>
          </w:p>
        </w:tc>
        <w:tc>
          <w:tcPr>
            <w:tcW w:w="1101" w:type="pct"/>
            <w:tcMar>
              <w:top w:w="60" w:type="dxa"/>
              <w:left w:w="120" w:type="dxa"/>
              <w:bottom w:w="30" w:type="dxa"/>
              <w:right w:w="120" w:type="dxa"/>
            </w:tcMar>
          </w:tcPr>
          <w:p w14:paraId="6D4E55F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输入/输出模块</w:t>
            </w:r>
          </w:p>
        </w:tc>
        <w:tc>
          <w:tcPr>
            <w:tcW w:w="301" w:type="pct"/>
            <w:tcMar>
              <w:top w:w="60" w:type="dxa"/>
              <w:left w:w="120" w:type="dxa"/>
              <w:bottom w:w="30" w:type="dxa"/>
              <w:right w:w="120" w:type="dxa"/>
            </w:tcMar>
          </w:tcPr>
          <w:p w14:paraId="58E9B9F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4B8DCA0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2BEDB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2FEA67B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w:t>
            </w:r>
          </w:p>
        </w:tc>
        <w:tc>
          <w:tcPr>
            <w:tcW w:w="1226" w:type="pct"/>
            <w:tcMar>
              <w:top w:w="60" w:type="dxa"/>
              <w:left w:w="120" w:type="dxa"/>
              <w:bottom w:w="30" w:type="dxa"/>
              <w:right w:w="120" w:type="dxa"/>
            </w:tcMar>
          </w:tcPr>
          <w:p w14:paraId="0985728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火灾自动报警系统</w:t>
            </w:r>
          </w:p>
        </w:tc>
        <w:tc>
          <w:tcPr>
            <w:tcW w:w="1403" w:type="pct"/>
            <w:tcMar>
              <w:top w:w="60" w:type="dxa"/>
              <w:left w:w="120" w:type="dxa"/>
              <w:bottom w:w="30" w:type="dxa"/>
              <w:right w:w="120" w:type="dxa"/>
            </w:tcMar>
          </w:tcPr>
          <w:p w14:paraId="42DADB1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总线隔离模块</w:t>
            </w:r>
          </w:p>
        </w:tc>
        <w:tc>
          <w:tcPr>
            <w:tcW w:w="1101" w:type="pct"/>
            <w:tcMar>
              <w:top w:w="60" w:type="dxa"/>
              <w:left w:w="120" w:type="dxa"/>
              <w:bottom w:w="30" w:type="dxa"/>
              <w:right w:w="120" w:type="dxa"/>
            </w:tcMar>
          </w:tcPr>
          <w:p w14:paraId="05503CF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隔离模块</w:t>
            </w:r>
          </w:p>
        </w:tc>
        <w:tc>
          <w:tcPr>
            <w:tcW w:w="301" w:type="pct"/>
            <w:tcMar>
              <w:top w:w="60" w:type="dxa"/>
              <w:left w:w="120" w:type="dxa"/>
              <w:bottom w:w="30" w:type="dxa"/>
              <w:right w:w="120" w:type="dxa"/>
            </w:tcMar>
          </w:tcPr>
          <w:p w14:paraId="04D3B42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064774E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616E8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31D50E1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w:t>
            </w:r>
          </w:p>
        </w:tc>
        <w:tc>
          <w:tcPr>
            <w:tcW w:w="1226" w:type="pct"/>
            <w:tcMar>
              <w:top w:w="60" w:type="dxa"/>
              <w:left w:w="120" w:type="dxa"/>
              <w:bottom w:w="30" w:type="dxa"/>
              <w:right w:w="120" w:type="dxa"/>
            </w:tcMar>
          </w:tcPr>
          <w:p w14:paraId="72D1EFD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火灾自动报警系统</w:t>
            </w:r>
          </w:p>
        </w:tc>
        <w:tc>
          <w:tcPr>
            <w:tcW w:w="1403" w:type="pct"/>
            <w:tcMar>
              <w:top w:w="60" w:type="dxa"/>
              <w:left w:w="120" w:type="dxa"/>
              <w:bottom w:w="30" w:type="dxa"/>
              <w:right w:w="120" w:type="dxa"/>
            </w:tcMar>
          </w:tcPr>
          <w:p w14:paraId="0078425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多线制控制模块</w:t>
            </w:r>
          </w:p>
        </w:tc>
        <w:tc>
          <w:tcPr>
            <w:tcW w:w="1101" w:type="pct"/>
            <w:tcMar>
              <w:top w:w="60" w:type="dxa"/>
              <w:left w:w="120" w:type="dxa"/>
              <w:bottom w:w="30" w:type="dxa"/>
              <w:right w:w="120" w:type="dxa"/>
            </w:tcMar>
          </w:tcPr>
          <w:p w14:paraId="165F8D7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控制模块</w:t>
            </w:r>
          </w:p>
        </w:tc>
        <w:tc>
          <w:tcPr>
            <w:tcW w:w="301" w:type="pct"/>
            <w:tcMar>
              <w:top w:w="60" w:type="dxa"/>
              <w:left w:w="120" w:type="dxa"/>
              <w:bottom w:w="30" w:type="dxa"/>
              <w:right w:w="120" w:type="dxa"/>
            </w:tcMar>
          </w:tcPr>
          <w:p w14:paraId="45C5603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0B17B33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1E56A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60427D6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w:t>
            </w:r>
          </w:p>
        </w:tc>
        <w:tc>
          <w:tcPr>
            <w:tcW w:w="1226" w:type="pct"/>
            <w:tcMar>
              <w:top w:w="60" w:type="dxa"/>
              <w:left w:w="120" w:type="dxa"/>
              <w:bottom w:w="30" w:type="dxa"/>
              <w:right w:w="120" w:type="dxa"/>
            </w:tcMar>
          </w:tcPr>
          <w:p w14:paraId="7E79874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火灾自动报警系统</w:t>
            </w:r>
          </w:p>
        </w:tc>
        <w:tc>
          <w:tcPr>
            <w:tcW w:w="1403" w:type="pct"/>
            <w:tcMar>
              <w:top w:w="60" w:type="dxa"/>
              <w:left w:w="120" w:type="dxa"/>
              <w:bottom w:w="30" w:type="dxa"/>
              <w:right w:w="120" w:type="dxa"/>
            </w:tcMar>
          </w:tcPr>
          <w:p w14:paraId="3933C0A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编码广播模块</w:t>
            </w:r>
          </w:p>
        </w:tc>
        <w:tc>
          <w:tcPr>
            <w:tcW w:w="1101" w:type="pct"/>
            <w:tcMar>
              <w:top w:w="60" w:type="dxa"/>
              <w:left w:w="120" w:type="dxa"/>
              <w:bottom w:w="30" w:type="dxa"/>
              <w:right w:w="120" w:type="dxa"/>
            </w:tcMar>
          </w:tcPr>
          <w:p w14:paraId="6DCE1EC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广播模块</w:t>
            </w:r>
          </w:p>
        </w:tc>
        <w:tc>
          <w:tcPr>
            <w:tcW w:w="301" w:type="pct"/>
            <w:tcMar>
              <w:top w:w="60" w:type="dxa"/>
              <w:left w:w="120" w:type="dxa"/>
              <w:bottom w:w="30" w:type="dxa"/>
              <w:right w:w="120" w:type="dxa"/>
            </w:tcMar>
          </w:tcPr>
          <w:p w14:paraId="3B50CF2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0CDA986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64FFC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19B928D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13</w:t>
            </w:r>
          </w:p>
        </w:tc>
        <w:tc>
          <w:tcPr>
            <w:tcW w:w="1226" w:type="pct"/>
            <w:tcMar>
              <w:top w:w="60" w:type="dxa"/>
              <w:left w:w="120" w:type="dxa"/>
              <w:bottom w:w="30" w:type="dxa"/>
              <w:right w:w="120" w:type="dxa"/>
            </w:tcMar>
          </w:tcPr>
          <w:p w14:paraId="78315CE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火灾自动报警系统</w:t>
            </w:r>
          </w:p>
        </w:tc>
        <w:tc>
          <w:tcPr>
            <w:tcW w:w="1403" w:type="pct"/>
            <w:tcMar>
              <w:top w:w="60" w:type="dxa"/>
              <w:left w:w="120" w:type="dxa"/>
              <w:bottom w:w="30" w:type="dxa"/>
              <w:right w:w="120" w:type="dxa"/>
            </w:tcMar>
          </w:tcPr>
          <w:p w14:paraId="0679E42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火灾声光警报器</w:t>
            </w:r>
          </w:p>
        </w:tc>
        <w:tc>
          <w:tcPr>
            <w:tcW w:w="1101" w:type="pct"/>
            <w:tcMar>
              <w:top w:w="60" w:type="dxa"/>
              <w:left w:w="120" w:type="dxa"/>
              <w:bottom w:w="30" w:type="dxa"/>
              <w:right w:w="120" w:type="dxa"/>
            </w:tcMar>
          </w:tcPr>
          <w:p w14:paraId="3E504EC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声光报警器</w:t>
            </w:r>
          </w:p>
        </w:tc>
        <w:tc>
          <w:tcPr>
            <w:tcW w:w="301" w:type="pct"/>
            <w:tcMar>
              <w:top w:w="60" w:type="dxa"/>
              <w:left w:w="120" w:type="dxa"/>
              <w:bottom w:w="30" w:type="dxa"/>
              <w:right w:w="120" w:type="dxa"/>
            </w:tcMar>
          </w:tcPr>
          <w:p w14:paraId="470DA8B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3FD2136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4D190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7D86C80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14</w:t>
            </w:r>
          </w:p>
        </w:tc>
        <w:tc>
          <w:tcPr>
            <w:tcW w:w="1226" w:type="pct"/>
            <w:tcMar>
              <w:top w:w="60" w:type="dxa"/>
              <w:left w:w="120" w:type="dxa"/>
              <w:bottom w:w="30" w:type="dxa"/>
              <w:right w:w="120" w:type="dxa"/>
            </w:tcMar>
          </w:tcPr>
          <w:p w14:paraId="1A64BC7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火灾自动报警系统</w:t>
            </w:r>
          </w:p>
        </w:tc>
        <w:tc>
          <w:tcPr>
            <w:tcW w:w="1403" w:type="pct"/>
            <w:tcMar>
              <w:top w:w="60" w:type="dxa"/>
              <w:left w:w="120" w:type="dxa"/>
              <w:bottom w:w="30" w:type="dxa"/>
              <w:right w:w="120" w:type="dxa"/>
            </w:tcMar>
          </w:tcPr>
          <w:p w14:paraId="306DAC9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消防广播扬声器</w:t>
            </w:r>
          </w:p>
        </w:tc>
        <w:tc>
          <w:tcPr>
            <w:tcW w:w="1101" w:type="pct"/>
            <w:tcMar>
              <w:top w:w="60" w:type="dxa"/>
              <w:left w:w="120" w:type="dxa"/>
              <w:bottom w:w="30" w:type="dxa"/>
              <w:right w:w="120" w:type="dxa"/>
            </w:tcMar>
          </w:tcPr>
          <w:p w14:paraId="2C9DA3A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3W/5W</w:t>
            </w:r>
          </w:p>
        </w:tc>
        <w:tc>
          <w:tcPr>
            <w:tcW w:w="301" w:type="pct"/>
            <w:tcMar>
              <w:top w:w="60" w:type="dxa"/>
              <w:left w:w="120" w:type="dxa"/>
              <w:bottom w:w="30" w:type="dxa"/>
              <w:right w:w="120" w:type="dxa"/>
            </w:tcMar>
          </w:tcPr>
          <w:p w14:paraId="73BD12C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05993B1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6E27A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560036E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15</w:t>
            </w:r>
          </w:p>
        </w:tc>
        <w:tc>
          <w:tcPr>
            <w:tcW w:w="1226" w:type="pct"/>
            <w:tcMar>
              <w:top w:w="60" w:type="dxa"/>
              <w:left w:w="120" w:type="dxa"/>
              <w:bottom w:w="30" w:type="dxa"/>
              <w:right w:w="120" w:type="dxa"/>
            </w:tcMar>
          </w:tcPr>
          <w:p w14:paraId="11A9083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火灾自动报警系统</w:t>
            </w:r>
          </w:p>
        </w:tc>
        <w:tc>
          <w:tcPr>
            <w:tcW w:w="1403" w:type="pct"/>
            <w:tcMar>
              <w:top w:w="60" w:type="dxa"/>
              <w:left w:w="120" w:type="dxa"/>
              <w:bottom w:w="30" w:type="dxa"/>
              <w:right w:w="120" w:type="dxa"/>
            </w:tcMar>
          </w:tcPr>
          <w:p w14:paraId="64BDB4E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火灾显示盘</w:t>
            </w:r>
          </w:p>
        </w:tc>
        <w:tc>
          <w:tcPr>
            <w:tcW w:w="1101" w:type="pct"/>
            <w:tcMar>
              <w:top w:w="60" w:type="dxa"/>
              <w:left w:w="120" w:type="dxa"/>
              <w:bottom w:w="30" w:type="dxa"/>
              <w:right w:w="120" w:type="dxa"/>
            </w:tcMar>
          </w:tcPr>
          <w:p w14:paraId="02137E5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区域显示器</w:t>
            </w:r>
          </w:p>
        </w:tc>
        <w:tc>
          <w:tcPr>
            <w:tcW w:w="301" w:type="pct"/>
            <w:tcMar>
              <w:top w:w="60" w:type="dxa"/>
              <w:left w:w="120" w:type="dxa"/>
              <w:bottom w:w="30" w:type="dxa"/>
              <w:right w:w="120" w:type="dxa"/>
            </w:tcMar>
          </w:tcPr>
          <w:p w14:paraId="5D45990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18A02BD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3A633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2FF0C84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16</w:t>
            </w:r>
          </w:p>
        </w:tc>
        <w:tc>
          <w:tcPr>
            <w:tcW w:w="1226" w:type="pct"/>
            <w:tcMar>
              <w:top w:w="60" w:type="dxa"/>
              <w:left w:w="120" w:type="dxa"/>
              <w:bottom w:w="30" w:type="dxa"/>
              <w:right w:w="120" w:type="dxa"/>
            </w:tcMar>
          </w:tcPr>
          <w:p w14:paraId="610D88C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火灾自动报警系统</w:t>
            </w:r>
          </w:p>
        </w:tc>
        <w:tc>
          <w:tcPr>
            <w:tcW w:w="1403" w:type="pct"/>
            <w:tcMar>
              <w:top w:w="60" w:type="dxa"/>
              <w:left w:w="120" w:type="dxa"/>
              <w:bottom w:w="30" w:type="dxa"/>
              <w:right w:w="120" w:type="dxa"/>
            </w:tcMar>
          </w:tcPr>
          <w:p w14:paraId="36F2D8C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智能电源盘</w:t>
            </w:r>
          </w:p>
        </w:tc>
        <w:tc>
          <w:tcPr>
            <w:tcW w:w="1101" w:type="pct"/>
            <w:tcMar>
              <w:top w:w="60" w:type="dxa"/>
              <w:left w:w="120" w:type="dxa"/>
              <w:bottom w:w="30" w:type="dxa"/>
              <w:right w:w="120" w:type="dxa"/>
            </w:tcMar>
          </w:tcPr>
          <w:p w14:paraId="1AE0749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消防主机电源</w:t>
            </w:r>
          </w:p>
        </w:tc>
        <w:tc>
          <w:tcPr>
            <w:tcW w:w="301" w:type="pct"/>
            <w:tcMar>
              <w:top w:w="60" w:type="dxa"/>
              <w:left w:w="120" w:type="dxa"/>
              <w:bottom w:w="30" w:type="dxa"/>
              <w:right w:w="120" w:type="dxa"/>
            </w:tcMar>
          </w:tcPr>
          <w:p w14:paraId="4F86CB9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台</w:t>
            </w:r>
          </w:p>
        </w:tc>
        <w:tc>
          <w:tcPr>
            <w:tcW w:w="570" w:type="pct"/>
            <w:tcMar>
              <w:top w:w="60" w:type="dxa"/>
              <w:left w:w="120" w:type="dxa"/>
              <w:bottom w:w="30" w:type="dxa"/>
              <w:right w:w="120" w:type="dxa"/>
            </w:tcMar>
          </w:tcPr>
          <w:p w14:paraId="47D3D72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566B9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1720D9C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17</w:t>
            </w:r>
          </w:p>
        </w:tc>
        <w:tc>
          <w:tcPr>
            <w:tcW w:w="1226" w:type="pct"/>
            <w:tcMar>
              <w:top w:w="60" w:type="dxa"/>
              <w:left w:w="120" w:type="dxa"/>
              <w:bottom w:w="30" w:type="dxa"/>
              <w:right w:w="120" w:type="dxa"/>
            </w:tcMar>
          </w:tcPr>
          <w:p w14:paraId="30D06F6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火灾自动报警系统</w:t>
            </w:r>
          </w:p>
        </w:tc>
        <w:tc>
          <w:tcPr>
            <w:tcW w:w="1403" w:type="pct"/>
            <w:tcMar>
              <w:top w:w="60" w:type="dxa"/>
              <w:left w:w="120" w:type="dxa"/>
              <w:bottom w:w="30" w:type="dxa"/>
              <w:right w:w="120" w:type="dxa"/>
            </w:tcMar>
          </w:tcPr>
          <w:p w14:paraId="298D5D5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电源盘备电（蓄电池）</w:t>
            </w:r>
          </w:p>
        </w:tc>
        <w:tc>
          <w:tcPr>
            <w:tcW w:w="1101" w:type="pct"/>
            <w:tcMar>
              <w:top w:w="60" w:type="dxa"/>
              <w:left w:w="120" w:type="dxa"/>
              <w:bottom w:w="30" w:type="dxa"/>
              <w:right w:w="120" w:type="dxa"/>
            </w:tcMar>
          </w:tcPr>
          <w:p w14:paraId="527B7F6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12V/24V系列</w:t>
            </w:r>
          </w:p>
        </w:tc>
        <w:tc>
          <w:tcPr>
            <w:tcW w:w="301" w:type="pct"/>
            <w:tcMar>
              <w:top w:w="60" w:type="dxa"/>
              <w:left w:w="120" w:type="dxa"/>
              <w:bottom w:w="30" w:type="dxa"/>
              <w:right w:w="120" w:type="dxa"/>
            </w:tcMar>
          </w:tcPr>
          <w:p w14:paraId="09D43CD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块</w:t>
            </w:r>
          </w:p>
        </w:tc>
        <w:tc>
          <w:tcPr>
            <w:tcW w:w="570" w:type="pct"/>
            <w:tcMar>
              <w:top w:w="60" w:type="dxa"/>
              <w:left w:w="120" w:type="dxa"/>
              <w:bottom w:w="30" w:type="dxa"/>
              <w:right w:w="120" w:type="dxa"/>
            </w:tcMar>
          </w:tcPr>
          <w:p w14:paraId="7CB4EBF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17929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5925058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18</w:t>
            </w:r>
          </w:p>
        </w:tc>
        <w:tc>
          <w:tcPr>
            <w:tcW w:w="1226" w:type="pct"/>
            <w:tcMar>
              <w:top w:w="60" w:type="dxa"/>
              <w:left w:w="120" w:type="dxa"/>
              <w:bottom w:w="30" w:type="dxa"/>
              <w:right w:w="120" w:type="dxa"/>
            </w:tcMar>
          </w:tcPr>
          <w:p w14:paraId="07DB3AF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火灾自动报警系统</w:t>
            </w:r>
          </w:p>
        </w:tc>
        <w:tc>
          <w:tcPr>
            <w:tcW w:w="1403" w:type="pct"/>
            <w:tcMar>
              <w:top w:w="60" w:type="dxa"/>
              <w:left w:w="120" w:type="dxa"/>
              <w:bottom w:w="30" w:type="dxa"/>
              <w:right w:w="120" w:type="dxa"/>
            </w:tcMar>
          </w:tcPr>
          <w:p w14:paraId="5286155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火灾报警控制器回路板（单回路）</w:t>
            </w:r>
          </w:p>
        </w:tc>
        <w:tc>
          <w:tcPr>
            <w:tcW w:w="1101" w:type="pct"/>
            <w:tcMar>
              <w:top w:w="60" w:type="dxa"/>
              <w:left w:w="120" w:type="dxa"/>
              <w:bottom w:w="30" w:type="dxa"/>
              <w:right w:w="120" w:type="dxa"/>
            </w:tcMar>
          </w:tcPr>
          <w:p w14:paraId="162F0CC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按主机型号匹配</w:t>
            </w:r>
          </w:p>
        </w:tc>
        <w:tc>
          <w:tcPr>
            <w:tcW w:w="301" w:type="pct"/>
            <w:tcMar>
              <w:top w:w="60" w:type="dxa"/>
              <w:left w:w="120" w:type="dxa"/>
              <w:bottom w:w="30" w:type="dxa"/>
              <w:right w:w="120" w:type="dxa"/>
            </w:tcMar>
          </w:tcPr>
          <w:p w14:paraId="1F5BEF0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块</w:t>
            </w:r>
          </w:p>
        </w:tc>
        <w:tc>
          <w:tcPr>
            <w:tcW w:w="570" w:type="pct"/>
            <w:tcMar>
              <w:top w:w="60" w:type="dxa"/>
              <w:left w:w="120" w:type="dxa"/>
              <w:bottom w:w="30" w:type="dxa"/>
              <w:right w:w="120" w:type="dxa"/>
            </w:tcMar>
          </w:tcPr>
          <w:p w14:paraId="45D88A8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43E0F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75D58B2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19</w:t>
            </w:r>
          </w:p>
        </w:tc>
        <w:tc>
          <w:tcPr>
            <w:tcW w:w="1226" w:type="pct"/>
            <w:tcMar>
              <w:top w:w="60" w:type="dxa"/>
              <w:left w:w="120" w:type="dxa"/>
              <w:bottom w:w="30" w:type="dxa"/>
              <w:right w:w="120" w:type="dxa"/>
            </w:tcMar>
          </w:tcPr>
          <w:p w14:paraId="719EAB6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火灾自动报警系统</w:t>
            </w:r>
          </w:p>
        </w:tc>
        <w:tc>
          <w:tcPr>
            <w:tcW w:w="1403" w:type="pct"/>
            <w:tcMar>
              <w:top w:w="60" w:type="dxa"/>
              <w:left w:w="120" w:type="dxa"/>
              <w:bottom w:w="30" w:type="dxa"/>
              <w:right w:w="120" w:type="dxa"/>
            </w:tcMar>
          </w:tcPr>
          <w:p w14:paraId="7C3414A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火灾报警控制器回路板（双回路）</w:t>
            </w:r>
          </w:p>
        </w:tc>
        <w:tc>
          <w:tcPr>
            <w:tcW w:w="1101" w:type="pct"/>
            <w:tcMar>
              <w:top w:w="60" w:type="dxa"/>
              <w:left w:w="120" w:type="dxa"/>
              <w:bottom w:w="30" w:type="dxa"/>
              <w:right w:w="120" w:type="dxa"/>
            </w:tcMar>
          </w:tcPr>
          <w:p w14:paraId="178DD06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按主机型号匹配</w:t>
            </w:r>
          </w:p>
        </w:tc>
        <w:tc>
          <w:tcPr>
            <w:tcW w:w="301" w:type="pct"/>
            <w:tcMar>
              <w:top w:w="60" w:type="dxa"/>
              <w:left w:w="120" w:type="dxa"/>
              <w:bottom w:w="30" w:type="dxa"/>
              <w:right w:w="120" w:type="dxa"/>
            </w:tcMar>
          </w:tcPr>
          <w:p w14:paraId="1D62414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块</w:t>
            </w:r>
          </w:p>
        </w:tc>
        <w:tc>
          <w:tcPr>
            <w:tcW w:w="570" w:type="pct"/>
            <w:tcMar>
              <w:top w:w="60" w:type="dxa"/>
              <w:left w:w="120" w:type="dxa"/>
              <w:bottom w:w="30" w:type="dxa"/>
              <w:right w:w="120" w:type="dxa"/>
            </w:tcMar>
          </w:tcPr>
          <w:p w14:paraId="6C75E53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35B95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65C0F62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20</w:t>
            </w:r>
          </w:p>
        </w:tc>
        <w:tc>
          <w:tcPr>
            <w:tcW w:w="1226" w:type="pct"/>
            <w:tcMar>
              <w:top w:w="60" w:type="dxa"/>
              <w:left w:w="120" w:type="dxa"/>
              <w:bottom w:w="30" w:type="dxa"/>
              <w:right w:w="120" w:type="dxa"/>
            </w:tcMar>
          </w:tcPr>
          <w:p w14:paraId="47C9A44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火灾自动报警系统</w:t>
            </w:r>
          </w:p>
        </w:tc>
        <w:tc>
          <w:tcPr>
            <w:tcW w:w="1403" w:type="pct"/>
            <w:tcMar>
              <w:top w:w="60" w:type="dxa"/>
              <w:left w:w="120" w:type="dxa"/>
              <w:bottom w:w="30" w:type="dxa"/>
              <w:right w:w="120" w:type="dxa"/>
            </w:tcMar>
          </w:tcPr>
          <w:p w14:paraId="6BAABB9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消防主机打印机（含打印纸）</w:t>
            </w:r>
          </w:p>
        </w:tc>
        <w:tc>
          <w:tcPr>
            <w:tcW w:w="1101" w:type="pct"/>
            <w:tcMar>
              <w:top w:w="60" w:type="dxa"/>
              <w:left w:w="120" w:type="dxa"/>
              <w:bottom w:w="30" w:type="dxa"/>
              <w:right w:w="120" w:type="dxa"/>
            </w:tcMar>
          </w:tcPr>
          <w:p w14:paraId="5AF940D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专用热敏打印机</w:t>
            </w:r>
          </w:p>
        </w:tc>
        <w:tc>
          <w:tcPr>
            <w:tcW w:w="301" w:type="pct"/>
            <w:tcMar>
              <w:top w:w="60" w:type="dxa"/>
              <w:left w:w="120" w:type="dxa"/>
              <w:bottom w:w="30" w:type="dxa"/>
              <w:right w:w="120" w:type="dxa"/>
            </w:tcMar>
          </w:tcPr>
          <w:p w14:paraId="23C488B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台/卷</w:t>
            </w:r>
          </w:p>
        </w:tc>
        <w:tc>
          <w:tcPr>
            <w:tcW w:w="570" w:type="pct"/>
            <w:tcMar>
              <w:top w:w="60" w:type="dxa"/>
              <w:left w:w="120" w:type="dxa"/>
              <w:bottom w:w="30" w:type="dxa"/>
              <w:right w:w="120" w:type="dxa"/>
            </w:tcMar>
          </w:tcPr>
          <w:p w14:paraId="2A517D5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72A7D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7778138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21</w:t>
            </w:r>
          </w:p>
        </w:tc>
        <w:tc>
          <w:tcPr>
            <w:tcW w:w="1226" w:type="pct"/>
            <w:tcMar>
              <w:top w:w="60" w:type="dxa"/>
              <w:left w:w="120" w:type="dxa"/>
              <w:bottom w:w="30" w:type="dxa"/>
              <w:right w:w="120" w:type="dxa"/>
            </w:tcMar>
          </w:tcPr>
          <w:p w14:paraId="20D24D4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火灾自动报警系统</w:t>
            </w:r>
          </w:p>
        </w:tc>
        <w:tc>
          <w:tcPr>
            <w:tcW w:w="1403" w:type="pct"/>
            <w:tcMar>
              <w:top w:w="60" w:type="dxa"/>
              <w:left w:w="120" w:type="dxa"/>
              <w:bottom w:w="30" w:type="dxa"/>
              <w:right w:w="120" w:type="dxa"/>
            </w:tcMar>
          </w:tcPr>
          <w:p w14:paraId="438B223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消防主机接口卡</w:t>
            </w:r>
          </w:p>
        </w:tc>
        <w:tc>
          <w:tcPr>
            <w:tcW w:w="1101" w:type="pct"/>
            <w:tcMar>
              <w:top w:w="60" w:type="dxa"/>
              <w:left w:w="120" w:type="dxa"/>
              <w:bottom w:w="30" w:type="dxa"/>
              <w:right w:w="120" w:type="dxa"/>
            </w:tcMar>
          </w:tcPr>
          <w:p w14:paraId="6605084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按主机型号匹配</w:t>
            </w:r>
          </w:p>
        </w:tc>
        <w:tc>
          <w:tcPr>
            <w:tcW w:w="301" w:type="pct"/>
            <w:tcMar>
              <w:top w:w="60" w:type="dxa"/>
              <w:left w:w="120" w:type="dxa"/>
              <w:bottom w:w="30" w:type="dxa"/>
              <w:right w:w="120" w:type="dxa"/>
            </w:tcMar>
          </w:tcPr>
          <w:p w14:paraId="117FD79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块</w:t>
            </w:r>
          </w:p>
        </w:tc>
        <w:tc>
          <w:tcPr>
            <w:tcW w:w="570" w:type="pct"/>
            <w:tcMar>
              <w:top w:w="60" w:type="dxa"/>
              <w:left w:w="120" w:type="dxa"/>
              <w:bottom w:w="30" w:type="dxa"/>
              <w:right w:w="120" w:type="dxa"/>
            </w:tcMar>
          </w:tcPr>
          <w:p w14:paraId="044034E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5FD65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64386F8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22</w:t>
            </w:r>
          </w:p>
        </w:tc>
        <w:tc>
          <w:tcPr>
            <w:tcW w:w="1226" w:type="pct"/>
            <w:tcMar>
              <w:top w:w="60" w:type="dxa"/>
              <w:left w:w="120" w:type="dxa"/>
              <w:bottom w:w="30" w:type="dxa"/>
              <w:right w:w="120" w:type="dxa"/>
            </w:tcMar>
          </w:tcPr>
          <w:p w14:paraId="0D41AB7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火灾自动报警系统</w:t>
            </w:r>
          </w:p>
        </w:tc>
        <w:tc>
          <w:tcPr>
            <w:tcW w:w="1403" w:type="pct"/>
            <w:tcMar>
              <w:top w:w="60" w:type="dxa"/>
              <w:left w:w="120" w:type="dxa"/>
              <w:bottom w:w="30" w:type="dxa"/>
              <w:right w:w="120" w:type="dxa"/>
            </w:tcMar>
          </w:tcPr>
          <w:p w14:paraId="390335A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消防控制室图形显示装置</w:t>
            </w:r>
          </w:p>
        </w:tc>
        <w:tc>
          <w:tcPr>
            <w:tcW w:w="1101" w:type="pct"/>
            <w:tcMar>
              <w:top w:w="60" w:type="dxa"/>
              <w:left w:w="120" w:type="dxa"/>
              <w:bottom w:w="30" w:type="dxa"/>
              <w:right w:w="120" w:type="dxa"/>
            </w:tcMar>
          </w:tcPr>
          <w:p w14:paraId="3797218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按系统匹配</w:t>
            </w:r>
          </w:p>
        </w:tc>
        <w:tc>
          <w:tcPr>
            <w:tcW w:w="301" w:type="pct"/>
            <w:tcMar>
              <w:top w:w="60" w:type="dxa"/>
              <w:left w:w="120" w:type="dxa"/>
              <w:bottom w:w="30" w:type="dxa"/>
              <w:right w:w="120" w:type="dxa"/>
            </w:tcMar>
          </w:tcPr>
          <w:p w14:paraId="301F1C4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台</w:t>
            </w:r>
          </w:p>
        </w:tc>
        <w:tc>
          <w:tcPr>
            <w:tcW w:w="570" w:type="pct"/>
            <w:tcMar>
              <w:top w:w="60" w:type="dxa"/>
              <w:left w:w="120" w:type="dxa"/>
              <w:bottom w:w="30" w:type="dxa"/>
              <w:right w:w="120" w:type="dxa"/>
            </w:tcMar>
          </w:tcPr>
          <w:p w14:paraId="30452F5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42520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35A0DAF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23</w:t>
            </w:r>
          </w:p>
        </w:tc>
        <w:tc>
          <w:tcPr>
            <w:tcW w:w="1226" w:type="pct"/>
            <w:tcMar>
              <w:top w:w="60" w:type="dxa"/>
              <w:left w:w="120" w:type="dxa"/>
              <w:bottom w:w="30" w:type="dxa"/>
              <w:right w:w="120" w:type="dxa"/>
            </w:tcMar>
          </w:tcPr>
          <w:p w14:paraId="5CCBDDB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65A448D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室内消火栓栓头</w:t>
            </w:r>
          </w:p>
        </w:tc>
        <w:tc>
          <w:tcPr>
            <w:tcW w:w="1101" w:type="pct"/>
            <w:tcMar>
              <w:top w:w="60" w:type="dxa"/>
              <w:left w:w="120" w:type="dxa"/>
              <w:bottom w:w="30" w:type="dxa"/>
              <w:right w:w="120" w:type="dxa"/>
            </w:tcMar>
          </w:tcPr>
          <w:p w14:paraId="69F180F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SN65</w:t>
            </w:r>
          </w:p>
        </w:tc>
        <w:tc>
          <w:tcPr>
            <w:tcW w:w="301" w:type="pct"/>
            <w:tcMar>
              <w:top w:w="60" w:type="dxa"/>
              <w:left w:w="120" w:type="dxa"/>
              <w:bottom w:w="30" w:type="dxa"/>
              <w:right w:w="120" w:type="dxa"/>
            </w:tcMar>
          </w:tcPr>
          <w:p w14:paraId="25B1CEC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26FB71C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68ED1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58F2FF7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24</w:t>
            </w:r>
          </w:p>
        </w:tc>
        <w:tc>
          <w:tcPr>
            <w:tcW w:w="1226" w:type="pct"/>
            <w:tcMar>
              <w:top w:w="60" w:type="dxa"/>
              <w:left w:w="120" w:type="dxa"/>
              <w:bottom w:w="30" w:type="dxa"/>
              <w:right w:w="120" w:type="dxa"/>
            </w:tcMar>
          </w:tcPr>
          <w:p w14:paraId="628E309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33BA212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室外消火栓</w:t>
            </w:r>
          </w:p>
        </w:tc>
        <w:tc>
          <w:tcPr>
            <w:tcW w:w="1101" w:type="pct"/>
            <w:tcMar>
              <w:top w:w="60" w:type="dxa"/>
              <w:left w:w="120" w:type="dxa"/>
              <w:bottom w:w="30" w:type="dxa"/>
              <w:right w:w="120" w:type="dxa"/>
            </w:tcMar>
          </w:tcPr>
          <w:p w14:paraId="3601FA8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SA100/65-1.6</w:t>
            </w:r>
          </w:p>
        </w:tc>
        <w:tc>
          <w:tcPr>
            <w:tcW w:w="301" w:type="pct"/>
            <w:tcMar>
              <w:top w:w="60" w:type="dxa"/>
              <w:left w:w="120" w:type="dxa"/>
              <w:bottom w:w="30" w:type="dxa"/>
              <w:right w:w="120" w:type="dxa"/>
            </w:tcMar>
          </w:tcPr>
          <w:p w14:paraId="37CAF4F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套</w:t>
            </w:r>
          </w:p>
        </w:tc>
        <w:tc>
          <w:tcPr>
            <w:tcW w:w="570" w:type="pct"/>
            <w:tcMar>
              <w:top w:w="60" w:type="dxa"/>
              <w:left w:w="120" w:type="dxa"/>
              <w:bottom w:w="30" w:type="dxa"/>
              <w:right w:w="120" w:type="dxa"/>
            </w:tcMar>
          </w:tcPr>
          <w:p w14:paraId="27A30E0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2A722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18091D0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25</w:t>
            </w:r>
          </w:p>
        </w:tc>
        <w:tc>
          <w:tcPr>
            <w:tcW w:w="1226" w:type="pct"/>
            <w:tcMar>
              <w:top w:w="60" w:type="dxa"/>
              <w:left w:w="120" w:type="dxa"/>
              <w:bottom w:w="30" w:type="dxa"/>
              <w:right w:w="120" w:type="dxa"/>
            </w:tcMar>
          </w:tcPr>
          <w:p w14:paraId="760FDFA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3B4111B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消火栓箱门板（含玻璃）</w:t>
            </w:r>
          </w:p>
        </w:tc>
        <w:tc>
          <w:tcPr>
            <w:tcW w:w="1101" w:type="pct"/>
            <w:tcMar>
              <w:top w:w="60" w:type="dxa"/>
              <w:left w:w="120" w:type="dxa"/>
              <w:bottom w:w="30" w:type="dxa"/>
              <w:right w:w="120" w:type="dxa"/>
            </w:tcMar>
          </w:tcPr>
          <w:p w14:paraId="35ECF45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800×650mm等</w:t>
            </w:r>
          </w:p>
        </w:tc>
        <w:tc>
          <w:tcPr>
            <w:tcW w:w="301" w:type="pct"/>
            <w:tcMar>
              <w:top w:w="60" w:type="dxa"/>
              <w:left w:w="120" w:type="dxa"/>
              <w:bottom w:w="30" w:type="dxa"/>
              <w:right w:w="120" w:type="dxa"/>
            </w:tcMar>
          </w:tcPr>
          <w:p w14:paraId="6F7BA12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块</w:t>
            </w:r>
          </w:p>
        </w:tc>
        <w:tc>
          <w:tcPr>
            <w:tcW w:w="570" w:type="pct"/>
            <w:tcMar>
              <w:top w:w="60" w:type="dxa"/>
              <w:left w:w="120" w:type="dxa"/>
              <w:bottom w:w="30" w:type="dxa"/>
              <w:right w:w="120" w:type="dxa"/>
            </w:tcMar>
          </w:tcPr>
          <w:p w14:paraId="024CAED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4CFB0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4CD229C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26</w:t>
            </w:r>
          </w:p>
        </w:tc>
        <w:tc>
          <w:tcPr>
            <w:tcW w:w="1226" w:type="pct"/>
            <w:tcMar>
              <w:top w:w="60" w:type="dxa"/>
              <w:left w:w="120" w:type="dxa"/>
              <w:bottom w:w="30" w:type="dxa"/>
              <w:right w:w="120" w:type="dxa"/>
            </w:tcMar>
          </w:tcPr>
          <w:p w14:paraId="05428CA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0738DC4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消防水带</w:t>
            </w:r>
          </w:p>
        </w:tc>
        <w:tc>
          <w:tcPr>
            <w:tcW w:w="1101" w:type="pct"/>
            <w:tcMar>
              <w:top w:w="60" w:type="dxa"/>
              <w:left w:w="120" w:type="dxa"/>
              <w:bottom w:w="30" w:type="dxa"/>
              <w:right w:w="120" w:type="dxa"/>
            </w:tcMar>
          </w:tcPr>
          <w:p w14:paraId="451EAF2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8-65-25（国标）</w:t>
            </w:r>
          </w:p>
        </w:tc>
        <w:tc>
          <w:tcPr>
            <w:tcW w:w="301" w:type="pct"/>
            <w:tcMar>
              <w:top w:w="60" w:type="dxa"/>
              <w:left w:w="120" w:type="dxa"/>
              <w:bottom w:w="30" w:type="dxa"/>
              <w:right w:w="120" w:type="dxa"/>
            </w:tcMar>
          </w:tcPr>
          <w:p w14:paraId="3238BF6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套</w:t>
            </w:r>
          </w:p>
        </w:tc>
        <w:tc>
          <w:tcPr>
            <w:tcW w:w="570" w:type="pct"/>
            <w:tcMar>
              <w:top w:w="60" w:type="dxa"/>
              <w:left w:w="120" w:type="dxa"/>
              <w:bottom w:w="30" w:type="dxa"/>
              <w:right w:w="120" w:type="dxa"/>
            </w:tcMar>
          </w:tcPr>
          <w:p w14:paraId="3CCAD4D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42067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4413DA1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27</w:t>
            </w:r>
          </w:p>
        </w:tc>
        <w:tc>
          <w:tcPr>
            <w:tcW w:w="1226" w:type="pct"/>
            <w:tcMar>
              <w:top w:w="60" w:type="dxa"/>
              <w:left w:w="120" w:type="dxa"/>
              <w:bottom w:w="30" w:type="dxa"/>
              <w:right w:w="120" w:type="dxa"/>
            </w:tcMar>
          </w:tcPr>
          <w:p w14:paraId="135CB0A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4DB93D7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消防水枪（直流水枪）</w:t>
            </w:r>
          </w:p>
        </w:tc>
        <w:tc>
          <w:tcPr>
            <w:tcW w:w="1101" w:type="pct"/>
            <w:tcMar>
              <w:top w:w="60" w:type="dxa"/>
              <w:left w:w="120" w:type="dxa"/>
              <w:bottom w:w="30" w:type="dxa"/>
              <w:right w:w="120" w:type="dxa"/>
            </w:tcMar>
          </w:tcPr>
          <w:p w14:paraId="1CDDDC4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Φ19</w:t>
            </w:r>
          </w:p>
        </w:tc>
        <w:tc>
          <w:tcPr>
            <w:tcW w:w="301" w:type="pct"/>
            <w:tcMar>
              <w:top w:w="60" w:type="dxa"/>
              <w:left w:w="120" w:type="dxa"/>
              <w:bottom w:w="30" w:type="dxa"/>
              <w:right w:w="120" w:type="dxa"/>
            </w:tcMar>
          </w:tcPr>
          <w:p w14:paraId="798284E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6D5373F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56E6A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62D3F15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28</w:t>
            </w:r>
          </w:p>
        </w:tc>
        <w:tc>
          <w:tcPr>
            <w:tcW w:w="1226" w:type="pct"/>
            <w:tcMar>
              <w:top w:w="60" w:type="dxa"/>
              <w:left w:w="120" w:type="dxa"/>
              <w:bottom w:w="30" w:type="dxa"/>
              <w:right w:w="120" w:type="dxa"/>
            </w:tcMar>
          </w:tcPr>
          <w:p w14:paraId="7486499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3501D42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自救卷盘（消防软管卷盘）</w:t>
            </w:r>
          </w:p>
        </w:tc>
        <w:tc>
          <w:tcPr>
            <w:tcW w:w="1101" w:type="pct"/>
            <w:tcMar>
              <w:top w:w="60" w:type="dxa"/>
              <w:left w:w="120" w:type="dxa"/>
              <w:bottom w:w="30" w:type="dxa"/>
              <w:right w:w="120" w:type="dxa"/>
            </w:tcMar>
          </w:tcPr>
          <w:p w14:paraId="17006B1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30米</w:t>
            </w:r>
          </w:p>
        </w:tc>
        <w:tc>
          <w:tcPr>
            <w:tcW w:w="301" w:type="pct"/>
            <w:tcMar>
              <w:top w:w="60" w:type="dxa"/>
              <w:left w:w="120" w:type="dxa"/>
              <w:bottom w:w="30" w:type="dxa"/>
              <w:right w:w="120" w:type="dxa"/>
            </w:tcMar>
          </w:tcPr>
          <w:p w14:paraId="57C6FD4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条</w:t>
            </w:r>
          </w:p>
        </w:tc>
        <w:tc>
          <w:tcPr>
            <w:tcW w:w="570" w:type="pct"/>
            <w:tcMar>
              <w:top w:w="60" w:type="dxa"/>
              <w:left w:w="120" w:type="dxa"/>
              <w:bottom w:w="30" w:type="dxa"/>
              <w:right w:w="120" w:type="dxa"/>
            </w:tcMar>
          </w:tcPr>
          <w:p w14:paraId="7A64DAB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72E7E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407B927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29</w:t>
            </w:r>
          </w:p>
        </w:tc>
        <w:tc>
          <w:tcPr>
            <w:tcW w:w="1226" w:type="pct"/>
            <w:tcMar>
              <w:top w:w="60" w:type="dxa"/>
              <w:left w:w="120" w:type="dxa"/>
              <w:bottom w:w="30" w:type="dxa"/>
              <w:right w:w="120" w:type="dxa"/>
            </w:tcMar>
          </w:tcPr>
          <w:p w14:paraId="4724E42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2052158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消防水泵接合器</w:t>
            </w:r>
          </w:p>
        </w:tc>
        <w:tc>
          <w:tcPr>
            <w:tcW w:w="1101" w:type="pct"/>
            <w:tcMar>
              <w:top w:w="60" w:type="dxa"/>
              <w:left w:w="120" w:type="dxa"/>
              <w:bottom w:w="30" w:type="dxa"/>
              <w:right w:w="120" w:type="dxa"/>
            </w:tcMar>
          </w:tcPr>
          <w:p w14:paraId="1600A16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0F7B506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套</w:t>
            </w:r>
          </w:p>
        </w:tc>
        <w:tc>
          <w:tcPr>
            <w:tcW w:w="570" w:type="pct"/>
            <w:tcMar>
              <w:top w:w="60" w:type="dxa"/>
              <w:left w:w="120" w:type="dxa"/>
              <w:bottom w:w="30" w:type="dxa"/>
              <w:right w:w="120" w:type="dxa"/>
            </w:tcMar>
          </w:tcPr>
          <w:p w14:paraId="4119C8F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46B72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76FCC69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30</w:t>
            </w:r>
          </w:p>
        </w:tc>
        <w:tc>
          <w:tcPr>
            <w:tcW w:w="1226" w:type="pct"/>
            <w:tcMar>
              <w:top w:w="60" w:type="dxa"/>
              <w:left w:w="120" w:type="dxa"/>
              <w:bottom w:w="30" w:type="dxa"/>
              <w:right w:w="120" w:type="dxa"/>
            </w:tcMar>
          </w:tcPr>
          <w:p w14:paraId="6D73595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566623E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消防闸阀</w:t>
            </w:r>
          </w:p>
        </w:tc>
        <w:tc>
          <w:tcPr>
            <w:tcW w:w="1101" w:type="pct"/>
            <w:tcMar>
              <w:top w:w="60" w:type="dxa"/>
              <w:left w:w="120" w:type="dxa"/>
              <w:bottom w:w="30" w:type="dxa"/>
              <w:right w:w="120" w:type="dxa"/>
            </w:tcMar>
          </w:tcPr>
          <w:p w14:paraId="3DF3ED1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DN65/DN100/DN150</w:t>
            </w:r>
          </w:p>
        </w:tc>
        <w:tc>
          <w:tcPr>
            <w:tcW w:w="301" w:type="pct"/>
            <w:tcMar>
              <w:top w:w="60" w:type="dxa"/>
              <w:left w:w="120" w:type="dxa"/>
              <w:bottom w:w="30" w:type="dxa"/>
              <w:right w:w="120" w:type="dxa"/>
            </w:tcMar>
          </w:tcPr>
          <w:p w14:paraId="135D52A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14E6053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47CA5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7E7D443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31</w:t>
            </w:r>
          </w:p>
        </w:tc>
        <w:tc>
          <w:tcPr>
            <w:tcW w:w="1226" w:type="pct"/>
            <w:tcMar>
              <w:top w:w="60" w:type="dxa"/>
              <w:left w:w="120" w:type="dxa"/>
              <w:bottom w:w="30" w:type="dxa"/>
              <w:right w:w="120" w:type="dxa"/>
            </w:tcMar>
          </w:tcPr>
          <w:p w14:paraId="16BAE81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4954328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消防蝶阀</w:t>
            </w:r>
          </w:p>
        </w:tc>
        <w:tc>
          <w:tcPr>
            <w:tcW w:w="1101" w:type="pct"/>
            <w:tcMar>
              <w:top w:w="60" w:type="dxa"/>
              <w:left w:w="120" w:type="dxa"/>
              <w:bottom w:w="30" w:type="dxa"/>
              <w:right w:w="120" w:type="dxa"/>
            </w:tcMar>
          </w:tcPr>
          <w:p w14:paraId="65B2011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DN65/DN100/DN150</w:t>
            </w:r>
          </w:p>
        </w:tc>
        <w:tc>
          <w:tcPr>
            <w:tcW w:w="301" w:type="pct"/>
            <w:tcMar>
              <w:top w:w="60" w:type="dxa"/>
              <w:left w:w="120" w:type="dxa"/>
              <w:bottom w:w="30" w:type="dxa"/>
              <w:right w:w="120" w:type="dxa"/>
            </w:tcMar>
          </w:tcPr>
          <w:p w14:paraId="26207CB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070D1AA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779FB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38ACB1C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32</w:t>
            </w:r>
          </w:p>
        </w:tc>
        <w:tc>
          <w:tcPr>
            <w:tcW w:w="1226" w:type="pct"/>
            <w:tcMar>
              <w:top w:w="60" w:type="dxa"/>
              <w:left w:w="120" w:type="dxa"/>
              <w:bottom w:w="30" w:type="dxa"/>
              <w:right w:w="120" w:type="dxa"/>
            </w:tcMar>
          </w:tcPr>
          <w:p w14:paraId="1908E65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6AF5360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消防信号蝶阀</w:t>
            </w:r>
          </w:p>
        </w:tc>
        <w:tc>
          <w:tcPr>
            <w:tcW w:w="1101" w:type="pct"/>
            <w:tcMar>
              <w:top w:w="60" w:type="dxa"/>
              <w:left w:w="120" w:type="dxa"/>
              <w:bottom w:w="30" w:type="dxa"/>
              <w:right w:w="120" w:type="dxa"/>
            </w:tcMar>
          </w:tcPr>
          <w:p w14:paraId="0E3AA42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DN65/DN100/DN150</w:t>
            </w:r>
          </w:p>
        </w:tc>
        <w:tc>
          <w:tcPr>
            <w:tcW w:w="301" w:type="pct"/>
            <w:tcMar>
              <w:top w:w="60" w:type="dxa"/>
              <w:left w:w="120" w:type="dxa"/>
              <w:bottom w:w="30" w:type="dxa"/>
              <w:right w:w="120" w:type="dxa"/>
            </w:tcMar>
          </w:tcPr>
          <w:p w14:paraId="5B07BB6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0D453DB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05BC8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3627B81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33</w:t>
            </w:r>
          </w:p>
        </w:tc>
        <w:tc>
          <w:tcPr>
            <w:tcW w:w="1226" w:type="pct"/>
            <w:tcMar>
              <w:top w:w="60" w:type="dxa"/>
              <w:left w:w="120" w:type="dxa"/>
              <w:bottom w:w="30" w:type="dxa"/>
              <w:right w:w="120" w:type="dxa"/>
            </w:tcMar>
          </w:tcPr>
          <w:p w14:paraId="7E4832A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7A201E7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消防止回阀</w:t>
            </w:r>
          </w:p>
        </w:tc>
        <w:tc>
          <w:tcPr>
            <w:tcW w:w="1101" w:type="pct"/>
            <w:tcMar>
              <w:top w:w="60" w:type="dxa"/>
              <w:left w:w="120" w:type="dxa"/>
              <w:bottom w:w="30" w:type="dxa"/>
              <w:right w:w="120" w:type="dxa"/>
            </w:tcMar>
          </w:tcPr>
          <w:p w14:paraId="356C18A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DN65/DN100/DN150</w:t>
            </w:r>
          </w:p>
        </w:tc>
        <w:tc>
          <w:tcPr>
            <w:tcW w:w="301" w:type="pct"/>
            <w:tcMar>
              <w:top w:w="60" w:type="dxa"/>
              <w:left w:w="120" w:type="dxa"/>
              <w:bottom w:w="30" w:type="dxa"/>
              <w:right w:w="120" w:type="dxa"/>
            </w:tcMar>
          </w:tcPr>
          <w:p w14:paraId="47C65CA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699CA45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45065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47FC103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34</w:t>
            </w:r>
          </w:p>
        </w:tc>
        <w:tc>
          <w:tcPr>
            <w:tcW w:w="1226" w:type="pct"/>
            <w:tcMar>
              <w:top w:w="60" w:type="dxa"/>
              <w:left w:w="120" w:type="dxa"/>
              <w:bottom w:w="30" w:type="dxa"/>
              <w:right w:w="120" w:type="dxa"/>
            </w:tcMar>
          </w:tcPr>
          <w:p w14:paraId="033A3E3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307ADF3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消防减压阀</w:t>
            </w:r>
          </w:p>
        </w:tc>
        <w:tc>
          <w:tcPr>
            <w:tcW w:w="1101" w:type="pct"/>
            <w:tcMar>
              <w:top w:w="60" w:type="dxa"/>
              <w:left w:w="120" w:type="dxa"/>
              <w:bottom w:w="30" w:type="dxa"/>
              <w:right w:w="120" w:type="dxa"/>
            </w:tcMar>
          </w:tcPr>
          <w:p w14:paraId="783E85C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0FE0CDC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29A1EE8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4CDC7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62F3A71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35</w:t>
            </w:r>
          </w:p>
        </w:tc>
        <w:tc>
          <w:tcPr>
            <w:tcW w:w="1226" w:type="pct"/>
            <w:tcMar>
              <w:top w:w="60" w:type="dxa"/>
              <w:left w:w="120" w:type="dxa"/>
              <w:bottom w:w="30" w:type="dxa"/>
              <w:right w:w="120" w:type="dxa"/>
            </w:tcMar>
          </w:tcPr>
          <w:p w14:paraId="78F8F44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6B27713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消防软连接（减震喉）</w:t>
            </w:r>
          </w:p>
        </w:tc>
        <w:tc>
          <w:tcPr>
            <w:tcW w:w="1101" w:type="pct"/>
            <w:tcMar>
              <w:top w:w="60" w:type="dxa"/>
              <w:left w:w="120" w:type="dxa"/>
              <w:bottom w:w="30" w:type="dxa"/>
              <w:right w:w="120" w:type="dxa"/>
            </w:tcMar>
          </w:tcPr>
          <w:p w14:paraId="7FC8C20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6872BAC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223DBB5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50B69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249B396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36</w:t>
            </w:r>
          </w:p>
        </w:tc>
        <w:tc>
          <w:tcPr>
            <w:tcW w:w="1226" w:type="pct"/>
            <w:tcMar>
              <w:top w:w="60" w:type="dxa"/>
              <w:left w:w="120" w:type="dxa"/>
              <w:bottom w:w="30" w:type="dxa"/>
              <w:right w:w="120" w:type="dxa"/>
            </w:tcMar>
          </w:tcPr>
          <w:p w14:paraId="73B0A70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7223AF6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沟槽管件（卡箍/三通/弯头）</w:t>
            </w:r>
          </w:p>
        </w:tc>
        <w:tc>
          <w:tcPr>
            <w:tcW w:w="1101" w:type="pct"/>
            <w:tcMar>
              <w:top w:w="60" w:type="dxa"/>
              <w:left w:w="120" w:type="dxa"/>
              <w:bottom w:w="30" w:type="dxa"/>
              <w:right w:w="120" w:type="dxa"/>
            </w:tcMar>
          </w:tcPr>
          <w:p w14:paraId="2D1E7F1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DN65/DN100/DN150</w:t>
            </w:r>
          </w:p>
        </w:tc>
        <w:tc>
          <w:tcPr>
            <w:tcW w:w="301" w:type="pct"/>
            <w:tcMar>
              <w:top w:w="60" w:type="dxa"/>
              <w:left w:w="120" w:type="dxa"/>
              <w:bottom w:w="30" w:type="dxa"/>
              <w:right w:w="120" w:type="dxa"/>
            </w:tcMar>
          </w:tcPr>
          <w:p w14:paraId="71D67A3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5DD9F27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49FC6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61C14D9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37</w:t>
            </w:r>
          </w:p>
        </w:tc>
        <w:tc>
          <w:tcPr>
            <w:tcW w:w="1226" w:type="pct"/>
            <w:tcMar>
              <w:top w:w="60" w:type="dxa"/>
              <w:left w:w="120" w:type="dxa"/>
              <w:bottom w:w="30" w:type="dxa"/>
              <w:right w:w="120" w:type="dxa"/>
            </w:tcMar>
          </w:tcPr>
          <w:p w14:paraId="362AE55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10F3F46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消防管卡箍</w:t>
            </w:r>
          </w:p>
        </w:tc>
        <w:tc>
          <w:tcPr>
            <w:tcW w:w="1101" w:type="pct"/>
            <w:tcMar>
              <w:top w:w="60" w:type="dxa"/>
              <w:left w:w="120" w:type="dxa"/>
              <w:bottom w:w="30" w:type="dxa"/>
              <w:right w:w="120" w:type="dxa"/>
            </w:tcMar>
          </w:tcPr>
          <w:p w14:paraId="4552808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DN65/DN100/DN150</w:t>
            </w:r>
          </w:p>
        </w:tc>
        <w:tc>
          <w:tcPr>
            <w:tcW w:w="301" w:type="pct"/>
            <w:tcMar>
              <w:top w:w="60" w:type="dxa"/>
              <w:left w:w="120" w:type="dxa"/>
              <w:bottom w:w="30" w:type="dxa"/>
              <w:right w:w="120" w:type="dxa"/>
            </w:tcMar>
          </w:tcPr>
          <w:p w14:paraId="1162887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78CABFD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5542A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3495E20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38</w:t>
            </w:r>
          </w:p>
        </w:tc>
        <w:tc>
          <w:tcPr>
            <w:tcW w:w="1226" w:type="pct"/>
            <w:tcMar>
              <w:top w:w="60" w:type="dxa"/>
              <w:left w:w="120" w:type="dxa"/>
              <w:bottom w:w="30" w:type="dxa"/>
              <w:right w:w="120" w:type="dxa"/>
            </w:tcMar>
          </w:tcPr>
          <w:p w14:paraId="5740077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26E6E65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压力表</w:t>
            </w:r>
          </w:p>
        </w:tc>
        <w:tc>
          <w:tcPr>
            <w:tcW w:w="1101" w:type="pct"/>
            <w:tcMar>
              <w:top w:w="60" w:type="dxa"/>
              <w:left w:w="120" w:type="dxa"/>
              <w:bottom w:w="30" w:type="dxa"/>
              <w:right w:w="120" w:type="dxa"/>
            </w:tcMar>
          </w:tcPr>
          <w:p w14:paraId="347D25C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Y100-1.6/2.5MPa</w:t>
            </w:r>
          </w:p>
        </w:tc>
        <w:tc>
          <w:tcPr>
            <w:tcW w:w="301" w:type="pct"/>
            <w:tcMar>
              <w:top w:w="60" w:type="dxa"/>
              <w:left w:w="120" w:type="dxa"/>
              <w:bottom w:w="30" w:type="dxa"/>
              <w:right w:w="120" w:type="dxa"/>
            </w:tcMar>
          </w:tcPr>
          <w:p w14:paraId="576E196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09EC1C4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3AFC1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2A004BD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39</w:t>
            </w:r>
          </w:p>
        </w:tc>
        <w:tc>
          <w:tcPr>
            <w:tcW w:w="1226" w:type="pct"/>
            <w:tcMar>
              <w:top w:w="60" w:type="dxa"/>
              <w:left w:w="120" w:type="dxa"/>
              <w:bottom w:w="30" w:type="dxa"/>
              <w:right w:w="120" w:type="dxa"/>
            </w:tcMar>
          </w:tcPr>
          <w:p w14:paraId="39F0013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6EC9FBA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电接点压力表</w:t>
            </w:r>
          </w:p>
        </w:tc>
        <w:tc>
          <w:tcPr>
            <w:tcW w:w="1101" w:type="pct"/>
            <w:tcMar>
              <w:top w:w="60" w:type="dxa"/>
              <w:left w:w="120" w:type="dxa"/>
              <w:bottom w:w="30" w:type="dxa"/>
              <w:right w:w="120" w:type="dxa"/>
            </w:tcMar>
          </w:tcPr>
          <w:p w14:paraId="11E79B1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457A57B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7A47432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32A03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59F5BB2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40</w:t>
            </w:r>
          </w:p>
        </w:tc>
        <w:tc>
          <w:tcPr>
            <w:tcW w:w="1226" w:type="pct"/>
            <w:tcMar>
              <w:top w:w="60" w:type="dxa"/>
              <w:left w:w="120" w:type="dxa"/>
              <w:bottom w:w="30" w:type="dxa"/>
              <w:right w:w="120" w:type="dxa"/>
            </w:tcMar>
          </w:tcPr>
          <w:p w14:paraId="0C430CF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7764027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消防水泵机械密封</w:t>
            </w:r>
          </w:p>
        </w:tc>
        <w:tc>
          <w:tcPr>
            <w:tcW w:w="1101" w:type="pct"/>
            <w:tcMar>
              <w:top w:w="60" w:type="dxa"/>
              <w:left w:w="120" w:type="dxa"/>
              <w:bottom w:w="30" w:type="dxa"/>
              <w:right w:w="120" w:type="dxa"/>
            </w:tcMar>
          </w:tcPr>
          <w:p w14:paraId="57CCD1B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按水泵型号匹配</w:t>
            </w:r>
          </w:p>
        </w:tc>
        <w:tc>
          <w:tcPr>
            <w:tcW w:w="301" w:type="pct"/>
            <w:tcMar>
              <w:top w:w="60" w:type="dxa"/>
              <w:left w:w="120" w:type="dxa"/>
              <w:bottom w:w="30" w:type="dxa"/>
              <w:right w:w="120" w:type="dxa"/>
            </w:tcMar>
          </w:tcPr>
          <w:p w14:paraId="508781F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套</w:t>
            </w:r>
          </w:p>
        </w:tc>
        <w:tc>
          <w:tcPr>
            <w:tcW w:w="570" w:type="pct"/>
            <w:tcMar>
              <w:top w:w="60" w:type="dxa"/>
              <w:left w:w="120" w:type="dxa"/>
              <w:bottom w:w="30" w:type="dxa"/>
              <w:right w:w="120" w:type="dxa"/>
            </w:tcMar>
          </w:tcPr>
          <w:p w14:paraId="64A5DEA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16869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2A7A494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41</w:t>
            </w:r>
          </w:p>
        </w:tc>
        <w:tc>
          <w:tcPr>
            <w:tcW w:w="1226" w:type="pct"/>
            <w:tcMar>
              <w:top w:w="60" w:type="dxa"/>
              <w:left w:w="120" w:type="dxa"/>
              <w:bottom w:w="30" w:type="dxa"/>
              <w:right w:w="120" w:type="dxa"/>
            </w:tcMar>
          </w:tcPr>
          <w:p w14:paraId="181F207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677310C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消防水泵轴承</w:t>
            </w:r>
          </w:p>
        </w:tc>
        <w:tc>
          <w:tcPr>
            <w:tcW w:w="1101" w:type="pct"/>
            <w:tcMar>
              <w:top w:w="60" w:type="dxa"/>
              <w:left w:w="120" w:type="dxa"/>
              <w:bottom w:w="30" w:type="dxa"/>
              <w:right w:w="120" w:type="dxa"/>
            </w:tcMar>
          </w:tcPr>
          <w:p w14:paraId="42FA36A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按水泵型号匹配</w:t>
            </w:r>
          </w:p>
        </w:tc>
        <w:tc>
          <w:tcPr>
            <w:tcW w:w="301" w:type="pct"/>
            <w:tcMar>
              <w:top w:w="60" w:type="dxa"/>
              <w:left w:w="120" w:type="dxa"/>
              <w:bottom w:w="30" w:type="dxa"/>
              <w:right w:w="120" w:type="dxa"/>
            </w:tcMar>
          </w:tcPr>
          <w:p w14:paraId="52A0FFD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套</w:t>
            </w:r>
          </w:p>
        </w:tc>
        <w:tc>
          <w:tcPr>
            <w:tcW w:w="570" w:type="pct"/>
            <w:tcMar>
              <w:top w:w="60" w:type="dxa"/>
              <w:left w:w="120" w:type="dxa"/>
              <w:bottom w:w="30" w:type="dxa"/>
              <w:right w:w="120" w:type="dxa"/>
            </w:tcMar>
          </w:tcPr>
          <w:p w14:paraId="7703FAB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40D51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7EB6DC5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42</w:t>
            </w:r>
          </w:p>
        </w:tc>
        <w:tc>
          <w:tcPr>
            <w:tcW w:w="1226" w:type="pct"/>
            <w:tcMar>
              <w:top w:w="60" w:type="dxa"/>
              <w:left w:w="120" w:type="dxa"/>
              <w:bottom w:w="30" w:type="dxa"/>
              <w:right w:w="120" w:type="dxa"/>
            </w:tcMar>
          </w:tcPr>
          <w:p w14:paraId="0935D14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50367FD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消防水泵叶轮</w:t>
            </w:r>
          </w:p>
        </w:tc>
        <w:tc>
          <w:tcPr>
            <w:tcW w:w="1101" w:type="pct"/>
            <w:tcMar>
              <w:top w:w="60" w:type="dxa"/>
              <w:left w:w="120" w:type="dxa"/>
              <w:bottom w:w="30" w:type="dxa"/>
              <w:right w:w="120" w:type="dxa"/>
            </w:tcMar>
          </w:tcPr>
          <w:p w14:paraId="0C2371C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按水泵型号匹配</w:t>
            </w:r>
          </w:p>
        </w:tc>
        <w:tc>
          <w:tcPr>
            <w:tcW w:w="301" w:type="pct"/>
            <w:tcMar>
              <w:top w:w="60" w:type="dxa"/>
              <w:left w:w="120" w:type="dxa"/>
              <w:bottom w:w="30" w:type="dxa"/>
              <w:right w:w="120" w:type="dxa"/>
            </w:tcMar>
          </w:tcPr>
          <w:p w14:paraId="5ABD985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59406E8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4D9CE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31BE52F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43</w:t>
            </w:r>
          </w:p>
        </w:tc>
        <w:tc>
          <w:tcPr>
            <w:tcW w:w="1226" w:type="pct"/>
            <w:tcMar>
              <w:top w:w="60" w:type="dxa"/>
              <w:left w:w="120" w:type="dxa"/>
              <w:bottom w:w="30" w:type="dxa"/>
              <w:right w:w="120" w:type="dxa"/>
            </w:tcMar>
          </w:tcPr>
          <w:p w14:paraId="2682288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6F56551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稳压泵</w:t>
            </w:r>
          </w:p>
        </w:tc>
        <w:tc>
          <w:tcPr>
            <w:tcW w:w="1101" w:type="pct"/>
            <w:tcMar>
              <w:top w:w="60" w:type="dxa"/>
              <w:left w:w="120" w:type="dxa"/>
              <w:bottom w:w="30" w:type="dxa"/>
              <w:right w:w="120" w:type="dxa"/>
            </w:tcMar>
          </w:tcPr>
          <w:p w14:paraId="2BA9C53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0B2278D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台</w:t>
            </w:r>
          </w:p>
        </w:tc>
        <w:tc>
          <w:tcPr>
            <w:tcW w:w="570" w:type="pct"/>
            <w:tcMar>
              <w:top w:w="60" w:type="dxa"/>
              <w:left w:w="120" w:type="dxa"/>
              <w:bottom w:w="30" w:type="dxa"/>
              <w:right w:w="120" w:type="dxa"/>
            </w:tcMar>
          </w:tcPr>
          <w:p w14:paraId="39E456B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671EA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06AE2D1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44</w:t>
            </w:r>
          </w:p>
        </w:tc>
        <w:tc>
          <w:tcPr>
            <w:tcW w:w="1226" w:type="pct"/>
            <w:tcMar>
              <w:top w:w="60" w:type="dxa"/>
              <w:left w:w="120" w:type="dxa"/>
              <w:bottom w:w="30" w:type="dxa"/>
              <w:right w:w="120" w:type="dxa"/>
            </w:tcMar>
          </w:tcPr>
          <w:p w14:paraId="2D4B2BB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2D6AAD7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气压水罐</w:t>
            </w:r>
          </w:p>
        </w:tc>
        <w:tc>
          <w:tcPr>
            <w:tcW w:w="1101" w:type="pct"/>
            <w:tcMar>
              <w:top w:w="60" w:type="dxa"/>
              <w:left w:w="120" w:type="dxa"/>
              <w:bottom w:w="30" w:type="dxa"/>
              <w:right w:w="120" w:type="dxa"/>
            </w:tcMar>
          </w:tcPr>
          <w:p w14:paraId="367DDB3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3A91C01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台</w:t>
            </w:r>
          </w:p>
        </w:tc>
        <w:tc>
          <w:tcPr>
            <w:tcW w:w="570" w:type="pct"/>
            <w:tcMar>
              <w:top w:w="60" w:type="dxa"/>
              <w:left w:w="120" w:type="dxa"/>
              <w:bottom w:w="30" w:type="dxa"/>
              <w:right w:w="120" w:type="dxa"/>
            </w:tcMar>
          </w:tcPr>
          <w:p w14:paraId="051C4B0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58910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41521A4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45</w:t>
            </w:r>
          </w:p>
        </w:tc>
        <w:tc>
          <w:tcPr>
            <w:tcW w:w="1226" w:type="pct"/>
            <w:tcMar>
              <w:top w:w="60" w:type="dxa"/>
              <w:left w:w="120" w:type="dxa"/>
              <w:bottom w:w="30" w:type="dxa"/>
              <w:right w:w="120" w:type="dxa"/>
            </w:tcMar>
          </w:tcPr>
          <w:p w14:paraId="63A7635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63B5433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消防水箱浮球阀</w:t>
            </w:r>
          </w:p>
        </w:tc>
        <w:tc>
          <w:tcPr>
            <w:tcW w:w="1101" w:type="pct"/>
            <w:tcMar>
              <w:top w:w="60" w:type="dxa"/>
              <w:left w:w="120" w:type="dxa"/>
              <w:bottom w:w="30" w:type="dxa"/>
              <w:right w:w="120" w:type="dxa"/>
            </w:tcMar>
          </w:tcPr>
          <w:p w14:paraId="731992E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609C3C0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093728E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66074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6FBA68F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46</w:t>
            </w:r>
          </w:p>
        </w:tc>
        <w:tc>
          <w:tcPr>
            <w:tcW w:w="1226" w:type="pct"/>
            <w:tcMar>
              <w:top w:w="60" w:type="dxa"/>
              <w:left w:w="120" w:type="dxa"/>
              <w:bottom w:w="30" w:type="dxa"/>
              <w:right w:w="120" w:type="dxa"/>
            </w:tcMar>
          </w:tcPr>
          <w:p w14:paraId="2604894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3D91ADC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消防水箱液位计</w:t>
            </w:r>
          </w:p>
        </w:tc>
        <w:tc>
          <w:tcPr>
            <w:tcW w:w="1101" w:type="pct"/>
            <w:tcMar>
              <w:top w:w="60" w:type="dxa"/>
              <w:left w:w="120" w:type="dxa"/>
              <w:bottom w:w="30" w:type="dxa"/>
              <w:right w:w="120" w:type="dxa"/>
            </w:tcMar>
          </w:tcPr>
          <w:p w14:paraId="25C1216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46F7B69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套</w:t>
            </w:r>
          </w:p>
        </w:tc>
        <w:tc>
          <w:tcPr>
            <w:tcW w:w="570" w:type="pct"/>
            <w:tcMar>
              <w:top w:w="60" w:type="dxa"/>
              <w:left w:w="120" w:type="dxa"/>
              <w:bottom w:w="30" w:type="dxa"/>
              <w:right w:w="120" w:type="dxa"/>
            </w:tcMar>
          </w:tcPr>
          <w:p w14:paraId="609A233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29B1C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3807CDA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47</w:t>
            </w:r>
          </w:p>
        </w:tc>
        <w:tc>
          <w:tcPr>
            <w:tcW w:w="1226" w:type="pct"/>
            <w:tcMar>
              <w:top w:w="60" w:type="dxa"/>
              <w:left w:w="120" w:type="dxa"/>
              <w:bottom w:w="30" w:type="dxa"/>
              <w:right w:w="120" w:type="dxa"/>
            </w:tcMar>
          </w:tcPr>
          <w:p w14:paraId="269608D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消防供水及消火栓系统</w:t>
            </w:r>
          </w:p>
        </w:tc>
        <w:tc>
          <w:tcPr>
            <w:tcW w:w="1403" w:type="pct"/>
            <w:tcMar>
              <w:top w:w="60" w:type="dxa"/>
              <w:left w:w="120" w:type="dxa"/>
              <w:bottom w:w="30" w:type="dxa"/>
              <w:right w:w="120" w:type="dxa"/>
            </w:tcMar>
          </w:tcPr>
          <w:p w14:paraId="0EAF287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水泵控制柜元器件（接触器/继电器等）</w:t>
            </w:r>
          </w:p>
        </w:tc>
        <w:tc>
          <w:tcPr>
            <w:tcW w:w="1101" w:type="pct"/>
            <w:tcMar>
              <w:top w:w="60" w:type="dxa"/>
              <w:left w:w="120" w:type="dxa"/>
              <w:bottom w:w="30" w:type="dxa"/>
              <w:right w:w="120" w:type="dxa"/>
            </w:tcMar>
          </w:tcPr>
          <w:p w14:paraId="67FD986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按控制柜型号匹配</w:t>
            </w:r>
          </w:p>
        </w:tc>
        <w:tc>
          <w:tcPr>
            <w:tcW w:w="301" w:type="pct"/>
            <w:tcMar>
              <w:top w:w="60" w:type="dxa"/>
              <w:left w:w="120" w:type="dxa"/>
              <w:bottom w:w="30" w:type="dxa"/>
              <w:right w:w="120" w:type="dxa"/>
            </w:tcMar>
          </w:tcPr>
          <w:p w14:paraId="74B6A79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63CB1D2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71C07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0DF7BD2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48</w:t>
            </w:r>
          </w:p>
        </w:tc>
        <w:tc>
          <w:tcPr>
            <w:tcW w:w="1226" w:type="pct"/>
            <w:tcMar>
              <w:top w:w="60" w:type="dxa"/>
              <w:left w:w="120" w:type="dxa"/>
              <w:bottom w:w="30" w:type="dxa"/>
              <w:right w:w="120" w:type="dxa"/>
            </w:tcMar>
          </w:tcPr>
          <w:p w14:paraId="7322526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自动喷水灭火系统</w:t>
            </w:r>
          </w:p>
        </w:tc>
        <w:tc>
          <w:tcPr>
            <w:tcW w:w="1403" w:type="pct"/>
            <w:tcMar>
              <w:top w:w="60" w:type="dxa"/>
              <w:left w:w="120" w:type="dxa"/>
              <w:bottom w:w="30" w:type="dxa"/>
              <w:right w:w="120" w:type="dxa"/>
            </w:tcMar>
          </w:tcPr>
          <w:p w14:paraId="068E544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洒水喷头（直立型）</w:t>
            </w:r>
          </w:p>
        </w:tc>
        <w:tc>
          <w:tcPr>
            <w:tcW w:w="1101" w:type="pct"/>
            <w:tcMar>
              <w:top w:w="60" w:type="dxa"/>
              <w:left w:w="120" w:type="dxa"/>
              <w:bottom w:w="30" w:type="dxa"/>
              <w:right w:w="120" w:type="dxa"/>
            </w:tcMar>
          </w:tcPr>
          <w:p w14:paraId="536001A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K=80,68℃/93℃</w:t>
            </w:r>
          </w:p>
        </w:tc>
        <w:tc>
          <w:tcPr>
            <w:tcW w:w="301" w:type="pct"/>
            <w:tcMar>
              <w:top w:w="60" w:type="dxa"/>
              <w:left w:w="120" w:type="dxa"/>
              <w:bottom w:w="30" w:type="dxa"/>
              <w:right w:w="120" w:type="dxa"/>
            </w:tcMar>
          </w:tcPr>
          <w:p w14:paraId="2612817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54677C0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14B8A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58DBF36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49</w:t>
            </w:r>
          </w:p>
        </w:tc>
        <w:tc>
          <w:tcPr>
            <w:tcW w:w="1226" w:type="pct"/>
            <w:tcMar>
              <w:top w:w="60" w:type="dxa"/>
              <w:left w:w="120" w:type="dxa"/>
              <w:bottom w:w="30" w:type="dxa"/>
              <w:right w:w="120" w:type="dxa"/>
            </w:tcMar>
          </w:tcPr>
          <w:p w14:paraId="3FE6844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自动喷水灭火系统</w:t>
            </w:r>
          </w:p>
        </w:tc>
        <w:tc>
          <w:tcPr>
            <w:tcW w:w="1403" w:type="pct"/>
            <w:tcMar>
              <w:top w:w="60" w:type="dxa"/>
              <w:left w:w="120" w:type="dxa"/>
              <w:bottom w:w="30" w:type="dxa"/>
              <w:right w:w="120" w:type="dxa"/>
            </w:tcMar>
          </w:tcPr>
          <w:p w14:paraId="0516953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洒水喷头（下垂型）</w:t>
            </w:r>
          </w:p>
        </w:tc>
        <w:tc>
          <w:tcPr>
            <w:tcW w:w="1101" w:type="pct"/>
            <w:tcMar>
              <w:top w:w="60" w:type="dxa"/>
              <w:left w:w="120" w:type="dxa"/>
              <w:bottom w:w="30" w:type="dxa"/>
              <w:right w:w="120" w:type="dxa"/>
            </w:tcMar>
          </w:tcPr>
          <w:p w14:paraId="7D33B96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K=80,68℃/93℃</w:t>
            </w:r>
          </w:p>
        </w:tc>
        <w:tc>
          <w:tcPr>
            <w:tcW w:w="301" w:type="pct"/>
            <w:tcMar>
              <w:top w:w="60" w:type="dxa"/>
              <w:left w:w="120" w:type="dxa"/>
              <w:bottom w:w="30" w:type="dxa"/>
              <w:right w:w="120" w:type="dxa"/>
            </w:tcMar>
          </w:tcPr>
          <w:p w14:paraId="5AE6FD5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66F2220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6DBB5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7CB461B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50</w:t>
            </w:r>
          </w:p>
        </w:tc>
        <w:tc>
          <w:tcPr>
            <w:tcW w:w="1226" w:type="pct"/>
            <w:tcMar>
              <w:top w:w="60" w:type="dxa"/>
              <w:left w:w="120" w:type="dxa"/>
              <w:bottom w:w="30" w:type="dxa"/>
              <w:right w:w="120" w:type="dxa"/>
            </w:tcMar>
          </w:tcPr>
          <w:p w14:paraId="704F77E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自动喷水灭火系统</w:t>
            </w:r>
          </w:p>
        </w:tc>
        <w:tc>
          <w:tcPr>
            <w:tcW w:w="1403" w:type="pct"/>
            <w:tcMar>
              <w:top w:w="60" w:type="dxa"/>
              <w:left w:w="120" w:type="dxa"/>
              <w:bottom w:w="30" w:type="dxa"/>
              <w:right w:w="120" w:type="dxa"/>
            </w:tcMar>
          </w:tcPr>
          <w:p w14:paraId="7F54CA7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洒水喷头（边墙型）</w:t>
            </w:r>
          </w:p>
        </w:tc>
        <w:tc>
          <w:tcPr>
            <w:tcW w:w="1101" w:type="pct"/>
            <w:tcMar>
              <w:top w:w="60" w:type="dxa"/>
              <w:left w:w="120" w:type="dxa"/>
              <w:bottom w:w="30" w:type="dxa"/>
              <w:right w:w="120" w:type="dxa"/>
            </w:tcMar>
          </w:tcPr>
          <w:p w14:paraId="27BE05A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K=80,68℃/93℃</w:t>
            </w:r>
          </w:p>
        </w:tc>
        <w:tc>
          <w:tcPr>
            <w:tcW w:w="301" w:type="pct"/>
            <w:tcMar>
              <w:top w:w="60" w:type="dxa"/>
              <w:left w:w="120" w:type="dxa"/>
              <w:bottom w:w="30" w:type="dxa"/>
              <w:right w:w="120" w:type="dxa"/>
            </w:tcMar>
          </w:tcPr>
          <w:p w14:paraId="11C74D3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44A3DC5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5C5E8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16E60D7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51</w:t>
            </w:r>
          </w:p>
        </w:tc>
        <w:tc>
          <w:tcPr>
            <w:tcW w:w="1226" w:type="pct"/>
            <w:tcMar>
              <w:top w:w="60" w:type="dxa"/>
              <w:left w:w="120" w:type="dxa"/>
              <w:bottom w:w="30" w:type="dxa"/>
              <w:right w:w="120" w:type="dxa"/>
            </w:tcMar>
          </w:tcPr>
          <w:p w14:paraId="3B8C0BD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自动喷水灭火系统</w:t>
            </w:r>
          </w:p>
        </w:tc>
        <w:tc>
          <w:tcPr>
            <w:tcW w:w="1403" w:type="pct"/>
            <w:tcMar>
              <w:top w:w="60" w:type="dxa"/>
              <w:left w:w="120" w:type="dxa"/>
              <w:bottom w:w="30" w:type="dxa"/>
              <w:right w:w="120" w:type="dxa"/>
            </w:tcMar>
          </w:tcPr>
          <w:p w14:paraId="6B9AA3A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快速响应喷头</w:t>
            </w:r>
          </w:p>
        </w:tc>
        <w:tc>
          <w:tcPr>
            <w:tcW w:w="1101" w:type="pct"/>
            <w:tcMar>
              <w:top w:w="60" w:type="dxa"/>
              <w:left w:w="120" w:type="dxa"/>
              <w:bottom w:w="30" w:type="dxa"/>
              <w:right w:w="120" w:type="dxa"/>
            </w:tcMar>
          </w:tcPr>
          <w:p w14:paraId="2ACFCFF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K=80,68℃</w:t>
            </w:r>
          </w:p>
        </w:tc>
        <w:tc>
          <w:tcPr>
            <w:tcW w:w="301" w:type="pct"/>
            <w:tcMar>
              <w:top w:w="60" w:type="dxa"/>
              <w:left w:w="120" w:type="dxa"/>
              <w:bottom w:w="30" w:type="dxa"/>
              <w:right w:w="120" w:type="dxa"/>
            </w:tcMar>
          </w:tcPr>
          <w:p w14:paraId="7B17653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28E242F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5B46E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2852879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52</w:t>
            </w:r>
          </w:p>
        </w:tc>
        <w:tc>
          <w:tcPr>
            <w:tcW w:w="1226" w:type="pct"/>
            <w:tcMar>
              <w:top w:w="60" w:type="dxa"/>
              <w:left w:w="120" w:type="dxa"/>
              <w:bottom w:w="30" w:type="dxa"/>
              <w:right w:w="120" w:type="dxa"/>
            </w:tcMar>
          </w:tcPr>
          <w:p w14:paraId="0F96D25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自动喷水灭火系统</w:t>
            </w:r>
          </w:p>
        </w:tc>
        <w:tc>
          <w:tcPr>
            <w:tcW w:w="1403" w:type="pct"/>
            <w:tcMar>
              <w:top w:w="60" w:type="dxa"/>
              <w:left w:w="120" w:type="dxa"/>
              <w:bottom w:w="30" w:type="dxa"/>
              <w:right w:w="120" w:type="dxa"/>
            </w:tcMar>
          </w:tcPr>
          <w:p w14:paraId="132317E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湿式报警阀组</w:t>
            </w:r>
          </w:p>
        </w:tc>
        <w:tc>
          <w:tcPr>
            <w:tcW w:w="1101" w:type="pct"/>
            <w:tcMar>
              <w:top w:w="60" w:type="dxa"/>
              <w:left w:w="120" w:type="dxa"/>
              <w:bottom w:w="30" w:type="dxa"/>
              <w:right w:w="120" w:type="dxa"/>
            </w:tcMar>
          </w:tcPr>
          <w:p w14:paraId="5F2D738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39B7887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套</w:t>
            </w:r>
          </w:p>
        </w:tc>
        <w:tc>
          <w:tcPr>
            <w:tcW w:w="570" w:type="pct"/>
            <w:tcMar>
              <w:top w:w="60" w:type="dxa"/>
              <w:left w:w="120" w:type="dxa"/>
              <w:bottom w:w="30" w:type="dxa"/>
              <w:right w:w="120" w:type="dxa"/>
            </w:tcMar>
          </w:tcPr>
          <w:p w14:paraId="6F0C284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5977F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5F082E6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53</w:t>
            </w:r>
          </w:p>
        </w:tc>
        <w:tc>
          <w:tcPr>
            <w:tcW w:w="1226" w:type="pct"/>
            <w:tcMar>
              <w:top w:w="60" w:type="dxa"/>
              <w:left w:w="120" w:type="dxa"/>
              <w:bottom w:w="30" w:type="dxa"/>
              <w:right w:w="120" w:type="dxa"/>
            </w:tcMar>
          </w:tcPr>
          <w:p w14:paraId="7244236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自动喷水灭火系统</w:t>
            </w:r>
          </w:p>
        </w:tc>
        <w:tc>
          <w:tcPr>
            <w:tcW w:w="1403" w:type="pct"/>
            <w:tcMar>
              <w:top w:w="60" w:type="dxa"/>
              <w:left w:w="120" w:type="dxa"/>
              <w:bottom w:w="30" w:type="dxa"/>
              <w:right w:w="120" w:type="dxa"/>
            </w:tcMar>
          </w:tcPr>
          <w:p w14:paraId="5511BDE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预作用报警阀组</w:t>
            </w:r>
          </w:p>
        </w:tc>
        <w:tc>
          <w:tcPr>
            <w:tcW w:w="1101" w:type="pct"/>
            <w:tcMar>
              <w:top w:w="60" w:type="dxa"/>
              <w:left w:w="120" w:type="dxa"/>
              <w:bottom w:w="30" w:type="dxa"/>
              <w:right w:w="120" w:type="dxa"/>
            </w:tcMar>
          </w:tcPr>
          <w:p w14:paraId="414542A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7CE580E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套</w:t>
            </w:r>
          </w:p>
        </w:tc>
        <w:tc>
          <w:tcPr>
            <w:tcW w:w="570" w:type="pct"/>
            <w:tcMar>
              <w:top w:w="60" w:type="dxa"/>
              <w:left w:w="120" w:type="dxa"/>
              <w:bottom w:w="30" w:type="dxa"/>
              <w:right w:w="120" w:type="dxa"/>
            </w:tcMar>
          </w:tcPr>
          <w:p w14:paraId="2E4BF67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604CD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30034BC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54</w:t>
            </w:r>
          </w:p>
        </w:tc>
        <w:tc>
          <w:tcPr>
            <w:tcW w:w="1226" w:type="pct"/>
            <w:tcMar>
              <w:top w:w="60" w:type="dxa"/>
              <w:left w:w="120" w:type="dxa"/>
              <w:bottom w:w="30" w:type="dxa"/>
              <w:right w:w="120" w:type="dxa"/>
            </w:tcMar>
          </w:tcPr>
          <w:p w14:paraId="62FFF03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自动喷水灭火系统</w:t>
            </w:r>
          </w:p>
        </w:tc>
        <w:tc>
          <w:tcPr>
            <w:tcW w:w="1403" w:type="pct"/>
            <w:tcMar>
              <w:top w:w="60" w:type="dxa"/>
              <w:left w:w="120" w:type="dxa"/>
              <w:bottom w:w="30" w:type="dxa"/>
              <w:right w:w="120" w:type="dxa"/>
            </w:tcMar>
          </w:tcPr>
          <w:p w14:paraId="2E4F7C2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雨淋报警阀组</w:t>
            </w:r>
          </w:p>
        </w:tc>
        <w:tc>
          <w:tcPr>
            <w:tcW w:w="1101" w:type="pct"/>
            <w:tcMar>
              <w:top w:w="60" w:type="dxa"/>
              <w:left w:w="120" w:type="dxa"/>
              <w:bottom w:w="30" w:type="dxa"/>
              <w:right w:w="120" w:type="dxa"/>
            </w:tcMar>
          </w:tcPr>
          <w:p w14:paraId="599C566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5220222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套</w:t>
            </w:r>
          </w:p>
        </w:tc>
        <w:tc>
          <w:tcPr>
            <w:tcW w:w="570" w:type="pct"/>
            <w:tcMar>
              <w:top w:w="60" w:type="dxa"/>
              <w:left w:w="120" w:type="dxa"/>
              <w:bottom w:w="30" w:type="dxa"/>
              <w:right w:w="120" w:type="dxa"/>
            </w:tcMar>
          </w:tcPr>
          <w:p w14:paraId="48AA593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70BD4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3E38874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55</w:t>
            </w:r>
          </w:p>
        </w:tc>
        <w:tc>
          <w:tcPr>
            <w:tcW w:w="1226" w:type="pct"/>
            <w:tcMar>
              <w:top w:w="60" w:type="dxa"/>
              <w:left w:w="120" w:type="dxa"/>
              <w:bottom w:w="30" w:type="dxa"/>
              <w:right w:w="120" w:type="dxa"/>
            </w:tcMar>
          </w:tcPr>
          <w:p w14:paraId="5D7F1AB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自动喷水灭火系统</w:t>
            </w:r>
          </w:p>
        </w:tc>
        <w:tc>
          <w:tcPr>
            <w:tcW w:w="1403" w:type="pct"/>
            <w:tcMar>
              <w:top w:w="60" w:type="dxa"/>
              <w:left w:w="120" w:type="dxa"/>
              <w:bottom w:w="30" w:type="dxa"/>
              <w:right w:w="120" w:type="dxa"/>
            </w:tcMar>
          </w:tcPr>
          <w:p w14:paraId="61471E5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水流指示器</w:t>
            </w:r>
          </w:p>
        </w:tc>
        <w:tc>
          <w:tcPr>
            <w:tcW w:w="1101" w:type="pct"/>
            <w:tcMar>
              <w:top w:w="60" w:type="dxa"/>
              <w:left w:w="120" w:type="dxa"/>
              <w:bottom w:w="30" w:type="dxa"/>
              <w:right w:w="120" w:type="dxa"/>
            </w:tcMar>
          </w:tcPr>
          <w:p w14:paraId="1EDFDCA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DN65/DN100/DN150</w:t>
            </w:r>
          </w:p>
        </w:tc>
        <w:tc>
          <w:tcPr>
            <w:tcW w:w="301" w:type="pct"/>
            <w:tcMar>
              <w:top w:w="60" w:type="dxa"/>
              <w:left w:w="120" w:type="dxa"/>
              <w:bottom w:w="30" w:type="dxa"/>
              <w:right w:w="120" w:type="dxa"/>
            </w:tcMar>
          </w:tcPr>
          <w:p w14:paraId="4EB0DC3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2F3B9BD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00E13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1CEC856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56</w:t>
            </w:r>
          </w:p>
        </w:tc>
        <w:tc>
          <w:tcPr>
            <w:tcW w:w="1226" w:type="pct"/>
            <w:tcMar>
              <w:top w:w="60" w:type="dxa"/>
              <w:left w:w="120" w:type="dxa"/>
              <w:bottom w:w="30" w:type="dxa"/>
              <w:right w:w="120" w:type="dxa"/>
            </w:tcMar>
          </w:tcPr>
          <w:p w14:paraId="2D516C2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自动喷水灭火系统</w:t>
            </w:r>
          </w:p>
        </w:tc>
        <w:tc>
          <w:tcPr>
            <w:tcW w:w="1403" w:type="pct"/>
            <w:tcMar>
              <w:top w:w="60" w:type="dxa"/>
              <w:left w:w="120" w:type="dxa"/>
              <w:bottom w:w="30" w:type="dxa"/>
              <w:right w:w="120" w:type="dxa"/>
            </w:tcMar>
          </w:tcPr>
          <w:p w14:paraId="327019A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末端试水装置</w:t>
            </w:r>
          </w:p>
        </w:tc>
        <w:tc>
          <w:tcPr>
            <w:tcW w:w="1101" w:type="pct"/>
            <w:tcMar>
              <w:top w:w="60" w:type="dxa"/>
              <w:left w:w="120" w:type="dxa"/>
              <w:bottom w:w="30" w:type="dxa"/>
              <w:right w:w="120" w:type="dxa"/>
            </w:tcMar>
          </w:tcPr>
          <w:p w14:paraId="7FCB30F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DN25</w:t>
            </w:r>
          </w:p>
        </w:tc>
        <w:tc>
          <w:tcPr>
            <w:tcW w:w="301" w:type="pct"/>
            <w:tcMar>
              <w:top w:w="60" w:type="dxa"/>
              <w:left w:w="120" w:type="dxa"/>
              <w:bottom w:w="30" w:type="dxa"/>
              <w:right w:w="120" w:type="dxa"/>
            </w:tcMar>
          </w:tcPr>
          <w:p w14:paraId="05BC9F0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套</w:t>
            </w:r>
          </w:p>
        </w:tc>
        <w:tc>
          <w:tcPr>
            <w:tcW w:w="570" w:type="pct"/>
            <w:tcMar>
              <w:top w:w="60" w:type="dxa"/>
              <w:left w:w="120" w:type="dxa"/>
              <w:bottom w:w="30" w:type="dxa"/>
              <w:right w:w="120" w:type="dxa"/>
            </w:tcMar>
          </w:tcPr>
          <w:p w14:paraId="2BD4E2B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0BAB6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5756BC3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57</w:t>
            </w:r>
          </w:p>
        </w:tc>
        <w:tc>
          <w:tcPr>
            <w:tcW w:w="1226" w:type="pct"/>
            <w:tcMar>
              <w:top w:w="60" w:type="dxa"/>
              <w:left w:w="120" w:type="dxa"/>
              <w:bottom w:w="30" w:type="dxa"/>
              <w:right w:w="120" w:type="dxa"/>
            </w:tcMar>
          </w:tcPr>
          <w:p w14:paraId="71BA0D6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自动喷水灭火系统</w:t>
            </w:r>
          </w:p>
        </w:tc>
        <w:tc>
          <w:tcPr>
            <w:tcW w:w="1403" w:type="pct"/>
            <w:tcMar>
              <w:top w:w="60" w:type="dxa"/>
              <w:left w:w="120" w:type="dxa"/>
              <w:bottom w:w="30" w:type="dxa"/>
              <w:right w:w="120" w:type="dxa"/>
            </w:tcMar>
          </w:tcPr>
          <w:p w14:paraId="73F2628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延迟器</w:t>
            </w:r>
          </w:p>
        </w:tc>
        <w:tc>
          <w:tcPr>
            <w:tcW w:w="1101" w:type="pct"/>
            <w:tcMar>
              <w:top w:w="60" w:type="dxa"/>
              <w:left w:w="120" w:type="dxa"/>
              <w:bottom w:w="30" w:type="dxa"/>
              <w:right w:w="120" w:type="dxa"/>
            </w:tcMar>
          </w:tcPr>
          <w:p w14:paraId="5AB5446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报警阀配套</w:t>
            </w:r>
          </w:p>
        </w:tc>
        <w:tc>
          <w:tcPr>
            <w:tcW w:w="301" w:type="pct"/>
            <w:tcMar>
              <w:top w:w="60" w:type="dxa"/>
              <w:left w:w="120" w:type="dxa"/>
              <w:bottom w:w="30" w:type="dxa"/>
              <w:right w:w="120" w:type="dxa"/>
            </w:tcMar>
          </w:tcPr>
          <w:p w14:paraId="58682CF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4C4A6A4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73A68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3A318CE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58</w:t>
            </w:r>
          </w:p>
        </w:tc>
        <w:tc>
          <w:tcPr>
            <w:tcW w:w="1226" w:type="pct"/>
            <w:tcMar>
              <w:top w:w="60" w:type="dxa"/>
              <w:left w:w="120" w:type="dxa"/>
              <w:bottom w:w="30" w:type="dxa"/>
              <w:right w:w="120" w:type="dxa"/>
            </w:tcMar>
          </w:tcPr>
          <w:p w14:paraId="017FCF4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自动喷水灭火系统</w:t>
            </w:r>
          </w:p>
        </w:tc>
        <w:tc>
          <w:tcPr>
            <w:tcW w:w="1403" w:type="pct"/>
            <w:tcMar>
              <w:top w:w="60" w:type="dxa"/>
              <w:left w:w="120" w:type="dxa"/>
              <w:bottom w:w="30" w:type="dxa"/>
              <w:right w:w="120" w:type="dxa"/>
            </w:tcMar>
          </w:tcPr>
          <w:p w14:paraId="4B202EF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水力警铃</w:t>
            </w:r>
          </w:p>
        </w:tc>
        <w:tc>
          <w:tcPr>
            <w:tcW w:w="1101" w:type="pct"/>
            <w:tcMar>
              <w:top w:w="60" w:type="dxa"/>
              <w:left w:w="120" w:type="dxa"/>
              <w:bottom w:w="30" w:type="dxa"/>
              <w:right w:w="120" w:type="dxa"/>
            </w:tcMar>
          </w:tcPr>
          <w:p w14:paraId="41D3C1F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报警阀配套</w:t>
            </w:r>
          </w:p>
        </w:tc>
        <w:tc>
          <w:tcPr>
            <w:tcW w:w="301" w:type="pct"/>
            <w:tcMar>
              <w:top w:w="60" w:type="dxa"/>
              <w:left w:w="120" w:type="dxa"/>
              <w:bottom w:w="30" w:type="dxa"/>
              <w:right w:w="120" w:type="dxa"/>
            </w:tcMar>
          </w:tcPr>
          <w:p w14:paraId="33A305A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330FF5E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4F21E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2E89638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59</w:t>
            </w:r>
          </w:p>
        </w:tc>
        <w:tc>
          <w:tcPr>
            <w:tcW w:w="1226" w:type="pct"/>
            <w:tcMar>
              <w:top w:w="60" w:type="dxa"/>
              <w:left w:w="120" w:type="dxa"/>
              <w:bottom w:w="30" w:type="dxa"/>
              <w:right w:w="120" w:type="dxa"/>
            </w:tcMar>
          </w:tcPr>
          <w:p w14:paraId="36849BE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自动喷水灭火系统</w:t>
            </w:r>
          </w:p>
        </w:tc>
        <w:tc>
          <w:tcPr>
            <w:tcW w:w="1403" w:type="pct"/>
            <w:tcMar>
              <w:top w:w="60" w:type="dxa"/>
              <w:left w:w="120" w:type="dxa"/>
              <w:bottom w:w="30" w:type="dxa"/>
              <w:right w:w="120" w:type="dxa"/>
            </w:tcMar>
          </w:tcPr>
          <w:p w14:paraId="4A345DA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报警阀过滤器</w:t>
            </w:r>
          </w:p>
        </w:tc>
        <w:tc>
          <w:tcPr>
            <w:tcW w:w="1101" w:type="pct"/>
            <w:tcMar>
              <w:top w:w="60" w:type="dxa"/>
              <w:left w:w="120" w:type="dxa"/>
              <w:bottom w:w="30" w:type="dxa"/>
              <w:right w:w="120" w:type="dxa"/>
            </w:tcMar>
          </w:tcPr>
          <w:p w14:paraId="43043ED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报警阀配套</w:t>
            </w:r>
          </w:p>
        </w:tc>
        <w:tc>
          <w:tcPr>
            <w:tcW w:w="301" w:type="pct"/>
            <w:tcMar>
              <w:top w:w="60" w:type="dxa"/>
              <w:left w:w="120" w:type="dxa"/>
              <w:bottom w:w="30" w:type="dxa"/>
              <w:right w:w="120" w:type="dxa"/>
            </w:tcMar>
          </w:tcPr>
          <w:p w14:paraId="13ADB71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5EEAC35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17BDF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77E5B75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60</w:t>
            </w:r>
          </w:p>
        </w:tc>
        <w:tc>
          <w:tcPr>
            <w:tcW w:w="1226" w:type="pct"/>
            <w:tcMar>
              <w:top w:w="60" w:type="dxa"/>
              <w:left w:w="120" w:type="dxa"/>
              <w:bottom w:w="30" w:type="dxa"/>
              <w:right w:w="120" w:type="dxa"/>
            </w:tcMar>
          </w:tcPr>
          <w:p w14:paraId="65F38FE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自动喷水灭火系统</w:t>
            </w:r>
          </w:p>
        </w:tc>
        <w:tc>
          <w:tcPr>
            <w:tcW w:w="1403" w:type="pct"/>
            <w:tcMar>
              <w:top w:w="60" w:type="dxa"/>
              <w:left w:w="120" w:type="dxa"/>
              <w:bottom w:w="30" w:type="dxa"/>
              <w:right w:w="120" w:type="dxa"/>
            </w:tcMar>
          </w:tcPr>
          <w:p w14:paraId="4D2B835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信号阀</w:t>
            </w:r>
          </w:p>
        </w:tc>
        <w:tc>
          <w:tcPr>
            <w:tcW w:w="1101" w:type="pct"/>
            <w:tcMar>
              <w:top w:w="60" w:type="dxa"/>
              <w:left w:w="120" w:type="dxa"/>
              <w:bottom w:w="30" w:type="dxa"/>
              <w:right w:w="120" w:type="dxa"/>
            </w:tcMar>
          </w:tcPr>
          <w:p w14:paraId="4620CEF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DN65/DN100/DN150</w:t>
            </w:r>
          </w:p>
        </w:tc>
        <w:tc>
          <w:tcPr>
            <w:tcW w:w="301" w:type="pct"/>
            <w:tcMar>
              <w:top w:w="60" w:type="dxa"/>
              <w:left w:w="120" w:type="dxa"/>
              <w:bottom w:w="30" w:type="dxa"/>
              <w:right w:w="120" w:type="dxa"/>
            </w:tcMar>
          </w:tcPr>
          <w:p w14:paraId="3C7B528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23218A7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5CB7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1ABEF6F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61</w:t>
            </w:r>
          </w:p>
        </w:tc>
        <w:tc>
          <w:tcPr>
            <w:tcW w:w="1226" w:type="pct"/>
            <w:tcMar>
              <w:top w:w="60" w:type="dxa"/>
              <w:left w:w="120" w:type="dxa"/>
              <w:bottom w:w="30" w:type="dxa"/>
              <w:right w:w="120" w:type="dxa"/>
            </w:tcMar>
          </w:tcPr>
          <w:p w14:paraId="59BA9DD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消防水炮系统</w:t>
            </w:r>
          </w:p>
        </w:tc>
        <w:tc>
          <w:tcPr>
            <w:tcW w:w="1403" w:type="pct"/>
            <w:tcMar>
              <w:top w:w="60" w:type="dxa"/>
              <w:left w:w="120" w:type="dxa"/>
              <w:bottom w:w="30" w:type="dxa"/>
              <w:right w:w="120" w:type="dxa"/>
            </w:tcMar>
          </w:tcPr>
          <w:p w14:paraId="5E54C82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消防水炮炮体</w:t>
            </w:r>
          </w:p>
        </w:tc>
        <w:tc>
          <w:tcPr>
            <w:tcW w:w="1101" w:type="pct"/>
            <w:tcMar>
              <w:top w:w="60" w:type="dxa"/>
              <w:left w:w="120" w:type="dxa"/>
              <w:bottom w:w="30" w:type="dxa"/>
              <w:right w:w="120" w:type="dxa"/>
            </w:tcMar>
          </w:tcPr>
          <w:p w14:paraId="71AB5D1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0635741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台</w:t>
            </w:r>
          </w:p>
        </w:tc>
        <w:tc>
          <w:tcPr>
            <w:tcW w:w="570" w:type="pct"/>
            <w:tcMar>
              <w:top w:w="60" w:type="dxa"/>
              <w:left w:w="120" w:type="dxa"/>
              <w:bottom w:w="30" w:type="dxa"/>
              <w:right w:w="120" w:type="dxa"/>
            </w:tcMar>
          </w:tcPr>
          <w:p w14:paraId="788B738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2A326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168053F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62</w:t>
            </w:r>
          </w:p>
        </w:tc>
        <w:tc>
          <w:tcPr>
            <w:tcW w:w="1226" w:type="pct"/>
            <w:tcMar>
              <w:top w:w="60" w:type="dxa"/>
              <w:left w:w="120" w:type="dxa"/>
              <w:bottom w:w="30" w:type="dxa"/>
              <w:right w:w="120" w:type="dxa"/>
            </w:tcMar>
          </w:tcPr>
          <w:p w14:paraId="3AD5B72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消防水炮系统</w:t>
            </w:r>
          </w:p>
        </w:tc>
        <w:tc>
          <w:tcPr>
            <w:tcW w:w="1403" w:type="pct"/>
            <w:tcMar>
              <w:top w:w="60" w:type="dxa"/>
              <w:left w:w="120" w:type="dxa"/>
              <w:bottom w:w="30" w:type="dxa"/>
              <w:right w:w="120" w:type="dxa"/>
            </w:tcMar>
          </w:tcPr>
          <w:p w14:paraId="3AF505D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消防水炮电磁阀</w:t>
            </w:r>
          </w:p>
        </w:tc>
        <w:tc>
          <w:tcPr>
            <w:tcW w:w="1101" w:type="pct"/>
            <w:tcMar>
              <w:top w:w="60" w:type="dxa"/>
              <w:left w:w="120" w:type="dxa"/>
              <w:bottom w:w="30" w:type="dxa"/>
              <w:right w:w="120" w:type="dxa"/>
            </w:tcMar>
          </w:tcPr>
          <w:p w14:paraId="49085A8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435BE77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0E34E15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3FCC5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032AD14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63</w:t>
            </w:r>
          </w:p>
        </w:tc>
        <w:tc>
          <w:tcPr>
            <w:tcW w:w="1226" w:type="pct"/>
            <w:tcMar>
              <w:top w:w="60" w:type="dxa"/>
              <w:left w:w="120" w:type="dxa"/>
              <w:bottom w:w="30" w:type="dxa"/>
              <w:right w:w="120" w:type="dxa"/>
            </w:tcMar>
          </w:tcPr>
          <w:p w14:paraId="7A37857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消防水炮系统</w:t>
            </w:r>
          </w:p>
        </w:tc>
        <w:tc>
          <w:tcPr>
            <w:tcW w:w="1403" w:type="pct"/>
            <w:tcMar>
              <w:top w:w="60" w:type="dxa"/>
              <w:left w:w="120" w:type="dxa"/>
              <w:bottom w:w="30" w:type="dxa"/>
              <w:right w:w="120" w:type="dxa"/>
            </w:tcMar>
          </w:tcPr>
          <w:p w14:paraId="3DFBBD4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消防水炮电动阀</w:t>
            </w:r>
          </w:p>
        </w:tc>
        <w:tc>
          <w:tcPr>
            <w:tcW w:w="1101" w:type="pct"/>
            <w:tcMar>
              <w:top w:w="60" w:type="dxa"/>
              <w:left w:w="120" w:type="dxa"/>
              <w:bottom w:w="30" w:type="dxa"/>
              <w:right w:w="120" w:type="dxa"/>
            </w:tcMar>
          </w:tcPr>
          <w:p w14:paraId="3293F95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59FF827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486EB13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58F72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03CA548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64</w:t>
            </w:r>
          </w:p>
        </w:tc>
        <w:tc>
          <w:tcPr>
            <w:tcW w:w="1226" w:type="pct"/>
            <w:tcMar>
              <w:top w:w="60" w:type="dxa"/>
              <w:left w:w="120" w:type="dxa"/>
              <w:bottom w:w="30" w:type="dxa"/>
              <w:right w:w="120" w:type="dxa"/>
            </w:tcMar>
          </w:tcPr>
          <w:p w14:paraId="110E325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消防水炮系统</w:t>
            </w:r>
          </w:p>
        </w:tc>
        <w:tc>
          <w:tcPr>
            <w:tcW w:w="1403" w:type="pct"/>
            <w:tcMar>
              <w:top w:w="60" w:type="dxa"/>
              <w:left w:w="120" w:type="dxa"/>
              <w:bottom w:w="30" w:type="dxa"/>
              <w:right w:w="120" w:type="dxa"/>
            </w:tcMar>
          </w:tcPr>
          <w:p w14:paraId="34B9739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消防水炮控制阀（检修阀/控制阀）</w:t>
            </w:r>
          </w:p>
        </w:tc>
        <w:tc>
          <w:tcPr>
            <w:tcW w:w="1101" w:type="pct"/>
            <w:tcMar>
              <w:top w:w="60" w:type="dxa"/>
              <w:left w:w="120" w:type="dxa"/>
              <w:bottom w:w="30" w:type="dxa"/>
              <w:right w:w="120" w:type="dxa"/>
            </w:tcMar>
          </w:tcPr>
          <w:p w14:paraId="162BF7C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3A63FCF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182A8D5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17574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6AEE4C9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65</w:t>
            </w:r>
          </w:p>
        </w:tc>
        <w:tc>
          <w:tcPr>
            <w:tcW w:w="1226" w:type="pct"/>
            <w:tcMar>
              <w:top w:w="60" w:type="dxa"/>
              <w:left w:w="120" w:type="dxa"/>
              <w:bottom w:w="30" w:type="dxa"/>
              <w:right w:w="120" w:type="dxa"/>
            </w:tcMar>
          </w:tcPr>
          <w:p w14:paraId="5945D94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消防水炮系统</w:t>
            </w:r>
          </w:p>
        </w:tc>
        <w:tc>
          <w:tcPr>
            <w:tcW w:w="1403" w:type="pct"/>
            <w:tcMar>
              <w:top w:w="60" w:type="dxa"/>
              <w:left w:w="120" w:type="dxa"/>
              <w:bottom w:w="30" w:type="dxa"/>
              <w:right w:w="120" w:type="dxa"/>
            </w:tcMar>
          </w:tcPr>
          <w:p w14:paraId="0735856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消防水炮探测器（感光探测组件）</w:t>
            </w:r>
          </w:p>
        </w:tc>
        <w:tc>
          <w:tcPr>
            <w:tcW w:w="1101" w:type="pct"/>
            <w:tcMar>
              <w:top w:w="60" w:type="dxa"/>
              <w:left w:w="120" w:type="dxa"/>
              <w:bottom w:w="30" w:type="dxa"/>
              <w:right w:w="120" w:type="dxa"/>
            </w:tcMar>
          </w:tcPr>
          <w:p w14:paraId="132389E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393633A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208B11F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61C87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33E08FF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66</w:t>
            </w:r>
          </w:p>
        </w:tc>
        <w:tc>
          <w:tcPr>
            <w:tcW w:w="1226" w:type="pct"/>
            <w:tcMar>
              <w:top w:w="60" w:type="dxa"/>
              <w:left w:w="120" w:type="dxa"/>
              <w:bottom w:w="30" w:type="dxa"/>
              <w:right w:w="120" w:type="dxa"/>
            </w:tcMar>
          </w:tcPr>
          <w:p w14:paraId="3E0EE89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消防水炮系统</w:t>
            </w:r>
          </w:p>
        </w:tc>
        <w:tc>
          <w:tcPr>
            <w:tcW w:w="1403" w:type="pct"/>
            <w:tcMar>
              <w:top w:w="60" w:type="dxa"/>
              <w:left w:w="120" w:type="dxa"/>
              <w:bottom w:w="30" w:type="dxa"/>
              <w:right w:w="120" w:type="dxa"/>
            </w:tcMar>
          </w:tcPr>
          <w:p w14:paraId="18C9DFA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消防水炮控制柜</w:t>
            </w:r>
          </w:p>
        </w:tc>
        <w:tc>
          <w:tcPr>
            <w:tcW w:w="1101" w:type="pct"/>
            <w:tcMar>
              <w:top w:w="60" w:type="dxa"/>
              <w:left w:w="120" w:type="dxa"/>
              <w:bottom w:w="30" w:type="dxa"/>
              <w:right w:w="120" w:type="dxa"/>
            </w:tcMar>
          </w:tcPr>
          <w:p w14:paraId="6108E39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5DC1992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台</w:t>
            </w:r>
          </w:p>
        </w:tc>
        <w:tc>
          <w:tcPr>
            <w:tcW w:w="570" w:type="pct"/>
            <w:tcMar>
              <w:top w:w="60" w:type="dxa"/>
              <w:left w:w="120" w:type="dxa"/>
              <w:bottom w:w="30" w:type="dxa"/>
              <w:right w:w="120" w:type="dxa"/>
            </w:tcMar>
          </w:tcPr>
          <w:p w14:paraId="04292A8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790AC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737A5A9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67</w:t>
            </w:r>
          </w:p>
        </w:tc>
        <w:tc>
          <w:tcPr>
            <w:tcW w:w="1226" w:type="pct"/>
            <w:tcMar>
              <w:top w:w="60" w:type="dxa"/>
              <w:left w:w="120" w:type="dxa"/>
              <w:bottom w:w="30" w:type="dxa"/>
              <w:right w:w="120" w:type="dxa"/>
            </w:tcMar>
          </w:tcPr>
          <w:p w14:paraId="657B44C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消防水炮系统</w:t>
            </w:r>
          </w:p>
        </w:tc>
        <w:tc>
          <w:tcPr>
            <w:tcW w:w="1403" w:type="pct"/>
            <w:tcMar>
              <w:top w:w="60" w:type="dxa"/>
              <w:left w:w="120" w:type="dxa"/>
              <w:bottom w:w="30" w:type="dxa"/>
              <w:right w:w="120" w:type="dxa"/>
            </w:tcMar>
          </w:tcPr>
          <w:p w14:paraId="7560EF2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消防水炮现场控制箱</w:t>
            </w:r>
          </w:p>
        </w:tc>
        <w:tc>
          <w:tcPr>
            <w:tcW w:w="1101" w:type="pct"/>
            <w:tcMar>
              <w:top w:w="60" w:type="dxa"/>
              <w:left w:w="120" w:type="dxa"/>
              <w:bottom w:w="30" w:type="dxa"/>
              <w:right w:w="120" w:type="dxa"/>
            </w:tcMar>
          </w:tcPr>
          <w:p w14:paraId="0A96FFD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0B2E6C5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台</w:t>
            </w:r>
          </w:p>
        </w:tc>
        <w:tc>
          <w:tcPr>
            <w:tcW w:w="570" w:type="pct"/>
            <w:tcMar>
              <w:top w:w="60" w:type="dxa"/>
              <w:left w:w="120" w:type="dxa"/>
              <w:bottom w:w="30" w:type="dxa"/>
              <w:right w:w="120" w:type="dxa"/>
            </w:tcMar>
          </w:tcPr>
          <w:p w14:paraId="5B99F13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5BD0A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3150393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68</w:t>
            </w:r>
          </w:p>
        </w:tc>
        <w:tc>
          <w:tcPr>
            <w:tcW w:w="1226" w:type="pct"/>
            <w:tcMar>
              <w:top w:w="60" w:type="dxa"/>
              <w:left w:w="120" w:type="dxa"/>
              <w:bottom w:w="30" w:type="dxa"/>
              <w:right w:w="120" w:type="dxa"/>
            </w:tcMar>
          </w:tcPr>
          <w:p w14:paraId="76DE706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气体灭火系统</w:t>
            </w:r>
          </w:p>
        </w:tc>
        <w:tc>
          <w:tcPr>
            <w:tcW w:w="1403" w:type="pct"/>
            <w:tcMar>
              <w:top w:w="60" w:type="dxa"/>
              <w:left w:w="120" w:type="dxa"/>
              <w:bottom w:w="30" w:type="dxa"/>
              <w:right w:w="120" w:type="dxa"/>
            </w:tcMar>
          </w:tcPr>
          <w:p w14:paraId="58B9B6A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七氟丙烷灭火剂（充装）</w:t>
            </w:r>
          </w:p>
        </w:tc>
        <w:tc>
          <w:tcPr>
            <w:tcW w:w="1101" w:type="pct"/>
            <w:tcMar>
              <w:top w:w="60" w:type="dxa"/>
              <w:left w:w="120" w:type="dxa"/>
              <w:bottom w:w="30" w:type="dxa"/>
              <w:right w:w="120" w:type="dxa"/>
            </w:tcMar>
          </w:tcPr>
          <w:p w14:paraId="088A0C2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HFC-227ea</w:t>
            </w:r>
          </w:p>
        </w:tc>
        <w:tc>
          <w:tcPr>
            <w:tcW w:w="301" w:type="pct"/>
            <w:tcMar>
              <w:top w:w="60" w:type="dxa"/>
              <w:left w:w="120" w:type="dxa"/>
              <w:bottom w:w="30" w:type="dxa"/>
              <w:right w:w="120" w:type="dxa"/>
            </w:tcMar>
          </w:tcPr>
          <w:p w14:paraId="5C82741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公斤</w:t>
            </w:r>
          </w:p>
        </w:tc>
        <w:tc>
          <w:tcPr>
            <w:tcW w:w="570" w:type="pct"/>
            <w:tcMar>
              <w:top w:w="60" w:type="dxa"/>
              <w:left w:w="120" w:type="dxa"/>
              <w:bottom w:w="30" w:type="dxa"/>
              <w:right w:w="120" w:type="dxa"/>
            </w:tcMar>
          </w:tcPr>
          <w:p w14:paraId="280909D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4CBBF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0BF2D44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69</w:t>
            </w:r>
          </w:p>
        </w:tc>
        <w:tc>
          <w:tcPr>
            <w:tcW w:w="1226" w:type="pct"/>
            <w:tcMar>
              <w:top w:w="60" w:type="dxa"/>
              <w:left w:w="120" w:type="dxa"/>
              <w:bottom w:w="30" w:type="dxa"/>
              <w:right w:w="120" w:type="dxa"/>
            </w:tcMar>
          </w:tcPr>
          <w:p w14:paraId="49054FF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气体灭火系统</w:t>
            </w:r>
          </w:p>
        </w:tc>
        <w:tc>
          <w:tcPr>
            <w:tcW w:w="1403" w:type="pct"/>
            <w:tcMar>
              <w:top w:w="60" w:type="dxa"/>
              <w:left w:w="120" w:type="dxa"/>
              <w:bottom w:w="30" w:type="dxa"/>
              <w:right w:w="120" w:type="dxa"/>
            </w:tcMar>
          </w:tcPr>
          <w:p w14:paraId="5EAC20E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灭火剂瓶组（含钢瓶、瓶头阀）</w:t>
            </w:r>
          </w:p>
        </w:tc>
        <w:tc>
          <w:tcPr>
            <w:tcW w:w="1101" w:type="pct"/>
            <w:tcMar>
              <w:top w:w="60" w:type="dxa"/>
              <w:left w:w="120" w:type="dxa"/>
              <w:bottom w:w="30" w:type="dxa"/>
              <w:right w:w="120" w:type="dxa"/>
            </w:tcMar>
          </w:tcPr>
          <w:p w14:paraId="0677279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3583B25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套</w:t>
            </w:r>
          </w:p>
        </w:tc>
        <w:tc>
          <w:tcPr>
            <w:tcW w:w="570" w:type="pct"/>
            <w:tcMar>
              <w:top w:w="60" w:type="dxa"/>
              <w:left w:w="120" w:type="dxa"/>
              <w:bottom w:w="30" w:type="dxa"/>
              <w:right w:w="120" w:type="dxa"/>
            </w:tcMar>
          </w:tcPr>
          <w:p w14:paraId="0EC6FB3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3AAAA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1CE4AA6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70</w:t>
            </w:r>
          </w:p>
        </w:tc>
        <w:tc>
          <w:tcPr>
            <w:tcW w:w="1226" w:type="pct"/>
            <w:tcMar>
              <w:top w:w="60" w:type="dxa"/>
              <w:left w:w="120" w:type="dxa"/>
              <w:bottom w:w="30" w:type="dxa"/>
              <w:right w:w="120" w:type="dxa"/>
            </w:tcMar>
          </w:tcPr>
          <w:p w14:paraId="7F72D80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气体灭火系统</w:t>
            </w:r>
          </w:p>
        </w:tc>
        <w:tc>
          <w:tcPr>
            <w:tcW w:w="1403" w:type="pct"/>
            <w:tcMar>
              <w:top w:w="60" w:type="dxa"/>
              <w:left w:w="120" w:type="dxa"/>
              <w:bottom w:w="30" w:type="dxa"/>
              <w:right w:w="120" w:type="dxa"/>
            </w:tcMar>
          </w:tcPr>
          <w:p w14:paraId="6AADE1B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驱动气体瓶组（含氮气充装）</w:t>
            </w:r>
          </w:p>
        </w:tc>
        <w:tc>
          <w:tcPr>
            <w:tcW w:w="1101" w:type="pct"/>
            <w:tcMar>
              <w:top w:w="60" w:type="dxa"/>
              <w:left w:w="120" w:type="dxa"/>
              <w:bottom w:w="30" w:type="dxa"/>
              <w:right w:w="120" w:type="dxa"/>
            </w:tcMar>
          </w:tcPr>
          <w:p w14:paraId="0AF032C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6152295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套</w:t>
            </w:r>
          </w:p>
        </w:tc>
        <w:tc>
          <w:tcPr>
            <w:tcW w:w="570" w:type="pct"/>
            <w:tcMar>
              <w:top w:w="60" w:type="dxa"/>
              <w:left w:w="120" w:type="dxa"/>
              <w:bottom w:w="30" w:type="dxa"/>
              <w:right w:w="120" w:type="dxa"/>
            </w:tcMar>
          </w:tcPr>
          <w:p w14:paraId="17CAFEE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4782D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3713863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71</w:t>
            </w:r>
          </w:p>
        </w:tc>
        <w:tc>
          <w:tcPr>
            <w:tcW w:w="1226" w:type="pct"/>
            <w:tcMar>
              <w:top w:w="60" w:type="dxa"/>
              <w:left w:w="120" w:type="dxa"/>
              <w:bottom w:w="30" w:type="dxa"/>
              <w:right w:w="120" w:type="dxa"/>
            </w:tcMar>
          </w:tcPr>
          <w:p w14:paraId="26DD75C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气体灭火系统</w:t>
            </w:r>
          </w:p>
        </w:tc>
        <w:tc>
          <w:tcPr>
            <w:tcW w:w="1403" w:type="pct"/>
            <w:tcMar>
              <w:top w:w="60" w:type="dxa"/>
              <w:left w:w="120" w:type="dxa"/>
              <w:bottom w:w="30" w:type="dxa"/>
              <w:right w:w="120" w:type="dxa"/>
            </w:tcMar>
          </w:tcPr>
          <w:p w14:paraId="1FA270C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气体灭火控制器（单防区）</w:t>
            </w:r>
          </w:p>
        </w:tc>
        <w:tc>
          <w:tcPr>
            <w:tcW w:w="1101" w:type="pct"/>
            <w:tcMar>
              <w:top w:w="60" w:type="dxa"/>
              <w:left w:w="120" w:type="dxa"/>
              <w:bottom w:w="30" w:type="dxa"/>
              <w:right w:w="120" w:type="dxa"/>
            </w:tcMar>
          </w:tcPr>
          <w:p w14:paraId="6F3A2B9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一区壁挂式</w:t>
            </w:r>
          </w:p>
        </w:tc>
        <w:tc>
          <w:tcPr>
            <w:tcW w:w="301" w:type="pct"/>
            <w:tcMar>
              <w:top w:w="60" w:type="dxa"/>
              <w:left w:w="120" w:type="dxa"/>
              <w:bottom w:w="30" w:type="dxa"/>
              <w:right w:w="120" w:type="dxa"/>
            </w:tcMar>
          </w:tcPr>
          <w:p w14:paraId="49AC853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台</w:t>
            </w:r>
          </w:p>
        </w:tc>
        <w:tc>
          <w:tcPr>
            <w:tcW w:w="570" w:type="pct"/>
            <w:tcMar>
              <w:top w:w="60" w:type="dxa"/>
              <w:left w:w="120" w:type="dxa"/>
              <w:bottom w:w="30" w:type="dxa"/>
              <w:right w:w="120" w:type="dxa"/>
            </w:tcMar>
          </w:tcPr>
          <w:p w14:paraId="4A15DCC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351DF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0AA2379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72</w:t>
            </w:r>
          </w:p>
        </w:tc>
        <w:tc>
          <w:tcPr>
            <w:tcW w:w="1226" w:type="pct"/>
            <w:tcMar>
              <w:top w:w="60" w:type="dxa"/>
              <w:left w:w="120" w:type="dxa"/>
              <w:bottom w:w="30" w:type="dxa"/>
              <w:right w:w="120" w:type="dxa"/>
            </w:tcMar>
          </w:tcPr>
          <w:p w14:paraId="6367B78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气体灭火系统</w:t>
            </w:r>
          </w:p>
        </w:tc>
        <w:tc>
          <w:tcPr>
            <w:tcW w:w="1403" w:type="pct"/>
            <w:tcMar>
              <w:top w:w="60" w:type="dxa"/>
              <w:left w:w="120" w:type="dxa"/>
              <w:bottom w:w="30" w:type="dxa"/>
              <w:right w:w="120" w:type="dxa"/>
            </w:tcMar>
          </w:tcPr>
          <w:p w14:paraId="7C057F2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气体灭火控制器（四防区）</w:t>
            </w:r>
          </w:p>
        </w:tc>
        <w:tc>
          <w:tcPr>
            <w:tcW w:w="1101" w:type="pct"/>
            <w:tcMar>
              <w:top w:w="60" w:type="dxa"/>
              <w:left w:w="120" w:type="dxa"/>
              <w:bottom w:w="30" w:type="dxa"/>
              <w:right w:w="120" w:type="dxa"/>
            </w:tcMar>
          </w:tcPr>
          <w:p w14:paraId="7F21EFF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四区壁挂式</w:t>
            </w:r>
          </w:p>
        </w:tc>
        <w:tc>
          <w:tcPr>
            <w:tcW w:w="301" w:type="pct"/>
            <w:tcMar>
              <w:top w:w="60" w:type="dxa"/>
              <w:left w:w="120" w:type="dxa"/>
              <w:bottom w:w="30" w:type="dxa"/>
              <w:right w:w="120" w:type="dxa"/>
            </w:tcMar>
          </w:tcPr>
          <w:p w14:paraId="386DCB1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台</w:t>
            </w:r>
          </w:p>
        </w:tc>
        <w:tc>
          <w:tcPr>
            <w:tcW w:w="570" w:type="pct"/>
            <w:tcMar>
              <w:top w:w="60" w:type="dxa"/>
              <w:left w:w="120" w:type="dxa"/>
              <w:bottom w:w="30" w:type="dxa"/>
              <w:right w:w="120" w:type="dxa"/>
            </w:tcMar>
          </w:tcPr>
          <w:p w14:paraId="48028D5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2A86B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6469DB3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73</w:t>
            </w:r>
          </w:p>
        </w:tc>
        <w:tc>
          <w:tcPr>
            <w:tcW w:w="1226" w:type="pct"/>
            <w:tcMar>
              <w:top w:w="60" w:type="dxa"/>
              <w:left w:w="120" w:type="dxa"/>
              <w:bottom w:w="30" w:type="dxa"/>
              <w:right w:w="120" w:type="dxa"/>
            </w:tcMar>
          </w:tcPr>
          <w:p w14:paraId="592CFD0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气体灭火系统</w:t>
            </w:r>
          </w:p>
        </w:tc>
        <w:tc>
          <w:tcPr>
            <w:tcW w:w="1403" w:type="pct"/>
            <w:tcMar>
              <w:top w:w="60" w:type="dxa"/>
              <w:left w:w="120" w:type="dxa"/>
              <w:bottom w:w="30" w:type="dxa"/>
              <w:right w:w="120" w:type="dxa"/>
            </w:tcMar>
          </w:tcPr>
          <w:p w14:paraId="05F83B9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紧急启/停按钮</w:t>
            </w:r>
          </w:p>
        </w:tc>
        <w:tc>
          <w:tcPr>
            <w:tcW w:w="1101" w:type="pct"/>
            <w:tcMar>
              <w:top w:w="60" w:type="dxa"/>
              <w:left w:w="120" w:type="dxa"/>
              <w:bottom w:w="30" w:type="dxa"/>
              <w:right w:w="120" w:type="dxa"/>
            </w:tcMar>
          </w:tcPr>
          <w:p w14:paraId="76AFE88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气体灭火专用</w:t>
            </w:r>
          </w:p>
        </w:tc>
        <w:tc>
          <w:tcPr>
            <w:tcW w:w="301" w:type="pct"/>
            <w:tcMar>
              <w:top w:w="60" w:type="dxa"/>
              <w:left w:w="120" w:type="dxa"/>
              <w:bottom w:w="30" w:type="dxa"/>
              <w:right w:w="120" w:type="dxa"/>
            </w:tcMar>
          </w:tcPr>
          <w:p w14:paraId="03DD0EC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28C8307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064BA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52B11BD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74</w:t>
            </w:r>
          </w:p>
        </w:tc>
        <w:tc>
          <w:tcPr>
            <w:tcW w:w="1226" w:type="pct"/>
            <w:tcMar>
              <w:top w:w="60" w:type="dxa"/>
              <w:left w:w="120" w:type="dxa"/>
              <w:bottom w:w="30" w:type="dxa"/>
              <w:right w:w="120" w:type="dxa"/>
            </w:tcMar>
          </w:tcPr>
          <w:p w14:paraId="41B3C27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气体灭火系统</w:t>
            </w:r>
          </w:p>
        </w:tc>
        <w:tc>
          <w:tcPr>
            <w:tcW w:w="1403" w:type="pct"/>
            <w:tcMar>
              <w:top w:w="60" w:type="dxa"/>
              <w:left w:w="120" w:type="dxa"/>
              <w:bottom w:w="30" w:type="dxa"/>
              <w:right w:w="120" w:type="dxa"/>
            </w:tcMar>
          </w:tcPr>
          <w:p w14:paraId="3BC852A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手自动转换开关</w:t>
            </w:r>
          </w:p>
        </w:tc>
        <w:tc>
          <w:tcPr>
            <w:tcW w:w="1101" w:type="pct"/>
            <w:tcMar>
              <w:top w:w="60" w:type="dxa"/>
              <w:left w:w="120" w:type="dxa"/>
              <w:bottom w:w="30" w:type="dxa"/>
              <w:right w:w="120" w:type="dxa"/>
            </w:tcMar>
          </w:tcPr>
          <w:p w14:paraId="737A4B3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气体灭火专用</w:t>
            </w:r>
          </w:p>
        </w:tc>
        <w:tc>
          <w:tcPr>
            <w:tcW w:w="301" w:type="pct"/>
            <w:tcMar>
              <w:top w:w="60" w:type="dxa"/>
              <w:left w:w="120" w:type="dxa"/>
              <w:bottom w:w="30" w:type="dxa"/>
              <w:right w:w="120" w:type="dxa"/>
            </w:tcMar>
          </w:tcPr>
          <w:p w14:paraId="69A9B97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3A2F565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26CD6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7BC90CA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75</w:t>
            </w:r>
          </w:p>
        </w:tc>
        <w:tc>
          <w:tcPr>
            <w:tcW w:w="1226" w:type="pct"/>
            <w:tcMar>
              <w:top w:w="60" w:type="dxa"/>
              <w:left w:w="120" w:type="dxa"/>
              <w:bottom w:w="30" w:type="dxa"/>
              <w:right w:w="120" w:type="dxa"/>
            </w:tcMar>
          </w:tcPr>
          <w:p w14:paraId="6396AE4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气体灭火系统</w:t>
            </w:r>
          </w:p>
        </w:tc>
        <w:tc>
          <w:tcPr>
            <w:tcW w:w="1403" w:type="pct"/>
            <w:tcMar>
              <w:top w:w="60" w:type="dxa"/>
              <w:left w:w="120" w:type="dxa"/>
              <w:bottom w:w="30" w:type="dxa"/>
              <w:right w:w="120" w:type="dxa"/>
            </w:tcMar>
          </w:tcPr>
          <w:p w14:paraId="5E7FF90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气体释放警报器</w:t>
            </w:r>
          </w:p>
        </w:tc>
        <w:tc>
          <w:tcPr>
            <w:tcW w:w="1101" w:type="pct"/>
            <w:tcMar>
              <w:top w:w="60" w:type="dxa"/>
              <w:left w:w="120" w:type="dxa"/>
              <w:bottom w:w="30" w:type="dxa"/>
              <w:right w:w="120" w:type="dxa"/>
            </w:tcMar>
          </w:tcPr>
          <w:p w14:paraId="5586ECE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气体灭火专用</w:t>
            </w:r>
          </w:p>
        </w:tc>
        <w:tc>
          <w:tcPr>
            <w:tcW w:w="301" w:type="pct"/>
            <w:tcMar>
              <w:top w:w="60" w:type="dxa"/>
              <w:left w:w="120" w:type="dxa"/>
              <w:bottom w:w="30" w:type="dxa"/>
              <w:right w:w="120" w:type="dxa"/>
            </w:tcMar>
          </w:tcPr>
          <w:p w14:paraId="027B048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56944F0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36E71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1DCDAC4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76</w:t>
            </w:r>
          </w:p>
        </w:tc>
        <w:tc>
          <w:tcPr>
            <w:tcW w:w="1226" w:type="pct"/>
            <w:tcMar>
              <w:top w:w="60" w:type="dxa"/>
              <w:left w:w="120" w:type="dxa"/>
              <w:bottom w:w="30" w:type="dxa"/>
              <w:right w:w="120" w:type="dxa"/>
            </w:tcMar>
          </w:tcPr>
          <w:p w14:paraId="38C33DF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气体灭火系统</w:t>
            </w:r>
          </w:p>
        </w:tc>
        <w:tc>
          <w:tcPr>
            <w:tcW w:w="1403" w:type="pct"/>
            <w:tcMar>
              <w:top w:w="60" w:type="dxa"/>
              <w:left w:w="120" w:type="dxa"/>
              <w:bottom w:w="30" w:type="dxa"/>
              <w:right w:w="120" w:type="dxa"/>
            </w:tcMar>
          </w:tcPr>
          <w:p w14:paraId="2308999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感烟探测器（气体灭火区专用）</w:t>
            </w:r>
          </w:p>
        </w:tc>
        <w:tc>
          <w:tcPr>
            <w:tcW w:w="1101" w:type="pct"/>
            <w:tcMar>
              <w:top w:w="60" w:type="dxa"/>
              <w:left w:w="120" w:type="dxa"/>
              <w:bottom w:w="30" w:type="dxa"/>
              <w:right w:w="120" w:type="dxa"/>
            </w:tcMar>
          </w:tcPr>
          <w:p w14:paraId="1F2C9DE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含底座</w:t>
            </w:r>
          </w:p>
        </w:tc>
        <w:tc>
          <w:tcPr>
            <w:tcW w:w="301" w:type="pct"/>
            <w:tcMar>
              <w:top w:w="60" w:type="dxa"/>
              <w:left w:w="120" w:type="dxa"/>
              <w:bottom w:w="30" w:type="dxa"/>
              <w:right w:w="120" w:type="dxa"/>
            </w:tcMar>
          </w:tcPr>
          <w:p w14:paraId="1220E4E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2358B79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47914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15F93EF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77</w:t>
            </w:r>
          </w:p>
        </w:tc>
        <w:tc>
          <w:tcPr>
            <w:tcW w:w="1226" w:type="pct"/>
            <w:tcMar>
              <w:top w:w="60" w:type="dxa"/>
              <w:left w:w="120" w:type="dxa"/>
              <w:bottom w:w="30" w:type="dxa"/>
              <w:right w:w="120" w:type="dxa"/>
            </w:tcMar>
          </w:tcPr>
          <w:p w14:paraId="6B18DB7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气体灭火系统</w:t>
            </w:r>
          </w:p>
        </w:tc>
        <w:tc>
          <w:tcPr>
            <w:tcW w:w="1403" w:type="pct"/>
            <w:tcMar>
              <w:top w:w="60" w:type="dxa"/>
              <w:left w:w="120" w:type="dxa"/>
              <w:bottom w:w="30" w:type="dxa"/>
              <w:right w:w="120" w:type="dxa"/>
            </w:tcMar>
          </w:tcPr>
          <w:p w14:paraId="7C67CFF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感温探测器（气体灭火器专用）</w:t>
            </w:r>
          </w:p>
        </w:tc>
        <w:tc>
          <w:tcPr>
            <w:tcW w:w="1101" w:type="pct"/>
            <w:tcMar>
              <w:top w:w="60" w:type="dxa"/>
              <w:left w:w="120" w:type="dxa"/>
              <w:bottom w:w="30" w:type="dxa"/>
              <w:right w:w="120" w:type="dxa"/>
            </w:tcMar>
          </w:tcPr>
          <w:p w14:paraId="2A68A83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含底座</w:t>
            </w:r>
          </w:p>
        </w:tc>
        <w:tc>
          <w:tcPr>
            <w:tcW w:w="301" w:type="pct"/>
            <w:tcMar>
              <w:top w:w="60" w:type="dxa"/>
              <w:left w:w="120" w:type="dxa"/>
              <w:bottom w:w="30" w:type="dxa"/>
              <w:right w:w="120" w:type="dxa"/>
            </w:tcMar>
          </w:tcPr>
          <w:p w14:paraId="1C1B62E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14658A1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468A3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2155C5F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78</w:t>
            </w:r>
          </w:p>
        </w:tc>
        <w:tc>
          <w:tcPr>
            <w:tcW w:w="1226" w:type="pct"/>
            <w:tcMar>
              <w:top w:w="60" w:type="dxa"/>
              <w:left w:w="120" w:type="dxa"/>
              <w:bottom w:w="30" w:type="dxa"/>
              <w:right w:w="120" w:type="dxa"/>
            </w:tcMar>
          </w:tcPr>
          <w:p w14:paraId="185BB6A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气体灭火系统</w:t>
            </w:r>
          </w:p>
        </w:tc>
        <w:tc>
          <w:tcPr>
            <w:tcW w:w="1403" w:type="pct"/>
            <w:tcMar>
              <w:top w:w="60" w:type="dxa"/>
              <w:left w:w="120" w:type="dxa"/>
              <w:bottom w:w="30" w:type="dxa"/>
              <w:right w:w="120" w:type="dxa"/>
            </w:tcMar>
          </w:tcPr>
          <w:p w14:paraId="4F4E3C1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气体灭火联网卡</w:t>
            </w:r>
          </w:p>
        </w:tc>
        <w:tc>
          <w:tcPr>
            <w:tcW w:w="1101" w:type="pct"/>
            <w:tcMar>
              <w:top w:w="60" w:type="dxa"/>
              <w:left w:w="120" w:type="dxa"/>
              <w:bottom w:w="30" w:type="dxa"/>
              <w:right w:w="120" w:type="dxa"/>
            </w:tcMar>
          </w:tcPr>
          <w:p w14:paraId="1B8E9C4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CAN接口</w:t>
            </w:r>
          </w:p>
        </w:tc>
        <w:tc>
          <w:tcPr>
            <w:tcW w:w="301" w:type="pct"/>
            <w:tcMar>
              <w:top w:w="60" w:type="dxa"/>
              <w:left w:w="120" w:type="dxa"/>
              <w:bottom w:w="30" w:type="dxa"/>
              <w:right w:w="120" w:type="dxa"/>
            </w:tcMar>
          </w:tcPr>
          <w:p w14:paraId="5C08040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块</w:t>
            </w:r>
          </w:p>
        </w:tc>
        <w:tc>
          <w:tcPr>
            <w:tcW w:w="570" w:type="pct"/>
            <w:tcMar>
              <w:top w:w="60" w:type="dxa"/>
              <w:left w:w="120" w:type="dxa"/>
              <w:bottom w:w="30" w:type="dxa"/>
              <w:right w:w="120" w:type="dxa"/>
            </w:tcMar>
          </w:tcPr>
          <w:p w14:paraId="198687A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7888B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683FC23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79</w:t>
            </w:r>
          </w:p>
        </w:tc>
        <w:tc>
          <w:tcPr>
            <w:tcW w:w="1226" w:type="pct"/>
            <w:tcMar>
              <w:top w:w="60" w:type="dxa"/>
              <w:left w:w="120" w:type="dxa"/>
              <w:bottom w:w="30" w:type="dxa"/>
              <w:right w:w="120" w:type="dxa"/>
            </w:tcMar>
          </w:tcPr>
          <w:p w14:paraId="036C7E2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气体灭火系统</w:t>
            </w:r>
          </w:p>
        </w:tc>
        <w:tc>
          <w:tcPr>
            <w:tcW w:w="1403" w:type="pct"/>
            <w:tcMar>
              <w:top w:w="60" w:type="dxa"/>
              <w:left w:w="120" w:type="dxa"/>
              <w:bottom w:w="30" w:type="dxa"/>
              <w:right w:w="120" w:type="dxa"/>
            </w:tcMar>
          </w:tcPr>
          <w:p w14:paraId="4F725EA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选择阀</w:t>
            </w:r>
          </w:p>
        </w:tc>
        <w:tc>
          <w:tcPr>
            <w:tcW w:w="1101" w:type="pct"/>
            <w:tcMar>
              <w:top w:w="60" w:type="dxa"/>
              <w:left w:w="120" w:type="dxa"/>
              <w:bottom w:w="30" w:type="dxa"/>
              <w:right w:w="120" w:type="dxa"/>
            </w:tcMar>
          </w:tcPr>
          <w:p w14:paraId="0A1535B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7AB4958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1FD640A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795E5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1DF4135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80</w:t>
            </w:r>
          </w:p>
        </w:tc>
        <w:tc>
          <w:tcPr>
            <w:tcW w:w="1226" w:type="pct"/>
            <w:tcMar>
              <w:top w:w="60" w:type="dxa"/>
              <w:left w:w="120" w:type="dxa"/>
              <w:bottom w:w="30" w:type="dxa"/>
              <w:right w:w="120" w:type="dxa"/>
            </w:tcMar>
          </w:tcPr>
          <w:p w14:paraId="687C2CE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气体灭火系统</w:t>
            </w:r>
          </w:p>
        </w:tc>
        <w:tc>
          <w:tcPr>
            <w:tcW w:w="1403" w:type="pct"/>
            <w:tcMar>
              <w:top w:w="60" w:type="dxa"/>
              <w:left w:w="120" w:type="dxa"/>
              <w:bottom w:w="30" w:type="dxa"/>
              <w:right w:w="120" w:type="dxa"/>
            </w:tcMar>
          </w:tcPr>
          <w:p w14:paraId="1D1D505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安全泄压阀</w:t>
            </w:r>
          </w:p>
        </w:tc>
        <w:tc>
          <w:tcPr>
            <w:tcW w:w="1101" w:type="pct"/>
            <w:tcMar>
              <w:top w:w="60" w:type="dxa"/>
              <w:left w:w="120" w:type="dxa"/>
              <w:bottom w:w="30" w:type="dxa"/>
              <w:right w:w="120" w:type="dxa"/>
            </w:tcMar>
          </w:tcPr>
          <w:p w14:paraId="6E0A8E8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1595E12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21485AD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2BC87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5F0FF50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81</w:t>
            </w:r>
          </w:p>
        </w:tc>
        <w:tc>
          <w:tcPr>
            <w:tcW w:w="1226" w:type="pct"/>
            <w:tcMar>
              <w:top w:w="60" w:type="dxa"/>
              <w:left w:w="120" w:type="dxa"/>
              <w:bottom w:w="30" w:type="dxa"/>
              <w:right w:w="120" w:type="dxa"/>
            </w:tcMar>
          </w:tcPr>
          <w:p w14:paraId="455A3D5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气体灭火系统</w:t>
            </w:r>
          </w:p>
        </w:tc>
        <w:tc>
          <w:tcPr>
            <w:tcW w:w="1403" w:type="pct"/>
            <w:tcMar>
              <w:top w:w="60" w:type="dxa"/>
              <w:left w:w="120" w:type="dxa"/>
              <w:bottom w:w="30" w:type="dxa"/>
              <w:right w:w="120" w:type="dxa"/>
            </w:tcMar>
          </w:tcPr>
          <w:p w14:paraId="0801A6A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压力信号器</w:t>
            </w:r>
          </w:p>
        </w:tc>
        <w:tc>
          <w:tcPr>
            <w:tcW w:w="1101" w:type="pct"/>
            <w:tcMar>
              <w:top w:w="60" w:type="dxa"/>
              <w:left w:w="120" w:type="dxa"/>
              <w:bottom w:w="30" w:type="dxa"/>
              <w:right w:w="120" w:type="dxa"/>
            </w:tcMar>
          </w:tcPr>
          <w:p w14:paraId="386E75E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1452206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1F8E6B2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6C7EE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14752C7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82</w:t>
            </w:r>
          </w:p>
        </w:tc>
        <w:tc>
          <w:tcPr>
            <w:tcW w:w="1226" w:type="pct"/>
            <w:tcMar>
              <w:top w:w="60" w:type="dxa"/>
              <w:left w:w="120" w:type="dxa"/>
              <w:bottom w:w="30" w:type="dxa"/>
              <w:right w:w="120" w:type="dxa"/>
            </w:tcMar>
          </w:tcPr>
          <w:p w14:paraId="3A656AC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气体灭火系统</w:t>
            </w:r>
          </w:p>
        </w:tc>
        <w:tc>
          <w:tcPr>
            <w:tcW w:w="1403" w:type="pct"/>
            <w:tcMar>
              <w:top w:w="60" w:type="dxa"/>
              <w:left w:w="120" w:type="dxa"/>
              <w:bottom w:w="30" w:type="dxa"/>
              <w:right w:w="120" w:type="dxa"/>
            </w:tcMar>
          </w:tcPr>
          <w:p w14:paraId="0DC071C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喷嘴</w:t>
            </w:r>
          </w:p>
        </w:tc>
        <w:tc>
          <w:tcPr>
            <w:tcW w:w="1101" w:type="pct"/>
            <w:tcMar>
              <w:top w:w="60" w:type="dxa"/>
              <w:left w:w="120" w:type="dxa"/>
              <w:bottom w:w="30" w:type="dxa"/>
              <w:right w:w="120" w:type="dxa"/>
            </w:tcMar>
          </w:tcPr>
          <w:p w14:paraId="598C77B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215B639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36F9D04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23E92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16B4514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83</w:t>
            </w:r>
          </w:p>
        </w:tc>
        <w:tc>
          <w:tcPr>
            <w:tcW w:w="1226" w:type="pct"/>
            <w:tcMar>
              <w:top w:w="60" w:type="dxa"/>
              <w:left w:w="120" w:type="dxa"/>
              <w:bottom w:w="30" w:type="dxa"/>
              <w:right w:w="120" w:type="dxa"/>
            </w:tcMar>
          </w:tcPr>
          <w:p w14:paraId="575D6AB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防烟排烟系统</w:t>
            </w:r>
          </w:p>
        </w:tc>
        <w:tc>
          <w:tcPr>
            <w:tcW w:w="1403" w:type="pct"/>
            <w:tcMar>
              <w:top w:w="60" w:type="dxa"/>
              <w:left w:w="120" w:type="dxa"/>
              <w:bottom w:w="30" w:type="dxa"/>
              <w:right w:w="120" w:type="dxa"/>
            </w:tcMar>
          </w:tcPr>
          <w:p w14:paraId="03F1929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防烟排烟风机</w:t>
            </w:r>
          </w:p>
        </w:tc>
        <w:tc>
          <w:tcPr>
            <w:tcW w:w="1101" w:type="pct"/>
            <w:tcMar>
              <w:top w:w="60" w:type="dxa"/>
              <w:left w:w="120" w:type="dxa"/>
              <w:bottom w:w="30" w:type="dxa"/>
              <w:right w:w="120" w:type="dxa"/>
            </w:tcMar>
          </w:tcPr>
          <w:p w14:paraId="77ED59F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按风量/风压匹配</w:t>
            </w:r>
          </w:p>
        </w:tc>
        <w:tc>
          <w:tcPr>
            <w:tcW w:w="301" w:type="pct"/>
            <w:tcMar>
              <w:top w:w="60" w:type="dxa"/>
              <w:left w:w="120" w:type="dxa"/>
              <w:bottom w:w="30" w:type="dxa"/>
              <w:right w:w="120" w:type="dxa"/>
            </w:tcMar>
          </w:tcPr>
          <w:p w14:paraId="547B14F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台</w:t>
            </w:r>
          </w:p>
        </w:tc>
        <w:tc>
          <w:tcPr>
            <w:tcW w:w="570" w:type="pct"/>
            <w:tcMar>
              <w:top w:w="60" w:type="dxa"/>
              <w:left w:w="120" w:type="dxa"/>
              <w:bottom w:w="30" w:type="dxa"/>
              <w:right w:w="120" w:type="dxa"/>
            </w:tcMar>
          </w:tcPr>
          <w:p w14:paraId="1405A3E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7F1CE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3E2B4E3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84</w:t>
            </w:r>
          </w:p>
        </w:tc>
        <w:tc>
          <w:tcPr>
            <w:tcW w:w="1226" w:type="pct"/>
            <w:tcMar>
              <w:top w:w="60" w:type="dxa"/>
              <w:left w:w="120" w:type="dxa"/>
              <w:bottom w:w="30" w:type="dxa"/>
              <w:right w:w="120" w:type="dxa"/>
            </w:tcMar>
          </w:tcPr>
          <w:p w14:paraId="2129631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防烟排烟系统</w:t>
            </w:r>
          </w:p>
        </w:tc>
        <w:tc>
          <w:tcPr>
            <w:tcW w:w="1403" w:type="pct"/>
            <w:tcMar>
              <w:top w:w="60" w:type="dxa"/>
              <w:left w:w="120" w:type="dxa"/>
              <w:bottom w:w="30" w:type="dxa"/>
              <w:right w:w="120" w:type="dxa"/>
            </w:tcMar>
          </w:tcPr>
          <w:p w14:paraId="38EDB9F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排烟防火阀</w:t>
            </w:r>
          </w:p>
        </w:tc>
        <w:tc>
          <w:tcPr>
            <w:tcW w:w="1101" w:type="pct"/>
            <w:tcMar>
              <w:top w:w="60" w:type="dxa"/>
              <w:left w:w="120" w:type="dxa"/>
              <w:bottom w:w="30" w:type="dxa"/>
              <w:right w:w="120" w:type="dxa"/>
            </w:tcMar>
          </w:tcPr>
          <w:p w14:paraId="00EC0D2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按风管尺寸匹配</w:t>
            </w:r>
          </w:p>
        </w:tc>
        <w:tc>
          <w:tcPr>
            <w:tcW w:w="301" w:type="pct"/>
            <w:tcMar>
              <w:top w:w="60" w:type="dxa"/>
              <w:left w:w="120" w:type="dxa"/>
              <w:bottom w:w="30" w:type="dxa"/>
              <w:right w:w="120" w:type="dxa"/>
            </w:tcMar>
          </w:tcPr>
          <w:p w14:paraId="31B3259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6319B60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17B13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256ED83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85</w:t>
            </w:r>
          </w:p>
        </w:tc>
        <w:tc>
          <w:tcPr>
            <w:tcW w:w="1226" w:type="pct"/>
            <w:tcMar>
              <w:top w:w="60" w:type="dxa"/>
              <w:left w:w="120" w:type="dxa"/>
              <w:bottom w:w="30" w:type="dxa"/>
              <w:right w:w="120" w:type="dxa"/>
            </w:tcMar>
          </w:tcPr>
          <w:p w14:paraId="1562379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防烟排烟系统</w:t>
            </w:r>
          </w:p>
        </w:tc>
        <w:tc>
          <w:tcPr>
            <w:tcW w:w="1403" w:type="pct"/>
            <w:tcMar>
              <w:top w:w="60" w:type="dxa"/>
              <w:left w:w="120" w:type="dxa"/>
              <w:bottom w:w="30" w:type="dxa"/>
              <w:right w:w="120" w:type="dxa"/>
            </w:tcMar>
          </w:tcPr>
          <w:p w14:paraId="7FD55A1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排烟阀（口）</w:t>
            </w:r>
          </w:p>
        </w:tc>
        <w:tc>
          <w:tcPr>
            <w:tcW w:w="1101" w:type="pct"/>
            <w:tcMar>
              <w:top w:w="60" w:type="dxa"/>
              <w:left w:w="120" w:type="dxa"/>
              <w:bottom w:w="30" w:type="dxa"/>
              <w:right w:w="120" w:type="dxa"/>
            </w:tcMar>
          </w:tcPr>
          <w:p w14:paraId="38B0D87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按风管尺寸匹配</w:t>
            </w:r>
          </w:p>
        </w:tc>
        <w:tc>
          <w:tcPr>
            <w:tcW w:w="301" w:type="pct"/>
            <w:tcMar>
              <w:top w:w="60" w:type="dxa"/>
              <w:left w:w="120" w:type="dxa"/>
              <w:bottom w:w="30" w:type="dxa"/>
              <w:right w:w="120" w:type="dxa"/>
            </w:tcMar>
          </w:tcPr>
          <w:p w14:paraId="0F05132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0B505D9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48698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006A367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86</w:t>
            </w:r>
          </w:p>
        </w:tc>
        <w:tc>
          <w:tcPr>
            <w:tcW w:w="1226" w:type="pct"/>
            <w:tcMar>
              <w:top w:w="60" w:type="dxa"/>
              <w:left w:w="120" w:type="dxa"/>
              <w:bottom w:w="30" w:type="dxa"/>
              <w:right w:w="120" w:type="dxa"/>
            </w:tcMar>
          </w:tcPr>
          <w:p w14:paraId="38164F7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防烟排烟系统</w:t>
            </w:r>
          </w:p>
        </w:tc>
        <w:tc>
          <w:tcPr>
            <w:tcW w:w="1403" w:type="pct"/>
            <w:tcMar>
              <w:top w:w="60" w:type="dxa"/>
              <w:left w:w="120" w:type="dxa"/>
              <w:bottom w:w="30" w:type="dxa"/>
              <w:right w:w="120" w:type="dxa"/>
            </w:tcMar>
          </w:tcPr>
          <w:p w14:paraId="0EE138F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送风阀（口）</w:t>
            </w:r>
          </w:p>
        </w:tc>
        <w:tc>
          <w:tcPr>
            <w:tcW w:w="1101" w:type="pct"/>
            <w:tcMar>
              <w:top w:w="60" w:type="dxa"/>
              <w:left w:w="120" w:type="dxa"/>
              <w:bottom w:w="30" w:type="dxa"/>
              <w:right w:w="120" w:type="dxa"/>
            </w:tcMar>
          </w:tcPr>
          <w:p w14:paraId="23E33BD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按风管尺寸匹配</w:t>
            </w:r>
          </w:p>
        </w:tc>
        <w:tc>
          <w:tcPr>
            <w:tcW w:w="301" w:type="pct"/>
            <w:tcMar>
              <w:top w:w="60" w:type="dxa"/>
              <w:left w:w="120" w:type="dxa"/>
              <w:bottom w:w="30" w:type="dxa"/>
              <w:right w:w="120" w:type="dxa"/>
            </w:tcMar>
          </w:tcPr>
          <w:p w14:paraId="702D811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3280050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1E7CA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0E776C0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87</w:t>
            </w:r>
          </w:p>
        </w:tc>
        <w:tc>
          <w:tcPr>
            <w:tcW w:w="1226" w:type="pct"/>
            <w:tcMar>
              <w:top w:w="60" w:type="dxa"/>
              <w:left w:w="120" w:type="dxa"/>
              <w:bottom w:w="30" w:type="dxa"/>
              <w:right w:w="120" w:type="dxa"/>
            </w:tcMar>
          </w:tcPr>
          <w:p w14:paraId="4E329DF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防烟排烟系统</w:t>
            </w:r>
          </w:p>
        </w:tc>
        <w:tc>
          <w:tcPr>
            <w:tcW w:w="1403" w:type="pct"/>
            <w:tcMar>
              <w:top w:w="60" w:type="dxa"/>
              <w:left w:w="120" w:type="dxa"/>
              <w:bottom w:w="30" w:type="dxa"/>
              <w:right w:w="120" w:type="dxa"/>
            </w:tcMar>
          </w:tcPr>
          <w:p w14:paraId="0D9C089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防火阀</w:t>
            </w:r>
          </w:p>
        </w:tc>
        <w:tc>
          <w:tcPr>
            <w:tcW w:w="1101" w:type="pct"/>
            <w:tcMar>
              <w:top w:w="60" w:type="dxa"/>
              <w:left w:w="120" w:type="dxa"/>
              <w:bottom w:w="30" w:type="dxa"/>
              <w:right w:w="120" w:type="dxa"/>
            </w:tcMar>
          </w:tcPr>
          <w:p w14:paraId="6A25E1C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按风管尺寸匹配</w:t>
            </w:r>
          </w:p>
        </w:tc>
        <w:tc>
          <w:tcPr>
            <w:tcW w:w="301" w:type="pct"/>
            <w:tcMar>
              <w:top w:w="60" w:type="dxa"/>
              <w:left w:w="120" w:type="dxa"/>
              <w:bottom w:w="30" w:type="dxa"/>
              <w:right w:w="120" w:type="dxa"/>
            </w:tcMar>
          </w:tcPr>
          <w:p w14:paraId="5A8D109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7B6CBDB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1B38A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50FB8B2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88</w:t>
            </w:r>
          </w:p>
        </w:tc>
        <w:tc>
          <w:tcPr>
            <w:tcW w:w="1226" w:type="pct"/>
            <w:tcMar>
              <w:top w:w="60" w:type="dxa"/>
              <w:left w:w="120" w:type="dxa"/>
              <w:bottom w:w="30" w:type="dxa"/>
              <w:right w:w="120" w:type="dxa"/>
            </w:tcMar>
          </w:tcPr>
          <w:p w14:paraId="32BCE24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防烟排烟系统</w:t>
            </w:r>
          </w:p>
        </w:tc>
        <w:tc>
          <w:tcPr>
            <w:tcW w:w="1403" w:type="pct"/>
            <w:tcMar>
              <w:top w:w="60" w:type="dxa"/>
              <w:left w:w="120" w:type="dxa"/>
              <w:bottom w:w="30" w:type="dxa"/>
              <w:right w:w="120" w:type="dxa"/>
            </w:tcMar>
          </w:tcPr>
          <w:p w14:paraId="3AB5EC9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活动挡烟垂壁</w:t>
            </w:r>
          </w:p>
        </w:tc>
        <w:tc>
          <w:tcPr>
            <w:tcW w:w="1101" w:type="pct"/>
            <w:tcMar>
              <w:top w:w="60" w:type="dxa"/>
              <w:left w:w="120" w:type="dxa"/>
              <w:bottom w:w="30" w:type="dxa"/>
              <w:right w:w="120" w:type="dxa"/>
            </w:tcMar>
          </w:tcPr>
          <w:p w14:paraId="776707E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5E1A86C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套</w:t>
            </w:r>
          </w:p>
        </w:tc>
        <w:tc>
          <w:tcPr>
            <w:tcW w:w="570" w:type="pct"/>
            <w:tcMar>
              <w:top w:w="60" w:type="dxa"/>
              <w:left w:w="120" w:type="dxa"/>
              <w:bottom w:w="30" w:type="dxa"/>
              <w:right w:w="120" w:type="dxa"/>
            </w:tcMar>
          </w:tcPr>
          <w:p w14:paraId="6507448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781BD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097DA19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89</w:t>
            </w:r>
          </w:p>
        </w:tc>
        <w:tc>
          <w:tcPr>
            <w:tcW w:w="1226" w:type="pct"/>
            <w:tcMar>
              <w:top w:w="60" w:type="dxa"/>
              <w:left w:w="120" w:type="dxa"/>
              <w:bottom w:w="30" w:type="dxa"/>
              <w:right w:w="120" w:type="dxa"/>
            </w:tcMar>
          </w:tcPr>
          <w:p w14:paraId="75AA116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防烟排烟系统</w:t>
            </w:r>
          </w:p>
        </w:tc>
        <w:tc>
          <w:tcPr>
            <w:tcW w:w="1403" w:type="pct"/>
            <w:tcMar>
              <w:top w:w="60" w:type="dxa"/>
              <w:left w:w="120" w:type="dxa"/>
              <w:bottom w:w="30" w:type="dxa"/>
              <w:right w:w="120" w:type="dxa"/>
            </w:tcMar>
          </w:tcPr>
          <w:p w14:paraId="12610D0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自动排烟窗</w:t>
            </w:r>
          </w:p>
        </w:tc>
        <w:tc>
          <w:tcPr>
            <w:tcW w:w="1101" w:type="pct"/>
            <w:tcMar>
              <w:top w:w="60" w:type="dxa"/>
              <w:left w:w="120" w:type="dxa"/>
              <w:bottom w:w="30" w:type="dxa"/>
              <w:right w:w="120" w:type="dxa"/>
            </w:tcMar>
          </w:tcPr>
          <w:p w14:paraId="68E1715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258E0B9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套</w:t>
            </w:r>
          </w:p>
        </w:tc>
        <w:tc>
          <w:tcPr>
            <w:tcW w:w="570" w:type="pct"/>
            <w:tcMar>
              <w:top w:w="60" w:type="dxa"/>
              <w:left w:w="120" w:type="dxa"/>
              <w:bottom w:w="30" w:type="dxa"/>
              <w:right w:w="120" w:type="dxa"/>
            </w:tcMar>
          </w:tcPr>
          <w:p w14:paraId="5093CEF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1D65E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5385B9D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90</w:t>
            </w:r>
          </w:p>
        </w:tc>
        <w:tc>
          <w:tcPr>
            <w:tcW w:w="1226" w:type="pct"/>
            <w:tcMar>
              <w:top w:w="60" w:type="dxa"/>
              <w:left w:w="120" w:type="dxa"/>
              <w:bottom w:w="30" w:type="dxa"/>
              <w:right w:w="120" w:type="dxa"/>
            </w:tcMar>
          </w:tcPr>
          <w:p w14:paraId="46C72F7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防烟排烟系统</w:t>
            </w:r>
          </w:p>
        </w:tc>
        <w:tc>
          <w:tcPr>
            <w:tcW w:w="1403" w:type="pct"/>
            <w:tcMar>
              <w:top w:w="60" w:type="dxa"/>
              <w:left w:w="120" w:type="dxa"/>
              <w:bottom w:w="30" w:type="dxa"/>
              <w:right w:w="120" w:type="dxa"/>
            </w:tcMar>
          </w:tcPr>
          <w:p w14:paraId="204E7FB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风机控制箱（电源箱）</w:t>
            </w:r>
          </w:p>
        </w:tc>
        <w:tc>
          <w:tcPr>
            <w:tcW w:w="1101" w:type="pct"/>
            <w:tcMar>
              <w:top w:w="60" w:type="dxa"/>
              <w:left w:w="120" w:type="dxa"/>
              <w:bottom w:w="30" w:type="dxa"/>
              <w:right w:w="120" w:type="dxa"/>
            </w:tcMar>
          </w:tcPr>
          <w:p w14:paraId="32E6414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按风机型号匹配</w:t>
            </w:r>
          </w:p>
        </w:tc>
        <w:tc>
          <w:tcPr>
            <w:tcW w:w="301" w:type="pct"/>
            <w:tcMar>
              <w:top w:w="60" w:type="dxa"/>
              <w:left w:w="120" w:type="dxa"/>
              <w:bottom w:w="30" w:type="dxa"/>
              <w:right w:w="120" w:type="dxa"/>
            </w:tcMar>
          </w:tcPr>
          <w:p w14:paraId="6F0E588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台</w:t>
            </w:r>
          </w:p>
        </w:tc>
        <w:tc>
          <w:tcPr>
            <w:tcW w:w="570" w:type="pct"/>
            <w:tcMar>
              <w:top w:w="60" w:type="dxa"/>
              <w:left w:w="120" w:type="dxa"/>
              <w:bottom w:w="30" w:type="dxa"/>
              <w:right w:w="120" w:type="dxa"/>
            </w:tcMar>
          </w:tcPr>
          <w:p w14:paraId="062F9DA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0745F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52A738E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91</w:t>
            </w:r>
          </w:p>
        </w:tc>
        <w:tc>
          <w:tcPr>
            <w:tcW w:w="1226" w:type="pct"/>
            <w:tcMar>
              <w:top w:w="60" w:type="dxa"/>
              <w:left w:w="120" w:type="dxa"/>
              <w:bottom w:w="30" w:type="dxa"/>
              <w:right w:w="120" w:type="dxa"/>
            </w:tcMar>
          </w:tcPr>
          <w:p w14:paraId="043D8D9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防烟排烟系统</w:t>
            </w:r>
          </w:p>
        </w:tc>
        <w:tc>
          <w:tcPr>
            <w:tcW w:w="1403" w:type="pct"/>
            <w:tcMar>
              <w:top w:w="60" w:type="dxa"/>
              <w:left w:w="120" w:type="dxa"/>
              <w:bottom w:w="30" w:type="dxa"/>
              <w:right w:w="120" w:type="dxa"/>
            </w:tcMar>
          </w:tcPr>
          <w:p w14:paraId="177945B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风机启动按钮</w:t>
            </w:r>
          </w:p>
        </w:tc>
        <w:tc>
          <w:tcPr>
            <w:tcW w:w="1101" w:type="pct"/>
            <w:tcMar>
              <w:top w:w="60" w:type="dxa"/>
              <w:left w:w="120" w:type="dxa"/>
              <w:bottom w:w="30" w:type="dxa"/>
              <w:right w:w="120" w:type="dxa"/>
            </w:tcMar>
          </w:tcPr>
          <w:p w14:paraId="305F3F4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046C0C0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4CB9385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33447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28DFA0F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92</w:t>
            </w:r>
          </w:p>
        </w:tc>
        <w:tc>
          <w:tcPr>
            <w:tcW w:w="1226" w:type="pct"/>
            <w:tcMar>
              <w:top w:w="60" w:type="dxa"/>
              <w:left w:w="120" w:type="dxa"/>
              <w:bottom w:w="30" w:type="dxa"/>
              <w:right w:w="120" w:type="dxa"/>
            </w:tcMar>
          </w:tcPr>
          <w:p w14:paraId="3372228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防烟排烟系统</w:t>
            </w:r>
          </w:p>
        </w:tc>
        <w:tc>
          <w:tcPr>
            <w:tcW w:w="1403" w:type="pct"/>
            <w:tcMar>
              <w:top w:w="60" w:type="dxa"/>
              <w:left w:w="120" w:type="dxa"/>
              <w:bottom w:w="30" w:type="dxa"/>
              <w:right w:w="120" w:type="dxa"/>
            </w:tcMar>
          </w:tcPr>
          <w:p w14:paraId="5307CE6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风管软连接</w:t>
            </w:r>
          </w:p>
        </w:tc>
        <w:tc>
          <w:tcPr>
            <w:tcW w:w="1101" w:type="pct"/>
            <w:tcMar>
              <w:top w:w="60" w:type="dxa"/>
              <w:left w:w="120" w:type="dxa"/>
              <w:bottom w:w="30" w:type="dxa"/>
              <w:right w:w="120" w:type="dxa"/>
            </w:tcMar>
          </w:tcPr>
          <w:p w14:paraId="7C4B8A3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按风管尺寸匹配</w:t>
            </w:r>
          </w:p>
        </w:tc>
        <w:tc>
          <w:tcPr>
            <w:tcW w:w="301" w:type="pct"/>
            <w:tcMar>
              <w:top w:w="60" w:type="dxa"/>
              <w:left w:w="120" w:type="dxa"/>
              <w:bottom w:w="30" w:type="dxa"/>
              <w:right w:w="120" w:type="dxa"/>
            </w:tcMar>
          </w:tcPr>
          <w:p w14:paraId="2C9CDE5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18C86D7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32471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080052B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93</w:t>
            </w:r>
          </w:p>
        </w:tc>
        <w:tc>
          <w:tcPr>
            <w:tcW w:w="1226" w:type="pct"/>
            <w:tcMar>
              <w:top w:w="60" w:type="dxa"/>
              <w:left w:w="120" w:type="dxa"/>
              <w:bottom w:w="30" w:type="dxa"/>
              <w:right w:w="120" w:type="dxa"/>
            </w:tcMar>
          </w:tcPr>
          <w:p w14:paraId="66D7DF2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应急照明和疏散指示系统</w:t>
            </w:r>
          </w:p>
        </w:tc>
        <w:tc>
          <w:tcPr>
            <w:tcW w:w="1403" w:type="pct"/>
            <w:tcMar>
              <w:top w:w="60" w:type="dxa"/>
              <w:left w:w="120" w:type="dxa"/>
              <w:bottom w:w="30" w:type="dxa"/>
              <w:right w:w="120" w:type="dxa"/>
            </w:tcMar>
          </w:tcPr>
          <w:p w14:paraId="3C43B42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消防应急照明灯具</w:t>
            </w:r>
          </w:p>
        </w:tc>
        <w:tc>
          <w:tcPr>
            <w:tcW w:w="1101" w:type="pct"/>
            <w:tcMar>
              <w:top w:w="60" w:type="dxa"/>
              <w:left w:w="120" w:type="dxa"/>
              <w:bottom w:w="30" w:type="dxa"/>
              <w:right w:w="120" w:type="dxa"/>
            </w:tcMar>
          </w:tcPr>
          <w:p w14:paraId="6B4EDCF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497D91E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0005FC9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12D93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393588F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94</w:t>
            </w:r>
          </w:p>
        </w:tc>
        <w:tc>
          <w:tcPr>
            <w:tcW w:w="1226" w:type="pct"/>
            <w:tcMar>
              <w:top w:w="60" w:type="dxa"/>
              <w:left w:w="120" w:type="dxa"/>
              <w:bottom w:w="30" w:type="dxa"/>
              <w:right w:w="120" w:type="dxa"/>
            </w:tcMar>
          </w:tcPr>
          <w:p w14:paraId="25D9071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应急照明和疏散指示系统</w:t>
            </w:r>
          </w:p>
        </w:tc>
        <w:tc>
          <w:tcPr>
            <w:tcW w:w="1403" w:type="pct"/>
            <w:tcMar>
              <w:top w:w="60" w:type="dxa"/>
              <w:left w:w="120" w:type="dxa"/>
              <w:bottom w:w="30" w:type="dxa"/>
              <w:right w:w="120" w:type="dxa"/>
            </w:tcMar>
          </w:tcPr>
          <w:p w14:paraId="418F46E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消防疏散指示标志灯</w:t>
            </w:r>
          </w:p>
        </w:tc>
        <w:tc>
          <w:tcPr>
            <w:tcW w:w="1101" w:type="pct"/>
            <w:tcMar>
              <w:top w:w="60" w:type="dxa"/>
              <w:left w:w="120" w:type="dxa"/>
              <w:bottom w:w="30" w:type="dxa"/>
              <w:right w:w="120" w:type="dxa"/>
            </w:tcMar>
          </w:tcPr>
          <w:p w14:paraId="5F4EE6B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1861223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22C1A46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107EB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406EA29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95</w:t>
            </w:r>
          </w:p>
        </w:tc>
        <w:tc>
          <w:tcPr>
            <w:tcW w:w="1226" w:type="pct"/>
            <w:tcMar>
              <w:top w:w="60" w:type="dxa"/>
              <w:left w:w="120" w:type="dxa"/>
              <w:bottom w:w="30" w:type="dxa"/>
              <w:right w:w="120" w:type="dxa"/>
            </w:tcMar>
          </w:tcPr>
          <w:p w14:paraId="24A1A45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应急照明和疏散指示系统</w:t>
            </w:r>
          </w:p>
        </w:tc>
        <w:tc>
          <w:tcPr>
            <w:tcW w:w="1403" w:type="pct"/>
            <w:tcMar>
              <w:top w:w="60" w:type="dxa"/>
              <w:left w:w="120" w:type="dxa"/>
              <w:bottom w:w="30" w:type="dxa"/>
              <w:right w:w="120" w:type="dxa"/>
            </w:tcMar>
          </w:tcPr>
          <w:p w14:paraId="0331EB3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应急照明集中电源</w:t>
            </w:r>
          </w:p>
        </w:tc>
        <w:tc>
          <w:tcPr>
            <w:tcW w:w="1101" w:type="pct"/>
            <w:tcMar>
              <w:top w:w="60" w:type="dxa"/>
              <w:left w:w="120" w:type="dxa"/>
              <w:bottom w:w="30" w:type="dxa"/>
              <w:right w:w="120" w:type="dxa"/>
            </w:tcMar>
          </w:tcPr>
          <w:p w14:paraId="513C3FB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7693638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台</w:t>
            </w:r>
          </w:p>
        </w:tc>
        <w:tc>
          <w:tcPr>
            <w:tcW w:w="570" w:type="pct"/>
            <w:tcMar>
              <w:top w:w="60" w:type="dxa"/>
              <w:left w:w="120" w:type="dxa"/>
              <w:bottom w:w="30" w:type="dxa"/>
              <w:right w:w="120" w:type="dxa"/>
            </w:tcMar>
          </w:tcPr>
          <w:p w14:paraId="635A51E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75628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0FF120B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96</w:t>
            </w:r>
          </w:p>
        </w:tc>
        <w:tc>
          <w:tcPr>
            <w:tcW w:w="1226" w:type="pct"/>
            <w:tcMar>
              <w:top w:w="60" w:type="dxa"/>
              <w:left w:w="120" w:type="dxa"/>
              <w:bottom w:w="30" w:type="dxa"/>
              <w:right w:w="120" w:type="dxa"/>
            </w:tcMar>
          </w:tcPr>
          <w:p w14:paraId="72B9396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应急照明和疏散指示系统</w:t>
            </w:r>
          </w:p>
        </w:tc>
        <w:tc>
          <w:tcPr>
            <w:tcW w:w="1403" w:type="pct"/>
            <w:tcMar>
              <w:top w:w="60" w:type="dxa"/>
              <w:left w:w="120" w:type="dxa"/>
              <w:bottom w:w="30" w:type="dxa"/>
              <w:right w:w="120" w:type="dxa"/>
            </w:tcMar>
          </w:tcPr>
          <w:p w14:paraId="1BEC420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应急照明配电箱</w:t>
            </w:r>
          </w:p>
        </w:tc>
        <w:tc>
          <w:tcPr>
            <w:tcW w:w="1101" w:type="pct"/>
            <w:tcMar>
              <w:top w:w="60" w:type="dxa"/>
              <w:left w:w="120" w:type="dxa"/>
              <w:bottom w:w="30" w:type="dxa"/>
              <w:right w:w="120" w:type="dxa"/>
            </w:tcMar>
          </w:tcPr>
          <w:p w14:paraId="65D63F0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2926047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台</w:t>
            </w:r>
          </w:p>
        </w:tc>
        <w:tc>
          <w:tcPr>
            <w:tcW w:w="570" w:type="pct"/>
            <w:tcMar>
              <w:top w:w="60" w:type="dxa"/>
              <w:left w:w="120" w:type="dxa"/>
              <w:bottom w:w="30" w:type="dxa"/>
              <w:right w:w="120" w:type="dxa"/>
            </w:tcMar>
          </w:tcPr>
          <w:p w14:paraId="569F6B7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33EFC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0525E38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97</w:t>
            </w:r>
          </w:p>
        </w:tc>
        <w:tc>
          <w:tcPr>
            <w:tcW w:w="1226" w:type="pct"/>
            <w:tcMar>
              <w:top w:w="60" w:type="dxa"/>
              <w:left w:w="120" w:type="dxa"/>
              <w:bottom w:w="30" w:type="dxa"/>
              <w:right w:w="120" w:type="dxa"/>
            </w:tcMar>
          </w:tcPr>
          <w:p w14:paraId="38C4DA3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应急照明和疏散指示系统</w:t>
            </w:r>
          </w:p>
        </w:tc>
        <w:tc>
          <w:tcPr>
            <w:tcW w:w="1403" w:type="pct"/>
            <w:tcMar>
              <w:top w:w="60" w:type="dxa"/>
              <w:left w:w="120" w:type="dxa"/>
              <w:bottom w:w="30" w:type="dxa"/>
              <w:right w:w="120" w:type="dxa"/>
            </w:tcMar>
          </w:tcPr>
          <w:p w14:paraId="4D69504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应急照明控制器</w:t>
            </w:r>
          </w:p>
        </w:tc>
        <w:tc>
          <w:tcPr>
            <w:tcW w:w="1101" w:type="pct"/>
            <w:tcMar>
              <w:top w:w="60" w:type="dxa"/>
              <w:left w:w="120" w:type="dxa"/>
              <w:bottom w:w="30" w:type="dxa"/>
              <w:right w:w="120" w:type="dxa"/>
            </w:tcMar>
          </w:tcPr>
          <w:p w14:paraId="28069B5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390CE23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台</w:t>
            </w:r>
          </w:p>
        </w:tc>
        <w:tc>
          <w:tcPr>
            <w:tcW w:w="570" w:type="pct"/>
            <w:tcMar>
              <w:top w:w="60" w:type="dxa"/>
              <w:left w:w="120" w:type="dxa"/>
              <w:bottom w:w="30" w:type="dxa"/>
              <w:right w:w="120" w:type="dxa"/>
            </w:tcMar>
          </w:tcPr>
          <w:p w14:paraId="1AF3CC8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78904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64F3BB2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98</w:t>
            </w:r>
          </w:p>
        </w:tc>
        <w:tc>
          <w:tcPr>
            <w:tcW w:w="1226" w:type="pct"/>
            <w:tcMar>
              <w:top w:w="60" w:type="dxa"/>
              <w:left w:w="120" w:type="dxa"/>
              <w:bottom w:w="30" w:type="dxa"/>
              <w:right w:w="120" w:type="dxa"/>
            </w:tcMar>
          </w:tcPr>
          <w:p w14:paraId="2D15AAC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应急照明和疏散指示系统</w:t>
            </w:r>
          </w:p>
        </w:tc>
        <w:tc>
          <w:tcPr>
            <w:tcW w:w="1403" w:type="pct"/>
            <w:tcMar>
              <w:top w:w="60" w:type="dxa"/>
              <w:left w:w="120" w:type="dxa"/>
              <w:bottom w:w="30" w:type="dxa"/>
              <w:right w:w="120" w:type="dxa"/>
            </w:tcMar>
          </w:tcPr>
          <w:p w14:paraId="17CF7E0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蓄电池（应急照明专用）</w:t>
            </w:r>
          </w:p>
        </w:tc>
        <w:tc>
          <w:tcPr>
            <w:tcW w:w="1101" w:type="pct"/>
            <w:tcMar>
              <w:top w:w="60" w:type="dxa"/>
              <w:left w:w="120" w:type="dxa"/>
              <w:bottom w:w="30" w:type="dxa"/>
              <w:right w:w="120" w:type="dxa"/>
            </w:tcMar>
          </w:tcPr>
          <w:p w14:paraId="03CCD5A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4CAD288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块</w:t>
            </w:r>
          </w:p>
        </w:tc>
        <w:tc>
          <w:tcPr>
            <w:tcW w:w="570" w:type="pct"/>
            <w:tcMar>
              <w:top w:w="60" w:type="dxa"/>
              <w:left w:w="120" w:type="dxa"/>
              <w:bottom w:w="30" w:type="dxa"/>
              <w:right w:w="120" w:type="dxa"/>
            </w:tcMar>
          </w:tcPr>
          <w:p w14:paraId="4331915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7B4D4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39E4432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99</w:t>
            </w:r>
          </w:p>
        </w:tc>
        <w:tc>
          <w:tcPr>
            <w:tcW w:w="1226" w:type="pct"/>
            <w:tcMar>
              <w:top w:w="60" w:type="dxa"/>
              <w:left w:w="120" w:type="dxa"/>
              <w:bottom w:w="30" w:type="dxa"/>
              <w:right w:w="120" w:type="dxa"/>
            </w:tcMar>
          </w:tcPr>
          <w:p w14:paraId="748C51E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防火分隔设施</w:t>
            </w:r>
          </w:p>
        </w:tc>
        <w:tc>
          <w:tcPr>
            <w:tcW w:w="1403" w:type="pct"/>
            <w:tcMar>
              <w:top w:w="60" w:type="dxa"/>
              <w:left w:w="120" w:type="dxa"/>
              <w:bottom w:w="30" w:type="dxa"/>
              <w:right w:w="120" w:type="dxa"/>
            </w:tcMar>
          </w:tcPr>
          <w:p w14:paraId="285210A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防火门闭门器</w:t>
            </w:r>
          </w:p>
        </w:tc>
        <w:tc>
          <w:tcPr>
            <w:tcW w:w="1101" w:type="pct"/>
            <w:tcMar>
              <w:top w:w="60" w:type="dxa"/>
              <w:left w:w="120" w:type="dxa"/>
              <w:bottom w:w="30" w:type="dxa"/>
              <w:right w:w="120" w:type="dxa"/>
            </w:tcMar>
          </w:tcPr>
          <w:p w14:paraId="42598F2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普通/液压</w:t>
            </w:r>
          </w:p>
        </w:tc>
        <w:tc>
          <w:tcPr>
            <w:tcW w:w="301" w:type="pct"/>
            <w:tcMar>
              <w:top w:w="60" w:type="dxa"/>
              <w:left w:w="120" w:type="dxa"/>
              <w:bottom w:w="30" w:type="dxa"/>
              <w:right w:w="120" w:type="dxa"/>
            </w:tcMar>
          </w:tcPr>
          <w:p w14:paraId="4A8981E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66C1190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24A05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4273FE4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100</w:t>
            </w:r>
          </w:p>
        </w:tc>
        <w:tc>
          <w:tcPr>
            <w:tcW w:w="1226" w:type="pct"/>
            <w:tcMar>
              <w:top w:w="60" w:type="dxa"/>
              <w:left w:w="120" w:type="dxa"/>
              <w:bottom w:w="30" w:type="dxa"/>
              <w:right w:w="120" w:type="dxa"/>
            </w:tcMar>
          </w:tcPr>
          <w:p w14:paraId="559865E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防火分隔设施</w:t>
            </w:r>
          </w:p>
        </w:tc>
        <w:tc>
          <w:tcPr>
            <w:tcW w:w="1403" w:type="pct"/>
            <w:tcMar>
              <w:top w:w="60" w:type="dxa"/>
              <w:left w:w="120" w:type="dxa"/>
              <w:bottom w:w="30" w:type="dxa"/>
              <w:right w:w="120" w:type="dxa"/>
            </w:tcMar>
          </w:tcPr>
          <w:p w14:paraId="11F5C42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防火门顺序器</w:t>
            </w:r>
          </w:p>
        </w:tc>
        <w:tc>
          <w:tcPr>
            <w:tcW w:w="1101" w:type="pct"/>
            <w:tcMar>
              <w:top w:w="60" w:type="dxa"/>
              <w:left w:w="120" w:type="dxa"/>
              <w:bottom w:w="30" w:type="dxa"/>
              <w:right w:w="120" w:type="dxa"/>
            </w:tcMar>
          </w:tcPr>
          <w:p w14:paraId="3D17DDB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普通</w:t>
            </w:r>
          </w:p>
        </w:tc>
        <w:tc>
          <w:tcPr>
            <w:tcW w:w="301" w:type="pct"/>
            <w:tcMar>
              <w:top w:w="60" w:type="dxa"/>
              <w:left w:w="120" w:type="dxa"/>
              <w:bottom w:w="30" w:type="dxa"/>
              <w:right w:w="120" w:type="dxa"/>
            </w:tcMar>
          </w:tcPr>
          <w:p w14:paraId="2F7ED01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2B0E952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50C11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756F412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101</w:t>
            </w:r>
          </w:p>
        </w:tc>
        <w:tc>
          <w:tcPr>
            <w:tcW w:w="1226" w:type="pct"/>
            <w:tcMar>
              <w:top w:w="60" w:type="dxa"/>
              <w:left w:w="120" w:type="dxa"/>
              <w:bottom w:w="30" w:type="dxa"/>
              <w:right w:w="120" w:type="dxa"/>
            </w:tcMar>
          </w:tcPr>
          <w:p w14:paraId="72DDC92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防火分隔设施</w:t>
            </w:r>
          </w:p>
        </w:tc>
        <w:tc>
          <w:tcPr>
            <w:tcW w:w="1403" w:type="pct"/>
            <w:tcMar>
              <w:top w:w="60" w:type="dxa"/>
              <w:left w:w="120" w:type="dxa"/>
              <w:bottom w:w="30" w:type="dxa"/>
              <w:right w:w="120" w:type="dxa"/>
            </w:tcMar>
          </w:tcPr>
          <w:p w14:paraId="45E549A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防火门合页</w:t>
            </w:r>
          </w:p>
        </w:tc>
        <w:tc>
          <w:tcPr>
            <w:tcW w:w="1101" w:type="pct"/>
            <w:tcMar>
              <w:top w:w="60" w:type="dxa"/>
              <w:left w:w="120" w:type="dxa"/>
              <w:bottom w:w="30" w:type="dxa"/>
              <w:right w:w="120" w:type="dxa"/>
            </w:tcMar>
          </w:tcPr>
          <w:p w14:paraId="5128B1A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普通/不锈钢</w:t>
            </w:r>
          </w:p>
        </w:tc>
        <w:tc>
          <w:tcPr>
            <w:tcW w:w="301" w:type="pct"/>
            <w:tcMar>
              <w:top w:w="60" w:type="dxa"/>
              <w:left w:w="120" w:type="dxa"/>
              <w:bottom w:w="30" w:type="dxa"/>
              <w:right w:w="120" w:type="dxa"/>
            </w:tcMar>
          </w:tcPr>
          <w:p w14:paraId="798E4DA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02FE63F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11CFE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4451136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102</w:t>
            </w:r>
          </w:p>
        </w:tc>
        <w:tc>
          <w:tcPr>
            <w:tcW w:w="1226" w:type="pct"/>
            <w:tcMar>
              <w:top w:w="60" w:type="dxa"/>
              <w:left w:w="120" w:type="dxa"/>
              <w:bottom w:w="30" w:type="dxa"/>
              <w:right w:w="120" w:type="dxa"/>
            </w:tcMar>
          </w:tcPr>
          <w:p w14:paraId="1F9EB20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防火分隔设施</w:t>
            </w:r>
          </w:p>
        </w:tc>
        <w:tc>
          <w:tcPr>
            <w:tcW w:w="1403" w:type="pct"/>
            <w:tcMar>
              <w:top w:w="60" w:type="dxa"/>
              <w:left w:w="120" w:type="dxa"/>
              <w:bottom w:w="30" w:type="dxa"/>
              <w:right w:w="120" w:type="dxa"/>
            </w:tcMar>
          </w:tcPr>
          <w:p w14:paraId="1D21DA3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防火门门锁</w:t>
            </w:r>
          </w:p>
        </w:tc>
        <w:tc>
          <w:tcPr>
            <w:tcW w:w="1101" w:type="pct"/>
            <w:tcMar>
              <w:top w:w="60" w:type="dxa"/>
              <w:left w:w="120" w:type="dxa"/>
              <w:bottom w:w="30" w:type="dxa"/>
              <w:right w:w="120" w:type="dxa"/>
            </w:tcMar>
          </w:tcPr>
          <w:p w14:paraId="7EE09E5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防火门专用</w:t>
            </w:r>
          </w:p>
        </w:tc>
        <w:tc>
          <w:tcPr>
            <w:tcW w:w="301" w:type="pct"/>
            <w:tcMar>
              <w:top w:w="60" w:type="dxa"/>
              <w:left w:w="120" w:type="dxa"/>
              <w:bottom w:w="30" w:type="dxa"/>
              <w:right w:w="120" w:type="dxa"/>
            </w:tcMar>
          </w:tcPr>
          <w:p w14:paraId="497422E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把</w:t>
            </w:r>
          </w:p>
        </w:tc>
        <w:tc>
          <w:tcPr>
            <w:tcW w:w="570" w:type="pct"/>
            <w:tcMar>
              <w:top w:w="60" w:type="dxa"/>
              <w:left w:w="120" w:type="dxa"/>
              <w:bottom w:w="30" w:type="dxa"/>
              <w:right w:w="120" w:type="dxa"/>
            </w:tcMar>
          </w:tcPr>
          <w:p w14:paraId="0716B7D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684CB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244EE9D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103</w:t>
            </w:r>
          </w:p>
        </w:tc>
        <w:tc>
          <w:tcPr>
            <w:tcW w:w="1226" w:type="pct"/>
            <w:tcMar>
              <w:top w:w="60" w:type="dxa"/>
              <w:left w:w="120" w:type="dxa"/>
              <w:bottom w:w="30" w:type="dxa"/>
              <w:right w:w="120" w:type="dxa"/>
            </w:tcMar>
          </w:tcPr>
          <w:p w14:paraId="17915F7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防火分隔设施</w:t>
            </w:r>
          </w:p>
        </w:tc>
        <w:tc>
          <w:tcPr>
            <w:tcW w:w="1403" w:type="pct"/>
            <w:tcMar>
              <w:top w:w="60" w:type="dxa"/>
              <w:left w:w="120" w:type="dxa"/>
              <w:bottom w:w="30" w:type="dxa"/>
              <w:right w:w="120" w:type="dxa"/>
            </w:tcMar>
          </w:tcPr>
          <w:p w14:paraId="7A90457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防火门开关电源</w:t>
            </w:r>
          </w:p>
        </w:tc>
        <w:tc>
          <w:tcPr>
            <w:tcW w:w="1101" w:type="pct"/>
            <w:tcMar>
              <w:top w:w="60" w:type="dxa"/>
              <w:left w:w="120" w:type="dxa"/>
              <w:bottom w:w="30" w:type="dxa"/>
              <w:right w:w="120" w:type="dxa"/>
            </w:tcMar>
          </w:tcPr>
          <w:p w14:paraId="1F83D95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电动防火门专用</w:t>
            </w:r>
          </w:p>
        </w:tc>
        <w:tc>
          <w:tcPr>
            <w:tcW w:w="301" w:type="pct"/>
            <w:tcMar>
              <w:top w:w="60" w:type="dxa"/>
              <w:left w:w="120" w:type="dxa"/>
              <w:bottom w:w="30" w:type="dxa"/>
              <w:right w:w="120" w:type="dxa"/>
            </w:tcMar>
          </w:tcPr>
          <w:p w14:paraId="657CD88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4914191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6C379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22CA505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104</w:t>
            </w:r>
          </w:p>
        </w:tc>
        <w:tc>
          <w:tcPr>
            <w:tcW w:w="1226" w:type="pct"/>
            <w:tcMar>
              <w:top w:w="60" w:type="dxa"/>
              <w:left w:w="120" w:type="dxa"/>
              <w:bottom w:w="30" w:type="dxa"/>
              <w:right w:w="120" w:type="dxa"/>
            </w:tcMar>
          </w:tcPr>
          <w:p w14:paraId="1B31F0F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防火分隔设施</w:t>
            </w:r>
          </w:p>
        </w:tc>
        <w:tc>
          <w:tcPr>
            <w:tcW w:w="1403" w:type="pct"/>
            <w:tcMar>
              <w:top w:w="60" w:type="dxa"/>
              <w:left w:w="120" w:type="dxa"/>
              <w:bottom w:w="30" w:type="dxa"/>
              <w:right w:w="120" w:type="dxa"/>
            </w:tcMar>
          </w:tcPr>
          <w:p w14:paraId="76317CB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防火卷帘控制器</w:t>
            </w:r>
          </w:p>
        </w:tc>
        <w:tc>
          <w:tcPr>
            <w:tcW w:w="1101" w:type="pct"/>
            <w:tcMar>
              <w:top w:w="60" w:type="dxa"/>
              <w:left w:w="120" w:type="dxa"/>
              <w:bottom w:w="30" w:type="dxa"/>
              <w:right w:w="120" w:type="dxa"/>
            </w:tcMar>
          </w:tcPr>
          <w:p w14:paraId="5E5B8DF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3469DE6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台</w:t>
            </w:r>
          </w:p>
        </w:tc>
        <w:tc>
          <w:tcPr>
            <w:tcW w:w="570" w:type="pct"/>
            <w:tcMar>
              <w:top w:w="60" w:type="dxa"/>
              <w:left w:w="120" w:type="dxa"/>
              <w:bottom w:w="30" w:type="dxa"/>
              <w:right w:w="120" w:type="dxa"/>
            </w:tcMar>
          </w:tcPr>
          <w:p w14:paraId="54E4FEA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1F97C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5DE6D4D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105</w:t>
            </w:r>
          </w:p>
        </w:tc>
        <w:tc>
          <w:tcPr>
            <w:tcW w:w="1226" w:type="pct"/>
            <w:tcMar>
              <w:top w:w="60" w:type="dxa"/>
              <w:left w:w="120" w:type="dxa"/>
              <w:bottom w:w="30" w:type="dxa"/>
              <w:right w:w="120" w:type="dxa"/>
            </w:tcMar>
          </w:tcPr>
          <w:p w14:paraId="17FC5C2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防火分隔设施</w:t>
            </w:r>
          </w:p>
        </w:tc>
        <w:tc>
          <w:tcPr>
            <w:tcW w:w="1403" w:type="pct"/>
            <w:tcMar>
              <w:top w:w="60" w:type="dxa"/>
              <w:left w:w="120" w:type="dxa"/>
              <w:bottom w:w="30" w:type="dxa"/>
              <w:right w:w="120" w:type="dxa"/>
            </w:tcMar>
          </w:tcPr>
          <w:p w14:paraId="32A93CF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防火卷帘电机</w:t>
            </w:r>
          </w:p>
        </w:tc>
        <w:tc>
          <w:tcPr>
            <w:tcW w:w="1101" w:type="pct"/>
            <w:tcMar>
              <w:top w:w="60" w:type="dxa"/>
              <w:left w:w="120" w:type="dxa"/>
              <w:bottom w:w="30" w:type="dxa"/>
              <w:right w:w="120" w:type="dxa"/>
            </w:tcMar>
          </w:tcPr>
          <w:p w14:paraId="1392608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030479C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台</w:t>
            </w:r>
          </w:p>
        </w:tc>
        <w:tc>
          <w:tcPr>
            <w:tcW w:w="570" w:type="pct"/>
            <w:tcMar>
              <w:top w:w="60" w:type="dxa"/>
              <w:left w:w="120" w:type="dxa"/>
              <w:bottom w:w="30" w:type="dxa"/>
              <w:right w:w="120" w:type="dxa"/>
            </w:tcMar>
          </w:tcPr>
          <w:p w14:paraId="4106787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06E7F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6523F46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106</w:t>
            </w:r>
          </w:p>
        </w:tc>
        <w:tc>
          <w:tcPr>
            <w:tcW w:w="1226" w:type="pct"/>
            <w:tcMar>
              <w:top w:w="60" w:type="dxa"/>
              <w:left w:w="120" w:type="dxa"/>
              <w:bottom w:w="30" w:type="dxa"/>
              <w:right w:w="120" w:type="dxa"/>
            </w:tcMar>
          </w:tcPr>
          <w:p w14:paraId="7897D97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防火分隔设施</w:t>
            </w:r>
          </w:p>
        </w:tc>
        <w:tc>
          <w:tcPr>
            <w:tcW w:w="1403" w:type="pct"/>
            <w:tcMar>
              <w:top w:w="60" w:type="dxa"/>
              <w:left w:w="120" w:type="dxa"/>
              <w:bottom w:w="30" w:type="dxa"/>
              <w:right w:w="120" w:type="dxa"/>
            </w:tcMar>
          </w:tcPr>
          <w:p w14:paraId="5CB7580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防火卷帘手动按钮盒</w:t>
            </w:r>
          </w:p>
        </w:tc>
        <w:tc>
          <w:tcPr>
            <w:tcW w:w="1101" w:type="pct"/>
            <w:tcMar>
              <w:top w:w="60" w:type="dxa"/>
              <w:left w:w="120" w:type="dxa"/>
              <w:bottom w:w="30" w:type="dxa"/>
              <w:right w:w="120" w:type="dxa"/>
            </w:tcMar>
          </w:tcPr>
          <w:p w14:paraId="259061B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卷帘控制专用</w:t>
            </w:r>
          </w:p>
        </w:tc>
        <w:tc>
          <w:tcPr>
            <w:tcW w:w="301" w:type="pct"/>
            <w:tcMar>
              <w:top w:w="60" w:type="dxa"/>
              <w:left w:w="120" w:type="dxa"/>
              <w:bottom w:w="30" w:type="dxa"/>
              <w:right w:w="120" w:type="dxa"/>
            </w:tcMar>
          </w:tcPr>
          <w:p w14:paraId="666878A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540FB95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406C5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03C3F58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107</w:t>
            </w:r>
          </w:p>
        </w:tc>
        <w:tc>
          <w:tcPr>
            <w:tcW w:w="1226" w:type="pct"/>
            <w:tcMar>
              <w:top w:w="60" w:type="dxa"/>
              <w:left w:w="120" w:type="dxa"/>
              <w:bottom w:w="30" w:type="dxa"/>
              <w:right w:w="120" w:type="dxa"/>
            </w:tcMar>
          </w:tcPr>
          <w:p w14:paraId="0D7B5F1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电气火灾监控系统</w:t>
            </w:r>
          </w:p>
        </w:tc>
        <w:tc>
          <w:tcPr>
            <w:tcW w:w="1403" w:type="pct"/>
            <w:tcMar>
              <w:top w:w="60" w:type="dxa"/>
              <w:left w:w="120" w:type="dxa"/>
              <w:bottom w:w="30" w:type="dxa"/>
              <w:right w:w="120" w:type="dxa"/>
            </w:tcMar>
          </w:tcPr>
          <w:p w14:paraId="4CF7797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剩余电流式电气火灾监控探测器</w:t>
            </w:r>
          </w:p>
        </w:tc>
        <w:tc>
          <w:tcPr>
            <w:tcW w:w="1101" w:type="pct"/>
            <w:tcMar>
              <w:top w:w="60" w:type="dxa"/>
              <w:left w:w="120" w:type="dxa"/>
              <w:bottom w:w="30" w:type="dxa"/>
              <w:right w:w="120" w:type="dxa"/>
            </w:tcMar>
          </w:tcPr>
          <w:p w14:paraId="7881B58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670758D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64C7169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5C0B0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5109BB6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108</w:t>
            </w:r>
          </w:p>
        </w:tc>
        <w:tc>
          <w:tcPr>
            <w:tcW w:w="1226" w:type="pct"/>
            <w:tcMar>
              <w:top w:w="60" w:type="dxa"/>
              <w:left w:w="120" w:type="dxa"/>
              <w:bottom w:w="30" w:type="dxa"/>
              <w:right w:w="120" w:type="dxa"/>
            </w:tcMar>
          </w:tcPr>
          <w:p w14:paraId="5C08156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电气火灾监控系统</w:t>
            </w:r>
          </w:p>
        </w:tc>
        <w:tc>
          <w:tcPr>
            <w:tcW w:w="1403" w:type="pct"/>
            <w:tcMar>
              <w:top w:w="60" w:type="dxa"/>
              <w:left w:w="120" w:type="dxa"/>
              <w:bottom w:w="30" w:type="dxa"/>
              <w:right w:w="120" w:type="dxa"/>
            </w:tcMar>
          </w:tcPr>
          <w:p w14:paraId="41788BA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测温式电气火灾监控探测器</w:t>
            </w:r>
          </w:p>
        </w:tc>
        <w:tc>
          <w:tcPr>
            <w:tcW w:w="1101" w:type="pct"/>
            <w:tcMar>
              <w:top w:w="60" w:type="dxa"/>
              <w:left w:w="120" w:type="dxa"/>
              <w:bottom w:w="30" w:type="dxa"/>
              <w:right w:w="120" w:type="dxa"/>
            </w:tcMar>
          </w:tcPr>
          <w:p w14:paraId="7147A4B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07CBC9D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0385BFD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566B1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99" w:type="pct"/>
            <w:tcMar>
              <w:top w:w="60" w:type="dxa"/>
              <w:left w:w="120" w:type="dxa"/>
              <w:bottom w:w="30" w:type="dxa"/>
              <w:right w:w="120" w:type="dxa"/>
            </w:tcMar>
          </w:tcPr>
          <w:p w14:paraId="64AA878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109</w:t>
            </w:r>
          </w:p>
        </w:tc>
        <w:tc>
          <w:tcPr>
            <w:tcW w:w="1226" w:type="pct"/>
            <w:tcMar>
              <w:top w:w="60" w:type="dxa"/>
              <w:left w:w="120" w:type="dxa"/>
              <w:bottom w:w="30" w:type="dxa"/>
              <w:right w:w="120" w:type="dxa"/>
            </w:tcMar>
          </w:tcPr>
          <w:p w14:paraId="48973FF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电气火灾监控系统</w:t>
            </w:r>
          </w:p>
        </w:tc>
        <w:tc>
          <w:tcPr>
            <w:tcW w:w="1403" w:type="pct"/>
            <w:tcMar>
              <w:top w:w="60" w:type="dxa"/>
              <w:left w:w="120" w:type="dxa"/>
              <w:bottom w:w="30" w:type="dxa"/>
              <w:right w:w="120" w:type="dxa"/>
            </w:tcMar>
          </w:tcPr>
          <w:p w14:paraId="1781B74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故障电弧探测器</w:t>
            </w:r>
          </w:p>
        </w:tc>
        <w:tc>
          <w:tcPr>
            <w:tcW w:w="1101" w:type="pct"/>
            <w:tcMar>
              <w:top w:w="60" w:type="dxa"/>
              <w:left w:w="120" w:type="dxa"/>
              <w:bottom w:w="30" w:type="dxa"/>
              <w:right w:w="120" w:type="dxa"/>
            </w:tcMar>
          </w:tcPr>
          <w:p w14:paraId="56A0A61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46E6794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3D5882C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5794E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1C5390C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110</w:t>
            </w:r>
          </w:p>
        </w:tc>
        <w:tc>
          <w:tcPr>
            <w:tcW w:w="1226" w:type="pct"/>
            <w:tcMar>
              <w:top w:w="60" w:type="dxa"/>
              <w:left w:w="120" w:type="dxa"/>
              <w:bottom w:w="30" w:type="dxa"/>
              <w:right w:w="120" w:type="dxa"/>
            </w:tcMar>
          </w:tcPr>
          <w:p w14:paraId="1710B65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电气火灾监控系统</w:t>
            </w:r>
          </w:p>
        </w:tc>
        <w:tc>
          <w:tcPr>
            <w:tcW w:w="1403" w:type="pct"/>
            <w:tcMar>
              <w:top w:w="60" w:type="dxa"/>
              <w:left w:w="120" w:type="dxa"/>
              <w:bottom w:w="30" w:type="dxa"/>
              <w:right w:w="120" w:type="dxa"/>
            </w:tcMar>
          </w:tcPr>
          <w:p w14:paraId="48C153D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电气火灾监控主机</w:t>
            </w:r>
          </w:p>
        </w:tc>
        <w:tc>
          <w:tcPr>
            <w:tcW w:w="1101" w:type="pct"/>
            <w:tcMar>
              <w:top w:w="60" w:type="dxa"/>
              <w:left w:w="120" w:type="dxa"/>
              <w:bottom w:w="30" w:type="dxa"/>
              <w:right w:w="120" w:type="dxa"/>
            </w:tcMar>
          </w:tcPr>
          <w:p w14:paraId="3B88D61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1158264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台</w:t>
            </w:r>
          </w:p>
        </w:tc>
        <w:tc>
          <w:tcPr>
            <w:tcW w:w="570" w:type="pct"/>
            <w:tcMar>
              <w:top w:w="60" w:type="dxa"/>
              <w:left w:w="120" w:type="dxa"/>
              <w:bottom w:w="30" w:type="dxa"/>
              <w:right w:w="120" w:type="dxa"/>
            </w:tcMar>
          </w:tcPr>
          <w:p w14:paraId="1D332D9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7C3AD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1B9DAC0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111</w:t>
            </w:r>
          </w:p>
        </w:tc>
        <w:tc>
          <w:tcPr>
            <w:tcW w:w="1226" w:type="pct"/>
            <w:tcMar>
              <w:top w:w="60" w:type="dxa"/>
              <w:left w:w="120" w:type="dxa"/>
              <w:bottom w:w="30" w:type="dxa"/>
              <w:right w:w="120" w:type="dxa"/>
            </w:tcMar>
          </w:tcPr>
          <w:p w14:paraId="0F0711A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消防设备电源监控系统</w:t>
            </w:r>
          </w:p>
        </w:tc>
        <w:tc>
          <w:tcPr>
            <w:tcW w:w="1403" w:type="pct"/>
            <w:tcMar>
              <w:top w:w="60" w:type="dxa"/>
              <w:left w:w="120" w:type="dxa"/>
              <w:bottom w:w="30" w:type="dxa"/>
              <w:right w:w="120" w:type="dxa"/>
            </w:tcMar>
          </w:tcPr>
          <w:p w14:paraId="14B0310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电压/电流传感器</w:t>
            </w:r>
          </w:p>
        </w:tc>
        <w:tc>
          <w:tcPr>
            <w:tcW w:w="1101" w:type="pct"/>
            <w:tcMar>
              <w:top w:w="60" w:type="dxa"/>
              <w:left w:w="120" w:type="dxa"/>
              <w:bottom w:w="30" w:type="dxa"/>
              <w:right w:w="120" w:type="dxa"/>
            </w:tcMar>
          </w:tcPr>
          <w:p w14:paraId="312131E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6C65CD3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63773C0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44145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1DC2344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112</w:t>
            </w:r>
          </w:p>
        </w:tc>
        <w:tc>
          <w:tcPr>
            <w:tcW w:w="1226" w:type="pct"/>
            <w:tcMar>
              <w:top w:w="60" w:type="dxa"/>
              <w:left w:w="120" w:type="dxa"/>
              <w:bottom w:w="30" w:type="dxa"/>
              <w:right w:w="120" w:type="dxa"/>
            </w:tcMar>
          </w:tcPr>
          <w:p w14:paraId="784B37A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消防设备电源监控系统</w:t>
            </w:r>
          </w:p>
        </w:tc>
        <w:tc>
          <w:tcPr>
            <w:tcW w:w="1403" w:type="pct"/>
            <w:tcMar>
              <w:top w:w="60" w:type="dxa"/>
              <w:left w:w="120" w:type="dxa"/>
              <w:bottom w:w="30" w:type="dxa"/>
              <w:right w:w="120" w:type="dxa"/>
            </w:tcMar>
          </w:tcPr>
          <w:p w14:paraId="16E87DB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消防设备电源监控主机</w:t>
            </w:r>
          </w:p>
        </w:tc>
        <w:tc>
          <w:tcPr>
            <w:tcW w:w="1101" w:type="pct"/>
            <w:tcMar>
              <w:top w:w="60" w:type="dxa"/>
              <w:left w:w="120" w:type="dxa"/>
              <w:bottom w:w="30" w:type="dxa"/>
              <w:right w:w="120" w:type="dxa"/>
            </w:tcMar>
          </w:tcPr>
          <w:p w14:paraId="1854E0C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2AE9082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台</w:t>
            </w:r>
          </w:p>
        </w:tc>
        <w:tc>
          <w:tcPr>
            <w:tcW w:w="570" w:type="pct"/>
            <w:tcMar>
              <w:top w:w="60" w:type="dxa"/>
              <w:left w:w="120" w:type="dxa"/>
              <w:bottom w:w="30" w:type="dxa"/>
              <w:right w:w="120" w:type="dxa"/>
            </w:tcMar>
          </w:tcPr>
          <w:p w14:paraId="37CB076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62579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1B57A83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113</w:t>
            </w:r>
          </w:p>
        </w:tc>
        <w:tc>
          <w:tcPr>
            <w:tcW w:w="1226" w:type="pct"/>
            <w:tcMar>
              <w:top w:w="60" w:type="dxa"/>
              <w:left w:w="120" w:type="dxa"/>
              <w:bottom w:w="30" w:type="dxa"/>
              <w:right w:w="120" w:type="dxa"/>
            </w:tcMar>
          </w:tcPr>
          <w:p w14:paraId="734782F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防火门监控系统</w:t>
            </w:r>
          </w:p>
        </w:tc>
        <w:tc>
          <w:tcPr>
            <w:tcW w:w="1403" w:type="pct"/>
            <w:tcMar>
              <w:top w:w="60" w:type="dxa"/>
              <w:left w:w="120" w:type="dxa"/>
              <w:bottom w:w="30" w:type="dxa"/>
              <w:right w:w="120" w:type="dxa"/>
            </w:tcMar>
          </w:tcPr>
          <w:p w14:paraId="1AB48E5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电动闭门器（电动释放器）</w:t>
            </w:r>
          </w:p>
        </w:tc>
        <w:tc>
          <w:tcPr>
            <w:tcW w:w="1101" w:type="pct"/>
            <w:tcMar>
              <w:top w:w="60" w:type="dxa"/>
              <w:left w:w="120" w:type="dxa"/>
              <w:bottom w:w="30" w:type="dxa"/>
              <w:right w:w="120" w:type="dxa"/>
            </w:tcMar>
          </w:tcPr>
          <w:p w14:paraId="5D12B9C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防火门监控专用</w:t>
            </w:r>
          </w:p>
        </w:tc>
        <w:tc>
          <w:tcPr>
            <w:tcW w:w="301" w:type="pct"/>
            <w:tcMar>
              <w:top w:w="60" w:type="dxa"/>
              <w:left w:w="120" w:type="dxa"/>
              <w:bottom w:w="30" w:type="dxa"/>
              <w:right w:w="120" w:type="dxa"/>
            </w:tcMar>
          </w:tcPr>
          <w:p w14:paraId="4131491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146B52E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7C78F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185D87D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114</w:t>
            </w:r>
          </w:p>
        </w:tc>
        <w:tc>
          <w:tcPr>
            <w:tcW w:w="1226" w:type="pct"/>
            <w:tcMar>
              <w:top w:w="60" w:type="dxa"/>
              <w:left w:w="120" w:type="dxa"/>
              <w:bottom w:w="30" w:type="dxa"/>
              <w:right w:w="120" w:type="dxa"/>
            </w:tcMar>
          </w:tcPr>
          <w:p w14:paraId="63016AD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防火门监控系统</w:t>
            </w:r>
          </w:p>
        </w:tc>
        <w:tc>
          <w:tcPr>
            <w:tcW w:w="1403" w:type="pct"/>
            <w:tcMar>
              <w:top w:w="60" w:type="dxa"/>
              <w:left w:w="120" w:type="dxa"/>
              <w:bottom w:w="30" w:type="dxa"/>
              <w:right w:w="120" w:type="dxa"/>
            </w:tcMar>
          </w:tcPr>
          <w:p w14:paraId="3A0B060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防火门监控器主机</w:t>
            </w:r>
          </w:p>
        </w:tc>
        <w:tc>
          <w:tcPr>
            <w:tcW w:w="1101" w:type="pct"/>
            <w:tcMar>
              <w:top w:w="60" w:type="dxa"/>
              <w:left w:w="120" w:type="dxa"/>
              <w:bottom w:w="30" w:type="dxa"/>
              <w:right w:w="120" w:type="dxa"/>
            </w:tcMar>
          </w:tcPr>
          <w:p w14:paraId="1493202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01A872F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台</w:t>
            </w:r>
          </w:p>
        </w:tc>
        <w:tc>
          <w:tcPr>
            <w:tcW w:w="570" w:type="pct"/>
            <w:tcMar>
              <w:top w:w="60" w:type="dxa"/>
              <w:left w:w="120" w:type="dxa"/>
              <w:bottom w:w="30" w:type="dxa"/>
              <w:right w:w="120" w:type="dxa"/>
            </w:tcMar>
          </w:tcPr>
          <w:p w14:paraId="6399C6B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非常规</w:t>
            </w:r>
          </w:p>
        </w:tc>
      </w:tr>
      <w:tr w14:paraId="5D283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599F344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115</w:t>
            </w:r>
          </w:p>
        </w:tc>
        <w:tc>
          <w:tcPr>
            <w:tcW w:w="1226" w:type="pct"/>
            <w:tcMar>
              <w:top w:w="60" w:type="dxa"/>
              <w:left w:w="120" w:type="dxa"/>
              <w:bottom w:w="30" w:type="dxa"/>
              <w:right w:w="120" w:type="dxa"/>
            </w:tcMar>
          </w:tcPr>
          <w:p w14:paraId="0923E41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防火门监控系统</w:t>
            </w:r>
          </w:p>
        </w:tc>
        <w:tc>
          <w:tcPr>
            <w:tcW w:w="1403" w:type="pct"/>
            <w:tcMar>
              <w:top w:w="60" w:type="dxa"/>
              <w:left w:w="120" w:type="dxa"/>
              <w:bottom w:w="30" w:type="dxa"/>
              <w:right w:w="120" w:type="dxa"/>
            </w:tcMar>
          </w:tcPr>
          <w:p w14:paraId="68B6472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门磁开关</w:t>
            </w:r>
          </w:p>
        </w:tc>
        <w:tc>
          <w:tcPr>
            <w:tcW w:w="1101" w:type="pct"/>
            <w:tcMar>
              <w:top w:w="60" w:type="dxa"/>
              <w:left w:w="120" w:type="dxa"/>
              <w:bottom w:w="30" w:type="dxa"/>
              <w:right w:w="120" w:type="dxa"/>
            </w:tcMar>
          </w:tcPr>
          <w:p w14:paraId="3A0F1C7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防火门监控专用</w:t>
            </w:r>
          </w:p>
        </w:tc>
        <w:tc>
          <w:tcPr>
            <w:tcW w:w="301" w:type="pct"/>
            <w:tcMar>
              <w:top w:w="60" w:type="dxa"/>
              <w:left w:w="120" w:type="dxa"/>
              <w:bottom w:w="30" w:type="dxa"/>
              <w:right w:w="120" w:type="dxa"/>
            </w:tcMar>
          </w:tcPr>
          <w:p w14:paraId="27A23E5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39A2A5C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30A1C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3138D8C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116</w:t>
            </w:r>
          </w:p>
        </w:tc>
        <w:tc>
          <w:tcPr>
            <w:tcW w:w="1226" w:type="pct"/>
            <w:tcMar>
              <w:top w:w="60" w:type="dxa"/>
              <w:left w:w="120" w:type="dxa"/>
              <w:bottom w:w="30" w:type="dxa"/>
              <w:right w:w="120" w:type="dxa"/>
            </w:tcMar>
          </w:tcPr>
          <w:p w14:paraId="447BAE1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其他通用类</w:t>
            </w:r>
          </w:p>
        </w:tc>
        <w:tc>
          <w:tcPr>
            <w:tcW w:w="1403" w:type="pct"/>
            <w:tcMar>
              <w:top w:w="60" w:type="dxa"/>
              <w:left w:w="120" w:type="dxa"/>
              <w:bottom w:w="30" w:type="dxa"/>
              <w:right w:w="120" w:type="dxa"/>
            </w:tcMar>
          </w:tcPr>
          <w:p w14:paraId="5750816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灭火器压力表</w:t>
            </w:r>
          </w:p>
        </w:tc>
        <w:tc>
          <w:tcPr>
            <w:tcW w:w="1101" w:type="pct"/>
            <w:tcMar>
              <w:top w:w="60" w:type="dxa"/>
              <w:left w:w="120" w:type="dxa"/>
              <w:bottom w:w="30" w:type="dxa"/>
              <w:right w:w="120" w:type="dxa"/>
            </w:tcMar>
          </w:tcPr>
          <w:p w14:paraId="76B854A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通用型</w:t>
            </w:r>
          </w:p>
        </w:tc>
        <w:tc>
          <w:tcPr>
            <w:tcW w:w="301" w:type="pct"/>
            <w:tcMar>
              <w:top w:w="60" w:type="dxa"/>
              <w:left w:w="120" w:type="dxa"/>
              <w:bottom w:w="30" w:type="dxa"/>
              <w:right w:w="120" w:type="dxa"/>
            </w:tcMar>
          </w:tcPr>
          <w:p w14:paraId="53E4AE2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4747ADE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297EE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5BBF00A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117</w:t>
            </w:r>
          </w:p>
        </w:tc>
        <w:tc>
          <w:tcPr>
            <w:tcW w:w="1226" w:type="pct"/>
            <w:tcMar>
              <w:top w:w="60" w:type="dxa"/>
              <w:left w:w="120" w:type="dxa"/>
              <w:bottom w:w="30" w:type="dxa"/>
              <w:right w:w="120" w:type="dxa"/>
            </w:tcMar>
          </w:tcPr>
          <w:p w14:paraId="2F37C86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其他通用类</w:t>
            </w:r>
          </w:p>
        </w:tc>
        <w:tc>
          <w:tcPr>
            <w:tcW w:w="1403" w:type="pct"/>
            <w:tcMar>
              <w:top w:w="60" w:type="dxa"/>
              <w:left w:w="120" w:type="dxa"/>
              <w:bottom w:w="30" w:type="dxa"/>
              <w:right w:w="120" w:type="dxa"/>
            </w:tcMar>
          </w:tcPr>
          <w:p w14:paraId="114D940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灭火器喷管</w:t>
            </w:r>
          </w:p>
        </w:tc>
        <w:tc>
          <w:tcPr>
            <w:tcW w:w="1101" w:type="pct"/>
            <w:tcMar>
              <w:top w:w="60" w:type="dxa"/>
              <w:left w:w="120" w:type="dxa"/>
              <w:bottom w:w="30" w:type="dxa"/>
              <w:right w:w="120" w:type="dxa"/>
            </w:tcMar>
          </w:tcPr>
          <w:p w14:paraId="67A27B1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通用型</w:t>
            </w:r>
          </w:p>
        </w:tc>
        <w:tc>
          <w:tcPr>
            <w:tcW w:w="301" w:type="pct"/>
            <w:tcMar>
              <w:top w:w="60" w:type="dxa"/>
              <w:left w:w="120" w:type="dxa"/>
              <w:bottom w:w="30" w:type="dxa"/>
              <w:right w:w="120" w:type="dxa"/>
            </w:tcMar>
          </w:tcPr>
          <w:p w14:paraId="12D9A48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4E6CF5E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011CD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0878208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118</w:t>
            </w:r>
          </w:p>
        </w:tc>
        <w:tc>
          <w:tcPr>
            <w:tcW w:w="1226" w:type="pct"/>
            <w:tcMar>
              <w:top w:w="60" w:type="dxa"/>
              <w:left w:w="120" w:type="dxa"/>
              <w:bottom w:w="30" w:type="dxa"/>
              <w:right w:w="120" w:type="dxa"/>
            </w:tcMar>
          </w:tcPr>
          <w:p w14:paraId="4ABAE6F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其他通用类</w:t>
            </w:r>
          </w:p>
        </w:tc>
        <w:tc>
          <w:tcPr>
            <w:tcW w:w="1403" w:type="pct"/>
            <w:tcMar>
              <w:top w:w="60" w:type="dxa"/>
              <w:left w:w="120" w:type="dxa"/>
              <w:bottom w:w="30" w:type="dxa"/>
              <w:right w:w="120" w:type="dxa"/>
            </w:tcMar>
          </w:tcPr>
          <w:p w14:paraId="195DECC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灭火器充装（干粉4KG）</w:t>
            </w:r>
          </w:p>
        </w:tc>
        <w:tc>
          <w:tcPr>
            <w:tcW w:w="1101" w:type="pct"/>
            <w:tcMar>
              <w:top w:w="60" w:type="dxa"/>
              <w:left w:w="120" w:type="dxa"/>
              <w:bottom w:w="30" w:type="dxa"/>
              <w:right w:w="120" w:type="dxa"/>
            </w:tcMar>
          </w:tcPr>
          <w:p w14:paraId="7E3B366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7D3589E1">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具</w:t>
            </w:r>
          </w:p>
        </w:tc>
        <w:tc>
          <w:tcPr>
            <w:tcW w:w="570" w:type="pct"/>
            <w:tcMar>
              <w:top w:w="60" w:type="dxa"/>
              <w:left w:w="120" w:type="dxa"/>
              <w:bottom w:w="30" w:type="dxa"/>
              <w:right w:w="120" w:type="dxa"/>
            </w:tcMar>
          </w:tcPr>
          <w:p w14:paraId="0C4D892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465C8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5E49CCC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119</w:t>
            </w:r>
          </w:p>
        </w:tc>
        <w:tc>
          <w:tcPr>
            <w:tcW w:w="1226" w:type="pct"/>
            <w:tcMar>
              <w:top w:w="60" w:type="dxa"/>
              <w:left w:w="120" w:type="dxa"/>
              <w:bottom w:w="30" w:type="dxa"/>
              <w:right w:w="120" w:type="dxa"/>
            </w:tcMar>
          </w:tcPr>
          <w:p w14:paraId="7056EBB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其他通用类</w:t>
            </w:r>
          </w:p>
        </w:tc>
        <w:tc>
          <w:tcPr>
            <w:tcW w:w="1403" w:type="pct"/>
            <w:tcMar>
              <w:top w:w="60" w:type="dxa"/>
              <w:left w:w="120" w:type="dxa"/>
              <w:bottom w:w="30" w:type="dxa"/>
              <w:right w:w="120" w:type="dxa"/>
            </w:tcMar>
          </w:tcPr>
          <w:p w14:paraId="3563773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灭火器充装（二氧化碳2KG）</w:t>
            </w:r>
          </w:p>
        </w:tc>
        <w:tc>
          <w:tcPr>
            <w:tcW w:w="1101" w:type="pct"/>
            <w:tcMar>
              <w:top w:w="60" w:type="dxa"/>
              <w:left w:w="120" w:type="dxa"/>
              <w:bottom w:w="30" w:type="dxa"/>
              <w:right w:w="120" w:type="dxa"/>
            </w:tcMar>
          </w:tcPr>
          <w:p w14:paraId="73DB187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18621AF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具</w:t>
            </w:r>
          </w:p>
        </w:tc>
        <w:tc>
          <w:tcPr>
            <w:tcW w:w="570" w:type="pct"/>
            <w:tcMar>
              <w:top w:w="60" w:type="dxa"/>
              <w:left w:w="120" w:type="dxa"/>
              <w:bottom w:w="30" w:type="dxa"/>
              <w:right w:w="120" w:type="dxa"/>
            </w:tcMar>
          </w:tcPr>
          <w:p w14:paraId="060ED61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3798A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0538E0D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120</w:t>
            </w:r>
          </w:p>
        </w:tc>
        <w:tc>
          <w:tcPr>
            <w:tcW w:w="1226" w:type="pct"/>
            <w:tcMar>
              <w:top w:w="60" w:type="dxa"/>
              <w:left w:w="120" w:type="dxa"/>
              <w:bottom w:w="30" w:type="dxa"/>
              <w:right w:w="120" w:type="dxa"/>
            </w:tcMar>
          </w:tcPr>
          <w:p w14:paraId="20F083C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其他通用类</w:t>
            </w:r>
          </w:p>
        </w:tc>
        <w:tc>
          <w:tcPr>
            <w:tcW w:w="1403" w:type="pct"/>
            <w:tcMar>
              <w:top w:w="60" w:type="dxa"/>
              <w:left w:w="120" w:type="dxa"/>
              <w:bottom w:w="30" w:type="dxa"/>
              <w:right w:w="120" w:type="dxa"/>
            </w:tcMar>
          </w:tcPr>
          <w:p w14:paraId="0243101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交流接触器</w:t>
            </w:r>
          </w:p>
        </w:tc>
        <w:tc>
          <w:tcPr>
            <w:tcW w:w="1101" w:type="pct"/>
            <w:tcMar>
              <w:top w:w="60" w:type="dxa"/>
              <w:left w:w="120" w:type="dxa"/>
              <w:bottom w:w="30" w:type="dxa"/>
              <w:right w:w="120" w:type="dxa"/>
            </w:tcMar>
          </w:tcPr>
          <w:p w14:paraId="5CE40BB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按控制柜型号匹配</w:t>
            </w:r>
          </w:p>
        </w:tc>
        <w:tc>
          <w:tcPr>
            <w:tcW w:w="301" w:type="pct"/>
            <w:tcMar>
              <w:top w:w="60" w:type="dxa"/>
              <w:left w:w="120" w:type="dxa"/>
              <w:bottom w:w="30" w:type="dxa"/>
              <w:right w:w="120" w:type="dxa"/>
            </w:tcMar>
          </w:tcPr>
          <w:p w14:paraId="74F6C42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24E62AE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6F887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7803C0A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121</w:t>
            </w:r>
          </w:p>
        </w:tc>
        <w:tc>
          <w:tcPr>
            <w:tcW w:w="1226" w:type="pct"/>
            <w:tcMar>
              <w:top w:w="60" w:type="dxa"/>
              <w:left w:w="120" w:type="dxa"/>
              <w:bottom w:w="30" w:type="dxa"/>
              <w:right w:w="120" w:type="dxa"/>
            </w:tcMar>
          </w:tcPr>
          <w:p w14:paraId="0E2939A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其他通用类</w:t>
            </w:r>
          </w:p>
        </w:tc>
        <w:tc>
          <w:tcPr>
            <w:tcW w:w="1403" w:type="pct"/>
            <w:tcMar>
              <w:top w:w="60" w:type="dxa"/>
              <w:left w:w="120" w:type="dxa"/>
              <w:bottom w:w="30" w:type="dxa"/>
              <w:right w:w="120" w:type="dxa"/>
            </w:tcMar>
          </w:tcPr>
          <w:p w14:paraId="0D39786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小型继电器</w:t>
            </w:r>
          </w:p>
        </w:tc>
        <w:tc>
          <w:tcPr>
            <w:tcW w:w="1101" w:type="pct"/>
            <w:tcMar>
              <w:top w:w="60" w:type="dxa"/>
              <w:left w:w="120" w:type="dxa"/>
              <w:bottom w:w="30" w:type="dxa"/>
              <w:right w:w="120" w:type="dxa"/>
            </w:tcMar>
          </w:tcPr>
          <w:p w14:paraId="67C17FF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24V/220V</w:t>
            </w:r>
          </w:p>
        </w:tc>
        <w:tc>
          <w:tcPr>
            <w:tcW w:w="301" w:type="pct"/>
            <w:tcMar>
              <w:top w:w="60" w:type="dxa"/>
              <w:left w:w="120" w:type="dxa"/>
              <w:bottom w:w="30" w:type="dxa"/>
              <w:right w:w="120" w:type="dxa"/>
            </w:tcMar>
          </w:tcPr>
          <w:p w14:paraId="2E88C95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6303CC3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09B98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3E733D6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122</w:t>
            </w:r>
          </w:p>
        </w:tc>
        <w:tc>
          <w:tcPr>
            <w:tcW w:w="1226" w:type="pct"/>
            <w:tcMar>
              <w:top w:w="60" w:type="dxa"/>
              <w:left w:w="120" w:type="dxa"/>
              <w:bottom w:w="30" w:type="dxa"/>
              <w:right w:w="120" w:type="dxa"/>
            </w:tcMar>
          </w:tcPr>
          <w:p w14:paraId="7810CE0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其他通用类</w:t>
            </w:r>
          </w:p>
        </w:tc>
        <w:tc>
          <w:tcPr>
            <w:tcW w:w="1403" w:type="pct"/>
            <w:tcMar>
              <w:top w:w="60" w:type="dxa"/>
              <w:left w:w="120" w:type="dxa"/>
              <w:bottom w:w="30" w:type="dxa"/>
              <w:right w:w="120" w:type="dxa"/>
            </w:tcMar>
          </w:tcPr>
          <w:p w14:paraId="74C7FD1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热继电器</w:t>
            </w:r>
          </w:p>
        </w:tc>
        <w:tc>
          <w:tcPr>
            <w:tcW w:w="1101" w:type="pct"/>
            <w:tcMar>
              <w:top w:w="60" w:type="dxa"/>
              <w:left w:w="120" w:type="dxa"/>
              <w:bottom w:w="30" w:type="dxa"/>
              <w:right w:w="120" w:type="dxa"/>
            </w:tcMar>
          </w:tcPr>
          <w:p w14:paraId="139F9E7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1F53211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15DD616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2D0A9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159D8EA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123</w:t>
            </w:r>
          </w:p>
        </w:tc>
        <w:tc>
          <w:tcPr>
            <w:tcW w:w="1226" w:type="pct"/>
            <w:tcMar>
              <w:top w:w="60" w:type="dxa"/>
              <w:left w:w="120" w:type="dxa"/>
              <w:bottom w:w="30" w:type="dxa"/>
              <w:right w:w="120" w:type="dxa"/>
            </w:tcMar>
          </w:tcPr>
          <w:p w14:paraId="12DC6F2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其他通用类</w:t>
            </w:r>
          </w:p>
        </w:tc>
        <w:tc>
          <w:tcPr>
            <w:tcW w:w="1403" w:type="pct"/>
            <w:tcMar>
              <w:top w:w="60" w:type="dxa"/>
              <w:left w:w="120" w:type="dxa"/>
              <w:bottom w:w="30" w:type="dxa"/>
              <w:right w:w="120" w:type="dxa"/>
            </w:tcMar>
          </w:tcPr>
          <w:p w14:paraId="5ED944D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空气开关</w:t>
            </w:r>
          </w:p>
        </w:tc>
        <w:tc>
          <w:tcPr>
            <w:tcW w:w="1101" w:type="pct"/>
            <w:tcMar>
              <w:top w:w="60" w:type="dxa"/>
              <w:left w:w="120" w:type="dxa"/>
              <w:bottom w:w="30" w:type="dxa"/>
              <w:right w:w="120" w:type="dxa"/>
            </w:tcMar>
          </w:tcPr>
          <w:p w14:paraId="2D5D3FA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013E614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5EA27BD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4921C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0361504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124</w:t>
            </w:r>
          </w:p>
        </w:tc>
        <w:tc>
          <w:tcPr>
            <w:tcW w:w="1226" w:type="pct"/>
            <w:tcMar>
              <w:top w:w="60" w:type="dxa"/>
              <w:left w:w="120" w:type="dxa"/>
              <w:bottom w:w="30" w:type="dxa"/>
              <w:right w:w="120" w:type="dxa"/>
            </w:tcMar>
          </w:tcPr>
          <w:p w14:paraId="61459ED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其他通用类</w:t>
            </w:r>
          </w:p>
        </w:tc>
        <w:tc>
          <w:tcPr>
            <w:tcW w:w="1403" w:type="pct"/>
            <w:tcMar>
              <w:top w:w="60" w:type="dxa"/>
              <w:left w:w="120" w:type="dxa"/>
              <w:bottom w:w="30" w:type="dxa"/>
              <w:right w:w="120" w:type="dxa"/>
            </w:tcMar>
          </w:tcPr>
          <w:p w14:paraId="672245D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保险管/熔断器</w:t>
            </w:r>
          </w:p>
        </w:tc>
        <w:tc>
          <w:tcPr>
            <w:tcW w:w="1101" w:type="pct"/>
            <w:tcMar>
              <w:top w:w="60" w:type="dxa"/>
              <w:left w:w="120" w:type="dxa"/>
              <w:bottom w:w="30" w:type="dxa"/>
              <w:right w:w="120" w:type="dxa"/>
            </w:tcMar>
          </w:tcPr>
          <w:p w14:paraId="3C5B719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按型号匹配</w:t>
            </w:r>
          </w:p>
        </w:tc>
        <w:tc>
          <w:tcPr>
            <w:tcW w:w="301" w:type="pct"/>
            <w:tcMar>
              <w:top w:w="60" w:type="dxa"/>
              <w:left w:w="120" w:type="dxa"/>
              <w:bottom w:w="30" w:type="dxa"/>
              <w:right w:w="120" w:type="dxa"/>
            </w:tcMar>
          </w:tcPr>
          <w:p w14:paraId="4735ADF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474CC73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000C6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078045B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125</w:t>
            </w:r>
          </w:p>
        </w:tc>
        <w:tc>
          <w:tcPr>
            <w:tcW w:w="1226" w:type="pct"/>
            <w:tcMar>
              <w:top w:w="60" w:type="dxa"/>
              <w:left w:w="120" w:type="dxa"/>
              <w:bottom w:w="30" w:type="dxa"/>
              <w:right w:w="120" w:type="dxa"/>
            </w:tcMar>
          </w:tcPr>
          <w:p w14:paraId="431D03F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其他通用类</w:t>
            </w:r>
          </w:p>
        </w:tc>
        <w:tc>
          <w:tcPr>
            <w:tcW w:w="1403" w:type="pct"/>
            <w:tcMar>
              <w:top w:w="60" w:type="dxa"/>
              <w:left w:w="120" w:type="dxa"/>
              <w:bottom w:w="30" w:type="dxa"/>
              <w:right w:w="120" w:type="dxa"/>
            </w:tcMar>
          </w:tcPr>
          <w:p w14:paraId="3DEA6F3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备用电池（通用）</w:t>
            </w:r>
          </w:p>
        </w:tc>
        <w:tc>
          <w:tcPr>
            <w:tcW w:w="1101" w:type="pct"/>
            <w:tcMar>
              <w:top w:w="60" w:type="dxa"/>
              <w:left w:w="120" w:type="dxa"/>
              <w:bottom w:w="30" w:type="dxa"/>
              <w:right w:w="120" w:type="dxa"/>
            </w:tcMar>
          </w:tcPr>
          <w:p w14:paraId="6F36CF0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3.6V/12V/24V</w:t>
            </w:r>
          </w:p>
        </w:tc>
        <w:tc>
          <w:tcPr>
            <w:tcW w:w="301" w:type="pct"/>
            <w:tcMar>
              <w:top w:w="60" w:type="dxa"/>
              <w:left w:w="120" w:type="dxa"/>
              <w:bottom w:w="30" w:type="dxa"/>
              <w:right w:w="120" w:type="dxa"/>
            </w:tcMar>
          </w:tcPr>
          <w:p w14:paraId="14E35DA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块</w:t>
            </w:r>
          </w:p>
        </w:tc>
        <w:tc>
          <w:tcPr>
            <w:tcW w:w="570" w:type="pct"/>
            <w:tcMar>
              <w:top w:w="60" w:type="dxa"/>
              <w:left w:w="120" w:type="dxa"/>
              <w:bottom w:w="30" w:type="dxa"/>
              <w:right w:w="120" w:type="dxa"/>
            </w:tcMar>
          </w:tcPr>
          <w:p w14:paraId="002BF01D">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4EFBE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6C6B10F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126</w:t>
            </w:r>
          </w:p>
        </w:tc>
        <w:tc>
          <w:tcPr>
            <w:tcW w:w="1226" w:type="pct"/>
            <w:tcMar>
              <w:top w:w="60" w:type="dxa"/>
              <w:left w:w="120" w:type="dxa"/>
              <w:bottom w:w="30" w:type="dxa"/>
              <w:right w:w="120" w:type="dxa"/>
            </w:tcMar>
          </w:tcPr>
          <w:p w14:paraId="73715CC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其他通用类</w:t>
            </w:r>
          </w:p>
        </w:tc>
        <w:tc>
          <w:tcPr>
            <w:tcW w:w="1403" w:type="pct"/>
            <w:tcMar>
              <w:top w:w="60" w:type="dxa"/>
              <w:left w:w="120" w:type="dxa"/>
              <w:bottom w:w="30" w:type="dxa"/>
              <w:right w:w="120" w:type="dxa"/>
            </w:tcMar>
          </w:tcPr>
          <w:p w14:paraId="353C118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镀锌软管</w:t>
            </w:r>
          </w:p>
        </w:tc>
        <w:tc>
          <w:tcPr>
            <w:tcW w:w="1101" w:type="pct"/>
            <w:tcMar>
              <w:top w:w="60" w:type="dxa"/>
              <w:left w:w="120" w:type="dxa"/>
              <w:bottom w:w="30" w:type="dxa"/>
              <w:right w:w="120" w:type="dxa"/>
            </w:tcMar>
          </w:tcPr>
          <w:p w14:paraId="591FBB1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按管径匹配</w:t>
            </w:r>
          </w:p>
        </w:tc>
        <w:tc>
          <w:tcPr>
            <w:tcW w:w="301" w:type="pct"/>
            <w:tcMar>
              <w:top w:w="60" w:type="dxa"/>
              <w:left w:w="120" w:type="dxa"/>
              <w:bottom w:w="30" w:type="dxa"/>
              <w:right w:w="120" w:type="dxa"/>
            </w:tcMar>
          </w:tcPr>
          <w:p w14:paraId="49F85DB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米</w:t>
            </w:r>
          </w:p>
        </w:tc>
        <w:tc>
          <w:tcPr>
            <w:tcW w:w="570" w:type="pct"/>
            <w:tcMar>
              <w:top w:w="60" w:type="dxa"/>
              <w:left w:w="120" w:type="dxa"/>
              <w:bottom w:w="30" w:type="dxa"/>
              <w:right w:w="120" w:type="dxa"/>
            </w:tcMar>
          </w:tcPr>
          <w:p w14:paraId="3AFB04FB">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70B7A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2185C42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127</w:t>
            </w:r>
          </w:p>
        </w:tc>
        <w:tc>
          <w:tcPr>
            <w:tcW w:w="1226" w:type="pct"/>
            <w:tcMar>
              <w:top w:w="60" w:type="dxa"/>
              <w:left w:w="120" w:type="dxa"/>
              <w:bottom w:w="30" w:type="dxa"/>
              <w:right w:w="120" w:type="dxa"/>
            </w:tcMar>
          </w:tcPr>
          <w:p w14:paraId="6D35074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其他通用类</w:t>
            </w:r>
          </w:p>
        </w:tc>
        <w:tc>
          <w:tcPr>
            <w:tcW w:w="1403" w:type="pct"/>
            <w:tcMar>
              <w:top w:w="60" w:type="dxa"/>
              <w:left w:w="120" w:type="dxa"/>
              <w:bottom w:w="30" w:type="dxa"/>
              <w:right w:w="120" w:type="dxa"/>
            </w:tcMar>
          </w:tcPr>
          <w:p w14:paraId="7901903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绝缘胶带</w:t>
            </w:r>
          </w:p>
        </w:tc>
        <w:tc>
          <w:tcPr>
            <w:tcW w:w="1101" w:type="pct"/>
            <w:tcMar>
              <w:top w:w="60" w:type="dxa"/>
              <w:left w:w="120" w:type="dxa"/>
              <w:bottom w:w="30" w:type="dxa"/>
              <w:right w:w="120" w:type="dxa"/>
            </w:tcMar>
          </w:tcPr>
          <w:p w14:paraId="6E441F1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电工通用</w:t>
            </w:r>
          </w:p>
        </w:tc>
        <w:tc>
          <w:tcPr>
            <w:tcW w:w="301" w:type="pct"/>
            <w:tcMar>
              <w:top w:w="60" w:type="dxa"/>
              <w:left w:w="120" w:type="dxa"/>
              <w:bottom w:w="30" w:type="dxa"/>
              <w:right w:w="120" w:type="dxa"/>
            </w:tcMar>
          </w:tcPr>
          <w:p w14:paraId="0CEE32D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卷</w:t>
            </w:r>
          </w:p>
        </w:tc>
        <w:tc>
          <w:tcPr>
            <w:tcW w:w="570" w:type="pct"/>
            <w:tcMar>
              <w:top w:w="60" w:type="dxa"/>
              <w:left w:w="120" w:type="dxa"/>
              <w:bottom w:w="30" w:type="dxa"/>
              <w:right w:w="120" w:type="dxa"/>
            </w:tcMar>
          </w:tcPr>
          <w:p w14:paraId="333D4BE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233C3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1238821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128</w:t>
            </w:r>
          </w:p>
        </w:tc>
        <w:tc>
          <w:tcPr>
            <w:tcW w:w="1226" w:type="pct"/>
            <w:tcMar>
              <w:top w:w="60" w:type="dxa"/>
              <w:left w:w="120" w:type="dxa"/>
              <w:bottom w:w="30" w:type="dxa"/>
              <w:right w:w="120" w:type="dxa"/>
            </w:tcMar>
          </w:tcPr>
          <w:p w14:paraId="23D20688">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其他通用类</w:t>
            </w:r>
          </w:p>
        </w:tc>
        <w:tc>
          <w:tcPr>
            <w:tcW w:w="1403" w:type="pct"/>
            <w:tcMar>
              <w:top w:w="60" w:type="dxa"/>
              <w:left w:w="120" w:type="dxa"/>
              <w:bottom w:w="30" w:type="dxa"/>
              <w:right w:w="120" w:type="dxa"/>
            </w:tcMar>
          </w:tcPr>
          <w:p w14:paraId="416013B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扎带</w:t>
            </w:r>
          </w:p>
        </w:tc>
        <w:tc>
          <w:tcPr>
            <w:tcW w:w="1101" w:type="pct"/>
            <w:tcMar>
              <w:top w:w="60" w:type="dxa"/>
              <w:left w:w="120" w:type="dxa"/>
              <w:bottom w:w="30" w:type="dxa"/>
              <w:right w:w="120" w:type="dxa"/>
            </w:tcMar>
          </w:tcPr>
          <w:p w14:paraId="2076DE63">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通用型</w:t>
            </w:r>
          </w:p>
        </w:tc>
        <w:tc>
          <w:tcPr>
            <w:tcW w:w="301" w:type="pct"/>
            <w:tcMar>
              <w:top w:w="60" w:type="dxa"/>
              <w:left w:w="120" w:type="dxa"/>
              <w:bottom w:w="30" w:type="dxa"/>
              <w:right w:w="120" w:type="dxa"/>
            </w:tcMar>
          </w:tcPr>
          <w:p w14:paraId="02D18D1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包</w:t>
            </w:r>
          </w:p>
        </w:tc>
        <w:tc>
          <w:tcPr>
            <w:tcW w:w="570" w:type="pct"/>
            <w:tcMar>
              <w:top w:w="60" w:type="dxa"/>
              <w:left w:w="120" w:type="dxa"/>
              <w:bottom w:w="30" w:type="dxa"/>
              <w:right w:w="120" w:type="dxa"/>
            </w:tcMar>
          </w:tcPr>
          <w:p w14:paraId="7F9F7DB2">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42406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4626319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129</w:t>
            </w:r>
          </w:p>
        </w:tc>
        <w:tc>
          <w:tcPr>
            <w:tcW w:w="1226" w:type="pct"/>
            <w:tcMar>
              <w:top w:w="60" w:type="dxa"/>
              <w:left w:w="120" w:type="dxa"/>
              <w:bottom w:w="30" w:type="dxa"/>
              <w:right w:w="120" w:type="dxa"/>
            </w:tcMar>
          </w:tcPr>
          <w:p w14:paraId="5E55C13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其他通用类</w:t>
            </w:r>
          </w:p>
        </w:tc>
        <w:tc>
          <w:tcPr>
            <w:tcW w:w="1403" w:type="pct"/>
            <w:tcMar>
              <w:top w:w="60" w:type="dxa"/>
              <w:left w:w="120" w:type="dxa"/>
              <w:bottom w:w="30" w:type="dxa"/>
              <w:right w:w="120" w:type="dxa"/>
            </w:tcMar>
          </w:tcPr>
          <w:p w14:paraId="673ACC2A">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接线端子</w:t>
            </w:r>
          </w:p>
        </w:tc>
        <w:tc>
          <w:tcPr>
            <w:tcW w:w="1101" w:type="pct"/>
            <w:tcMar>
              <w:top w:w="60" w:type="dxa"/>
              <w:left w:w="120" w:type="dxa"/>
              <w:bottom w:w="30" w:type="dxa"/>
              <w:right w:w="120" w:type="dxa"/>
            </w:tcMar>
          </w:tcPr>
          <w:p w14:paraId="79FF78B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通用型</w:t>
            </w:r>
          </w:p>
        </w:tc>
        <w:tc>
          <w:tcPr>
            <w:tcW w:w="301" w:type="pct"/>
            <w:tcMar>
              <w:top w:w="60" w:type="dxa"/>
              <w:left w:w="120" w:type="dxa"/>
              <w:bottom w:w="30" w:type="dxa"/>
              <w:right w:w="120" w:type="dxa"/>
            </w:tcMar>
          </w:tcPr>
          <w:p w14:paraId="503B1F67">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198CABBE">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73A1A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43F2C21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130</w:t>
            </w:r>
          </w:p>
        </w:tc>
        <w:tc>
          <w:tcPr>
            <w:tcW w:w="1226" w:type="pct"/>
            <w:tcMar>
              <w:top w:w="60" w:type="dxa"/>
              <w:left w:w="120" w:type="dxa"/>
              <w:bottom w:w="30" w:type="dxa"/>
              <w:right w:w="120" w:type="dxa"/>
            </w:tcMar>
          </w:tcPr>
          <w:p w14:paraId="5504D180">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其他通用类</w:t>
            </w:r>
          </w:p>
        </w:tc>
        <w:tc>
          <w:tcPr>
            <w:tcW w:w="1403" w:type="pct"/>
            <w:tcMar>
              <w:top w:w="60" w:type="dxa"/>
              <w:left w:w="120" w:type="dxa"/>
              <w:bottom w:w="30" w:type="dxa"/>
              <w:right w:w="120" w:type="dxa"/>
            </w:tcMar>
          </w:tcPr>
          <w:p w14:paraId="6016D42C">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密封胶垫/圈</w:t>
            </w:r>
          </w:p>
        </w:tc>
        <w:tc>
          <w:tcPr>
            <w:tcW w:w="1101" w:type="pct"/>
            <w:tcMar>
              <w:top w:w="60" w:type="dxa"/>
              <w:left w:w="120" w:type="dxa"/>
              <w:bottom w:w="30" w:type="dxa"/>
              <w:right w:w="120" w:type="dxa"/>
            </w:tcMar>
          </w:tcPr>
          <w:p w14:paraId="2C43A319">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通用型</w:t>
            </w:r>
          </w:p>
        </w:tc>
        <w:tc>
          <w:tcPr>
            <w:tcW w:w="301" w:type="pct"/>
            <w:tcMar>
              <w:top w:w="60" w:type="dxa"/>
              <w:left w:w="120" w:type="dxa"/>
              <w:bottom w:w="30" w:type="dxa"/>
              <w:right w:w="120" w:type="dxa"/>
            </w:tcMar>
          </w:tcPr>
          <w:p w14:paraId="17A0498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个</w:t>
            </w:r>
          </w:p>
        </w:tc>
        <w:tc>
          <w:tcPr>
            <w:tcW w:w="570" w:type="pct"/>
            <w:tcMar>
              <w:top w:w="60" w:type="dxa"/>
              <w:left w:w="120" w:type="dxa"/>
              <w:bottom w:w="30" w:type="dxa"/>
              <w:right w:w="120" w:type="dxa"/>
            </w:tcMar>
          </w:tcPr>
          <w:p w14:paraId="01FC5D5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r w14:paraId="0BE88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9" w:type="pct"/>
            <w:tcMar>
              <w:top w:w="60" w:type="dxa"/>
              <w:left w:w="120" w:type="dxa"/>
              <w:bottom w:w="30" w:type="dxa"/>
              <w:right w:w="120" w:type="dxa"/>
            </w:tcMar>
          </w:tcPr>
          <w:p w14:paraId="0E9D59F6">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131</w:t>
            </w:r>
          </w:p>
        </w:tc>
        <w:tc>
          <w:tcPr>
            <w:tcW w:w="1226" w:type="pct"/>
            <w:tcMar>
              <w:top w:w="60" w:type="dxa"/>
              <w:left w:w="120" w:type="dxa"/>
              <w:bottom w:w="30" w:type="dxa"/>
              <w:right w:w="120" w:type="dxa"/>
            </w:tcMar>
          </w:tcPr>
          <w:p w14:paraId="29172D7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其他通用类</w:t>
            </w:r>
          </w:p>
        </w:tc>
        <w:tc>
          <w:tcPr>
            <w:tcW w:w="1403" w:type="pct"/>
            <w:tcMar>
              <w:top w:w="60" w:type="dxa"/>
              <w:left w:w="120" w:type="dxa"/>
              <w:bottom w:w="30" w:type="dxa"/>
              <w:right w:w="120" w:type="dxa"/>
            </w:tcMar>
          </w:tcPr>
          <w:p w14:paraId="09FD12E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生料带</w:t>
            </w:r>
          </w:p>
        </w:tc>
        <w:tc>
          <w:tcPr>
            <w:tcW w:w="1101" w:type="pct"/>
            <w:tcMar>
              <w:top w:w="60" w:type="dxa"/>
              <w:left w:w="120" w:type="dxa"/>
              <w:bottom w:w="30" w:type="dxa"/>
              <w:right w:w="120" w:type="dxa"/>
            </w:tcMar>
          </w:tcPr>
          <w:p w14:paraId="16E00DA5">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通用型</w:t>
            </w:r>
          </w:p>
        </w:tc>
        <w:tc>
          <w:tcPr>
            <w:tcW w:w="301" w:type="pct"/>
            <w:tcMar>
              <w:top w:w="60" w:type="dxa"/>
              <w:left w:w="120" w:type="dxa"/>
              <w:bottom w:w="30" w:type="dxa"/>
              <w:right w:w="120" w:type="dxa"/>
            </w:tcMar>
          </w:tcPr>
          <w:p w14:paraId="1D09845F">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卷</w:t>
            </w:r>
          </w:p>
        </w:tc>
        <w:tc>
          <w:tcPr>
            <w:tcW w:w="570" w:type="pct"/>
            <w:tcMar>
              <w:top w:w="60" w:type="dxa"/>
              <w:left w:w="120" w:type="dxa"/>
              <w:bottom w:w="30" w:type="dxa"/>
              <w:right w:w="120" w:type="dxa"/>
            </w:tcMar>
          </w:tcPr>
          <w:p w14:paraId="70AC06C4">
            <w:pPr>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常规</w:t>
            </w:r>
          </w:p>
        </w:tc>
      </w:tr>
    </w:tbl>
    <w:p w14:paraId="4B67AFE3">
      <w:pPr>
        <w:pStyle w:val="3"/>
        <w:keepNext w:val="0"/>
        <w:keepLines w:val="0"/>
        <w:widowControl/>
        <w:shd w:val="clear" w:color="auto" w:fill="FFFFFF"/>
        <w:adjustRightInd w:val="0"/>
        <w:snapToGrid w:val="0"/>
        <w:spacing w:before="0" w:after="0" w:line="312" w:lineRule="auto"/>
        <w:rPr>
          <w:rFonts w:ascii="仿宋_GB2312" w:hAnsi="仿宋" w:eastAsia="仿宋_GB2312" w:cs="仿宋"/>
          <w:b w:val="0"/>
          <w:bCs w:val="0"/>
          <w:color w:val="auto"/>
          <w:sz w:val="24"/>
          <w:szCs w:val="24"/>
          <w:highlight w:val="none"/>
        </w:rPr>
      </w:pPr>
      <w:r>
        <w:rPr>
          <w:rFonts w:hint="eastAsia" w:ascii="仿宋_GB2312" w:hAnsi="仿宋" w:eastAsia="仿宋_GB2312" w:cs="仿宋"/>
          <w:color w:val="auto"/>
          <w:sz w:val="24"/>
          <w:highlight w:val="none"/>
          <w:shd w:val="clear" w:color="auto" w:fill="FFFFFF"/>
        </w:rPr>
        <w:t>★</w:t>
      </w:r>
      <w:r>
        <w:rPr>
          <w:rFonts w:hint="eastAsia" w:ascii="仿宋_GB2312" w:hAnsi="仿宋" w:eastAsia="仿宋_GB2312" w:cs="仿宋"/>
          <w:b w:val="0"/>
          <w:bCs w:val="0"/>
          <w:color w:val="auto"/>
          <w:sz w:val="24"/>
          <w:szCs w:val="24"/>
          <w:highlight w:val="none"/>
          <w:shd w:val="clear" w:color="auto" w:fill="FFFFFF"/>
        </w:rPr>
        <w:t>（十六）结果分类统计</w:t>
      </w:r>
    </w:p>
    <w:tbl>
      <w:tblPr>
        <w:tblStyle w:val="12"/>
        <w:tblW w:w="894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3078"/>
        <w:gridCol w:w="1626"/>
        <w:gridCol w:w="4238"/>
      </w:tblGrid>
      <w:tr w14:paraId="58BC2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3078" w:type="dxa"/>
            <w:tcMar>
              <w:top w:w="150" w:type="dxa"/>
              <w:left w:w="0" w:type="dxa"/>
              <w:bottom w:w="150" w:type="dxa"/>
              <w:right w:w="240" w:type="dxa"/>
            </w:tcMar>
            <w:vAlign w:val="center"/>
          </w:tcPr>
          <w:p w14:paraId="749E439A">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类别</w:t>
            </w:r>
          </w:p>
        </w:tc>
        <w:tc>
          <w:tcPr>
            <w:tcW w:w="1626" w:type="dxa"/>
            <w:tcMar>
              <w:top w:w="150" w:type="dxa"/>
              <w:left w:w="240" w:type="dxa"/>
              <w:bottom w:w="150" w:type="dxa"/>
              <w:right w:w="240" w:type="dxa"/>
            </w:tcMar>
            <w:vAlign w:val="center"/>
          </w:tcPr>
          <w:p w14:paraId="2403C2C6">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数量</w:t>
            </w:r>
          </w:p>
        </w:tc>
        <w:tc>
          <w:tcPr>
            <w:tcW w:w="4238" w:type="dxa"/>
            <w:tcMar>
              <w:top w:w="150" w:type="dxa"/>
              <w:left w:w="240" w:type="dxa"/>
              <w:bottom w:w="150" w:type="dxa"/>
              <w:right w:w="240" w:type="dxa"/>
            </w:tcMar>
            <w:vAlign w:val="center"/>
          </w:tcPr>
          <w:p w14:paraId="22A3E1A1">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说明</w:t>
            </w:r>
          </w:p>
        </w:tc>
      </w:tr>
      <w:tr w14:paraId="246F3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6" w:hRule="atLeast"/>
        </w:trPr>
        <w:tc>
          <w:tcPr>
            <w:tcW w:w="3078" w:type="dxa"/>
            <w:tcMar>
              <w:top w:w="150" w:type="dxa"/>
              <w:left w:w="0" w:type="dxa"/>
              <w:bottom w:w="150" w:type="dxa"/>
              <w:right w:w="240" w:type="dxa"/>
            </w:tcMar>
            <w:vAlign w:val="center"/>
          </w:tcPr>
          <w:p w14:paraId="385D454C">
            <w:pPr>
              <w:widowControl/>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常规类（单价＜300元）</w:t>
            </w:r>
          </w:p>
        </w:tc>
        <w:tc>
          <w:tcPr>
            <w:tcW w:w="1626" w:type="dxa"/>
            <w:tcMar>
              <w:top w:w="150" w:type="dxa"/>
              <w:left w:w="240" w:type="dxa"/>
              <w:bottom w:w="150" w:type="dxa"/>
              <w:right w:w="240" w:type="dxa"/>
            </w:tcMar>
            <w:vAlign w:val="center"/>
          </w:tcPr>
          <w:p w14:paraId="58702479">
            <w:pPr>
              <w:widowControl/>
              <w:adjustRightInd w:val="0"/>
              <w:snapToGrid w:val="0"/>
              <w:spacing w:line="312" w:lineRule="auto"/>
              <w:jc w:val="center"/>
              <w:rPr>
                <w:rFonts w:ascii="仿宋_GB2312" w:hAnsi="仿宋" w:eastAsia="仿宋_GB2312" w:cs="仿宋"/>
                <w:color w:val="auto"/>
                <w:sz w:val="24"/>
                <w:highlight w:val="none"/>
              </w:rPr>
            </w:pPr>
            <w:r>
              <w:rPr>
                <w:rFonts w:ascii="仿宋_GB2312" w:hAnsi="仿宋" w:eastAsia="仿宋_GB2312" w:cs="仿宋"/>
                <w:color w:val="auto"/>
                <w:sz w:val="24"/>
                <w:highlight w:val="none"/>
              </w:rPr>
              <w:t>81项</w:t>
            </w:r>
          </w:p>
        </w:tc>
        <w:tc>
          <w:tcPr>
            <w:tcW w:w="4238" w:type="dxa"/>
            <w:tcMar>
              <w:top w:w="150" w:type="dxa"/>
              <w:left w:w="240" w:type="dxa"/>
              <w:bottom w:w="150" w:type="dxa"/>
              <w:right w:w="0" w:type="dxa"/>
            </w:tcMar>
            <w:vAlign w:val="center"/>
          </w:tcPr>
          <w:p w14:paraId="22D11D58">
            <w:pPr>
              <w:widowControl/>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由中标人承担更换费用，累计总额不超过中标总价的10%</w:t>
            </w:r>
          </w:p>
        </w:tc>
      </w:tr>
      <w:tr w14:paraId="286EC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8" w:hRule="atLeast"/>
        </w:trPr>
        <w:tc>
          <w:tcPr>
            <w:tcW w:w="3078" w:type="dxa"/>
            <w:tcMar>
              <w:top w:w="150" w:type="dxa"/>
              <w:left w:w="0" w:type="dxa"/>
              <w:bottom w:w="150" w:type="dxa"/>
              <w:right w:w="240" w:type="dxa"/>
            </w:tcMar>
            <w:vAlign w:val="center"/>
          </w:tcPr>
          <w:p w14:paraId="4B8F01A8">
            <w:pPr>
              <w:widowControl/>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非常规类（单价≥300元）</w:t>
            </w:r>
          </w:p>
        </w:tc>
        <w:tc>
          <w:tcPr>
            <w:tcW w:w="1626" w:type="dxa"/>
            <w:tcMar>
              <w:top w:w="150" w:type="dxa"/>
              <w:left w:w="240" w:type="dxa"/>
              <w:bottom w:w="150" w:type="dxa"/>
              <w:right w:w="240" w:type="dxa"/>
            </w:tcMar>
            <w:vAlign w:val="center"/>
          </w:tcPr>
          <w:p w14:paraId="044E6BE8">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50项</w:t>
            </w:r>
          </w:p>
        </w:tc>
        <w:tc>
          <w:tcPr>
            <w:tcW w:w="4238" w:type="dxa"/>
            <w:tcMar>
              <w:top w:w="150" w:type="dxa"/>
              <w:left w:w="240" w:type="dxa"/>
              <w:bottom w:w="150" w:type="dxa"/>
              <w:right w:w="0" w:type="dxa"/>
            </w:tcMar>
            <w:vAlign w:val="center"/>
          </w:tcPr>
          <w:p w14:paraId="7B184712">
            <w:pPr>
              <w:widowControl/>
              <w:adjustRightInd w:val="0"/>
              <w:snapToGrid w:val="0"/>
              <w:spacing w:line="312" w:lineRule="auto"/>
              <w:jc w:val="left"/>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转为零星维修工程程序，由采购人承担费用</w:t>
            </w:r>
          </w:p>
        </w:tc>
      </w:tr>
      <w:tr w14:paraId="11AA9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078" w:type="dxa"/>
            <w:tcMar>
              <w:top w:w="150" w:type="dxa"/>
              <w:left w:w="0" w:type="dxa"/>
              <w:bottom w:w="150" w:type="dxa"/>
              <w:right w:w="240" w:type="dxa"/>
            </w:tcMar>
            <w:vAlign w:val="center"/>
          </w:tcPr>
          <w:p w14:paraId="253B7D16">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合计</w:t>
            </w:r>
          </w:p>
        </w:tc>
        <w:tc>
          <w:tcPr>
            <w:tcW w:w="1626" w:type="dxa"/>
            <w:tcMar>
              <w:top w:w="150" w:type="dxa"/>
              <w:left w:w="240" w:type="dxa"/>
              <w:bottom w:w="150" w:type="dxa"/>
              <w:right w:w="240" w:type="dxa"/>
            </w:tcMar>
            <w:vAlign w:val="center"/>
          </w:tcPr>
          <w:p w14:paraId="6088C915">
            <w:pPr>
              <w:widowControl/>
              <w:adjustRightInd w:val="0"/>
              <w:snapToGrid w:val="0"/>
              <w:spacing w:line="312" w:lineRule="auto"/>
              <w:jc w:val="center"/>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131项</w:t>
            </w:r>
          </w:p>
        </w:tc>
        <w:tc>
          <w:tcPr>
            <w:tcW w:w="4238" w:type="dxa"/>
            <w:tcMar>
              <w:top w:w="150" w:type="dxa"/>
              <w:left w:w="240" w:type="dxa"/>
              <w:bottom w:w="150" w:type="dxa"/>
              <w:right w:w="0" w:type="dxa"/>
            </w:tcMar>
            <w:vAlign w:val="center"/>
          </w:tcPr>
          <w:p w14:paraId="7DF2910B">
            <w:pPr>
              <w:adjustRightInd w:val="0"/>
              <w:snapToGrid w:val="0"/>
              <w:spacing w:line="312" w:lineRule="auto"/>
              <w:rPr>
                <w:rFonts w:ascii="仿宋_GB2312" w:hAnsi="仿宋" w:eastAsia="仿宋_GB2312" w:cs="仿宋"/>
                <w:color w:val="auto"/>
                <w:sz w:val="24"/>
                <w:highlight w:val="none"/>
              </w:rPr>
            </w:pPr>
          </w:p>
        </w:tc>
      </w:tr>
    </w:tbl>
    <w:p w14:paraId="486BDC61">
      <w:pPr>
        <w:widowControl/>
        <w:shd w:val="clear" w:color="auto" w:fill="FFFFFF"/>
        <w:adjustRightInd w:val="0"/>
        <w:snapToGrid w:val="0"/>
        <w:spacing w:line="312" w:lineRule="auto"/>
        <w:ind w:firstLine="482" w:firstLineChars="200"/>
        <w:rPr>
          <w:rFonts w:ascii="仿宋_GB2312" w:hAnsi="仿宋" w:eastAsia="仿宋_GB2312" w:cs="仿宋"/>
          <w:b/>
          <w:bCs/>
          <w:color w:val="auto"/>
          <w:sz w:val="24"/>
          <w:highlight w:val="none"/>
        </w:rPr>
      </w:pPr>
      <w:r>
        <w:rPr>
          <w:rFonts w:hint="eastAsia" w:ascii="仿宋_GB2312" w:hAnsi="仿宋" w:eastAsia="仿宋_GB2312" w:cs="仿宋"/>
          <w:b/>
          <w:bCs/>
          <w:color w:val="auto"/>
          <w:sz w:val="24"/>
          <w:highlight w:val="none"/>
          <w:shd w:val="clear" w:color="auto" w:fill="FFFFFF"/>
        </w:rPr>
        <w:t>注：</w:t>
      </w:r>
    </w:p>
    <w:p w14:paraId="181C72FB">
      <w:pPr>
        <w:pStyle w:val="11"/>
        <w:adjustRightInd w:val="0"/>
        <w:snapToGrid w:val="0"/>
        <w:spacing w:before="0" w:beforeAutospacing="0" w:after="0" w:afterAutospacing="0" w:line="312" w:lineRule="auto"/>
        <w:ind w:firstLine="482" w:firstLineChars="200"/>
        <w:rPr>
          <w:rFonts w:ascii="仿宋_GB2312" w:hAnsi="仿宋" w:eastAsia="仿宋_GB2312" w:cs="仿宋"/>
          <w:b/>
          <w:bCs/>
          <w:color w:val="auto"/>
          <w:sz w:val="24"/>
          <w:szCs w:val="24"/>
          <w:highlight w:val="none"/>
        </w:rPr>
      </w:pPr>
      <w:r>
        <w:rPr>
          <w:rFonts w:hint="eastAsia" w:ascii="仿宋_GB2312" w:hAnsi="仿宋" w:eastAsia="仿宋_GB2312" w:cs="仿宋"/>
          <w:b/>
          <w:bCs/>
          <w:color w:val="auto"/>
          <w:sz w:val="24"/>
          <w:szCs w:val="24"/>
          <w:highlight w:val="none"/>
        </w:rPr>
        <w:t>1.</w:t>
      </w:r>
      <w:r>
        <w:rPr>
          <w:rFonts w:hint="eastAsia" w:ascii="仿宋_GB2312" w:hAnsi="仿宋" w:eastAsia="仿宋_GB2312" w:cs="仿宋"/>
          <w:b/>
          <w:bCs/>
          <w:color w:val="auto"/>
          <w:sz w:val="24"/>
          <w:szCs w:val="24"/>
          <w:highlight w:val="none"/>
          <w:shd w:val="clear" w:color="auto" w:fill="FFFFFF"/>
        </w:rPr>
        <w:t>价格数据性质：本清单各备件的类别，即常规备件与非常规备件的区别，是基于公开采购数据的市场参考价，按照常规备件</w:t>
      </w:r>
      <w:r>
        <w:rPr>
          <w:rFonts w:hint="eastAsia" w:ascii="仿宋_GB2312" w:hAnsi="仿宋" w:eastAsia="仿宋_GB2312" w:cs="仿宋"/>
          <w:b/>
          <w:bCs/>
          <w:color w:val="auto"/>
          <w:sz w:val="24"/>
          <w:szCs w:val="24"/>
          <w:highlight w:val="none"/>
        </w:rPr>
        <w:t>单价＜300元、非常规备件单价≥300元进行区分</w:t>
      </w:r>
      <w:r>
        <w:rPr>
          <w:rFonts w:hint="eastAsia" w:ascii="仿宋_GB2312" w:hAnsi="仿宋" w:eastAsia="仿宋_GB2312" w:cs="仿宋"/>
          <w:b/>
          <w:bCs/>
          <w:color w:val="auto"/>
          <w:sz w:val="24"/>
          <w:szCs w:val="24"/>
          <w:highlight w:val="none"/>
          <w:shd w:val="clear" w:color="auto" w:fill="FFFFFF"/>
        </w:rPr>
        <w:t>。常规备件属于“维修费用承担规则”中的“小额零部件更换”，更换费用由中标人承担，周期年度内累计总额不超过周期年度合同金额的10%。非常规备件属于“维修费用承担规则”中的“大额零部件更换”，转为零星维修工程程序，由采购人承担费用，按采购人内部审计及财务管理规定据实结算。</w:t>
      </w:r>
    </w:p>
    <w:p w14:paraId="15F7D393">
      <w:pPr>
        <w:pStyle w:val="11"/>
        <w:adjustRightInd w:val="0"/>
        <w:snapToGrid w:val="0"/>
        <w:spacing w:before="0" w:beforeAutospacing="0" w:after="0" w:afterAutospacing="0" w:line="312" w:lineRule="auto"/>
        <w:ind w:firstLine="482" w:firstLineChars="200"/>
        <w:rPr>
          <w:rFonts w:ascii="仿宋_GB2312" w:hAnsi="仿宋" w:eastAsia="仿宋_GB2312" w:cs="仿宋"/>
          <w:b/>
          <w:bCs/>
          <w:color w:val="auto"/>
          <w:sz w:val="24"/>
          <w:szCs w:val="24"/>
          <w:highlight w:val="none"/>
        </w:rPr>
      </w:pPr>
      <w:r>
        <w:rPr>
          <w:rFonts w:hint="eastAsia" w:ascii="仿宋_GB2312" w:hAnsi="仿宋" w:eastAsia="仿宋_GB2312" w:cs="仿宋"/>
          <w:b/>
          <w:bCs/>
          <w:color w:val="auto"/>
          <w:sz w:val="24"/>
          <w:szCs w:val="24"/>
          <w:highlight w:val="none"/>
        </w:rPr>
        <w:t>2.</w:t>
      </w:r>
      <w:r>
        <w:rPr>
          <w:rFonts w:hint="eastAsia" w:ascii="仿宋_GB2312" w:hAnsi="仿宋" w:eastAsia="仿宋_GB2312" w:cs="仿宋"/>
          <w:b/>
          <w:bCs/>
          <w:color w:val="auto"/>
          <w:sz w:val="24"/>
          <w:szCs w:val="24"/>
          <w:highlight w:val="none"/>
          <w:shd w:val="clear" w:color="auto" w:fill="FFFFFF"/>
        </w:rPr>
        <w:t>品牌匹配要求：本清单不指定具体品牌。中标人应根据望江、华西、江安</w:t>
      </w:r>
      <w:r>
        <w:rPr>
          <w:rFonts w:hint="eastAsia" w:ascii="仿宋_GB2312" w:hAnsi="仿宋" w:eastAsia="仿宋_GB2312" w:cs="仿宋"/>
          <w:b/>
          <w:bCs/>
          <w:color w:val="auto"/>
          <w:sz w:val="24"/>
          <w:szCs w:val="24"/>
          <w:highlight w:val="none"/>
        </w:rPr>
        <w:t>校区</w:t>
      </w:r>
      <w:r>
        <w:rPr>
          <w:rFonts w:hint="eastAsia" w:ascii="仿宋_GB2312" w:hAnsi="仿宋" w:eastAsia="仿宋_GB2312" w:cs="仿宋"/>
          <w:b/>
          <w:bCs/>
          <w:color w:val="auto"/>
          <w:sz w:val="24"/>
          <w:szCs w:val="24"/>
          <w:highlight w:val="none"/>
          <w:shd w:val="clear" w:color="auto" w:fill="FFFFFF"/>
        </w:rPr>
        <w:t>各建筑消防设施的实际安装品牌，提供与现场设备相同品牌或100%匹配兼容的备件。</w:t>
      </w:r>
    </w:p>
    <w:p w14:paraId="6A93367D">
      <w:pPr>
        <w:pStyle w:val="11"/>
        <w:adjustRightInd w:val="0"/>
        <w:snapToGrid w:val="0"/>
        <w:spacing w:before="0" w:beforeAutospacing="0" w:after="0" w:afterAutospacing="0" w:line="312" w:lineRule="auto"/>
        <w:ind w:firstLine="482" w:firstLineChars="200"/>
        <w:rPr>
          <w:rFonts w:ascii="仿宋_GB2312" w:hAnsi="仿宋" w:eastAsia="仿宋_GB2312" w:cs="仿宋"/>
          <w:b/>
          <w:bCs/>
          <w:color w:val="auto"/>
          <w:sz w:val="24"/>
          <w:szCs w:val="24"/>
          <w:highlight w:val="none"/>
        </w:rPr>
      </w:pPr>
      <w:r>
        <w:rPr>
          <w:rFonts w:hint="eastAsia" w:ascii="仿宋_GB2312" w:hAnsi="仿宋" w:eastAsia="仿宋_GB2312" w:cs="仿宋"/>
          <w:b/>
          <w:bCs/>
          <w:color w:val="auto"/>
          <w:sz w:val="24"/>
          <w:szCs w:val="24"/>
          <w:highlight w:val="none"/>
        </w:rPr>
        <w:t>3.</w:t>
      </w:r>
      <w:r>
        <w:rPr>
          <w:rFonts w:hint="eastAsia" w:ascii="仿宋_GB2312" w:hAnsi="仿宋" w:eastAsia="仿宋_GB2312" w:cs="仿宋"/>
          <w:b/>
          <w:bCs/>
          <w:color w:val="auto"/>
          <w:sz w:val="24"/>
          <w:szCs w:val="24"/>
          <w:highlight w:val="none"/>
          <w:shd w:val="clear" w:color="auto" w:fill="FFFFFF"/>
        </w:rPr>
        <w:t>边界备件处理：对于价格接近300元分界线的备件，以采购人与中标人核定的《常用备件清单》中的实际单价为准确定类别归属。如清单核定单价低于300元，按常规类处理；等于或高于300元，按非常规类处理。</w:t>
      </w:r>
    </w:p>
    <w:p w14:paraId="52AB6712">
      <w:pPr>
        <w:pStyle w:val="11"/>
        <w:adjustRightInd w:val="0"/>
        <w:snapToGrid w:val="0"/>
        <w:spacing w:before="0" w:beforeAutospacing="0" w:after="0" w:afterAutospacing="0" w:line="312" w:lineRule="auto"/>
        <w:ind w:firstLine="482" w:firstLineChars="200"/>
        <w:rPr>
          <w:rFonts w:ascii="仿宋_GB2312" w:hAnsi="仿宋" w:eastAsia="仿宋_GB2312" w:cs="仿宋"/>
          <w:b/>
          <w:bCs/>
          <w:color w:val="auto"/>
          <w:sz w:val="24"/>
          <w:szCs w:val="24"/>
          <w:highlight w:val="none"/>
        </w:rPr>
      </w:pPr>
      <w:r>
        <w:rPr>
          <w:rFonts w:hint="eastAsia" w:ascii="仿宋_GB2312" w:hAnsi="仿宋" w:eastAsia="仿宋_GB2312" w:cs="仿宋"/>
          <w:b/>
          <w:bCs/>
          <w:color w:val="auto"/>
          <w:sz w:val="24"/>
          <w:szCs w:val="24"/>
          <w:highlight w:val="none"/>
        </w:rPr>
        <w:t>4.</w:t>
      </w:r>
      <w:r>
        <w:rPr>
          <w:rFonts w:hint="eastAsia" w:ascii="仿宋_GB2312" w:hAnsi="仿宋" w:eastAsia="仿宋_GB2312" w:cs="仿宋"/>
          <w:b/>
          <w:bCs/>
          <w:color w:val="auto"/>
          <w:sz w:val="24"/>
          <w:szCs w:val="24"/>
          <w:highlight w:val="none"/>
          <w:shd w:val="clear" w:color="auto" w:fill="FFFFFF"/>
        </w:rPr>
        <w:t>清单动态调整：合同履行期间，如遇新型号设备或原清单未列明的备件，由双方核定价格及其类别归属。</w:t>
      </w:r>
    </w:p>
    <w:p w14:paraId="0EA602F2">
      <w:pPr>
        <w:widowControl/>
        <w:adjustRightInd w:val="0"/>
        <w:snapToGrid w:val="0"/>
        <w:spacing w:line="312" w:lineRule="auto"/>
        <w:ind w:firstLine="482" w:firstLineChars="200"/>
        <w:rPr>
          <w:rFonts w:ascii="仿宋_GB2312" w:hAnsi="仿宋" w:eastAsia="仿宋_GB2312" w:cs="仿宋"/>
          <w:b/>
          <w:color w:val="auto"/>
          <w:sz w:val="24"/>
          <w:highlight w:val="none"/>
        </w:rPr>
      </w:pPr>
      <w:r>
        <w:rPr>
          <w:rFonts w:hint="eastAsia" w:ascii="仿宋_GB2312" w:hAnsi="仿宋" w:eastAsia="仿宋_GB2312" w:cs="仿宋"/>
          <w:b/>
          <w:bCs/>
          <w:color w:val="auto"/>
          <w:kern w:val="0"/>
          <w:sz w:val="24"/>
          <w:highlight w:val="none"/>
          <w:shd w:val="clear" w:color="auto" w:fill="FFFFFF"/>
        </w:rPr>
        <w:t>5.清单定期核定：每个周期季度核定一次。首次核定，中标人应在签订合同前5个工作日内提交《常用备件清单》进行首次核定，需逐项标明价格，经双方核定后作为该季度零星维修及应急抢修时，备件认质核价的唯一依据。核定后的《常用备件清单》自审核确认之日起生效，前次清单于新清单生效时自动废止；若当期核定未能按期完成，则在新清单生效前，仍沿用上一周期清单作为临时依据，待新清单确认后按新标准执行。</w:t>
      </w:r>
    </w:p>
    <w:p w14:paraId="39E57508">
      <w:pPr>
        <w:adjustRightInd w:val="0"/>
        <w:snapToGrid w:val="0"/>
        <w:spacing w:line="312" w:lineRule="auto"/>
        <w:ind w:firstLine="482" w:firstLineChars="200"/>
        <w:outlineLvl w:val="2"/>
        <w:rPr>
          <w:rFonts w:ascii="仿宋_GB2312" w:hAnsi="仿宋" w:eastAsia="仿宋_GB2312" w:cs="仿宋"/>
          <w:bCs/>
          <w:color w:val="auto"/>
          <w:sz w:val="24"/>
          <w:highlight w:val="none"/>
        </w:rPr>
      </w:pPr>
      <w:r>
        <w:rPr>
          <w:rFonts w:hint="eastAsia" w:ascii="仿宋_GB2312" w:hAnsi="仿宋" w:eastAsia="仿宋_GB2312" w:cs="仿宋"/>
          <w:b/>
          <w:color w:val="auto"/>
          <w:sz w:val="24"/>
          <w:highlight w:val="none"/>
        </w:rPr>
        <w:t>★（十七）服务地点：</w:t>
      </w:r>
      <w:r>
        <w:rPr>
          <w:rFonts w:hint="eastAsia" w:ascii="仿宋_GB2312" w:hAnsi="仿宋" w:eastAsia="仿宋_GB2312" w:cs="仿宋"/>
          <w:color w:val="auto"/>
          <w:sz w:val="24"/>
          <w:highlight w:val="none"/>
        </w:rPr>
        <w:t>四川大学望江、华西、江安校区。</w:t>
      </w:r>
    </w:p>
    <w:p w14:paraId="0F85C189">
      <w:pPr>
        <w:adjustRightInd w:val="0"/>
        <w:snapToGrid w:val="0"/>
        <w:spacing w:line="312" w:lineRule="auto"/>
        <w:ind w:firstLine="482" w:firstLineChars="200"/>
        <w:outlineLvl w:val="2"/>
        <w:rPr>
          <w:rFonts w:ascii="仿宋_GB2312" w:hAnsi="仿宋" w:eastAsia="仿宋_GB2312" w:cs="仿宋"/>
          <w:b/>
          <w:bCs/>
          <w:color w:val="auto"/>
          <w:kern w:val="0"/>
          <w:sz w:val="24"/>
          <w:highlight w:val="none"/>
        </w:rPr>
      </w:pPr>
      <w:r>
        <w:rPr>
          <w:rFonts w:hint="eastAsia" w:ascii="仿宋_GB2312" w:hAnsi="仿宋" w:eastAsia="仿宋_GB2312" w:cs="仿宋"/>
          <w:b/>
          <w:color w:val="auto"/>
          <w:sz w:val="24"/>
          <w:highlight w:val="none"/>
        </w:rPr>
        <w:t>★（</w:t>
      </w:r>
      <w:r>
        <w:rPr>
          <w:rFonts w:hint="eastAsia" w:ascii="仿宋_GB2312" w:hAnsi="仿宋" w:eastAsia="仿宋_GB2312" w:cs="仿宋"/>
          <w:b/>
          <w:bCs/>
          <w:color w:val="auto"/>
          <w:kern w:val="0"/>
          <w:sz w:val="24"/>
          <w:highlight w:val="none"/>
        </w:rPr>
        <w:t>十八）验收标准和方法：</w:t>
      </w:r>
      <w:r>
        <w:rPr>
          <w:rFonts w:hint="eastAsia" w:ascii="仿宋_GB2312" w:hAnsi="仿宋" w:eastAsia="仿宋_GB2312" w:cs="仿宋"/>
          <w:color w:val="auto"/>
          <w:kern w:val="0"/>
          <w:sz w:val="24"/>
          <w:highlight w:val="none"/>
        </w:rPr>
        <w:t>严格按照《财政部关于进一步加强政府采购需求和履约验收管理的指导意见》（财库〔2016〕205号）、《政府采购需求管理办法》（财库〔2021〕22号）的要求进行验收。</w:t>
      </w:r>
    </w:p>
    <w:p w14:paraId="2FDC6A07">
      <w:pPr>
        <w:pStyle w:val="7"/>
        <w:adjustRightInd w:val="0"/>
        <w:snapToGrid w:val="0"/>
        <w:spacing w:line="312" w:lineRule="auto"/>
        <w:ind w:firstLine="482" w:firstLineChars="200"/>
        <w:outlineLvl w:val="2"/>
        <w:rPr>
          <w:rFonts w:ascii="仿宋_GB2312" w:hAnsi="仿宋" w:eastAsia="仿宋_GB2312" w:cs="仿宋"/>
          <w:color w:val="auto"/>
          <w:sz w:val="24"/>
          <w:szCs w:val="24"/>
          <w:highlight w:val="none"/>
        </w:rPr>
      </w:pPr>
      <w:bookmarkStart w:id="60" w:name="OLE_LINK6"/>
      <w:bookmarkStart w:id="61" w:name="OLE_LINK5"/>
      <w:r>
        <w:rPr>
          <w:rFonts w:hint="eastAsia" w:ascii="仿宋_GB2312" w:hAnsi="仿宋" w:eastAsia="仿宋_GB2312" w:cs="仿宋"/>
          <w:b/>
          <w:color w:val="auto"/>
          <w:sz w:val="24"/>
          <w:szCs w:val="22"/>
          <w:highlight w:val="none"/>
        </w:rPr>
        <w:t>★</w:t>
      </w:r>
      <w:bookmarkEnd w:id="60"/>
      <w:bookmarkEnd w:id="61"/>
      <w:r>
        <w:rPr>
          <w:rFonts w:hint="eastAsia" w:ascii="仿宋_GB2312" w:hAnsi="仿宋" w:eastAsia="仿宋_GB2312" w:cs="仿宋"/>
          <w:b/>
          <w:color w:val="auto"/>
          <w:sz w:val="24"/>
          <w:szCs w:val="22"/>
          <w:highlight w:val="none"/>
        </w:rPr>
        <w:t>（十九）知识产权归属和处理方式：</w:t>
      </w:r>
      <w:r>
        <w:rPr>
          <w:rFonts w:hint="eastAsia" w:ascii="仿宋_GB2312" w:hAnsi="仿宋" w:eastAsia="仿宋_GB2312" w:cs="仿宋"/>
          <w:color w:val="auto"/>
          <w:sz w:val="24"/>
          <w:szCs w:val="24"/>
          <w:highlight w:val="none"/>
        </w:rPr>
        <w:t>采购人享有本项目实施过程中产生的知识成果及知识产权。</w:t>
      </w:r>
    </w:p>
    <w:p w14:paraId="65B8606C">
      <w:pPr>
        <w:adjustRightInd w:val="0"/>
        <w:snapToGrid w:val="0"/>
        <w:spacing w:line="312" w:lineRule="auto"/>
        <w:ind w:firstLine="482" w:firstLineChars="200"/>
        <w:outlineLvl w:val="2"/>
        <w:rPr>
          <w:rFonts w:ascii="仿宋_GB2312" w:hAnsi="仿宋" w:eastAsia="仿宋_GB2312" w:cs="仿宋"/>
          <w:b/>
          <w:color w:val="auto"/>
          <w:sz w:val="24"/>
          <w:szCs w:val="22"/>
          <w:highlight w:val="none"/>
        </w:rPr>
      </w:pPr>
      <w:r>
        <w:rPr>
          <w:rFonts w:hint="eastAsia" w:ascii="仿宋_GB2312" w:hAnsi="仿宋" w:eastAsia="仿宋_GB2312" w:cs="仿宋"/>
          <w:b/>
          <w:color w:val="auto"/>
          <w:sz w:val="24"/>
          <w:szCs w:val="22"/>
          <w:highlight w:val="none"/>
        </w:rPr>
        <w:t>（二十）其他要求</w:t>
      </w:r>
    </w:p>
    <w:p w14:paraId="4789C71C">
      <w:pPr>
        <w:pStyle w:val="15"/>
        <w:widowControl w:val="0"/>
        <w:adjustRightInd w:val="0"/>
        <w:snapToGrid w:val="0"/>
        <w:spacing w:line="312" w:lineRule="auto"/>
        <w:ind w:firstLine="480" w:firstLineChars="200"/>
        <w:rPr>
          <w:rFonts w:ascii="仿宋_GB2312" w:hAnsi="仿宋" w:eastAsia="仿宋_GB2312" w:cs="仿宋"/>
          <w:color w:val="auto"/>
          <w:sz w:val="24"/>
          <w:szCs w:val="24"/>
          <w:highlight w:val="none"/>
        </w:rPr>
      </w:pPr>
      <w:r>
        <w:rPr>
          <w:rFonts w:hint="eastAsia" w:ascii="仿宋_GB2312" w:hAnsi="仿宋" w:eastAsia="仿宋_GB2312" w:cs="仿宋"/>
          <w:color w:val="auto"/>
          <w:sz w:val="24"/>
          <w:highlight w:val="none"/>
        </w:rPr>
        <w:t>1、投标人应为本项目配备项目实施相关人员，</w:t>
      </w:r>
      <w:r>
        <w:rPr>
          <w:rFonts w:hint="eastAsia" w:ascii="仿宋_GB2312" w:hAnsi="仿宋" w:eastAsia="仿宋_GB2312" w:cs="仿宋"/>
          <w:color w:val="auto"/>
          <w:sz w:val="24"/>
          <w:szCs w:val="24"/>
          <w:highlight w:val="none"/>
        </w:rPr>
        <w:t>采购人在项目执行过程中定期核对供应商提供完成项目所配备的人员数量及相关信息，对于未按照招标文件及投标文件相关内容执行或存在不合理的部分有权下达整改通知书，并要求供应商限期整改，并根据合同约定的违约情况进行处理。</w:t>
      </w:r>
    </w:p>
    <w:p w14:paraId="42FA99BA">
      <w:pPr>
        <w:pStyle w:val="15"/>
        <w:widowControl w:val="0"/>
        <w:adjustRightInd w:val="0"/>
        <w:snapToGrid w:val="0"/>
        <w:spacing w:line="312" w:lineRule="auto"/>
        <w:ind w:firstLine="482" w:firstLineChars="200"/>
        <w:rPr>
          <w:rFonts w:ascii="仿宋_GB2312" w:hAnsi="仿宋" w:eastAsia="仿宋_GB2312" w:cs="仿宋"/>
          <w:color w:val="auto"/>
          <w:sz w:val="24"/>
          <w:szCs w:val="24"/>
          <w:highlight w:val="none"/>
        </w:rPr>
      </w:pPr>
      <w:r>
        <w:rPr>
          <w:rFonts w:hint="eastAsia" w:ascii="仿宋_GB2312" w:hAnsi="仿宋" w:eastAsia="仿宋_GB2312" w:cs="仿宋"/>
          <w:b/>
          <w:color w:val="auto"/>
          <w:sz w:val="24"/>
          <w:szCs w:val="22"/>
          <w:highlight w:val="none"/>
        </w:rPr>
        <w:t>★</w:t>
      </w:r>
      <w:r>
        <w:rPr>
          <w:rFonts w:hint="eastAsia" w:ascii="仿宋_GB2312" w:hAnsi="仿宋" w:eastAsia="仿宋_GB2312" w:cs="仿宋"/>
          <w:color w:val="auto"/>
          <w:sz w:val="24"/>
          <w:szCs w:val="24"/>
          <w:highlight w:val="none"/>
        </w:rPr>
        <w:t>2、</w:t>
      </w:r>
      <w:r>
        <w:rPr>
          <w:rFonts w:hint="eastAsia" w:ascii="仿宋_GB2312" w:hAnsi="仿宋" w:eastAsia="仿宋_GB2312" w:cs="仿宋"/>
          <w:color w:val="auto"/>
          <w:sz w:val="24"/>
          <w:highlight w:val="none"/>
        </w:rPr>
        <w:t>投标人应符合项目所在地四川省、成都市的行业管理部门对消防技术服务机构的规定，经“四川省消防技术服务机构管理平台”登记备案</w:t>
      </w:r>
      <w:r>
        <w:rPr>
          <w:rFonts w:hint="eastAsia" w:ascii="仿宋_GB2312" w:hAnsi="仿宋" w:eastAsia="仿宋_GB2312" w:cs="仿宋"/>
          <w:b/>
          <w:bCs/>
          <w:color w:val="auto"/>
          <w:sz w:val="24"/>
          <w:highlight w:val="none"/>
        </w:rPr>
        <w:t>（投标人需提供</w:t>
      </w:r>
      <w:r>
        <w:rPr>
          <w:rFonts w:hint="eastAsia" w:ascii="仿宋_GB2312" w:hAnsi="仿宋" w:eastAsia="仿宋_GB2312" w:cs="仿宋"/>
          <w:b/>
          <w:color w:val="auto"/>
          <w:sz w:val="24"/>
          <w:highlight w:val="none"/>
        </w:rPr>
        <w:t>“四川省消防技术服务机构管理平台”</w:t>
      </w:r>
      <w:r>
        <w:rPr>
          <w:rFonts w:hint="eastAsia" w:ascii="仿宋_GB2312" w:hAnsi="仿宋" w:eastAsia="仿宋_GB2312" w:cs="仿宋"/>
          <w:b/>
          <w:bCs/>
          <w:color w:val="auto"/>
          <w:sz w:val="24"/>
          <w:highlight w:val="none"/>
        </w:rPr>
        <w:t>查询备案截图）</w:t>
      </w:r>
      <w:r>
        <w:rPr>
          <w:rFonts w:hint="eastAsia" w:ascii="仿宋_GB2312" w:hAnsi="仿宋" w:eastAsia="仿宋_GB2312" w:cs="仿宋"/>
          <w:b/>
          <w:color w:val="auto"/>
          <w:sz w:val="24"/>
          <w:highlight w:val="none"/>
        </w:rPr>
        <w:t>。</w:t>
      </w:r>
      <w:r>
        <w:rPr>
          <w:rFonts w:hint="eastAsia" w:ascii="仿宋_GB2312" w:hAnsi="仿宋" w:eastAsia="仿宋_GB2312" w:cs="仿宋"/>
          <w:color w:val="auto"/>
          <w:sz w:val="24"/>
          <w:szCs w:val="24"/>
          <w:highlight w:val="none"/>
        </w:rPr>
        <w:t>接受项目行业管理部门及政府有关部门的指导，接受采购人的监督。</w:t>
      </w:r>
    </w:p>
    <w:p w14:paraId="586E4808">
      <w:pPr>
        <w:adjustRightInd w:val="0"/>
        <w:snapToGrid w:val="0"/>
        <w:spacing w:line="312" w:lineRule="auto"/>
        <w:ind w:firstLine="480" w:firstLineChars="200"/>
        <w:jc w:val="left"/>
        <w:outlineLvl w:val="2"/>
        <w:rPr>
          <w:rFonts w:ascii="仿宋" w:hAnsi="仿宋" w:eastAsia="仿宋" w:cs="仿宋"/>
          <w:color w:val="auto"/>
          <w:sz w:val="24"/>
          <w:highlight w:val="none"/>
        </w:rPr>
      </w:pPr>
      <w:r>
        <w:rPr>
          <w:rFonts w:hint="eastAsia" w:ascii="仿宋" w:hAnsi="仿宋" w:eastAsia="仿宋" w:cs="仿宋"/>
          <w:color w:val="auto"/>
          <w:sz w:val="24"/>
          <w:highlight w:val="none"/>
        </w:rPr>
        <w:t>3、术语定义汇总（本项目相关术语及定义如下）</w:t>
      </w:r>
    </w:p>
    <w:p w14:paraId="7A3C40A3">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(1)周期年度：指自最终项目服务起始日起算，每连续12个公历月划分的一个服务年度。首个周期年度为最终项目服务起始日至其后第12个公历月的对应日前一日，后续周期年度依次顺延。</w:t>
      </w:r>
    </w:p>
    <w:p w14:paraId="0DC5E079">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(2)周期季度：指自最终项目服务起始日起算，每连续3个公历月划分的一个服务时段。首个周期季度为最终项目服务起始日至其后第3个公历月的对应日前一日，后续周期季度依次顺延。</w:t>
      </w:r>
    </w:p>
    <w:p w14:paraId="542CFB0A">
      <w:pPr>
        <w:adjustRightInd w:val="0"/>
        <w:snapToGrid w:val="0"/>
        <w:spacing w:line="312" w:lineRule="auto"/>
        <w:ind w:firstLine="480" w:firstLineChars="200"/>
        <w:jc w:val="left"/>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shd w:val="clear" w:color="auto" w:fill="FFFFFF"/>
        </w:rPr>
        <w:t>(3)</w:t>
      </w:r>
      <w:r>
        <w:rPr>
          <w:rFonts w:hint="eastAsia" w:ascii="仿宋_GB2312" w:hAnsi="仿宋" w:eastAsia="仿宋_GB2312" w:cs="仿宋"/>
          <w:color w:val="auto"/>
          <w:sz w:val="24"/>
          <w:highlight w:val="none"/>
        </w:rPr>
        <w:t>合同金额：</w:t>
      </w:r>
      <w:r>
        <w:rPr>
          <w:rFonts w:hint="eastAsia" w:ascii="仿宋_GB2312" w:hAnsi="仿宋" w:eastAsia="仿宋_GB2312" w:cs="仿宋"/>
          <w:color w:val="auto"/>
          <w:sz w:val="24"/>
          <w:highlight w:val="none"/>
          <w:shd w:val="clear" w:color="auto" w:fill="FFFFFF"/>
        </w:rPr>
        <w:t>指周期年度内，按中标人A类综合单价乘以A类建筑面积与B类综合单价乘以B类建筑面积之和计算的总价，即合同金额 = A类中标单价 ×237,170.7 + B类中标单价 × 1,219,711.93。合同金额属于履约保证金计算因素之一。</w:t>
      </w:r>
    </w:p>
    <w:p w14:paraId="66BAD9B1">
      <w:pPr>
        <w:adjustRightInd w:val="0"/>
        <w:snapToGrid w:val="0"/>
        <w:spacing w:line="312" w:lineRule="auto"/>
        <w:ind w:firstLine="480" w:firstLineChars="200"/>
        <w:jc w:val="left"/>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shd w:val="clear" w:color="auto" w:fill="FFFFFF"/>
        </w:rPr>
        <w:t>(4)实际金额：指周期年度内，按中标人A类综合单价乘以实际纳入维保服务的A类建筑面积与B类综合单价乘以实际纳入维保服务的B类建筑面积之和计算的总价，即实际金额 = A类中标单价 × 实际纳入维保服务的A类建筑面积 + B类中标单价 × 实际纳入维保服务的B类建筑面积。</w:t>
      </w:r>
    </w:p>
    <w:p w14:paraId="04056383">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(5)合同生效日：指采购人与中标人签订合同之日。最终的项目服务起始日与合同生效日为同一天。</w:t>
      </w:r>
    </w:p>
    <w:p w14:paraId="6B692FDB">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(6)项目服务起始日：指2026年10月17日，该日期为招标阶段的暂定日期，仅用于统一投标人报价口径和评审基准，不作为合同签订后服务费计取和考核周期起算的最终依据。最终项目服务起始日以合同约定为准。</w:t>
      </w:r>
    </w:p>
    <w:p w14:paraId="4325460C">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1）合同签订后，采购人应在合同签订之日当天向中标人发出《项目服务起始通知》，该通知不改变合同实际签订之日作为项目服务起始日的事实。。</w:t>
      </w:r>
    </w:p>
    <w:p w14:paraId="15D46032">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2）最终项目服务起始日与招标文件暂定日期不一致的，周期年度、周期季度均以最终项目服务起始日为锚点重新计算。</w:t>
      </w:r>
    </w:p>
    <w:p w14:paraId="4CC689D1">
      <w:pPr>
        <w:adjustRightInd w:val="0"/>
        <w:snapToGrid w:val="0"/>
        <w:spacing w:line="312" w:lineRule="auto"/>
        <w:ind w:firstLine="480" w:firstLineChars="200"/>
        <w:jc w:val="left"/>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rPr>
        <w:t>3）如最终项目服务起始日晚于暂定日期，中标人不得以暂定日期为由主张提前进场或提前计费；如最终项目服务起始日早于暂定日期，中标人应在接到通知后[合理期限]内完成进场准备，不得以准备时间不足为由拒绝履行。</w:t>
      </w:r>
    </w:p>
    <w:p w14:paraId="59A6FA58">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4、服务结束日：指本项目总服务周期的最后一日，即自最终项目服务起始日起算，满36个公历月的对应日前一日；没有对应日的，月末日为服务结束日。</w:t>
      </w:r>
    </w:p>
    <w:p w14:paraId="10DEF0C5">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招标阶段暂定服务结束日： 鉴于招标阶段无法确定最终项目服务起始日，本项目暂以2026年10月17日为暂定项目服务起始日，据此暂定服务结束日为2029年10月16日。该暂定日期仅用于统一投标人报价口径和评审基准，不作为合同签订后服务费计取和考核周期起算的最终依据。</w:t>
      </w:r>
    </w:p>
    <w:p w14:paraId="49665DF9">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最终服务结束日的确定规则： 合同签订后，按“满36个公历月”的规则自动推算最终服务结束日。最终项目服务起始日与暂定日期不一致的，服务结束日相应调整，无需另行签订补充协议。</w:t>
      </w:r>
    </w:p>
    <w:p w14:paraId="262C5444">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注释：周期年度结束日指每个周期年度的最后一日，每年一个，用于年度考核、年度结算和续签决策；服务结束日仅指总服务周期的最后一日，即第三个周期年度结束日，用于合同终止、履约保证金退还和档案移交。两者关系为：服务结束日 = 最后一个周期年度结束日。</w:t>
      </w:r>
    </w:p>
    <w:p w14:paraId="671094E9">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单栋建筑服务起始日：指以采购人向中标人发出的《单栋建筑维护保养服务起始通知》中载明的日期为准，此通知仅针对条件允许后才纳入维保的建筑。各栋建筑的维保周期（周检、月度、季度等）及费用自该栋建筑的“单栋建筑服务起始日”起算。</w:t>
      </w:r>
    </w:p>
    <w:p w14:paraId="05C21DB2">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6、需进行维保的建筑：指项目服务起始日起就需投标人提供维护保养服务的建筑。</w:t>
      </w:r>
    </w:p>
    <w:p w14:paraId="043DF86E">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条件允许后才纳入维保的建筑：指服务周期内，尚未纳入维保范围内的建筑经校内验收合格，且须纳入维保的建筑。在采购人未向中标人发出的《单栋建筑维护保养服务起始通知》通知前，中标人不承担该等建筑的维保责任和义务。</w:t>
      </w:r>
    </w:p>
    <w:p w14:paraId="2AC96DEB">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8、责任单位：指消防设施设备对应建筑物的校内使用单位或管理单位。</w:t>
      </w:r>
    </w:p>
    <w:p w14:paraId="3FAD6B61">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9、驻场时段：指服务周期内周一至周五工作日08:30-17:30。</w:t>
      </w:r>
    </w:p>
    <w:p w14:paraId="3B658882">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10、非驻场时段：服务周期内周一至周五工作日17:30至次日08:30及周末、节假日全天。</w:t>
      </w:r>
    </w:p>
    <w:p w14:paraId="16B5C1C8">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11、维保内业：指档案建立、计划编制、任务发布、信息收集、报告提交、技术支持等支撑现场维保闭环的管理工作。</w:t>
      </w:r>
    </w:p>
    <w:p w14:paraId="64B815C3">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w:t>
      </w:r>
      <w:r>
        <w:rPr>
          <w:rFonts w:hint="eastAsia" w:ascii="仿宋_GB2312" w:hAnsi="仿宋" w:eastAsia="仿宋_GB2312" w:cs="仿宋"/>
          <w:color w:val="auto"/>
          <w:sz w:val="24"/>
          <w:highlight w:val="none"/>
          <w:shd w:val="clear" w:color="auto" w:fill="FFFFFF"/>
        </w:rPr>
        <w:t>内业管理专员：指投标人项目组中专职负责维保内业管理、平台操作、档案归集、报告编制及技术支持记录的项目组人员。内业管理专员为独立岗位，不得由技术负责人、项目负责人或驻场维保人员兼任。工作时段按照“故障处置及应急抢修”执行，即</w:t>
      </w:r>
      <w:r>
        <w:rPr>
          <w:rFonts w:hint="eastAsia" w:ascii="仿宋_GB2312" w:hAnsi="仿宋" w:eastAsia="仿宋_GB2312" w:cs="仿宋"/>
          <w:color w:val="auto"/>
          <w:sz w:val="24"/>
          <w:highlight w:val="none"/>
        </w:rPr>
        <w:t>服务周期内周一至周五工作日08:30-17:30。</w:t>
      </w:r>
    </w:p>
    <w:p w14:paraId="150AA2A7">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13、指定平台：</w:t>
      </w:r>
      <w:r>
        <w:rPr>
          <w:rFonts w:hint="eastAsia" w:ascii="仿宋_GB2312" w:hAnsi="仿宋" w:eastAsia="仿宋_GB2312" w:cs="仿宋"/>
          <w:color w:val="auto"/>
          <w:sz w:val="24"/>
          <w:highlight w:val="none"/>
          <w:shd w:val="clear" w:color="auto" w:fill="FFFFFF"/>
        </w:rPr>
        <w:t>指采购人开发的消防安全管理系统中涉及消防维保管理工作的平台。</w:t>
      </w:r>
    </w:p>
    <w:p w14:paraId="4EC60921">
      <w:pPr>
        <w:adjustRightInd w:val="0"/>
        <w:snapToGrid w:val="0"/>
        <w:spacing w:line="312" w:lineRule="auto"/>
        <w:ind w:firstLine="480" w:firstLineChars="200"/>
        <w:jc w:val="left"/>
        <w:rPr>
          <w:rFonts w:ascii="仿宋_GB2312" w:hAnsi="仿宋" w:eastAsia="仿宋_GB2312" w:cs="仿宋"/>
          <w:color w:val="auto"/>
          <w:sz w:val="24"/>
          <w:highlight w:val="none"/>
          <w:shd w:val="clear" w:color="auto" w:fill="FFFFFF"/>
        </w:rPr>
      </w:pPr>
      <w:r>
        <w:rPr>
          <w:rFonts w:hint="eastAsia" w:ascii="仿宋_GB2312" w:hAnsi="仿宋" w:eastAsia="仿宋_GB2312" w:cs="仿宋"/>
          <w:color w:val="auto"/>
          <w:sz w:val="24"/>
          <w:highlight w:val="none"/>
          <w:shd w:val="clear" w:color="auto" w:fill="FFFFFF"/>
        </w:rPr>
        <w:t>14、平台上线：指平台维护保养功能架构完成优化并测试通过后的功能上线。</w:t>
      </w:r>
    </w:p>
    <w:p w14:paraId="268D2EF8">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shd w:val="clear" w:color="auto" w:fill="FFFFFF"/>
        </w:rPr>
        <w:t>15、平台上线日：以采购人书面通知载明的日期为准。</w:t>
      </w:r>
    </w:p>
    <w:p w14:paraId="25674974">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16、</w:t>
      </w:r>
      <w:r>
        <w:rPr>
          <w:rFonts w:hint="eastAsia" w:ascii="仿宋_GB2312" w:hAnsi="仿宋" w:eastAsia="仿宋_GB2312" w:cs="仿宋"/>
          <w:color w:val="auto"/>
          <w:sz w:val="24"/>
          <w:highlight w:val="none"/>
          <w:shd w:val="clear" w:color="auto" w:fill="FFFFFF"/>
        </w:rPr>
        <w:t>双轨过渡期：平台上线后不少于30个日历天，纸质记录与平台记录并行，以平台数据为准，历史资料应完成补录。</w:t>
      </w:r>
    </w:p>
    <w:p w14:paraId="0C579045">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17、工单闭环：指任务从发布、接单、执行、上传记录/照片/定位、采购人确认到归档的全过程可追溯状态。</w:t>
      </w:r>
    </w:p>
    <w:p w14:paraId="72DCFA40">
      <w:pPr>
        <w:adjustRightInd w:val="0"/>
        <w:snapToGrid w:val="0"/>
        <w:spacing w:line="312"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18、电子档案：指按采购人要求存储、备份并设置权限的维保档案电子数据，与纸质档案具有同等效力；不一致时，以采购人确认的平台数据或书面确认件为准。</w:t>
      </w:r>
    </w:p>
    <w:p w14:paraId="3E6F2B57">
      <w:pPr>
        <w:adjustRightInd w:val="0"/>
        <w:snapToGrid w:val="0"/>
        <w:spacing w:line="312" w:lineRule="auto"/>
        <w:ind w:firstLine="480" w:firstLineChars="200"/>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19、投标人应结合本项目采购需求，编制项目服务方案，至少包括：巡检方案；保养方案；重点难点分析；质量保障措施；服务启动与前期准备方案；驻场管理与安全作业专项方案；配合工程验收与新增设施接管方案；维保内业管理方案；室外消火栓翻新方案；数据库信息完善（维保范围内消防设施设备摸排及赋码）方案；大型活动电气防火安全检测方案；维保、抢修及维修期间正常教学科研生活秩序协调措施。</w:t>
      </w:r>
    </w:p>
    <w:p w14:paraId="0989769F">
      <w:pPr>
        <w:adjustRightInd w:val="0"/>
        <w:snapToGrid w:val="0"/>
        <w:spacing w:line="312" w:lineRule="auto"/>
        <w:ind w:firstLine="480" w:firstLineChars="200"/>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20、投标人应结合本项目采购需求，编制</w:t>
      </w:r>
      <w:r>
        <w:rPr>
          <w:rFonts w:hint="eastAsia" w:ascii="仿宋_GB2312" w:hAnsi="仿宋" w:eastAsia="仿宋_GB2312" w:cs="仿宋"/>
          <w:color w:val="auto"/>
          <w:sz w:val="24"/>
          <w:highlight w:val="none"/>
        </w:rPr>
        <w:t>故障响应与应急处置方案</w:t>
      </w:r>
      <w:r>
        <w:rPr>
          <w:rFonts w:hint="eastAsia" w:ascii="仿宋_GB2312" w:hAnsi="仿宋" w:eastAsia="仿宋_GB2312" w:cs="仿宋"/>
          <w:color w:val="auto"/>
          <w:kern w:val="0"/>
          <w:sz w:val="24"/>
          <w:highlight w:val="none"/>
        </w:rPr>
        <w:t>，至少包括：故障分级处置流程；各类故障的标准化处置；应急抢修预案；7×24小时值班响应机制；备件储备与供应保障方案；重复故障专项审查与人为损坏处置机制。</w:t>
      </w:r>
    </w:p>
    <w:p w14:paraId="5B1BF108">
      <w:pPr>
        <w:adjustRightInd w:val="0"/>
        <w:snapToGrid w:val="0"/>
        <w:spacing w:line="312" w:lineRule="auto"/>
        <w:ind w:firstLine="480" w:firstLineChars="200"/>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21、</w:t>
      </w:r>
      <w:r>
        <w:rPr>
          <w:rFonts w:hint="eastAsia" w:ascii="仿宋_GB2312" w:hAnsi="仿宋" w:eastAsia="仿宋_GB2312" w:cs="仿宋"/>
          <w:color w:val="auto"/>
          <w:sz w:val="24"/>
          <w:highlight w:val="none"/>
        </w:rPr>
        <w:t>投标人应结合本项目采购需求</w:t>
      </w:r>
      <w:r>
        <w:rPr>
          <w:rFonts w:hint="eastAsia" w:ascii="仿宋_GB2312" w:hAnsi="仿宋" w:eastAsia="仿宋_GB2312" w:cs="仿宋"/>
          <w:color w:val="auto"/>
          <w:kern w:val="0"/>
          <w:sz w:val="24"/>
          <w:highlight w:val="none"/>
        </w:rPr>
        <w:t>，</w:t>
      </w:r>
      <w:r>
        <w:rPr>
          <w:rFonts w:hint="eastAsia" w:ascii="仿宋_GB2312" w:hAnsi="仿宋" w:eastAsia="仿宋_GB2312" w:cs="仿宋"/>
          <w:color w:val="auto"/>
          <w:sz w:val="24"/>
          <w:highlight w:val="none"/>
        </w:rPr>
        <w:t>编制实施方案，至少</w:t>
      </w:r>
      <w:r>
        <w:rPr>
          <w:rFonts w:hint="eastAsia" w:ascii="仿宋_GB2312" w:hAnsi="仿宋" w:eastAsia="仿宋_GB2312" w:cs="仿宋"/>
          <w:color w:val="auto"/>
          <w:kern w:val="0"/>
          <w:sz w:val="24"/>
          <w:highlight w:val="none"/>
        </w:rPr>
        <w:t>包括</w:t>
      </w:r>
      <w:r>
        <w:rPr>
          <w:rFonts w:hint="eastAsia" w:ascii="仿宋_GB2312" w:hAnsi="仿宋" w:eastAsia="仿宋_GB2312" w:cs="仿宋"/>
          <w:color w:val="auto"/>
          <w:sz w:val="24"/>
          <w:highlight w:val="none"/>
        </w:rPr>
        <w:t>：按望江、华西、江安校区建筑类型分别制定维保策略（至少覆盖行政办公楼、教学楼、学生宿舍三类建筑类型）；列出各建筑类型对应的消防设施差异化巡检清单及频次表（至少覆盖上述三类建筑类型）；巡检路线描述按校区分别提供至少2栋典型建筑巡检路线及到达方式（应覆盖望江、华西、江安三个校区）；进场首次检测方案按校区分别提供差异化检测重点（应覆盖望江、华西、江安三个校区）。</w:t>
      </w:r>
    </w:p>
    <w:p w14:paraId="253336DD">
      <w:pPr>
        <w:adjustRightInd w:val="0"/>
        <w:snapToGrid w:val="0"/>
        <w:spacing w:line="312"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22、投标人应结合本项目采购需求，编制项目人员考核与培训计划，至少</w:t>
      </w:r>
      <w:r>
        <w:rPr>
          <w:rFonts w:hint="eastAsia" w:ascii="仿宋_GB2312" w:hAnsi="仿宋" w:eastAsia="仿宋_GB2312" w:cs="仿宋"/>
          <w:color w:val="auto"/>
          <w:sz w:val="24"/>
          <w:highlight w:val="none"/>
        </w:rPr>
        <w:t>包括：计划中明确列出不少于4项考核指标；计划中明确列出不少于2次培训安排。</w:t>
      </w:r>
    </w:p>
    <w:p w14:paraId="0F506D3F">
      <w:pPr>
        <w:adjustRightInd w:val="0"/>
        <w:snapToGrid w:val="0"/>
        <w:spacing w:line="312" w:lineRule="auto"/>
        <w:ind w:firstLine="480" w:firstLineChars="200"/>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23、投标人应结合本项目采购需求，编制项目</w:t>
      </w:r>
      <w:r>
        <w:rPr>
          <w:rFonts w:hint="eastAsia" w:ascii="仿宋_GB2312" w:hAnsi="仿宋" w:eastAsia="仿宋_GB2312" w:cs="仿宋"/>
          <w:color w:val="auto"/>
          <w:sz w:val="24"/>
          <w:highlight w:val="none"/>
        </w:rPr>
        <w:t>培训与演练方案</w:t>
      </w:r>
      <w:r>
        <w:rPr>
          <w:rFonts w:hint="eastAsia" w:ascii="仿宋_GB2312" w:hAnsi="仿宋" w:eastAsia="仿宋_GB2312" w:cs="仿宋"/>
          <w:color w:val="auto"/>
          <w:kern w:val="0"/>
          <w:sz w:val="24"/>
          <w:highlight w:val="none"/>
        </w:rPr>
        <w:t>，至少包括：消防系统操作培训计划；消防模拟演练计划；培训计划中针对望江、华西、江安校区各建筑类型设计差异化培训内容；演练计划中包含不少于2种不同类型的模拟演练场景</w:t>
      </w:r>
      <w:r>
        <w:rPr>
          <w:rFonts w:hint="eastAsia" w:ascii="仿宋_GB2312" w:hAnsi="仿宋" w:eastAsia="仿宋_GB2312" w:cs="仿宋"/>
          <w:color w:val="auto"/>
          <w:sz w:val="24"/>
          <w:highlight w:val="none"/>
        </w:rPr>
        <w:t>。</w:t>
      </w:r>
    </w:p>
    <w:p w14:paraId="3E3D746D">
      <w:pPr>
        <w:adjustRightInd w:val="0"/>
        <w:snapToGrid w:val="0"/>
        <w:spacing w:line="312" w:lineRule="auto"/>
        <w:ind w:firstLine="480" w:firstLineChars="200"/>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24、投标人应结合本项目采购需求，编制项目</w:t>
      </w:r>
      <w:r>
        <w:rPr>
          <w:rFonts w:hint="eastAsia" w:ascii="仿宋_GB2312" w:hAnsi="仿宋" w:eastAsia="仿宋_GB2312" w:cs="仿宋"/>
          <w:color w:val="auto"/>
          <w:sz w:val="24"/>
          <w:highlight w:val="none"/>
        </w:rPr>
        <w:t>维保工具与设备配置方案</w:t>
      </w:r>
      <w:r>
        <w:rPr>
          <w:rFonts w:hint="eastAsia" w:ascii="仿宋_GB2312" w:hAnsi="仿宋" w:eastAsia="仿宋_GB2312" w:cs="仿宋"/>
          <w:color w:val="auto"/>
          <w:kern w:val="0"/>
          <w:sz w:val="24"/>
          <w:highlight w:val="none"/>
        </w:rPr>
        <w:t>，至少包括：工具设备清单；主要仪器设备的校准证书管理计划；工具设备日常维护与状态检查制度；工具设备进场备案计划。</w:t>
      </w:r>
    </w:p>
    <w:p w14:paraId="231C326A">
      <w:pPr>
        <w:adjustRightInd w:val="0"/>
        <w:snapToGrid w:val="0"/>
        <w:spacing w:line="312" w:lineRule="auto"/>
        <w:ind w:firstLine="480" w:firstLineChars="200"/>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25、投标人应结合本项目采购需求，编制项目</w:t>
      </w:r>
      <w:r>
        <w:rPr>
          <w:rFonts w:hint="eastAsia" w:ascii="仿宋_GB2312" w:hAnsi="仿宋" w:eastAsia="仿宋_GB2312" w:cs="仿宋"/>
          <w:color w:val="auto"/>
          <w:sz w:val="24"/>
          <w:highlight w:val="none"/>
        </w:rPr>
        <w:t>保密管理方案</w:t>
      </w:r>
      <w:r>
        <w:rPr>
          <w:rFonts w:hint="eastAsia" w:ascii="仿宋_GB2312" w:hAnsi="仿宋" w:eastAsia="仿宋_GB2312" w:cs="仿宋"/>
          <w:color w:val="auto"/>
          <w:kern w:val="0"/>
          <w:sz w:val="24"/>
          <w:highlight w:val="none"/>
        </w:rPr>
        <w:t>，包括</w:t>
      </w:r>
      <w:r>
        <w:rPr>
          <w:rFonts w:hint="eastAsia" w:ascii="仿宋_GB2312" w:hAnsi="仿宋" w:eastAsia="仿宋_GB2312" w:cs="仿宋"/>
          <w:color w:val="auto"/>
          <w:sz w:val="24"/>
          <w:highlight w:val="none"/>
          <w:shd w:val="clear" w:color="auto" w:fill="FFFFFF"/>
        </w:rPr>
        <w:t>：保密范围识别与保密义务履行措施</w:t>
      </w:r>
      <w:r>
        <w:rPr>
          <w:rFonts w:hint="eastAsia" w:ascii="仿宋_GB2312" w:hAnsi="仿宋" w:eastAsia="仿宋_GB2312" w:cs="仿宋"/>
          <w:color w:val="auto"/>
          <w:kern w:val="0"/>
          <w:sz w:val="24"/>
          <w:highlight w:val="none"/>
        </w:rPr>
        <w:t>；</w:t>
      </w:r>
      <w:r>
        <w:rPr>
          <w:rFonts w:hint="eastAsia" w:ascii="仿宋_GB2312" w:hAnsi="仿宋" w:eastAsia="仿宋_GB2312" w:cs="仿宋"/>
          <w:color w:val="auto"/>
          <w:sz w:val="24"/>
          <w:highlight w:val="none"/>
          <w:shd w:val="clear" w:color="auto" w:fill="FFFFFF"/>
        </w:rPr>
        <w:t>明确项目组全体成员的保密培训计划及签署保密承诺书措施。</w:t>
      </w:r>
    </w:p>
    <w:p w14:paraId="073052F8">
      <w:pPr>
        <w:adjustRightInd w:val="0"/>
        <w:snapToGrid w:val="0"/>
        <w:spacing w:line="312" w:lineRule="auto"/>
        <w:ind w:firstLine="480" w:firstLineChars="200"/>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26、投标人应结合本项目采购需求，编制综合管理</w:t>
      </w:r>
      <w:r>
        <w:rPr>
          <w:rFonts w:hint="eastAsia" w:ascii="仿宋_GB2312" w:hAnsi="仿宋" w:eastAsia="仿宋_GB2312" w:cs="仿宋"/>
          <w:color w:val="auto"/>
          <w:sz w:val="24"/>
          <w:highlight w:val="none"/>
        </w:rPr>
        <w:t>方案</w:t>
      </w:r>
      <w:r>
        <w:rPr>
          <w:rFonts w:hint="eastAsia" w:ascii="仿宋_GB2312" w:hAnsi="仿宋" w:eastAsia="仿宋_GB2312" w:cs="仿宋"/>
          <w:color w:val="auto"/>
          <w:kern w:val="0"/>
          <w:sz w:val="24"/>
          <w:highlight w:val="none"/>
        </w:rPr>
        <w:t>，至少包括</w:t>
      </w:r>
      <w:r>
        <w:rPr>
          <w:rFonts w:hint="eastAsia" w:ascii="仿宋_GB2312" w:hAnsi="仿宋" w:eastAsia="仿宋_GB2312" w:cs="仿宋"/>
          <w:color w:val="auto"/>
          <w:sz w:val="24"/>
          <w:highlight w:val="none"/>
          <w:shd w:val="clear" w:color="auto" w:fill="FFFFFF"/>
        </w:rPr>
        <w:t>人员考勤管理；行为规范管理；安全作业管理</w:t>
      </w:r>
      <w:r>
        <w:rPr>
          <w:rFonts w:hint="eastAsia" w:ascii="仿宋_GB2312" w:hAnsi="仿宋" w:eastAsia="仿宋_GB2312" w:cs="仿宋"/>
          <w:color w:val="auto"/>
          <w:kern w:val="0"/>
          <w:sz w:val="24"/>
          <w:highlight w:val="none"/>
        </w:rPr>
        <w:t>；</w:t>
      </w:r>
      <w:r>
        <w:rPr>
          <w:rFonts w:hint="eastAsia" w:ascii="仿宋_GB2312" w:hAnsi="仿宋" w:eastAsia="仿宋_GB2312" w:cs="仿宋"/>
          <w:color w:val="auto"/>
          <w:sz w:val="24"/>
          <w:highlight w:val="none"/>
          <w:shd w:val="clear" w:color="auto" w:fill="FFFFFF"/>
        </w:rPr>
        <w:t>采购人指令配合。</w:t>
      </w:r>
    </w:p>
    <w:p w14:paraId="60AFB157"/>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modern"/>
    <w:pitch w:val="default"/>
    <w:sig w:usb0="E00002FF" w:usb1="6AC7FDFB" w:usb2="08000012" w:usb3="00000000" w:csb0="4002009F" w:csb1="DFD7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8C937">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543427F">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4543427F">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suff w:val="space"/>
      <w:lvlText w:val="(%1)"/>
      <w:lvlJc w:val="left"/>
      <w:pPr>
        <w:ind w:left="425" w:hanging="425"/>
      </w:pPr>
      <w:rPr>
        <w:rFonts w:hint="default"/>
      </w:rPr>
    </w:lvl>
  </w:abstractNum>
  <w:abstractNum w:abstractNumId="1">
    <w:nsid w:val="00000003"/>
    <w:multiLevelType w:val="multilevel"/>
    <w:tmpl w:val="00000003"/>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
    <w:nsid w:val="00000009"/>
    <w:multiLevelType w:val="singleLevel"/>
    <w:tmpl w:val="00000009"/>
    <w:lvl w:ilvl="0" w:tentative="0">
      <w:start w:val="1"/>
      <w:numFmt w:val="decimal"/>
      <w:suff w:val="space"/>
      <w:lvlText w:val="(%1)"/>
      <w:lvlJc w:val="left"/>
      <w:pPr>
        <w:ind w:left="425" w:hanging="425"/>
      </w:pPr>
      <w:rPr>
        <w:rFonts w:hint="default"/>
      </w:rPr>
    </w:lvl>
  </w:abstractNum>
  <w:abstractNum w:abstractNumId="3">
    <w:nsid w:val="00000010"/>
    <w:multiLevelType w:val="singleLevel"/>
    <w:tmpl w:val="00000010"/>
    <w:lvl w:ilvl="0" w:tentative="0">
      <w:start w:val="1"/>
      <w:numFmt w:val="decimal"/>
      <w:suff w:val="space"/>
      <w:lvlText w:val="(%1)"/>
      <w:lvlJc w:val="left"/>
      <w:pPr>
        <w:ind w:left="425" w:hanging="425"/>
      </w:pPr>
      <w:rPr>
        <w:rFonts w:hint="default"/>
      </w:rPr>
    </w:lvl>
  </w:abstractNum>
  <w:abstractNum w:abstractNumId="4">
    <w:nsid w:val="00000011"/>
    <w:multiLevelType w:val="singleLevel"/>
    <w:tmpl w:val="00000011"/>
    <w:lvl w:ilvl="0" w:tentative="0">
      <w:start w:val="1"/>
      <w:numFmt w:val="decimal"/>
      <w:suff w:val="space"/>
      <w:lvlText w:val="(%1)"/>
      <w:lvlJc w:val="left"/>
      <w:pPr>
        <w:ind w:left="425" w:hanging="425"/>
      </w:pPr>
      <w:rPr>
        <w:rFont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733996"/>
    <w:rsid w:val="5A7339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3"/>
    <w:basedOn w:val="1"/>
    <w:next w:val="1"/>
    <w:qFormat/>
    <w:uiPriority w:val="0"/>
    <w:pPr>
      <w:keepNext/>
      <w:keepLines/>
      <w:spacing w:before="260" w:after="260" w:line="416" w:lineRule="auto"/>
      <w:outlineLvl w:val="2"/>
    </w:pPr>
    <w:rPr>
      <w:b/>
      <w:bCs/>
      <w:sz w:val="32"/>
      <w:szCs w:val="32"/>
    </w:rPr>
  </w:style>
  <w:style w:type="character" w:default="1" w:styleId="13">
    <w:name w:val="Default Paragraph Font"/>
    <w:semiHidden/>
    <w:uiPriority w:val="0"/>
  </w:style>
  <w:style w:type="table" w:default="1" w:styleId="12">
    <w:name w:val="Normal Table"/>
    <w:semiHidden/>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Body Text"/>
    <w:basedOn w:val="1"/>
    <w:next w:val="6"/>
    <w:qFormat/>
    <w:uiPriority w:val="0"/>
    <w:pPr>
      <w:spacing w:after="120"/>
    </w:pPr>
  </w:style>
  <w:style w:type="paragraph" w:styleId="6">
    <w:name w:val="Body Text First Indent"/>
    <w:basedOn w:val="5"/>
    <w:qFormat/>
    <w:uiPriority w:val="0"/>
    <w:pPr>
      <w:ind w:firstLine="420" w:firstLineChars="100"/>
    </w:pPr>
    <w:rPr>
      <w:rFonts w:ascii="Cambria" w:hAnsi="Cambria" w:eastAsia="仿宋_GB2312"/>
    </w:rPr>
  </w:style>
  <w:style w:type="paragraph" w:styleId="7">
    <w:name w:val="Body Text Indent"/>
    <w:basedOn w:val="1"/>
    <w:next w:val="8"/>
    <w:qFormat/>
    <w:uiPriority w:val="0"/>
    <w:pPr>
      <w:ind w:firstLine="630"/>
    </w:pPr>
    <w:rPr>
      <w:sz w:val="32"/>
      <w:szCs w:val="20"/>
    </w:rPr>
  </w:style>
  <w:style w:type="paragraph" w:styleId="8">
    <w:name w:val="envelope return"/>
    <w:basedOn w:val="1"/>
    <w:qFormat/>
    <w:uiPriority w:val="99"/>
    <w:pPr>
      <w:snapToGrid w:val="0"/>
    </w:pPr>
    <w:rPr>
      <w:rFonts w:ascii="Arial" w:hAnsi="Arial" w:cs="Arial"/>
      <w:szCs w:val="21"/>
    </w:rPr>
  </w:style>
  <w:style w:type="paragraph" w:styleId="9">
    <w:name w:val="footer"/>
    <w:basedOn w:val="1"/>
    <w:uiPriority w:val="0"/>
    <w:pPr>
      <w:tabs>
        <w:tab w:val="center" w:pos="4153"/>
        <w:tab w:val="right" w:pos="8306"/>
      </w:tabs>
      <w:snapToGrid w:val="0"/>
      <w:jc w:val="left"/>
    </w:pPr>
    <w:rPr>
      <w:sz w:val="18"/>
    </w:rPr>
  </w:style>
  <w:style w:type="paragraph" w:styleId="10">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qFormat/>
    <w:uiPriority w:val="0"/>
    <w:pPr>
      <w:widowControl/>
      <w:spacing w:before="100" w:beforeAutospacing="1" w:after="100" w:afterAutospacing="1"/>
      <w:jc w:val="left"/>
    </w:pPr>
    <w:rPr>
      <w:rFonts w:ascii="宋体" w:hAnsi="宋体"/>
      <w:kern w:val="0"/>
      <w:sz w:val="18"/>
      <w:szCs w:val="18"/>
    </w:rPr>
  </w:style>
  <w:style w:type="character" w:styleId="14">
    <w:name w:val="annotation reference"/>
    <w:qFormat/>
    <w:uiPriority w:val="99"/>
    <w:rPr>
      <w:sz w:val="21"/>
      <w:szCs w:val="21"/>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2026-10-08T05:02:00Z</dcterms:created>
  <dc:creator>......</dc:creator>
  <cp:lastModifiedBy>......</cp:lastModifiedBy>
  <dcterms:modified xsi:type="dcterms:W3CDTF">2026-10-08T05:05:02Z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CDC58BDFAB864152BFB7B5F51AB3EECB_11</vt:lpwstr>
  </property>
  <property fmtid="{D5CDD505-2E9C-101B-9397-08002B2CF9AE}" pid="4" name="KSOTemplateDocerSaveRecord">
    <vt:lpwstr>eyJoZGlkIjoiMDNkMjc2YjkzMWY2MGNmNGZlZjI5MDIyZWJkZGM0MjIiLCJ1c2VySWQiOiIzOTQ5NTQ1NjgifQ==</vt:lpwstr>
  </property>
</Properties>
</file>