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83F728">
      <w:pPr>
        <w:pStyle w:val="2"/>
        <w:spacing w:before="120" w:after="120" w:line="360" w:lineRule="auto"/>
        <w:rPr>
          <w:rFonts w:hint="eastAsia" w:ascii="宋体" w:hAnsi="宋体" w:cs="宋体"/>
          <w:kern w:val="2"/>
          <w:sz w:val="32"/>
          <w:highlight w:val="none"/>
        </w:rPr>
      </w:pPr>
      <w:bookmarkStart w:id="9" w:name="_GoBack"/>
      <w:bookmarkStart w:id="0" w:name="_Toc88807246"/>
      <w:bookmarkStart w:id="1" w:name="_Toc2795"/>
      <w:bookmarkStart w:id="2" w:name="_Toc2318"/>
      <w:bookmarkStart w:id="3" w:name="_Toc796"/>
      <w:bookmarkStart w:id="4" w:name="_Toc7551"/>
      <w:bookmarkStart w:id="5" w:name="_Toc18999"/>
      <w:bookmarkStart w:id="6" w:name="_Toc6058"/>
      <w:r>
        <w:rPr>
          <w:rFonts w:hint="eastAsia" w:ascii="宋体" w:hAnsi="宋体" w:cs="宋体"/>
          <w:kern w:val="2"/>
          <w:sz w:val="32"/>
          <w:highlight w:val="none"/>
          <w:lang w:eastAsia="zh-CN"/>
        </w:rPr>
        <w:t>中国海洋大学液相色谱质谱联用仪采购项目</w:t>
      </w:r>
      <w:r>
        <w:rPr>
          <w:rFonts w:hint="eastAsia" w:ascii="宋体" w:hAnsi="宋体" w:cs="宋体"/>
          <w:kern w:val="2"/>
          <w:sz w:val="32"/>
          <w:highlight w:val="none"/>
          <w:lang w:val="en-US" w:eastAsia="zh-CN"/>
        </w:rPr>
        <w:t>采购需求</w:t>
      </w:r>
      <w:bookmarkEnd w:id="9"/>
      <w:bookmarkEnd w:id="0"/>
      <w:bookmarkEnd w:id="1"/>
      <w:bookmarkEnd w:id="2"/>
      <w:bookmarkEnd w:id="3"/>
      <w:bookmarkEnd w:id="4"/>
      <w:bookmarkEnd w:id="5"/>
      <w:bookmarkEnd w:id="6"/>
    </w:p>
    <w:p w14:paraId="4143ADCB">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bookmarkStart w:id="7" w:name="_Toc88807247"/>
      <w:bookmarkStart w:id="8" w:name="OLE_LINK27"/>
      <w:r>
        <w:rPr>
          <w:rFonts w:hint="eastAsia" w:ascii="宋体" w:hAnsi="宋体"/>
          <w:b/>
          <w:kern w:val="2"/>
          <w:szCs w:val="24"/>
        </w:rPr>
        <w:t>一、商务条件</w:t>
      </w:r>
    </w:p>
    <w:p w14:paraId="2D92EE7B">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r>
        <w:rPr>
          <w:rFonts w:hint="eastAsia" w:ascii="宋体" w:hAnsi="宋体"/>
          <w:b/>
          <w:kern w:val="2"/>
          <w:szCs w:val="24"/>
        </w:rPr>
        <w:t>1.交货期及交货地点</w:t>
      </w:r>
    </w:p>
    <w:p w14:paraId="2698593B">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1.1签订合同后按采购人要求供货，技术要求中有明确要求的执行技术要求中的交货期，投标人可根据自身情况自报最快交货时间。</w:t>
      </w:r>
    </w:p>
    <w:p w14:paraId="3BDB684D">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1.2采购人指定地点。</w:t>
      </w:r>
    </w:p>
    <w:p w14:paraId="0D50D8F0">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r>
        <w:rPr>
          <w:rFonts w:hint="eastAsia" w:ascii="宋体" w:hAnsi="宋体"/>
          <w:b/>
          <w:kern w:val="2"/>
          <w:szCs w:val="24"/>
        </w:rPr>
        <w:t>2.质量保证期</w:t>
      </w:r>
    </w:p>
    <w:p w14:paraId="0033FF52">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2.1质量保证期：</w:t>
      </w:r>
      <w:r>
        <w:rPr>
          <w:rFonts w:hint="eastAsia" w:ascii="宋体" w:hAnsi="宋体" w:eastAsia="宋体" w:cs="Times New Roman"/>
          <w:b/>
          <w:kern w:val="2"/>
          <w:szCs w:val="24"/>
        </w:rPr>
        <w:t>国产设备质保3年，进口设备质保1年，技术要求中有明确要求的执行技术要求中的质</w:t>
      </w:r>
      <w:r>
        <w:rPr>
          <w:rFonts w:hint="eastAsia" w:ascii="宋体" w:hAnsi="宋体"/>
          <w:b/>
          <w:kern w:val="2"/>
          <w:szCs w:val="24"/>
        </w:rPr>
        <w:t>保期。</w:t>
      </w:r>
      <w:r>
        <w:rPr>
          <w:rFonts w:hint="eastAsia" w:ascii="宋体" w:hAnsi="宋体"/>
          <w:bCs/>
          <w:kern w:val="2"/>
          <w:szCs w:val="24"/>
        </w:rPr>
        <w:t>国家主管部门或者行业标准对货物本身有更高要求的，从其规定并在合同中约定，投标人亦可提报更长的质保期。</w:t>
      </w:r>
    </w:p>
    <w:p w14:paraId="5344DC51">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2.2质量保证期内，如果证实货物是有缺陷的，包括潜在的缺陷或者使用不符合要求的材料等，中标人应立即免费维修或者更换有缺陷的货物或者部件，保证达到合同规定的技术以及性能要求。如果中标人在收到通知后5天内没有弥补缺陷，采购人可自行采取必要的补救措施，但风险和费用由中标人承担，采购人同时保留通过法律途径进行索赔的权利。</w:t>
      </w:r>
    </w:p>
    <w:p w14:paraId="504049FE">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2.3质保期外的服务：如设备在质保期外发生故障，中标人继续以成本费用为用户提供技术服务。</w:t>
      </w:r>
    </w:p>
    <w:p w14:paraId="0B1BB08C">
      <w:pPr>
        <w:pStyle w:val="4"/>
        <w:keepNext w:val="0"/>
        <w:keepLines w:val="0"/>
        <w:pageBreakBefore w:val="0"/>
        <w:widowControl w:val="0"/>
        <w:tabs>
          <w:tab w:val="left" w:pos="573"/>
        </w:tabs>
        <w:kinsoku/>
        <w:wordWrap/>
        <w:overflowPunct/>
        <w:topLinePunct w:val="0"/>
        <w:autoSpaceDE/>
        <w:autoSpaceDN/>
        <w:bidi w:val="0"/>
        <w:adjustRightInd/>
        <w:snapToGrid/>
        <w:spacing w:line="360" w:lineRule="auto"/>
        <w:ind w:firstLine="480" w:firstLineChars="200"/>
        <w:textAlignment w:val="auto"/>
        <w:rPr>
          <w:rFonts w:ascii="宋体" w:hAnsi="宋体"/>
          <w:bCs/>
        </w:rPr>
      </w:pPr>
      <w:r>
        <w:rPr>
          <w:rFonts w:ascii="宋体" w:hAnsi="宋体"/>
          <w:bCs/>
          <w:kern w:val="2"/>
          <w:szCs w:val="24"/>
        </w:rPr>
        <w:t>2.4</w:t>
      </w:r>
      <w:r>
        <w:rPr>
          <w:rFonts w:hint="eastAsia" w:ascii="宋体" w:hAnsi="宋体"/>
          <w:bCs/>
          <w:kern w:val="2"/>
          <w:szCs w:val="24"/>
        </w:rPr>
        <w:t>如中标人所提供产品经检验不符合招标文件及合同约定的质量标准，则视为中标人根本违约。投标人有权解除合同，并要求中标人向投标人支付相当于该</w:t>
      </w:r>
      <w:r>
        <w:rPr>
          <w:rFonts w:hint="eastAsia" w:ascii="宋体" w:hAnsi="宋体"/>
          <w:szCs w:val="24"/>
        </w:rPr>
        <w:t>合同设备总价款</w:t>
      </w:r>
      <w:r>
        <w:rPr>
          <w:rFonts w:ascii="宋体" w:hAnsi="宋体"/>
          <w:szCs w:val="24"/>
        </w:rPr>
        <w:t>300%</w:t>
      </w:r>
      <w:r>
        <w:rPr>
          <w:rFonts w:hint="eastAsia" w:ascii="宋体" w:hAnsi="宋体"/>
          <w:bCs/>
          <w:kern w:val="2"/>
          <w:szCs w:val="24"/>
        </w:rPr>
        <w:t>的违约金，且该违约金的支付并不免除中标人返还已收货款及赔偿需方其他损失的责任。</w:t>
      </w:r>
    </w:p>
    <w:p w14:paraId="082F6BA5">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r>
        <w:rPr>
          <w:rFonts w:hint="eastAsia" w:ascii="宋体" w:hAnsi="宋体"/>
          <w:b/>
          <w:kern w:val="2"/>
          <w:szCs w:val="24"/>
        </w:rPr>
        <w:t>3.付款方式</w:t>
      </w:r>
    </w:p>
    <w:p w14:paraId="07E5B17D">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内贸货物：货物验收合格后，合同金额在十万人民币及以上，乙方需按照合同额5%付给甲方质保金，甲方100%支付给乙方设备款。质保期满后无质量问题及其他争议，经乙方申请，甲方</w:t>
      </w:r>
      <w:r>
        <w:rPr>
          <w:rFonts w:hint="eastAsia" w:ascii="宋体" w:hAnsi="宋体"/>
          <w:bCs/>
          <w:kern w:val="2"/>
          <w:szCs w:val="24"/>
          <w:lang w:eastAsia="zh-Hans"/>
        </w:rPr>
        <w:t>在扣除相关费用后</w:t>
      </w:r>
      <w:r>
        <w:rPr>
          <w:rFonts w:hint="eastAsia" w:ascii="宋体" w:hAnsi="宋体"/>
          <w:bCs/>
          <w:kern w:val="2"/>
          <w:szCs w:val="24"/>
        </w:rPr>
        <w:t>将质保金</w:t>
      </w:r>
      <w:r>
        <w:rPr>
          <w:rFonts w:hint="eastAsia" w:ascii="宋体" w:hAnsi="宋体"/>
          <w:bCs/>
          <w:kern w:val="2"/>
          <w:szCs w:val="24"/>
          <w:lang w:eastAsia="zh-Hans"/>
        </w:rPr>
        <w:t>无息</w:t>
      </w:r>
      <w:r>
        <w:rPr>
          <w:rFonts w:hint="eastAsia" w:ascii="宋体" w:hAnsi="宋体"/>
          <w:bCs/>
          <w:kern w:val="2"/>
          <w:szCs w:val="24"/>
        </w:rPr>
        <w:t>返还乙方。合同金额在十万人民币以下的，甲方100%支付给乙方设备款。乙方于甲方付款之前须向甲方开具增值税专用发票/增值税普通发票，如为增值税专用发票需向甲方提供抵扣联。</w:t>
      </w:r>
    </w:p>
    <w:p w14:paraId="3260FFB1">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外贸货物：货物办理完免税手续后支付合同的80%，验收合格后</w:t>
      </w:r>
      <w:r>
        <w:rPr>
          <w:rFonts w:hint="eastAsia" w:ascii="宋体" w:hAnsi="宋体"/>
          <w:bCs/>
          <w:kern w:val="2"/>
          <w:szCs w:val="24"/>
          <w:lang w:eastAsia="zh-Hans"/>
        </w:rPr>
        <w:t>支付</w:t>
      </w:r>
      <w:r>
        <w:rPr>
          <w:rFonts w:hint="eastAsia" w:ascii="宋体" w:hAnsi="宋体"/>
          <w:bCs/>
          <w:kern w:val="2"/>
          <w:szCs w:val="24"/>
        </w:rPr>
        <w:t>20%。</w:t>
      </w:r>
    </w:p>
    <w:p w14:paraId="6D332581">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r>
        <w:rPr>
          <w:rFonts w:hint="eastAsia" w:ascii="宋体" w:hAnsi="宋体"/>
          <w:b/>
          <w:kern w:val="2"/>
          <w:szCs w:val="24"/>
        </w:rPr>
        <w:t>4.安装调试验收</w:t>
      </w:r>
    </w:p>
    <w:p w14:paraId="0CFDEDFC">
      <w:pPr>
        <w:spacing w:line="360" w:lineRule="auto"/>
        <w:ind w:firstLine="523" w:firstLineChars="218"/>
        <w:rPr>
          <w:rFonts w:ascii="宋体" w:hAnsi="宋体" w:cs="宋体"/>
          <w:kern w:val="0"/>
          <w:sz w:val="24"/>
          <w:lang w:val="zh-CN"/>
        </w:rPr>
      </w:pPr>
      <w:r>
        <w:rPr>
          <w:rFonts w:hint="eastAsia" w:ascii="宋体" w:hAnsi="宋体" w:cs="宋体"/>
          <w:kern w:val="0"/>
          <w:sz w:val="24"/>
          <w:lang w:val="zh-CN"/>
        </w:rPr>
        <w:t>4.1货物运抵现场后，采购人将对货物数量、质量、规格等进行检验。设备验收由专家组和</w:t>
      </w:r>
      <w:r>
        <w:rPr>
          <w:rFonts w:hint="eastAsia" w:ascii="宋体" w:hAnsi="宋体" w:cs="宋体"/>
          <w:kern w:val="0"/>
          <w:sz w:val="24"/>
          <w:lang w:val="en-US" w:eastAsia="zh-CN"/>
        </w:rPr>
        <w:t>中标</w:t>
      </w:r>
      <w:r>
        <w:rPr>
          <w:rFonts w:hint="eastAsia" w:ascii="宋体" w:hAnsi="宋体" w:cs="宋体"/>
          <w:kern w:val="0"/>
          <w:sz w:val="24"/>
          <w:lang w:val="zh-CN"/>
        </w:rPr>
        <w:t>人联合在中国海洋大学进行，验收条件按照合同规定执行。如发现货物和规格或者两者都与合同不符，采购人有权限根据检验结果要求</w:t>
      </w:r>
      <w:r>
        <w:rPr>
          <w:rFonts w:hint="eastAsia" w:ascii="宋体" w:hAnsi="宋体" w:cs="宋体"/>
          <w:kern w:val="0"/>
          <w:sz w:val="24"/>
          <w:lang w:val="en-US" w:eastAsia="zh-CN"/>
        </w:rPr>
        <w:t>中标</w:t>
      </w:r>
      <w:r>
        <w:rPr>
          <w:rFonts w:hint="eastAsia" w:ascii="宋体" w:hAnsi="宋体" w:cs="宋体"/>
          <w:kern w:val="0"/>
          <w:sz w:val="24"/>
          <w:lang w:val="zh-CN"/>
        </w:rPr>
        <w:t>人立即更换或者提出索赔要求。</w:t>
      </w:r>
    </w:p>
    <w:p w14:paraId="7444267D">
      <w:pPr>
        <w:spacing w:line="360" w:lineRule="auto"/>
        <w:ind w:firstLine="523" w:firstLineChars="218"/>
        <w:rPr>
          <w:rFonts w:ascii="宋体" w:hAnsi="宋体" w:cs="宋体"/>
          <w:kern w:val="0"/>
          <w:sz w:val="24"/>
          <w:lang w:val="zh-CN"/>
        </w:rPr>
      </w:pPr>
      <w:r>
        <w:rPr>
          <w:rFonts w:hint="eastAsia" w:ascii="宋体" w:hAnsi="宋体" w:cs="宋体"/>
          <w:kern w:val="0"/>
          <w:sz w:val="24"/>
          <w:lang w:val="zh-CN"/>
        </w:rPr>
        <w:t>4.2货物由</w:t>
      </w:r>
      <w:r>
        <w:rPr>
          <w:rFonts w:hint="eastAsia" w:ascii="宋体" w:hAnsi="宋体" w:cs="宋体"/>
          <w:kern w:val="0"/>
          <w:sz w:val="24"/>
          <w:lang w:val="en-US" w:eastAsia="zh-CN"/>
        </w:rPr>
        <w:t>中标</w:t>
      </w:r>
      <w:r>
        <w:rPr>
          <w:rFonts w:hint="eastAsia" w:ascii="宋体" w:hAnsi="宋体" w:cs="宋体"/>
          <w:kern w:val="0"/>
          <w:sz w:val="24"/>
          <w:lang w:val="zh-CN"/>
        </w:rPr>
        <w:t>人进行安装并调试好，达到说明书技术指标的要求，完毕后，采购人应对货物的数量、质量、规格、性能等进行详细而全面的检验。安装完毕后，证明货物以及安装质量无任何问题，由采购人组成的验收小组签署验收报告，作为付款凭据之一。</w:t>
      </w:r>
    </w:p>
    <w:p w14:paraId="10EF69CD">
      <w:r>
        <w:rPr>
          <w:rFonts w:hint="eastAsia" w:ascii="宋体" w:hAnsi="宋体" w:cs="宋体"/>
          <w:kern w:val="0"/>
          <w:sz w:val="24"/>
          <w:lang w:val="zh-CN"/>
        </w:rPr>
        <w:t>4.3</w:t>
      </w:r>
      <w:r>
        <w:rPr>
          <w:rFonts w:hint="eastAsia" w:ascii="宋体" w:hAnsi="宋体" w:cs="宋体"/>
          <w:kern w:val="0"/>
          <w:sz w:val="24"/>
          <w:lang w:val="en-US" w:eastAsia="zh-CN"/>
        </w:rPr>
        <w:t>中标</w:t>
      </w:r>
      <w:r>
        <w:rPr>
          <w:rFonts w:hint="eastAsia" w:ascii="宋体" w:hAnsi="宋体" w:cs="宋体"/>
          <w:kern w:val="0"/>
          <w:sz w:val="24"/>
          <w:lang w:val="zh-CN"/>
        </w:rPr>
        <w:t>人应提供各种文档资料和中文电子版说明书以及调试设备所需要的工具。</w:t>
      </w:r>
    </w:p>
    <w:p w14:paraId="19BA0DEC">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r>
        <w:rPr>
          <w:rFonts w:hint="eastAsia" w:ascii="宋体" w:hAnsi="宋体"/>
          <w:b/>
          <w:kern w:val="2"/>
          <w:szCs w:val="24"/>
        </w:rPr>
        <w:t>5.售后服务</w:t>
      </w:r>
    </w:p>
    <w:p w14:paraId="403F5A59">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5.1质保期内，如果证实设备是有缺陷的，包括潜在的缺陷或者使用不符合要求的材料等，中标人应立即免费维修或者更换有缺陷的货物或者部件，保证达到合同规定的技术以及性能要求。如果中标人在收到通知后5天内没有弥补缺陷，采购人可自行采取必要的补救措施，但风险和费用由中标人承担，采购人同时保留通过法律途径进行索赔的权利。</w:t>
      </w:r>
    </w:p>
    <w:p w14:paraId="3004986E">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5.2质保期内中标人应提供及时周到的售后服务，在接到采购人通知2小时内做出响应并到达现场，24小时内维修完毕，不能在规定时间内修好的要免费提供备品（机）备件。</w:t>
      </w:r>
    </w:p>
    <w:p w14:paraId="4EE1CB7C">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5.3质保期内，中标人应按照采购人要求无偿协助采购人开展设备调试，直至可实现设备的正常使用。</w:t>
      </w:r>
    </w:p>
    <w:p w14:paraId="1D29EBC7">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r>
        <w:rPr>
          <w:rFonts w:hint="eastAsia" w:ascii="宋体" w:hAnsi="宋体"/>
          <w:b/>
          <w:kern w:val="2"/>
          <w:szCs w:val="24"/>
        </w:rPr>
        <w:t>6.培训要求</w:t>
      </w:r>
    </w:p>
    <w:p w14:paraId="773773AE">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中标人免费为采购人提供中文操作手册并培训操作人员，其中包括讲解产品的结构以及原理、产品的使用以及维护保养，直至操作人员能够独立的操作使用。</w:t>
      </w:r>
    </w:p>
    <w:p w14:paraId="64A8DE02">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Times New Roman"/>
          <w:b/>
          <w:kern w:val="2"/>
          <w:szCs w:val="24"/>
          <w:highlight w:val="none"/>
          <w:lang w:val="en-US" w:eastAsia="zh-CN"/>
        </w:rPr>
      </w:pPr>
      <w:r>
        <w:rPr>
          <w:rFonts w:hint="eastAsia" w:ascii="宋体" w:hAnsi="宋体" w:eastAsia="宋体" w:cs="Times New Roman"/>
          <w:b/>
          <w:kern w:val="2"/>
          <w:szCs w:val="24"/>
          <w:highlight w:val="none"/>
          <w:lang w:val="en-US" w:eastAsia="zh-CN"/>
        </w:rPr>
        <w:br w:type="page"/>
      </w:r>
      <w:r>
        <w:rPr>
          <w:rFonts w:hint="eastAsia" w:ascii="宋体" w:hAnsi="宋体" w:eastAsia="宋体" w:cs="Times New Roman"/>
          <w:b/>
          <w:kern w:val="2"/>
          <w:szCs w:val="24"/>
          <w:highlight w:val="none"/>
          <w:lang w:val="en-US" w:eastAsia="zh-CN"/>
        </w:rPr>
        <w:t>二、采购内容</w:t>
      </w:r>
    </w:p>
    <w:bookmarkEnd w:id="7"/>
    <w:tbl>
      <w:tblPr>
        <w:tblStyle w:val="5"/>
        <w:tblW w:w="10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6"/>
        <w:gridCol w:w="1281"/>
        <w:gridCol w:w="5423"/>
        <w:gridCol w:w="1446"/>
        <w:gridCol w:w="1361"/>
      </w:tblGrid>
      <w:tr w14:paraId="44CCC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926" w:type="dxa"/>
            <w:tcBorders>
              <w:top w:val="single" w:color="auto" w:sz="4" w:space="0"/>
              <w:left w:val="single" w:color="auto" w:sz="4" w:space="0"/>
              <w:bottom w:val="single" w:color="auto" w:sz="4" w:space="0"/>
              <w:right w:val="single" w:color="auto" w:sz="4" w:space="0"/>
            </w:tcBorders>
            <w:noWrap w:val="0"/>
            <w:vAlign w:val="center"/>
          </w:tcPr>
          <w:p w14:paraId="551B59AA">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cs="宋体"/>
                <w:b/>
                <w:bCs/>
                <w:sz w:val="24"/>
              </w:rPr>
            </w:pPr>
            <w:r>
              <w:rPr>
                <w:rFonts w:hint="eastAsia" w:ascii="宋体" w:hAnsi="宋体" w:cs="宋体"/>
                <w:b/>
                <w:bCs/>
                <w:sz w:val="24"/>
              </w:rPr>
              <w:t>序号</w:t>
            </w:r>
          </w:p>
        </w:tc>
        <w:tc>
          <w:tcPr>
            <w:tcW w:w="1281" w:type="dxa"/>
            <w:tcBorders>
              <w:top w:val="single" w:color="auto" w:sz="4" w:space="0"/>
              <w:left w:val="single" w:color="auto" w:sz="4" w:space="0"/>
              <w:bottom w:val="single" w:color="auto" w:sz="4" w:space="0"/>
              <w:right w:val="single" w:color="auto" w:sz="4" w:space="0"/>
            </w:tcBorders>
            <w:noWrap w:val="0"/>
            <w:vAlign w:val="center"/>
          </w:tcPr>
          <w:p w14:paraId="21C5EA23">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cs="宋体"/>
                <w:b/>
                <w:bCs/>
                <w:sz w:val="24"/>
              </w:rPr>
            </w:pPr>
            <w:r>
              <w:rPr>
                <w:rFonts w:hint="eastAsia" w:ascii="宋体" w:hAnsi="宋体" w:cs="宋体"/>
                <w:b/>
                <w:bCs/>
                <w:sz w:val="24"/>
              </w:rPr>
              <w:t>设备名称</w:t>
            </w:r>
          </w:p>
        </w:tc>
        <w:tc>
          <w:tcPr>
            <w:tcW w:w="5423" w:type="dxa"/>
            <w:tcBorders>
              <w:top w:val="single" w:color="auto" w:sz="4" w:space="0"/>
              <w:left w:val="single" w:color="auto" w:sz="4" w:space="0"/>
              <w:bottom w:val="single" w:color="auto" w:sz="4" w:space="0"/>
              <w:right w:val="single" w:color="auto" w:sz="4" w:space="0"/>
            </w:tcBorders>
            <w:noWrap w:val="0"/>
            <w:vAlign w:val="center"/>
          </w:tcPr>
          <w:p w14:paraId="6314E01B">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b/>
                <w:bCs/>
                <w:sz w:val="24"/>
                <w:szCs w:val="24"/>
              </w:rPr>
              <w:t>技术需求</w:t>
            </w:r>
          </w:p>
        </w:tc>
        <w:tc>
          <w:tcPr>
            <w:tcW w:w="1446" w:type="dxa"/>
            <w:tcBorders>
              <w:top w:val="single" w:color="auto" w:sz="4" w:space="0"/>
              <w:left w:val="single" w:color="auto" w:sz="4" w:space="0"/>
              <w:bottom w:val="single" w:color="auto" w:sz="4" w:space="0"/>
              <w:right w:val="single" w:color="auto" w:sz="4" w:space="0"/>
            </w:tcBorders>
            <w:noWrap w:val="0"/>
            <w:vAlign w:val="center"/>
          </w:tcPr>
          <w:p w14:paraId="11BCB01C">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cs="宋体"/>
                <w:sz w:val="24"/>
              </w:rPr>
            </w:pPr>
            <w:r>
              <w:rPr>
                <w:rFonts w:hint="eastAsia" w:ascii="宋体" w:hAnsi="宋体" w:cs="宋体"/>
                <w:b/>
                <w:bCs/>
                <w:sz w:val="24"/>
              </w:rPr>
              <w:t>数量</w:t>
            </w:r>
          </w:p>
        </w:tc>
        <w:tc>
          <w:tcPr>
            <w:tcW w:w="1361" w:type="dxa"/>
            <w:tcBorders>
              <w:top w:val="single" w:color="auto" w:sz="4" w:space="0"/>
              <w:left w:val="single" w:color="auto" w:sz="4" w:space="0"/>
              <w:bottom w:val="single" w:color="auto" w:sz="4" w:space="0"/>
              <w:right w:val="single" w:color="auto" w:sz="4" w:space="0"/>
            </w:tcBorders>
            <w:noWrap w:val="0"/>
            <w:vAlign w:val="center"/>
          </w:tcPr>
          <w:p w14:paraId="1177AEBD">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cs="宋体"/>
                <w:sz w:val="24"/>
              </w:rPr>
            </w:pPr>
            <w:r>
              <w:rPr>
                <w:rFonts w:hint="eastAsia" w:ascii="宋体" w:hAnsi="宋体" w:cs="宋体"/>
                <w:b/>
                <w:bCs/>
                <w:sz w:val="24"/>
              </w:rPr>
              <w:t>单价限价（万元）</w:t>
            </w:r>
          </w:p>
        </w:tc>
      </w:tr>
      <w:tr w14:paraId="4750E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926" w:type="dxa"/>
            <w:tcBorders>
              <w:top w:val="single" w:color="auto" w:sz="4" w:space="0"/>
              <w:left w:val="single" w:color="auto" w:sz="4" w:space="0"/>
              <w:bottom w:val="single" w:color="auto" w:sz="4" w:space="0"/>
              <w:right w:val="single" w:color="auto" w:sz="4" w:space="0"/>
            </w:tcBorders>
            <w:noWrap w:val="0"/>
            <w:vAlign w:val="center"/>
          </w:tcPr>
          <w:p w14:paraId="0323DD9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cs="宋体"/>
                <w:sz w:val="24"/>
              </w:rPr>
            </w:pPr>
            <w:r>
              <w:rPr>
                <w:rFonts w:hint="eastAsia" w:ascii="宋体" w:hAnsi="宋体" w:cs="宋体"/>
                <w:color w:val="000000"/>
                <w:kern w:val="0"/>
                <w:sz w:val="24"/>
              </w:rPr>
              <w:t>1</w:t>
            </w:r>
          </w:p>
        </w:tc>
        <w:tc>
          <w:tcPr>
            <w:tcW w:w="1281" w:type="dxa"/>
            <w:tcBorders>
              <w:top w:val="single" w:color="auto" w:sz="4" w:space="0"/>
              <w:left w:val="single" w:color="auto" w:sz="4" w:space="0"/>
              <w:bottom w:val="single" w:color="auto" w:sz="4" w:space="0"/>
              <w:right w:val="single" w:color="auto" w:sz="4" w:space="0"/>
            </w:tcBorders>
            <w:noWrap w:val="0"/>
            <w:vAlign w:val="center"/>
          </w:tcPr>
          <w:p w14:paraId="6C3C9C7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cs="宋体"/>
                <w:sz w:val="24"/>
              </w:rPr>
            </w:pPr>
            <w:r>
              <w:rPr>
                <w:rFonts w:hint="eastAsia" w:ascii="宋体" w:hAnsi="宋体" w:cs="宋体"/>
                <w:sz w:val="24"/>
              </w:rPr>
              <w:t>液相色谱质谱联用仪</w:t>
            </w:r>
          </w:p>
        </w:tc>
        <w:tc>
          <w:tcPr>
            <w:tcW w:w="5423" w:type="dxa"/>
            <w:tcBorders>
              <w:top w:val="single" w:color="auto" w:sz="4" w:space="0"/>
              <w:left w:val="single" w:color="auto" w:sz="4" w:space="0"/>
              <w:bottom w:val="single" w:color="auto" w:sz="4" w:space="0"/>
              <w:right w:val="single" w:color="auto" w:sz="4" w:space="0"/>
            </w:tcBorders>
            <w:noWrap w:val="0"/>
            <w:vAlign w:val="center"/>
          </w:tcPr>
          <w:p w14:paraId="360CCB3B">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222222"/>
                <w:sz w:val="24"/>
                <w:szCs w:val="24"/>
                <w:shd w:val="clear" w:color="auto" w:fill="FDFDFD"/>
              </w:rPr>
            </w:pPr>
            <w:r>
              <w:rPr>
                <w:rFonts w:hint="eastAsia" w:ascii="宋体" w:hAnsi="宋体" w:eastAsia="宋体" w:cs="宋体"/>
                <w:color w:val="222222"/>
                <w:sz w:val="24"/>
                <w:szCs w:val="24"/>
                <w:shd w:val="clear" w:color="auto" w:fill="FDFDFD"/>
              </w:rPr>
              <w:t>1.离子源为加热式电喷雾源，具备双温控区域，加热温度不低于600℃；支持全自动蠕动泵直接进样与校准；软件具备实时喷雾稳定性监控；离子源腔体设有观察窗口可直接监视喷雾状态与洁净程度；</w:t>
            </w:r>
          </w:p>
          <w:p w14:paraId="7708207B">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222222"/>
                <w:sz w:val="24"/>
                <w:szCs w:val="24"/>
                <w:shd w:val="clear" w:color="auto" w:fill="FDFDFD"/>
              </w:rPr>
            </w:pPr>
            <w:r>
              <w:rPr>
                <w:rFonts w:hint="eastAsia" w:ascii="宋体" w:hAnsi="宋体" w:eastAsia="宋体" w:cs="宋体"/>
                <w:color w:val="222222"/>
                <w:sz w:val="24"/>
                <w:szCs w:val="24"/>
                <w:shd w:val="clear" w:color="auto" w:fill="FDFDFD"/>
              </w:rPr>
              <w:t>2.离子传输系统采用锥孔方式，配备离子传输管以保护分子涡轮泵，具备真空隔断阀；使用分段式双曲面四极杆结构，分辨率小于0.4Da；</w:t>
            </w:r>
          </w:p>
          <w:p w14:paraId="22DECA50">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222222"/>
                <w:sz w:val="24"/>
                <w:szCs w:val="24"/>
                <w:shd w:val="clear" w:color="auto" w:fill="FDFDFD"/>
              </w:rPr>
            </w:pPr>
            <w:r>
              <w:rPr>
                <w:rFonts w:hint="eastAsia" w:ascii="宋体" w:hAnsi="宋体" w:eastAsia="宋体" w:cs="宋体"/>
                <w:color w:val="222222"/>
                <w:sz w:val="24"/>
                <w:szCs w:val="24"/>
                <w:shd w:val="clear" w:color="auto" w:fill="FDFDFD"/>
              </w:rPr>
              <w:t>3.质量分析器分辨率不低于138000FWHM，分辨率</w:t>
            </w:r>
            <w:r>
              <w:rPr>
                <w:rFonts w:hint="eastAsia" w:ascii="宋体" w:hAnsi="宋体" w:eastAsia="宋体" w:cs="宋体"/>
                <w:sz w:val="24"/>
                <w:szCs w:val="24"/>
              </w:rPr>
              <w:t>不受扫描速度影响，</w:t>
            </w:r>
            <w:r>
              <w:rPr>
                <w:rFonts w:hint="eastAsia" w:ascii="宋体" w:hAnsi="宋体" w:eastAsia="宋体" w:cs="宋体"/>
                <w:color w:val="222222"/>
                <w:sz w:val="24"/>
                <w:szCs w:val="24"/>
                <w:shd w:val="clear" w:color="auto" w:fill="FDFDFD"/>
              </w:rPr>
              <w:t>质量范围为40至4000m/z；</w:t>
            </w:r>
            <w:r>
              <w:rPr>
                <w:rFonts w:hint="eastAsia" w:ascii="宋体" w:hAnsi="宋体" w:eastAsia="宋体" w:cs="宋体"/>
                <w:sz w:val="24"/>
                <w:szCs w:val="24"/>
              </w:rPr>
              <w:t>MSMS扫描速度可达100HZ，高分辨率、高稳定性的四极杆分析器</w:t>
            </w:r>
            <w:r>
              <w:rPr>
                <w:rFonts w:hint="eastAsia" w:ascii="宋体" w:hAnsi="宋体" w:eastAsia="宋体" w:cs="宋体"/>
                <w:sz w:val="24"/>
                <w:szCs w:val="24"/>
                <w:lang w:eastAsia="zh-CN"/>
              </w:rPr>
              <w:t>（</w:t>
            </w:r>
            <w:r>
              <w:rPr>
                <w:rFonts w:hint="eastAsia" w:ascii="宋体" w:hAnsi="宋体" w:eastAsia="宋体" w:cs="宋体"/>
                <w:sz w:val="24"/>
                <w:szCs w:val="24"/>
              </w:rPr>
              <w:t>MS1</w:t>
            </w:r>
            <w:r>
              <w:rPr>
                <w:rFonts w:hint="eastAsia" w:ascii="宋体" w:hAnsi="宋体" w:eastAsia="宋体" w:cs="宋体"/>
                <w:sz w:val="24"/>
                <w:szCs w:val="24"/>
                <w:lang w:eastAsia="zh-CN"/>
              </w:rPr>
              <w:t>）</w:t>
            </w:r>
            <w:r>
              <w:rPr>
                <w:rFonts w:hint="eastAsia" w:ascii="宋体" w:hAnsi="宋体" w:eastAsia="宋体" w:cs="宋体"/>
                <w:sz w:val="24"/>
                <w:szCs w:val="24"/>
              </w:rPr>
              <w:t>设计，具有增强的亚微秒同步功能，配合预过滤器能够尽可能提高分辨率和传输率，同时大幅减少污染</w:t>
            </w:r>
            <w:r>
              <w:rPr>
                <w:rFonts w:hint="eastAsia" w:ascii="宋体" w:hAnsi="宋体" w:eastAsia="宋体" w:cs="宋体"/>
                <w:color w:val="222222"/>
                <w:sz w:val="24"/>
                <w:szCs w:val="24"/>
                <w:shd w:val="clear" w:color="auto" w:fill="FDFDFD"/>
              </w:rPr>
              <w:t>；</w:t>
            </w:r>
          </w:p>
          <w:p w14:paraId="4DE35325">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222222"/>
                <w:sz w:val="24"/>
                <w:szCs w:val="24"/>
                <w:shd w:val="clear" w:color="auto" w:fill="FDFDFD"/>
              </w:rPr>
            </w:pPr>
            <w:r>
              <w:rPr>
                <w:rFonts w:hint="eastAsia" w:ascii="宋体" w:hAnsi="宋体" w:eastAsia="宋体" w:cs="宋体"/>
                <w:color w:val="222222"/>
                <w:sz w:val="24"/>
                <w:szCs w:val="24"/>
                <w:shd w:val="clear" w:color="auto" w:fill="FDFDFD"/>
              </w:rPr>
              <w:t>4.灵敏度方面，MS/MS模式下200fg利血平信噪比不低于100：1，提高仪器分辨率时灵敏度不显著下降；支持全扫描MS、MS/MS、</w:t>
            </w:r>
            <w:r>
              <w:rPr>
                <w:rFonts w:hint="eastAsia" w:ascii="宋体" w:hAnsi="宋体" w:eastAsia="宋体" w:cs="宋体"/>
                <w:sz w:val="24"/>
                <w:szCs w:val="24"/>
              </w:rPr>
              <w:t>ESI/APCI切换、</w:t>
            </w:r>
            <w:r>
              <w:rPr>
                <w:rFonts w:hint="eastAsia" w:ascii="宋体" w:hAnsi="宋体" w:eastAsia="宋体" w:cs="宋体"/>
                <w:color w:val="222222"/>
                <w:sz w:val="24"/>
                <w:szCs w:val="24"/>
                <w:shd w:val="clear" w:color="auto" w:fill="FDFDFD"/>
              </w:rPr>
              <w:t>全子离子扫描、数据依赖扫描、数据非依赖扫描等模式；检测器为非损耗型；</w:t>
            </w:r>
          </w:p>
          <w:p w14:paraId="40178370">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222222"/>
                <w:sz w:val="24"/>
                <w:szCs w:val="24"/>
                <w:shd w:val="clear" w:color="auto" w:fill="FDFDFD"/>
              </w:rPr>
            </w:pPr>
            <w:r>
              <w:rPr>
                <w:rFonts w:hint="eastAsia" w:ascii="宋体" w:hAnsi="宋体" w:eastAsia="宋体" w:cs="宋体"/>
                <w:color w:val="222222"/>
                <w:sz w:val="24"/>
                <w:szCs w:val="24"/>
                <w:shd w:val="clear" w:color="auto" w:fill="FDFDFD"/>
              </w:rPr>
              <w:t>5.二元高压液相泵流量调节范围为0.001至2mL/min，调节增量为1μL/min；压力范围为2至103MPa；自动压缩补偿不受流动相组成影响；流量准确度不高于±0.1%；梯度采用高压比例调节；配备六通道内置式脱气系统；</w:t>
            </w:r>
          </w:p>
          <w:p w14:paraId="0BACCCDC">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222222"/>
                <w:sz w:val="24"/>
                <w:szCs w:val="24"/>
                <w:shd w:val="clear" w:color="auto" w:fill="FDFDFD"/>
              </w:rPr>
            </w:pPr>
            <w:r>
              <w:rPr>
                <w:rFonts w:hint="eastAsia" w:ascii="宋体" w:hAnsi="宋体" w:eastAsia="宋体" w:cs="宋体"/>
                <w:color w:val="222222"/>
                <w:sz w:val="24"/>
                <w:szCs w:val="24"/>
                <w:shd w:val="clear" w:color="auto" w:fill="FDFDFD"/>
              </w:rPr>
              <w:t>6.自动进样器支持压力范围2至103MPa；进样体积范围为0.01至25μL，最小调节步长为0.01μL；进样体积为1μL时所需最小样品体积不高于2μL；样品舱温度调节范围为4至40℃；样品瓶容量不低于90位，适配2mL标准样品瓶</w:t>
            </w:r>
            <w:r>
              <w:rPr>
                <w:rFonts w:hint="eastAsia" w:ascii="宋体" w:hAnsi="宋体" w:eastAsia="宋体" w:cs="宋体"/>
                <w:color w:val="222222"/>
                <w:sz w:val="24"/>
                <w:szCs w:val="24"/>
                <w:shd w:val="clear" w:color="auto" w:fill="FDFDFD"/>
                <w:lang w:eastAsia="zh-CN"/>
              </w:rPr>
              <w:t>；</w:t>
            </w:r>
          </w:p>
          <w:p w14:paraId="6D1E9C38">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222222"/>
                <w:sz w:val="24"/>
                <w:szCs w:val="24"/>
                <w:shd w:val="clear" w:color="auto" w:fill="FDFDFD"/>
              </w:rPr>
            </w:pPr>
            <w:r>
              <w:rPr>
                <w:rFonts w:hint="eastAsia" w:ascii="宋体" w:hAnsi="宋体" w:eastAsia="宋体" w:cs="宋体"/>
                <w:color w:val="222222"/>
                <w:sz w:val="24"/>
                <w:szCs w:val="24"/>
                <w:shd w:val="clear" w:color="auto" w:fill="FDFDFD"/>
              </w:rPr>
              <w:t>7.柱温箱温度调节范围为5至90℃，调节增量为0.1℃；20至50℃范围内升温时间不大于15分钟；内置≥</w:t>
            </w:r>
            <w:r>
              <w:rPr>
                <w:rFonts w:hint="eastAsia" w:ascii="宋体" w:hAnsi="宋体" w:eastAsia="宋体" w:cs="宋体"/>
                <w:sz w:val="24"/>
                <w:szCs w:val="24"/>
              </w:rPr>
              <w:t>色谱柱各1根；</w:t>
            </w:r>
            <w:r>
              <w:rPr>
                <w:rFonts w:hint="eastAsia" w:ascii="宋体" w:hAnsi="宋体" w:eastAsia="宋体" w:cs="宋体"/>
                <w:color w:val="222222"/>
                <w:sz w:val="24"/>
                <w:szCs w:val="24"/>
                <w:shd w:val="clear" w:color="auto" w:fill="FDFDFD"/>
              </w:rPr>
              <w:t>耐压范围为5至103MPa；</w:t>
            </w:r>
          </w:p>
          <w:p w14:paraId="2C1078AE">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222222"/>
                <w:sz w:val="24"/>
                <w:szCs w:val="24"/>
                <w:shd w:val="clear" w:color="auto" w:fill="FDFDFD"/>
              </w:rPr>
            </w:pPr>
            <w:r>
              <w:rPr>
                <w:rFonts w:hint="eastAsia" w:ascii="宋体" w:hAnsi="宋体" w:eastAsia="宋体" w:cs="宋体"/>
                <w:color w:val="222222"/>
                <w:sz w:val="24"/>
                <w:szCs w:val="24"/>
                <w:shd w:val="clear" w:color="auto" w:fill="FDFDFD"/>
              </w:rPr>
              <w:t>8.数据处理系统配备主流品牌工作站；可实现LC与MS/MS全自动控制、碰撞能及碰撞气压力自动优化、方法建立、谱库检索、痕量定量分析与数据库构建；</w:t>
            </w:r>
            <w:r>
              <w:rPr>
                <w:rFonts w:hint="eastAsia" w:ascii="宋体" w:hAnsi="宋体" w:eastAsia="宋体" w:cs="宋体"/>
                <w:sz w:val="24"/>
                <w:szCs w:val="24"/>
              </w:rPr>
              <w:t>软件具备实验数据采集、定性定量处理与实验室数据管理功能，能满足当今分析实验室对全流程优化的系统化需求</w:t>
            </w:r>
            <w:r>
              <w:rPr>
                <w:rFonts w:hint="eastAsia" w:ascii="宋体" w:hAnsi="宋体" w:eastAsia="宋体" w:cs="宋体"/>
                <w:color w:val="222222"/>
                <w:sz w:val="24"/>
                <w:szCs w:val="24"/>
                <w:shd w:val="clear" w:color="auto" w:fill="FDFDFD"/>
              </w:rPr>
              <w:t>；</w:t>
            </w:r>
          </w:p>
          <w:p w14:paraId="6991B6E7">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lang w:eastAsia="zh-CN"/>
              </w:rPr>
            </w:pPr>
            <w:r>
              <w:rPr>
                <w:rFonts w:hint="eastAsia" w:ascii="宋体" w:hAnsi="宋体" w:eastAsia="宋体" w:cs="宋体"/>
                <w:sz w:val="24"/>
                <w:szCs w:val="24"/>
              </w:rPr>
              <w:t>9.后期可升级蛋白组学配置，如纳升蛋白液相、纳升离子源及蛋白组学软件</w:t>
            </w:r>
            <w:r>
              <w:rPr>
                <w:rFonts w:hint="eastAsia" w:ascii="宋体" w:hAnsi="宋体" w:eastAsia="宋体" w:cs="宋体"/>
                <w:sz w:val="24"/>
                <w:szCs w:val="24"/>
                <w:lang w:eastAsia="zh-CN"/>
              </w:rPr>
              <w:t>；</w:t>
            </w:r>
          </w:p>
          <w:p w14:paraId="0D3CACC3">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10</w:t>
            </w:r>
            <w:r>
              <w:rPr>
                <w:rFonts w:hint="eastAsia" w:ascii="宋体" w:hAnsi="宋体" w:eastAsia="宋体" w:cs="宋体"/>
                <w:sz w:val="24"/>
                <w:szCs w:val="24"/>
                <w:lang w:val="en-US" w:eastAsia="zh-CN"/>
              </w:rPr>
              <w:t>.</w:t>
            </w:r>
            <w:r>
              <w:rPr>
                <w:rFonts w:hint="eastAsia" w:ascii="宋体" w:hAnsi="宋体" w:eastAsia="宋体" w:cs="宋体"/>
                <w:sz w:val="24"/>
                <w:szCs w:val="24"/>
              </w:rPr>
              <w:t>数据库参数：</w:t>
            </w:r>
          </w:p>
          <w:p w14:paraId="7AE6985F">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代谢组学软件</w:t>
            </w:r>
            <w:r>
              <w:rPr>
                <w:rFonts w:hint="eastAsia" w:ascii="宋体" w:hAnsi="宋体" w:eastAsia="宋体" w:cs="宋体"/>
                <w:sz w:val="24"/>
                <w:szCs w:val="24"/>
                <w:highlight w:val="none"/>
              </w:rPr>
              <w:t>，支持多家仪器</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数据导入，提供导向性工作流程，</w:t>
            </w:r>
            <w:r>
              <w:rPr>
                <w:rFonts w:hint="eastAsia" w:ascii="宋体" w:hAnsi="宋体" w:eastAsia="宋体" w:cs="宋体"/>
                <w:sz w:val="24"/>
                <w:szCs w:val="24"/>
              </w:rPr>
              <w:t>快速、定向、可靠地确定目标化合物并导出结果以供组学研究之用</w:t>
            </w:r>
            <w:r>
              <w:rPr>
                <w:rFonts w:hint="eastAsia" w:ascii="宋体" w:hAnsi="宋体" w:eastAsia="宋体" w:cs="宋体"/>
                <w:sz w:val="24"/>
                <w:szCs w:val="24"/>
                <w:lang w:eastAsia="zh-CN"/>
              </w:rPr>
              <w:t>；</w:t>
            </w:r>
          </w:p>
          <w:p w14:paraId="01AFE2F6">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配套代谢组学数据库，包含一系列小的生物化学分子、广泛的初级代谢和化合物分类</w:t>
            </w:r>
            <w:r>
              <w:rPr>
                <w:rFonts w:hint="eastAsia" w:ascii="宋体" w:hAnsi="宋体" w:eastAsia="宋体" w:cs="宋体"/>
                <w:sz w:val="24"/>
                <w:szCs w:val="24"/>
                <w:lang w:eastAsia="zh-CN"/>
              </w:rPr>
              <w:t>；</w:t>
            </w:r>
          </w:p>
          <w:p w14:paraId="783D0CB1">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配套天然产物数据库：用于天然产物和微生物鉴定，库内</w:t>
            </w:r>
            <w:r>
              <w:rPr>
                <w:rFonts w:hint="eastAsia" w:ascii="宋体" w:hAnsi="宋体" w:eastAsia="宋体" w:cs="宋体"/>
                <w:sz w:val="24"/>
                <w:szCs w:val="24"/>
                <w:highlight w:val="none"/>
                <w:lang w:val="en-US" w:eastAsia="zh-CN"/>
              </w:rPr>
              <w:t>需</w:t>
            </w:r>
            <w:r>
              <w:rPr>
                <w:rFonts w:hint="eastAsia" w:ascii="宋体" w:hAnsi="宋体" w:eastAsia="宋体" w:cs="宋体"/>
                <w:sz w:val="24"/>
                <w:szCs w:val="24"/>
                <w:highlight w:val="none"/>
              </w:rPr>
              <w:t>含原始分离路径、合成路线等信息，且可链接到原文献界面进行查看；</w:t>
            </w:r>
          </w:p>
          <w:p w14:paraId="31308EB0">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222222"/>
                <w:sz w:val="24"/>
                <w:szCs w:val="24"/>
                <w:shd w:val="clear" w:color="auto" w:fill="FDFDFD"/>
              </w:rPr>
            </w:pPr>
            <w:r>
              <w:rPr>
                <w:rFonts w:hint="eastAsia" w:ascii="宋体" w:hAnsi="宋体" w:eastAsia="宋体" w:cs="宋体"/>
                <w:sz w:val="24"/>
                <w:szCs w:val="24"/>
                <w:highlight w:val="none"/>
              </w:rPr>
              <w:t>11.为保障仪器的稳定使用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不接受</w:t>
            </w:r>
            <w:r>
              <w:rPr>
                <w:rFonts w:hint="eastAsia" w:ascii="宋体" w:hAnsi="宋体" w:eastAsia="宋体" w:cs="宋体"/>
                <w:color w:val="222222"/>
                <w:sz w:val="24"/>
                <w:szCs w:val="24"/>
                <w:shd w:val="clear" w:color="auto" w:fill="FDFDFD"/>
              </w:rPr>
              <w:t>OEM机、翻新机以及生产日期大于1年的库存机器。须包括高分辨质谱仪1套、液相色谱仪1套、废液实时处理系统（要求废液进液浓度不低于20万COD、处理量不低于5L/H）、原厂软件1套、切换阀1个、各类色谱柱、样品瓶100个、电脑1套、隔离变压器1套（10KVA）、</w:t>
            </w:r>
            <w:r>
              <w:rPr>
                <w:rFonts w:hint="eastAsia" w:ascii="宋体" w:hAnsi="宋体" w:eastAsia="宋体" w:cs="宋体"/>
                <w:color w:val="auto"/>
                <w:sz w:val="24"/>
                <w:szCs w:val="24"/>
                <w:shd w:val="clear" w:color="auto" w:fill="FDFDFD"/>
              </w:rPr>
              <w:t>UPS不间断电源（延续两小时）1套。</w:t>
            </w:r>
          </w:p>
        </w:tc>
        <w:tc>
          <w:tcPr>
            <w:tcW w:w="1446" w:type="dxa"/>
            <w:tcBorders>
              <w:top w:val="single" w:color="auto" w:sz="4" w:space="0"/>
              <w:left w:val="single" w:color="auto" w:sz="4" w:space="0"/>
              <w:bottom w:val="single" w:color="auto" w:sz="4" w:space="0"/>
              <w:right w:val="single" w:color="auto" w:sz="4" w:space="0"/>
            </w:tcBorders>
            <w:noWrap w:val="0"/>
            <w:vAlign w:val="center"/>
          </w:tcPr>
          <w:p w14:paraId="7C5AD946">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cs="宋体"/>
                <w:sz w:val="24"/>
              </w:rPr>
            </w:pPr>
            <w:r>
              <w:rPr>
                <w:rFonts w:hint="eastAsia" w:ascii="宋体" w:hAnsi="宋体" w:cs="宋体"/>
                <w:sz w:val="24"/>
              </w:rPr>
              <w:t>1台</w:t>
            </w:r>
          </w:p>
        </w:tc>
        <w:tc>
          <w:tcPr>
            <w:tcW w:w="1361" w:type="dxa"/>
            <w:tcBorders>
              <w:top w:val="single" w:color="auto" w:sz="4" w:space="0"/>
              <w:left w:val="single" w:color="auto" w:sz="4" w:space="0"/>
              <w:bottom w:val="single" w:color="auto" w:sz="4" w:space="0"/>
              <w:right w:val="single" w:color="auto" w:sz="4" w:space="0"/>
            </w:tcBorders>
            <w:noWrap w:val="0"/>
            <w:vAlign w:val="center"/>
          </w:tcPr>
          <w:p w14:paraId="65B6272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cs="宋体"/>
                <w:sz w:val="24"/>
              </w:rPr>
            </w:pPr>
            <w:r>
              <w:rPr>
                <w:rFonts w:hint="eastAsia" w:ascii="宋体" w:hAnsi="宋体" w:cs="宋体"/>
                <w:sz w:val="24"/>
              </w:rPr>
              <w:t>480.00</w:t>
            </w:r>
          </w:p>
        </w:tc>
      </w:tr>
    </w:tbl>
    <w:p w14:paraId="499194F2">
      <w:pPr>
        <w:spacing w:line="360" w:lineRule="auto"/>
        <w:ind w:firstLine="482" w:firstLineChars="200"/>
        <w:outlineLvl w:val="2"/>
        <w:rPr>
          <w:rFonts w:hint="eastAsia" w:ascii="宋体" w:hAnsi="宋体" w:eastAsia="宋体" w:cs="宋体"/>
          <w:b/>
          <w:snapToGrid w:val="0"/>
          <w:kern w:val="0"/>
          <w:sz w:val="24"/>
          <w:highlight w:val="none"/>
          <w:lang w:eastAsia="zh-CN"/>
        </w:rPr>
      </w:pPr>
      <w:r>
        <w:rPr>
          <w:rFonts w:hint="eastAsia" w:ascii="宋体" w:hAnsi="宋体" w:eastAsia="宋体" w:cs="宋体"/>
          <w:b/>
          <w:snapToGrid w:val="0"/>
          <w:kern w:val="0"/>
          <w:sz w:val="24"/>
          <w:highlight w:val="none"/>
        </w:rPr>
        <w:br w:type="page"/>
      </w:r>
      <w:r>
        <w:rPr>
          <w:rFonts w:hint="eastAsia" w:ascii="宋体" w:hAnsi="宋体" w:eastAsia="宋体" w:cs="宋体"/>
          <w:b/>
          <w:snapToGrid w:val="0"/>
          <w:kern w:val="0"/>
          <w:sz w:val="24"/>
          <w:highlight w:val="none"/>
        </w:rPr>
        <w:t>注</w:t>
      </w:r>
      <w:r>
        <w:rPr>
          <w:rFonts w:hint="eastAsia" w:ascii="宋体" w:hAnsi="宋体" w:eastAsia="宋体" w:cs="宋体"/>
          <w:b/>
          <w:snapToGrid w:val="0"/>
          <w:kern w:val="0"/>
          <w:sz w:val="24"/>
          <w:highlight w:val="none"/>
          <w:lang w:eastAsia="zh-CN"/>
        </w:rPr>
        <w:t>：</w:t>
      </w:r>
    </w:p>
    <w:bookmarkEnd w:id="8"/>
    <w:p w14:paraId="424FC6F1">
      <w:pPr>
        <w:spacing w:line="360" w:lineRule="auto"/>
        <w:ind w:firstLine="482" w:firstLineChars="200"/>
        <w:outlineLvl w:val="2"/>
        <w:rPr>
          <w:rFonts w:ascii="宋体" w:hAnsi="宋体" w:cs="宋体"/>
          <w:b/>
          <w:snapToGrid w:val="0"/>
          <w:kern w:val="0"/>
          <w:sz w:val="24"/>
        </w:rPr>
      </w:pPr>
      <w:r>
        <w:rPr>
          <w:rFonts w:hint="eastAsia" w:ascii="宋体" w:hAnsi="宋体" w:cs="宋体"/>
          <w:b/>
          <w:snapToGrid w:val="0"/>
          <w:kern w:val="0"/>
          <w:sz w:val="24"/>
        </w:rPr>
        <w:t>1.</w:t>
      </w:r>
      <w:r>
        <w:rPr>
          <w:rFonts w:hint="eastAsia" w:ascii="宋体" w:hAnsi="宋体" w:cs="宋体"/>
          <w:b/>
          <w:snapToGrid w:val="0"/>
          <w:kern w:val="0"/>
          <w:sz w:val="24"/>
          <w:highlight w:val="none"/>
          <w:lang w:val="en-US" w:eastAsia="zh-CN"/>
        </w:rPr>
        <w:t>投标人所投产品需提供彩页（须包含技术参数）或产品说明书或厂家出具的技术支撑材料（须加盖厂商公章），或有资质的第三方检测机构出具的产品检测报告，或官网截图等有效资料作为佐证（技术要求有规定的，按规定提供佐证），如有条款未提供佐证资料，该条款评标委员会有权按负偏离进行处理。在“响应技术需求情况表”中“偏离情况”一栏标注该佐证资料在投标文件中的页码，以便评标委员会评审，如存在两项及以上有效佐证资料表述不一致，按有资质的第三方检测机构出具的产品检测报告、厂家出具的技术支撑材料（须加盖厂商公章）、产品说明书、官网截图、彩页（须包含技术参数）、技术偏离表的顺序进行认定</w:t>
      </w:r>
      <w:r>
        <w:rPr>
          <w:rFonts w:hint="eastAsia" w:ascii="宋体" w:hAnsi="宋体" w:cs="宋体"/>
          <w:b/>
          <w:snapToGrid w:val="0"/>
          <w:kern w:val="0"/>
          <w:sz w:val="24"/>
        </w:rPr>
        <w:t>。</w:t>
      </w:r>
    </w:p>
    <w:p w14:paraId="7CBF9854">
      <w:pPr>
        <w:spacing w:line="360" w:lineRule="auto"/>
        <w:ind w:firstLine="482" w:firstLineChars="200"/>
        <w:outlineLvl w:val="2"/>
        <w:rPr>
          <w:rFonts w:hint="eastAsia" w:ascii="宋体" w:hAnsi="宋体" w:cs="宋体"/>
          <w:b/>
          <w:snapToGrid w:val="0"/>
          <w:kern w:val="0"/>
          <w:sz w:val="24"/>
        </w:rPr>
      </w:pPr>
      <w:r>
        <w:rPr>
          <w:rFonts w:hint="eastAsia" w:ascii="宋体" w:hAnsi="宋体" w:cs="宋体"/>
          <w:b/>
          <w:snapToGrid w:val="0"/>
          <w:kern w:val="0"/>
          <w:sz w:val="24"/>
        </w:rPr>
        <w:t>2.本项目投标人所投产品参数必须与供货产品实际指标完全一致，如果验收不通过投标人需承担相关责任和损失。</w:t>
      </w:r>
    </w:p>
    <w:p w14:paraId="254DE327">
      <w:pPr>
        <w:spacing w:line="360" w:lineRule="auto"/>
        <w:ind w:firstLine="482" w:firstLineChars="200"/>
        <w:outlineLvl w:val="2"/>
      </w:pPr>
      <w:r>
        <w:rPr>
          <w:rFonts w:hint="eastAsia" w:ascii="宋体" w:hAnsi="宋体" w:eastAsia="宋体" w:cs="宋体"/>
          <w:b/>
          <w:bCs w:val="0"/>
          <w:caps w:val="0"/>
          <w:snapToGrid w:val="0"/>
          <w:kern w:val="0"/>
          <w:sz w:val="24"/>
          <w:szCs w:val="24"/>
          <w:lang w:val="en-US" w:eastAsia="zh-CN" w:bidi="ar-SA"/>
        </w:rPr>
        <w:t>3.设备分项报价不可超过预算单价，否则视为投标无效。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AC21A12"/>
    <w:rsid w:val="568F41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qFormat/>
    <w:uiPriority w:val="99"/>
    <w:pPr>
      <w:keepNext/>
      <w:keepLines/>
      <w:spacing w:before="340" w:after="330" w:line="578" w:lineRule="auto"/>
      <w:outlineLvl w:val="0"/>
    </w:pPr>
    <w:rPr>
      <w:kern w:val="44"/>
      <w:sz w:val="44"/>
      <w:szCs w:val="20"/>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Title"/>
    <w:basedOn w:val="1"/>
    <w:qFormat/>
    <w:uiPriority w:val="99"/>
    <w:pPr>
      <w:spacing w:before="240" w:after="60" w:line="276" w:lineRule="auto"/>
      <w:jc w:val="center"/>
      <w:outlineLvl w:val="0"/>
    </w:pPr>
    <w:rPr>
      <w:rFonts w:ascii="Cambria" w:hAnsi="Cambria"/>
      <w:b/>
      <w:kern w:val="0"/>
      <w:sz w:val="32"/>
      <w:szCs w:val="20"/>
    </w:rPr>
  </w:style>
  <w:style w:type="paragraph" w:styleId="4">
    <w:name w:val="Body Text"/>
    <w:basedOn w:val="1"/>
    <w:next w:val="1"/>
    <w:qFormat/>
    <w:uiPriority w:val="1"/>
    <w:pPr>
      <w:spacing w:after="120"/>
    </w:pPr>
    <w:rPr>
      <w:kern w:val="0"/>
      <w:sz w:val="24"/>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2025-09-30T03:38:37Z</dcterms:created>
  <dc:creator>admin</dc:creator>
  <cp:lastModifiedBy>admin</cp:lastModifiedBy>
  <dcterms:modified xsi:type="dcterms:W3CDTF">2025-09-30T03:38:59Z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eyJoZGlkIjoiNDJmMTk3ZTQ3MDkwODYwNDIyMmYyMTBjMDVlMDY2MGIiLCJ1c2VySWQiOiI4NjIwOTM1OTAifQ==</vt:lpwstr>
  </property>
  <property fmtid="{D5CDD505-2E9C-101B-9397-08002B2CF9AE}" pid="4" name="ICV">
    <vt:lpwstr>7A57BB4D35E14ECEAFD02B77DDD4D76F_12</vt:lpwstr>
  </property>
</Properties>
</file>