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D42B35">
      <w:pPr>
        <w:pStyle w:val="2"/>
        <w:numPr>
          <w:numId w:val="0"/>
        </w:numPr>
        <w:tabs>
          <w:tab w:val="left" w:pos="425"/>
        </w:tabs>
        <w:spacing w:after="0" w:line="360" w:lineRule="auto"/>
        <w:ind w:leftChars="0" w:firstLine="1606" w:firstLineChars="500"/>
        <w:jc w:val="both"/>
        <w:rPr>
          <w:rFonts w:ascii="宋体" w:hAnsi="宋体" w:cs="宋体"/>
          <w:color w:val="000000" w:themeColor="text1"/>
          <w:sz w:val="32"/>
          <w:szCs w:val="32"/>
          <w:highlight w:val="none"/>
          <w14:textFill>
            <w14:solidFill>
              <w14:schemeClr w14:val="tx1"/>
            </w14:solidFill>
          </w14:textFill>
        </w:rPr>
      </w:pPr>
      <w:bookmarkStart w:id="0" w:name="_Toc25833"/>
      <w:bookmarkStart w:id="1" w:name="_Toc26630"/>
      <w:bookmarkStart w:id="2" w:name="_Toc1573"/>
      <w:bookmarkStart w:id="3" w:name="_Toc32029"/>
      <w:r>
        <w:rPr>
          <w:rFonts w:hint="eastAsia" w:ascii="宋体" w:hAnsi="宋体" w:cs="宋体"/>
          <w:color w:val="000000" w:themeColor="text1"/>
          <w:sz w:val="32"/>
          <w:szCs w:val="32"/>
          <w:highlight w:val="none"/>
          <w14:textFill>
            <w14:solidFill>
              <w14:schemeClr w14:val="tx1"/>
            </w14:solidFill>
          </w14:textFill>
        </w:rPr>
        <w:t>招标项目技术、商务及其他要求</w:t>
      </w:r>
      <w:bookmarkEnd w:id="0"/>
      <w:bookmarkEnd w:id="1"/>
      <w:bookmarkEnd w:id="2"/>
      <w:bookmarkEnd w:id="3"/>
    </w:p>
    <w:p w14:paraId="6E636D58">
      <w:pPr>
        <w:spacing w:line="360" w:lineRule="auto"/>
        <w:rPr>
          <w:rStyle w:val="6"/>
          <w:rFonts w:ascii="宋体" w:hAnsi="宋体" w:cs="宋体"/>
          <w:b/>
          <w:bCs/>
          <w:color w:val="000000" w:themeColor="text1"/>
          <w:kern w:val="0"/>
          <w:sz w:val="24"/>
          <w:highlight w:val="none"/>
          <w:lang w:eastAsia="zh-TW"/>
          <w14:textFill>
            <w14:solidFill>
              <w14:schemeClr w14:val="tx1"/>
            </w14:solidFill>
          </w14:textFill>
        </w:rPr>
      </w:pPr>
      <w:bookmarkStart w:id="4" w:name="_Hlt101846155"/>
      <w:bookmarkEnd w:id="4"/>
      <w:r>
        <w:rPr>
          <w:rStyle w:val="6"/>
          <w:rFonts w:hint="eastAsia" w:ascii="宋体" w:hAnsi="宋体" w:cs="宋体"/>
          <w:bCs/>
          <w:color w:val="000000" w:themeColor="text1"/>
          <w:sz w:val="24"/>
          <w:highlight w:val="none"/>
          <w14:textFill>
            <w14:solidFill>
              <w14:schemeClr w14:val="tx1"/>
            </w14:solidFill>
          </w14:textFill>
        </w:rPr>
        <w:t>一、</w:t>
      </w:r>
      <w:r>
        <w:rPr>
          <w:rStyle w:val="6"/>
          <w:rFonts w:hint="eastAsia" w:ascii="宋体" w:hAnsi="宋体" w:cs="宋体"/>
          <w:b/>
          <w:bCs/>
          <w:color w:val="000000" w:themeColor="text1"/>
          <w:kern w:val="0"/>
          <w:sz w:val="24"/>
          <w:highlight w:val="none"/>
          <w:lang w:eastAsia="zh-TW"/>
          <w14:textFill>
            <w14:solidFill>
              <w14:schemeClr w14:val="tx1"/>
            </w14:solidFill>
          </w14:textFill>
        </w:rPr>
        <w:t>特别说明：</w:t>
      </w:r>
      <w:bookmarkStart w:id="5" w:name="_GoBack"/>
      <w:bookmarkEnd w:id="5"/>
    </w:p>
    <w:p w14:paraId="3C162985">
      <w:pPr>
        <w:spacing w:line="360" w:lineRule="auto"/>
        <w:ind w:firstLine="482" w:firstLineChars="200"/>
        <w:rPr>
          <w:rStyle w:val="6"/>
          <w:rFonts w:ascii="宋体" w:hAnsi="宋体" w:cs="宋体"/>
          <w:b/>
          <w:bCs/>
          <w:color w:val="000000" w:themeColor="text1"/>
          <w:kern w:val="0"/>
          <w:sz w:val="24"/>
          <w:highlight w:val="none"/>
          <w:lang w:eastAsia="zh-TW"/>
          <w14:textFill>
            <w14:solidFill>
              <w14:schemeClr w14:val="tx1"/>
            </w14:solidFill>
          </w14:textFill>
        </w:rPr>
      </w:pPr>
      <w:r>
        <w:rPr>
          <w:rStyle w:val="6"/>
          <w:rFonts w:hint="eastAsia" w:ascii="宋体" w:hAnsi="宋体" w:cs="宋体"/>
          <w:b/>
          <w:bCs/>
          <w:color w:val="000000" w:themeColor="text1"/>
          <w:kern w:val="0"/>
          <w:sz w:val="24"/>
          <w:highlight w:val="none"/>
          <w:lang w:eastAsia="zh-TW"/>
          <w14:textFill>
            <w14:solidFill>
              <w14:schemeClr w14:val="tx1"/>
            </w14:solidFill>
          </w14:textFill>
        </w:rPr>
        <w:t xml:space="preserve">1、2020年8月25日，中华人民共和国应急管理部《关于消防救援领域行业标准以“XF”代号重新编号发布的公告》（2020年 第5号）明确，消防救援领域165项现行行业标准类别由公安安全行业标准调整为消防救援行业标准，代号由“GA”调整为“XF”，顺序号和内容保持不变。 </w:t>
      </w:r>
    </w:p>
    <w:p w14:paraId="4A6844B5">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Style w:val="6"/>
          <w:rFonts w:hint="eastAsia" w:ascii="宋体" w:hAnsi="宋体" w:cs="宋体"/>
          <w:b/>
          <w:bCs/>
          <w:color w:val="000000" w:themeColor="text1"/>
          <w:kern w:val="0"/>
          <w:sz w:val="24"/>
          <w:highlight w:val="none"/>
          <w:lang w:eastAsia="zh-TW"/>
          <w14:textFill>
            <w14:solidFill>
              <w14:schemeClr w14:val="tx1"/>
            </w14:solidFill>
          </w14:textFill>
        </w:rPr>
        <w:t>2、为了落实公告要求，采购人将技术参数中的标准代号调整为XF。目前，参考资料、检测报告等相关资料，在实际投标中，使用代号GA标准仍有效。</w:t>
      </w:r>
    </w:p>
    <w:p w14:paraId="3C486A0B">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二</w:t>
      </w:r>
      <w:r>
        <w:rPr>
          <w:rFonts w:hint="eastAsia" w:ascii="宋体" w:hAnsi="宋体" w:cs="宋体"/>
          <w:b/>
          <w:bCs/>
          <w:color w:val="000000" w:themeColor="text1"/>
          <w:sz w:val="24"/>
          <w:szCs w:val="24"/>
          <w:highlight w:val="none"/>
          <w14:textFill>
            <w14:solidFill>
              <w14:schemeClr w14:val="tx1"/>
            </w14:solidFill>
          </w14:textFill>
        </w:rPr>
        <w:t>、技术参数及要求</w:t>
      </w:r>
    </w:p>
    <w:p w14:paraId="354C3B80">
      <w:pPr>
        <w:rPr>
          <w:rFonts w:ascii="宋体" w:hAnsi="宋体" w:cs="宋体"/>
          <w:b/>
          <w:bCs/>
          <w:color w:val="000000" w:themeColor="text1"/>
          <w:sz w:val="24"/>
          <w:szCs w:val="24"/>
          <w:highlight w:val="none"/>
          <w14:textFill>
            <w14:solidFill>
              <w14:schemeClr w14:val="tx1"/>
            </w14:solidFill>
          </w14:textFill>
        </w:rPr>
      </w:pPr>
    </w:p>
    <w:p w14:paraId="5DA124E0">
      <w:pP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包</w:t>
      </w:r>
      <w:r>
        <w:rPr>
          <w:rFonts w:hint="eastAsia" w:ascii="宋体" w:hAnsi="宋体" w:cs="宋体"/>
          <w:b/>
          <w:bCs/>
          <w:color w:val="000000" w:themeColor="text1"/>
          <w:sz w:val="24"/>
          <w:szCs w:val="24"/>
          <w:highlight w:val="none"/>
          <w:lang w:val="en-US" w:eastAsia="zh-CN"/>
          <w14:textFill>
            <w14:solidFill>
              <w14:schemeClr w14:val="tx1"/>
            </w14:solidFill>
          </w14:textFill>
        </w:rPr>
        <w:t>四</w:t>
      </w:r>
      <w:r>
        <w:rPr>
          <w:rFonts w:hint="eastAsia" w:ascii="宋体" w:hAnsi="宋体" w:cs="宋体"/>
          <w:b/>
          <w:bCs/>
          <w:color w:val="000000" w:themeColor="text1"/>
          <w:sz w:val="24"/>
          <w:szCs w:val="24"/>
          <w:highlight w:val="none"/>
          <w14:textFill>
            <w14:solidFill>
              <w14:schemeClr w14:val="tx1"/>
            </w14:solidFill>
          </w14:textFill>
        </w:rPr>
        <w:t>、除颤仪：</w:t>
      </w:r>
    </w:p>
    <w:tbl>
      <w:tblPr>
        <w:tblStyle w:val="4"/>
        <w:tblW w:w="5250" w:type="pct"/>
        <w:jc w:val="center"/>
        <w:tblLayout w:type="fixed"/>
        <w:tblCellMar>
          <w:top w:w="0" w:type="dxa"/>
          <w:left w:w="108" w:type="dxa"/>
          <w:bottom w:w="0" w:type="dxa"/>
          <w:right w:w="108" w:type="dxa"/>
        </w:tblCellMar>
      </w:tblPr>
      <w:tblGrid>
        <w:gridCol w:w="868"/>
        <w:gridCol w:w="790"/>
        <w:gridCol w:w="678"/>
        <w:gridCol w:w="524"/>
        <w:gridCol w:w="6088"/>
      </w:tblGrid>
      <w:tr w14:paraId="20051164">
        <w:tblPrEx>
          <w:tblCellMar>
            <w:top w:w="0" w:type="dxa"/>
            <w:left w:w="108" w:type="dxa"/>
            <w:bottom w:w="0" w:type="dxa"/>
            <w:right w:w="108" w:type="dxa"/>
          </w:tblCellMar>
        </w:tblPrEx>
        <w:trPr>
          <w:trHeight w:val="590" w:hRule="atLeast"/>
          <w:jc w:val="center"/>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0D4F8">
            <w:pPr>
              <w:widowControl/>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序号</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8633D">
            <w:pPr>
              <w:widowControl/>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货物名称</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7F06C">
            <w:pPr>
              <w:widowControl/>
              <w:spacing w:line="360" w:lineRule="auto"/>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数量</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DD471">
            <w:pPr>
              <w:widowControl/>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单位</w:t>
            </w:r>
          </w:p>
        </w:tc>
        <w:tc>
          <w:tcPr>
            <w:tcW w:w="6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38F8E">
            <w:pPr>
              <w:widowControl/>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单位</w:t>
            </w:r>
          </w:p>
        </w:tc>
      </w:tr>
      <w:tr w14:paraId="25E013EB">
        <w:tblPrEx>
          <w:tblCellMar>
            <w:top w:w="0" w:type="dxa"/>
            <w:left w:w="108" w:type="dxa"/>
            <w:bottom w:w="0" w:type="dxa"/>
            <w:right w:w="108" w:type="dxa"/>
          </w:tblCellMar>
        </w:tblPrEx>
        <w:trPr>
          <w:trHeight w:val="23" w:hRule="atLeast"/>
          <w:jc w:val="center"/>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6697B">
            <w:pPr>
              <w:widowControl/>
              <w:spacing w:line="360" w:lineRule="auto"/>
              <w:jc w:val="center"/>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C2F00">
            <w:pPr>
              <w:widowControl/>
              <w:spacing w:line="360" w:lineRule="auto"/>
              <w:jc w:val="center"/>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体外除颤仪</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467DE">
            <w:pPr>
              <w:widowControl/>
              <w:spacing w:line="360" w:lineRule="auto"/>
              <w:jc w:val="center"/>
              <w:textAlignment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3810D">
            <w:pPr>
              <w:widowControl/>
              <w:spacing w:line="360" w:lineRule="auto"/>
              <w:jc w:val="center"/>
              <w:textAlignment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台</w:t>
            </w:r>
          </w:p>
        </w:tc>
        <w:tc>
          <w:tcPr>
            <w:tcW w:w="6838" w:type="dxa"/>
            <w:tcBorders>
              <w:top w:val="single" w:color="000000" w:sz="4" w:space="0"/>
              <w:left w:val="single" w:color="000000" w:sz="4" w:space="0"/>
              <w:bottom w:val="single" w:color="000000" w:sz="4" w:space="0"/>
              <w:right w:val="single" w:color="000000" w:sz="4" w:space="0"/>
            </w:tcBorders>
            <w:shd w:val="clear" w:color="auto" w:fill="auto"/>
          </w:tcPr>
          <w:p w14:paraId="00C4783D">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★产品符合 GB 9706.204-2022医用电气设备 第2-4部分：心脏除颤器的基本安全和基本性能专用要求。</w:t>
            </w:r>
          </w:p>
          <w:p w14:paraId="71E691A5">
            <w:pPr>
              <w:numPr>
                <w:ilvl w:val="0"/>
                <w:numId w:val="1"/>
              </w:num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全自动体外除颤仪，主机具有一体化便携把手，重量≤2kg；非可电击心律识别率（无人为干预）：≥98.8%；电池：使用寿命：≥8年（提供截图证明）</w:t>
            </w:r>
          </w:p>
          <w:p w14:paraId="1B2732E6">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2、抗冲击/跌落性能：机器六面均可承受≥1.5m跌落冲击；</w:t>
            </w:r>
          </w:p>
          <w:p w14:paraId="3156356E">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3、防护等级：≥IP55；</w:t>
            </w:r>
          </w:p>
          <w:p w14:paraId="2513DE8B">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4、工作温度范围至少满足-5℃～50℃，且从室温环境下进入-20ºC 环境后，工作时间≥60min；</w:t>
            </w:r>
          </w:p>
          <w:p w14:paraId="3235C2F8">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▲5、工作湿度范围至少满足2%～95%非冷凝；</w:t>
            </w:r>
          </w:p>
          <w:p w14:paraId="695D18E8">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6、主机操作面板按键数量：为了防止误操作，主机操作面板上的操作按键数量≤3个；</w:t>
            </w:r>
          </w:p>
          <w:p w14:paraId="47B1F472">
            <w:pPr>
              <w:spacing w:line="360" w:lineRule="auto"/>
              <w:jc w:val="lef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一、除颤性能：</w:t>
            </w:r>
          </w:p>
          <w:p w14:paraId="765F83DF">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7、采用双相波技术，双相指数截断（BTE）波形，波形参数可根据病人阻抗进行自动补偿；</w:t>
            </w:r>
          </w:p>
          <w:p w14:paraId="7FB7BED4">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▲8、输出能量：成人最大能量可支持360J；</w:t>
            </w:r>
          </w:p>
          <w:p w14:paraId="4C6190A5">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9、从开机到200J放电准备就绪用时不超过8s；</w:t>
            </w:r>
          </w:p>
          <w:p w14:paraId="11F1892D">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▲10、除颤后ECG恢复时间不大于2s；</w:t>
            </w:r>
          </w:p>
          <w:p w14:paraId="328B07C0">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▲11、适用病人阻抗范围20Ω-180Ω；</w:t>
            </w:r>
          </w:p>
          <w:p w14:paraId="1ECC16A8">
            <w:pPr>
              <w:spacing w:line="360" w:lineRule="auto"/>
              <w:jc w:val="lef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二、除颤电极片：</w:t>
            </w:r>
          </w:p>
          <w:p w14:paraId="328A9E45">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▲12、提供与机器配套的电极片，具备两种粘贴位置指示（成人和儿童），防止粘贴错误，粘贴无效时有语音提示；</w:t>
            </w:r>
          </w:p>
          <w:p w14:paraId="7973547C">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13、具有电极片有效期自检功能和电极片过期提示；</w:t>
            </w:r>
          </w:p>
          <w:p w14:paraId="7CF452C9">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14、设备支持成人、小儿模式，可自动识别成人、小儿电极片，并根据电极片类型自动选择对应的除颤能量；</w:t>
            </w:r>
          </w:p>
          <w:p w14:paraId="30397E2A">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15、提供智能语音播报。设备根据急救人员响应速度，智能提示急救人员除去病人的衣物、粘贴电极片；</w:t>
            </w:r>
          </w:p>
          <w:p w14:paraId="76FFD8B0">
            <w:pPr>
              <w:spacing w:line="360" w:lineRule="auto"/>
              <w:jc w:val="lef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三、电池：</w:t>
            </w:r>
          </w:p>
          <w:p w14:paraId="3F8C2FA8">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16、在室温温度环境下，电池待机寿命≥60个月；</w:t>
            </w:r>
          </w:p>
          <w:p w14:paraId="5ABECDAE">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▲17、可支持最大能量360J除颤治疗大于200次；</w:t>
            </w:r>
          </w:p>
          <w:p w14:paraId="356997D4">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▲18、可支持200J能量除颤治疗大于360次，设备提示低电量情况下，仍可支持至少10次200J除颤放电；支持电量提示；</w:t>
            </w:r>
          </w:p>
          <w:p w14:paraId="2D672C46">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▲19、设备主机界面支持以数字百分比直接显示电量功能；</w:t>
            </w:r>
          </w:p>
          <w:p w14:paraId="1DAF3C62">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操作/屏幕：</w:t>
            </w:r>
          </w:p>
          <w:p w14:paraId="629A6D55">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20、设备可调节语音播放音量，适应急救现场不同环境下使用；</w:t>
            </w:r>
          </w:p>
          <w:p w14:paraId="1DE2C8FB">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21、设备具有中文操作指导功能；</w:t>
            </w:r>
          </w:p>
          <w:p w14:paraId="3A99ED93">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▲22、支持成人/小儿患者类型快速一键切换，可根据病人类型自动切换提示信息、除颤能量和CPR按压模式；</w:t>
            </w:r>
          </w:p>
          <w:p w14:paraId="6DC24350">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23、CPR按压模式支持配置30:2,15:2和仅按压模式，在CPR仅按压过程中持续提供操作指导；</w:t>
            </w:r>
          </w:p>
          <w:p w14:paraId="5C0BC899">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▲24、屏幕≥7英寸，分辨率≥500x280像素；</w:t>
            </w:r>
          </w:p>
          <w:p w14:paraId="600F4608">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25、屏幕具备自动亮度调节功能；</w:t>
            </w:r>
          </w:p>
          <w:p w14:paraId="179ECA5E">
            <w:pPr>
              <w:spacing w:line="360" w:lineRule="auto"/>
              <w:jc w:val="lef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四、</w:t>
            </w:r>
            <w:r>
              <w:rPr>
                <w:rFonts w:hint="eastAsia" w:ascii="宋体" w:hAnsi="宋体" w:cs="宋体"/>
                <w:b/>
                <w:bCs/>
                <w:color w:val="000000" w:themeColor="text1"/>
                <w:sz w:val="24"/>
                <w:szCs w:val="24"/>
                <w:highlight w:val="none"/>
                <w14:textFill>
                  <w14:solidFill>
                    <w14:schemeClr w14:val="tx1"/>
                  </w14:solidFill>
                </w14:textFill>
              </w:rPr>
              <w:t>数据传输和存储</w:t>
            </w:r>
          </w:p>
          <w:p w14:paraId="60DC29E6">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▲26、存储容量：设备自带存储的内部存储可存储≥1200份自检报告； 支持升级内置式4G或5G网络模块 可连接AED管理平台（提供说明书证明材料）；</w:t>
            </w:r>
          </w:p>
          <w:p w14:paraId="4B7A5D35">
            <w:pPr>
              <w:numPr>
                <w:ilvl w:val="0"/>
                <w:numId w:val="2"/>
              </w:num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数据存储：设备自带存储可存储ECG波形数据、事件数据、录音数据、急救数据（须有急救时间、CPR持续时间、放电次数等要素）等，其中事件数据存储≥600条，便于查询。</w:t>
            </w:r>
          </w:p>
        </w:tc>
      </w:tr>
    </w:tbl>
    <w:p w14:paraId="59BB622B">
      <w:pPr>
        <w:jc w:val="left"/>
        <w:rPr>
          <w:rFonts w:ascii="宋体" w:hAnsi="宋体" w:cs="宋体"/>
          <w:b/>
          <w:bCs/>
          <w:color w:val="000000" w:themeColor="text1"/>
          <w:sz w:val="24"/>
          <w:szCs w:val="24"/>
          <w:highlight w:val="none"/>
          <w14:textFill>
            <w14:solidFill>
              <w14:schemeClr w14:val="tx1"/>
            </w14:solidFill>
          </w14:textFill>
        </w:rPr>
      </w:pPr>
    </w:p>
    <w:p w14:paraId="24589BDE">
      <w:pPr>
        <w:jc w:val="left"/>
        <w:rPr>
          <w:rFonts w:ascii="宋体" w:hAnsi="宋体" w:cs="宋体"/>
          <w:b/>
          <w:bCs/>
          <w:color w:val="000000" w:themeColor="text1"/>
          <w:sz w:val="24"/>
          <w:szCs w:val="24"/>
          <w:highlight w:val="none"/>
          <w14:textFill>
            <w14:solidFill>
              <w14:schemeClr w14:val="tx1"/>
            </w14:solidFill>
          </w14:textFill>
        </w:rPr>
      </w:pPr>
    </w:p>
    <w:p w14:paraId="5B095EDC">
      <w:pPr>
        <w:spacing w:line="360" w:lineRule="auto"/>
        <w:ind w:firstLine="482"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备注：技术参数中要求提供的产品第三方检测机构出具证书（检测、认证、测试等），除在投标文件中一并提供外，投标人还可提供在线查询途径。</w:t>
      </w:r>
    </w:p>
    <w:p w14:paraId="76F0BDDC">
      <w:p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14:textFill>
            <w14:solidFill>
              <w14:schemeClr w14:val="tx1"/>
            </w14:solidFill>
          </w14:textFill>
        </w:rPr>
        <w:t>四</w:t>
      </w:r>
      <w:r>
        <w:rPr>
          <w:rFonts w:hint="eastAsia" w:ascii="宋体" w:hAnsi="宋体" w:cs="宋体"/>
          <w:b/>
          <w:color w:val="000000" w:themeColor="text1"/>
          <w:sz w:val="24"/>
          <w:szCs w:val="24"/>
          <w:highlight w:val="none"/>
          <w14:textFill>
            <w14:solidFill>
              <w14:schemeClr w14:val="tx1"/>
            </w14:solidFill>
          </w14:textFill>
        </w:rPr>
        <w:t>、商务要求</w:t>
      </w:r>
    </w:p>
    <w:p w14:paraId="51B46849">
      <w:pPr>
        <w:numPr>
          <w:ilvl w:val="0"/>
          <w:numId w:val="3"/>
        </w:numPr>
        <w:spacing w:line="360" w:lineRule="auto"/>
        <w:rPr>
          <w:rFonts w:ascii="宋体" w:hAnsi="宋体" w:cs="宋体"/>
          <w:color w:val="000000" w:themeColor="text1"/>
          <w:kern w:val="0"/>
          <w:sz w:val="24"/>
          <w:szCs w:val="24"/>
          <w:highlight w:val="none"/>
          <w:lang w:eastAsia="zh-Hans" w:bidi="ar"/>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交货时间：</w:t>
      </w:r>
      <w:r>
        <w:rPr>
          <w:rFonts w:hint="eastAsia" w:ascii="宋体" w:hAnsi="宋体" w:cs="宋体"/>
          <w:bCs/>
          <w:color w:val="000000" w:themeColor="text1"/>
          <w:kern w:val="0"/>
          <w:sz w:val="24"/>
          <w:szCs w:val="24"/>
          <w:highlight w:val="none"/>
          <w14:textFill>
            <w14:solidFill>
              <w14:schemeClr w14:val="tx1"/>
            </w14:solidFill>
          </w14:textFill>
        </w:rPr>
        <w:t>合同签订后60天内。若遇不可抗力或其他特殊情况，经采购人确认后可适当延迟，最多不超过合同签订后120天。装备交货时需提供由国家消防救援局“消防装备物资信息采集系统”统一发行的装备物资二维码（或RFID，进行永久标识或相对固定标识）</w:t>
      </w:r>
    </w:p>
    <w:p w14:paraId="2DF7EED6">
      <w:pPr>
        <w:numPr>
          <w:ilvl w:val="0"/>
          <w:numId w:val="3"/>
        </w:num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交货地点：</w:t>
      </w:r>
      <w:r>
        <w:rPr>
          <w:rFonts w:hint="eastAsia" w:ascii="宋体" w:hAnsi="宋体" w:cs="宋体"/>
          <w:color w:val="000000" w:themeColor="text1"/>
          <w:kern w:val="0"/>
          <w:sz w:val="24"/>
          <w:szCs w:val="24"/>
          <w:highlight w:val="none"/>
          <w14:textFill>
            <w14:solidFill>
              <w14:schemeClr w14:val="tx1"/>
            </w14:solidFill>
          </w14:textFill>
        </w:rPr>
        <w:t>采购人指定眉山市市内地点</w:t>
      </w:r>
      <w:r>
        <w:rPr>
          <w:rFonts w:hint="eastAsia" w:ascii="宋体" w:hAnsi="宋体" w:cs="宋体"/>
          <w:color w:val="000000" w:themeColor="text1"/>
          <w:sz w:val="24"/>
          <w:szCs w:val="24"/>
          <w:highlight w:val="none"/>
          <w14:textFill>
            <w14:solidFill>
              <w14:schemeClr w14:val="tx1"/>
            </w14:solidFill>
          </w14:textFill>
        </w:rPr>
        <w:t>。</w:t>
      </w:r>
    </w:p>
    <w:p w14:paraId="6A5786D7">
      <w:pPr>
        <w:numPr>
          <w:ilvl w:val="0"/>
          <w:numId w:val="3"/>
        </w:num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交货资料:投标时提供的佐证材料复印件和其他投标文件要求的材料。</w:t>
      </w:r>
    </w:p>
    <w:p w14:paraId="456AC230">
      <w:pPr>
        <w:pStyle w:val="7"/>
        <w:spacing w:line="360" w:lineRule="auto"/>
        <w:jc w:val="both"/>
        <w:rPr>
          <w:rFonts w:cs="宋体"/>
          <w:bCs/>
          <w:color w:val="000000" w:themeColor="text1"/>
          <w:kern w:val="2"/>
          <w:highlight w:val="none"/>
          <w:lang w:val="zh-CN"/>
          <w14:textFill>
            <w14:solidFill>
              <w14:schemeClr w14:val="tx1"/>
            </w14:solidFill>
          </w14:textFill>
        </w:rPr>
      </w:pPr>
      <w:r>
        <w:rPr>
          <w:rFonts w:hint="eastAsia" w:cs="宋体"/>
          <w:b/>
          <w:color w:val="000000" w:themeColor="text1"/>
          <w:kern w:val="2"/>
          <w:highlight w:val="none"/>
          <w14:textFill>
            <w14:solidFill>
              <w14:schemeClr w14:val="tx1"/>
            </w14:solidFill>
          </w14:textFill>
        </w:rPr>
        <w:t>（四）履约保证金：</w:t>
      </w:r>
      <w:r>
        <w:rPr>
          <w:rFonts w:hint="eastAsia" w:cs="宋体"/>
          <w:bCs/>
          <w:color w:val="000000" w:themeColor="text1"/>
          <w:kern w:val="2"/>
          <w:highlight w:val="none"/>
          <w:lang w:val="zh-CN"/>
          <w14:textFill>
            <w14:solidFill>
              <w14:schemeClr w14:val="tx1"/>
            </w14:solidFill>
          </w14:textFill>
        </w:rPr>
        <w:t>金额：采购合同总金额的</w:t>
      </w:r>
      <w:r>
        <w:rPr>
          <w:rFonts w:hint="eastAsia" w:cs="宋体"/>
          <w:bCs/>
          <w:color w:val="000000" w:themeColor="text1"/>
          <w:kern w:val="2"/>
          <w:highlight w:val="none"/>
          <w14:textFill>
            <w14:solidFill>
              <w14:schemeClr w14:val="tx1"/>
            </w14:solidFill>
          </w14:textFill>
        </w:rPr>
        <w:t>3</w:t>
      </w:r>
      <w:r>
        <w:rPr>
          <w:rFonts w:hint="eastAsia" w:cs="宋体"/>
          <w:bCs/>
          <w:color w:val="000000" w:themeColor="text1"/>
          <w:kern w:val="2"/>
          <w:highlight w:val="none"/>
          <w:lang w:val="zh-CN"/>
          <w14:textFill>
            <w14:solidFill>
              <w14:schemeClr w14:val="tx1"/>
            </w14:solidFill>
          </w14:textFill>
        </w:rPr>
        <w:t>%。</w:t>
      </w:r>
    </w:p>
    <w:p w14:paraId="298273B8">
      <w:pPr>
        <w:pStyle w:val="7"/>
        <w:spacing w:line="360" w:lineRule="auto"/>
        <w:ind w:firstLine="480" w:firstLineChars="200"/>
        <w:jc w:val="both"/>
        <w:rPr>
          <w:rFonts w:cs="宋体"/>
          <w:bCs/>
          <w:color w:val="000000" w:themeColor="text1"/>
          <w:kern w:val="2"/>
          <w:highlight w:val="none"/>
          <w:lang w:val="zh-CN"/>
          <w14:textFill>
            <w14:solidFill>
              <w14:schemeClr w14:val="tx1"/>
            </w14:solidFill>
          </w14:textFill>
        </w:rPr>
      </w:pPr>
      <w:r>
        <w:rPr>
          <w:rFonts w:hint="eastAsia" w:cs="宋体"/>
          <w:bCs/>
          <w:color w:val="000000" w:themeColor="text1"/>
          <w:kern w:val="2"/>
          <w:highlight w:val="none"/>
          <w:lang w:val="zh-CN"/>
          <w14:textFill>
            <w14:solidFill>
              <w14:schemeClr w14:val="tx1"/>
            </w14:solidFill>
          </w14:textFill>
        </w:rPr>
        <w:t>交款方式：履约保证金可以以支票、汇票、本票或者</w:t>
      </w:r>
      <w:r>
        <w:rPr>
          <w:rFonts w:hint="eastAsia" w:cs="宋体"/>
          <w:color w:val="000000" w:themeColor="text1"/>
          <w:highlight w:val="none"/>
          <w:lang w:bidi="ar"/>
          <w14:textFill>
            <w14:solidFill>
              <w14:schemeClr w14:val="tx1"/>
            </w14:solidFill>
          </w14:textFill>
        </w:rPr>
        <w:t>担保机构</w:t>
      </w:r>
      <w:r>
        <w:rPr>
          <w:rFonts w:hint="eastAsia" w:cs="宋体"/>
          <w:bCs/>
          <w:color w:val="000000" w:themeColor="text1"/>
          <w:kern w:val="2"/>
          <w:highlight w:val="none"/>
          <w:lang w:val="zh-CN"/>
          <w14:textFill>
            <w14:solidFill>
              <w14:schemeClr w14:val="tx1"/>
            </w14:solidFill>
          </w14:textFill>
        </w:rPr>
        <w:t>出具的保函等非现金形式提交（包括网银转账，电汇等方式）。</w:t>
      </w:r>
    </w:p>
    <w:p w14:paraId="2376A7A8">
      <w:pPr>
        <w:pStyle w:val="7"/>
        <w:spacing w:line="360" w:lineRule="auto"/>
        <w:ind w:firstLine="480" w:firstLineChars="200"/>
        <w:jc w:val="both"/>
        <w:rPr>
          <w:rFonts w:cs="宋体"/>
          <w:bCs/>
          <w:color w:val="000000" w:themeColor="text1"/>
          <w:kern w:val="2"/>
          <w:highlight w:val="none"/>
          <w:lang w:val="zh-CN"/>
          <w14:textFill>
            <w14:solidFill>
              <w14:schemeClr w14:val="tx1"/>
            </w14:solidFill>
          </w14:textFill>
        </w:rPr>
      </w:pPr>
      <w:r>
        <w:rPr>
          <w:rFonts w:hint="eastAsia" w:cs="宋体"/>
          <w:bCs/>
          <w:color w:val="000000" w:themeColor="text1"/>
          <w:kern w:val="2"/>
          <w:highlight w:val="none"/>
          <w:lang w:val="zh-CN"/>
          <w14:textFill>
            <w14:solidFill>
              <w14:schemeClr w14:val="tx1"/>
            </w14:solidFill>
          </w14:textFill>
        </w:rPr>
        <w:t>收款单位：眉山市消防救援支队。</w:t>
      </w:r>
    </w:p>
    <w:p w14:paraId="11C13A8C">
      <w:pPr>
        <w:pStyle w:val="7"/>
        <w:spacing w:line="360" w:lineRule="auto"/>
        <w:ind w:firstLine="480" w:firstLineChars="200"/>
        <w:jc w:val="both"/>
        <w:rPr>
          <w:rFonts w:cs="宋体"/>
          <w:bCs/>
          <w:color w:val="000000" w:themeColor="text1"/>
          <w:kern w:val="2"/>
          <w:highlight w:val="none"/>
          <w:lang w:val="zh-CN"/>
          <w14:textFill>
            <w14:solidFill>
              <w14:schemeClr w14:val="tx1"/>
            </w14:solidFill>
          </w14:textFill>
        </w:rPr>
      </w:pPr>
      <w:r>
        <w:rPr>
          <w:rFonts w:hint="eastAsia" w:cs="宋体"/>
          <w:bCs/>
          <w:color w:val="000000" w:themeColor="text1"/>
          <w:kern w:val="2"/>
          <w:highlight w:val="none"/>
          <w:lang w:val="zh-CN"/>
          <w14:textFill>
            <w14:solidFill>
              <w14:schemeClr w14:val="tx1"/>
            </w14:solidFill>
          </w14:textFill>
        </w:rPr>
        <w:t>交款时间：中标通知书发放后，</w:t>
      </w:r>
      <w:r>
        <w:rPr>
          <w:rFonts w:hint="eastAsia" w:cs="宋体"/>
          <w:bCs/>
          <w:color w:val="000000" w:themeColor="text1"/>
          <w:kern w:val="2"/>
          <w:highlight w:val="none"/>
          <w14:textFill>
            <w14:solidFill>
              <w14:schemeClr w14:val="tx1"/>
            </w14:solidFill>
          </w14:textFill>
        </w:rPr>
        <w:t>政府采购</w:t>
      </w:r>
      <w:r>
        <w:rPr>
          <w:rFonts w:hint="eastAsia" w:cs="宋体"/>
          <w:bCs/>
          <w:color w:val="000000" w:themeColor="text1"/>
          <w:kern w:val="2"/>
          <w:highlight w:val="none"/>
          <w:lang w:val="zh-CN"/>
          <w14:textFill>
            <w14:solidFill>
              <w14:schemeClr w14:val="tx1"/>
            </w14:solidFill>
          </w14:textFill>
        </w:rPr>
        <w:t>合同签订前。</w:t>
      </w:r>
    </w:p>
    <w:p w14:paraId="1CFBB459">
      <w:pPr>
        <w:pStyle w:val="7"/>
        <w:spacing w:line="360" w:lineRule="auto"/>
        <w:ind w:firstLine="480" w:firstLineChars="200"/>
        <w:jc w:val="both"/>
        <w:rPr>
          <w:rFonts w:cs="宋体"/>
          <w:color w:val="000000" w:themeColor="text1"/>
          <w:highlight w:val="none"/>
          <w:lang w:bidi="ar"/>
          <w14:textFill>
            <w14:solidFill>
              <w14:schemeClr w14:val="tx1"/>
            </w14:solidFill>
          </w14:textFill>
        </w:rPr>
      </w:pPr>
      <w:r>
        <w:rPr>
          <w:rFonts w:hint="eastAsia" w:cs="宋体"/>
          <w:color w:val="000000" w:themeColor="text1"/>
          <w:highlight w:val="none"/>
          <w:lang w:bidi="ar"/>
          <w14:textFill>
            <w14:solidFill>
              <w14:schemeClr w14:val="tx1"/>
            </w14:solidFill>
          </w14:textFill>
        </w:rPr>
        <w:t>采用担保机构出具的保函方式提交履约保证金的，保函必须符合以下规定：</w:t>
      </w:r>
    </w:p>
    <w:p w14:paraId="03477133">
      <w:pPr>
        <w:pStyle w:val="7"/>
        <w:spacing w:line="360" w:lineRule="auto"/>
        <w:ind w:firstLine="480" w:firstLineChars="200"/>
        <w:jc w:val="both"/>
        <w:rPr>
          <w:rFonts w:cs="宋体"/>
          <w:color w:val="000000" w:themeColor="text1"/>
          <w:highlight w:val="none"/>
          <w:lang w:bidi="ar"/>
          <w14:textFill>
            <w14:solidFill>
              <w14:schemeClr w14:val="tx1"/>
            </w14:solidFill>
          </w14:textFill>
        </w:rPr>
      </w:pPr>
      <w:r>
        <w:rPr>
          <w:rFonts w:hint="eastAsia" w:cs="宋体"/>
          <w:color w:val="000000" w:themeColor="text1"/>
          <w:highlight w:val="none"/>
          <w:lang w:bidi="ar"/>
          <w14:textFill>
            <w14:solidFill>
              <w14:schemeClr w14:val="tx1"/>
            </w14:solidFill>
          </w14:textFill>
        </w:rPr>
        <w:t>a.保函应为担保机构出具的合法保函，且应为无条件保函，并有详细明显的验证方法；</w:t>
      </w:r>
    </w:p>
    <w:p w14:paraId="1D3D6FAE">
      <w:pPr>
        <w:pStyle w:val="7"/>
        <w:spacing w:line="360" w:lineRule="auto"/>
        <w:ind w:firstLine="480" w:firstLineChars="200"/>
        <w:jc w:val="both"/>
        <w:rPr>
          <w:rFonts w:cs="宋体"/>
          <w:color w:val="000000" w:themeColor="text1"/>
          <w:highlight w:val="none"/>
          <w:lang w:bidi="ar"/>
          <w14:textFill>
            <w14:solidFill>
              <w14:schemeClr w14:val="tx1"/>
            </w14:solidFill>
          </w14:textFill>
        </w:rPr>
      </w:pPr>
      <w:r>
        <w:rPr>
          <w:rFonts w:hint="eastAsia" w:cs="宋体"/>
          <w:color w:val="000000" w:themeColor="text1"/>
          <w:highlight w:val="none"/>
          <w:lang w:bidi="ar"/>
          <w14:textFill>
            <w14:solidFill>
              <w14:schemeClr w14:val="tx1"/>
            </w14:solidFill>
          </w14:textFill>
        </w:rPr>
        <w:t>b.保函的受益人为</w:t>
      </w:r>
      <w:r>
        <w:rPr>
          <w:rFonts w:hint="eastAsia" w:cs="宋体"/>
          <w:bCs/>
          <w:color w:val="000000" w:themeColor="text1"/>
          <w:kern w:val="2"/>
          <w:highlight w:val="none"/>
          <w:lang w:val="zh-CN"/>
          <w14:textFill>
            <w14:solidFill>
              <w14:schemeClr w14:val="tx1"/>
            </w14:solidFill>
          </w14:textFill>
        </w:rPr>
        <w:t>眉山市消防救援支队</w:t>
      </w:r>
      <w:r>
        <w:rPr>
          <w:rFonts w:hint="eastAsia" w:cs="宋体"/>
          <w:color w:val="000000" w:themeColor="text1"/>
          <w:highlight w:val="none"/>
          <w:lang w:bidi="ar"/>
          <w14:textFill>
            <w14:solidFill>
              <w14:schemeClr w14:val="tx1"/>
            </w14:solidFill>
          </w14:textFill>
        </w:rPr>
        <w:t>；</w:t>
      </w:r>
    </w:p>
    <w:p w14:paraId="35AF93A4">
      <w:pPr>
        <w:pStyle w:val="7"/>
        <w:spacing w:line="360" w:lineRule="auto"/>
        <w:ind w:firstLine="480" w:firstLineChars="200"/>
        <w:jc w:val="both"/>
        <w:rPr>
          <w:rFonts w:cs="宋体"/>
          <w:color w:val="000000" w:themeColor="text1"/>
          <w:highlight w:val="none"/>
          <w:lang w:bidi="ar"/>
          <w14:textFill>
            <w14:solidFill>
              <w14:schemeClr w14:val="tx1"/>
            </w14:solidFill>
          </w14:textFill>
        </w:rPr>
      </w:pPr>
      <w:r>
        <w:rPr>
          <w:rFonts w:hint="eastAsia" w:cs="宋体"/>
          <w:color w:val="000000" w:themeColor="text1"/>
          <w:highlight w:val="none"/>
          <w:lang w:bidi="ar"/>
          <w14:textFill>
            <w14:solidFill>
              <w14:schemeClr w14:val="tx1"/>
            </w14:solidFill>
          </w14:textFill>
        </w:rPr>
        <w:t>c.保函的内容包括但不限于投标人名称、项目名称（如有分包，载明分包号）、项目编号、履约金额、保函的有效期</w:t>
      </w:r>
      <w:r>
        <w:rPr>
          <w:rFonts w:hint="eastAsia" w:cs="宋体"/>
          <w:color w:val="000000" w:themeColor="text1"/>
          <w:highlight w:val="none"/>
          <w:lang w:val="zh-CN"/>
          <w14:textFill>
            <w14:solidFill>
              <w14:schemeClr w14:val="tx1"/>
            </w14:solidFill>
          </w14:textFill>
        </w:rPr>
        <w:t>（考虑到交货、验收等不确定因素，采用保函形式提交履约保证金的，保函有效期应不短于2年）</w:t>
      </w:r>
      <w:r>
        <w:rPr>
          <w:rFonts w:hint="eastAsia" w:cs="宋体"/>
          <w:color w:val="000000" w:themeColor="text1"/>
          <w:highlight w:val="none"/>
          <w:lang w:bidi="ar"/>
          <w14:textFill>
            <w14:solidFill>
              <w14:schemeClr w14:val="tx1"/>
            </w14:solidFill>
          </w14:textFill>
        </w:rPr>
        <w:t>、担保机构担保的内容（即：如因投标人原因发生法律法规或合同规定的</w:t>
      </w:r>
      <w:r>
        <w:rPr>
          <w:rFonts w:hint="eastAsia" w:cs="宋体"/>
          <w:bCs/>
          <w:color w:val="000000" w:themeColor="text1"/>
          <w:kern w:val="2"/>
          <w:highlight w:val="none"/>
          <w14:textFill>
            <w14:solidFill>
              <w14:schemeClr w14:val="tx1"/>
            </w14:solidFill>
          </w14:textFill>
        </w:rPr>
        <w:t>履约</w:t>
      </w:r>
      <w:r>
        <w:rPr>
          <w:rFonts w:hint="eastAsia" w:cs="宋体"/>
          <w:color w:val="000000" w:themeColor="text1"/>
          <w:highlight w:val="none"/>
          <w:lang w:bidi="ar"/>
          <w14:textFill>
            <w14:solidFill>
              <w14:schemeClr w14:val="tx1"/>
            </w14:solidFill>
          </w14:textFill>
        </w:rPr>
        <w:t>保证金不予退还或扣除的情况，由担保机构向受益人足额支付履约保证金）；</w:t>
      </w:r>
    </w:p>
    <w:p w14:paraId="488A2DAB">
      <w:pPr>
        <w:pStyle w:val="7"/>
        <w:spacing w:line="360" w:lineRule="auto"/>
        <w:ind w:firstLine="480" w:firstLineChars="200"/>
        <w:jc w:val="both"/>
        <w:rPr>
          <w:rFonts w:cs="宋体"/>
          <w:bCs/>
          <w:color w:val="000000" w:themeColor="text1"/>
          <w:kern w:val="2"/>
          <w:highlight w:val="none"/>
          <w:lang w:val="zh-CN"/>
          <w14:textFill>
            <w14:solidFill>
              <w14:schemeClr w14:val="tx1"/>
            </w14:solidFill>
          </w14:textFill>
        </w:rPr>
      </w:pPr>
      <w:r>
        <w:rPr>
          <w:rFonts w:hint="eastAsia" w:cs="宋体"/>
          <w:bCs/>
          <w:color w:val="000000" w:themeColor="text1"/>
          <w:kern w:val="2"/>
          <w:highlight w:val="none"/>
          <w:lang w:val="zh-CN"/>
          <w14:textFill>
            <w14:solidFill>
              <w14:schemeClr w14:val="tx1"/>
            </w14:solidFill>
          </w14:textFill>
        </w:rPr>
        <w:t>履约保证金退还方式：①以网银转账、电汇等方式提交的，履约保证金以网银转账、电汇等方式退至转款账户；②以保函方式提交的，退还保函原件。</w:t>
      </w:r>
    </w:p>
    <w:p w14:paraId="613671D6">
      <w:pPr>
        <w:pStyle w:val="7"/>
        <w:spacing w:line="360" w:lineRule="auto"/>
        <w:ind w:firstLine="480" w:firstLineChars="200"/>
        <w:jc w:val="both"/>
        <w:rPr>
          <w:rFonts w:cs="宋体"/>
          <w:bCs/>
          <w:color w:val="000000" w:themeColor="text1"/>
          <w:kern w:val="2"/>
          <w:highlight w:val="none"/>
          <w14:textFill>
            <w14:solidFill>
              <w14:schemeClr w14:val="tx1"/>
            </w14:solidFill>
          </w14:textFill>
        </w:rPr>
      </w:pPr>
      <w:r>
        <w:rPr>
          <w:rFonts w:hint="eastAsia" w:cs="宋体"/>
          <w:bCs/>
          <w:color w:val="000000" w:themeColor="text1"/>
          <w:kern w:val="2"/>
          <w:highlight w:val="none"/>
          <w:lang w:val="zh-CN"/>
          <w14:textFill>
            <w14:solidFill>
              <w14:schemeClr w14:val="tx1"/>
            </w14:solidFill>
          </w14:textFill>
        </w:rPr>
        <w:t>履约保证金退还时间：验收合格后</w:t>
      </w:r>
      <w:r>
        <w:rPr>
          <w:rFonts w:hint="eastAsia" w:cs="宋体"/>
          <w:bCs/>
          <w:color w:val="000000" w:themeColor="text1"/>
          <w:kern w:val="2"/>
          <w:highlight w:val="none"/>
          <w14:textFill>
            <w14:solidFill>
              <w14:schemeClr w14:val="tx1"/>
            </w14:solidFill>
          </w14:textFill>
        </w:rPr>
        <w:t>18个月</w:t>
      </w:r>
      <w:r>
        <w:rPr>
          <w:rFonts w:hint="eastAsia" w:cs="宋体"/>
          <w:bCs/>
          <w:color w:val="000000" w:themeColor="text1"/>
          <w:kern w:val="2"/>
          <w:highlight w:val="none"/>
          <w:lang w:val="zh-CN"/>
          <w14:textFill>
            <w14:solidFill>
              <w14:schemeClr w14:val="tx1"/>
            </w14:solidFill>
          </w14:textFill>
        </w:rPr>
        <w:t>，</w:t>
      </w:r>
      <w:r>
        <w:rPr>
          <w:rFonts w:hint="eastAsia" w:cs="宋体"/>
          <w:bCs/>
          <w:color w:val="000000" w:themeColor="text1"/>
          <w:kern w:val="2"/>
          <w:highlight w:val="none"/>
          <w14:textFill>
            <w14:solidFill>
              <w14:schemeClr w14:val="tx1"/>
            </w14:solidFill>
          </w14:textFill>
        </w:rPr>
        <w:t>乙方提出退款申请之日起</w:t>
      </w:r>
      <w:r>
        <w:rPr>
          <w:rFonts w:hint="eastAsia" w:cs="宋体"/>
          <w:bCs/>
          <w:color w:val="000000" w:themeColor="text1"/>
          <w:kern w:val="2"/>
          <w:highlight w:val="none"/>
          <w:lang w:val="zh-CN"/>
          <w14:textFill>
            <w14:solidFill>
              <w14:schemeClr w14:val="tx1"/>
            </w14:solidFill>
          </w14:textFill>
        </w:rPr>
        <w:t>，</w:t>
      </w:r>
      <w:r>
        <w:rPr>
          <w:rFonts w:hint="eastAsia" w:cs="宋体"/>
          <w:bCs/>
          <w:color w:val="000000" w:themeColor="text1"/>
          <w:kern w:val="2"/>
          <w:highlight w:val="none"/>
          <w14:textFill>
            <w14:solidFill>
              <w14:schemeClr w14:val="tx1"/>
            </w14:solidFill>
          </w14:textFill>
        </w:rPr>
        <w:t>15</w:t>
      </w:r>
      <w:r>
        <w:rPr>
          <w:rFonts w:hint="eastAsia" w:cs="宋体"/>
          <w:bCs/>
          <w:color w:val="000000" w:themeColor="text1"/>
          <w:kern w:val="2"/>
          <w:highlight w:val="none"/>
          <w:lang w:val="zh-CN"/>
          <w14:textFill>
            <w14:solidFill>
              <w14:schemeClr w14:val="tx1"/>
            </w14:solidFill>
          </w14:textFill>
        </w:rPr>
        <w:t>个工作日内无息退还。采购人逾期退还</w:t>
      </w:r>
      <w:r>
        <w:rPr>
          <w:rFonts w:hint="eastAsia" w:cs="宋体"/>
          <w:bCs/>
          <w:color w:val="000000" w:themeColor="text1"/>
          <w:kern w:val="2"/>
          <w:highlight w:val="none"/>
          <w14:textFill>
            <w14:solidFill>
              <w14:schemeClr w14:val="tx1"/>
            </w14:solidFill>
          </w14:textFill>
        </w:rPr>
        <w:t>的</w:t>
      </w:r>
      <w:r>
        <w:rPr>
          <w:rFonts w:hint="eastAsia" w:cs="宋体"/>
          <w:bCs/>
          <w:color w:val="000000" w:themeColor="text1"/>
          <w:kern w:val="2"/>
          <w:highlight w:val="none"/>
          <w:lang w:val="zh-CN"/>
          <w14:textFill>
            <w14:solidFill>
              <w14:schemeClr w14:val="tx1"/>
            </w14:solidFill>
          </w14:textFill>
        </w:rPr>
        <w:t>，将承担应退还金额</w:t>
      </w:r>
      <w:r>
        <w:rPr>
          <w:rFonts w:hint="eastAsia" w:cs="宋体"/>
          <w:bCs/>
          <w:color w:val="000000" w:themeColor="text1"/>
          <w:kern w:val="2"/>
          <w:highlight w:val="none"/>
          <w14:textFill>
            <w14:solidFill>
              <w14:schemeClr w14:val="tx1"/>
            </w14:solidFill>
          </w14:textFill>
        </w:rPr>
        <w:t>万</w:t>
      </w:r>
      <w:r>
        <w:rPr>
          <w:rFonts w:hint="eastAsia" w:cs="宋体"/>
          <w:bCs/>
          <w:color w:val="000000" w:themeColor="text1"/>
          <w:kern w:val="2"/>
          <w:highlight w:val="none"/>
          <w:lang w:val="zh-CN"/>
          <w14:textFill>
            <w14:solidFill>
              <w14:schemeClr w14:val="tx1"/>
            </w14:solidFill>
          </w14:textFill>
        </w:rPr>
        <w:t>分之一每天的违约金。</w:t>
      </w:r>
      <w:r>
        <w:rPr>
          <w:rFonts w:hint="eastAsia" w:cs="宋体"/>
          <w:bCs/>
          <w:color w:val="000000" w:themeColor="text1"/>
          <w:highlight w:val="none"/>
          <w14:textFill>
            <w14:solidFill>
              <w14:schemeClr w14:val="tx1"/>
            </w14:solidFill>
          </w14:textFill>
        </w:rPr>
        <w:t>若遇项目单位因财务结算等原因封账而导致无法支付相应价款的，顺延至具备支付条件</w:t>
      </w:r>
      <w:r>
        <w:rPr>
          <w:rFonts w:hint="eastAsia" w:cs="宋体"/>
          <w:color w:val="000000" w:themeColor="text1"/>
          <w:highlight w:val="none"/>
          <w14:textFill>
            <w14:solidFill>
              <w14:schemeClr w14:val="tx1"/>
            </w14:solidFill>
          </w14:textFill>
        </w:rPr>
        <w:t>之日起15个工作日内</w:t>
      </w:r>
      <w:r>
        <w:rPr>
          <w:rFonts w:hint="eastAsia" w:cs="宋体"/>
          <w:bCs/>
          <w:color w:val="000000" w:themeColor="text1"/>
          <w:highlight w:val="none"/>
          <w14:textFill>
            <w14:solidFill>
              <w14:schemeClr w14:val="tx1"/>
            </w14:solidFill>
          </w14:textFill>
        </w:rPr>
        <w:t>，且不视为采购人违约。</w:t>
      </w:r>
    </w:p>
    <w:p w14:paraId="23D6DA25">
      <w:pPr>
        <w:pStyle w:val="7"/>
        <w:spacing w:line="360" w:lineRule="auto"/>
        <w:ind w:firstLine="480" w:firstLineChars="200"/>
        <w:jc w:val="both"/>
        <w:rPr>
          <w:rFonts w:cs="宋体"/>
          <w:bCs/>
          <w:color w:val="000000" w:themeColor="text1"/>
          <w:kern w:val="2"/>
          <w:highlight w:val="none"/>
          <w:lang w:val="zh-CN"/>
          <w14:textFill>
            <w14:solidFill>
              <w14:schemeClr w14:val="tx1"/>
            </w14:solidFill>
          </w14:textFill>
        </w:rPr>
      </w:pPr>
      <w:r>
        <w:rPr>
          <w:rFonts w:hint="eastAsia" w:cs="宋体"/>
          <w:bCs/>
          <w:color w:val="000000" w:themeColor="text1"/>
          <w:kern w:val="2"/>
          <w:highlight w:val="none"/>
          <w:lang w:val="zh-CN"/>
          <w14:textFill>
            <w14:solidFill>
              <w14:schemeClr w14:val="tx1"/>
            </w14:solidFill>
          </w14:textFill>
        </w:rPr>
        <w:t>履约保证金不予退还情形：出现合同约定的不予退还情形。</w:t>
      </w:r>
    </w:p>
    <w:p w14:paraId="61CA3D5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履约保证金不予退还的，将按照有关规定上缴国库。逾期退还履约保证金的，将依法</w:t>
      </w:r>
      <w:r>
        <w:rPr>
          <w:rFonts w:hint="eastAsia" w:ascii="宋体" w:hAnsi="宋体" w:cs="宋体"/>
          <w:color w:val="000000" w:themeColor="text1"/>
          <w:sz w:val="24"/>
          <w:szCs w:val="24"/>
          <w:highlight w:val="none"/>
          <w:lang w:val="zh-CN"/>
          <w14:textFill>
            <w14:solidFill>
              <w14:schemeClr w14:val="tx1"/>
            </w14:solidFill>
          </w14:textFill>
        </w:rPr>
        <w:t>承担法律责任，并赔偿投标人损失。</w:t>
      </w:r>
    </w:p>
    <w:p w14:paraId="0F8C217F">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（五）付款方式及时间：</w:t>
      </w:r>
    </w:p>
    <w:p w14:paraId="61B3E3A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1、合同签订前，中标人向采购人支付合同总额3%的履约保证金；</w:t>
      </w:r>
    </w:p>
    <w:p w14:paraId="0222FC3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合同生效后15个工作日内，采购人在收到中标人提供的合法合规发票及相关凭证资料后，采用银行转账方式支付合同总金额的30%合同款（以合同约定为准）；在货物验收合格后15个工作日内，采购人在收到中标人提供的合法合规发票及相关凭证资料后，采用银行转账方式支付至合同总金额的100%合同款（以合同约定为准）。</w:t>
      </w:r>
    </w:p>
    <w:p w14:paraId="02752ED8">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（六）售后服务</w:t>
      </w:r>
    </w:p>
    <w:p w14:paraId="00FA34A5">
      <w:pPr>
        <w:pStyle w:val="3"/>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1、保修期：不少于3年（技术参数另有要求的除外）。保修期期内提供7×24小时维修电话服务。易损配件及零件储备期不少于5年。</w:t>
      </w:r>
    </w:p>
    <w:p w14:paraId="33395590">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2、支持重大故障或特殊故障的紧急远程或现场抢修。一般故障，30分钟响应、4小时内到场、24小时内维修完毕；重大故障或特殊故障，30分钟响应、4小时内到场、72小时维修完毕。</w:t>
      </w:r>
    </w:p>
    <w:p w14:paraId="6F422CFB">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3、未经采购人同意，维修维护使用的备品备件及易损件，不得为非原厂件。</w:t>
      </w:r>
    </w:p>
    <w:p w14:paraId="4A5A6A8C">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4、中标人需建立相应的售后维护档案，每次故障维修提交报告，并提出预防性维护措施，记录每次故障响应服务和预防性维护的详细情况。</w:t>
      </w:r>
    </w:p>
    <w:p w14:paraId="7DDE03E4">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5、中标人需建立专门的回访制度，设立专职服务人员，为采购人提供至少每季度一次的回访、技术咨询和技术培训等服务。</w:t>
      </w:r>
    </w:p>
    <w:p w14:paraId="18B70FF5">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（七）验收要求</w:t>
      </w:r>
    </w:p>
    <w:p w14:paraId="6C189757">
      <w:pPr>
        <w:ind w:firstLine="480" w:firstLineChars="200"/>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在合同约定内容全部履行完毕后，采购人按验收标准进行验收。</w:t>
      </w:r>
    </w:p>
    <w:p w14:paraId="2E449C16">
      <w:pPr>
        <w:pStyle w:val="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验收内容如下：</w:t>
      </w:r>
    </w:p>
    <w:p w14:paraId="28F148E2">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1.履约验收主体：眉山市消防救援支队</w:t>
      </w:r>
    </w:p>
    <w:p w14:paraId="4FBF32DA">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2.履约验收时间：合同履约完成后15个工作日内。</w:t>
      </w:r>
    </w:p>
    <w:p w14:paraId="01E6B8F0">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3.验收组织方式：自行验收</w:t>
      </w:r>
    </w:p>
    <w:p w14:paraId="78B98A69">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4.履约验收程序：一次性验收</w:t>
      </w:r>
    </w:p>
    <w:p w14:paraId="511C7AAE">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5.服务履约验收内容：按照本项目招标文件中“技术参数要求”及中标人投标文件进行验收。</w:t>
      </w:r>
    </w:p>
    <w:p w14:paraId="358BE174">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6.商务履约验收内容：按照本项目招标文件中“商务要求”及中标人投标文件进行验收。</w:t>
      </w:r>
    </w:p>
    <w:p w14:paraId="76ABD7DB">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7.履约验收标准：按照《财政部关于进一步加强政府采购需求和履约验收管理的指导意见》（财库〔2016〕205号）等政府采购相关法律法规的要求进行。</w:t>
      </w:r>
    </w:p>
    <w:p w14:paraId="16E46E92">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8、</w:t>
      </w:r>
      <w:r>
        <w:rPr>
          <w:rFonts w:hint="eastAsia" w:ascii="宋体" w:hAnsi="宋体" w:cs="宋体"/>
          <w:bCs/>
          <w:color w:val="000000" w:themeColor="text1"/>
          <w:sz w:val="24"/>
          <w:szCs w:val="24"/>
          <w:highlight w:val="none"/>
          <w14:textFill>
            <w14:solidFill>
              <w14:schemeClr w14:val="tx1"/>
            </w14:solidFill>
          </w14:textFill>
        </w:rPr>
        <w:t>中标人在验收前应制定详细验收方案报采购单位审核同意后，派出工作人员，对产品中各项参数尽可能采取非破坏性或其他方式严格验证，确保产品质量。相关费用包含于投标报价中。</w:t>
      </w:r>
    </w:p>
    <w:p w14:paraId="010631F5">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（八）其他要求</w:t>
      </w:r>
    </w:p>
    <w:p w14:paraId="4A5F84B5">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w:t>
      </w:r>
    </w:p>
    <w:p w14:paraId="36465344">
      <w:pPr>
        <w:spacing w:line="360" w:lineRule="auto"/>
        <w:ind w:firstLine="482" w:firstLineChars="200"/>
        <w:jc w:val="lef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2、政府采购合同签订前，中标人须将投标文件中关于技术参数的佐证材料原件交于采购人复核，若未在规定时间内提供的，采购人将以投标人涉嫌虚假响应报告财政部门。</w:t>
      </w:r>
    </w:p>
    <w:p w14:paraId="1A2F4459">
      <w:pPr>
        <w:spacing w:line="360" w:lineRule="auto"/>
        <w:rPr>
          <w:rFonts w:ascii="宋体" w:hAnsi="宋体" w:cs="宋体"/>
          <w:b/>
          <w:bCs/>
          <w:color w:val="000000" w:themeColor="text1"/>
          <w:sz w:val="24"/>
          <w:szCs w:val="24"/>
          <w:highlight w:val="none"/>
          <w14:textFill>
            <w14:solidFill>
              <w14:schemeClr w14:val="tx1"/>
            </w14:solidFill>
          </w14:textFill>
        </w:rPr>
      </w:pPr>
    </w:p>
    <w:p w14:paraId="6EB727CD">
      <w:pPr>
        <w:pStyle w:val="3"/>
        <w:spacing w:after="0" w:line="360" w:lineRule="auto"/>
        <w:ind w:firstLine="482" w:firstLineChars="20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注：1、★项为实质性要求，不允许负偏离</w:t>
      </w:r>
      <w:r>
        <w:rPr>
          <w:rFonts w:ascii="仿宋" w:hAnsi="仿宋" w:eastAsia="仿宋" w:cs="仿宋"/>
          <w:spacing w:val="-4"/>
          <w:sz w:val="24"/>
          <w:szCs w:val="24"/>
        </w:rPr>
        <w:t>，</w:t>
      </w:r>
      <w:r>
        <w:rPr>
          <w:rFonts w:hint="eastAsia" w:ascii="宋体" w:hAnsi="宋体" w:cs="宋体"/>
          <w:b/>
          <w:bCs/>
          <w:color w:val="000000" w:themeColor="text1"/>
          <w:sz w:val="24"/>
          <w:szCs w:val="24"/>
          <w:highlight w:val="none"/>
          <w14:textFill>
            <w14:solidFill>
              <w14:schemeClr w14:val="tx1"/>
            </w14:solidFill>
          </w14:textFill>
        </w:rPr>
        <w:t>招标文件已要求提供证明材料的，按照要求提供；未要求提供证明材料的，投标人可以以应答或承诺方式响应，也可提供证明材料佐证。</w:t>
      </w:r>
    </w:p>
    <w:p w14:paraId="304D3713">
      <w:pPr>
        <w:pStyle w:val="3"/>
        <w:spacing w:after="0"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2、</w:t>
      </w:r>
      <w:r>
        <w:rPr>
          <w:rFonts w:hint="eastAsia" w:ascii="宋体" w:hAnsi="宋体" w:cs="宋体"/>
          <w:b/>
          <w:bCs/>
          <w:color w:val="000000" w:themeColor="text1"/>
          <w:sz w:val="24"/>
          <w:szCs w:val="24"/>
          <w:highlight w:val="none"/>
          <w14:textFill>
            <w14:solidFill>
              <w14:schemeClr w14:val="tx1"/>
            </w14:solidFill>
          </w14:textFill>
        </w:rPr>
        <w:t>▲项为重要参数，无标记项为一般参数（技术参数中有要求提供证明材料的，还应按要求提供证明材料），若为负偏离将作不同分值的扣分(详见各标包评分明细表)。</w:t>
      </w:r>
    </w:p>
    <w:p w14:paraId="4C34859F">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、带有“▲”标志的技术参数指标，需提供国家认可的具备相关资质的第三方检测机构出具的检测检验报告佐证（技术参数中另有要求提供其它证明材料的除外），所提供的检测（检验）报告应完整有效。</w:t>
      </w:r>
    </w:p>
    <w:p w14:paraId="4C6954DF">
      <w:pPr>
        <w:spacing w:line="360" w:lineRule="auto"/>
        <w:ind w:firstLine="482" w:firstLineChars="200"/>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cs="宋体"/>
          <w:b/>
          <w:bCs/>
          <w:color w:val="000000" w:themeColor="text1"/>
          <w:sz w:val="24"/>
          <w:szCs w:val="24"/>
          <w:highlight w:val="none"/>
          <w14:textFill>
            <w14:solidFill>
              <w14:schemeClr w14:val="tx1"/>
            </w14:solidFill>
          </w14:textFill>
        </w:rPr>
        <w:t>、响应内容与所提供检测报告不一致的内容，以检测报告为准。</w:t>
      </w:r>
    </w:p>
    <w:p w14:paraId="7B1BE7D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92DE30"/>
    <w:multiLevelType w:val="singleLevel"/>
    <w:tmpl w:val="BC92DE30"/>
    <w:lvl w:ilvl="0" w:tentative="0">
      <w:start w:val="1"/>
      <w:numFmt w:val="decimal"/>
      <w:suff w:val="nothing"/>
      <w:lvlText w:val="%1、"/>
      <w:lvlJc w:val="left"/>
    </w:lvl>
  </w:abstractNum>
  <w:abstractNum w:abstractNumId="1">
    <w:nsid w:val="DE6F4205"/>
    <w:multiLevelType w:val="singleLevel"/>
    <w:tmpl w:val="DE6F4205"/>
    <w:lvl w:ilvl="0" w:tentative="0">
      <w:start w:val="27"/>
      <w:numFmt w:val="decimal"/>
      <w:suff w:val="nothing"/>
      <w:lvlText w:val="%1、"/>
      <w:lvlJc w:val="left"/>
    </w:lvl>
  </w:abstractNum>
  <w:abstractNum w:abstractNumId="2">
    <w:nsid w:val="39AF7A38"/>
    <w:multiLevelType w:val="singleLevel"/>
    <w:tmpl w:val="39AF7A38"/>
    <w:lvl w:ilvl="0" w:tentative="0">
      <w:start w:val="1"/>
      <w:numFmt w:val="chineseCounting"/>
      <w:suff w:val="nothing"/>
      <w:lvlText w:val="（%1）"/>
      <w:lvlJc w:val="left"/>
      <w:rPr>
        <w:rFonts w:hint="eastAsia"/>
        <w:b/>
        <w:bC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3YzM1YmVjMTM0NzhmNzM1MzgzZDU2M2ViOTAyOTIifQ=="/>
  </w:docVars>
  <w:rsids>
    <w:rsidRoot w:val="2F917124"/>
    <w:rsid w:val="2F9171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Body Text"/>
    <w:basedOn w:val="1"/>
    <w:qFormat/>
    <w:uiPriority w:val="0"/>
    <w:pPr>
      <w:spacing w:after="120"/>
    </w:pPr>
  </w:style>
  <w:style w:type="character" w:customStyle="1" w:styleId="6">
    <w:name w:val="无"/>
    <w:autoRedefine/>
    <w:qFormat/>
    <w:uiPriority w:val="0"/>
  </w:style>
  <w:style w:type="paragraph" w:customStyle="1" w:styleId="7">
    <w:name w:val="样式"/>
    <w:autoRedefine/>
    <w:qFormat/>
    <w:uiPriority w:val="0"/>
    <w:pPr>
      <w:widowControl w:val="0"/>
      <w:autoSpaceDE w:val="0"/>
      <w:autoSpaceDN w:val="0"/>
      <w:adjustRightInd w:val="0"/>
    </w:pPr>
    <w:rPr>
      <w:rFonts w:ascii="宋体" w:hAnsi="宋体"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2024-07-12T10:11:00Z</dcterms:created>
  <dc:creator>彭君</dc:creator>
  <cp:lastModifiedBy>彭君</cp:lastModifiedBy>
  <dcterms:modified xsi:type="dcterms:W3CDTF">2024-07-12T10:12:40Z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B6F28154CA4443768BF506C5F630AAF0_11</vt:lpwstr>
  </property>
</Properties>
</file>