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789"/>
      <w:bookmarkStart w:id="1" w:name="_Toc28359001"/>
      <w:r>
        <w:rPr>
          <w:rFonts w:hint="eastAsia" w:ascii="华文中宋" w:hAnsi="华文中宋" w:eastAsia="华文中宋"/>
          <w:sz w:val="32"/>
          <w:szCs w:val="32"/>
        </w:rPr>
        <w:t>招标公告</w:t>
      </w:r>
      <w:bookmarkEnd w:id="0"/>
      <w:bookmarkEnd w:id="1"/>
    </w:p>
    <w:p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0"/>
          <w:right w:val="single" w:color="auto" w:sz="4" w:space="4"/>
        </w:pBd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自然资源常态化遥感监测信息处理与整合服务</w:t>
      </w:r>
      <w:r>
        <w:rPr>
          <w:rFonts w:hint="eastAsia" w:ascii="仿宋" w:hAnsi="仿宋" w:eastAsia="仿宋"/>
          <w:sz w:val="28"/>
          <w:szCs w:val="28"/>
        </w:rPr>
        <w:t>的潜在投标人应在华采招标集团有限公司（北京市丰台区广安路9号国投财富广场6号楼1601室）获取招标文件，并于20</w:t>
      </w:r>
      <w:r>
        <w:rPr>
          <w:rFonts w:ascii="仿宋" w:hAnsi="仿宋" w:eastAsia="仿宋"/>
          <w:sz w:val="28"/>
          <w:szCs w:val="28"/>
        </w:rPr>
        <w:t>23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</w:t>
      </w:r>
      <w:r>
        <w:rPr>
          <w:rFonts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14</w:t>
      </w:r>
      <w:r>
        <w:rPr>
          <w:rFonts w:ascii="仿宋" w:hAnsi="仿宋" w:eastAsia="仿宋"/>
          <w:sz w:val="28"/>
          <w:szCs w:val="28"/>
        </w:rPr>
        <w:t>日</w:t>
      </w:r>
      <w:r>
        <w:rPr>
          <w:rFonts w:hint="eastAsia" w:ascii="仿宋" w:hAnsi="仿宋" w:eastAsia="仿宋"/>
          <w:sz w:val="28"/>
          <w:szCs w:val="28"/>
        </w:rPr>
        <w:t>09:30（</w:t>
      </w:r>
      <w:r>
        <w:rPr>
          <w:rFonts w:hint="eastAsia" w:ascii="仿宋" w:hAnsi="仿宋" w:eastAsia="仿宋"/>
          <w:bCs/>
          <w:sz w:val="28"/>
          <w:szCs w:val="28"/>
        </w:rPr>
        <w:t>北京时间）前递交投标</w:t>
      </w:r>
      <w:r>
        <w:rPr>
          <w:rFonts w:ascii="仿宋" w:hAnsi="仿宋" w:eastAsia="仿宋"/>
          <w:bCs/>
          <w:sz w:val="28"/>
          <w:szCs w:val="28"/>
        </w:rPr>
        <w:t>文件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" w:name="_Toc28359079"/>
      <w:bookmarkStart w:id="3" w:name="_Toc35393790"/>
      <w:bookmarkStart w:id="4" w:name="_Toc35393621"/>
      <w:bookmarkStart w:id="5" w:name="_Toc28359002"/>
      <w:bookmarkStart w:id="6" w:name="_Hlk24379207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HCZB-2023-ZB0395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自然资源常态化遥感监测信息处理与整合服务</w:t>
      </w:r>
    </w:p>
    <w:bookmarkEnd w:id="6"/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预算金额：643万元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最高限价（如有）：643万元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采购需求：</w:t>
      </w:r>
    </w:p>
    <w:tbl>
      <w:tblPr>
        <w:tblStyle w:val="11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1376"/>
        <w:gridCol w:w="4312"/>
        <w:gridCol w:w="948"/>
        <w:gridCol w:w="1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tblHeader/>
          <w:jc w:val="center"/>
        </w:trPr>
        <w:tc>
          <w:tcPr>
            <w:tcW w:w="377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ind w:right="-94" w:rightChars="-45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包号</w:t>
            </w:r>
          </w:p>
        </w:tc>
        <w:tc>
          <w:tcPr>
            <w:tcW w:w="807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包名称</w:t>
            </w:r>
          </w:p>
        </w:tc>
        <w:tc>
          <w:tcPr>
            <w:tcW w:w="2528" w:type="pct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技术要求</w:t>
            </w:r>
          </w:p>
        </w:tc>
        <w:tc>
          <w:tcPr>
            <w:tcW w:w="556" w:type="pct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预算金额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（万元）</w:t>
            </w:r>
          </w:p>
        </w:tc>
        <w:tc>
          <w:tcPr>
            <w:tcW w:w="729" w:type="pct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是否专门面向中小企业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377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ascii="宋体" w:hAnsi="宋体" w:cstheme="minorEastAsia"/>
                <w:sz w:val="24"/>
              </w:rPr>
              <w:t>1</w:t>
            </w:r>
          </w:p>
        </w:tc>
        <w:tc>
          <w:tcPr>
            <w:tcW w:w="807" w:type="pct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农村乱占耕地建房问题持续监测数据集</w:t>
            </w:r>
          </w:p>
        </w:tc>
        <w:tc>
          <w:tcPr>
            <w:tcW w:w="2528" w:type="pct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使用2023年最新的遥感影像进行分析，判读农村乱占耕地建房图斑现状信息，综合往年影像特征，判断整改情况，形成农村乱占耕地建房持续跟踪监测数据集</w:t>
            </w:r>
          </w:p>
        </w:tc>
        <w:tc>
          <w:tcPr>
            <w:tcW w:w="556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94</w:t>
            </w:r>
          </w:p>
        </w:tc>
        <w:tc>
          <w:tcPr>
            <w:tcW w:w="729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中小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377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ascii="宋体" w:hAnsi="宋体" w:cstheme="minorEastAsia"/>
                <w:sz w:val="24"/>
              </w:rPr>
              <w:t>2</w:t>
            </w:r>
          </w:p>
        </w:tc>
        <w:tc>
          <w:tcPr>
            <w:tcW w:w="807" w:type="pct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日常监测信息数据集</w:t>
            </w:r>
          </w:p>
        </w:tc>
        <w:tc>
          <w:tcPr>
            <w:tcW w:w="2528" w:type="pct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对每日提交的日常监测变化图斑和配套的落图文件进行完整性、可用性、拓扑正确性、逻辑正确性和提取合理性进行检查、整合，对图斑提取的正确性进行抽检，构建包括每日、每周、月度、双月、季度和年度日常监测信息数据集。</w:t>
            </w:r>
          </w:p>
        </w:tc>
        <w:tc>
          <w:tcPr>
            <w:tcW w:w="556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100</w:t>
            </w:r>
          </w:p>
        </w:tc>
        <w:tc>
          <w:tcPr>
            <w:tcW w:w="729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小微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377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ascii="宋体" w:hAnsi="宋体" w:cstheme="minorEastAsia"/>
                <w:sz w:val="24"/>
              </w:rPr>
              <w:t>3</w:t>
            </w:r>
          </w:p>
        </w:tc>
        <w:tc>
          <w:tcPr>
            <w:tcW w:w="807" w:type="pct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补充图斑信息数据集</w:t>
            </w:r>
          </w:p>
        </w:tc>
        <w:tc>
          <w:tcPr>
            <w:tcW w:w="2528" w:type="pct"/>
            <w:shd w:val="clear" w:color="auto" w:fill="auto"/>
            <w:noWrap/>
            <w:vAlign w:val="center"/>
          </w:tcPr>
          <w:p>
            <w:pPr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利用年度变更调查和地理国情监测成果数据，通过空间分析、属性分析、规范化处理、拓扑和属性一致化处理以及基于统计分析的数据筛选，形成补充图斑信息，并对变化信息进行整合，构建补充图斑信息数据集。</w:t>
            </w:r>
          </w:p>
        </w:tc>
        <w:tc>
          <w:tcPr>
            <w:tcW w:w="556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84</w:t>
            </w:r>
          </w:p>
        </w:tc>
        <w:tc>
          <w:tcPr>
            <w:tcW w:w="729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377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ascii="宋体" w:hAnsi="宋体" w:cstheme="minorEastAsia"/>
                <w:sz w:val="24"/>
              </w:rPr>
              <w:t>4</w:t>
            </w:r>
          </w:p>
        </w:tc>
        <w:tc>
          <w:tcPr>
            <w:tcW w:w="807" w:type="pct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卫片执法持续监测信息数据集</w:t>
            </w:r>
          </w:p>
        </w:tc>
        <w:tc>
          <w:tcPr>
            <w:tcW w:w="2528" w:type="pct"/>
            <w:shd w:val="clear" w:color="auto" w:fill="auto"/>
            <w:noWrap/>
            <w:vAlign w:val="center"/>
          </w:tcPr>
          <w:p>
            <w:pPr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采集2009年以来卫片执法图斑和台账信息，对图斑和台账数据进行矢量化和拓扑分析等预处理、规范化和整理合成，经过影像比对和人工分析，根据技术规定对执法图斑进行判读、分解和时序标记，整合构建形成持续监测信息数据集。</w:t>
            </w:r>
          </w:p>
        </w:tc>
        <w:tc>
          <w:tcPr>
            <w:tcW w:w="556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100</w:t>
            </w:r>
          </w:p>
        </w:tc>
        <w:tc>
          <w:tcPr>
            <w:tcW w:w="729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377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5</w:t>
            </w:r>
          </w:p>
        </w:tc>
        <w:tc>
          <w:tcPr>
            <w:tcW w:w="807" w:type="pct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卫片执法持续监管信息审核数据集</w:t>
            </w:r>
          </w:p>
        </w:tc>
        <w:tc>
          <w:tcPr>
            <w:tcW w:w="2528" w:type="pct"/>
            <w:shd w:val="clear" w:color="auto" w:fill="auto"/>
            <w:noWrap/>
            <w:vAlign w:val="center"/>
          </w:tcPr>
          <w:p>
            <w:pPr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对历史违法地块及本年度违法地块的现状信息，对信息进行检查、可用性分析和整理，对地方填报的信息内容进行规范化和一致化处理，将填报信息落实到图斑数据上，使用符合审核时相要求的遥感影像数据判读违法地块地表覆盖现状，结合填报的本底、违法、整改截止时间、整改面积及整改目标信息进行分类汇总，形成供持续监管信息审核判断使用的持续监管信息审核数据集。</w:t>
            </w:r>
          </w:p>
        </w:tc>
        <w:tc>
          <w:tcPr>
            <w:tcW w:w="556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85</w:t>
            </w:r>
          </w:p>
        </w:tc>
        <w:tc>
          <w:tcPr>
            <w:tcW w:w="729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377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6</w:t>
            </w:r>
          </w:p>
        </w:tc>
        <w:tc>
          <w:tcPr>
            <w:tcW w:w="807" w:type="pct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新增建设用地变化检测样本数据集</w:t>
            </w:r>
          </w:p>
        </w:tc>
        <w:tc>
          <w:tcPr>
            <w:tcW w:w="2528" w:type="pct"/>
            <w:shd w:val="clear" w:color="auto" w:fill="auto"/>
            <w:noWrap/>
            <w:vAlign w:val="center"/>
          </w:tcPr>
          <w:p>
            <w:pPr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用于扩充高质量新增建设用地变化检测样本数据库，支撑多传感器、多时相、多区域的深度学习训练，提升新增建（构）筑物、线形地物、推填土、光伏用地及挖湖造景等变化检测准确率，并根据《土地卫片执法图斑提取规则》建设新的分类要求，进一步扩充新增类型的样本数据。要素细分类涵盖在建、已建、独立、成片以及各形态、各面积尺度新增建（构）筑物和新增线形地物，样本影像分辨率覆盖2米级、亚米级，均匀覆盖我国七大地理分区，影像特征清晰，无云雾、烟遮挡，无噪声等。数量不少于45万条。</w:t>
            </w:r>
          </w:p>
        </w:tc>
        <w:tc>
          <w:tcPr>
            <w:tcW w:w="556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90</w:t>
            </w:r>
          </w:p>
        </w:tc>
        <w:tc>
          <w:tcPr>
            <w:tcW w:w="729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377" w:type="pct"/>
            <w:shd w:val="clear" w:color="auto" w:fill="auto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7</w:t>
            </w:r>
          </w:p>
        </w:tc>
        <w:tc>
          <w:tcPr>
            <w:tcW w:w="807" w:type="pct"/>
            <w:shd w:val="clear" w:color="auto" w:fill="auto"/>
            <w:noWrap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新增建设用地提取图斑后优化处理数据集</w:t>
            </w:r>
          </w:p>
        </w:tc>
        <w:tc>
          <w:tcPr>
            <w:tcW w:w="2528" w:type="pct"/>
            <w:shd w:val="clear" w:color="auto" w:fill="auto"/>
            <w:noWrap/>
            <w:vAlign w:val="center"/>
          </w:tcPr>
          <w:p>
            <w:pPr>
              <w:spacing w:line="360" w:lineRule="auto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针对每日新增建设用地提取结果图斑数据，基于辅助处理工具，人机交互开展图斑合并、边缘优化、拓扑修正、套合度分析、属性分析、图斑影像一致分析及异常图斑剔除等后优化处理，同步形成新增建设用地图斑提取统计分析报告，按图斑生产时间及行政区划等分层分级要求，整合形成每日、月、季及年度新增建设用地提取图斑后优化处理数据集。</w:t>
            </w:r>
          </w:p>
        </w:tc>
        <w:tc>
          <w:tcPr>
            <w:tcW w:w="556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90</w:t>
            </w:r>
          </w:p>
        </w:tc>
        <w:tc>
          <w:tcPr>
            <w:tcW w:w="729" w:type="pct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theme="minorEastAsia"/>
                <w:sz w:val="24"/>
              </w:rPr>
            </w:pPr>
            <w:r>
              <w:rPr>
                <w:rFonts w:hint="eastAsia" w:ascii="宋体" w:hAnsi="宋体" w:cstheme="minorEastAsia"/>
                <w:sz w:val="24"/>
              </w:rPr>
              <w:t>/</w:t>
            </w:r>
          </w:p>
        </w:tc>
      </w:tr>
    </w:tbl>
    <w:p>
      <w:pPr>
        <w:ind w:firstLine="560" w:firstLineChars="200"/>
        <w:rPr>
          <w:rFonts w:hint="eastAsia"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</w:rPr>
        <w:t>合同履行期限：</w:t>
      </w:r>
      <w:r>
        <w:rPr>
          <w:rFonts w:hint="eastAsia" w:ascii="仿宋" w:hAnsi="仿宋" w:eastAsia="仿宋"/>
          <w:sz w:val="28"/>
          <w:szCs w:val="28"/>
          <w:highlight w:val="yellow"/>
        </w:rPr>
        <w:t>自合同签订之日起，每季度分批提交成果，最终批次成果在采购人年度监测任务完成后60个工作日内验收完成并交付。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本项目（</w:t>
      </w:r>
      <w:r>
        <w:rPr>
          <w:rFonts w:hint="eastAsia" w:ascii="仿宋" w:hAnsi="仿宋" w:eastAsia="仿宋"/>
          <w:i/>
          <w:sz w:val="28"/>
          <w:szCs w:val="28"/>
        </w:rPr>
        <w:t>是</w:t>
      </w:r>
      <w:r>
        <w:rPr>
          <w:rFonts w:ascii="仿宋" w:hAnsi="仿宋" w:eastAsia="仿宋"/>
          <w:i/>
          <w:sz w:val="28"/>
          <w:szCs w:val="28"/>
        </w:rPr>
        <w:t>/否</w:t>
      </w:r>
      <w:r>
        <w:rPr>
          <w:rFonts w:hint="eastAsia" w:ascii="仿宋" w:hAnsi="仿宋" w:eastAsia="仿宋"/>
          <w:sz w:val="28"/>
          <w:szCs w:val="28"/>
        </w:rPr>
        <w:t>）接受联合体投标：否</w:t>
      </w:r>
    </w:p>
    <w:p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7" w:name="_Toc35393791"/>
      <w:bookmarkStart w:id="8" w:name="_Toc28359080"/>
      <w:bookmarkStart w:id="9" w:name="_Toc28359003"/>
      <w:bookmarkStart w:id="10" w:name="_Toc35393622"/>
      <w:r>
        <w:rPr>
          <w:rFonts w:hint="eastAsia" w:ascii="黑体" w:hAnsi="黑体" w:cs="宋体"/>
          <w:b w:val="0"/>
          <w:sz w:val="28"/>
          <w:szCs w:val="28"/>
        </w:rPr>
        <w:t>二、申请人的资格要求：</w:t>
      </w:r>
      <w:bookmarkEnd w:id="7"/>
      <w:bookmarkEnd w:id="8"/>
      <w:bookmarkEnd w:id="9"/>
      <w:bookmarkEnd w:id="10"/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1.满足《中华人民共和国政府采购法》第二十二条规定；</w:t>
      </w:r>
    </w:p>
    <w:p>
      <w:pPr>
        <w:ind w:firstLine="560" w:firstLineChars="200"/>
        <w:rPr>
          <w:rFonts w:asciiTheme="minorEastAsia" w:hAnsiTheme="minorEastAsia" w:eastAsiaTheme="minorEastAsia" w:cstheme="minorEastAsia"/>
          <w:sz w:val="24"/>
        </w:rPr>
      </w:pPr>
      <w:bookmarkStart w:id="11" w:name="_Toc28359004"/>
      <w:bookmarkStart w:id="12" w:name="_Toc28359081"/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>.落实政府采购政策需满足的资格要求：</w:t>
      </w:r>
      <w:r>
        <w:rPr>
          <w:rFonts w:hint="eastAsia" w:ascii="仿宋" w:hAnsi="仿宋" w:eastAsia="仿宋"/>
          <w:sz w:val="28"/>
          <w:szCs w:val="28"/>
          <w:u w:val="single"/>
        </w:rPr>
        <w:t>无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3.本项目的特定资格要求：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(1</w:t>
      </w:r>
      <w:r>
        <w:rPr>
          <w:rFonts w:hint="eastAsia" w:ascii="仿宋" w:hAnsi="仿宋" w:eastAsia="仿宋"/>
          <w:sz w:val="28"/>
          <w:szCs w:val="28"/>
        </w:rPr>
        <w:t>)投标人必须为投标文件递交截止之日前未被列入“信用中国”网站（www.creditchina.gov.cn）、中国政府采购网（www.ccgp.gov.cn）信用记录失信被执行人、重大税收违法案件当事人名单、政府采购严重违法失信行为记录名单的；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/>
          <w:sz w:val="28"/>
          <w:szCs w:val="28"/>
        </w:rPr>
        <w:t>不同投标人的法人、单位负责人不是同一人也不存在直接控股、管理关系；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/>
          <w:sz w:val="28"/>
          <w:szCs w:val="28"/>
        </w:rPr>
        <w:t>投标人必须向采购代理机构购买招标文件并登记备案，未向采购代理机构购买招标文件并登记备案的无资格参加本次投标；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/>
          <w:sz w:val="28"/>
          <w:szCs w:val="28"/>
        </w:rPr>
        <w:t>本项目不接受联合体投标；</w:t>
      </w:r>
    </w:p>
    <w:p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3" w:name="_Toc35393792"/>
      <w:bookmarkStart w:id="14" w:name="_Toc35393623"/>
      <w:r>
        <w:rPr>
          <w:rFonts w:hint="eastAsia" w:ascii="黑体" w:hAnsi="黑体" w:cs="宋体"/>
          <w:b w:val="0"/>
          <w:sz w:val="28"/>
          <w:szCs w:val="28"/>
        </w:rPr>
        <w:t>三、获取招标文件</w:t>
      </w:r>
      <w:bookmarkEnd w:id="11"/>
      <w:bookmarkEnd w:id="12"/>
      <w:bookmarkEnd w:id="13"/>
      <w:bookmarkEnd w:id="14"/>
    </w:p>
    <w:p>
      <w:pPr>
        <w:spacing w:line="360" w:lineRule="auto"/>
        <w:ind w:firstLine="54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时间：2023年5月24日至2023年5月31日</w:t>
      </w:r>
      <w:r>
        <w:rPr>
          <w:rFonts w:hint="eastAsia" w:ascii="仿宋" w:hAnsi="仿宋" w:eastAsia="仿宋"/>
          <w:sz w:val="28"/>
          <w:szCs w:val="28"/>
        </w:rPr>
        <w:t>，</w:t>
      </w:r>
      <w:r>
        <w:rPr>
          <w:rFonts w:hint="eastAsia" w:ascii="仿宋" w:hAnsi="仿宋" w:eastAsia="仿宋" w:cs="宋体"/>
          <w:sz w:val="28"/>
          <w:szCs w:val="28"/>
        </w:rPr>
        <w:t>每天上</w:t>
      </w:r>
      <w:r>
        <w:rPr>
          <w:rFonts w:hint="eastAsia" w:ascii="仿宋" w:hAnsi="仿宋" w:eastAsia="仿宋"/>
          <w:sz w:val="28"/>
          <w:szCs w:val="28"/>
        </w:rPr>
        <w:t>午</w:t>
      </w:r>
      <w:r>
        <w:rPr>
          <w:rFonts w:hint="eastAsia" w:ascii="仿宋" w:hAnsi="仿宋" w:eastAsia="仿宋"/>
          <w:sz w:val="28"/>
          <w:szCs w:val="28"/>
          <w:u w:val="single"/>
        </w:rPr>
        <w:t>9：00至12：00</w:t>
      </w:r>
      <w:r>
        <w:rPr>
          <w:rFonts w:hint="eastAsia" w:ascii="仿宋" w:hAnsi="仿宋" w:eastAsia="仿宋" w:cs="宋体"/>
          <w:sz w:val="28"/>
          <w:szCs w:val="28"/>
        </w:rPr>
        <w:t>下午</w:t>
      </w:r>
      <w:r>
        <w:rPr>
          <w:rFonts w:hint="eastAsia" w:ascii="仿宋" w:hAnsi="仿宋" w:eastAsia="仿宋" w:cs="宋体"/>
          <w:sz w:val="28"/>
          <w:szCs w:val="28"/>
          <w:u w:val="single"/>
        </w:rPr>
        <w:t>13：00</w:t>
      </w:r>
      <w:r>
        <w:rPr>
          <w:rFonts w:hint="eastAsia" w:ascii="仿宋" w:hAnsi="仿宋" w:eastAsia="仿宋" w:cs="宋体"/>
          <w:sz w:val="28"/>
          <w:szCs w:val="28"/>
        </w:rPr>
        <w:t>至</w:t>
      </w:r>
      <w:r>
        <w:rPr>
          <w:rFonts w:hint="eastAsia" w:ascii="仿宋" w:hAnsi="仿宋" w:eastAsia="仿宋" w:cs="宋体"/>
          <w:sz w:val="28"/>
          <w:szCs w:val="28"/>
          <w:u w:val="single"/>
        </w:rPr>
        <w:t>17：00</w:t>
      </w:r>
      <w:r>
        <w:rPr>
          <w:rFonts w:hint="eastAsia" w:ascii="仿宋" w:hAnsi="仿宋" w:eastAsia="仿宋" w:cs="宋体"/>
          <w:sz w:val="28"/>
          <w:szCs w:val="28"/>
        </w:rPr>
        <w:t>（北京时间，</w:t>
      </w:r>
      <w:r>
        <w:rPr>
          <w:rFonts w:ascii="仿宋" w:hAnsi="仿宋" w:eastAsia="仿宋" w:cs="宋体"/>
          <w:sz w:val="28"/>
          <w:szCs w:val="28"/>
        </w:rPr>
        <w:t>法定节假日</w:t>
      </w:r>
      <w:r>
        <w:rPr>
          <w:rFonts w:hint="eastAsia" w:ascii="仿宋" w:hAnsi="仿宋" w:eastAsia="仿宋" w:cs="宋体"/>
          <w:sz w:val="28"/>
          <w:szCs w:val="28"/>
        </w:rPr>
        <w:t>除外）</w:t>
      </w:r>
    </w:p>
    <w:p>
      <w:pPr>
        <w:spacing w:line="360" w:lineRule="auto"/>
        <w:ind w:firstLine="540"/>
        <w:rPr>
          <w:rFonts w:ascii="仿宋" w:hAnsi="仿宋" w:eastAsia="仿宋" w:cs="宋体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地点：华采招标集团有限公司（</w:t>
      </w:r>
      <w:bookmarkStart w:id="33" w:name="_GoBack"/>
      <w:bookmarkEnd w:id="33"/>
      <w:r>
        <w:rPr>
          <w:rFonts w:hint="eastAsia" w:ascii="仿宋" w:hAnsi="仿宋" w:eastAsia="仿宋" w:cs="宋体"/>
          <w:sz w:val="28"/>
          <w:szCs w:val="28"/>
        </w:rPr>
        <w:t>北京市丰台区广安路9号国投财富广场6号楼1601室）</w:t>
      </w:r>
    </w:p>
    <w:p>
      <w:pPr>
        <w:spacing w:line="360" w:lineRule="auto"/>
        <w:ind w:firstLine="54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方式：现场报名</w:t>
      </w:r>
      <w:r>
        <w:rPr>
          <w:rFonts w:hint="eastAsia" w:ascii="仿宋" w:hAnsi="仿宋" w:eastAsia="仿宋" w:cs="宋体"/>
          <w:sz w:val="28"/>
          <w:szCs w:val="28"/>
        </w:rPr>
        <w:t>。每包500元人民币</w:t>
      </w:r>
      <w:r>
        <w:rPr>
          <w:rFonts w:hint="eastAsia" w:ascii="仿宋" w:hAnsi="仿宋" w:eastAsia="仿宋" w:cs="宋体"/>
          <w:sz w:val="28"/>
          <w:szCs w:val="28"/>
        </w:rPr>
        <w:t>，招标文件售后不退。</w:t>
      </w:r>
    </w:p>
    <w:p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5" w:name="_Toc28359005"/>
      <w:bookmarkStart w:id="16" w:name="_Toc28359082"/>
      <w:bookmarkStart w:id="17" w:name="_Toc35393793"/>
      <w:bookmarkStart w:id="18" w:name="_Toc35393624"/>
      <w:r>
        <w:rPr>
          <w:rFonts w:hint="eastAsia" w:ascii="黑体" w:hAnsi="黑体" w:cs="宋体"/>
          <w:b w:val="0"/>
          <w:sz w:val="28"/>
          <w:szCs w:val="28"/>
        </w:rPr>
        <w:t>四、提交投标文件</w:t>
      </w:r>
      <w:bookmarkEnd w:id="15"/>
      <w:bookmarkEnd w:id="16"/>
      <w:r>
        <w:rPr>
          <w:rFonts w:hint="eastAsia" w:ascii="黑体" w:hAnsi="黑体" w:cs="宋体"/>
          <w:b w:val="0"/>
          <w:sz w:val="28"/>
          <w:szCs w:val="28"/>
        </w:rPr>
        <w:t>截止时间、开标时间和地点</w:t>
      </w:r>
      <w:bookmarkEnd w:id="17"/>
      <w:bookmarkEnd w:id="18"/>
    </w:p>
    <w:p>
      <w:pPr>
        <w:pStyle w:val="8"/>
        <w:spacing w:line="360" w:lineRule="auto"/>
        <w:ind w:firstLine="560" w:firstLineChars="200"/>
        <w:rPr>
          <w:rFonts w:ascii="仿宋" w:hAnsi="仿宋" w:eastAsia="仿宋"/>
          <w:iCs/>
          <w:sz w:val="28"/>
          <w:szCs w:val="28"/>
          <w:u w:val="single"/>
        </w:rPr>
      </w:pPr>
      <w:r>
        <w:rPr>
          <w:rFonts w:hint="eastAsia" w:ascii="仿宋" w:hAnsi="仿宋" w:eastAsia="仿宋"/>
          <w:iCs/>
          <w:sz w:val="28"/>
          <w:szCs w:val="28"/>
          <w:u w:val="single"/>
        </w:rPr>
        <w:t>2023年6月14日9:30（北京时间）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地点：北京市丰台区广安路9号国投财富广场6号楼15层第二会议室。</w:t>
      </w:r>
    </w:p>
    <w:p>
      <w:pPr>
        <w:pStyle w:val="5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9" w:name="_Toc35393625"/>
      <w:bookmarkStart w:id="20" w:name="_Toc35393794"/>
      <w:bookmarkStart w:id="21" w:name="_Toc28359007"/>
      <w:bookmarkStart w:id="22" w:name="_Toc28359084"/>
      <w:r>
        <w:rPr>
          <w:rFonts w:hint="eastAsia" w:ascii="黑体" w:hAnsi="黑体" w:cs="宋体"/>
          <w:b w:val="0"/>
          <w:sz w:val="28"/>
          <w:szCs w:val="28"/>
        </w:rPr>
        <w:t>五、公告期限</w:t>
      </w:r>
      <w:bookmarkEnd w:id="19"/>
      <w:bookmarkEnd w:id="20"/>
      <w:bookmarkEnd w:id="21"/>
      <w:bookmarkEnd w:id="22"/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自本公告发布之日起5个工作日。</w:t>
      </w:r>
    </w:p>
    <w:p>
      <w:pPr>
        <w:pStyle w:val="5"/>
        <w:numPr>
          <w:ilvl w:val="0"/>
          <w:numId w:val="1"/>
        </w:numPr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3" w:name="_Toc35393795"/>
      <w:bookmarkStart w:id="24" w:name="_Toc35393626"/>
      <w:r>
        <w:rPr>
          <w:rFonts w:hint="eastAsia" w:ascii="黑体" w:hAnsi="黑体" w:cs="宋体"/>
          <w:b w:val="0"/>
          <w:sz w:val="28"/>
          <w:szCs w:val="28"/>
        </w:rPr>
        <w:t>其他补充事宜</w:t>
      </w:r>
      <w:bookmarkEnd w:id="23"/>
      <w:bookmarkEnd w:id="24"/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bookmarkStart w:id="25" w:name="_Toc35393796"/>
      <w:bookmarkStart w:id="26" w:name="_Toc28359085"/>
      <w:bookmarkStart w:id="27" w:name="_Toc35393627"/>
      <w:bookmarkStart w:id="28" w:name="_Toc28359008"/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宋体"/>
          <w:kern w:val="0"/>
          <w:sz w:val="28"/>
          <w:szCs w:val="28"/>
        </w:rPr>
        <w:t>本项目需要落实的政府采购政策：节约能源、保护环境、扶持不发达地区和少数民族地区、促进中小微企业发展、支持监狱、戒毒企业发展、促进残疾人就业、支持脱贫等政府采购政策。</w:t>
      </w:r>
    </w:p>
    <w:p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kern w:val="0"/>
          <w:sz w:val="28"/>
          <w:szCs w:val="28"/>
        </w:rPr>
        <w:t>本项目招标公告在中国政府采购网（http://www.ccgp.gov.cn/）上发布。</w:t>
      </w:r>
    </w:p>
    <w:p>
      <w:pPr>
        <w:pStyle w:val="5"/>
        <w:numPr>
          <w:numId w:val="0"/>
        </w:numPr>
        <w:spacing w:before="0" w:after="0"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hint="eastAsia" w:ascii="黑体" w:hAnsi="黑体" w:cs="宋体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hint="eastAsia" w:ascii="黑体" w:hAnsi="黑体" w:cs="宋体"/>
          <w:b w:val="0"/>
          <w:sz w:val="28"/>
          <w:szCs w:val="28"/>
        </w:rPr>
        <w:t>联系。</w:t>
      </w:r>
      <w:bookmarkEnd w:id="25"/>
      <w:bookmarkEnd w:id="26"/>
      <w:bookmarkEnd w:id="27"/>
      <w:bookmarkEnd w:id="28"/>
    </w:p>
    <w:p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　　1.采购人信息</w:t>
      </w:r>
    </w:p>
    <w:p>
      <w:pPr>
        <w:pStyle w:val="8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称：自然资源部国土卫星遥感应用中心</w:t>
      </w:r>
    </w:p>
    <w:p>
      <w:pPr>
        <w:pStyle w:val="8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地址：北京市海淀区紫竹院百胜村1号</w:t>
      </w:r>
    </w:p>
    <w:p>
      <w:pPr>
        <w:pStyle w:val="8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联系方式：刘老师</w:t>
      </w:r>
      <w:bookmarkStart w:id="29" w:name="_Toc28359009"/>
      <w:bookmarkStart w:id="30" w:name="_Toc28359086"/>
      <w:r>
        <w:rPr>
          <w:rFonts w:hint="eastAsia" w:ascii="仿宋" w:hAnsi="仿宋" w:eastAsia="仿宋"/>
          <w:sz w:val="28"/>
          <w:szCs w:val="28"/>
        </w:rPr>
        <w:t>010-68412123</w:t>
      </w:r>
    </w:p>
    <w:p>
      <w:pPr>
        <w:pStyle w:val="8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2.采购代理机构信息</w:t>
      </w:r>
      <w:bookmarkEnd w:id="29"/>
      <w:bookmarkEnd w:id="30"/>
      <w:r>
        <w:rPr>
          <w:rFonts w:hint="eastAsia" w:ascii="仿宋" w:hAnsi="仿宋" w:eastAsia="仿宋"/>
          <w:sz w:val="28"/>
          <w:szCs w:val="28"/>
        </w:rPr>
        <w:t>（如有）</w:t>
      </w:r>
    </w:p>
    <w:p>
      <w:pPr>
        <w:pStyle w:val="8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名称：华采招标集团有限公司</w:t>
      </w:r>
    </w:p>
    <w:p>
      <w:pPr>
        <w:pStyle w:val="8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地址：北京市丰台区广安路9号国投财富广场6号楼1601室</w:t>
      </w:r>
    </w:p>
    <w:p>
      <w:pPr>
        <w:pStyle w:val="8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31" w:name="_Toc28359087"/>
      <w:bookmarkStart w:id="32" w:name="_Toc28359010"/>
      <w:r>
        <w:rPr>
          <w:rFonts w:hint="eastAsia" w:ascii="仿宋" w:hAnsi="仿宋" w:eastAsia="仿宋"/>
          <w:sz w:val="28"/>
          <w:szCs w:val="28"/>
        </w:rPr>
        <w:t>010-63509799-8037、8079</w:t>
      </w:r>
    </w:p>
    <w:p>
      <w:pPr>
        <w:pStyle w:val="8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3.项目联系方式</w:t>
      </w:r>
      <w:bookmarkEnd w:id="31"/>
      <w:bookmarkEnd w:id="32"/>
    </w:p>
    <w:p>
      <w:pPr>
        <w:pStyle w:val="8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项目联系人：崔丽洁、赵娜、金珊、刘金秀</w:t>
      </w:r>
    </w:p>
    <w:p>
      <w:pPr>
        <w:pStyle w:val="8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电　话：010-63509799-8037、8079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2F41E"/>
    <w:multiLevelType w:val="singleLevel"/>
    <w:tmpl w:val="2FA2F41E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yMWIzNDA3MzkyNGZjN2MzYjVkNjBlNjc0NTY3N2EifQ=="/>
  </w:docVars>
  <w:rsids>
    <w:rsidRoot w:val="5DC402D4"/>
    <w:rsid w:val="00032229"/>
    <w:rsid w:val="00114C42"/>
    <w:rsid w:val="00131A17"/>
    <w:rsid w:val="001401DB"/>
    <w:rsid w:val="00163A06"/>
    <w:rsid w:val="00167733"/>
    <w:rsid w:val="001805A0"/>
    <w:rsid w:val="001A37F4"/>
    <w:rsid w:val="002300A8"/>
    <w:rsid w:val="00230358"/>
    <w:rsid w:val="00260C68"/>
    <w:rsid w:val="00393F2E"/>
    <w:rsid w:val="003E7175"/>
    <w:rsid w:val="00417D95"/>
    <w:rsid w:val="00422502"/>
    <w:rsid w:val="004711A3"/>
    <w:rsid w:val="00500001"/>
    <w:rsid w:val="00564A6C"/>
    <w:rsid w:val="00587898"/>
    <w:rsid w:val="0059701B"/>
    <w:rsid w:val="005D1DDF"/>
    <w:rsid w:val="005E1E78"/>
    <w:rsid w:val="006921D1"/>
    <w:rsid w:val="00751B6B"/>
    <w:rsid w:val="00795112"/>
    <w:rsid w:val="007D737B"/>
    <w:rsid w:val="007E1CF0"/>
    <w:rsid w:val="00817C21"/>
    <w:rsid w:val="00850CF0"/>
    <w:rsid w:val="0087408E"/>
    <w:rsid w:val="00884895"/>
    <w:rsid w:val="008E0647"/>
    <w:rsid w:val="008E5CC6"/>
    <w:rsid w:val="009A0481"/>
    <w:rsid w:val="009B072B"/>
    <w:rsid w:val="009B2BDC"/>
    <w:rsid w:val="009C0AEE"/>
    <w:rsid w:val="00A125F7"/>
    <w:rsid w:val="00A931E7"/>
    <w:rsid w:val="00B26515"/>
    <w:rsid w:val="00B326CC"/>
    <w:rsid w:val="00B43D2D"/>
    <w:rsid w:val="00B4691E"/>
    <w:rsid w:val="00BC1407"/>
    <w:rsid w:val="00C45A64"/>
    <w:rsid w:val="00C75BFE"/>
    <w:rsid w:val="00C923B5"/>
    <w:rsid w:val="00CD40C1"/>
    <w:rsid w:val="00DF7BD9"/>
    <w:rsid w:val="00E21E7D"/>
    <w:rsid w:val="00E5081A"/>
    <w:rsid w:val="00EF40F0"/>
    <w:rsid w:val="00F30DA4"/>
    <w:rsid w:val="00FC4F75"/>
    <w:rsid w:val="00FF2158"/>
    <w:rsid w:val="00FF7DD7"/>
    <w:rsid w:val="04494859"/>
    <w:rsid w:val="0AA90E2E"/>
    <w:rsid w:val="0E475E23"/>
    <w:rsid w:val="0F2C1251"/>
    <w:rsid w:val="0F584C32"/>
    <w:rsid w:val="13580428"/>
    <w:rsid w:val="19EA0B4A"/>
    <w:rsid w:val="1EAA2CB1"/>
    <w:rsid w:val="218450B8"/>
    <w:rsid w:val="24D579B0"/>
    <w:rsid w:val="26C47C65"/>
    <w:rsid w:val="26D617BA"/>
    <w:rsid w:val="2E45172B"/>
    <w:rsid w:val="2ECA37A6"/>
    <w:rsid w:val="2F5B018F"/>
    <w:rsid w:val="304366A1"/>
    <w:rsid w:val="30641756"/>
    <w:rsid w:val="32CA2739"/>
    <w:rsid w:val="349C7E35"/>
    <w:rsid w:val="36524217"/>
    <w:rsid w:val="39F0132A"/>
    <w:rsid w:val="3AAF4522"/>
    <w:rsid w:val="3F93772B"/>
    <w:rsid w:val="414034D3"/>
    <w:rsid w:val="43572864"/>
    <w:rsid w:val="456F5F18"/>
    <w:rsid w:val="465B67AD"/>
    <w:rsid w:val="4FBE7679"/>
    <w:rsid w:val="50843389"/>
    <w:rsid w:val="522A115A"/>
    <w:rsid w:val="557006F6"/>
    <w:rsid w:val="562B3682"/>
    <w:rsid w:val="5D0D4C30"/>
    <w:rsid w:val="5DC402D4"/>
    <w:rsid w:val="5E227B20"/>
    <w:rsid w:val="5F793B22"/>
    <w:rsid w:val="61672CB1"/>
    <w:rsid w:val="63061BB5"/>
    <w:rsid w:val="6AC970D5"/>
    <w:rsid w:val="6C9C6A36"/>
    <w:rsid w:val="7048630A"/>
    <w:rsid w:val="76C367EC"/>
    <w:rsid w:val="7D1E4C57"/>
    <w:rsid w:val="7ED4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580"/>
      </w:tabs>
      <w:spacing w:after="120" w:line="240" w:lineRule="auto"/>
      <w:ind w:left="420" w:leftChars="200" w:firstLine="420" w:firstLineChars="200"/>
    </w:pPr>
    <w:rPr>
      <w:sz w:val="21"/>
      <w:szCs w:val="20"/>
    </w:rPr>
  </w:style>
  <w:style w:type="paragraph" w:styleId="3">
    <w:name w:val="Body Text Indent"/>
    <w:basedOn w:val="1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7">
    <w:name w:val="Body Text"/>
    <w:basedOn w:val="1"/>
    <w:link w:val="17"/>
    <w:unhideWhenUsed/>
    <w:qFormat/>
    <w:uiPriority w:val="99"/>
    <w:pPr>
      <w:spacing w:after="120"/>
    </w:pPr>
    <w:rPr>
      <w:rFonts w:ascii="Calibri" w:hAnsi="Calibri"/>
      <w:szCs w:val="24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3">
    <w:name w:val="Hyperlink"/>
    <w:qFormat/>
    <w:uiPriority w:val="99"/>
    <w:rPr>
      <w:rFonts w:cs="Times New Roman"/>
      <w:color w:val="0000FF"/>
      <w:u w:val="single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Char"/>
    <w:basedOn w:val="12"/>
    <w:link w:val="10"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2"/>
    <w:link w:val="9"/>
    <w:qFormat/>
    <w:uiPriority w:val="0"/>
    <w:rPr>
      <w:kern w:val="2"/>
      <w:sz w:val="18"/>
      <w:szCs w:val="18"/>
    </w:rPr>
  </w:style>
  <w:style w:type="character" w:customStyle="1" w:styleId="17">
    <w:name w:val="正文文本 Char"/>
    <w:basedOn w:val="12"/>
    <w:link w:val="7"/>
    <w:qFormat/>
    <w:uiPriority w:val="99"/>
    <w:rPr>
      <w:rFonts w:ascii="Calibri" w:hAnsi="Calibr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6</Pages>
  <Words>2041</Words>
  <Characters>2235</Characters>
  <Lines>2</Lines>
  <Paragraphs>2</Paragraphs>
  <TotalTime>8</TotalTime>
  <ScaleCrop>false</ScaleCrop>
  <LinksUpToDate>false</LinksUpToDate>
  <CharactersWithSpaces>2240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2020-04-17T07:43:00Z</dcterms:created>
  <dc:creator>Administrator</dc:creator>
  <cp:lastModifiedBy>白敏娜</cp:lastModifiedBy>
  <dcterms:modified xsi:type="dcterms:W3CDTF">2023-05-24T08:32:30Z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C1442564CFD74D28BA92FC365BE4A8B1</vt:lpwstr>
  </property>
</Properties>
</file>