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151" w:firstLineChars="50"/>
        <w:rPr>
          <w:rFonts w:ascii="宋体" w:hAnsi="宋体"/>
          <w:b/>
          <w:sz w:val="30"/>
          <w:szCs w:val="30"/>
        </w:rPr>
      </w:pPr>
    </w:p>
    <w:p>
      <w:pPr>
        <w:spacing w:line="600" w:lineRule="auto"/>
        <w:rPr>
          <w:rFonts w:ascii="宋体" w:hAnsi="宋体"/>
          <w:b/>
          <w:sz w:val="32"/>
          <w:szCs w:val="32"/>
        </w:rPr>
      </w:pPr>
      <w:r>
        <w:rPr>
          <w:rFonts w:hint="eastAsia" w:ascii="宋体" w:hAnsi="宋体"/>
          <w:b/>
          <w:sz w:val="30"/>
          <w:szCs w:val="30"/>
        </w:rPr>
        <w:t>项目编号：</w:t>
      </w:r>
      <w:r>
        <w:rPr>
          <w:rFonts w:ascii="宋体" w:hAnsi="宋体"/>
          <w:b/>
          <w:sz w:val="30"/>
          <w:szCs w:val="30"/>
        </w:rPr>
        <w:t xml:space="preserve"> GC20220001001</w:t>
      </w:r>
    </w:p>
    <w:p>
      <w:pPr>
        <w:spacing w:line="600" w:lineRule="auto"/>
        <w:rPr>
          <w:rFonts w:ascii="宋体" w:hAnsi="宋体"/>
          <w:b/>
          <w:sz w:val="52"/>
          <w:szCs w:val="52"/>
        </w:rPr>
      </w:pPr>
      <w:r>
        <w:rPr>
          <w:rFonts w:hint="eastAsia" w:ascii="宋体" w:hAnsi="宋体"/>
          <w:b/>
          <w:sz w:val="32"/>
          <w:szCs w:val="32"/>
        </w:rPr>
        <w:t>项目</w:t>
      </w:r>
      <w:r>
        <w:rPr>
          <w:rFonts w:ascii="宋体" w:hAnsi="宋体"/>
          <w:b/>
          <w:sz w:val="32"/>
          <w:szCs w:val="32"/>
        </w:rPr>
        <w:t>名称：</w:t>
      </w:r>
      <w:r>
        <w:rPr>
          <w:rFonts w:hint="eastAsia" w:ascii="宋体" w:hAnsi="宋体"/>
          <w:b/>
          <w:sz w:val="32"/>
          <w:szCs w:val="32"/>
        </w:rPr>
        <w:t>电子科技大学实验动物中心设计施工一体化建设项目</w:t>
      </w:r>
    </w:p>
    <w:p>
      <w:pPr>
        <w:spacing w:line="360" w:lineRule="auto"/>
        <w:jc w:val="center"/>
        <w:rPr>
          <w:rFonts w:ascii="宋体" w:hAnsi="宋体"/>
          <w:b/>
          <w:sz w:val="52"/>
          <w:szCs w:val="52"/>
        </w:rPr>
      </w:pPr>
      <w:r>
        <w:rPr>
          <w:rFonts w:hint="eastAsia" w:ascii="宋体" w:hAnsi="宋体"/>
          <w:b/>
          <w:sz w:val="52"/>
          <w:szCs w:val="52"/>
        </w:rPr>
        <w:t>竞</w:t>
      </w:r>
    </w:p>
    <w:p>
      <w:pPr>
        <w:spacing w:line="360" w:lineRule="auto"/>
        <w:jc w:val="center"/>
        <w:rPr>
          <w:rFonts w:ascii="宋体" w:hAnsi="宋体"/>
          <w:b/>
          <w:sz w:val="52"/>
          <w:szCs w:val="52"/>
        </w:rPr>
      </w:pPr>
      <w:r>
        <w:rPr>
          <w:rFonts w:hint="eastAsia" w:ascii="宋体" w:hAnsi="宋体"/>
          <w:b/>
          <w:sz w:val="52"/>
          <w:szCs w:val="52"/>
        </w:rPr>
        <w:t>争</w:t>
      </w:r>
    </w:p>
    <w:p>
      <w:pPr>
        <w:spacing w:line="360" w:lineRule="auto"/>
        <w:jc w:val="center"/>
        <w:rPr>
          <w:rFonts w:ascii="宋体" w:hAnsi="宋体"/>
          <w:b/>
          <w:sz w:val="52"/>
          <w:szCs w:val="52"/>
        </w:rPr>
      </w:pPr>
      <w:r>
        <w:rPr>
          <w:rFonts w:hint="eastAsia" w:ascii="宋体" w:hAnsi="宋体"/>
          <w:b/>
          <w:sz w:val="52"/>
          <w:szCs w:val="52"/>
        </w:rPr>
        <w:t>性</w:t>
      </w:r>
    </w:p>
    <w:p>
      <w:pPr>
        <w:spacing w:line="360" w:lineRule="auto"/>
        <w:jc w:val="center"/>
        <w:rPr>
          <w:rFonts w:ascii="宋体" w:hAnsi="宋体"/>
          <w:b/>
          <w:sz w:val="52"/>
          <w:szCs w:val="52"/>
        </w:rPr>
      </w:pPr>
      <w:r>
        <w:rPr>
          <w:rFonts w:hint="eastAsia" w:ascii="宋体" w:hAnsi="宋体"/>
          <w:b/>
          <w:sz w:val="52"/>
          <w:szCs w:val="52"/>
        </w:rPr>
        <w:t>磋</w:t>
      </w:r>
    </w:p>
    <w:p>
      <w:pPr>
        <w:spacing w:line="360" w:lineRule="auto"/>
        <w:jc w:val="center"/>
        <w:rPr>
          <w:rFonts w:ascii="宋体" w:hAnsi="宋体"/>
          <w:b/>
          <w:sz w:val="52"/>
          <w:szCs w:val="52"/>
        </w:rPr>
      </w:pPr>
      <w:r>
        <w:rPr>
          <w:rFonts w:hint="eastAsia" w:ascii="宋体" w:hAnsi="宋体"/>
          <w:b/>
          <w:sz w:val="52"/>
          <w:szCs w:val="52"/>
        </w:rPr>
        <w:t>商</w:t>
      </w:r>
    </w:p>
    <w:p>
      <w:pPr>
        <w:spacing w:line="360" w:lineRule="auto"/>
        <w:jc w:val="center"/>
        <w:rPr>
          <w:rFonts w:ascii="宋体" w:hAnsi="宋体"/>
          <w:b/>
          <w:sz w:val="52"/>
          <w:szCs w:val="52"/>
        </w:rPr>
      </w:pPr>
      <w:r>
        <w:rPr>
          <w:rFonts w:hint="eastAsia" w:ascii="宋体" w:hAnsi="宋体"/>
          <w:b/>
          <w:sz w:val="52"/>
          <w:szCs w:val="52"/>
        </w:rPr>
        <w:t>文</w:t>
      </w:r>
    </w:p>
    <w:p>
      <w:pPr>
        <w:spacing w:line="360" w:lineRule="auto"/>
        <w:jc w:val="center"/>
        <w:rPr>
          <w:rFonts w:ascii="宋体" w:hAnsi="宋体"/>
          <w:b/>
          <w:sz w:val="52"/>
          <w:szCs w:val="52"/>
        </w:rPr>
      </w:pPr>
      <w:r>
        <w:rPr>
          <w:rFonts w:hint="eastAsia" w:ascii="宋体" w:hAnsi="宋体"/>
          <w:b/>
          <w:sz w:val="52"/>
          <w:szCs w:val="52"/>
        </w:rPr>
        <w:t>件</w:t>
      </w:r>
    </w:p>
    <w:p>
      <w:pPr>
        <w:spacing w:line="360" w:lineRule="auto"/>
        <w:jc w:val="center"/>
        <w:rPr>
          <w:rFonts w:ascii="宋体" w:hAnsi="宋体"/>
          <w:b/>
          <w:sz w:val="52"/>
          <w:szCs w:val="52"/>
        </w:rPr>
      </w:pPr>
    </w:p>
    <w:p>
      <w:pPr>
        <w:spacing w:line="360" w:lineRule="auto"/>
        <w:ind w:firstLine="2731" w:firstLineChars="850"/>
        <w:rPr>
          <w:rFonts w:ascii="宋体" w:hAnsi="宋体"/>
          <w:b/>
          <w:sz w:val="32"/>
          <w:szCs w:val="32"/>
        </w:rPr>
      </w:pPr>
      <w:r>
        <w:rPr>
          <w:rFonts w:hint="eastAsia" w:ascii="宋体" w:hAnsi="宋体"/>
          <w:b/>
          <w:sz w:val="32"/>
          <w:szCs w:val="32"/>
        </w:rPr>
        <w:t>采   购   人：电子科技大学</w:t>
      </w:r>
    </w:p>
    <w:p>
      <w:pPr>
        <w:spacing w:line="360" w:lineRule="auto"/>
        <w:jc w:val="center"/>
        <w:rPr>
          <w:rFonts w:ascii="宋体" w:hAnsi="宋体"/>
          <w:b/>
          <w:sz w:val="32"/>
          <w:szCs w:val="32"/>
        </w:rPr>
      </w:pPr>
    </w:p>
    <w:p>
      <w:pPr>
        <w:spacing w:line="360" w:lineRule="auto"/>
        <w:jc w:val="center"/>
        <w:rPr>
          <w:rFonts w:ascii="宋体" w:hAnsi="宋体"/>
          <w:b/>
          <w:sz w:val="32"/>
          <w:szCs w:val="32"/>
        </w:rPr>
      </w:pPr>
      <w:r>
        <w:rPr>
          <w:rFonts w:hint="eastAsia" w:ascii="宋体" w:hAnsi="宋体"/>
          <w:b/>
          <w:sz w:val="32"/>
          <w:szCs w:val="32"/>
        </w:rPr>
        <w:t>采购代理机构：中恒德佳工程咨询有限公司</w:t>
      </w:r>
    </w:p>
    <w:p>
      <w:pPr>
        <w:spacing w:line="360" w:lineRule="auto"/>
        <w:jc w:val="center"/>
        <w:rPr>
          <w:rFonts w:ascii="宋体" w:hAnsi="宋体"/>
          <w:b/>
          <w:bCs/>
          <w:sz w:val="32"/>
          <w:szCs w:val="32"/>
          <w:lang w:val="zh-CN"/>
        </w:rPr>
      </w:pPr>
    </w:p>
    <w:p>
      <w:pPr>
        <w:spacing w:line="360" w:lineRule="auto"/>
        <w:jc w:val="center"/>
        <w:rPr>
          <w:rFonts w:ascii="宋体" w:hAnsi="宋体"/>
          <w:b/>
          <w:bCs/>
          <w:sz w:val="32"/>
          <w:szCs w:val="32"/>
          <w:lang w:val="zh-CN"/>
        </w:rPr>
      </w:pPr>
      <w:r>
        <w:rPr>
          <w:rFonts w:ascii="宋体" w:hAnsi="宋体"/>
          <w:b/>
          <w:bCs/>
          <w:sz w:val="32"/>
          <w:szCs w:val="32"/>
          <w:lang w:val="zh-CN"/>
        </w:rPr>
        <w:t>2022年5月</w:t>
      </w:r>
    </w:p>
    <w:p>
      <w:pPr>
        <w:pStyle w:val="3"/>
        <w:keepNext w:val="0"/>
        <w:keepLines w:val="0"/>
        <w:spacing w:line="360" w:lineRule="auto"/>
        <w:jc w:val="center"/>
        <w:rPr>
          <w:rFonts w:ascii="宋体" w:hAnsi="宋体" w:eastAsia="宋体"/>
        </w:rPr>
      </w:pPr>
      <w:r>
        <w:rPr>
          <w:rFonts w:hint="eastAsia" w:ascii="宋体" w:hAnsi="宋体" w:eastAsia="宋体"/>
          <w:bCs w:val="0"/>
          <w:sz w:val="36"/>
        </w:rPr>
        <w:t>目    录</w:t>
      </w:r>
    </w:p>
    <w:p>
      <w:pPr>
        <w:pStyle w:val="28"/>
        <w:tabs>
          <w:tab w:val="right" w:leader="dot" w:pos="8302"/>
        </w:tabs>
        <w:rPr>
          <w:rFonts w:ascii="宋体" w:hAnsi="宋体" w:cstheme="minorBidi"/>
          <w:sz w:val="21"/>
          <w:szCs w:val="22"/>
        </w:rPr>
      </w:pPr>
      <w:r>
        <w:rPr>
          <w:rFonts w:ascii="宋体" w:hAnsi="宋体"/>
        </w:rPr>
        <w:fldChar w:fldCharType="begin"/>
      </w:r>
      <w:r>
        <w:rPr>
          <w:rFonts w:ascii="宋体" w:hAnsi="宋体"/>
        </w:rPr>
        <w:instrText xml:space="preserve"> </w:instrText>
      </w:r>
      <w:r>
        <w:rPr>
          <w:rFonts w:hint="eastAsia" w:ascii="宋体" w:hAnsi="宋体"/>
        </w:rPr>
        <w:instrText xml:space="preserve">TOC \h \z \t "标题,1"</w:instrText>
      </w:r>
      <w:r>
        <w:rPr>
          <w:rFonts w:ascii="宋体" w:hAnsi="宋体"/>
        </w:rPr>
        <w:instrText xml:space="preserve"> </w:instrText>
      </w:r>
      <w:r>
        <w:rPr>
          <w:rFonts w:ascii="宋体" w:hAnsi="宋体"/>
        </w:rPr>
        <w:fldChar w:fldCharType="separate"/>
      </w:r>
      <w:r>
        <w:fldChar w:fldCharType="begin"/>
      </w:r>
      <w:r>
        <w:instrText xml:space="preserve"> HYPERLINK \l "_Toc511289480" </w:instrText>
      </w:r>
      <w:r>
        <w:fldChar w:fldCharType="separate"/>
      </w:r>
      <w:r>
        <w:rPr>
          <w:rStyle w:val="45"/>
          <w:rFonts w:hint="eastAsia" w:ascii="宋体" w:hAnsi="宋体"/>
          <w:color w:val="auto"/>
        </w:rPr>
        <w:t>第一章</w:t>
      </w:r>
      <w:r>
        <w:rPr>
          <w:rStyle w:val="45"/>
          <w:rFonts w:ascii="宋体" w:hAnsi="宋体"/>
          <w:color w:val="auto"/>
        </w:rPr>
        <w:t xml:space="preserve">  </w:t>
      </w:r>
      <w:r>
        <w:rPr>
          <w:rStyle w:val="45"/>
          <w:rFonts w:hint="eastAsia" w:ascii="宋体" w:hAnsi="宋体"/>
          <w:color w:val="auto"/>
        </w:rPr>
        <w:t>磋商邀请</w:t>
      </w:r>
      <w:r>
        <w:rPr>
          <w:rFonts w:ascii="宋体" w:hAnsi="宋体"/>
        </w:rPr>
        <w:tab/>
      </w:r>
      <w:r>
        <w:rPr>
          <w:rFonts w:ascii="宋体" w:hAnsi="宋体"/>
        </w:rPr>
        <w:fldChar w:fldCharType="begin"/>
      </w:r>
      <w:r>
        <w:rPr>
          <w:rFonts w:ascii="宋体" w:hAnsi="宋体"/>
        </w:rPr>
        <w:instrText xml:space="preserve"> PAGEREF _Toc511289480 \h </w:instrText>
      </w:r>
      <w:r>
        <w:rPr>
          <w:rFonts w:ascii="宋体" w:hAnsi="宋体"/>
        </w:rPr>
        <w:fldChar w:fldCharType="separate"/>
      </w:r>
      <w:r>
        <w:rPr>
          <w:rFonts w:ascii="宋体" w:hAnsi="宋体"/>
        </w:rPr>
        <w:t>3</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"_Toc511289481" </w:instrText>
      </w:r>
      <w:r>
        <w:fldChar w:fldCharType="separate"/>
      </w:r>
      <w:r>
        <w:rPr>
          <w:rStyle w:val="45"/>
          <w:rFonts w:hint="eastAsia" w:ascii="宋体" w:hAnsi="宋体"/>
          <w:color w:val="auto"/>
        </w:rPr>
        <w:t>第二章</w:t>
      </w:r>
      <w:r>
        <w:rPr>
          <w:rStyle w:val="45"/>
          <w:rFonts w:ascii="宋体" w:hAnsi="宋体"/>
          <w:color w:val="auto"/>
        </w:rPr>
        <w:t xml:space="preserve">  </w:t>
      </w:r>
      <w:r>
        <w:rPr>
          <w:rStyle w:val="45"/>
          <w:rFonts w:hint="eastAsia" w:ascii="宋体" w:hAnsi="宋体"/>
          <w:color w:val="auto"/>
        </w:rPr>
        <w:t>磋商须知</w:t>
      </w:r>
      <w:r>
        <w:rPr>
          <w:rFonts w:ascii="宋体" w:hAnsi="宋体"/>
        </w:rPr>
        <w:tab/>
      </w:r>
      <w:r>
        <w:rPr>
          <w:rFonts w:ascii="宋体" w:hAnsi="宋体"/>
        </w:rPr>
        <w:fldChar w:fldCharType="begin"/>
      </w:r>
      <w:r>
        <w:rPr>
          <w:rFonts w:ascii="宋体" w:hAnsi="宋体"/>
        </w:rPr>
        <w:instrText xml:space="preserve"> PAGEREF _Toc511289481 \h </w:instrText>
      </w:r>
      <w:r>
        <w:rPr>
          <w:rFonts w:ascii="宋体" w:hAnsi="宋体"/>
        </w:rPr>
        <w:fldChar w:fldCharType="separate"/>
      </w:r>
      <w:r>
        <w:rPr>
          <w:rFonts w:ascii="宋体" w:hAnsi="宋体"/>
        </w:rPr>
        <w:t>6</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"_Toc511289482" </w:instrText>
      </w:r>
      <w:r>
        <w:fldChar w:fldCharType="separate"/>
      </w:r>
      <w:r>
        <w:rPr>
          <w:rStyle w:val="45"/>
          <w:rFonts w:hint="eastAsia" w:ascii="宋体" w:hAnsi="宋体"/>
          <w:color w:val="auto"/>
        </w:rPr>
        <w:t>第三章</w:t>
      </w:r>
      <w:r>
        <w:rPr>
          <w:rStyle w:val="45"/>
          <w:rFonts w:ascii="宋体" w:hAnsi="宋体"/>
          <w:color w:val="auto"/>
        </w:rPr>
        <w:t xml:space="preserve">  </w:t>
      </w:r>
      <w:r>
        <w:rPr>
          <w:rStyle w:val="45"/>
          <w:rFonts w:hint="eastAsia" w:ascii="宋体" w:hAnsi="宋体"/>
          <w:color w:val="auto"/>
        </w:rPr>
        <w:t>供应商的资格、资质性及其他类似效力要求</w:t>
      </w:r>
      <w:r>
        <w:rPr>
          <w:rFonts w:ascii="宋体" w:hAnsi="宋体"/>
        </w:rPr>
        <w:tab/>
      </w:r>
      <w:r>
        <w:rPr>
          <w:rFonts w:ascii="宋体" w:hAnsi="宋体"/>
        </w:rPr>
        <w:fldChar w:fldCharType="begin"/>
      </w:r>
      <w:r>
        <w:rPr>
          <w:rFonts w:ascii="宋体" w:hAnsi="宋体"/>
        </w:rPr>
        <w:instrText xml:space="preserve"> PAGEREF _Toc511289482 \h </w:instrText>
      </w:r>
      <w:r>
        <w:rPr>
          <w:rFonts w:ascii="宋体" w:hAnsi="宋体"/>
        </w:rPr>
        <w:fldChar w:fldCharType="separate"/>
      </w:r>
      <w:r>
        <w:rPr>
          <w:rFonts w:ascii="宋体" w:hAnsi="宋体"/>
        </w:rPr>
        <w:t>23</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"_Toc511289483" </w:instrText>
      </w:r>
      <w:r>
        <w:fldChar w:fldCharType="separate"/>
      </w:r>
      <w:r>
        <w:rPr>
          <w:rStyle w:val="45"/>
          <w:rFonts w:hint="eastAsia" w:ascii="宋体" w:hAnsi="宋体"/>
          <w:color w:val="auto"/>
        </w:rPr>
        <w:t>第四章</w:t>
      </w:r>
      <w:r>
        <w:rPr>
          <w:rStyle w:val="45"/>
          <w:rFonts w:ascii="宋体" w:hAnsi="宋体"/>
          <w:color w:val="auto"/>
        </w:rPr>
        <w:t xml:space="preserve">  </w:t>
      </w:r>
      <w:r>
        <w:rPr>
          <w:rStyle w:val="45"/>
          <w:rFonts w:hint="eastAsia" w:ascii="宋体" w:hAnsi="宋体"/>
          <w:color w:val="auto"/>
        </w:rPr>
        <w:t>供应商应当提供的资格资质性及其他类似效力要求的相关证明材料</w:t>
      </w:r>
      <w:r>
        <w:rPr>
          <w:rFonts w:ascii="宋体" w:hAnsi="宋体"/>
        </w:rPr>
        <w:tab/>
      </w:r>
      <w:r>
        <w:rPr>
          <w:rFonts w:ascii="宋体" w:hAnsi="宋体"/>
        </w:rPr>
        <w:fldChar w:fldCharType="begin"/>
      </w:r>
      <w:r>
        <w:rPr>
          <w:rFonts w:ascii="宋体" w:hAnsi="宋体"/>
        </w:rPr>
        <w:instrText xml:space="preserve"> PAGEREF _Toc511289483 \h </w:instrText>
      </w:r>
      <w:r>
        <w:rPr>
          <w:rFonts w:ascii="宋体" w:hAnsi="宋体"/>
        </w:rPr>
        <w:fldChar w:fldCharType="separate"/>
      </w:r>
      <w:r>
        <w:rPr>
          <w:rFonts w:ascii="宋体" w:hAnsi="宋体"/>
        </w:rPr>
        <w:t>25</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"_Toc511289484" </w:instrText>
      </w:r>
      <w:r>
        <w:fldChar w:fldCharType="separate"/>
      </w:r>
      <w:r>
        <w:rPr>
          <w:rStyle w:val="45"/>
          <w:rFonts w:hint="eastAsia" w:ascii="宋体" w:hAnsi="宋体"/>
          <w:color w:val="auto"/>
        </w:rPr>
        <w:t>第五章</w:t>
      </w:r>
      <w:r>
        <w:rPr>
          <w:rStyle w:val="45"/>
          <w:rFonts w:ascii="宋体" w:hAnsi="宋体"/>
          <w:color w:val="auto"/>
        </w:rPr>
        <w:t xml:space="preserve">  </w:t>
      </w:r>
      <w:r>
        <w:rPr>
          <w:rStyle w:val="45"/>
          <w:rFonts w:hint="eastAsia" w:ascii="宋体" w:hAnsi="宋体"/>
          <w:color w:val="auto"/>
        </w:rPr>
        <w:t>采购项目技术、服务、政府采购合同内容条款及其他商务要求</w:t>
      </w:r>
      <w:r>
        <w:rPr>
          <w:rFonts w:ascii="宋体" w:hAnsi="宋体"/>
        </w:rPr>
        <w:tab/>
      </w:r>
      <w:r>
        <w:rPr>
          <w:rFonts w:ascii="宋体" w:hAnsi="宋体"/>
        </w:rPr>
        <w:fldChar w:fldCharType="begin"/>
      </w:r>
      <w:r>
        <w:rPr>
          <w:rFonts w:ascii="宋体" w:hAnsi="宋体"/>
        </w:rPr>
        <w:instrText xml:space="preserve"> PAGEREF _Toc511289484 \h </w:instrText>
      </w:r>
      <w:r>
        <w:rPr>
          <w:rFonts w:ascii="宋体" w:hAnsi="宋体"/>
        </w:rPr>
        <w:fldChar w:fldCharType="separate"/>
      </w:r>
      <w:r>
        <w:rPr>
          <w:rFonts w:ascii="宋体" w:hAnsi="宋体"/>
        </w:rPr>
        <w:t>27</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"_Toc511289485" </w:instrText>
      </w:r>
      <w:r>
        <w:fldChar w:fldCharType="separate"/>
      </w:r>
      <w:r>
        <w:rPr>
          <w:rStyle w:val="45"/>
          <w:rFonts w:hint="eastAsia" w:ascii="宋体" w:hAnsi="宋体"/>
          <w:color w:val="auto"/>
        </w:rPr>
        <w:t>第六章</w:t>
      </w:r>
      <w:r>
        <w:rPr>
          <w:rStyle w:val="45"/>
          <w:rFonts w:ascii="宋体" w:hAnsi="宋体"/>
          <w:color w:val="auto"/>
        </w:rPr>
        <w:t xml:space="preserve">  </w:t>
      </w:r>
      <w:r>
        <w:rPr>
          <w:rStyle w:val="45"/>
          <w:rFonts w:hint="eastAsia" w:ascii="宋体" w:hAnsi="宋体"/>
          <w:color w:val="auto"/>
        </w:rPr>
        <w:t>磋商内容、磋商过程中可实质性变动的内容</w:t>
      </w:r>
      <w:r>
        <w:rPr>
          <w:rFonts w:ascii="宋体" w:hAnsi="宋体"/>
        </w:rPr>
        <w:tab/>
      </w:r>
      <w:r>
        <w:rPr>
          <w:rFonts w:ascii="宋体" w:hAnsi="宋体"/>
        </w:rPr>
        <w:fldChar w:fldCharType="begin"/>
      </w:r>
      <w:r>
        <w:rPr>
          <w:rFonts w:ascii="宋体" w:hAnsi="宋体"/>
        </w:rPr>
        <w:instrText xml:space="preserve"> PAGEREF _Toc511289485 \h </w:instrText>
      </w:r>
      <w:r>
        <w:rPr>
          <w:rFonts w:ascii="宋体" w:hAnsi="宋体"/>
        </w:rPr>
        <w:fldChar w:fldCharType="separate"/>
      </w:r>
      <w:r>
        <w:rPr>
          <w:rFonts w:ascii="宋体" w:hAnsi="宋体"/>
        </w:rPr>
        <w:t>30</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"_Toc511289486" </w:instrText>
      </w:r>
      <w:r>
        <w:fldChar w:fldCharType="separate"/>
      </w:r>
      <w:r>
        <w:rPr>
          <w:rStyle w:val="45"/>
          <w:rFonts w:hint="eastAsia" w:ascii="宋体" w:hAnsi="宋体"/>
          <w:color w:val="auto"/>
        </w:rPr>
        <w:t>第七章</w:t>
      </w:r>
      <w:r>
        <w:rPr>
          <w:rStyle w:val="45"/>
          <w:rFonts w:ascii="宋体" w:hAnsi="宋体"/>
          <w:color w:val="auto"/>
        </w:rPr>
        <w:t xml:space="preserve">  </w:t>
      </w:r>
      <w:r>
        <w:rPr>
          <w:rStyle w:val="45"/>
          <w:rFonts w:hint="eastAsia" w:ascii="宋体" w:hAnsi="宋体"/>
          <w:color w:val="auto"/>
        </w:rPr>
        <w:t>响应文件格式</w:t>
      </w:r>
      <w:r>
        <w:rPr>
          <w:rFonts w:ascii="宋体" w:hAnsi="宋体"/>
        </w:rPr>
        <w:tab/>
      </w:r>
      <w:r>
        <w:rPr>
          <w:rFonts w:ascii="宋体" w:hAnsi="宋体"/>
        </w:rPr>
        <w:fldChar w:fldCharType="begin"/>
      </w:r>
      <w:r>
        <w:rPr>
          <w:rFonts w:ascii="宋体" w:hAnsi="宋体"/>
        </w:rPr>
        <w:instrText xml:space="preserve"> PAGEREF _Toc511289486 \h </w:instrText>
      </w:r>
      <w:r>
        <w:rPr>
          <w:rFonts w:ascii="宋体" w:hAnsi="宋体"/>
        </w:rPr>
        <w:fldChar w:fldCharType="separate"/>
      </w:r>
      <w:r>
        <w:rPr>
          <w:rFonts w:ascii="宋体" w:hAnsi="宋体"/>
        </w:rPr>
        <w:t>31</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"_Toc511289487" </w:instrText>
      </w:r>
      <w:r>
        <w:fldChar w:fldCharType="separate"/>
      </w:r>
      <w:r>
        <w:rPr>
          <w:rStyle w:val="45"/>
          <w:rFonts w:hint="eastAsia" w:ascii="宋体" w:hAnsi="宋体"/>
          <w:color w:val="auto"/>
        </w:rPr>
        <w:t>第八章</w:t>
      </w:r>
      <w:r>
        <w:rPr>
          <w:rStyle w:val="45"/>
          <w:rFonts w:ascii="宋体" w:hAnsi="宋体"/>
          <w:color w:val="auto"/>
        </w:rPr>
        <w:t xml:space="preserve">  </w:t>
      </w:r>
      <w:r>
        <w:rPr>
          <w:rStyle w:val="45"/>
          <w:rFonts w:hint="eastAsia" w:ascii="宋体" w:hAnsi="宋体"/>
          <w:color w:val="auto"/>
        </w:rPr>
        <w:t>评审方法</w:t>
      </w:r>
      <w:r>
        <w:rPr>
          <w:rFonts w:ascii="宋体" w:hAnsi="宋体"/>
        </w:rPr>
        <w:tab/>
      </w:r>
      <w:r>
        <w:rPr>
          <w:rFonts w:ascii="宋体" w:hAnsi="宋体"/>
        </w:rPr>
        <w:fldChar w:fldCharType="begin"/>
      </w:r>
      <w:r>
        <w:rPr>
          <w:rFonts w:ascii="宋体" w:hAnsi="宋体"/>
        </w:rPr>
        <w:instrText xml:space="preserve"> PAGEREF _Toc511289487 \h </w:instrText>
      </w:r>
      <w:r>
        <w:rPr>
          <w:rFonts w:ascii="宋体" w:hAnsi="宋体"/>
        </w:rPr>
        <w:fldChar w:fldCharType="separate"/>
      </w:r>
      <w:r>
        <w:rPr>
          <w:rFonts w:ascii="宋体" w:hAnsi="宋体"/>
        </w:rPr>
        <w:t>52</w:t>
      </w:r>
      <w:r>
        <w:rPr>
          <w:rFonts w:ascii="宋体" w:hAnsi="宋体"/>
        </w:rPr>
        <w:fldChar w:fldCharType="end"/>
      </w:r>
      <w:r>
        <w:rPr>
          <w:rFonts w:ascii="宋体" w:hAnsi="宋体"/>
        </w:rPr>
        <w:fldChar w:fldCharType="end"/>
      </w:r>
    </w:p>
    <w:p>
      <w:pPr>
        <w:pStyle w:val="28"/>
        <w:tabs>
          <w:tab w:val="right" w:leader="dot" w:pos="8302"/>
        </w:tabs>
        <w:rPr>
          <w:rFonts w:ascii="宋体" w:hAnsi="宋体" w:cstheme="minorBidi"/>
          <w:sz w:val="21"/>
          <w:szCs w:val="22"/>
        </w:rPr>
      </w:pPr>
      <w:r>
        <w:fldChar w:fldCharType="begin"/>
      </w:r>
      <w:r>
        <w:instrText xml:space="preserve"> HYPERLINK \l "_Toc511289488" </w:instrText>
      </w:r>
      <w:r>
        <w:fldChar w:fldCharType="separate"/>
      </w:r>
      <w:r>
        <w:rPr>
          <w:rStyle w:val="45"/>
          <w:rFonts w:hint="eastAsia" w:ascii="宋体" w:hAnsi="宋体"/>
          <w:color w:val="auto"/>
        </w:rPr>
        <w:t>第九章</w:t>
      </w:r>
      <w:r>
        <w:rPr>
          <w:rStyle w:val="45"/>
          <w:rFonts w:ascii="宋体" w:hAnsi="宋体"/>
          <w:color w:val="auto"/>
        </w:rPr>
        <w:t xml:space="preserve">  </w:t>
      </w:r>
      <w:r>
        <w:rPr>
          <w:rStyle w:val="45"/>
          <w:rFonts w:hint="eastAsia" w:ascii="宋体" w:hAnsi="宋体"/>
          <w:color w:val="auto"/>
        </w:rPr>
        <w:t>政府采购合同（草案）</w:t>
      </w:r>
      <w:r>
        <w:rPr>
          <w:rFonts w:ascii="宋体" w:hAnsi="宋体"/>
        </w:rPr>
        <w:tab/>
      </w:r>
      <w:r>
        <w:rPr>
          <w:rFonts w:ascii="宋体" w:hAnsi="宋体"/>
        </w:rPr>
        <w:fldChar w:fldCharType="begin"/>
      </w:r>
      <w:r>
        <w:rPr>
          <w:rFonts w:ascii="宋体" w:hAnsi="宋体"/>
        </w:rPr>
        <w:instrText xml:space="preserve"> PAGEREF _Toc511289488 \h </w:instrText>
      </w:r>
      <w:r>
        <w:rPr>
          <w:rFonts w:ascii="宋体" w:hAnsi="宋体"/>
        </w:rPr>
        <w:fldChar w:fldCharType="separate"/>
      </w:r>
      <w:r>
        <w:rPr>
          <w:rFonts w:ascii="宋体" w:hAnsi="宋体"/>
        </w:rPr>
        <w:t>63</w:t>
      </w:r>
      <w:r>
        <w:rPr>
          <w:rFonts w:ascii="宋体" w:hAnsi="宋体"/>
        </w:rPr>
        <w:fldChar w:fldCharType="end"/>
      </w:r>
      <w:r>
        <w:rPr>
          <w:rFonts w:ascii="宋体" w:hAnsi="宋体"/>
        </w:rPr>
        <w:fldChar w:fldCharType="end"/>
      </w:r>
    </w:p>
    <w:p>
      <w:pPr>
        <w:rPr>
          <w:rFonts w:ascii="宋体" w:hAnsi="宋体"/>
        </w:rPr>
      </w:pPr>
      <w:r>
        <w:rPr>
          <w:rFonts w:ascii="宋体" w:hAnsi="宋体"/>
        </w:rPr>
        <w:fldChar w:fldCharType="end"/>
      </w:r>
    </w:p>
    <w:p>
      <w:pPr>
        <w:widowControl/>
        <w:spacing w:line="360" w:lineRule="auto"/>
        <w:jc w:val="left"/>
        <w:rPr>
          <w:rFonts w:ascii="宋体" w:hAnsi="宋体"/>
          <w:bCs/>
          <w:sz w:val="24"/>
        </w:rPr>
      </w:pPr>
      <w:r>
        <w:rPr>
          <w:rFonts w:ascii="宋体" w:hAnsi="宋体"/>
          <w:b/>
          <w:sz w:val="24"/>
        </w:rPr>
        <w:br w:type="page"/>
      </w:r>
    </w:p>
    <w:p>
      <w:pPr>
        <w:pStyle w:val="37"/>
        <w:rPr>
          <w:rFonts w:ascii="宋体" w:hAnsi="宋体" w:eastAsia="宋体"/>
        </w:rPr>
      </w:pPr>
      <w:bookmarkStart w:id="0" w:name="_Toc509579140"/>
      <w:bookmarkStart w:id="1" w:name="_Toc511289480"/>
      <w:r>
        <w:rPr>
          <w:rFonts w:hint="eastAsia" w:ascii="宋体" w:hAnsi="宋体" w:eastAsia="宋体"/>
        </w:rPr>
        <w:t>第一章  磋商邀请</w:t>
      </w:r>
      <w:bookmarkEnd w:id="0"/>
      <w:bookmarkEnd w:id="1"/>
    </w:p>
    <w:p>
      <w:pPr>
        <w:spacing w:line="360" w:lineRule="auto"/>
        <w:ind w:firstLine="720" w:firstLineChars="300"/>
        <w:jc w:val="left"/>
        <w:rPr>
          <w:rFonts w:ascii="宋体" w:hAnsi="宋体"/>
          <w:sz w:val="24"/>
        </w:rPr>
      </w:pPr>
    </w:p>
    <w:p>
      <w:pPr>
        <w:spacing w:line="360" w:lineRule="auto"/>
        <w:ind w:firstLine="480" w:firstLineChars="200"/>
        <w:rPr>
          <w:rFonts w:ascii="宋体" w:hAnsi="宋体"/>
          <w:sz w:val="24"/>
        </w:rPr>
      </w:pPr>
      <w:bookmarkStart w:id="2" w:name="_Toc511289481"/>
      <w:bookmarkStart w:id="3" w:name="_Toc509579141"/>
      <w:bookmarkStart w:id="4" w:name="_Toc213496267"/>
      <w:bookmarkStart w:id="5" w:name="_Toc213396759"/>
      <w:bookmarkStart w:id="6" w:name="_Toc213396945"/>
      <w:bookmarkStart w:id="7" w:name="_Toc217446031"/>
      <w:bookmarkStart w:id="8" w:name="_Toc213397009"/>
      <w:r>
        <w:rPr>
          <w:rFonts w:hint="eastAsia" w:ascii="宋体" w:hAnsi="宋体"/>
          <w:sz w:val="24"/>
          <w:u w:val="single"/>
        </w:rPr>
        <w:t>中恒德佳工程咨询有限公司</w:t>
      </w:r>
      <w:r>
        <w:rPr>
          <w:rFonts w:hint="eastAsia" w:ascii="宋体" w:hAnsi="宋体"/>
          <w:sz w:val="24"/>
        </w:rPr>
        <w:t>（采购代理机构）受</w:t>
      </w:r>
      <w:r>
        <w:rPr>
          <w:rFonts w:hint="eastAsia" w:ascii="宋体" w:hAnsi="宋体"/>
          <w:sz w:val="24"/>
          <w:u w:val="single"/>
        </w:rPr>
        <w:t>电子科技大学</w:t>
      </w:r>
      <w:r>
        <w:rPr>
          <w:rFonts w:hint="eastAsia" w:ascii="宋体" w:hAnsi="宋体"/>
          <w:sz w:val="24"/>
        </w:rPr>
        <w:t>（采购人）委托，拟对</w:t>
      </w:r>
      <w:r>
        <w:rPr>
          <w:rFonts w:hint="eastAsia" w:ascii="宋体" w:hAnsi="宋体"/>
          <w:sz w:val="24"/>
          <w:u w:val="single"/>
        </w:rPr>
        <w:t>电子科技大学实验动物中心设计施工一体化建设项目</w:t>
      </w:r>
      <w:r>
        <w:rPr>
          <w:rFonts w:hint="eastAsia" w:ascii="宋体" w:hAnsi="宋体"/>
          <w:sz w:val="24"/>
        </w:rPr>
        <w:t>进行竞争性磋商，现欢迎符合相关条件的单位参加。</w:t>
      </w:r>
    </w:p>
    <w:p>
      <w:pPr>
        <w:spacing w:line="360" w:lineRule="auto"/>
        <w:ind w:firstLine="482" w:firstLineChars="200"/>
        <w:rPr>
          <w:rFonts w:ascii="宋体" w:hAnsi="宋体"/>
          <w:b/>
          <w:sz w:val="24"/>
        </w:rPr>
      </w:pPr>
      <w:r>
        <w:rPr>
          <w:rFonts w:hint="eastAsia" w:ascii="宋体" w:hAnsi="宋体"/>
          <w:b/>
          <w:sz w:val="24"/>
        </w:rPr>
        <w:t>一、采购编号：</w:t>
      </w:r>
      <w:r>
        <w:rPr>
          <w:rFonts w:ascii="宋体" w:hAnsi="宋体"/>
          <w:b/>
          <w:sz w:val="24"/>
        </w:rPr>
        <w:t xml:space="preserve"> GC20220001001</w:t>
      </w:r>
    </w:p>
    <w:p>
      <w:pPr>
        <w:spacing w:line="360" w:lineRule="auto"/>
        <w:ind w:left="2468" w:leftChars="200" w:hanging="2048" w:hangingChars="850"/>
        <w:rPr>
          <w:rFonts w:ascii="宋体" w:hAnsi="宋体"/>
          <w:sz w:val="24"/>
        </w:rPr>
      </w:pPr>
      <w:r>
        <w:rPr>
          <w:rFonts w:hint="eastAsia" w:ascii="宋体" w:hAnsi="宋体"/>
          <w:b/>
          <w:sz w:val="24"/>
        </w:rPr>
        <w:t>二、采</w:t>
      </w:r>
      <w:r>
        <w:rPr>
          <w:rFonts w:ascii="宋体" w:hAnsi="宋体"/>
          <w:b/>
          <w:sz w:val="24"/>
        </w:rPr>
        <w:t>购</w:t>
      </w:r>
      <w:r>
        <w:rPr>
          <w:rFonts w:hint="eastAsia" w:ascii="宋体" w:hAnsi="宋体"/>
          <w:b/>
          <w:sz w:val="24"/>
        </w:rPr>
        <w:t>项目名</w:t>
      </w:r>
      <w:r>
        <w:rPr>
          <w:rFonts w:ascii="宋体" w:hAnsi="宋体"/>
          <w:b/>
          <w:sz w:val="24"/>
        </w:rPr>
        <w:t>称</w:t>
      </w:r>
      <w:r>
        <w:rPr>
          <w:rFonts w:hint="eastAsia" w:ascii="宋体" w:hAnsi="宋体"/>
          <w:b/>
          <w:sz w:val="24"/>
        </w:rPr>
        <w:t>：</w:t>
      </w:r>
      <w:r>
        <w:rPr>
          <w:rFonts w:hint="eastAsia" w:ascii="宋体" w:hAnsi="宋体"/>
          <w:sz w:val="24"/>
        </w:rPr>
        <w:t>电子科技大学实验动物中心设计施工一体化建设项目</w:t>
      </w:r>
    </w:p>
    <w:p>
      <w:pPr>
        <w:spacing w:line="360" w:lineRule="auto"/>
        <w:ind w:left="2468" w:leftChars="200" w:hanging="2048" w:hangingChars="850"/>
        <w:rPr>
          <w:rFonts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资</w:t>
      </w:r>
      <w:r>
        <w:rPr>
          <w:rFonts w:ascii="宋体" w:hAnsi="宋体"/>
          <w:b/>
          <w:sz w:val="24"/>
        </w:rPr>
        <w:t>金来源：</w:t>
      </w:r>
      <w:r>
        <w:rPr>
          <w:rFonts w:hint="eastAsia" w:ascii="宋体" w:hAnsi="宋体"/>
          <w:b/>
          <w:sz w:val="24"/>
        </w:rPr>
        <w:t>财政资金</w:t>
      </w:r>
    </w:p>
    <w:p>
      <w:pPr>
        <w:spacing w:line="360" w:lineRule="auto"/>
        <w:ind w:firstLine="480" w:firstLineChars="200"/>
        <w:rPr>
          <w:rFonts w:ascii="宋体" w:hAnsi="宋体"/>
          <w:sz w:val="24"/>
        </w:rPr>
      </w:pPr>
      <w:r>
        <w:rPr>
          <w:rFonts w:hint="eastAsia" w:ascii="宋体" w:hAnsi="宋体"/>
          <w:sz w:val="24"/>
        </w:rPr>
        <w:t>采购预算：</w:t>
      </w:r>
      <w:r>
        <w:rPr>
          <w:rFonts w:ascii="宋体" w:hAnsi="宋体"/>
          <w:sz w:val="24"/>
        </w:rPr>
        <w:t>702.393</w:t>
      </w:r>
      <w:r>
        <w:rPr>
          <w:rFonts w:hint="eastAsia" w:ascii="宋体" w:hAnsi="宋体"/>
          <w:sz w:val="24"/>
        </w:rPr>
        <w:t>万元。</w:t>
      </w:r>
    </w:p>
    <w:p>
      <w:pPr>
        <w:spacing w:line="360" w:lineRule="auto"/>
        <w:ind w:firstLine="482" w:firstLineChars="200"/>
        <w:rPr>
          <w:rFonts w:ascii="宋体" w:hAnsi="宋体"/>
          <w:b/>
          <w:bCs/>
          <w:sz w:val="24"/>
        </w:rPr>
      </w:pPr>
      <w:r>
        <w:rPr>
          <w:rFonts w:hint="eastAsia" w:ascii="宋体" w:hAnsi="宋体"/>
          <w:b/>
          <w:bCs/>
          <w:sz w:val="24"/>
        </w:rPr>
        <w:t>四、定向采购情况</w:t>
      </w:r>
    </w:p>
    <w:p>
      <w:pPr>
        <w:spacing w:line="360" w:lineRule="auto"/>
        <w:ind w:firstLine="480" w:firstLineChars="200"/>
        <w:rPr>
          <w:rFonts w:ascii="宋体" w:hAnsi="宋体"/>
          <w:sz w:val="24"/>
        </w:rPr>
      </w:pPr>
      <w:r>
        <w:rPr>
          <w:rFonts w:hint="eastAsia" w:ascii="宋体" w:hAnsi="宋体"/>
          <w:sz w:val="24"/>
        </w:rPr>
        <w:t>本项目专门面向中小企业采购(监狱企业、残疾人福利性单位均视同小微企业)，非中小企业参与的将视为无效投标。</w:t>
      </w:r>
    </w:p>
    <w:p>
      <w:pPr>
        <w:spacing w:line="360" w:lineRule="auto"/>
        <w:ind w:firstLine="482" w:firstLineChars="200"/>
        <w:rPr>
          <w:rFonts w:ascii="宋体" w:hAnsi="宋体"/>
          <w:b/>
          <w:bCs/>
          <w:sz w:val="24"/>
        </w:rPr>
      </w:pPr>
      <w:r>
        <w:rPr>
          <w:rFonts w:hint="eastAsia" w:ascii="宋体" w:hAnsi="宋体"/>
          <w:b/>
          <w:bCs/>
          <w:sz w:val="24"/>
        </w:rPr>
        <w:t>五、项目概况与招标范围</w:t>
      </w:r>
    </w:p>
    <w:p>
      <w:pPr>
        <w:spacing w:line="360" w:lineRule="auto"/>
        <w:ind w:firstLine="480" w:firstLineChars="200"/>
        <w:rPr>
          <w:rFonts w:ascii="宋体" w:hAnsi="宋体"/>
          <w:sz w:val="24"/>
        </w:rPr>
      </w:pPr>
      <w:r>
        <w:rPr>
          <w:rFonts w:hint="eastAsia" w:ascii="宋体" w:hAnsi="宋体"/>
          <w:sz w:val="24"/>
        </w:rPr>
        <w:t>5.1建设地点：</w:t>
      </w:r>
      <w:r>
        <w:rPr>
          <w:rFonts w:ascii="宋体" w:hAnsi="宋体"/>
          <w:color w:val="000000" w:themeColor="text1"/>
          <w:sz w:val="24"/>
          <w14:textFill>
            <w14:solidFill>
              <w14:schemeClr w14:val="tx1"/>
            </w14:solidFill>
          </w14:textFill>
        </w:rPr>
        <w:t>四川省成都市成华区建设北路二段4号</w:t>
      </w:r>
      <w:r>
        <w:rPr>
          <w:rFonts w:hint="eastAsia" w:ascii="宋体" w:hAnsi="宋体"/>
          <w:sz w:val="24"/>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sz w:val="24"/>
        </w:rPr>
        <w:t>5.2工程概况：项目位于电子科技大学沙河校区，是对原有实验楼的第七层局部区域进行改造，详见改造范围图，改造面积约994m2。将本实验楼第七层改造装修成为满足《实验动物环境及设施》GB14925-2010 、《实验动物设施建筑技术规范》GB50447-2008标准要求的实验动物（大小鼠）屏障环境实验设施及其相配套的各辅助功能区域、办公区等。</w:t>
      </w:r>
    </w:p>
    <w:p>
      <w:pPr>
        <w:spacing w:line="360" w:lineRule="auto"/>
        <w:ind w:firstLine="480" w:firstLineChars="200"/>
        <w:rPr>
          <w:rFonts w:ascii="宋体" w:hAnsi="宋体"/>
          <w:sz w:val="24"/>
        </w:rPr>
      </w:pPr>
      <w:r>
        <w:rPr>
          <w:rFonts w:hint="eastAsia" w:ascii="宋体" w:hAnsi="宋体"/>
          <w:sz w:val="24"/>
        </w:rPr>
        <w:t>5.</w:t>
      </w:r>
      <w:r>
        <w:rPr>
          <w:rFonts w:ascii="宋体" w:hAnsi="宋体"/>
          <w:sz w:val="24"/>
        </w:rPr>
        <w:t>3</w:t>
      </w:r>
      <w:r>
        <w:rPr>
          <w:rFonts w:hint="eastAsia" w:ascii="宋体" w:hAnsi="宋体"/>
          <w:sz w:val="24"/>
        </w:rPr>
        <w:t>工期要求</w:t>
      </w:r>
      <w:r>
        <w:rPr>
          <w:rFonts w:ascii="宋体" w:hAnsi="宋体"/>
          <w:sz w:val="24"/>
        </w:rPr>
        <w:t>：</w:t>
      </w:r>
      <w:r>
        <w:rPr>
          <w:rFonts w:hint="eastAsia" w:ascii="宋体" w:hAnsi="宋体"/>
          <w:sz w:val="24"/>
        </w:rPr>
        <w:t>240日历天（其中设计：60日历天，施工：180日历天）.</w:t>
      </w:r>
    </w:p>
    <w:p>
      <w:pPr>
        <w:spacing w:line="360" w:lineRule="auto"/>
        <w:ind w:firstLine="480" w:firstLineChars="200"/>
        <w:rPr>
          <w:rFonts w:ascii="宋体" w:hAnsi="宋体"/>
          <w:sz w:val="24"/>
        </w:rPr>
      </w:pPr>
      <w:r>
        <w:rPr>
          <w:rFonts w:hint="eastAsia" w:ascii="宋体" w:hAnsi="宋体"/>
          <w:sz w:val="24"/>
        </w:rPr>
        <w:t>5.4 采购内容与范围：第七层面积约994m2改造区域设屏障动物房及实验室。设计图预留垂直运输通道、污水处理系统等位置。包含SPF级别动物房的建筑装饰工程、净化空调系统、通风系统及自动控制工程、给排水工程、强电工程、弱电工程、消防工程、智能化系统、动物饮水系统等进行设计与施工安装。</w:t>
      </w:r>
    </w:p>
    <w:p>
      <w:pPr>
        <w:widowControl/>
        <w:spacing w:line="360" w:lineRule="auto"/>
        <w:ind w:firstLine="462"/>
        <w:jc w:val="left"/>
        <w:rPr>
          <w:rFonts w:ascii="宋体" w:hAnsi="宋体"/>
          <w:sz w:val="24"/>
        </w:rPr>
      </w:pPr>
      <w:r>
        <w:rPr>
          <w:rFonts w:hint="eastAsia" w:ascii="宋体" w:hAnsi="宋体"/>
          <w:sz w:val="24"/>
        </w:rPr>
        <w:t>本次室内装饰装修拟将本建筑改造装修成符合《实验动物 环境及设施》GB14925-2010 、《实验动物设施建筑技术规范》GB50447-2008标准要求的实验动物（大小鼠）屏障环境实验设施，及实验动物实验设施相配套的动物解剖区域、手术区域、实验室区域及辅助功能操作区域等。</w:t>
      </w:r>
    </w:p>
    <w:p>
      <w:pPr>
        <w:widowControl/>
        <w:spacing w:line="360" w:lineRule="auto"/>
        <w:ind w:firstLine="462"/>
        <w:jc w:val="left"/>
        <w:rPr>
          <w:rFonts w:ascii="宋体" w:hAnsi="宋体"/>
          <w:sz w:val="24"/>
        </w:rPr>
      </w:pPr>
      <w:r>
        <w:rPr>
          <w:rFonts w:hint="eastAsia" w:ascii="宋体" w:hAnsi="宋体"/>
          <w:sz w:val="24"/>
        </w:rPr>
        <w:t>同时改造装修与屏障环境实验设施相配套的满足实验动物设施、实验等相关要求的行政人员 、实验人员、饲养人员、学生等的办公和教学场所和各类库房。本项目施工图除了按正常工程图进行审查之外，必须通过四川省科技厅组织专家对施工图进行审查，达到屏障环境实验动物设施要求；本项目除了按正常工程进行竣工验收之外，必须通过四川省科技厅组织专家对实验动物环境设施验收，并取得屏障环境实验动物使用许可证。</w:t>
      </w:r>
    </w:p>
    <w:p>
      <w:pPr>
        <w:spacing w:line="360" w:lineRule="auto"/>
        <w:ind w:firstLine="482" w:firstLineChars="200"/>
        <w:rPr>
          <w:rFonts w:ascii="宋体" w:hAnsi="宋体"/>
          <w:b/>
          <w:bCs/>
          <w:sz w:val="24"/>
        </w:rPr>
      </w:pPr>
      <w:r>
        <w:rPr>
          <w:rFonts w:hint="eastAsia" w:ascii="宋体" w:hAnsi="宋体"/>
          <w:b/>
          <w:bCs/>
          <w:sz w:val="24"/>
        </w:rPr>
        <w:t>六、供应商参加本次政府采购活动应具备下列条件：</w:t>
      </w:r>
    </w:p>
    <w:p>
      <w:pPr>
        <w:spacing w:line="360" w:lineRule="auto"/>
        <w:ind w:firstLine="480" w:firstLineChars="200"/>
        <w:rPr>
          <w:rFonts w:ascii="宋体" w:hAnsi="宋体"/>
          <w:sz w:val="24"/>
        </w:rPr>
      </w:pPr>
      <w:r>
        <w:rPr>
          <w:rFonts w:hint="eastAsia" w:ascii="宋体" w:hAnsi="宋体"/>
          <w:sz w:val="24"/>
        </w:rPr>
        <w:t>1、满足《中华人民共和国政府采购法》第二十二条规定；</w:t>
      </w:r>
    </w:p>
    <w:p>
      <w:pPr>
        <w:spacing w:line="360" w:lineRule="auto"/>
        <w:ind w:firstLine="480" w:firstLineChars="200"/>
        <w:rPr>
          <w:rFonts w:ascii="宋体" w:hAnsi="宋体"/>
          <w:sz w:val="24"/>
        </w:rPr>
      </w:pPr>
      <w:r>
        <w:rPr>
          <w:rFonts w:hint="eastAsia" w:ascii="宋体" w:hAnsi="宋体"/>
          <w:sz w:val="24"/>
        </w:rPr>
        <w:t>2、落实政府采购政策需满足的资格要求：无。</w:t>
      </w:r>
    </w:p>
    <w:p>
      <w:pPr>
        <w:spacing w:line="360" w:lineRule="auto"/>
        <w:ind w:firstLine="480" w:firstLineChars="200"/>
        <w:rPr>
          <w:rFonts w:ascii="宋体" w:hAnsi="宋体"/>
          <w:sz w:val="24"/>
        </w:rPr>
      </w:pPr>
      <w:r>
        <w:rPr>
          <w:rFonts w:hint="eastAsia" w:ascii="宋体" w:hAnsi="宋体"/>
          <w:sz w:val="24"/>
        </w:rPr>
        <w:t>3、本项目的特定资格要求：</w:t>
      </w:r>
    </w:p>
    <w:p>
      <w:pPr>
        <w:spacing w:line="360" w:lineRule="auto"/>
        <w:ind w:firstLine="480" w:firstLineChars="200"/>
        <w:rPr>
          <w:rFonts w:ascii="宋体" w:hAnsi="宋体"/>
          <w:sz w:val="24"/>
        </w:rPr>
      </w:pPr>
      <w:r>
        <w:rPr>
          <w:rFonts w:hint="eastAsia" w:ascii="宋体" w:hAnsi="宋体"/>
          <w:sz w:val="24"/>
        </w:rPr>
        <w:t xml:space="preserve">   3.1供应商须提供“截至递交响应文件截止日未被列入失信被执行人、税收违法黑名单、政府采购严重违法失信行为记录名单的承诺函”。</w:t>
      </w:r>
    </w:p>
    <w:p>
      <w:pPr>
        <w:spacing w:line="360" w:lineRule="auto"/>
        <w:ind w:firstLine="480" w:firstLineChars="200"/>
        <w:rPr>
          <w:rFonts w:ascii="宋体" w:hAnsi="宋体"/>
          <w:sz w:val="24"/>
        </w:rPr>
      </w:pPr>
      <w:r>
        <w:rPr>
          <w:rFonts w:hint="eastAsia" w:ascii="宋体" w:hAnsi="宋体"/>
          <w:sz w:val="24"/>
        </w:rPr>
        <w:t>注：将于资格审查时在‘信用中国’网站、 ‘中国政府采购网’网站等渠道对供应商进行信用记录查询，并将查询记录存档。凡被列入失信被执行人、税收违法黑名单、政府采购严重违法失信行为记录名单的，视为存在不良信用记录，参与本项目的将被视为无效响应。（两个以上的自然人、法人或者其他组织组成一个联合体，以一个供应商的身份共同参加政府采购活动的，将对所有联合体成员进行信用记录查询，联合体成员存在不良信用记录的，视同联合体存在不良信用记录）。</w:t>
      </w:r>
    </w:p>
    <w:p>
      <w:pPr>
        <w:spacing w:line="360" w:lineRule="auto"/>
        <w:ind w:firstLine="480" w:firstLineChars="200"/>
        <w:rPr>
          <w:rFonts w:ascii="宋体" w:hAnsi="宋体"/>
          <w:sz w:val="24"/>
        </w:rPr>
      </w:pPr>
      <w:r>
        <w:rPr>
          <w:rFonts w:hint="eastAsia" w:ascii="宋体" w:hAnsi="宋体"/>
          <w:sz w:val="24"/>
        </w:rPr>
        <w:t>3.2设计：具有省级及以上建设主管部门颁发的工程设计综合资质或建筑行业（建筑工程）设计乙级及以上设计资质；</w:t>
      </w:r>
    </w:p>
    <w:p>
      <w:pPr>
        <w:spacing w:line="360" w:lineRule="auto"/>
        <w:ind w:firstLine="480" w:firstLineChars="200"/>
        <w:rPr>
          <w:rFonts w:ascii="宋体" w:hAnsi="宋体"/>
          <w:sz w:val="24"/>
        </w:rPr>
      </w:pPr>
      <w:r>
        <w:rPr>
          <w:rFonts w:hint="eastAsia" w:ascii="宋体" w:hAnsi="宋体"/>
          <w:sz w:val="24"/>
        </w:rPr>
        <w:t>3.3施工：独立法人资格,具备国家行政主管部门颁发的电子与智能化工程专业承包贰级及以上和建筑装修装饰工程专业承包贰级及以上施工资质，企业注册地不在四川省行政区域内的省外企业须提供在有效期内的四川省住房和城乡建设厅官网已公开的入川信息网页截图，并具有安全生产许可证；</w:t>
      </w:r>
    </w:p>
    <w:p>
      <w:pPr>
        <w:pStyle w:val="152"/>
        <w:spacing w:before="1" w:line="364" w:lineRule="auto"/>
        <w:ind w:right="132" w:firstLine="360" w:firstLineChars="150"/>
        <w:rPr>
          <w:rFonts w:eastAsia="宋体"/>
          <w:spacing w:val="1"/>
          <w:sz w:val="24"/>
          <w:szCs w:val="24"/>
        </w:rPr>
      </w:pPr>
      <w:r>
        <w:rPr>
          <w:rFonts w:hint="eastAsia"/>
          <w:sz w:val="24"/>
        </w:rPr>
        <w:t>3.4</w:t>
      </w:r>
      <w:r>
        <w:rPr>
          <w:rFonts w:hint="eastAsia"/>
          <w:spacing w:val="1"/>
          <w:sz w:val="24"/>
        </w:rPr>
        <w:t>施工负责</w:t>
      </w:r>
      <w:r>
        <w:rPr>
          <w:spacing w:val="1"/>
          <w:sz w:val="24"/>
        </w:rPr>
        <w:t>人</w:t>
      </w:r>
      <w:r>
        <w:rPr>
          <w:rFonts w:hint="eastAsia"/>
          <w:spacing w:val="1"/>
          <w:sz w:val="24"/>
        </w:rPr>
        <w:t>(项目经理)</w:t>
      </w:r>
      <w:r>
        <w:rPr>
          <w:spacing w:val="1"/>
          <w:sz w:val="24"/>
        </w:rPr>
        <w:t>具有</w:t>
      </w:r>
      <w:r>
        <w:rPr>
          <w:rFonts w:hint="eastAsia" w:eastAsia="宋体"/>
          <w:spacing w:val="1"/>
          <w:sz w:val="24"/>
          <w:szCs w:val="24"/>
        </w:rPr>
        <w:t>机电工程专业二级及以上建造师</w:t>
      </w:r>
      <w:r>
        <w:rPr>
          <w:rFonts w:hint="eastAsia"/>
          <w:spacing w:val="1"/>
          <w:sz w:val="24"/>
        </w:rPr>
        <w:t xml:space="preserve"> ；</w:t>
      </w:r>
      <w:r>
        <w:rPr>
          <w:rFonts w:hint="eastAsia" w:eastAsia="宋体"/>
          <w:spacing w:val="1"/>
          <w:sz w:val="24"/>
          <w:szCs w:val="24"/>
        </w:rPr>
        <w:t>设计负责人具备二级及以上注册建筑师</w:t>
      </w:r>
      <w:r>
        <w:rPr>
          <w:rFonts w:hint="eastAsia"/>
          <w:spacing w:val="1"/>
          <w:sz w:val="24"/>
        </w:rPr>
        <w:t xml:space="preserve"> ；</w:t>
      </w:r>
    </w:p>
    <w:p>
      <w:pPr>
        <w:spacing w:line="360" w:lineRule="auto"/>
        <w:ind w:firstLine="480" w:firstLineChars="200"/>
        <w:rPr>
          <w:rFonts w:ascii="宋体" w:hAnsi="宋体"/>
          <w:sz w:val="24"/>
        </w:rPr>
      </w:pPr>
      <w:r>
        <w:rPr>
          <w:rFonts w:hint="eastAsia" w:ascii="宋体" w:hAnsi="宋体"/>
          <w:sz w:val="24"/>
        </w:rPr>
        <w:t xml:space="preserve">4、（1）本项目接受联合体参与采购活动：①联合体牵头人应具备电子与智能化工程专业承包贰级及以上施工资质；②组成联合体的成员家数最多不超过 </w:t>
      </w:r>
      <w:r>
        <w:rPr>
          <w:rFonts w:ascii="宋体" w:hAnsi="宋体"/>
          <w:sz w:val="24"/>
        </w:rPr>
        <w:t>3</w:t>
      </w:r>
      <w:r>
        <w:rPr>
          <w:rFonts w:hint="eastAsia" w:ascii="宋体" w:hAnsi="宋体"/>
          <w:sz w:val="24"/>
        </w:rPr>
        <w:t xml:space="preserve"> 家；③ 联合体各方应签订联合体协议书，明确联合体牵头人和各方权利义务。④组成联合体投标应符合相关法律法规对联合体投标的有关规定，联合体各方不得再以自己名义单独或参加其他联合体在同一工程项目中投标。</w:t>
      </w:r>
    </w:p>
    <w:p>
      <w:pPr>
        <w:spacing w:line="360" w:lineRule="auto"/>
        <w:ind w:firstLine="482" w:firstLineChars="200"/>
        <w:rPr>
          <w:rFonts w:ascii="宋体" w:hAnsi="宋体"/>
          <w:b/>
          <w:sz w:val="24"/>
        </w:rPr>
      </w:pPr>
      <w:r>
        <w:rPr>
          <w:rFonts w:hint="eastAsia" w:ascii="宋体" w:hAnsi="宋体"/>
          <w:b/>
          <w:sz w:val="24"/>
        </w:rPr>
        <w:t>六、磋商文件发售时间、地点：</w:t>
      </w:r>
    </w:p>
    <w:p>
      <w:pPr>
        <w:spacing w:line="360" w:lineRule="auto"/>
        <w:ind w:firstLine="480" w:firstLineChars="200"/>
        <w:rPr>
          <w:rFonts w:ascii="宋体" w:hAnsi="宋体" w:cs="宋体"/>
          <w:kern w:val="0"/>
          <w:sz w:val="24"/>
        </w:rPr>
      </w:pPr>
      <w:r>
        <w:rPr>
          <w:rFonts w:hint="eastAsia" w:ascii="宋体" w:hAnsi="宋体" w:cs="宋体"/>
          <w:kern w:val="0"/>
          <w:sz w:val="24"/>
        </w:rPr>
        <w:t>磋商文件自20</w:t>
      </w:r>
      <w:r>
        <w:rPr>
          <w:rFonts w:ascii="宋体" w:hAnsi="宋体" w:cs="宋体"/>
          <w:kern w:val="0"/>
          <w:sz w:val="24"/>
        </w:rPr>
        <w:t>2</w:t>
      </w:r>
      <w:r>
        <w:rPr>
          <w:rFonts w:hint="eastAsia" w:ascii="宋体" w:hAnsi="宋体" w:cs="宋体"/>
          <w:kern w:val="0"/>
          <w:sz w:val="24"/>
        </w:rPr>
        <w:t>2年05月</w:t>
      </w:r>
      <w:r>
        <w:rPr>
          <w:rFonts w:hint="eastAsia" w:ascii="宋体" w:hAnsi="宋体" w:cs="宋体"/>
          <w:kern w:val="0"/>
          <w:sz w:val="24"/>
          <w:lang w:val="en-US" w:eastAsia="zh-CN"/>
        </w:rPr>
        <w:t>20</w:t>
      </w:r>
      <w:r>
        <w:rPr>
          <w:rFonts w:hint="eastAsia" w:ascii="宋体" w:hAnsi="宋体" w:cs="宋体"/>
          <w:kern w:val="0"/>
          <w:sz w:val="24"/>
        </w:rPr>
        <w:t>日至</w:t>
      </w:r>
      <w:r>
        <w:rPr>
          <w:rFonts w:ascii="宋体" w:hAnsi="宋体" w:cs="宋体"/>
          <w:kern w:val="0"/>
          <w:sz w:val="24"/>
        </w:rPr>
        <w:t>202</w:t>
      </w:r>
      <w:r>
        <w:rPr>
          <w:rFonts w:hint="eastAsia" w:ascii="宋体" w:hAnsi="宋体" w:cs="宋体"/>
          <w:kern w:val="0"/>
          <w:sz w:val="24"/>
        </w:rPr>
        <w:t>2年05月</w:t>
      </w:r>
      <w:r>
        <w:rPr>
          <w:rFonts w:hint="eastAsia" w:ascii="宋体" w:hAnsi="宋体" w:cs="宋体"/>
          <w:kern w:val="0"/>
          <w:sz w:val="24"/>
          <w:lang w:val="en-US" w:eastAsia="zh-CN"/>
        </w:rPr>
        <w:t>26</w:t>
      </w:r>
      <w:bookmarkStart w:id="100" w:name="_GoBack"/>
      <w:bookmarkEnd w:id="100"/>
      <w:r>
        <w:rPr>
          <w:rFonts w:hint="eastAsia" w:ascii="宋体" w:hAnsi="宋体" w:cs="宋体"/>
          <w:kern w:val="0"/>
          <w:sz w:val="24"/>
        </w:rPr>
        <w:t>日09:</w:t>
      </w:r>
      <w:r>
        <w:rPr>
          <w:rFonts w:ascii="宋体" w:hAnsi="宋体" w:cs="宋体"/>
          <w:kern w:val="0"/>
          <w:sz w:val="24"/>
        </w:rPr>
        <w:t>00</w:t>
      </w:r>
      <w:r>
        <w:rPr>
          <w:rFonts w:hint="eastAsia" w:ascii="宋体" w:hAnsi="宋体" w:cs="宋体"/>
          <w:kern w:val="0"/>
          <w:sz w:val="24"/>
        </w:rPr>
        <w:t>-</w:t>
      </w:r>
      <w:r>
        <w:rPr>
          <w:rFonts w:ascii="宋体" w:hAnsi="宋体" w:cs="宋体"/>
          <w:kern w:val="0"/>
          <w:sz w:val="24"/>
        </w:rPr>
        <w:t>12</w:t>
      </w:r>
      <w:r>
        <w:rPr>
          <w:rFonts w:hint="eastAsia" w:ascii="宋体" w:hAnsi="宋体" w:cs="宋体"/>
          <w:kern w:val="0"/>
          <w:sz w:val="24"/>
        </w:rPr>
        <w:t>：00,14:00</w:t>
      </w:r>
      <w:r>
        <w:rPr>
          <w:rFonts w:ascii="宋体" w:hAnsi="宋体" w:cs="宋体"/>
          <w:kern w:val="0"/>
          <w:sz w:val="24"/>
        </w:rPr>
        <w:t>-17</w:t>
      </w:r>
      <w:r>
        <w:rPr>
          <w:rFonts w:hint="eastAsia" w:ascii="宋体" w:hAnsi="宋体" w:cs="宋体"/>
          <w:kern w:val="0"/>
          <w:sz w:val="24"/>
        </w:rPr>
        <w:t>:</w:t>
      </w:r>
      <w:r>
        <w:rPr>
          <w:rFonts w:ascii="宋体" w:hAnsi="宋体" w:cs="宋体"/>
          <w:kern w:val="0"/>
          <w:sz w:val="24"/>
        </w:rPr>
        <w:t>0</w:t>
      </w:r>
      <w:r>
        <w:rPr>
          <w:rFonts w:hint="eastAsia" w:ascii="宋体" w:hAnsi="宋体" w:cs="宋体"/>
          <w:kern w:val="0"/>
          <w:sz w:val="24"/>
        </w:rPr>
        <w:t>0在</w:t>
      </w:r>
      <w:r>
        <w:rPr>
          <w:rFonts w:hint="eastAsia" w:ascii="宋体" w:hAnsi="宋体"/>
          <w:sz w:val="24"/>
        </w:rPr>
        <w:t>中恒德佳工程咨询有限公司</w:t>
      </w:r>
      <w:r>
        <w:rPr>
          <w:rFonts w:hint="eastAsia" w:ascii="宋体" w:hAnsi="宋体" w:cs="宋体"/>
          <w:kern w:val="0"/>
          <w:sz w:val="24"/>
        </w:rPr>
        <w:t>（</w:t>
      </w:r>
      <w:r>
        <w:rPr>
          <w:rFonts w:hint="eastAsia" w:ascii="宋体" w:hAnsi="宋体"/>
          <w:sz w:val="24"/>
        </w:rPr>
        <w:t>成都市金牛区金科中路18号6楼</w:t>
      </w:r>
      <w:r>
        <w:rPr>
          <w:rFonts w:hint="eastAsia" w:ascii="宋体" w:hAnsi="宋体" w:cs="宋体"/>
          <w:kern w:val="0"/>
          <w:sz w:val="24"/>
        </w:rPr>
        <w:t>）获取。磋商文件售价：人民币300元/份（现金支付，磋商文件售后不退, 投标资格不能转让）。</w:t>
      </w:r>
    </w:p>
    <w:p>
      <w:pPr>
        <w:spacing w:line="360" w:lineRule="auto"/>
        <w:ind w:firstLine="360" w:firstLineChars="150"/>
        <w:rPr>
          <w:rFonts w:ascii="宋体" w:hAnsi="宋体" w:cs="宋体"/>
          <w:kern w:val="0"/>
          <w:sz w:val="24"/>
        </w:rPr>
      </w:pPr>
      <w:r>
        <w:rPr>
          <w:rFonts w:hint="eastAsia" w:ascii="宋体" w:hAnsi="宋体" w:cs="宋体"/>
          <w:kern w:val="0"/>
          <w:sz w:val="24"/>
        </w:rPr>
        <w:t>获取磋商文件时，经办人员当场提交以下报名资料： 1.法定代表人授权委托书原件或公司介绍信原件注明所</w:t>
      </w:r>
      <w:r>
        <w:rPr>
          <w:rFonts w:ascii="宋体" w:hAnsi="宋体" w:cs="宋体"/>
          <w:kern w:val="0"/>
          <w:sz w:val="24"/>
        </w:rPr>
        <w:t>报</w:t>
      </w:r>
      <w:r>
        <w:rPr>
          <w:rFonts w:hint="eastAsia" w:ascii="宋体" w:hAnsi="宋体" w:cs="宋体"/>
          <w:kern w:val="0"/>
          <w:sz w:val="24"/>
        </w:rPr>
        <w:t>标段【1.1法定代表人和授权代表签字；1.2加盖公章； 1.3.附带法定代表人及授权代表的身份证复印件加盖公章】。</w:t>
      </w:r>
    </w:p>
    <w:p>
      <w:pPr>
        <w:spacing w:line="360" w:lineRule="auto"/>
        <w:ind w:firstLine="482" w:firstLineChars="200"/>
        <w:rPr>
          <w:rFonts w:ascii="宋体" w:hAnsi="宋体"/>
          <w:sz w:val="24"/>
        </w:rPr>
      </w:pPr>
      <w:r>
        <w:rPr>
          <w:rFonts w:hint="eastAsia" w:ascii="宋体" w:hAnsi="宋体"/>
          <w:b/>
          <w:bCs/>
          <w:sz w:val="24"/>
        </w:rPr>
        <w:t>七、响应文件递交时间</w:t>
      </w:r>
      <w:r>
        <w:rPr>
          <w:rFonts w:hint="eastAsia" w:ascii="宋体" w:hAnsi="宋体"/>
          <w:sz w:val="24"/>
        </w:rPr>
        <w:t>：</w:t>
      </w:r>
      <w:r>
        <w:rPr>
          <w:rFonts w:hint="eastAsia" w:ascii="宋体" w:hAnsi="宋体"/>
          <w:b/>
          <w:bCs/>
          <w:sz w:val="24"/>
        </w:rPr>
        <w:t>2022年06月01日上午09:30至10:00</w:t>
      </w:r>
      <w:r>
        <w:rPr>
          <w:rFonts w:hint="eastAsia" w:ascii="宋体" w:hAnsi="宋体"/>
          <w:sz w:val="24"/>
        </w:rPr>
        <w:t>（北京时间）。</w:t>
      </w:r>
    </w:p>
    <w:p>
      <w:pPr>
        <w:spacing w:line="360" w:lineRule="auto"/>
        <w:ind w:firstLine="482" w:firstLineChars="200"/>
        <w:rPr>
          <w:rFonts w:ascii="宋体" w:hAnsi="宋体"/>
          <w:sz w:val="24"/>
        </w:rPr>
      </w:pPr>
      <w:r>
        <w:rPr>
          <w:rFonts w:hint="eastAsia" w:ascii="宋体" w:hAnsi="宋体"/>
          <w:b/>
          <w:sz w:val="24"/>
        </w:rPr>
        <w:t>八、响应文件截止时间：</w:t>
      </w:r>
      <w:r>
        <w:rPr>
          <w:rFonts w:ascii="宋体" w:hAnsi="宋体"/>
          <w:b/>
          <w:bCs/>
          <w:sz w:val="24"/>
        </w:rPr>
        <w:t>202</w:t>
      </w:r>
      <w:r>
        <w:rPr>
          <w:rFonts w:hint="eastAsia" w:ascii="宋体" w:hAnsi="宋体"/>
          <w:b/>
          <w:bCs/>
          <w:sz w:val="24"/>
        </w:rPr>
        <w:t>2</w:t>
      </w:r>
      <w:r>
        <w:rPr>
          <w:rFonts w:ascii="宋体" w:hAnsi="宋体"/>
          <w:b/>
          <w:bCs/>
          <w:sz w:val="24"/>
        </w:rPr>
        <w:t>年</w:t>
      </w:r>
      <w:r>
        <w:rPr>
          <w:rFonts w:hint="eastAsia" w:ascii="宋体" w:hAnsi="宋体"/>
          <w:b/>
          <w:bCs/>
          <w:sz w:val="24"/>
        </w:rPr>
        <w:t>06月01日上午10</w:t>
      </w:r>
      <w:r>
        <w:rPr>
          <w:rFonts w:ascii="宋体" w:hAnsi="宋体"/>
          <w:b/>
          <w:bCs/>
          <w:sz w:val="24"/>
        </w:rPr>
        <w:t>:</w:t>
      </w:r>
      <w:r>
        <w:rPr>
          <w:rFonts w:hint="eastAsia" w:ascii="宋体" w:hAnsi="宋体"/>
          <w:b/>
          <w:bCs/>
          <w:sz w:val="24"/>
        </w:rPr>
        <w:t>0</w:t>
      </w:r>
      <w:r>
        <w:rPr>
          <w:rFonts w:ascii="宋体" w:hAnsi="宋体"/>
          <w:b/>
          <w:bCs/>
          <w:sz w:val="24"/>
        </w:rPr>
        <w:t>0</w:t>
      </w:r>
      <w:r>
        <w:rPr>
          <w:rFonts w:hint="eastAsia" w:ascii="宋体" w:hAnsi="宋体"/>
          <w:sz w:val="24"/>
        </w:rPr>
        <w:t>（北京时间）。</w:t>
      </w:r>
    </w:p>
    <w:p>
      <w:pPr>
        <w:spacing w:line="360" w:lineRule="auto"/>
        <w:ind w:firstLine="480" w:firstLineChars="200"/>
        <w:rPr>
          <w:rFonts w:ascii="宋体" w:hAnsi="宋体"/>
          <w:sz w:val="24"/>
        </w:rPr>
      </w:pPr>
      <w:r>
        <w:rPr>
          <w:rFonts w:hint="eastAsia" w:ascii="宋体" w:hAnsi="宋体"/>
          <w:sz w:val="24"/>
        </w:rPr>
        <w:t>响应截止时间后送达的响应文件将被拒收，在规定时间内所提交的文件不符合相关规定要求的也将被拒收。</w:t>
      </w:r>
    </w:p>
    <w:p>
      <w:pPr>
        <w:spacing w:line="360" w:lineRule="auto"/>
        <w:ind w:firstLine="482" w:firstLineChars="200"/>
        <w:rPr>
          <w:rFonts w:ascii="宋体" w:hAnsi="宋体"/>
          <w:sz w:val="24"/>
        </w:rPr>
      </w:pPr>
      <w:r>
        <w:rPr>
          <w:rFonts w:hint="eastAsia" w:ascii="宋体" w:hAnsi="宋体"/>
          <w:b/>
          <w:sz w:val="24"/>
        </w:rPr>
        <w:t>九、磋商</w:t>
      </w:r>
      <w:r>
        <w:rPr>
          <w:rFonts w:ascii="宋体" w:hAnsi="宋体"/>
          <w:b/>
          <w:sz w:val="24"/>
        </w:rPr>
        <w:t>地点：</w:t>
      </w:r>
      <w:r>
        <w:rPr>
          <w:rFonts w:hint="eastAsia" w:ascii="宋体" w:hAnsi="宋体"/>
          <w:sz w:val="24"/>
        </w:rPr>
        <w:t>成都市金牛区金科中路18号6楼（中恒德佳工程咨询有限公司）开标厅。</w:t>
      </w:r>
    </w:p>
    <w:p>
      <w:pPr>
        <w:spacing w:line="360" w:lineRule="auto"/>
        <w:ind w:firstLine="482" w:firstLineChars="200"/>
        <w:rPr>
          <w:rFonts w:ascii="宋体" w:hAnsi="宋体"/>
          <w:sz w:val="24"/>
        </w:rPr>
      </w:pPr>
      <w:r>
        <w:rPr>
          <w:rFonts w:hint="eastAsia" w:ascii="宋体" w:hAnsi="宋体"/>
          <w:b/>
          <w:sz w:val="24"/>
        </w:rPr>
        <w:t>十、本磋</w:t>
      </w:r>
      <w:r>
        <w:rPr>
          <w:rFonts w:ascii="宋体" w:hAnsi="宋体"/>
          <w:b/>
          <w:sz w:val="24"/>
        </w:rPr>
        <w:t>商</w:t>
      </w:r>
      <w:r>
        <w:rPr>
          <w:rFonts w:hint="eastAsia" w:ascii="宋体" w:hAnsi="宋体"/>
          <w:b/>
          <w:sz w:val="24"/>
        </w:rPr>
        <w:t>公告在中国政府采购网（</w:t>
      </w:r>
      <w:r>
        <w:rPr>
          <w:rFonts w:ascii="宋体" w:hAnsi="宋体"/>
          <w:b/>
          <w:sz w:val="24"/>
        </w:rPr>
        <w:t>http://www.ccgp.gov.cn/</w:t>
      </w:r>
      <w:r>
        <w:rPr>
          <w:rFonts w:hint="eastAsia" w:ascii="宋体" w:hAnsi="宋体"/>
          <w:b/>
          <w:sz w:val="24"/>
        </w:rPr>
        <w:t>）、电子科技大学招标采购网（</w:t>
      </w:r>
      <w:r>
        <w:rPr>
          <w:rFonts w:ascii="宋体" w:hAnsi="宋体"/>
          <w:b/>
          <w:sz w:val="24"/>
        </w:rPr>
        <w:t>http://cg.uestc.edu.cn/</w:t>
      </w:r>
      <w:r>
        <w:rPr>
          <w:rFonts w:hint="eastAsia" w:ascii="宋体" w:hAnsi="宋体"/>
          <w:b/>
          <w:sz w:val="24"/>
        </w:rPr>
        <w:t>）上发布。</w:t>
      </w:r>
    </w:p>
    <w:p>
      <w:pPr>
        <w:spacing w:line="360" w:lineRule="auto"/>
        <w:ind w:left="420" w:leftChars="200"/>
        <w:rPr>
          <w:rFonts w:ascii="宋体" w:hAnsi="宋体"/>
          <w:sz w:val="24"/>
        </w:rPr>
      </w:pPr>
      <w:r>
        <w:rPr>
          <w:rFonts w:hint="eastAsia" w:ascii="宋体" w:hAnsi="宋体"/>
          <w:b/>
          <w:sz w:val="24"/>
        </w:rPr>
        <w:t>十一、联系方式</w:t>
      </w:r>
      <w:r>
        <w:rPr>
          <w:rFonts w:ascii="宋体" w:hAnsi="宋体"/>
          <w:sz w:val="24"/>
        </w:rPr>
        <w:br w:type="textWrapping"/>
      </w:r>
      <w:r>
        <w:rPr>
          <w:rFonts w:hint="eastAsia" w:ascii="宋体" w:hAnsi="宋体"/>
          <w:sz w:val="24"/>
        </w:rPr>
        <w:t>采 购 人：电子科技大学</w:t>
      </w:r>
    </w:p>
    <w:p>
      <w:pPr>
        <w:spacing w:line="360" w:lineRule="auto"/>
        <w:ind w:firstLine="480" w:firstLineChars="200"/>
        <w:rPr>
          <w:rFonts w:ascii="宋体" w:hAnsi="宋体"/>
          <w:sz w:val="24"/>
        </w:rPr>
      </w:pPr>
      <w:r>
        <w:rPr>
          <w:rFonts w:hint="eastAsia" w:ascii="宋体" w:hAnsi="宋体"/>
          <w:sz w:val="24"/>
        </w:rPr>
        <w:t>地    址： 成都市高新区（西区）西源大道2006号</w:t>
      </w:r>
    </w:p>
    <w:p>
      <w:pPr>
        <w:spacing w:line="360" w:lineRule="auto"/>
        <w:ind w:firstLine="480" w:firstLineChars="200"/>
        <w:rPr>
          <w:rFonts w:ascii="宋体" w:hAnsi="宋体"/>
          <w:sz w:val="24"/>
        </w:rPr>
      </w:pPr>
      <w:r>
        <w:rPr>
          <w:rFonts w:hint="eastAsia" w:ascii="宋体" w:hAnsi="宋体"/>
          <w:sz w:val="24"/>
        </w:rPr>
        <w:t>邮    编： 611731</w:t>
      </w:r>
    </w:p>
    <w:p>
      <w:pPr>
        <w:spacing w:line="360" w:lineRule="auto"/>
        <w:ind w:firstLine="480" w:firstLineChars="200"/>
        <w:rPr>
          <w:rFonts w:ascii="宋体" w:hAnsi="宋体"/>
          <w:sz w:val="24"/>
        </w:rPr>
      </w:pPr>
      <w:r>
        <w:rPr>
          <w:rFonts w:hint="eastAsia" w:ascii="宋体" w:hAnsi="宋体"/>
          <w:sz w:val="24"/>
        </w:rPr>
        <w:t>联 系 人： 刘老师</w:t>
      </w:r>
    </w:p>
    <w:p>
      <w:pPr>
        <w:spacing w:line="360" w:lineRule="auto"/>
        <w:ind w:firstLine="480" w:firstLineChars="200"/>
        <w:rPr>
          <w:rFonts w:ascii="宋体" w:hAnsi="宋体"/>
          <w:sz w:val="24"/>
        </w:rPr>
      </w:pPr>
      <w:r>
        <w:rPr>
          <w:rFonts w:hint="eastAsia" w:ascii="宋体" w:hAnsi="宋体"/>
          <w:sz w:val="24"/>
        </w:rPr>
        <w:t>电    话：028</w:t>
      </w:r>
      <w:r>
        <w:rPr>
          <w:rFonts w:ascii="宋体" w:hAnsi="宋体"/>
          <w:sz w:val="24"/>
        </w:rPr>
        <w:t>-61830084</w:t>
      </w:r>
    </w:p>
    <w:p>
      <w:pPr>
        <w:spacing w:line="360" w:lineRule="auto"/>
        <w:ind w:firstLine="480" w:firstLineChars="200"/>
        <w:rPr>
          <w:rFonts w:ascii="宋体" w:hAnsi="宋体"/>
          <w:sz w:val="24"/>
        </w:rPr>
      </w:pPr>
      <w:r>
        <w:rPr>
          <w:rFonts w:hint="eastAsia" w:ascii="宋体" w:hAnsi="宋体"/>
          <w:sz w:val="24"/>
        </w:rPr>
        <w:t>代理机构：中恒德佳工程咨询有限公司</w:t>
      </w:r>
    </w:p>
    <w:p>
      <w:pPr>
        <w:spacing w:line="360" w:lineRule="auto"/>
        <w:ind w:firstLine="480" w:firstLineChars="200"/>
        <w:rPr>
          <w:rFonts w:ascii="宋体" w:hAnsi="宋体"/>
          <w:sz w:val="24"/>
        </w:rPr>
      </w:pPr>
      <w:r>
        <w:rPr>
          <w:rFonts w:hint="eastAsia" w:ascii="宋体" w:hAnsi="宋体"/>
          <w:sz w:val="24"/>
        </w:rPr>
        <w:t>地    址：成都市金牛区金科中路18号六楼</w:t>
      </w:r>
    </w:p>
    <w:p>
      <w:pPr>
        <w:spacing w:line="360" w:lineRule="auto"/>
        <w:ind w:firstLine="480" w:firstLineChars="200"/>
        <w:rPr>
          <w:rFonts w:ascii="宋体" w:hAnsi="宋体"/>
          <w:sz w:val="24"/>
        </w:rPr>
      </w:pPr>
      <w:r>
        <w:rPr>
          <w:rFonts w:hint="eastAsia" w:ascii="宋体" w:hAnsi="宋体"/>
          <w:sz w:val="24"/>
        </w:rPr>
        <w:t>联 系 人：周女士、尹女士</w:t>
      </w:r>
    </w:p>
    <w:p>
      <w:pPr>
        <w:spacing w:line="360" w:lineRule="auto"/>
        <w:ind w:firstLine="480" w:firstLineChars="200"/>
        <w:rPr>
          <w:rFonts w:ascii="宋体" w:hAnsi="宋体"/>
          <w:sz w:val="24"/>
        </w:rPr>
      </w:pPr>
      <w:r>
        <w:rPr>
          <w:rFonts w:hint="eastAsia" w:ascii="宋体" w:hAnsi="宋体"/>
          <w:sz w:val="24"/>
        </w:rPr>
        <w:t>电    话：028-61363972、028-61363971-805、028-61363971-899</w:t>
      </w:r>
    </w:p>
    <w:p>
      <w:pPr>
        <w:spacing w:line="360" w:lineRule="auto"/>
        <w:ind w:firstLine="480" w:firstLineChars="200"/>
        <w:rPr>
          <w:rFonts w:ascii="宋体" w:hAnsi="宋体"/>
          <w:sz w:val="24"/>
        </w:rPr>
      </w:pPr>
      <w:r>
        <w:rPr>
          <w:rFonts w:hint="eastAsia" w:ascii="宋体" w:hAnsi="宋体"/>
          <w:sz w:val="24"/>
        </w:rPr>
        <w:t>传　  真：028-87621112</w:t>
      </w:r>
    </w:p>
    <w:p>
      <w:pPr>
        <w:widowControl/>
        <w:jc w:val="left"/>
        <w:rPr>
          <w:rFonts w:ascii="宋体" w:hAnsi="宋体"/>
          <w:kern w:val="0"/>
          <w:sz w:val="24"/>
        </w:rPr>
      </w:pPr>
      <w:r>
        <w:rPr>
          <w:rFonts w:ascii="宋体" w:hAnsi="宋体"/>
          <w:b/>
          <w:bCs/>
          <w:kern w:val="0"/>
          <w:sz w:val="24"/>
        </w:rPr>
        <w:br w:type="page"/>
      </w:r>
    </w:p>
    <w:p>
      <w:pPr>
        <w:pStyle w:val="37"/>
        <w:rPr>
          <w:rFonts w:ascii="宋体" w:hAnsi="宋体" w:eastAsia="宋体"/>
        </w:rPr>
      </w:pPr>
      <w:r>
        <w:rPr>
          <w:rFonts w:hint="eastAsia" w:ascii="宋体" w:hAnsi="宋体" w:eastAsia="宋体"/>
        </w:rPr>
        <w:t>第二章  磋商须知</w:t>
      </w:r>
      <w:bookmarkEnd w:id="2"/>
      <w:bookmarkEnd w:id="3"/>
      <w:bookmarkEnd w:id="4"/>
      <w:bookmarkEnd w:id="5"/>
      <w:bookmarkEnd w:id="6"/>
      <w:bookmarkEnd w:id="7"/>
      <w:bookmarkEnd w:id="8"/>
    </w:p>
    <w:p>
      <w:pPr>
        <w:pStyle w:val="3"/>
        <w:keepNext w:val="0"/>
        <w:keepLines w:val="0"/>
        <w:spacing w:line="240" w:lineRule="auto"/>
        <w:jc w:val="center"/>
        <w:rPr>
          <w:rFonts w:ascii="宋体" w:hAnsi="宋体" w:eastAsia="宋体"/>
        </w:rPr>
      </w:pPr>
      <w:r>
        <w:rPr>
          <w:rFonts w:hint="eastAsia" w:ascii="宋体" w:hAnsi="宋体" w:eastAsia="宋体"/>
        </w:rPr>
        <w:t>一、供应商须知附表</w:t>
      </w:r>
    </w:p>
    <w:tbl>
      <w:tblPr>
        <w:tblStyle w:val="39"/>
        <w:tblW w:w="9506"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1013"/>
        <w:gridCol w:w="2409"/>
        <w:gridCol w:w="6084"/>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1013" w:type="dxa"/>
            <w:vAlign w:val="center"/>
          </w:tcPr>
          <w:p>
            <w:pPr>
              <w:pStyle w:val="57"/>
              <w:spacing w:line="360" w:lineRule="auto"/>
              <w:ind w:left="9"/>
              <w:jc w:val="center"/>
              <w:rPr>
                <w:sz w:val="21"/>
                <w:szCs w:val="21"/>
                <w:lang w:val="zh-CN"/>
              </w:rPr>
            </w:pPr>
            <w:r>
              <w:rPr>
                <w:rFonts w:hint="eastAsia"/>
                <w:sz w:val="21"/>
                <w:szCs w:val="21"/>
                <w:lang w:val="zh-CN"/>
              </w:rPr>
              <w:t>序号</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应知事项</w:t>
            </w:r>
          </w:p>
        </w:tc>
        <w:tc>
          <w:tcPr>
            <w:tcW w:w="6084" w:type="dxa"/>
            <w:vAlign w:val="center"/>
          </w:tcPr>
          <w:p>
            <w:pPr>
              <w:pStyle w:val="57"/>
              <w:spacing w:line="360" w:lineRule="auto"/>
              <w:jc w:val="center"/>
              <w:rPr>
                <w:sz w:val="21"/>
                <w:szCs w:val="21"/>
                <w:lang w:val="zh-CN"/>
              </w:rPr>
            </w:pPr>
            <w:r>
              <w:rPr>
                <w:rFonts w:hint="eastAsia"/>
                <w:sz w:val="21"/>
                <w:szCs w:val="21"/>
                <w:lang w:val="zh-CN"/>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采购预算</w:t>
            </w:r>
          </w:p>
          <w:p>
            <w:pPr>
              <w:pStyle w:val="57"/>
              <w:spacing w:line="360" w:lineRule="auto"/>
              <w:ind w:left="38"/>
              <w:jc w:val="center"/>
              <w:rPr>
                <w:sz w:val="21"/>
                <w:szCs w:val="21"/>
                <w:lang w:val="zh-CN"/>
              </w:rPr>
            </w:pPr>
            <w:r>
              <w:rPr>
                <w:rFonts w:hint="eastAsia"/>
                <w:sz w:val="21"/>
                <w:szCs w:val="21"/>
                <w:lang w:val="zh-CN"/>
              </w:rPr>
              <w:t>（实质性要求）</w:t>
            </w:r>
          </w:p>
        </w:tc>
        <w:tc>
          <w:tcPr>
            <w:tcW w:w="6084" w:type="dxa"/>
          </w:tcPr>
          <w:p>
            <w:pPr>
              <w:pStyle w:val="57"/>
              <w:spacing w:line="360" w:lineRule="auto"/>
              <w:jc w:val="both"/>
              <w:rPr>
                <w:sz w:val="21"/>
                <w:szCs w:val="21"/>
                <w:lang w:val="zh-CN"/>
              </w:rPr>
            </w:pPr>
            <w:r>
              <w:rPr>
                <w:rFonts w:hint="eastAsia"/>
                <w:sz w:val="21"/>
                <w:szCs w:val="21"/>
                <w:lang w:val="zh-CN"/>
              </w:rPr>
              <w:t>本项目预算金额：</w:t>
            </w:r>
            <w:r>
              <w:rPr>
                <w:sz w:val="21"/>
                <w:szCs w:val="21"/>
                <w:lang w:val="zh-CN"/>
              </w:rPr>
              <w:t>702.393</w:t>
            </w:r>
            <w:r>
              <w:rPr>
                <w:rFonts w:hint="eastAsia"/>
                <w:sz w:val="21"/>
                <w:szCs w:val="21"/>
                <w:lang w:val="zh-CN"/>
              </w:rPr>
              <w:t>万元；</w:t>
            </w:r>
          </w:p>
          <w:p>
            <w:pPr>
              <w:pStyle w:val="57"/>
              <w:spacing w:line="360" w:lineRule="auto"/>
              <w:jc w:val="both"/>
              <w:rPr>
                <w:sz w:val="21"/>
                <w:szCs w:val="21"/>
                <w:lang w:val="zh-CN"/>
              </w:rPr>
            </w:pPr>
            <w:r>
              <w:rPr>
                <w:sz w:val="21"/>
                <w:szCs w:val="21"/>
                <w:lang w:val="zh-CN"/>
              </w:rPr>
              <w:t>其中：</w:t>
            </w:r>
            <w:r>
              <w:rPr>
                <w:rFonts w:hint="eastAsia"/>
                <w:sz w:val="21"/>
                <w:szCs w:val="21"/>
                <w:lang w:val="zh-CN"/>
              </w:rPr>
              <w:t>施工费预算</w:t>
            </w:r>
            <w:r>
              <w:rPr>
                <w:sz w:val="21"/>
                <w:szCs w:val="21"/>
                <w:lang w:val="zh-CN"/>
              </w:rPr>
              <w:t>金额</w:t>
            </w:r>
            <w:r>
              <w:rPr>
                <w:rFonts w:hint="eastAsia"/>
                <w:sz w:val="21"/>
                <w:szCs w:val="21"/>
                <w:lang w:val="zh-CN"/>
              </w:rPr>
              <w:t>：</w:t>
            </w:r>
            <w:r>
              <w:rPr>
                <w:sz w:val="21"/>
                <w:szCs w:val="21"/>
                <w:lang w:val="zh-CN"/>
              </w:rPr>
              <w:t>6737825.66</w:t>
            </w:r>
            <w:r>
              <w:rPr>
                <w:rFonts w:hint="eastAsia"/>
                <w:sz w:val="21"/>
                <w:szCs w:val="21"/>
                <w:lang w:val="zh-CN"/>
              </w:rPr>
              <w:t>元，设计费预算</w:t>
            </w:r>
            <w:r>
              <w:rPr>
                <w:sz w:val="21"/>
                <w:szCs w:val="21"/>
                <w:lang w:val="zh-CN"/>
              </w:rPr>
              <w:t>金额</w:t>
            </w:r>
            <w:r>
              <w:rPr>
                <w:rFonts w:hint="eastAsia"/>
                <w:sz w:val="21"/>
                <w:szCs w:val="21"/>
                <w:lang w:val="zh-CN"/>
              </w:rPr>
              <w:t>：</w:t>
            </w:r>
            <w:r>
              <w:rPr>
                <w:sz w:val="21"/>
                <w:szCs w:val="21"/>
                <w:lang w:val="zh-CN"/>
              </w:rPr>
              <w:t>286104.34</w:t>
            </w:r>
            <w:r>
              <w:rPr>
                <w:rFonts w:hint="eastAsia"/>
                <w:sz w:val="21"/>
                <w:szCs w:val="21"/>
                <w:lang w:val="zh-CN"/>
              </w:rPr>
              <w:t>元。</w:t>
            </w:r>
          </w:p>
          <w:p>
            <w:pPr>
              <w:pStyle w:val="57"/>
              <w:spacing w:line="360" w:lineRule="auto"/>
              <w:jc w:val="both"/>
              <w:rPr>
                <w:sz w:val="21"/>
                <w:szCs w:val="21"/>
                <w:lang w:val="zh-CN"/>
              </w:rPr>
            </w:pPr>
            <w:r>
              <w:rPr>
                <w:rFonts w:hint="eastAsia"/>
                <w:sz w:val="21"/>
                <w:szCs w:val="21"/>
                <w:lang w:val="zh-CN"/>
              </w:rPr>
              <w:t>报价超过采购预算,其响应文件按无效处理。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2</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最高限价</w:t>
            </w:r>
          </w:p>
          <w:p>
            <w:pPr>
              <w:pStyle w:val="57"/>
              <w:spacing w:line="360" w:lineRule="auto"/>
              <w:ind w:left="38"/>
              <w:jc w:val="center"/>
              <w:rPr>
                <w:sz w:val="21"/>
                <w:szCs w:val="21"/>
                <w:lang w:val="zh-CN"/>
              </w:rPr>
            </w:pPr>
            <w:r>
              <w:rPr>
                <w:rFonts w:hint="eastAsia"/>
                <w:sz w:val="21"/>
                <w:szCs w:val="21"/>
                <w:lang w:val="zh-CN"/>
              </w:rPr>
              <w:t>（实质性要求）</w:t>
            </w:r>
          </w:p>
        </w:tc>
        <w:tc>
          <w:tcPr>
            <w:tcW w:w="6084" w:type="dxa"/>
            <w:vAlign w:val="center"/>
          </w:tcPr>
          <w:p>
            <w:pPr>
              <w:pStyle w:val="57"/>
              <w:spacing w:line="360" w:lineRule="auto"/>
              <w:rPr>
                <w:sz w:val="21"/>
                <w:szCs w:val="21"/>
                <w:lang w:val="zh-CN"/>
              </w:rPr>
            </w:pPr>
            <w:r>
              <w:rPr>
                <w:rFonts w:hint="eastAsia"/>
                <w:sz w:val="21"/>
                <w:szCs w:val="21"/>
                <w:lang w:val="zh-CN"/>
              </w:rPr>
              <w:t>报价方式：供应商应根据采购人提供的采购文件及相关资料，结合企业自身成本进行自主报价。本项目按下浮比例的形式进行报价。按预算</w:t>
            </w:r>
            <w:r>
              <w:rPr>
                <w:sz w:val="21"/>
                <w:szCs w:val="21"/>
                <w:lang w:val="zh-CN"/>
              </w:rPr>
              <w:t>金额</w:t>
            </w:r>
            <w:r>
              <w:rPr>
                <w:rFonts w:hint="eastAsia"/>
                <w:sz w:val="21"/>
                <w:szCs w:val="21"/>
                <w:lang w:val="zh-CN"/>
              </w:rPr>
              <w:t>折算</w:t>
            </w:r>
            <w:r>
              <w:rPr>
                <w:sz w:val="21"/>
                <w:szCs w:val="21"/>
                <w:lang w:val="zh-CN"/>
              </w:rPr>
              <w:t>成人民币</w:t>
            </w:r>
            <w:r>
              <w:rPr>
                <w:rFonts w:hint="eastAsia"/>
                <w:sz w:val="21"/>
                <w:szCs w:val="21"/>
                <w:lang w:val="zh-CN"/>
              </w:rPr>
              <w:t>，最高限价为不下浮（即下浮 0 %）。</w:t>
            </w:r>
          </w:p>
          <w:p>
            <w:pPr>
              <w:pStyle w:val="57"/>
              <w:spacing w:line="360" w:lineRule="auto"/>
              <w:rPr>
                <w:sz w:val="21"/>
                <w:szCs w:val="21"/>
                <w:lang w:val="zh-CN"/>
              </w:rPr>
            </w:pPr>
            <w:r>
              <w:rPr>
                <w:rFonts w:hint="eastAsia"/>
                <w:sz w:val="21"/>
                <w:szCs w:val="21"/>
                <w:lang w:val="zh-CN"/>
              </w:rPr>
              <w:t>1、设计费</w:t>
            </w:r>
          </w:p>
          <w:p>
            <w:pPr>
              <w:pStyle w:val="57"/>
              <w:spacing w:line="360" w:lineRule="auto"/>
              <w:rPr>
                <w:sz w:val="21"/>
                <w:szCs w:val="21"/>
                <w:lang w:val="zh-CN"/>
              </w:rPr>
            </w:pPr>
            <w:r>
              <w:rPr>
                <w:rFonts w:hint="eastAsia"/>
                <w:sz w:val="21"/>
                <w:szCs w:val="21"/>
                <w:lang w:val="zh-CN"/>
              </w:rPr>
              <w:t>1.1 以设计费的采购预算作为最高限价，结合本项目实际情况，根据工程设计服务费由供应商根据企业自身情况及承担风险能力、市场情形、管理经验参照“进一步开放建设项目专业服务价格的通知”发改价格【2015】299号文件、《工程设计收费标准》（计价格[2002]10号）等文件收费标准填报下浮比例报价，超出最高限价范围的响应文件作无效响应处理。</w:t>
            </w:r>
          </w:p>
          <w:p>
            <w:pPr>
              <w:pStyle w:val="57"/>
              <w:spacing w:line="360" w:lineRule="auto"/>
              <w:rPr>
                <w:sz w:val="21"/>
                <w:szCs w:val="21"/>
                <w:lang w:val="zh-CN"/>
              </w:rPr>
            </w:pPr>
            <w:r>
              <w:rPr>
                <w:rFonts w:hint="eastAsia"/>
                <w:sz w:val="21"/>
                <w:szCs w:val="21"/>
                <w:lang w:val="zh-CN"/>
              </w:rPr>
              <w:t>1.2 供应商的设计服务收费，应包括供应商完成本工程设计服务范围内的全部内容及后期服务的全部费用。</w:t>
            </w:r>
          </w:p>
          <w:p>
            <w:pPr>
              <w:pStyle w:val="57"/>
              <w:spacing w:line="360" w:lineRule="auto"/>
              <w:rPr>
                <w:sz w:val="21"/>
                <w:szCs w:val="21"/>
                <w:lang w:val="zh-CN"/>
              </w:rPr>
            </w:pPr>
            <w:r>
              <w:rPr>
                <w:rFonts w:hint="eastAsia"/>
                <w:sz w:val="21"/>
                <w:szCs w:val="21"/>
                <w:lang w:val="zh-CN"/>
              </w:rPr>
              <w:t>1.3 结算时实际设计收费＝设计费预算金额*（1-下浮比例）。</w:t>
            </w:r>
          </w:p>
          <w:p>
            <w:pPr>
              <w:pStyle w:val="57"/>
              <w:spacing w:line="360" w:lineRule="auto"/>
              <w:rPr>
                <w:sz w:val="21"/>
                <w:szCs w:val="21"/>
                <w:lang w:val="zh-CN"/>
              </w:rPr>
            </w:pPr>
            <w:r>
              <w:rPr>
                <w:rFonts w:hint="eastAsia"/>
                <w:sz w:val="21"/>
                <w:szCs w:val="21"/>
                <w:lang w:val="zh-CN"/>
              </w:rPr>
              <w:t>2、施工费</w:t>
            </w:r>
          </w:p>
          <w:p>
            <w:pPr>
              <w:pStyle w:val="57"/>
              <w:spacing w:line="360" w:lineRule="auto"/>
              <w:rPr>
                <w:sz w:val="21"/>
                <w:szCs w:val="21"/>
                <w:lang w:val="zh-CN"/>
              </w:rPr>
            </w:pPr>
            <w:r>
              <w:rPr>
                <w:rFonts w:hint="eastAsia"/>
                <w:sz w:val="21"/>
                <w:szCs w:val="21"/>
                <w:lang w:val="zh-CN"/>
              </w:rPr>
              <w:t>2.1以施工费预算金额作为最高限价，结合本项目实际情况，根据工程实际和自身实力填报下浮比例报价，超出最高限价范围的响应文件作无效响应处理。</w:t>
            </w:r>
          </w:p>
          <w:p>
            <w:pPr>
              <w:pStyle w:val="57"/>
              <w:spacing w:line="360" w:lineRule="auto"/>
              <w:rPr>
                <w:sz w:val="21"/>
                <w:szCs w:val="21"/>
                <w:lang w:val="zh-CN"/>
              </w:rPr>
            </w:pPr>
            <w:r>
              <w:rPr>
                <w:rFonts w:hint="eastAsia"/>
                <w:sz w:val="21"/>
                <w:szCs w:val="21"/>
                <w:lang w:val="zh-CN"/>
              </w:rPr>
              <w:t>2.2 供应商的施工费，应包括供应商完成本工程施工范围内的全部内容及后期服务的全部费用。</w:t>
            </w:r>
          </w:p>
          <w:p>
            <w:pPr>
              <w:pStyle w:val="57"/>
              <w:spacing w:line="360" w:lineRule="auto"/>
              <w:rPr>
                <w:sz w:val="21"/>
                <w:szCs w:val="21"/>
                <w:lang w:val="zh-CN"/>
              </w:rPr>
            </w:pPr>
            <w:r>
              <w:rPr>
                <w:rFonts w:hint="eastAsia"/>
                <w:sz w:val="21"/>
                <w:szCs w:val="21"/>
                <w:lang w:val="zh-CN"/>
              </w:rPr>
              <w:t>2.3 （1）结算时，按照采购人审核认可的施工图纸和实际工程量，执行四川省现行的定额和清单计价规范。</w:t>
            </w:r>
          </w:p>
          <w:p>
            <w:pPr>
              <w:pStyle w:val="57"/>
              <w:spacing w:line="360" w:lineRule="auto"/>
              <w:ind w:firstLine="420" w:firstLineChars="200"/>
              <w:jc w:val="both"/>
              <w:rPr>
                <w:sz w:val="21"/>
                <w:szCs w:val="21"/>
                <w:lang w:val="zh-CN"/>
              </w:rPr>
            </w:pPr>
            <w:r>
              <w:rPr>
                <w:rFonts w:hint="eastAsia"/>
                <w:sz w:val="21"/>
                <w:szCs w:val="21"/>
                <w:lang w:val="zh-CN"/>
              </w:rPr>
              <w:t>（2）实际结算价=可竞争费用*（1-下浮比例）+以可竞争费用中相应费用为计价基础计算出的不可竞争费用+税金（以可竞争费用与不可竞争费用为计价基础乘以相应税率）。</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3</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进口产品（实质性要求）</w:t>
            </w:r>
          </w:p>
        </w:tc>
        <w:tc>
          <w:tcPr>
            <w:tcW w:w="6084" w:type="dxa"/>
            <w:vAlign w:val="center"/>
          </w:tcPr>
          <w:p>
            <w:pPr>
              <w:pStyle w:val="57"/>
              <w:spacing w:line="360" w:lineRule="auto"/>
              <w:ind w:firstLine="105" w:firstLineChars="50"/>
              <w:jc w:val="both"/>
              <w:rPr>
                <w:sz w:val="21"/>
                <w:szCs w:val="21"/>
                <w:lang w:val="zh-CN"/>
              </w:rPr>
            </w:pPr>
            <w:bookmarkStart w:id="9" w:name="PO_默认文件内容_10"/>
            <w:r>
              <w:rPr>
                <w:rFonts w:hint="eastAsia" w:cs="Times New Roman"/>
                <w:kern w:val="2"/>
                <w:sz w:val="21"/>
                <w:szCs w:val="21"/>
                <w:lang w:val="zh-CN"/>
              </w:rPr>
              <w:t>本项目竞争性磋商文件中未载明“允许采购进口产品”的产品，拒绝进口产品参与竞争，</w:t>
            </w:r>
            <w:r>
              <w:rPr>
                <w:rFonts w:cs="Times New Roman"/>
                <w:kern w:val="2"/>
                <w:sz w:val="21"/>
                <w:szCs w:val="21"/>
                <w:lang w:val="zh-CN"/>
              </w:rPr>
              <w:t>供应商以</w:t>
            </w:r>
            <w:r>
              <w:rPr>
                <w:rFonts w:hint="eastAsia" w:cs="Times New Roman"/>
                <w:kern w:val="2"/>
                <w:sz w:val="21"/>
                <w:szCs w:val="21"/>
                <w:lang w:val="zh-CN"/>
              </w:rPr>
              <w:t>进口</w:t>
            </w:r>
            <w:r>
              <w:rPr>
                <w:rFonts w:cs="Times New Roman"/>
                <w:kern w:val="2"/>
                <w:sz w:val="21"/>
                <w:szCs w:val="21"/>
                <w:lang w:val="zh-CN"/>
              </w:rPr>
              <w:t>产品</w:t>
            </w:r>
            <w:r>
              <w:rPr>
                <w:rFonts w:hint="eastAsia" w:cs="Times New Roman"/>
                <w:kern w:val="2"/>
                <w:sz w:val="21"/>
                <w:szCs w:val="21"/>
                <w:lang w:val="zh-CN"/>
              </w:rPr>
              <w:t>响应时</w:t>
            </w:r>
            <w:r>
              <w:rPr>
                <w:rFonts w:cs="Times New Roman"/>
                <w:kern w:val="2"/>
                <w:sz w:val="21"/>
                <w:szCs w:val="21"/>
                <w:lang w:val="zh-CN"/>
              </w:rPr>
              <w:t>，</w:t>
            </w:r>
            <w:r>
              <w:rPr>
                <w:rFonts w:hint="eastAsia" w:cs="Times New Roman"/>
                <w:kern w:val="2"/>
                <w:sz w:val="21"/>
                <w:szCs w:val="21"/>
                <w:lang w:val="zh-CN"/>
              </w:rPr>
              <w:t>其响应</w:t>
            </w:r>
            <w:r>
              <w:rPr>
                <w:rFonts w:cs="Times New Roman"/>
                <w:kern w:val="2"/>
                <w:sz w:val="21"/>
                <w:szCs w:val="21"/>
                <w:lang w:val="zh-CN"/>
              </w:rPr>
              <w:t>文件按无效处理</w:t>
            </w:r>
            <w:r>
              <w:rPr>
                <w:rFonts w:hint="eastAsia" w:cs="Times New Roman"/>
                <w:kern w:val="2"/>
                <w:sz w:val="21"/>
                <w:szCs w:val="21"/>
                <w:lang w:val="zh-CN"/>
              </w:rPr>
              <w:t>。载明“允许采购进口产品”的产品，不限制国产产品参与竞争。</w:t>
            </w:r>
            <w:bookmarkEnd w:id="9"/>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4</w:t>
            </w:r>
          </w:p>
        </w:tc>
        <w:tc>
          <w:tcPr>
            <w:tcW w:w="2409" w:type="dxa"/>
            <w:vAlign w:val="center"/>
          </w:tcPr>
          <w:p>
            <w:pPr>
              <w:pStyle w:val="57"/>
              <w:spacing w:line="360" w:lineRule="auto"/>
              <w:ind w:left="38"/>
              <w:rPr>
                <w:sz w:val="21"/>
                <w:szCs w:val="21"/>
              </w:rPr>
            </w:pPr>
            <w:r>
              <w:rPr>
                <w:rFonts w:hint="eastAsia"/>
                <w:sz w:val="21"/>
                <w:szCs w:val="21"/>
              </w:rPr>
              <w:t>低于成本价</w:t>
            </w:r>
          </w:p>
          <w:p>
            <w:pPr>
              <w:pStyle w:val="57"/>
              <w:spacing w:line="360" w:lineRule="auto"/>
              <w:ind w:left="38"/>
              <w:rPr>
                <w:sz w:val="21"/>
                <w:szCs w:val="21"/>
              </w:rPr>
            </w:pPr>
            <w:r>
              <w:rPr>
                <w:rFonts w:hint="eastAsia"/>
                <w:sz w:val="21"/>
                <w:szCs w:val="21"/>
              </w:rPr>
              <w:t>不正当竞争预防措施</w:t>
            </w:r>
          </w:p>
          <w:p>
            <w:pPr>
              <w:pStyle w:val="57"/>
              <w:spacing w:line="360" w:lineRule="auto"/>
              <w:ind w:left="38"/>
              <w:rPr>
                <w:sz w:val="21"/>
                <w:szCs w:val="21"/>
              </w:rPr>
            </w:pPr>
            <w:r>
              <w:rPr>
                <w:rFonts w:hint="eastAsia"/>
                <w:sz w:val="21"/>
                <w:szCs w:val="21"/>
              </w:rPr>
              <w:t>（实质性要求）</w:t>
            </w:r>
          </w:p>
        </w:tc>
        <w:tc>
          <w:tcPr>
            <w:tcW w:w="6084" w:type="dxa"/>
            <w:vAlign w:val="center"/>
          </w:tcPr>
          <w:p>
            <w:pPr>
              <w:pStyle w:val="57"/>
              <w:numPr>
                <w:ilvl w:val="0"/>
                <w:numId w:val="1"/>
              </w:numPr>
              <w:spacing w:line="360" w:lineRule="auto"/>
              <w:ind w:left="0" w:firstLine="105"/>
              <w:rPr>
                <w:rFonts w:cs="Times New Roman"/>
                <w:kern w:val="2"/>
                <w:sz w:val="21"/>
                <w:szCs w:val="21"/>
                <w:lang w:val="zh-CN"/>
              </w:rPr>
            </w:pPr>
            <w:bookmarkStart w:id="10" w:name="PO_默认文件内容_111"/>
            <w:r>
              <w:rPr>
                <w:rFonts w:hint="eastAsia" w:cs="Times New Roman"/>
                <w:kern w:val="2"/>
                <w:sz w:val="21"/>
                <w:szCs w:val="21"/>
                <w:lang w:val="zh-CN"/>
              </w:rPr>
              <w:t>设计</w:t>
            </w:r>
            <w:r>
              <w:rPr>
                <w:rFonts w:cs="Times New Roman"/>
                <w:kern w:val="2"/>
                <w:sz w:val="21"/>
                <w:szCs w:val="21"/>
                <w:lang w:val="zh-CN"/>
              </w:rPr>
              <w:t>报价：</w:t>
            </w:r>
            <w:r>
              <w:rPr>
                <w:rFonts w:hint="eastAsia" w:cs="Times New Roman"/>
                <w:kern w:val="2"/>
                <w:sz w:val="21"/>
                <w:szCs w:val="21"/>
                <w:lang w:val="zh-CN"/>
              </w:rPr>
              <w:t>评审委员会认为供应商的报价明显低于其他通过有效性、完整性和响应程度审查供应商的报价，有可能影响产品质量或者不能诚信履约的，应当要求其在评审现场合理的时间内提供书面说明，必要时提交相关证明材料；供应商不能证明其报价合理性的，评审委员会应当将其作为无效响应处理。</w:t>
            </w:r>
            <w:bookmarkEnd w:id="10"/>
          </w:p>
          <w:p>
            <w:pPr>
              <w:spacing w:line="360" w:lineRule="auto"/>
              <w:ind w:right="105" w:rightChars="50"/>
              <w:jc w:val="left"/>
              <w:rPr>
                <w:rFonts w:ascii="宋体" w:hAnsi="宋体"/>
                <w:kern w:val="0"/>
                <w:szCs w:val="21"/>
              </w:rPr>
            </w:pPr>
            <w:r>
              <w:rPr>
                <w:rFonts w:hint="eastAsia" w:ascii="宋体" w:hAnsi="宋体"/>
                <w:szCs w:val="21"/>
              </w:rPr>
              <w:t>2.施工</w:t>
            </w:r>
            <w:r>
              <w:rPr>
                <w:rFonts w:ascii="宋体" w:hAnsi="宋体"/>
                <w:szCs w:val="21"/>
              </w:rPr>
              <w:t>报价：</w:t>
            </w:r>
            <w:r>
              <w:rPr>
                <w:rFonts w:hint="eastAsia" w:ascii="宋体" w:hAnsi="宋体" w:cs="宋体"/>
                <w:szCs w:val="21"/>
              </w:rPr>
              <w:t>（1）</w:t>
            </w:r>
            <w:r>
              <w:rPr>
                <w:rFonts w:ascii="宋体" w:hAnsi="宋体" w:cs="宋体"/>
                <w:szCs w:val="21"/>
              </w:rPr>
              <w:t>供应商报价＜【采购预算*85%，四舍五入保留两位小数】</w:t>
            </w:r>
            <w:r>
              <w:rPr>
                <w:rFonts w:hint="eastAsia" w:ascii="宋体" w:hAnsi="宋体" w:cs="仿宋"/>
                <w:kern w:val="0"/>
                <w:szCs w:val="21"/>
              </w:rPr>
              <w:t>,有可能影响工程质量或者不能诚信履约的，应当要求其在评审现场合理的时间内提供书面说明，必要时提交相关证明材料；供应商不能证明其报价合理性的，磋商小组应当将其</w:t>
            </w:r>
            <w:r>
              <w:rPr>
                <w:rFonts w:hint="eastAsia" w:ascii="宋体" w:hAnsi="宋体" w:cs="仿宋"/>
                <w:szCs w:val="21"/>
              </w:rPr>
              <w:t>响应文件作为无效处理</w:t>
            </w:r>
            <w:r>
              <w:rPr>
                <w:rFonts w:hint="eastAsia" w:ascii="宋体" w:hAnsi="宋体" w:cs="仿宋"/>
                <w:kern w:val="0"/>
                <w:szCs w:val="21"/>
              </w:rPr>
              <w:t>。供应商的书面说明材料应当按照国家财务会计制度的规定要求，逐项就供应商提供的工程及其有关的货物、服务的主营业务成本、税金及附加、销售费用、管理费用、财务费用等成本构成事项详细陈述。</w:t>
            </w:r>
          </w:p>
          <w:p>
            <w:pPr>
              <w:spacing w:line="360" w:lineRule="auto"/>
              <w:ind w:left="105" w:leftChars="50" w:right="105" w:rightChars="50" w:firstLine="210" w:firstLineChars="100"/>
              <w:jc w:val="left"/>
              <w:rPr>
                <w:rFonts w:ascii="宋体" w:hAnsi="宋体"/>
                <w:szCs w:val="21"/>
              </w:rPr>
            </w:pPr>
            <w:r>
              <w:rPr>
                <w:rFonts w:hint="eastAsia" w:ascii="宋体" w:hAnsi="宋体" w:cs="仿宋"/>
                <w:szCs w:val="21"/>
              </w:rPr>
              <w:t>（2）、供应商书面说明应当签字确认或者加盖公章，否则无效。书面说明应由其法定代表人</w:t>
            </w:r>
            <w:r>
              <w:rPr>
                <w:rFonts w:ascii="宋体" w:hAnsi="宋体" w:cs="仿宋"/>
                <w:szCs w:val="21"/>
              </w:rPr>
              <w:t>/</w:t>
            </w:r>
            <w:r>
              <w:rPr>
                <w:rFonts w:hint="eastAsia" w:ascii="宋体" w:hAnsi="宋体" w:cs="仿宋"/>
                <w:szCs w:val="21"/>
              </w:rPr>
              <w:t>主要负责人或者其授权代表签字确认。</w:t>
            </w:r>
          </w:p>
          <w:p>
            <w:pPr>
              <w:pStyle w:val="57"/>
              <w:spacing w:line="360" w:lineRule="auto"/>
              <w:ind w:left="315"/>
              <w:rPr>
                <w:sz w:val="21"/>
                <w:szCs w:val="21"/>
              </w:rPr>
            </w:pPr>
            <w:r>
              <w:rPr>
                <w:rFonts w:hint="eastAsia" w:cs="仿宋"/>
                <w:sz w:val="21"/>
                <w:szCs w:val="21"/>
              </w:rPr>
              <w:t>（3）、供应商提供书面说明后，磋商小组应当结合采购项目采购需求、专业实际情况、供应商财务状况报告、与其他供应商比较情况等就供应商书面说明进行审查评价。供应商拒绝或者变相拒绝提供有效书面说明或者书面说明不能证明其报价合理性的或未在规定时间内递交有效书面说明书的，磋商小组应当将其响应文件作为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5</w:t>
            </w:r>
          </w:p>
          <w:p>
            <w:pPr>
              <w:pStyle w:val="57"/>
              <w:spacing w:line="360" w:lineRule="auto"/>
              <w:ind w:right="230"/>
              <w:jc w:val="center"/>
              <w:rPr>
                <w:rFonts w:cs="Courier New"/>
                <w:sz w:val="21"/>
                <w:szCs w:val="21"/>
                <w:lang w:val="zh-CN"/>
              </w:rPr>
            </w:pPr>
          </w:p>
        </w:tc>
        <w:tc>
          <w:tcPr>
            <w:tcW w:w="2409" w:type="dxa"/>
            <w:vAlign w:val="center"/>
          </w:tcPr>
          <w:p>
            <w:pPr>
              <w:pStyle w:val="57"/>
              <w:spacing w:line="360" w:lineRule="auto"/>
              <w:ind w:left="38"/>
              <w:jc w:val="center"/>
              <w:rPr>
                <w:sz w:val="21"/>
                <w:szCs w:val="21"/>
                <w:lang w:val="zh-CN"/>
              </w:rPr>
            </w:pPr>
            <w:r>
              <w:rPr>
                <w:rFonts w:hint="eastAsia" w:cs="Times New Roman"/>
                <w:kern w:val="2"/>
                <w:sz w:val="21"/>
                <w:szCs w:val="21"/>
              </w:rPr>
              <w:t>定向采购情况</w:t>
            </w:r>
            <w:r>
              <w:rPr>
                <w:rFonts w:hint="eastAsia"/>
                <w:sz w:val="21"/>
                <w:szCs w:val="21"/>
              </w:rPr>
              <w:t>（实质性要求）</w:t>
            </w:r>
          </w:p>
        </w:tc>
        <w:tc>
          <w:tcPr>
            <w:tcW w:w="6084" w:type="dxa"/>
          </w:tcPr>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本项目专门面向中小企业采购(监狱企业、残疾人福利性单位均视同小微企业)，非中小企业参与的将视为无效投标。</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ab/>
            </w:r>
            <w:r>
              <w:rPr>
                <w:rFonts w:hint="eastAsia" w:cs="Times New Roman"/>
                <w:kern w:val="2"/>
                <w:sz w:val="21"/>
                <w:szCs w:val="21"/>
                <w:lang w:val="zh-CN"/>
              </w:rPr>
              <w:t>一、政府采购促进中小企业发展政策</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1. 定义：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2. 适用情形：在工程采购项目中，工程由中小企业承建，即工程施工单位为中小企业；</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3.执行方式：</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1）根据关于印发《政府采购促进中小企业发展管理办法》的通知（财库〔2020〕46号）的规定，本项目为经主管预算单位统筹后预留份额专门面向中小企业采购的采购项目，故对符合本办法规定的小微企业报价不再进行价格扣除。</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（2）参加政府采购活动的中小企业应当提供《中小企业声明函》原件。</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（3）投标人按照本办法规定提供声明函内容不实的，属于提供虚假材料谋取中标、成交，依照《中华人民共和国政府采购法》等国家有关规定追究相应责任。</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二、监狱企业</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1.根据《财政部司法部关于政府采购支持监狱企业发展有关问题的通知》(财库〔2014〕68 号)的规定，在政府采购活动中，监狱企业视同小型、微型企业，享受预留份额、评审中价格扣除等政府采购促进中小企业发展的政府采购政策。</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2.监狱企业参加政府采购活动时，应当提供由省级以上监狱管理局、戒毒管理局(含新疆生产建设兵团)出具的属于监狱企业的证明文件。</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3.监狱企业属于小型、微型企业的，不重复享受政策。</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三、残疾人福利性单位价格扣除</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1.根据《三部门联合发布关于促进残疾人就业政府采购政策的通知》(财库〔2017〕141 号)的要求，在政府采购活动中，残疾人福利性单位视同小型、微型企业，享受预留份额、评审中价格扣除等促进中小企业发展的政府采购政策。</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2.残疾人福利性单位参加政府采购活动时，应当提供本通知规定的《残疾人福利性单位声明函》。</w:t>
            </w:r>
          </w:p>
          <w:p>
            <w:pPr>
              <w:widowControl/>
              <w:spacing w:after="120"/>
              <w:ind w:firstLine="105" w:firstLineChars="50"/>
              <w:jc w:val="left"/>
              <w:rPr>
                <w:rFonts w:ascii="宋体" w:hAnsi="宋体"/>
                <w:kern w:val="0"/>
                <w:szCs w:val="21"/>
              </w:rPr>
            </w:pPr>
            <w:r>
              <w:rPr>
                <w:rFonts w:hint="eastAsia" w:ascii="宋体" w:hAnsi="宋体"/>
                <w:szCs w:val="21"/>
                <w:lang w:val="zh-CN"/>
              </w:rPr>
              <w:t>3.残疾人福利性单位属于小型、微型企业的，不重复享受政策。</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sz w:val="21"/>
                <w:szCs w:val="21"/>
                <w:lang w:val="zh-CN"/>
              </w:rPr>
              <w:t>6</w:t>
            </w:r>
          </w:p>
        </w:tc>
        <w:tc>
          <w:tcPr>
            <w:tcW w:w="2409" w:type="dxa"/>
            <w:vAlign w:val="center"/>
          </w:tcPr>
          <w:p>
            <w:pPr>
              <w:pStyle w:val="57"/>
              <w:spacing w:line="360" w:lineRule="auto"/>
              <w:ind w:left="38"/>
              <w:jc w:val="center"/>
              <w:rPr>
                <w:sz w:val="21"/>
                <w:szCs w:val="21"/>
                <w:lang w:val="zh-CN"/>
              </w:rPr>
            </w:pPr>
            <w:r>
              <w:rPr>
                <w:rFonts w:hint="eastAsia" w:cs="Times New Roman"/>
                <w:kern w:val="2"/>
                <w:sz w:val="21"/>
                <w:szCs w:val="21"/>
              </w:rPr>
              <w:t>节能、环保产品政府采购政策</w:t>
            </w:r>
          </w:p>
        </w:tc>
        <w:tc>
          <w:tcPr>
            <w:tcW w:w="6084" w:type="dxa"/>
            <w:vAlign w:val="center"/>
          </w:tcPr>
          <w:p>
            <w:pPr>
              <w:spacing w:line="340" w:lineRule="exact"/>
              <w:ind w:right="105" w:rightChars="50"/>
              <w:rPr>
                <w:rFonts w:ascii="宋体" w:hAnsi="宋体"/>
                <w:b/>
                <w:szCs w:val="21"/>
              </w:rPr>
            </w:pPr>
            <w:r>
              <w:rPr>
                <w:rFonts w:hint="eastAsia" w:ascii="宋体" w:hAnsi="宋体"/>
                <w:b/>
                <w:szCs w:val="21"/>
              </w:rPr>
              <w:t>一</w:t>
            </w:r>
            <w:r>
              <w:rPr>
                <w:rFonts w:ascii="宋体" w:hAnsi="宋体"/>
                <w:b/>
                <w:szCs w:val="21"/>
              </w:rPr>
              <w:t>、</w:t>
            </w:r>
            <w:r>
              <w:rPr>
                <w:rFonts w:hint="eastAsia" w:ascii="宋体" w:hAnsi="宋体"/>
                <w:b/>
                <w:szCs w:val="21"/>
              </w:rPr>
              <w:t>节能、</w:t>
            </w:r>
            <w:r>
              <w:rPr>
                <w:rFonts w:ascii="宋体" w:hAnsi="宋体"/>
                <w:b/>
                <w:szCs w:val="21"/>
              </w:rPr>
              <w:t>环保产品政府采购政策</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根据《财政部发展改革委生态环境部市场监管总局关于调整优化节能产品、环境标志产品政府采购执行机制的通知》（财库〔2019〕9号）相关要求，依据品目清单和认证证书实施政府优先采购和强制采购。本项目采购的产品属于品目清单范围的，对通过认证的产品实施政府优先采购或强制采购。</w:t>
            </w:r>
          </w:p>
          <w:p>
            <w:pPr>
              <w:pStyle w:val="57"/>
              <w:spacing w:line="360" w:lineRule="auto"/>
              <w:ind w:firstLine="105" w:firstLineChars="50"/>
              <w:jc w:val="both"/>
              <w:rPr>
                <w:szCs w:val="21"/>
                <w:lang w:val="zh-CN"/>
              </w:rPr>
            </w:pPr>
            <w:r>
              <w:rPr>
                <w:rFonts w:hint="eastAsia" w:cs="Times New Roman"/>
                <w:kern w:val="2"/>
                <w:sz w:val="21"/>
                <w:szCs w:val="21"/>
                <w:lang w:val="zh-CN"/>
              </w:rPr>
              <w:t xml:space="preserve">供应商应当在响应文件中提供承诺书，承诺供货时提供的前述产品具有认证证书，并在供货时提供认证结果信息发布平台公布的该产品认证信息截图，或者在有效期内的认证证书，否则其响应文件按无效处理。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6"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7</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磋商保证金</w:t>
            </w:r>
          </w:p>
        </w:tc>
        <w:tc>
          <w:tcPr>
            <w:tcW w:w="6084" w:type="dxa"/>
            <w:vAlign w:val="center"/>
          </w:tcPr>
          <w:p>
            <w:pPr>
              <w:pStyle w:val="57"/>
              <w:spacing w:line="360" w:lineRule="auto"/>
              <w:ind w:firstLine="105" w:firstLineChars="50"/>
              <w:rPr>
                <w:sz w:val="21"/>
                <w:szCs w:val="21"/>
                <w:lang w:val="zh-CN"/>
              </w:rPr>
            </w:pPr>
            <w:r>
              <w:rPr>
                <w:rFonts w:hint="eastAsia"/>
                <w:sz w:val="21"/>
                <w:szCs w:val="21"/>
                <w:lang w:val="zh-CN"/>
              </w:rPr>
              <w:t>要求递交磋商保证金。</w:t>
            </w:r>
          </w:p>
          <w:p>
            <w:pPr>
              <w:pStyle w:val="57"/>
              <w:spacing w:line="360" w:lineRule="auto"/>
              <w:ind w:firstLine="105" w:firstLineChars="50"/>
              <w:rPr>
                <w:sz w:val="21"/>
                <w:szCs w:val="21"/>
                <w:lang w:val="zh-CN"/>
              </w:rPr>
            </w:pPr>
            <w:r>
              <w:rPr>
                <w:rFonts w:hint="eastAsia"/>
                <w:sz w:val="21"/>
                <w:szCs w:val="21"/>
                <w:lang w:val="zh-CN"/>
              </w:rPr>
              <w:t>交款方式（供应商可以选择下列形式之一提交）：</w:t>
            </w:r>
          </w:p>
          <w:p>
            <w:pPr>
              <w:pStyle w:val="57"/>
              <w:spacing w:line="360" w:lineRule="auto"/>
              <w:ind w:firstLine="105" w:firstLineChars="50"/>
              <w:rPr>
                <w:sz w:val="21"/>
                <w:szCs w:val="21"/>
                <w:lang w:val="zh-CN"/>
              </w:rPr>
            </w:pPr>
            <w:r>
              <w:rPr>
                <w:rFonts w:hint="eastAsia"/>
                <w:sz w:val="21"/>
                <w:szCs w:val="21"/>
                <w:lang w:val="zh-CN"/>
              </w:rPr>
              <w:t>1、磋商保证金可以以支票、汇票、本票或者金融机构出具的保函等非现金形式提交（包括网银转账，电汇等方式），所有递交方式均以到帐时间为准。（若以保函方式提交的，必须在保证金截止时间前开具）。</w:t>
            </w:r>
          </w:p>
          <w:p>
            <w:pPr>
              <w:pStyle w:val="57"/>
              <w:spacing w:line="360" w:lineRule="auto"/>
              <w:ind w:firstLine="105" w:firstLineChars="50"/>
              <w:rPr>
                <w:sz w:val="21"/>
                <w:szCs w:val="21"/>
                <w:lang w:val="zh-CN"/>
              </w:rPr>
            </w:pPr>
            <w:r>
              <w:rPr>
                <w:rFonts w:hint="eastAsia"/>
                <w:sz w:val="21"/>
                <w:szCs w:val="21"/>
                <w:lang w:val="zh-CN"/>
              </w:rPr>
              <w:t>2、磋商保证金通过供应商的基本账户以银行转账方式缴纳的，注明项目名称或项目编号。</w:t>
            </w:r>
          </w:p>
          <w:p>
            <w:pPr>
              <w:pStyle w:val="57"/>
              <w:spacing w:line="360" w:lineRule="auto"/>
              <w:ind w:firstLine="105" w:firstLineChars="50"/>
              <w:rPr>
                <w:sz w:val="21"/>
                <w:szCs w:val="21"/>
                <w:lang w:val="zh-CN"/>
              </w:rPr>
            </w:pPr>
            <w:r>
              <w:rPr>
                <w:rFonts w:hint="eastAsia"/>
                <w:sz w:val="21"/>
                <w:szCs w:val="21"/>
                <w:lang w:val="zh-CN"/>
              </w:rPr>
              <w:t>磋商保证金的金额：</w:t>
            </w:r>
          </w:p>
          <w:p>
            <w:pPr>
              <w:pStyle w:val="57"/>
              <w:spacing w:line="360" w:lineRule="auto"/>
              <w:ind w:firstLine="105" w:firstLineChars="50"/>
              <w:rPr>
                <w:sz w:val="21"/>
                <w:szCs w:val="21"/>
                <w:lang w:val="zh-CN"/>
              </w:rPr>
            </w:pPr>
            <w:r>
              <w:rPr>
                <w:rFonts w:hint="eastAsia"/>
                <w:sz w:val="21"/>
                <w:szCs w:val="21"/>
                <w:lang w:val="zh-CN"/>
              </w:rPr>
              <w:t>人民币1</w:t>
            </w:r>
            <w:r>
              <w:rPr>
                <w:sz w:val="21"/>
                <w:szCs w:val="21"/>
                <w:lang w:val="zh-CN"/>
              </w:rPr>
              <w:t>40000</w:t>
            </w:r>
            <w:r>
              <w:rPr>
                <w:rFonts w:hint="eastAsia"/>
                <w:sz w:val="21"/>
                <w:szCs w:val="21"/>
                <w:lang w:val="zh-CN"/>
              </w:rPr>
              <w:t>元整（大写壹拾肆万）。</w:t>
            </w:r>
          </w:p>
          <w:p>
            <w:pPr>
              <w:pStyle w:val="57"/>
              <w:spacing w:line="360" w:lineRule="auto"/>
              <w:ind w:firstLine="105" w:firstLineChars="50"/>
              <w:rPr>
                <w:sz w:val="21"/>
                <w:szCs w:val="21"/>
                <w:lang w:val="zh-CN"/>
              </w:rPr>
            </w:pPr>
            <w:r>
              <w:rPr>
                <w:rFonts w:hint="eastAsia"/>
                <w:sz w:val="21"/>
                <w:szCs w:val="21"/>
                <w:lang w:val="zh-CN"/>
              </w:rPr>
              <w:t>转账的磋商保证金应磋商响应文件递交截止时间前到达以下账号：</w:t>
            </w:r>
          </w:p>
          <w:p>
            <w:pPr>
              <w:pStyle w:val="57"/>
              <w:spacing w:line="360" w:lineRule="auto"/>
              <w:ind w:firstLine="105" w:firstLineChars="50"/>
              <w:rPr>
                <w:sz w:val="21"/>
                <w:szCs w:val="21"/>
                <w:lang w:val="zh-CN"/>
              </w:rPr>
            </w:pPr>
            <w:r>
              <w:rPr>
                <w:rFonts w:hint="eastAsia"/>
                <w:sz w:val="21"/>
                <w:szCs w:val="21"/>
                <w:lang w:val="zh-CN"/>
              </w:rPr>
              <w:t>账户名：中恒德佳工程咨询有限公司</w:t>
            </w:r>
          </w:p>
          <w:p>
            <w:pPr>
              <w:pStyle w:val="57"/>
              <w:spacing w:line="360" w:lineRule="auto"/>
              <w:ind w:firstLine="105" w:firstLineChars="50"/>
              <w:rPr>
                <w:sz w:val="21"/>
                <w:szCs w:val="21"/>
                <w:lang w:val="zh-CN"/>
              </w:rPr>
            </w:pPr>
            <w:r>
              <w:rPr>
                <w:rFonts w:hint="eastAsia"/>
                <w:sz w:val="21"/>
                <w:szCs w:val="21"/>
                <w:lang w:val="zh-CN"/>
              </w:rPr>
              <w:t xml:space="preserve">开户银行：大连银行成都分行 </w:t>
            </w:r>
          </w:p>
          <w:p>
            <w:pPr>
              <w:pStyle w:val="57"/>
              <w:spacing w:line="360" w:lineRule="auto"/>
              <w:ind w:firstLine="105" w:firstLineChars="50"/>
              <w:rPr>
                <w:sz w:val="21"/>
                <w:szCs w:val="21"/>
                <w:lang w:val="zh-CN"/>
              </w:rPr>
            </w:pPr>
            <w:r>
              <w:rPr>
                <w:rFonts w:hint="eastAsia"/>
                <w:sz w:val="21"/>
                <w:szCs w:val="21"/>
                <w:lang w:val="zh-CN"/>
              </w:rPr>
              <w:t>账号： 1167 2100 0000 474</w:t>
            </w:r>
          </w:p>
          <w:p>
            <w:pPr>
              <w:pStyle w:val="57"/>
              <w:spacing w:line="360" w:lineRule="auto"/>
              <w:ind w:firstLine="105" w:firstLineChars="50"/>
              <w:rPr>
                <w:sz w:val="21"/>
                <w:szCs w:val="21"/>
                <w:lang w:val="zh-CN"/>
              </w:rPr>
            </w:pPr>
            <w:r>
              <w:rPr>
                <w:rFonts w:hint="eastAsia"/>
                <w:sz w:val="21"/>
                <w:szCs w:val="21"/>
                <w:lang w:val="zh-CN"/>
              </w:rPr>
              <w:t>注：银行保函或保险合同（保险单）的内容必须包括：金额、有效期限、因供应商原因发生磋商文件明确规定可以不予退还磋商保</w:t>
            </w:r>
          </w:p>
          <w:p>
            <w:pPr>
              <w:pStyle w:val="57"/>
              <w:spacing w:line="360" w:lineRule="auto"/>
              <w:ind w:firstLine="105" w:firstLineChars="50"/>
              <w:jc w:val="both"/>
              <w:rPr>
                <w:b/>
                <w:sz w:val="21"/>
                <w:szCs w:val="21"/>
                <w:lang w:val="zh-CN"/>
              </w:rPr>
            </w:pPr>
            <w:r>
              <w:rPr>
                <w:rFonts w:hint="eastAsia"/>
                <w:sz w:val="21"/>
                <w:szCs w:val="21"/>
                <w:lang w:val="zh-CN"/>
              </w:rPr>
              <w:t>保证金的其他情形，由银行（或保险公司）向受益人（或被保险人，即采购人）7日内无条件足额支付投标保证金。银行保函或保险合同（保险单）的格式可提供银行或保险公司自有格式，内容应实质性满足上述要求，文字描述可不一致。如银行保函或保险合同（保险单）内容不符合以上实质性要求，磋商小组应否决投标。</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8</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履约保证金</w:t>
            </w:r>
          </w:p>
        </w:tc>
        <w:tc>
          <w:tcPr>
            <w:tcW w:w="6084" w:type="dxa"/>
            <w:vAlign w:val="center"/>
          </w:tcPr>
          <w:p>
            <w:pPr>
              <w:pStyle w:val="57"/>
              <w:spacing w:line="360" w:lineRule="auto"/>
              <w:ind w:firstLine="105" w:firstLineChars="50"/>
              <w:rPr>
                <w:sz w:val="21"/>
                <w:szCs w:val="21"/>
                <w:lang w:val="zh-CN"/>
              </w:rPr>
            </w:pPr>
            <w:r>
              <w:rPr>
                <w:rFonts w:hint="eastAsia"/>
                <w:sz w:val="21"/>
                <w:szCs w:val="21"/>
                <w:lang w:val="zh-CN"/>
              </w:rPr>
              <w:t>履约保证金缴纳形式：以支票、汇票、本票或者金融机构、担保机构出具的保函等非现金形式在合同签订前提交。</w:t>
            </w:r>
          </w:p>
          <w:p>
            <w:pPr>
              <w:pStyle w:val="57"/>
              <w:spacing w:line="360" w:lineRule="auto"/>
              <w:ind w:firstLine="105" w:firstLineChars="50"/>
              <w:rPr>
                <w:sz w:val="21"/>
                <w:szCs w:val="21"/>
                <w:lang w:val="zh-CN"/>
              </w:rPr>
            </w:pPr>
            <w:r>
              <w:rPr>
                <w:rFonts w:hint="eastAsia"/>
                <w:sz w:val="21"/>
                <w:szCs w:val="21"/>
                <w:lang w:val="zh-CN"/>
              </w:rPr>
              <w:t xml:space="preserve">履约保证金金额：合同金额的 </w:t>
            </w:r>
            <w:r>
              <w:rPr>
                <w:sz w:val="21"/>
                <w:szCs w:val="21"/>
                <w:lang w:val="zh-CN"/>
              </w:rPr>
              <w:t>10</w:t>
            </w:r>
            <w:r>
              <w:rPr>
                <w:rFonts w:hint="eastAsia"/>
                <w:sz w:val="21"/>
                <w:szCs w:val="21"/>
                <w:lang w:val="zh-CN"/>
              </w:rPr>
              <w:t>%。</w:t>
            </w:r>
          </w:p>
          <w:p>
            <w:pPr>
              <w:pStyle w:val="57"/>
              <w:spacing w:line="360" w:lineRule="auto"/>
              <w:ind w:firstLine="105" w:firstLineChars="50"/>
              <w:rPr>
                <w:sz w:val="21"/>
                <w:szCs w:val="21"/>
                <w:lang w:val="zh-CN"/>
              </w:rPr>
            </w:pPr>
            <w:r>
              <w:rPr>
                <w:rFonts w:hint="eastAsia"/>
                <w:sz w:val="21"/>
                <w:szCs w:val="21"/>
                <w:lang w:val="zh-CN"/>
              </w:rPr>
              <w:t>银行账户信息如下：</w:t>
            </w:r>
          </w:p>
          <w:p>
            <w:pPr>
              <w:pStyle w:val="57"/>
              <w:spacing w:line="360" w:lineRule="auto"/>
              <w:ind w:firstLine="105" w:firstLineChars="50"/>
              <w:rPr>
                <w:sz w:val="21"/>
                <w:szCs w:val="21"/>
                <w:lang w:val="zh-CN"/>
              </w:rPr>
            </w:pPr>
            <w:r>
              <w:rPr>
                <w:rFonts w:hint="eastAsia"/>
                <w:sz w:val="21"/>
                <w:szCs w:val="21"/>
                <w:lang w:val="zh-CN"/>
              </w:rPr>
              <w:t>账户名：电子科技大学</w:t>
            </w:r>
          </w:p>
          <w:p>
            <w:pPr>
              <w:pStyle w:val="57"/>
              <w:spacing w:line="360" w:lineRule="auto"/>
              <w:ind w:firstLine="105" w:firstLineChars="50"/>
              <w:rPr>
                <w:sz w:val="21"/>
                <w:szCs w:val="21"/>
                <w:lang w:val="zh-CN"/>
              </w:rPr>
            </w:pPr>
            <w:r>
              <w:rPr>
                <w:rFonts w:hint="eastAsia"/>
                <w:sz w:val="21"/>
                <w:szCs w:val="21"/>
                <w:lang w:val="zh-CN"/>
              </w:rPr>
              <w:t>账号：51001908608059000888</w:t>
            </w:r>
          </w:p>
          <w:p>
            <w:pPr>
              <w:pStyle w:val="57"/>
              <w:spacing w:line="360" w:lineRule="auto"/>
              <w:ind w:firstLine="105" w:firstLineChars="50"/>
              <w:rPr>
                <w:sz w:val="21"/>
                <w:szCs w:val="21"/>
                <w:lang w:val="zh-CN"/>
              </w:rPr>
            </w:pPr>
            <w:r>
              <w:rPr>
                <w:rFonts w:hint="eastAsia"/>
                <w:sz w:val="21"/>
                <w:szCs w:val="21"/>
                <w:lang w:val="zh-CN"/>
              </w:rPr>
              <w:t>开户行：建行成都新鸿支行</w:t>
            </w:r>
          </w:p>
          <w:p>
            <w:pPr>
              <w:pStyle w:val="57"/>
              <w:spacing w:line="360" w:lineRule="auto"/>
              <w:ind w:firstLine="105" w:firstLineChars="50"/>
              <w:rPr>
                <w:sz w:val="21"/>
                <w:szCs w:val="21"/>
                <w:lang w:val="zh-CN"/>
              </w:rPr>
            </w:pPr>
            <w:r>
              <w:rPr>
                <w:rFonts w:hint="eastAsia"/>
                <w:sz w:val="21"/>
                <w:szCs w:val="21"/>
                <w:lang w:val="zh-CN"/>
              </w:rPr>
              <w:t>应注明（项目名称、项目编号）履约保证金。</w:t>
            </w:r>
          </w:p>
          <w:p>
            <w:pPr>
              <w:pStyle w:val="57"/>
              <w:spacing w:line="360" w:lineRule="auto"/>
              <w:ind w:firstLine="105" w:firstLineChars="50"/>
              <w:rPr>
                <w:sz w:val="21"/>
                <w:szCs w:val="21"/>
                <w:lang w:val="zh-CN"/>
              </w:rPr>
            </w:pPr>
            <w:r>
              <w:rPr>
                <w:rFonts w:hint="eastAsia"/>
                <w:sz w:val="21"/>
                <w:szCs w:val="21"/>
                <w:lang w:val="zh-CN"/>
              </w:rPr>
              <w:t>采用保函形式提交履约保证金的，保函应满足但不限于以下要求：</w:t>
            </w:r>
          </w:p>
          <w:p>
            <w:pPr>
              <w:pStyle w:val="57"/>
              <w:spacing w:line="360" w:lineRule="auto"/>
              <w:ind w:firstLine="105" w:firstLineChars="50"/>
              <w:rPr>
                <w:sz w:val="21"/>
                <w:szCs w:val="21"/>
                <w:lang w:val="zh-CN"/>
              </w:rPr>
            </w:pPr>
            <w:r>
              <w:rPr>
                <w:rFonts w:hint="eastAsia"/>
                <w:sz w:val="21"/>
                <w:szCs w:val="21"/>
                <w:lang w:val="zh-CN"/>
              </w:rPr>
              <w:t>（1）</w:t>
            </w:r>
            <w:r>
              <w:rPr>
                <w:rFonts w:hint="eastAsia"/>
                <w:sz w:val="21"/>
                <w:szCs w:val="21"/>
                <w:lang w:val="zh-CN"/>
              </w:rPr>
              <w:tab/>
            </w:r>
            <w:r>
              <w:rPr>
                <w:rFonts w:hint="eastAsia"/>
                <w:sz w:val="21"/>
                <w:szCs w:val="21"/>
                <w:lang w:val="zh-CN"/>
              </w:rPr>
              <w:t>中标人(成交人)名称、项目名称（如有分包，则应当按包件分别出具保函并写明包件号）；</w:t>
            </w:r>
          </w:p>
          <w:p>
            <w:pPr>
              <w:pStyle w:val="57"/>
              <w:spacing w:line="360" w:lineRule="auto"/>
              <w:ind w:firstLine="105" w:firstLineChars="50"/>
              <w:rPr>
                <w:sz w:val="21"/>
                <w:szCs w:val="21"/>
                <w:lang w:val="zh-CN"/>
              </w:rPr>
            </w:pPr>
            <w:r>
              <w:rPr>
                <w:rFonts w:hint="eastAsia"/>
                <w:sz w:val="21"/>
                <w:szCs w:val="21"/>
                <w:lang w:val="zh-CN"/>
              </w:rPr>
              <w:t>（2）保函需明确受益人为“采购人名称”；</w:t>
            </w:r>
          </w:p>
          <w:p>
            <w:pPr>
              <w:pStyle w:val="57"/>
              <w:spacing w:line="360" w:lineRule="auto"/>
              <w:ind w:firstLine="105" w:firstLineChars="50"/>
              <w:rPr>
                <w:sz w:val="21"/>
                <w:szCs w:val="21"/>
                <w:lang w:val="zh-CN"/>
              </w:rPr>
            </w:pPr>
            <w:r>
              <w:rPr>
                <w:rFonts w:hint="eastAsia"/>
                <w:sz w:val="21"/>
                <w:szCs w:val="21"/>
                <w:lang w:val="zh-CN"/>
              </w:rPr>
              <w:t>（3）保函的最高担保金额不低于本项目要求提交的履约保证金的金额；</w:t>
            </w:r>
          </w:p>
          <w:p>
            <w:pPr>
              <w:pStyle w:val="57"/>
              <w:spacing w:line="360" w:lineRule="auto"/>
              <w:ind w:firstLine="105" w:firstLineChars="50"/>
              <w:rPr>
                <w:sz w:val="21"/>
                <w:szCs w:val="21"/>
                <w:lang w:val="zh-CN"/>
              </w:rPr>
            </w:pPr>
            <w:r>
              <w:rPr>
                <w:rFonts w:hint="eastAsia"/>
                <w:sz w:val="21"/>
                <w:szCs w:val="21"/>
                <w:lang w:val="zh-CN"/>
              </w:rPr>
              <w:t>（4）保函担保的有效期应不短于本项目的履约期限；</w:t>
            </w:r>
          </w:p>
          <w:p>
            <w:pPr>
              <w:pStyle w:val="57"/>
              <w:spacing w:line="360" w:lineRule="auto"/>
              <w:ind w:firstLine="105" w:firstLineChars="50"/>
              <w:rPr>
                <w:sz w:val="21"/>
                <w:szCs w:val="21"/>
                <w:lang w:val="zh-CN"/>
              </w:rPr>
            </w:pPr>
            <w:r>
              <w:rPr>
                <w:rFonts w:hint="eastAsia"/>
                <w:sz w:val="21"/>
                <w:szCs w:val="21"/>
                <w:lang w:val="zh-CN"/>
              </w:rPr>
              <w:t>（5）在收到采购人加盖公章的书面索赔通知后 10 个工作日内，不争辩、不挑剔、不可撤销地向受益人支付索赔款，直至保函担保的最</w:t>
            </w:r>
          </w:p>
          <w:p>
            <w:pPr>
              <w:pStyle w:val="57"/>
              <w:spacing w:line="360" w:lineRule="auto"/>
              <w:ind w:firstLine="105" w:firstLineChars="50"/>
              <w:rPr>
                <w:sz w:val="21"/>
                <w:szCs w:val="21"/>
                <w:lang w:val="zh-CN"/>
              </w:rPr>
            </w:pPr>
            <w:r>
              <w:rPr>
                <w:rFonts w:hint="eastAsia"/>
                <w:sz w:val="21"/>
                <w:szCs w:val="21"/>
                <w:lang w:val="zh-CN"/>
              </w:rPr>
              <w:t>高担保金额。</w:t>
            </w:r>
          </w:p>
          <w:p>
            <w:pPr>
              <w:pStyle w:val="57"/>
              <w:spacing w:line="360" w:lineRule="auto"/>
              <w:ind w:firstLine="105" w:firstLineChars="50"/>
              <w:jc w:val="both"/>
              <w:rPr>
                <w:sz w:val="21"/>
                <w:szCs w:val="21"/>
                <w:lang w:val="zh-CN"/>
              </w:rPr>
            </w:pPr>
            <w:r>
              <w:rPr>
                <w:rFonts w:hint="eastAsia"/>
                <w:sz w:val="21"/>
                <w:szCs w:val="21"/>
                <w:lang w:val="zh-CN"/>
              </w:rPr>
              <w:t>递交和退还保函原件时乙方须到甲方现场提供以下证明材料：①法定代表人授权委托书原件；②委托代理人身份证复印件。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9</w:t>
            </w:r>
          </w:p>
        </w:tc>
        <w:tc>
          <w:tcPr>
            <w:tcW w:w="2409" w:type="dxa"/>
            <w:vAlign w:val="center"/>
          </w:tcPr>
          <w:p>
            <w:pPr>
              <w:pStyle w:val="57"/>
              <w:spacing w:line="360" w:lineRule="auto"/>
              <w:ind w:left="38"/>
              <w:jc w:val="center"/>
              <w:rPr>
                <w:sz w:val="21"/>
                <w:szCs w:val="21"/>
                <w:lang w:val="zh-CN"/>
              </w:rPr>
            </w:pPr>
            <w:r>
              <w:rPr>
                <w:rFonts w:hint="eastAsia"/>
                <w:bCs/>
                <w:sz w:val="21"/>
                <w:szCs w:val="21"/>
              </w:rPr>
              <w:t>磋商</w:t>
            </w:r>
            <w:r>
              <w:rPr>
                <w:rFonts w:hint="eastAsia"/>
                <w:sz w:val="21"/>
                <w:szCs w:val="21"/>
                <w:lang w:val="zh-CN"/>
              </w:rPr>
              <w:t>文件咨询</w:t>
            </w:r>
          </w:p>
        </w:tc>
        <w:tc>
          <w:tcPr>
            <w:tcW w:w="6084" w:type="dxa"/>
            <w:vAlign w:val="center"/>
          </w:tcPr>
          <w:p>
            <w:pPr>
              <w:pStyle w:val="57"/>
              <w:spacing w:line="360" w:lineRule="auto"/>
              <w:ind w:firstLine="105" w:firstLineChars="50"/>
              <w:jc w:val="both"/>
              <w:rPr>
                <w:rFonts w:cs="Times New Roman"/>
                <w:kern w:val="2"/>
                <w:sz w:val="21"/>
                <w:szCs w:val="21"/>
                <w:lang w:val="zh-CN"/>
              </w:rPr>
            </w:pPr>
            <w:r>
              <w:rPr>
                <w:rFonts w:hint="eastAsia" w:cs="Times New Roman"/>
                <w:kern w:val="2"/>
                <w:sz w:val="21"/>
                <w:szCs w:val="21"/>
                <w:lang w:val="zh-CN"/>
              </w:rPr>
              <w:t xml:space="preserve">联系人：邓女士      </w:t>
            </w:r>
          </w:p>
          <w:p>
            <w:pPr>
              <w:pStyle w:val="57"/>
              <w:spacing w:line="360" w:lineRule="auto"/>
              <w:ind w:firstLine="105" w:firstLineChars="50"/>
              <w:jc w:val="both"/>
              <w:rPr>
                <w:rFonts w:cs="Times New Roman"/>
                <w:kern w:val="2"/>
                <w:sz w:val="21"/>
                <w:szCs w:val="21"/>
                <w:lang w:val="zh-CN"/>
              </w:rPr>
            </w:pPr>
            <w:r>
              <w:rPr>
                <w:rFonts w:hint="eastAsia" w:cs="Times New Roman"/>
                <w:kern w:val="2"/>
                <w:sz w:val="21"/>
                <w:szCs w:val="21"/>
                <w:lang w:val="zh-CN"/>
              </w:rPr>
              <w:t>联系电话：</w:t>
            </w:r>
            <w:r>
              <w:rPr>
                <w:rFonts w:cs="Times New Roman"/>
                <w:kern w:val="2"/>
                <w:sz w:val="21"/>
                <w:szCs w:val="21"/>
                <w:lang w:val="zh-CN"/>
              </w:rPr>
              <w:t>028-61363972</w:t>
            </w:r>
            <w:r>
              <w:rPr>
                <w:rFonts w:hint="eastAsia" w:cs="Times New Roman"/>
                <w:kern w:val="2"/>
                <w:sz w:val="21"/>
                <w:szCs w:val="21"/>
                <w:lang w:val="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10</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磋商过程、结果工作咨询</w:t>
            </w:r>
          </w:p>
        </w:tc>
        <w:tc>
          <w:tcPr>
            <w:tcW w:w="6084" w:type="dxa"/>
            <w:vAlign w:val="center"/>
          </w:tcPr>
          <w:p>
            <w:pPr>
              <w:pStyle w:val="57"/>
              <w:spacing w:line="360" w:lineRule="auto"/>
              <w:ind w:firstLine="105" w:firstLineChars="50"/>
              <w:jc w:val="both"/>
              <w:rPr>
                <w:rFonts w:cs="Times New Roman"/>
                <w:kern w:val="2"/>
                <w:sz w:val="21"/>
                <w:szCs w:val="21"/>
                <w:lang w:val="zh-CN"/>
              </w:rPr>
            </w:pPr>
            <w:r>
              <w:rPr>
                <w:rFonts w:hint="eastAsia" w:cs="Times New Roman"/>
                <w:kern w:val="2"/>
                <w:sz w:val="21"/>
                <w:szCs w:val="21"/>
                <w:lang w:val="zh-CN"/>
              </w:rPr>
              <w:t xml:space="preserve">联系人：邓女士      </w:t>
            </w:r>
          </w:p>
          <w:p>
            <w:pPr>
              <w:pStyle w:val="57"/>
              <w:spacing w:line="360" w:lineRule="auto"/>
              <w:ind w:firstLine="105" w:firstLineChars="50"/>
              <w:jc w:val="both"/>
              <w:rPr>
                <w:rFonts w:cs="Times New Roman"/>
                <w:kern w:val="2"/>
                <w:sz w:val="21"/>
                <w:szCs w:val="21"/>
                <w:lang w:val="zh-CN"/>
              </w:rPr>
            </w:pPr>
            <w:r>
              <w:rPr>
                <w:rFonts w:hint="eastAsia" w:cs="Times New Roman"/>
                <w:kern w:val="2"/>
                <w:sz w:val="21"/>
                <w:szCs w:val="21"/>
                <w:lang w:val="zh-CN"/>
              </w:rPr>
              <w:t>联系电话：</w:t>
            </w:r>
            <w:r>
              <w:rPr>
                <w:rFonts w:cs="Times New Roman"/>
                <w:kern w:val="2"/>
                <w:sz w:val="21"/>
                <w:szCs w:val="21"/>
                <w:lang w:val="zh-CN"/>
              </w:rPr>
              <w:t>028-61363972</w:t>
            </w:r>
            <w:r>
              <w:rPr>
                <w:rFonts w:hint="eastAsia" w:cs="Times New Roman"/>
                <w:kern w:val="2"/>
                <w:sz w:val="21"/>
                <w:szCs w:val="21"/>
                <w:lang w:val="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11</w:t>
            </w:r>
          </w:p>
        </w:tc>
        <w:tc>
          <w:tcPr>
            <w:tcW w:w="2409" w:type="dxa"/>
            <w:vAlign w:val="center"/>
          </w:tcPr>
          <w:p>
            <w:pPr>
              <w:pStyle w:val="57"/>
              <w:spacing w:line="360" w:lineRule="auto"/>
              <w:ind w:left="38"/>
              <w:jc w:val="center"/>
              <w:rPr>
                <w:sz w:val="21"/>
                <w:szCs w:val="21"/>
                <w:lang w:val="zh-CN"/>
              </w:rPr>
            </w:pPr>
            <w:r>
              <w:rPr>
                <w:rFonts w:hint="eastAsia"/>
                <w:sz w:val="21"/>
                <w:szCs w:val="21"/>
                <w:lang w:val="zh-CN"/>
              </w:rPr>
              <w:t>成交通知书领取</w:t>
            </w:r>
          </w:p>
        </w:tc>
        <w:tc>
          <w:tcPr>
            <w:tcW w:w="6084" w:type="dxa"/>
            <w:vAlign w:val="center"/>
          </w:tcPr>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采购结果公告在中国政府采购（http://www.ccgp.gov.cn/）、电子科技大学招标采购网（http://cg.uestc.edu.cn/）上发布后，请成交供应商凭单位介绍信原件和领取人本人有效身份证【复印件/扫描件】到中恒德佳工程咨询有限公司领取成交通知书。</w:t>
            </w:r>
          </w:p>
          <w:p>
            <w:pPr>
              <w:pStyle w:val="57"/>
              <w:spacing w:line="360" w:lineRule="auto"/>
              <w:ind w:firstLine="105" w:firstLineChars="50"/>
              <w:jc w:val="both"/>
              <w:rPr>
                <w:sz w:val="21"/>
                <w:szCs w:val="21"/>
                <w:lang w:val="zh-CN"/>
              </w:rPr>
            </w:pPr>
            <w:r>
              <w:rPr>
                <w:rFonts w:hint="eastAsia" w:cs="Times New Roman"/>
                <w:kern w:val="2"/>
                <w:sz w:val="21"/>
                <w:szCs w:val="21"/>
                <w:lang w:val="zh-CN"/>
              </w:rPr>
              <w:t>联系电话：028-61363972</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w:t>
            </w:r>
            <w:r>
              <w:rPr>
                <w:rFonts w:cs="Courier New"/>
                <w:sz w:val="21"/>
                <w:szCs w:val="21"/>
                <w:lang w:val="zh-CN"/>
              </w:rPr>
              <w:t>2</w:t>
            </w:r>
          </w:p>
        </w:tc>
        <w:tc>
          <w:tcPr>
            <w:tcW w:w="2409" w:type="dxa"/>
            <w:vAlign w:val="center"/>
          </w:tcPr>
          <w:p>
            <w:pPr>
              <w:pStyle w:val="57"/>
              <w:spacing w:line="360" w:lineRule="auto"/>
              <w:ind w:left="38"/>
              <w:jc w:val="center"/>
              <w:rPr>
                <w:rFonts w:cs="Courier New"/>
                <w:sz w:val="21"/>
                <w:szCs w:val="21"/>
                <w:lang w:val="zh-CN"/>
              </w:rPr>
            </w:pPr>
            <w:r>
              <w:rPr>
                <w:rFonts w:hint="eastAsia" w:cs="Courier New"/>
                <w:sz w:val="21"/>
                <w:szCs w:val="21"/>
                <w:lang w:val="zh-CN"/>
              </w:rPr>
              <w:t>供应商询问</w:t>
            </w:r>
          </w:p>
        </w:tc>
        <w:tc>
          <w:tcPr>
            <w:tcW w:w="6084" w:type="dxa"/>
          </w:tcPr>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根据委托代理协议约定，供应商询问由采购代理机构负责答复。</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项目问题询问：</w:t>
            </w:r>
          </w:p>
          <w:p>
            <w:pPr>
              <w:pStyle w:val="57"/>
              <w:spacing w:line="360" w:lineRule="auto"/>
              <w:ind w:firstLine="105" w:firstLineChars="50"/>
              <w:jc w:val="both"/>
              <w:rPr>
                <w:rFonts w:cs="Times New Roman"/>
                <w:kern w:val="2"/>
                <w:sz w:val="21"/>
                <w:szCs w:val="21"/>
                <w:lang w:val="zh-CN"/>
              </w:rPr>
            </w:pPr>
            <w:r>
              <w:rPr>
                <w:rFonts w:hint="eastAsia" w:cs="Times New Roman"/>
                <w:kern w:val="2"/>
                <w:sz w:val="21"/>
                <w:szCs w:val="21"/>
                <w:lang w:val="zh-CN"/>
              </w:rPr>
              <w:t xml:space="preserve">联系人：尹女士； </w:t>
            </w:r>
          </w:p>
          <w:p>
            <w:pPr>
              <w:pStyle w:val="57"/>
              <w:spacing w:line="360" w:lineRule="auto"/>
              <w:jc w:val="both"/>
              <w:rPr>
                <w:rFonts w:cs="Times New Roman"/>
                <w:kern w:val="2"/>
                <w:sz w:val="21"/>
                <w:szCs w:val="21"/>
                <w:lang w:val="zh-CN"/>
              </w:rPr>
            </w:pPr>
            <w:r>
              <w:rPr>
                <w:rFonts w:hint="eastAsia" w:cs="Times New Roman"/>
                <w:kern w:val="2"/>
                <w:sz w:val="21"/>
                <w:szCs w:val="21"/>
                <w:lang w:val="zh-CN"/>
              </w:rPr>
              <w:t xml:space="preserve"> 联系电话：028-61363972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w:t>
            </w:r>
            <w:r>
              <w:rPr>
                <w:rFonts w:cs="Courier New"/>
                <w:sz w:val="21"/>
                <w:szCs w:val="21"/>
                <w:lang w:val="zh-CN"/>
              </w:rPr>
              <w:t>3</w:t>
            </w:r>
          </w:p>
        </w:tc>
        <w:tc>
          <w:tcPr>
            <w:tcW w:w="2409" w:type="dxa"/>
            <w:vAlign w:val="center"/>
          </w:tcPr>
          <w:p>
            <w:pPr>
              <w:pStyle w:val="57"/>
              <w:spacing w:line="360" w:lineRule="auto"/>
              <w:ind w:left="96"/>
              <w:jc w:val="center"/>
              <w:rPr>
                <w:rFonts w:cs="Courier New"/>
                <w:sz w:val="21"/>
                <w:szCs w:val="21"/>
                <w:lang w:val="zh-CN"/>
              </w:rPr>
            </w:pPr>
            <w:r>
              <w:rPr>
                <w:rFonts w:hint="eastAsia" w:cs="Courier New"/>
                <w:sz w:val="21"/>
                <w:szCs w:val="21"/>
                <w:lang w:val="zh-CN"/>
              </w:rPr>
              <w:t>供应商质疑</w:t>
            </w:r>
          </w:p>
        </w:tc>
        <w:tc>
          <w:tcPr>
            <w:tcW w:w="6084" w:type="dxa"/>
            <w:vAlign w:val="center"/>
          </w:tcPr>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根据委托代理协议约定，供应商质疑由采购代理机构负责答复。</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 xml:space="preserve">联系人：尹女士； </w:t>
            </w:r>
          </w:p>
          <w:p>
            <w:pPr>
              <w:pStyle w:val="57"/>
              <w:spacing w:line="360" w:lineRule="auto"/>
              <w:ind w:firstLine="105" w:firstLineChars="50"/>
              <w:rPr>
                <w:rFonts w:cs="Times New Roman"/>
                <w:kern w:val="2"/>
                <w:sz w:val="21"/>
                <w:szCs w:val="21"/>
                <w:lang w:val="zh-CN"/>
              </w:rPr>
            </w:pPr>
            <w:r>
              <w:rPr>
                <w:rFonts w:hint="eastAsia" w:cs="Times New Roman"/>
                <w:kern w:val="2"/>
                <w:sz w:val="21"/>
                <w:szCs w:val="21"/>
                <w:lang w:val="zh-CN"/>
              </w:rPr>
              <w:t xml:space="preserve">  联系电话：028-61363972  </w:t>
            </w:r>
          </w:p>
          <w:p>
            <w:pPr>
              <w:pStyle w:val="57"/>
              <w:spacing w:line="360" w:lineRule="auto"/>
              <w:ind w:firstLine="210" w:firstLineChars="100"/>
              <w:rPr>
                <w:rFonts w:cs="Times New Roman"/>
                <w:kern w:val="2"/>
                <w:sz w:val="21"/>
                <w:szCs w:val="21"/>
                <w:lang w:val="zh-CN"/>
              </w:rPr>
            </w:pPr>
            <w:r>
              <w:rPr>
                <w:rFonts w:hint="eastAsia" w:cs="Times New Roman"/>
                <w:kern w:val="2"/>
                <w:sz w:val="21"/>
                <w:szCs w:val="21"/>
                <w:lang w:val="zh-CN"/>
              </w:rPr>
              <w:t>注：根据《中华人民共和国政府采购法》等规定，供应商质疑不得超出采购文件、采购过程、采购结果的范围, 供应商针对同一采购程序环节的质疑应在法定质疑期内一次性提出。</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w:t>
            </w:r>
            <w:r>
              <w:rPr>
                <w:rFonts w:cs="Courier New"/>
                <w:sz w:val="21"/>
                <w:szCs w:val="21"/>
                <w:lang w:val="zh-CN"/>
              </w:rPr>
              <w:t>4</w:t>
            </w:r>
          </w:p>
        </w:tc>
        <w:tc>
          <w:tcPr>
            <w:tcW w:w="2409" w:type="dxa"/>
            <w:vAlign w:val="center"/>
          </w:tcPr>
          <w:p>
            <w:pPr>
              <w:pStyle w:val="57"/>
              <w:spacing w:line="360" w:lineRule="auto"/>
              <w:ind w:left="96"/>
              <w:jc w:val="center"/>
              <w:rPr>
                <w:rFonts w:cs="Courier New"/>
                <w:sz w:val="21"/>
                <w:szCs w:val="21"/>
                <w:lang w:val="zh-CN"/>
              </w:rPr>
            </w:pPr>
            <w:r>
              <w:rPr>
                <w:rFonts w:hint="eastAsia" w:cs="Courier New"/>
                <w:sz w:val="21"/>
                <w:szCs w:val="21"/>
                <w:lang w:val="zh-CN"/>
              </w:rPr>
              <w:t>成交服务费</w:t>
            </w:r>
          </w:p>
        </w:tc>
        <w:tc>
          <w:tcPr>
            <w:tcW w:w="6084" w:type="dxa"/>
            <w:vAlign w:val="center"/>
          </w:tcPr>
          <w:p>
            <w:pPr>
              <w:autoSpaceDE w:val="0"/>
              <w:autoSpaceDN w:val="0"/>
              <w:adjustRightInd w:val="0"/>
              <w:spacing w:line="360" w:lineRule="auto"/>
              <w:ind w:firstLine="420"/>
              <w:jc w:val="left"/>
              <w:rPr>
                <w:rFonts w:ascii="宋体" w:hAnsi="宋体" w:cs="宋体"/>
                <w:kern w:val="0"/>
                <w:szCs w:val="21"/>
              </w:rPr>
            </w:pPr>
            <w:r>
              <w:rPr>
                <w:rFonts w:hint="eastAsia" w:ascii="宋体" w:hAnsi="宋体" w:cs="宋体"/>
                <w:kern w:val="0"/>
                <w:szCs w:val="21"/>
              </w:rPr>
              <w:t>由成交人以成交金额支付，按《招标代理服务收费管理暂行办法》（计价格[2002]1980号）、《国家发展改革委办公厅关于招标代理服务费收费有关问题的通知》（发改办价格[2003]857号）、《国家发改委关于降低部分建设项目收费标准规范收费行为等有关问题的通知》（发改价格[2011]534号）标准下浮15%计取，在成交通知书发出后 5 日内一次付清。招标代理服务费以转账形式缴纳，账号如下：</w:t>
            </w:r>
          </w:p>
          <w:p>
            <w:pPr>
              <w:autoSpaceDE w:val="0"/>
              <w:autoSpaceDN w:val="0"/>
              <w:adjustRightInd w:val="0"/>
              <w:spacing w:line="360" w:lineRule="auto"/>
              <w:ind w:firstLine="420"/>
              <w:jc w:val="left"/>
              <w:rPr>
                <w:rFonts w:ascii="宋体" w:hAnsi="宋体" w:cs="宋体"/>
                <w:kern w:val="0"/>
                <w:szCs w:val="21"/>
              </w:rPr>
            </w:pPr>
            <w:r>
              <w:rPr>
                <w:rFonts w:hint="eastAsia" w:ascii="宋体" w:hAnsi="宋体" w:cs="宋体"/>
                <w:kern w:val="0"/>
                <w:szCs w:val="21"/>
              </w:rPr>
              <w:t>开户单位：中恒德佳工程咨询有限公司</w:t>
            </w:r>
          </w:p>
          <w:p>
            <w:pPr>
              <w:autoSpaceDE w:val="0"/>
              <w:autoSpaceDN w:val="0"/>
              <w:adjustRightInd w:val="0"/>
              <w:spacing w:line="360" w:lineRule="auto"/>
              <w:ind w:firstLine="420"/>
              <w:jc w:val="left"/>
              <w:rPr>
                <w:rFonts w:ascii="宋体" w:hAnsi="宋体" w:cs="宋体"/>
                <w:kern w:val="0"/>
                <w:szCs w:val="21"/>
              </w:rPr>
            </w:pPr>
            <w:r>
              <w:rPr>
                <w:rFonts w:hint="eastAsia" w:ascii="宋体" w:hAnsi="宋体" w:cs="宋体"/>
                <w:kern w:val="0"/>
                <w:szCs w:val="21"/>
              </w:rPr>
              <w:t>开户银行： 招商银行成都分行羊犀支行</w:t>
            </w:r>
          </w:p>
          <w:p>
            <w:pPr>
              <w:autoSpaceDE w:val="0"/>
              <w:autoSpaceDN w:val="0"/>
              <w:adjustRightInd w:val="0"/>
              <w:spacing w:line="360" w:lineRule="auto"/>
              <w:ind w:firstLine="420"/>
              <w:jc w:val="left"/>
              <w:rPr>
                <w:rFonts w:ascii="宋体" w:hAnsi="宋体" w:cs="宋体"/>
                <w:kern w:val="0"/>
                <w:szCs w:val="21"/>
              </w:rPr>
            </w:pPr>
            <w:r>
              <w:rPr>
                <w:rFonts w:hint="eastAsia" w:ascii="宋体" w:hAnsi="宋体" w:cs="宋体"/>
                <w:kern w:val="0"/>
                <w:szCs w:val="21"/>
              </w:rPr>
              <w:t>账    号：1289 0215 7310 501</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w:t>
            </w:r>
            <w:r>
              <w:rPr>
                <w:rFonts w:cs="Courier New"/>
                <w:sz w:val="21"/>
                <w:szCs w:val="21"/>
                <w:lang w:val="zh-CN"/>
              </w:rPr>
              <w:t>5</w:t>
            </w:r>
          </w:p>
        </w:tc>
        <w:tc>
          <w:tcPr>
            <w:tcW w:w="2409" w:type="dxa"/>
            <w:tcBorders>
              <w:top w:val="single" w:color="auto" w:sz="8" w:space="0"/>
              <w:left w:val="single" w:color="auto" w:sz="8" w:space="0"/>
              <w:bottom w:val="single" w:color="auto" w:sz="8" w:space="0"/>
              <w:right w:val="single" w:color="auto" w:sz="8" w:space="0"/>
            </w:tcBorders>
            <w:vAlign w:val="center"/>
          </w:tcPr>
          <w:p>
            <w:pPr>
              <w:pStyle w:val="57"/>
              <w:spacing w:line="360" w:lineRule="auto"/>
              <w:ind w:left="96"/>
              <w:jc w:val="center"/>
              <w:rPr>
                <w:rFonts w:cs="Courier New"/>
                <w:sz w:val="21"/>
                <w:szCs w:val="21"/>
                <w:lang w:val="zh-CN"/>
              </w:rPr>
            </w:pPr>
            <w:r>
              <w:rPr>
                <w:rFonts w:hint="eastAsia"/>
                <w:sz w:val="21"/>
                <w:szCs w:val="21"/>
                <w:lang w:val="zh-CN"/>
              </w:rPr>
              <w:t>合同分</w:t>
            </w:r>
            <w:r>
              <w:rPr>
                <w:sz w:val="21"/>
                <w:szCs w:val="21"/>
                <w:lang w:val="zh-CN"/>
              </w:rPr>
              <w:t>包</w:t>
            </w:r>
          </w:p>
        </w:tc>
        <w:tc>
          <w:tcPr>
            <w:tcW w:w="6084" w:type="dxa"/>
            <w:tcBorders>
              <w:top w:val="single" w:color="auto" w:sz="8" w:space="0"/>
              <w:left w:val="single" w:color="auto" w:sz="8" w:space="0"/>
              <w:bottom w:val="single" w:color="auto" w:sz="8" w:space="0"/>
              <w:right w:val="single" w:color="auto" w:sz="18" w:space="0"/>
            </w:tcBorders>
            <w:vAlign w:val="center"/>
          </w:tcPr>
          <w:p>
            <w:pPr>
              <w:pStyle w:val="57"/>
              <w:spacing w:line="360" w:lineRule="auto"/>
              <w:ind w:left="155" w:leftChars="74" w:firstLine="56" w:firstLineChars="27"/>
              <w:rPr>
                <w:sz w:val="21"/>
                <w:szCs w:val="21"/>
                <w:lang w:val="zh-CN"/>
              </w:rPr>
            </w:pPr>
            <w:r>
              <w:rPr>
                <w:rFonts w:hint="eastAsia"/>
                <w:sz w:val="21"/>
                <w:szCs w:val="21"/>
                <w:lang w:val="zh-CN"/>
              </w:rPr>
              <w:t>本项目不接受合同分包；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16</w:t>
            </w:r>
          </w:p>
        </w:tc>
        <w:tc>
          <w:tcPr>
            <w:tcW w:w="2409" w:type="dxa"/>
            <w:tcBorders>
              <w:top w:val="single" w:color="auto" w:sz="8" w:space="0"/>
              <w:left w:val="single" w:color="auto" w:sz="8" w:space="0"/>
              <w:bottom w:val="single" w:color="auto" w:sz="8" w:space="0"/>
              <w:right w:val="single" w:color="auto" w:sz="8" w:space="0"/>
            </w:tcBorders>
            <w:vAlign w:val="center"/>
          </w:tcPr>
          <w:p>
            <w:pPr>
              <w:pStyle w:val="57"/>
              <w:spacing w:line="360" w:lineRule="auto"/>
              <w:ind w:left="96"/>
              <w:jc w:val="center"/>
              <w:rPr>
                <w:sz w:val="21"/>
                <w:szCs w:val="21"/>
                <w:lang w:val="zh-CN"/>
              </w:rPr>
            </w:pPr>
            <w:r>
              <w:rPr>
                <w:rFonts w:hint="eastAsia"/>
                <w:sz w:val="21"/>
                <w:szCs w:val="21"/>
                <w:lang w:val="zh-CN"/>
              </w:rPr>
              <w:t>联合</w:t>
            </w:r>
            <w:r>
              <w:rPr>
                <w:sz w:val="21"/>
                <w:szCs w:val="21"/>
                <w:lang w:val="zh-CN"/>
              </w:rPr>
              <w:t>体</w:t>
            </w:r>
            <w:r>
              <w:rPr>
                <w:rFonts w:hint="eastAsia"/>
                <w:sz w:val="21"/>
                <w:szCs w:val="21"/>
                <w:lang w:val="zh-CN"/>
              </w:rPr>
              <w:t>（实质性要求</w:t>
            </w:r>
            <w:r>
              <w:rPr>
                <w:sz w:val="21"/>
                <w:szCs w:val="21"/>
                <w:lang w:val="zh-CN"/>
              </w:rPr>
              <w:t>）</w:t>
            </w:r>
          </w:p>
        </w:tc>
        <w:tc>
          <w:tcPr>
            <w:tcW w:w="6084" w:type="dxa"/>
            <w:tcBorders>
              <w:top w:val="single" w:color="auto" w:sz="8" w:space="0"/>
              <w:left w:val="single" w:color="auto" w:sz="8" w:space="0"/>
              <w:bottom w:val="single" w:color="auto" w:sz="8" w:space="0"/>
              <w:right w:val="single" w:color="auto" w:sz="18" w:space="0"/>
            </w:tcBorders>
            <w:vAlign w:val="center"/>
          </w:tcPr>
          <w:p>
            <w:pPr>
              <w:pStyle w:val="57"/>
              <w:spacing w:line="360" w:lineRule="auto"/>
              <w:rPr>
                <w:rFonts w:cs="Segoe UI Symbol"/>
                <w:sz w:val="21"/>
                <w:szCs w:val="21"/>
                <w:lang w:val="zh-CN"/>
              </w:rPr>
            </w:pPr>
            <w:r>
              <w:rPr>
                <w:rFonts w:ascii="Segoe UI Symbol" w:hAnsi="Segoe UI Symbol" w:cs="Segoe UI Symbol"/>
                <w:b/>
                <w:kern w:val="2"/>
              </w:rPr>
              <w:t>☑</w:t>
            </w:r>
            <w:r>
              <w:rPr>
                <w:rFonts w:hint="eastAsia"/>
                <w:b/>
                <w:sz w:val="21"/>
                <w:szCs w:val="21"/>
                <w:lang w:val="zh-CN"/>
              </w:rPr>
              <w:t>本项目允许</w:t>
            </w:r>
            <w:r>
              <w:rPr>
                <w:b/>
                <w:sz w:val="21"/>
                <w:szCs w:val="21"/>
                <w:lang w:val="zh-CN"/>
              </w:rPr>
              <w:t>联合体</w:t>
            </w:r>
            <w:r>
              <w:rPr>
                <w:rFonts w:hint="eastAsia"/>
                <w:b/>
                <w:sz w:val="21"/>
                <w:szCs w:val="21"/>
                <w:lang w:val="zh-CN"/>
              </w:rPr>
              <w:t>参加。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17</w:t>
            </w:r>
          </w:p>
        </w:tc>
        <w:tc>
          <w:tcPr>
            <w:tcW w:w="2409" w:type="dxa"/>
            <w:tcBorders>
              <w:top w:val="single" w:color="auto" w:sz="8" w:space="0"/>
              <w:left w:val="single" w:color="auto" w:sz="8" w:space="0"/>
              <w:bottom w:val="single" w:color="auto" w:sz="8" w:space="0"/>
              <w:right w:val="single" w:color="auto" w:sz="8" w:space="0"/>
            </w:tcBorders>
            <w:vAlign w:val="center"/>
          </w:tcPr>
          <w:p>
            <w:pPr>
              <w:pStyle w:val="57"/>
              <w:spacing w:line="360" w:lineRule="auto"/>
              <w:ind w:left="96"/>
              <w:jc w:val="center"/>
              <w:rPr>
                <w:sz w:val="21"/>
                <w:szCs w:val="21"/>
                <w:lang w:val="zh-CN"/>
              </w:rPr>
            </w:pPr>
            <w:r>
              <w:rPr>
                <w:rFonts w:hint="eastAsia"/>
                <w:sz w:val="21"/>
                <w:szCs w:val="21"/>
                <w:lang w:val="zh-CN"/>
              </w:rPr>
              <w:t>现场</w:t>
            </w:r>
            <w:r>
              <w:rPr>
                <w:sz w:val="21"/>
                <w:szCs w:val="21"/>
                <w:lang w:val="zh-CN"/>
              </w:rPr>
              <w:t>踏勘</w:t>
            </w:r>
          </w:p>
        </w:tc>
        <w:tc>
          <w:tcPr>
            <w:tcW w:w="6084" w:type="dxa"/>
            <w:tcBorders>
              <w:top w:val="single" w:color="auto" w:sz="8" w:space="0"/>
              <w:left w:val="single" w:color="auto" w:sz="8" w:space="0"/>
              <w:bottom w:val="single" w:color="auto" w:sz="8" w:space="0"/>
              <w:right w:val="single" w:color="auto" w:sz="18" w:space="0"/>
            </w:tcBorders>
            <w:vAlign w:val="center"/>
          </w:tcPr>
          <w:p>
            <w:pPr>
              <w:pStyle w:val="57"/>
              <w:spacing w:line="360" w:lineRule="auto"/>
              <w:rPr>
                <w:sz w:val="21"/>
                <w:szCs w:val="21"/>
                <w:lang w:val="zh-CN"/>
              </w:rPr>
            </w:pPr>
            <w:r>
              <w:rPr>
                <w:rFonts w:hint="eastAsia"/>
                <w:sz w:val="21"/>
                <w:szCs w:val="21"/>
                <w:lang w:val="zh-CN"/>
              </w:rPr>
              <w:t>本</w:t>
            </w:r>
            <w:r>
              <w:rPr>
                <w:sz w:val="21"/>
                <w:szCs w:val="21"/>
                <w:lang w:val="zh-CN"/>
              </w:rPr>
              <w:t>项目</w:t>
            </w:r>
            <w:r>
              <w:rPr>
                <w:rFonts w:hint="eastAsia"/>
                <w:sz w:val="21"/>
                <w:szCs w:val="21"/>
                <w:lang w:val="zh-CN"/>
              </w:rPr>
              <w:t>不</w:t>
            </w:r>
            <w:r>
              <w:rPr>
                <w:sz w:val="21"/>
                <w:szCs w:val="21"/>
                <w:lang w:val="zh-CN"/>
              </w:rPr>
              <w:t>组织</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cs="Courier New"/>
                <w:sz w:val="21"/>
                <w:szCs w:val="21"/>
                <w:lang w:val="zh-CN"/>
              </w:rPr>
              <w:t>18</w:t>
            </w:r>
          </w:p>
        </w:tc>
        <w:tc>
          <w:tcPr>
            <w:tcW w:w="2409" w:type="dxa"/>
            <w:tcBorders>
              <w:top w:val="single" w:color="auto" w:sz="8" w:space="0"/>
              <w:left w:val="single" w:color="auto" w:sz="8" w:space="0"/>
              <w:bottom w:val="single" w:color="auto" w:sz="8" w:space="0"/>
              <w:right w:val="single" w:color="auto" w:sz="8" w:space="0"/>
            </w:tcBorders>
            <w:vAlign w:val="center"/>
          </w:tcPr>
          <w:p>
            <w:pPr>
              <w:pStyle w:val="57"/>
              <w:spacing w:line="360" w:lineRule="auto"/>
              <w:ind w:left="96"/>
              <w:jc w:val="center"/>
              <w:rPr>
                <w:sz w:val="21"/>
                <w:szCs w:val="21"/>
                <w:lang w:val="zh-CN"/>
              </w:rPr>
            </w:pPr>
            <w:r>
              <w:rPr>
                <w:rFonts w:hint="eastAsia"/>
                <w:sz w:val="21"/>
                <w:szCs w:val="21"/>
                <w:lang w:val="zh-CN"/>
              </w:rPr>
              <w:t>声明承诺提醒</w:t>
            </w:r>
          </w:p>
        </w:tc>
        <w:tc>
          <w:tcPr>
            <w:tcW w:w="6084" w:type="dxa"/>
            <w:tcBorders>
              <w:top w:val="single" w:color="auto" w:sz="8" w:space="0"/>
              <w:left w:val="single" w:color="auto" w:sz="8" w:space="0"/>
              <w:bottom w:val="single" w:color="auto" w:sz="8" w:space="0"/>
              <w:right w:val="single" w:color="auto" w:sz="18" w:space="0"/>
            </w:tcBorders>
            <w:vAlign w:val="center"/>
          </w:tcPr>
          <w:p>
            <w:pPr>
              <w:pStyle w:val="57"/>
              <w:spacing w:line="360" w:lineRule="auto"/>
              <w:rPr>
                <w:rFonts w:ascii="Segoe UI Symbol" w:hAnsi="Segoe UI Symbol" w:cs="Segoe UI Symbol"/>
                <w:b/>
                <w:kern w:val="2"/>
              </w:rPr>
            </w:pPr>
            <w:r>
              <w:rPr>
                <w:rFonts w:hint="eastAsia"/>
                <w:sz w:val="21"/>
                <w:szCs w:val="21"/>
                <w:lang w:val="zh-CN"/>
              </w:rPr>
              <w:t>供应商响应文件中提供的各种声明和承诺应当真实有效，无效声明和承诺、虚假声明和承诺将由供应商自己承担由此带来的任何不利后果，虚假声明和承诺还将报告监管部门追究法律责任。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jc w:val="center"/>
        </w:trPr>
        <w:tc>
          <w:tcPr>
            <w:tcW w:w="1013" w:type="dxa"/>
            <w:vAlign w:val="center"/>
          </w:tcPr>
          <w:p>
            <w:pPr>
              <w:pStyle w:val="57"/>
              <w:spacing w:line="360" w:lineRule="auto"/>
              <w:ind w:right="230"/>
              <w:jc w:val="center"/>
              <w:rPr>
                <w:rFonts w:cs="Courier New"/>
                <w:sz w:val="21"/>
                <w:szCs w:val="21"/>
                <w:lang w:val="zh-CN"/>
              </w:rPr>
            </w:pPr>
            <w:r>
              <w:rPr>
                <w:rFonts w:hint="eastAsia" w:cs="Courier New"/>
                <w:sz w:val="21"/>
                <w:szCs w:val="21"/>
                <w:lang w:val="zh-CN"/>
              </w:rPr>
              <w:t>19</w:t>
            </w:r>
          </w:p>
        </w:tc>
        <w:tc>
          <w:tcPr>
            <w:tcW w:w="2409" w:type="dxa"/>
            <w:tcBorders>
              <w:top w:val="single" w:color="auto" w:sz="8" w:space="0"/>
              <w:left w:val="single" w:color="auto" w:sz="8" w:space="0"/>
              <w:bottom w:val="single" w:color="auto" w:sz="18" w:space="0"/>
              <w:right w:val="single" w:color="auto" w:sz="8" w:space="0"/>
            </w:tcBorders>
            <w:vAlign w:val="center"/>
          </w:tcPr>
          <w:p>
            <w:pPr>
              <w:pStyle w:val="57"/>
              <w:spacing w:line="360" w:lineRule="auto"/>
              <w:ind w:left="96"/>
              <w:jc w:val="center"/>
              <w:rPr>
                <w:sz w:val="21"/>
                <w:szCs w:val="21"/>
                <w:lang w:val="zh-CN"/>
              </w:rPr>
            </w:pPr>
            <w:r>
              <w:rPr>
                <w:rFonts w:hint="eastAsia"/>
                <w:sz w:val="21"/>
                <w:szCs w:val="21"/>
                <w:lang w:val="zh-CN"/>
              </w:rPr>
              <w:t>3C 强制认证产品(如有)</w:t>
            </w:r>
          </w:p>
        </w:tc>
        <w:tc>
          <w:tcPr>
            <w:tcW w:w="6084" w:type="dxa"/>
            <w:tcBorders>
              <w:top w:val="single" w:color="auto" w:sz="8" w:space="0"/>
              <w:left w:val="single" w:color="auto" w:sz="8" w:space="0"/>
              <w:bottom w:val="single" w:color="auto" w:sz="18" w:space="0"/>
              <w:right w:val="single" w:color="auto" w:sz="18" w:space="0"/>
            </w:tcBorders>
            <w:vAlign w:val="center"/>
          </w:tcPr>
          <w:p>
            <w:pPr>
              <w:pStyle w:val="57"/>
              <w:spacing w:line="360" w:lineRule="auto"/>
              <w:rPr>
                <w:sz w:val="21"/>
                <w:szCs w:val="21"/>
                <w:lang w:val="zh-CN"/>
              </w:rPr>
            </w:pPr>
            <w:r>
              <w:rPr>
                <w:rFonts w:hint="eastAsia"/>
                <w:sz w:val="21"/>
                <w:szCs w:val="21"/>
                <w:lang w:val="zh-CN"/>
              </w:rPr>
              <w:t>技术参数中如涉及到 3C 强制认证产品均满足相关要求，磋商时提供《中国强制性产品认证》（3C 证书）复印件，或提供承诺函，承诺成交后签订合同前向采购人提供。（如涉及）</w:t>
            </w:r>
          </w:p>
        </w:tc>
      </w:tr>
    </w:tbl>
    <w:p>
      <w:pPr>
        <w:pStyle w:val="3"/>
        <w:keepNext w:val="0"/>
        <w:keepLines w:val="0"/>
        <w:spacing w:before="0" w:after="0" w:line="360" w:lineRule="auto"/>
        <w:jc w:val="center"/>
        <w:rPr>
          <w:rFonts w:ascii="宋体" w:hAnsi="宋体" w:eastAsia="宋体"/>
          <w:bCs w:val="0"/>
        </w:rPr>
      </w:pPr>
    </w:p>
    <w:p>
      <w:pPr>
        <w:widowControl/>
        <w:spacing w:line="360" w:lineRule="auto"/>
        <w:jc w:val="left"/>
        <w:rPr>
          <w:rFonts w:ascii="宋体" w:hAnsi="宋体"/>
          <w:b/>
          <w:sz w:val="32"/>
          <w:szCs w:val="32"/>
        </w:rPr>
      </w:pPr>
      <w:r>
        <w:rPr>
          <w:rFonts w:ascii="宋体" w:hAnsi="宋体"/>
          <w:bCs/>
        </w:rPr>
        <w:br w:type="page"/>
      </w:r>
    </w:p>
    <w:p>
      <w:pPr>
        <w:pStyle w:val="3"/>
        <w:keepNext w:val="0"/>
        <w:keepLines w:val="0"/>
        <w:spacing w:before="0" w:after="0" w:line="360" w:lineRule="auto"/>
        <w:jc w:val="center"/>
        <w:rPr>
          <w:rFonts w:ascii="宋体" w:hAnsi="宋体" w:eastAsia="宋体"/>
          <w:bCs w:val="0"/>
        </w:rPr>
      </w:pPr>
      <w:r>
        <w:rPr>
          <w:rFonts w:hint="eastAsia" w:ascii="宋体" w:hAnsi="宋体" w:eastAsia="宋体"/>
          <w:bCs w:val="0"/>
        </w:rPr>
        <w:t>二、总  则</w:t>
      </w:r>
    </w:p>
    <w:p>
      <w:pPr>
        <w:pStyle w:val="4"/>
        <w:keepNext w:val="0"/>
        <w:keepLines w:val="0"/>
        <w:spacing w:before="0" w:after="0" w:line="360" w:lineRule="auto"/>
        <w:ind w:firstLine="482" w:firstLineChars="200"/>
        <w:rPr>
          <w:rFonts w:ascii="宋体" w:hAnsi="宋体"/>
          <w:sz w:val="24"/>
        </w:rPr>
      </w:pPr>
      <w:bookmarkStart w:id="11" w:name="_Toc183682342"/>
      <w:bookmarkStart w:id="12" w:name="_Toc183582205"/>
      <w:bookmarkStart w:id="13" w:name="_Toc217446034"/>
    </w:p>
    <w:p>
      <w:pPr>
        <w:pStyle w:val="4"/>
        <w:keepNext w:val="0"/>
        <w:keepLines w:val="0"/>
        <w:spacing w:before="0" w:after="0" w:line="360" w:lineRule="auto"/>
        <w:ind w:firstLine="482" w:firstLineChars="200"/>
        <w:rPr>
          <w:rFonts w:ascii="宋体" w:hAnsi="宋体"/>
          <w:sz w:val="24"/>
        </w:rPr>
      </w:pPr>
      <w:bookmarkStart w:id="14" w:name="PO_默认文件内容_23"/>
      <w:r>
        <w:rPr>
          <w:rFonts w:hint="eastAsia" w:ascii="宋体" w:hAnsi="宋体"/>
          <w:sz w:val="24"/>
        </w:rPr>
        <w:t>1</w:t>
      </w:r>
      <w:r>
        <w:rPr>
          <w:rFonts w:ascii="宋体" w:hAnsi="宋体"/>
          <w:sz w:val="24"/>
        </w:rPr>
        <w:t>.</w:t>
      </w:r>
      <w:bookmarkEnd w:id="11"/>
      <w:bookmarkEnd w:id="12"/>
      <w:r>
        <w:rPr>
          <w:rFonts w:hint="eastAsia" w:ascii="宋体" w:hAnsi="宋体"/>
          <w:sz w:val="24"/>
          <w:szCs w:val="24"/>
        </w:rPr>
        <w:t>适用范围</w:t>
      </w:r>
      <w:bookmarkEnd w:id="13"/>
    </w:p>
    <w:p>
      <w:pPr>
        <w:tabs>
          <w:tab w:val="left" w:pos="7665"/>
        </w:tabs>
        <w:spacing w:line="360" w:lineRule="auto"/>
        <w:ind w:firstLine="480" w:firstLineChars="20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1 本磋商文件仅适用于本次磋商采购项目。</w:t>
      </w:r>
    </w:p>
    <w:p>
      <w:pPr>
        <w:tabs>
          <w:tab w:val="left" w:pos="7665"/>
        </w:tabs>
        <w:spacing w:line="360" w:lineRule="auto"/>
        <w:ind w:firstLine="480" w:firstLineChars="200"/>
        <w:rPr>
          <w:rFonts w:ascii="宋体" w:hAnsi="宋体"/>
          <w:sz w:val="24"/>
        </w:rPr>
      </w:pPr>
      <w:r>
        <w:rPr>
          <w:rFonts w:hint="eastAsia" w:ascii="宋体" w:hAnsi="宋体"/>
          <w:sz w:val="24"/>
        </w:rPr>
        <w:t>1.2 本磋商文件的解释权归采购人和采购代理机构所有。</w:t>
      </w:r>
      <w:bookmarkEnd w:id="14"/>
    </w:p>
    <w:p>
      <w:pPr>
        <w:tabs>
          <w:tab w:val="left" w:pos="7665"/>
        </w:tabs>
        <w:spacing w:line="360" w:lineRule="auto"/>
        <w:ind w:firstLine="480" w:firstLineChars="200"/>
        <w:rPr>
          <w:rFonts w:ascii="宋体" w:hAnsi="宋体"/>
          <w:sz w:val="24"/>
        </w:rPr>
      </w:pPr>
    </w:p>
    <w:p>
      <w:pPr>
        <w:pStyle w:val="4"/>
        <w:keepNext w:val="0"/>
        <w:keepLines w:val="0"/>
        <w:spacing w:before="0" w:after="0" w:line="360" w:lineRule="auto"/>
        <w:ind w:firstLine="482" w:firstLineChars="200"/>
        <w:rPr>
          <w:rFonts w:ascii="宋体" w:hAnsi="宋体"/>
          <w:sz w:val="24"/>
        </w:rPr>
      </w:pPr>
      <w:bookmarkStart w:id="15" w:name="_Toc183682343"/>
      <w:bookmarkStart w:id="16" w:name="_Toc183582206"/>
      <w:bookmarkStart w:id="17" w:name="_Toc217446035"/>
      <w:r>
        <w:rPr>
          <w:rFonts w:ascii="宋体" w:hAnsi="宋体"/>
          <w:sz w:val="24"/>
        </w:rPr>
        <w:t>2.</w:t>
      </w:r>
      <w:bookmarkEnd w:id="15"/>
      <w:bookmarkEnd w:id="16"/>
      <w:bookmarkEnd w:id="17"/>
      <w:r>
        <w:rPr>
          <w:rFonts w:hint="eastAsia" w:ascii="宋体" w:hAnsi="宋体"/>
          <w:sz w:val="24"/>
        </w:rPr>
        <w:t>采购主体</w:t>
      </w:r>
    </w:p>
    <w:p>
      <w:pPr>
        <w:tabs>
          <w:tab w:val="left" w:pos="7665"/>
        </w:tabs>
        <w:spacing w:line="360" w:lineRule="auto"/>
        <w:ind w:firstLine="480" w:firstLineChars="20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1本次磋商的采购人是</w:t>
      </w:r>
      <w:r>
        <w:rPr>
          <w:rFonts w:hint="eastAsia" w:ascii="宋体" w:hAnsi="宋体"/>
          <w:sz w:val="24"/>
          <w:u w:val="single"/>
        </w:rPr>
        <w:t>电子</w:t>
      </w:r>
      <w:r>
        <w:rPr>
          <w:rFonts w:ascii="宋体" w:hAnsi="宋体"/>
          <w:sz w:val="24"/>
          <w:u w:val="single"/>
        </w:rPr>
        <w:t>科技大学</w:t>
      </w:r>
      <w:r>
        <w:rPr>
          <w:rFonts w:hint="eastAsia" w:ascii="宋体" w:hAnsi="宋体"/>
          <w:sz w:val="24"/>
        </w:rPr>
        <w:t>。</w:t>
      </w:r>
    </w:p>
    <w:p>
      <w:pPr>
        <w:tabs>
          <w:tab w:val="left" w:pos="7665"/>
        </w:tabs>
        <w:spacing w:line="360" w:lineRule="auto"/>
        <w:ind w:firstLine="480" w:firstLineChars="200"/>
        <w:rPr>
          <w:rFonts w:ascii="宋体" w:hAnsi="宋体"/>
          <w:sz w:val="24"/>
        </w:rPr>
      </w:pPr>
      <w:bookmarkStart w:id="18" w:name="PO_默认文件内容_24"/>
      <w:r>
        <w:rPr>
          <w:rFonts w:hint="eastAsia" w:ascii="宋体" w:hAnsi="宋体"/>
          <w:sz w:val="24"/>
        </w:rPr>
        <w:t>2</w:t>
      </w:r>
      <w:r>
        <w:rPr>
          <w:rFonts w:ascii="宋体" w:hAnsi="宋体"/>
          <w:sz w:val="24"/>
        </w:rPr>
        <w:t>.</w:t>
      </w:r>
      <w:r>
        <w:rPr>
          <w:rFonts w:hint="eastAsia" w:ascii="宋体" w:hAnsi="宋体"/>
          <w:sz w:val="24"/>
        </w:rPr>
        <w:t>2本次磋商的采购代理机构是</w:t>
      </w:r>
      <w:r>
        <w:rPr>
          <w:rFonts w:hint="eastAsia" w:ascii="宋体" w:hAnsi="宋体"/>
          <w:sz w:val="24"/>
          <w:u w:val="single"/>
        </w:rPr>
        <w:t>中恒德佳工程咨询有限公司</w:t>
      </w:r>
      <w:r>
        <w:rPr>
          <w:rFonts w:hint="eastAsia" w:ascii="宋体" w:hAnsi="宋体"/>
          <w:sz w:val="24"/>
        </w:rPr>
        <w:t>。</w:t>
      </w:r>
    </w:p>
    <w:p>
      <w:pPr>
        <w:tabs>
          <w:tab w:val="left" w:pos="7665"/>
        </w:tabs>
        <w:spacing w:line="360" w:lineRule="auto"/>
        <w:ind w:firstLine="480" w:firstLineChars="200"/>
        <w:rPr>
          <w:rFonts w:ascii="宋体" w:hAnsi="宋体"/>
          <w:sz w:val="24"/>
        </w:rPr>
      </w:pPr>
    </w:p>
    <w:p>
      <w:pPr>
        <w:pStyle w:val="4"/>
        <w:keepNext w:val="0"/>
        <w:keepLines w:val="0"/>
        <w:spacing w:before="0" w:after="0" w:line="360" w:lineRule="auto"/>
        <w:ind w:firstLine="482" w:firstLineChars="200"/>
        <w:rPr>
          <w:rFonts w:ascii="宋体" w:hAnsi="宋体"/>
          <w:sz w:val="24"/>
        </w:rPr>
      </w:pPr>
      <w:bookmarkStart w:id="19" w:name="_Toc217390843"/>
      <w:bookmarkStart w:id="20" w:name="_Toc183682344"/>
      <w:bookmarkStart w:id="21" w:name="_Toc217446036"/>
      <w:bookmarkStart w:id="22" w:name="_Toc183582207"/>
      <w:r>
        <w:rPr>
          <w:rFonts w:ascii="宋体" w:hAnsi="宋体"/>
          <w:sz w:val="24"/>
        </w:rPr>
        <w:t>3.</w:t>
      </w:r>
      <w:r>
        <w:rPr>
          <w:rFonts w:hint="eastAsia" w:ascii="宋体" w:hAnsi="宋体"/>
          <w:sz w:val="24"/>
        </w:rPr>
        <w:t xml:space="preserve"> 合格</w:t>
      </w:r>
      <w:bookmarkEnd w:id="19"/>
      <w:bookmarkEnd w:id="20"/>
      <w:bookmarkEnd w:id="21"/>
      <w:bookmarkEnd w:id="22"/>
      <w:r>
        <w:rPr>
          <w:rFonts w:hint="eastAsia" w:ascii="宋体" w:hAnsi="宋体"/>
          <w:sz w:val="24"/>
        </w:rPr>
        <w:t>供应商</w:t>
      </w:r>
    </w:p>
    <w:p>
      <w:pPr>
        <w:tabs>
          <w:tab w:val="left" w:pos="7665"/>
        </w:tabs>
        <w:spacing w:line="360" w:lineRule="auto"/>
        <w:ind w:firstLine="480" w:firstLineChars="200"/>
        <w:rPr>
          <w:rFonts w:ascii="宋体" w:hAnsi="宋体"/>
          <w:sz w:val="24"/>
        </w:rPr>
      </w:pPr>
      <w:r>
        <w:rPr>
          <w:rFonts w:hint="eastAsia" w:ascii="宋体" w:hAnsi="宋体"/>
          <w:sz w:val="24"/>
        </w:rPr>
        <w:t>合格供应商应具备以下条件：</w:t>
      </w:r>
    </w:p>
    <w:p>
      <w:pPr>
        <w:tabs>
          <w:tab w:val="left" w:pos="7665"/>
        </w:tabs>
        <w:spacing w:line="360" w:lineRule="auto"/>
        <w:ind w:firstLine="480" w:firstLineChars="200"/>
        <w:rPr>
          <w:rFonts w:ascii="宋体" w:hAnsi="宋体"/>
          <w:spacing w:val="-4"/>
          <w:sz w:val="24"/>
        </w:rPr>
      </w:pPr>
      <w:r>
        <w:rPr>
          <w:rFonts w:hint="eastAsia" w:ascii="宋体" w:hAnsi="宋体"/>
          <w:sz w:val="24"/>
        </w:rPr>
        <w:t>3.1 具备法律法规和本采购文件规定的资格条件</w:t>
      </w:r>
      <w:r>
        <w:rPr>
          <w:rFonts w:hint="eastAsia" w:ascii="宋体" w:hAnsi="宋体"/>
          <w:spacing w:val="-4"/>
          <w:sz w:val="24"/>
        </w:rPr>
        <w:t>；</w:t>
      </w:r>
    </w:p>
    <w:p>
      <w:pPr>
        <w:tabs>
          <w:tab w:val="left" w:pos="7665"/>
        </w:tabs>
        <w:spacing w:line="360" w:lineRule="auto"/>
        <w:ind w:firstLine="464" w:firstLineChars="200"/>
        <w:rPr>
          <w:rFonts w:ascii="宋体" w:hAnsi="宋体"/>
          <w:spacing w:val="-4"/>
          <w:sz w:val="24"/>
        </w:rPr>
      </w:pPr>
      <w:r>
        <w:rPr>
          <w:rFonts w:hint="eastAsia" w:ascii="宋体" w:hAnsi="宋体"/>
          <w:spacing w:val="-4"/>
          <w:sz w:val="24"/>
        </w:rPr>
        <w:t>3.2 不属于禁止参加本项目采购活动的供应商；</w:t>
      </w:r>
    </w:p>
    <w:p>
      <w:pPr>
        <w:tabs>
          <w:tab w:val="left" w:pos="7665"/>
        </w:tabs>
        <w:spacing w:line="400" w:lineRule="exact"/>
        <w:ind w:firstLine="480" w:firstLineChars="200"/>
        <w:rPr>
          <w:rFonts w:ascii="宋体" w:hAnsi="宋体" w:cs="宋体"/>
          <w:sz w:val="24"/>
        </w:rPr>
      </w:pPr>
      <w:bookmarkStart w:id="23" w:name="_Toc183582208"/>
      <w:bookmarkStart w:id="24" w:name="_Toc183682345"/>
      <w:bookmarkStart w:id="25" w:name="_Toc217446037"/>
      <w:r>
        <w:rPr>
          <w:rFonts w:hint="eastAsia" w:ascii="宋体" w:hAnsi="宋体"/>
          <w:sz w:val="24"/>
        </w:rPr>
        <w:t>3.3</w:t>
      </w:r>
      <w:r>
        <w:rPr>
          <w:rFonts w:hint="eastAsia" w:ascii="宋体" w:hAnsi="宋体"/>
          <w:spacing w:val="-4"/>
          <w:sz w:val="24"/>
        </w:rPr>
        <w:t>按照规定购买了采购文件</w:t>
      </w:r>
      <w:r>
        <w:rPr>
          <w:rFonts w:hint="eastAsia" w:ascii="宋体" w:hAnsi="宋体"/>
          <w:b/>
          <w:spacing w:val="-4"/>
          <w:sz w:val="24"/>
        </w:rPr>
        <w:t>（实质性</w:t>
      </w:r>
      <w:r>
        <w:rPr>
          <w:rFonts w:ascii="宋体" w:hAnsi="宋体"/>
          <w:b/>
          <w:spacing w:val="-4"/>
          <w:sz w:val="24"/>
        </w:rPr>
        <w:t>要求</w:t>
      </w:r>
      <w:r>
        <w:rPr>
          <w:rFonts w:hint="eastAsia" w:ascii="宋体" w:hAnsi="宋体"/>
          <w:b/>
          <w:spacing w:val="-4"/>
          <w:sz w:val="24"/>
        </w:rPr>
        <w:t>）</w:t>
      </w:r>
    </w:p>
    <w:p>
      <w:pPr>
        <w:pStyle w:val="4"/>
        <w:keepNext w:val="0"/>
        <w:keepLines w:val="0"/>
        <w:spacing w:before="0" w:after="0" w:line="360" w:lineRule="auto"/>
        <w:ind w:firstLine="480" w:firstLineChars="200"/>
        <w:rPr>
          <w:rFonts w:ascii="宋体" w:hAnsi="宋体"/>
          <w:sz w:val="24"/>
        </w:rPr>
      </w:pPr>
      <w:r>
        <w:rPr>
          <w:rFonts w:hint="eastAsia" w:ascii="宋体" w:hAnsi="宋体" w:cs="宋体"/>
          <w:b w:val="0"/>
          <w:sz w:val="24"/>
        </w:rPr>
        <w:t>由代理机构提供供应商购买采购文件情况的相关证明材料，供应商不用提供证明材料。</w:t>
      </w:r>
    </w:p>
    <w:p>
      <w:pPr>
        <w:pStyle w:val="4"/>
        <w:keepNext w:val="0"/>
        <w:keepLines w:val="0"/>
        <w:spacing w:before="0" w:after="0" w:line="360" w:lineRule="auto"/>
        <w:ind w:firstLine="482" w:firstLineChars="200"/>
        <w:rPr>
          <w:rFonts w:ascii="宋体" w:hAnsi="宋体"/>
          <w:sz w:val="24"/>
        </w:rPr>
      </w:pPr>
      <w:r>
        <w:rPr>
          <w:rFonts w:hint="eastAsia" w:ascii="宋体" w:hAnsi="宋体"/>
          <w:sz w:val="24"/>
        </w:rPr>
        <w:t>4. 磋商费用</w:t>
      </w:r>
      <w:bookmarkEnd w:id="23"/>
      <w:bookmarkEnd w:id="24"/>
      <w:bookmarkEnd w:id="25"/>
      <w:r>
        <w:rPr>
          <w:rFonts w:hint="eastAsia" w:ascii="宋体" w:hAnsi="宋体"/>
          <w:spacing w:val="-4"/>
          <w:sz w:val="24"/>
        </w:rPr>
        <w:t>（实质性要求）</w:t>
      </w:r>
    </w:p>
    <w:p>
      <w:pPr>
        <w:tabs>
          <w:tab w:val="left" w:pos="7665"/>
        </w:tabs>
        <w:spacing w:line="360" w:lineRule="auto"/>
        <w:ind w:firstLine="480"/>
        <w:rPr>
          <w:rFonts w:ascii="宋体" w:hAnsi="宋体"/>
          <w:sz w:val="24"/>
        </w:rPr>
      </w:pPr>
      <w:r>
        <w:rPr>
          <w:rFonts w:hint="eastAsia" w:ascii="宋体" w:hAnsi="宋体"/>
          <w:sz w:val="24"/>
        </w:rPr>
        <w:t>供应商应自行承担参加磋商活动的全部费用。</w:t>
      </w:r>
    </w:p>
    <w:p>
      <w:pPr>
        <w:spacing w:line="360" w:lineRule="auto"/>
        <w:rPr>
          <w:rFonts w:ascii="宋体" w:hAnsi="宋体"/>
        </w:rPr>
      </w:pPr>
    </w:p>
    <w:p>
      <w:pPr>
        <w:pStyle w:val="54"/>
        <w:spacing w:line="360" w:lineRule="auto"/>
        <w:ind w:left="1" w:firstLine="482" w:firstLineChars="200"/>
        <w:rPr>
          <w:rFonts w:hAnsi="宋体"/>
          <w:b/>
          <w:sz w:val="24"/>
        </w:rPr>
      </w:pPr>
      <w:r>
        <w:rPr>
          <w:rFonts w:hint="eastAsia" w:hAnsi="宋体"/>
          <w:b/>
          <w:sz w:val="24"/>
        </w:rPr>
        <w:t>5.充分、公平竞争保障措施（实质性要求）</w:t>
      </w:r>
    </w:p>
    <w:p>
      <w:pPr>
        <w:pStyle w:val="54"/>
        <w:spacing w:line="360" w:lineRule="auto"/>
        <w:ind w:left="1" w:firstLine="480" w:firstLineChars="200"/>
        <w:rPr>
          <w:rFonts w:hAnsi="宋体"/>
          <w:sz w:val="28"/>
          <w:szCs w:val="28"/>
        </w:rPr>
      </w:pPr>
      <w:r>
        <w:rPr>
          <w:rFonts w:hint="eastAsia" w:hAnsi="宋体"/>
          <w:sz w:val="24"/>
        </w:rPr>
        <w:t>5.1利害关系供应商处理。单位负责人为同一人或者存在直接控股、管理关系的不同供应商不得参加同一合同项下的政府采购活动。采购项目实行资格预审的，单位负责人为同一人或者存在直接控股、管理关系的不同供应商可以参加资格预审，但只能由供应商确定其中一家符合条件的供应商参加后续的政府采购活动，否则，其响应文件作为无效处理。</w:t>
      </w:r>
    </w:p>
    <w:p>
      <w:pPr>
        <w:pStyle w:val="54"/>
        <w:spacing w:line="360" w:lineRule="auto"/>
        <w:ind w:left="1" w:firstLine="480" w:firstLineChars="200"/>
        <w:rPr>
          <w:rFonts w:hAnsi="宋体"/>
          <w:sz w:val="24"/>
        </w:rPr>
      </w:pPr>
      <w:r>
        <w:rPr>
          <w:rFonts w:hint="eastAsia" w:hAnsi="宋体"/>
          <w:sz w:val="24"/>
        </w:rPr>
        <w:t>5.</w:t>
      </w:r>
      <w:r>
        <w:rPr>
          <w:rFonts w:hAnsi="宋体"/>
          <w:sz w:val="24"/>
        </w:rPr>
        <w:t>2</w:t>
      </w:r>
      <w:r>
        <w:rPr>
          <w:rFonts w:hint="eastAsia" w:hAnsi="宋体"/>
          <w:sz w:val="24"/>
        </w:rPr>
        <w:t>前期参与供应商处理。为采购项目提供整体设计、规范编制或者项目管理、监理、检测等服务的供应商，不得再参加该采购项目的其他采购活动。供应商为采购人、采购代理机构在确定采购需求、编制采购文件过程中提供咨询论证，其提供的咨询论证意见成为采购文件中规定的供应商资格条件、技术服务商务要求、评审因素和标准、政府采购合同等实质性内容条款的，视同为采购项目提供规范编制。</w:t>
      </w:r>
    </w:p>
    <w:p>
      <w:pPr>
        <w:pStyle w:val="54"/>
        <w:spacing w:line="360" w:lineRule="auto"/>
        <w:ind w:left="1" w:firstLine="480" w:firstLineChars="200"/>
        <w:rPr>
          <w:rFonts w:hAnsi="宋体"/>
          <w:sz w:val="24"/>
        </w:rPr>
      </w:pPr>
      <w:r>
        <w:rPr>
          <w:rFonts w:hint="eastAsia" w:hAnsi="宋体"/>
          <w:sz w:val="24"/>
        </w:rPr>
        <w:t>5.</w:t>
      </w:r>
      <w:r>
        <w:rPr>
          <w:rFonts w:hAnsi="宋体"/>
          <w:sz w:val="24"/>
        </w:rPr>
        <w:t>3</w:t>
      </w:r>
      <w:r>
        <w:rPr>
          <w:rFonts w:hint="eastAsia" w:hAnsi="宋体"/>
          <w:sz w:val="24"/>
        </w:rPr>
        <w:t>回避。政府采购活动中，采购人员及相关人员与供应商有下列利害关系之一的，应当回避：</w:t>
      </w:r>
    </w:p>
    <w:p>
      <w:pPr>
        <w:pStyle w:val="54"/>
        <w:spacing w:line="360" w:lineRule="auto"/>
        <w:ind w:left="1" w:firstLine="480" w:firstLineChars="200"/>
        <w:rPr>
          <w:rFonts w:hAnsi="宋体"/>
          <w:sz w:val="24"/>
        </w:rPr>
      </w:pPr>
      <w:r>
        <w:rPr>
          <w:rFonts w:hint="eastAsia" w:hAnsi="宋体"/>
          <w:sz w:val="24"/>
        </w:rPr>
        <w:t>（1）参加采购活动前3年内与供应商存在劳动关系；</w:t>
      </w:r>
    </w:p>
    <w:p>
      <w:pPr>
        <w:pStyle w:val="54"/>
        <w:spacing w:line="360" w:lineRule="auto"/>
        <w:ind w:left="1" w:firstLine="480" w:firstLineChars="200"/>
        <w:rPr>
          <w:rFonts w:hAnsi="宋体"/>
          <w:sz w:val="24"/>
        </w:rPr>
      </w:pPr>
      <w:r>
        <w:rPr>
          <w:rFonts w:hint="eastAsia" w:hAnsi="宋体"/>
          <w:sz w:val="24"/>
        </w:rPr>
        <w:t>（2）参加采购活动前3年内担任供应商的董事、监事；</w:t>
      </w:r>
    </w:p>
    <w:p>
      <w:pPr>
        <w:pStyle w:val="54"/>
        <w:spacing w:line="360" w:lineRule="auto"/>
        <w:ind w:left="1" w:firstLine="480" w:firstLineChars="200"/>
        <w:rPr>
          <w:rFonts w:hAnsi="宋体"/>
          <w:sz w:val="24"/>
        </w:rPr>
      </w:pPr>
      <w:r>
        <w:rPr>
          <w:rFonts w:hint="eastAsia" w:hAnsi="宋体"/>
          <w:sz w:val="24"/>
        </w:rPr>
        <w:t>（3）参加采购活动前3年内是供应商的控股股东或者实际控制人；</w:t>
      </w:r>
    </w:p>
    <w:p>
      <w:pPr>
        <w:pStyle w:val="54"/>
        <w:spacing w:line="360" w:lineRule="auto"/>
        <w:ind w:left="1" w:firstLine="480" w:firstLineChars="200"/>
        <w:rPr>
          <w:rFonts w:hAnsi="宋体"/>
          <w:sz w:val="24"/>
        </w:rPr>
      </w:pPr>
      <w:r>
        <w:rPr>
          <w:rFonts w:hint="eastAsia" w:hAnsi="宋体"/>
          <w:sz w:val="24"/>
        </w:rPr>
        <w:t>（4）与供应商的法定代表人或者负责人有夫妻、直系血亲、三代以内旁系血亲或者近姻亲关系；</w:t>
      </w:r>
    </w:p>
    <w:p>
      <w:pPr>
        <w:pStyle w:val="54"/>
        <w:spacing w:line="360" w:lineRule="auto"/>
        <w:ind w:left="1" w:firstLine="480" w:firstLineChars="200"/>
        <w:rPr>
          <w:rFonts w:hAnsi="宋体"/>
          <w:sz w:val="24"/>
        </w:rPr>
      </w:pPr>
      <w:r>
        <w:rPr>
          <w:rFonts w:hint="eastAsia" w:hAnsi="宋体"/>
          <w:sz w:val="24"/>
        </w:rPr>
        <w:t>（5）与供应商有其他可能影响政府采购活动公平、公正进行的关系。</w:t>
      </w:r>
    </w:p>
    <w:p>
      <w:pPr>
        <w:pStyle w:val="54"/>
        <w:spacing w:line="360" w:lineRule="auto"/>
        <w:ind w:left="1" w:firstLine="480" w:firstLineChars="200"/>
        <w:rPr>
          <w:rFonts w:hAnsi="宋体"/>
          <w:sz w:val="24"/>
        </w:rPr>
      </w:pPr>
      <w:r>
        <w:rPr>
          <w:rFonts w:hint="eastAsia" w:hAnsi="宋体"/>
          <w:sz w:val="24"/>
        </w:rPr>
        <w:t>供应商认为采购人员及相关人员与其他供应商有利害关系的，可以向采购代理机构书面提出回避申请，并说明理由。采购代理机构将及时询问被申请回避人员，有利害关系的被申请回避人员应当回避。</w:t>
      </w:r>
    </w:p>
    <w:p>
      <w:pPr>
        <w:pStyle w:val="54"/>
        <w:spacing w:line="360" w:lineRule="auto"/>
        <w:ind w:left="1" w:firstLine="482" w:firstLineChars="200"/>
        <w:rPr>
          <w:rFonts w:hAnsi="宋体"/>
          <w:b/>
          <w:sz w:val="24"/>
        </w:rPr>
      </w:pPr>
    </w:p>
    <w:p>
      <w:pPr>
        <w:pStyle w:val="54"/>
        <w:spacing w:line="360" w:lineRule="auto"/>
        <w:ind w:left="1" w:firstLine="482" w:firstLineChars="200"/>
        <w:rPr>
          <w:rFonts w:hAnsi="宋体"/>
          <w:b/>
          <w:sz w:val="24"/>
        </w:rPr>
      </w:pPr>
      <w:r>
        <w:rPr>
          <w:rFonts w:hint="eastAsia" w:hAnsi="宋体"/>
          <w:b/>
          <w:sz w:val="24"/>
        </w:rPr>
        <w:t>6.联合体竞争性磋商</w:t>
      </w:r>
    </w:p>
    <w:p>
      <w:pPr>
        <w:pStyle w:val="54"/>
        <w:spacing w:line="360" w:lineRule="auto"/>
        <w:ind w:left="1" w:firstLine="480" w:firstLineChars="200"/>
        <w:rPr>
          <w:rFonts w:hAnsi="宋体"/>
          <w:sz w:val="24"/>
        </w:rPr>
      </w:pPr>
      <w:r>
        <w:rPr>
          <w:rFonts w:hint="eastAsia" w:hAnsi="宋体"/>
          <w:sz w:val="24"/>
        </w:rPr>
        <w:t>6.1 两个以上供应商可以组成一个联合体竞争性磋商，以一个供应商的身份竞争性磋商。</w:t>
      </w:r>
    </w:p>
    <w:p>
      <w:pPr>
        <w:pStyle w:val="54"/>
        <w:spacing w:line="360" w:lineRule="auto"/>
        <w:ind w:left="1" w:firstLine="480" w:firstLineChars="200"/>
        <w:rPr>
          <w:rFonts w:hAnsi="宋体"/>
          <w:sz w:val="24"/>
        </w:rPr>
      </w:pPr>
      <w:r>
        <w:rPr>
          <w:rFonts w:hint="eastAsia" w:hAnsi="宋体"/>
          <w:sz w:val="24"/>
        </w:rPr>
        <w:t>6.2 联合体各方之间应当签订联合体竞争性磋商协议，明确约定联合体各方承担的工作</w:t>
      </w:r>
    </w:p>
    <w:p>
      <w:pPr>
        <w:pStyle w:val="54"/>
        <w:spacing w:line="360" w:lineRule="auto"/>
        <w:ind w:left="1" w:firstLine="480" w:firstLineChars="200"/>
        <w:rPr>
          <w:rFonts w:hAnsi="宋体"/>
          <w:sz w:val="24"/>
        </w:rPr>
      </w:pPr>
      <w:r>
        <w:rPr>
          <w:rFonts w:hint="eastAsia" w:hAnsi="宋体"/>
          <w:sz w:val="24"/>
        </w:rPr>
        <w:t>和相应的责任。联合体参与竞争性磋商的，应在响应文件中提供联合体协议原件。</w:t>
      </w:r>
    </w:p>
    <w:p>
      <w:pPr>
        <w:pStyle w:val="54"/>
        <w:spacing w:line="360" w:lineRule="auto"/>
        <w:ind w:left="1" w:firstLine="480" w:firstLineChars="200"/>
        <w:rPr>
          <w:rFonts w:hAnsi="宋体"/>
          <w:sz w:val="24"/>
        </w:rPr>
      </w:pPr>
      <w:r>
        <w:rPr>
          <w:rFonts w:hint="eastAsia" w:hAnsi="宋体"/>
          <w:sz w:val="24"/>
        </w:rPr>
        <w:t>6.3 联合体应当确定其中一个单位为竞争性磋商的全权代表，负责参加竞争性磋商的一</w:t>
      </w:r>
    </w:p>
    <w:p>
      <w:pPr>
        <w:pStyle w:val="54"/>
        <w:spacing w:line="360" w:lineRule="auto"/>
        <w:ind w:left="1" w:firstLine="480" w:firstLineChars="200"/>
        <w:rPr>
          <w:rFonts w:hAnsi="宋体"/>
          <w:sz w:val="24"/>
        </w:rPr>
      </w:pPr>
      <w:r>
        <w:rPr>
          <w:rFonts w:hint="eastAsia" w:hAnsi="宋体"/>
          <w:sz w:val="24"/>
        </w:rPr>
        <w:t>切事务。</w:t>
      </w:r>
    </w:p>
    <w:p>
      <w:pPr>
        <w:pStyle w:val="54"/>
        <w:spacing w:line="360" w:lineRule="auto"/>
        <w:ind w:left="1" w:firstLine="480" w:firstLineChars="200"/>
        <w:rPr>
          <w:rFonts w:hAnsi="宋体"/>
          <w:sz w:val="24"/>
        </w:rPr>
      </w:pPr>
      <w:r>
        <w:rPr>
          <w:rFonts w:hint="eastAsia" w:hAnsi="宋体"/>
          <w:sz w:val="24"/>
        </w:rPr>
        <w:t>6.4 联合体各方应当共同与采购人签订采购合同，就采购合同约定的事项对采购人承担</w:t>
      </w:r>
    </w:p>
    <w:p>
      <w:pPr>
        <w:pStyle w:val="54"/>
        <w:spacing w:line="360" w:lineRule="auto"/>
        <w:ind w:left="1" w:firstLine="480" w:firstLineChars="200"/>
        <w:rPr>
          <w:rFonts w:hAnsi="宋体"/>
          <w:sz w:val="24"/>
        </w:rPr>
      </w:pPr>
      <w:r>
        <w:rPr>
          <w:rFonts w:hint="eastAsia" w:hAnsi="宋体"/>
          <w:sz w:val="24"/>
        </w:rPr>
        <w:t>连带责任。</w:t>
      </w:r>
    </w:p>
    <w:p>
      <w:pPr>
        <w:pStyle w:val="54"/>
        <w:spacing w:line="360" w:lineRule="auto"/>
        <w:ind w:left="1" w:firstLine="480" w:firstLineChars="200"/>
        <w:rPr>
          <w:rFonts w:hAnsi="宋体"/>
          <w:sz w:val="24"/>
        </w:rPr>
      </w:pPr>
      <w:r>
        <w:rPr>
          <w:rFonts w:hint="eastAsia" w:hAnsi="宋体"/>
          <w:sz w:val="24"/>
        </w:rPr>
        <w:t>6.5 联合体中有同类资质的供应商按照联合体分工承担相同工作的，将按照资质等级较低的供应商确定资质等级。</w:t>
      </w:r>
    </w:p>
    <w:p>
      <w:pPr>
        <w:pStyle w:val="54"/>
        <w:spacing w:line="360" w:lineRule="auto"/>
        <w:ind w:left="1" w:firstLine="480" w:firstLineChars="200"/>
        <w:rPr>
          <w:rFonts w:hAnsi="宋体"/>
          <w:sz w:val="24"/>
        </w:rPr>
      </w:pPr>
      <w:r>
        <w:rPr>
          <w:rFonts w:hint="eastAsia" w:hAnsi="宋体"/>
          <w:sz w:val="24"/>
        </w:rPr>
        <w:t>6.6 以联合体形式参加政府采购活动的，联合体各方不得再单独参加或者与其他供应商另外组成联合体参加同一合同项下的政府采购活动。</w:t>
      </w:r>
    </w:p>
    <w:p>
      <w:pPr>
        <w:pStyle w:val="54"/>
        <w:spacing w:line="360" w:lineRule="auto"/>
        <w:ind w:left="1" w:firstLine="482" w:firstLineChars="200"/>
        <w:rPr>
          <w:rFonts w:hAnsi="宋体"/>
          <w:b/>
          <w:sz w:val="24"/>
        </w:rPr>
      </w:pPr>
      <w:r>
        <w:rPr>
          <w:rFonts w:hint="eastAsia" w:hAnsi="宋体"/>
          <w:b/>
          <w:sz w:val="24"/>
        </w:rPr>
        <w:t>6.7 若供应商为联合体的，磋商文件未明确规定需要联合体各方均提供和盖章部分的，</w:t>
      </w:r>
    </w:p>
    <w:p>
      <w:pPr>
        <w:pStyle w:val="54"/>
        <w:spacing w:line="360" w:lineRule="auto"/>
        <w:ind w:left="1" w:firstLine="482" w:firstLineChars="200"/>
        <w:rPr>
          <w:rFonts w:hAnsi="宋体"/>
          <w:b/>
          <w:sz w:val="24"/>
        </w:rPr>
      </w:pPr>
      <w:r>
        <w:rPr>
          <w:rFonts w:hint="eastAsia" w:hAnsi="宋体"/>
          <w:b/>
          <w:sz w:val="24"/>
        </w:rPr>
        <w:t>只需要主体方提供和盖章即可。</w:t>
      </w:r>
    </w:p>
    <w:p>
      <w:pPr>
        <w:pStyle w:val="54"/>
        <w:spacing w:line="360" w:lineRule="auto"/>
        <w:ind w:left="1" w:firstLine="482" w:firstLineChars="200"/>
        <w:rPr>
          <w:rFonts w:hAnsi="宋体"/>
          <w:b/>
          <w:sz w:val="24"/>
        </w:rPr>
      </w:pPr>
      <w:r>
        <w:rPr>
          <w:rFonts w:hint="eastAsia" w:hAnsi="宋体"/>
          <w:b/>
          <w:sz w:val="24"/>
        </w:rPr>
        <w:t>6.8 若供应为联合体的，磋商文件未明确规定需要联合体各方均提供和盖章部分的，只</w:t>
      </w:r>
    </w:p>
    <w:p>
      <w:pPr>
        <w:pStyle w:val="54"/>
        <w:spacing w:line="360" w:lineRule="auto"/>
        <w:ind w:left="1" w:firstLine="482" w:firstLineChars="200"/>
        <w:rPr>
          <w:rFonts w:hAnsi="宋体"/>
          <w:b/>
          <w:sz w:val="24"/>
        </w:rPr>
      </w:pPr>
      <w:r>
        <w:rPr>
          <w:rFonts w:hint="eastAsia" w:hAnsi="宋体"/>
          <w:b/>
          <w:sz w:val="24"/>
        </w:rPr>
        <w:t>需要主体方提供和盖章即可。</w:t>
      </w:r>
    </w:p>
    <w:p>
      <w:pPr>
        <w:pStyle w:val="54"/>
        <w:spacing w:line="360" w:lineRule="auto"/>
        <w:ind w:left="1" w:firstLine="480" w:firstLineChars="200"/>
        <w:rPr>
          <w:rFonts w:hAnsi="宋体"/>
          <w:b/>
          <w:sz w:val="24"/>
        </w:rPr>
      </w:pPr>
      <w:r>
        <w:rPr>
          <w:rFonts w:hint="eastAsia" w:hAnsi="宋体"/>
          <w:sz w:val="24"/>
        </w:rPr>
        <w:t>6.9 本项目接受联合体参与采购活动。</w:t>
      </w:r>
    </w:p>
    <w:p>
      <w:pPr>
        <w:pStyle w:val="54"/>
        <w:spacing w:line="360" w:lineRule="auto"/>
        <w:ind w:left="1" w:firstLine="482" w:firstLineChars="200"/>
        <w:rPr>
          <w:rFonts w:hAnsi="宋体"/>
          <w:b/>
          <w:sz w:val="24"/>
        </w:rPr>
      </w:pPr>
      <w:r>
        <w:rPr>
          <w:rFonts w:hint="eastAsia" w:hAnsi="宋体"/>
          <w:b/>
          <w:sz w:val="24"/>
        </w:rPr>
        <w:t xml:space="preserve">7.磋商保证金（实质性要求） </w:t>
      </w:r>
    </w:p>
    <w:p>
      <w:pPr>
        <w:spacing w:line="360" w:lineRule="auto"/>
        <w:ind w:firstLine="470" w:firstLineChars="196"/>
        <w:rPr>
          <w:rFonts w:ascii="宋体" w:hAnsi="宋体"/>
          <w:sz w:val="24"/>
        </w:rPr>
      </w:pPr>
      <w:r>
        <w:rPr>
          <w:rFonts w:hint="eastAsia" w:ascii="宋体" w:hAnsi="宋体"/>
          <w:sz w:val="24"/>
        </w:rPr>
        <w:t>7.1 供应商必须以人民币按磋商文件要求足额缴纳磋商保证金。联合体磋商的，可以由联合体的一方或者共同提交磋商保证金，以一方名义提交磋商保证金的，对联合体各方均具有约束力。</w:t>
      </w:r>
    </w:p>
    <w:p>
      <w:pPr>
        <w:spacing w:line="360" w:lineRule="auto"/>
        <w:ind w:firstLine="470" w:firstLineChars="196"/>
        <w:rPr>
          <w:rFonts w:ascii="宋体" w:hAnsi="宋体"/>
          <w:sz w:val="24"/>
        </w:rPr>
      </w:pPr>
      <w:r>
        <w:rPr>
          <w:rFonts w:hint="eastAsia" w:ascii="宋体" w:hAnsi="宋体"/>
          <w:sz w:val="24"/>
        </w:rPr>
        <w:t>7.2 未按磋商文件要求在规定时间前交纳规定数额磋商保证金的响应文件无效。</w:t>
      </w:r>
    </w:p>
    <w:p>
      <w:pPr>
        <w:spacing w:line="360" w:lineRule="auto"/>
        <w:ind w:firstLine="470" w:firstLineChars="196"/>
        <w:rPr>
          <w:rFonts w:ascii="宋体" w:hAnsi="宋体"/>
          <w:sz w:val="24"/>
        </w:rPr>
      </w:pPr>
      <w:r>
        <w:rPr>
          <w:rFonts w:hint="eastAsia" w:ascii="宋体" w:hAnsi="宋体"/>
          <w:sz w:val="24"/>
        </w:rPr>
        <w:t>7</w:t>
      </w:r>
      <w:r>
        <w:rPr>
          <w:rFonts w:ascii="宋体" w:hAnsi="宋体"/>
          <w:sz w:val="24"/>
        </w:rPr>
        <w:t>.</w:t>
      </w:r>
      <w:r>
        <w:rPr>
          <w:rFonts w:hint="eastAsia" w:ascii="宋体" w:hAnsi="宋体"/>
          <w:sz w:val="24"/>
        </w:rPr>
        <w:t>3 供应商所交纳的磋商保证金不计利息。</w:t>
      </w:r>
    </w:p>
    <w:p>
      <w:pPr>
        <w:spacing w:line="360" w:lineRule="auto"/>
        <w:ind w:firstLine="470" w:firstLineChars="196"/>
        <w:rPr>
          <w:rFonts w:ascii="宋体" w:hAnsi="宋体"/>
          <w:sz w:val="24"/>
        </w:rPr>
      </w:pPr>
      <w:r>
        <w:rPr>
          <w:rFonts w:hint="eastAsia" w:ascii="宋体" w:hAnsi="宋体"/>
          <w:sz w:val="24"/>
        </w:rPr>
        <w:t>7.4 未成交供应商的磋商保证金，将在成交通知书发出后五个工作日内全额退还。成交供应商的磋商保证金，在合同签订生效并按规定交纳了履约保证金后五个工作日内全额退还。（注：①因供应商自身原因造成的保证金延迟退还，采购代理机构不承担相应责任；②供应商因涉嫌违法违规，按照规定应当不予退还保证金的，有关部门处理认定违法违规行为期间不计入退还保证金期限内。）</w:t>
      </w:r>
    </w:p>
    <w:p>
      <w:pPr>
        <w:spacing w:line="360" w:lineRule="auto"/>
        <w:ind w:firstLine="470" w:firstLineChars="196"/>
        <w:rPr>
          <w:rFonts w:ascii="宋体" w:hAnsi="宋体"/>
          <w:sz w:val="24"/>
        </w:rPr>
      </w:pPr>
      <w:r>
        <w:rPr>
          <w:rFonts w:hint="eastAsia" w:ascii="宋体" w:hAnsi="宋体"/>
          <w:sz w:val="24"/>
        </w:rPr>
        <w:t>7.5发生下列情形之一的，采购代理机构/</w:t>
      </w:r>
      <w:r>
        <w:rPr>
          <w:rFonts w:ascii="宋体" w:hAnsi="宋体"/>
          <w:sz w:val="24"/>
        </w:rPr>
        <w:t>采购人</w:t>
      </w:r>
      <w:r>
        <w:rPr>
          <w:rFonts w:hint="eastAsia" w:ascii="宋体" w:hAnsi="宋体"/>
          <w:sz w:val="24"/>
        </w:rPr>
        <w:t>将不予退还磋商保证金：</w:t>
      </w:r>
    </w:p>
    <w:p>
      <w:pPr>
        <w:spacing w:line="360" w:lineRule="auto"/>
        <w:ind w:firstLine="470" w:firstLineChars="196"/>
        <w:rPr>
          <w:rFonts w:ascii="宋体" w:hAnsi="宋体"/>
          <w:sz w:val="24"/>
        </w:rPr>
      </w:pPr>
      <w:r>
        <w:rPr>
          <w:rFonts w:hint="eastAsia" w:ascii="宋体" w:hAnsi="宋体"/>
          <w:sz w:val="24"/>
        </w:rPr>
        <w:t>（一）在磋商文件规定的递交响应文件截止时间后撤销响应文件的；</w:t>
      </w:r>
    </w:p>
    <w:p>
      <w:pPr>
        <w:spacing w:line="360" w:lineRule="auto"/>
        <w:ind w:firstLine="470" w:firstLineChars="196"/>
        <w:rPr>
          <w:rFonts w:ascii="宋体" w:hAnsi="宋体"/>
          <w:sz w:val="24"/>
        </w:rPr>
      </w:pPr>
      <w:r>
        <w:rPr>
          <w:rFonts w:hint="eastAsia" w:ascii="宋体" w:hAnsi="宋体"/>
          <w:sz w:val="24"/>
        </w:rPr>
        <w:t>（二）在采购人确定成交供应商之前放弃成交候选资格的；</w:t>
      </w:r>
    </w:p>
    <w:p>
      <w:pPr>
        <w:spacing w:line="360" w:lineRule="auto"/>
        <w:ind w:firstLine="470" w:firstLineChars="196"/>
        <w:rPr>
          <w:rFonts w:ascii="宋体" w:hAnsi="宋体"/>
          <w:sz w:val="24"/>
        </w:rPr>
      </w:pPr>
      <w:r>
        <w:rPr>
          <w:rFonts w:hint="eastAsia" w:ascii="宋体" w:hAnsi="宋体"/>
          <w:sz w:val="24"/>
        </w:rPr>
        <w:t>（三）成交后放弃、不领取或者不接收成交通知书的；</w:t>
      </w:r>
    </w:p>
    <w:p>
      <w:pPr>
        <w:spacing w:line="360" w:lineRule="auto"/>
        <w:ind w:firstLine="470" w:firstLineChars="196"/>
        <w:rPr>
          <w:rFonts w:ascii="宋体" w:hAnsi="宋体"/>
          <w:sz w:val="24"/>
        </w:rPr>
      </w:pPr>
      <w:r>
        <w:rPr>
          <w:rFonts w:hint="eastAsia" w:ascii="宋体" w:hAnsi="宋体"/>
          <w:sz w:val="24"/>
        </w:rPr>
        <w:t>（四）由于成交供应商的原因未能按照磋商文件的规定与采购人签订合同的；</w:t>
      </w:r>
    </w:p>
    <w:p>
      <w:pPr>
        <w:spacing w:line="360" w:lineRule="auto"/>
        <w:ind w:firstLine="470" w:firstLineChars="196"/>
        <w:rPr>
          <w:rFonts w:ascii="宋体" w:hAnsi="宋体"/>
          <w:sz w:val="24"/>
        </w:rPr>
      </w:pPr>
      <w:r>
        <w:rPr>
          <w:rFonts w:hint="eastAsia" w:ascii="宋体" w:hAnsi="宋体"/>
          <w:sz w:val="24"/>
        </w:rPr>
        <w:t>（五）由于成交供应商的原因未能按照磋商文件的规定交纳履约保证金的；</w:t>
      </w:r>
    </w:p>
    <w:p>
      <w:pPr>
        <w:spacing w:line="360" w:lineRule="auto"/>
        <w:ind w:firstLine="470" w:firstLineChars="196"/>
        <w:rPr>
          <w:rFonts w:ascii="宋体" w:hAnsi="宋体"/>
          <w:sz w:val="24"/>
        </w:rPr>
      </w:pPr>
      <w:r>
        <w:rPr>
          <w:rFonts w:hint="eastAsia" w:ascii="宋体" w:hAnsi="宋体"/>
          <w:sz w:val="24"/>
        </w:rPr>
        <w:t>（六）供应商在政府采购活动中提供虚假材料的；</w:t>
      </w:r>
    </w:p>
    <w:p>
      <w:pPr>
        <w:spacing w:line="360" w:lineRule="auto"/>
        <w:ind w:firstLine="470" w:firstLineChars="196"/>
        <w:rPr>
          <w:rFonts w:ascii="宋体" w:hAnsi="宋体"/>
          <w:sz w:val="24"/>
        </w:rPr>
      </w:pPr>
      <w:r>
        <w:rPr>
          <w:rFonts w:hint="eastAsia" w:ascii="宋体" w:hAnsi="宋体"/>
          <w:sz w:val="24"/>
        </w:rPr>
        <w:t>（七）响应文件有效期内，供应商在政府采购活动中有违法、违规、违纪行为。</w:t>
      </w:r>
    </w:p>
    <w:p>
      <w:pPr>
        <w:spacing w:line="360" w:lineRule="auto"/>
        <w:ind w:firstLine="470" w:firstLineChars="196"/>
        <w:rPr>
          <w:rFonts w:ascii="宋体" w:hAnsi="宋体"/>
          <w:sz w:val="24"/>
        </w:rPr>
      </w:pPr>
      <w:r>
        <w:rPr>
          <w:rFonts w:hint="eastAsia" w:ascii="宋体" w:hAnsi="宋体"/>
          <w:sz w:val="24"/>
        </w:rPr>
        <w:t>注：已提交响应文件的供应商，在提交最后报价之前，可以根据磋商情况退出磋商。采购人、采购代理机构应当退还退出磋商的供应商的磋商保证金。</w:t>
      </w:r>
    </w:p>
    <w:p>
      <w:pPr>
        <w:spacing w:line="360" w:lineRule="auto"/>
        <w:ind w:firstLine="470" w:firstLineChars="196"/>
        <w:rPr>
          <w:rFonts w:ascii="宋体" w:hAnsi="宋体"/>
          <w:sz w:val="24"/>
        </w:rPr>
      </w:pPr>
    </w:p>
    <w:p>
      <w:pPr>
        <w:spacing w:line="360" w:lineRule="auto"/>
        <w:ind w:firstLine="472" w:firstLineChars="196"/>
        <w:rPr>
          <w:rFonts w:ascii="宋体" w:hAnsi="宋体"/>
          <w:b/>
          <w:sz w:val="24"/>
        </w:rPr>
      </w:pPr>
      <w:r>
        <w:rPr>
          <w:rFonts w:hint="eastAsia" w:ascii="宋体" w:hAnsi="宋体"/>
          <w:b/>
          <w:sz w:val="24"/>
        </w:rPr>
        <w:t>8.响应文件有效期（实质性要求）</w:t>
      </w:r>
    </w:p>
    <w:p>
      <w:pPr>
        <w:spacing w:line="360" w:lineRule="auto"/>
        <w:ind w:firstLine="470" w:firstLineChars="196"/>
        <w:rPr>
          <w:rFonts w:ascii="宋体" w:hAnsi="宋体"/>
          <w:sz w:val="24"/>
        </w:rPr>
      </w:pPr>
      <w:r>
        <w:rPr>
          <w:rFonts w:hint="eastAsia" w:ascii="宋体" w:hAnsi="宋体"/>
          <w:sz w:val="24"/>
        </w:rPr>
        <w:t>本项目响应文件有效期为递交磋商响应文件截止之日起</w:t>
      </w:r>
      <w:r>
        <w:rPr>
          <w:rFonts w:ascii="宋体" w:hAnsi="宋体"/>
          <w:sz w:val="24"/>
        </w:rPr>
        <w:t>90</w:t>
      </w:r>
      <w:r>
        <w:rPr>
          <w:rFonts w:hint="eastAsia" w:ascii="宋体" w:hAnsi="宋体"/>
          <w:sz w:val="24"/>
        </w:rPr>
        <w:t>天。供应商响应文件中必须载明响应文件有效期，响应文件中载明的响应文件有效期可以长于磋商文件规定的期限，但不得短于磋商文件规定的期限。否则，其响应文件将作为无效处理。</w:t>
      </w:r>
    </w:p>
    <w:p>
      <w:pPr>
        <w:spacing w:line="360" w:lineRule="auto"/>
        <w:ind w:firstLine="470" w:firstLineChars="196"/>
        <w:rPr>
          <w:rFonts w:ascii="宋体" w:hAnsi="宋体"/>
          <w:sz w:val="24"/>
        </w:rPr>
      </w:pPr>
    </w:p>
    <w:p>
      <w:pPr>
        <w:pStyle w:val="17"/>
        <w:spacing w:line="360" w:lineRule="auto"/>
        <w:ind w:firstLine="482" w:firstLineChars="200"/>
        <w:rPr>
          <w:rFonts w:ascii="宋体" w:hAnsi="宋体"/>
          <w:b/>
          <w:bCs/>
          <w:sz w:val="24"/>
          <w:szCs w:val="24"/>
        </w:rPr>
      </w:pPr>
      <w:r>
        <w:rPr>
          <w:rFonts w:hint="eastAsia" w:ascii="宋体" w:hAnsi="宋体"/>
          <w:b/>
          <w:sz w:val="24"/>
        </w:rPr>
        <w:t>9.</w:t>
      </w:r>
      <w:r>
        <w:rPr>
          <w:rFonts w:hint="eastAsia" w:ascii="宋体" w:hAnsi="宋体"/>
          <w:b/>
          <w:bCs/>
          <w:sz w:val="24"/>
          <w:szCs w:val="24"/>
        </w:rPr>
        <w:t>知识产权（实质性要求）</w:t>
      </w:r>
    </w:p>
    <w:p>
      <w:pPr>
        <w:pStyle w:val="17"/>
        <w:spacing w:line="360" w:lineRule="auto"/>
        <w:ind w:firstLine="480" w:firstLineChars="200"/>
        <w:rPr>
          <w:rFonts w:ascii="宋体" w:hAnsi="宋体"/>
          <w:sz w:val="24"/>
          <w:szCs w:val="24"/>
        </w:rPr>
      </w:pPr>
      <w:r>
        <w:rPr>
          <w:rFonts w:hint="eastAsia" w:ascii="宋体" w:hAnsi="宋体"/>
          <w:sz w:val="24"/>
          <w:szCs w:val="24"/>
        </w:rPr>
        <w:t>9</w:t>
      </w:r>
      <w:r>
        <w:rPr>
          <w:rFonts w:ascii="宋体" w:hAnsi="宋体"/>
          <w:sz w:val="24"/>
          <w:szCs w:val="24"/>
        </w:rPr>
        <w:t>.1</w:t>
      </w:r>
      <w:r>
        <w:rPr>
          <w:rFonts w:hint="eastAsia" w:ascii="宋体" w:hAnsi="宋体"/>
          <w:sz w:val="24"/>
        </w:rPr>
        <w:t>供应商</w:t>
      </w:r>
      <w:r>
        <w:rPr>
          <w:rFonts w:hint="eastAsia" w:ascii="宋体" w:hAnsi="宋体"/>
          <w:sz w:val="24"/>
          <w:szCs w:val="24"/>
        </w:rPr>
        <w:t>应保证在本项目中使用的任何产品和服务（包括部分使用），不会产生因第三方提出侵犯其专利权、商标权或其它知识产权而引起的法律和经济纠纷，如因专利权、商标权或其它知识产权而引起法律和经济纠纷，由</w:t>
      </w:r>
      <w:r>
        <w:rPr>
          <w:rFonts w:hint="eastAsia" w:ascii="宋体" w:hAnsi="宋体"/>
          <w:sz w:val="24"/>
        </w:rPr>
        <w:t>供应商</w:t>
      </w:r>
      <w:r>
        <w:rPr>
          <w:rFonts w:hint="eastAsia" w:ascii="宋体" w:hAnsi="宋体"/>
          <w:sz w:val="24"/>
          <w:szCs w:val="24"/>
        </w:rPr>
        <w:t>承担所有相关责任。</w:t>
      </w:r>
    </w:p>
    <w:p>
      <w:pPr>
        <w:pStyle w:val="17"/>
        <w:spacing w:line="360" w:lineRule="auto"/>
        <w:ind w:firstLine="480" w:firstLineChars="200"/>
        <w:rPr>
          <w:rFonts w:ascii="宋体" w:hAnsi="宋体"/>
          <w:sz w:val="24"/>
          <w:szCs w:val="24"/>
        </w:rPr>
      </w:pPr>
      <w:r>
        <w:rPr>
          <w:rFonts w:hint="eastAsia" w:ascii="宋体" w:hAnsi="宋体"/>
          <w:sz w:val="24"/>
          <w:szCs w:val="24"/>
        </w:rPr>
        <w:t>9</w:t>
      </w:r>
      <w:r>
        <w:rPr>
          <w:rFonts w:ascii="宋体" w:hAnsi="宋体"/>
          <w:sz w:val="24"/>
          <w:szCs w:val="24"/>
        </w:rPr>
        <w:t>.2</w:t>
      </w:r>
      <w:r>
        <w:rPr>
          <w:rFonts w:hint="eastAsia" w:ascii="宋体" w:hAnsi="宋体"/>
          <w:sz w:val="24"/>
          <w:szCs w:val="24"/>
        </w:rPr>
        <w:t xml:space="preserve"> 除非磋商文件特别规定，采购人享有本项目实施过程中产生的知识成果及知识产权。</w:t>
      </w:r>
    </w:p>
    <w:p>
      <w:pPr>
        <w:spacing w:line="360" w:lineRule="auto"/>
        <w:ind w:firstLine="480" w:firstLineChars="200"/>
        <w:rPr>
          <w:rFonts w:ascii="宋体" w:hAnsi="宋体"/>
          <w:sz w:val="32"/>
          <w:szCs w:val="32"/>
        </w:rPr>
      </w:pPr>
      <w:r>
        <w:rPr>
          <w:rFonts w:hint="eastAsia" w:ascii="宋体" w:hAnsi="宋体"/>
          <w:sz w:val="24"/>
        </w:rPr>
        <w:t>9</w:t>
      </w:r>
      <w:r>
        <w:rPr>
          <w:rFonts w:ascii="宋体" w:hAnsi="宋体"/>
          <w:sz w:val="24"/>
        </w:rPr>
        <w:t>.3</w:t>
      </w:r>
      <w:r>
        <w:rPr>
          <w:rFonts w:hint="eastAsia" w:ascii="宋体" w:hAnsi="宋体"/>
          <w:sz w:val="24"/>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firstLine="460" w:firstLineChars="192"/>
        <w:rPr>
          <w:rFonts w:ascii="宋体" w:hAnsi="宋体"/>
          <w:sz w:val="24"/>
        </w:rPr>
      </w:pPr>
      <w:r>
        <w:rPr>
          <w:rFonts w:hint="eastAsia" w:ascii="宋体" w:hAnsi="宋体"/>
          <w:sz w:val="24"/>
        </w:rPr>
        <w:t>9</w:t>
      </w:r>
      <w:r>
        <w:rPr>
          <w:rFonts w:ascii="宋体" w:hAnsi="宋体"/>
          <w:sz w:val="24"/>
        </w:rPr>
        <w:t>.4</w:t>
      </w:r>
      <w:r>
        <w:rPr>
          <w:rFonts w:hint="eastAsia" w:ascii="宋体" w:hAnsi="宋体"/>
          <w:sz w:val="24"/>
        </w:rPr>
        <w:t xml:space="preserve"> 如采用供应商所不拥有的知识产权，则在报价中必须包括合法获取该知识产权的相关费用。</w:t>
      </w:r>
      <w:bookmarkEnd w:id="18"/>
      <w:r>
        <w:rPr>
          <w:rFonts w:hint="eastAsia" w:ascii="宋体" w:hAnsi="宋体"/>
          <w:sz w:val="24"/>
        </w:rPr>
        <w:t xml:space="preserve"> </w:t>
      </w:r>
      <w:bookmarkStart w:id="26" w:name="_Toc89075875"/>
      <w:bookmarkStart w:id="27" w:name="_Toc77400779"/>
      <w:bookmarkStart w:id="28" w:name="_Toc183682346"/>
      <w:bookmarkStart w:id="29" w:name="_Toc183582209"/>
      <w:bookmarkStart w:id="30" w:name="_Toc217446038"/>
    </w:p>
    <w:p>
      <w:pPr>
        <w:rPr>
          <w:rFonts w:ascii="宋体" w:hAnsi="宋体"/>
        </w:rPr>
      </w:pPr>
    </w:p>
    <w:p>
      <w:pPr>
        <w:pStyle w:val="3"/>
        <w:keepNext w:val="0"/>
        <w:keepLines w:val="0"/>
        <w:spacing w:before="0" w:after="0" w:line="360" w:lineRule="auto"/>
        <w:jc w:val="center"/>
        <w:rPr>
          <w:rFonts w:ascii="宋体" w:hAnsi="宋体" w:eastAsia="宋体"/>
          <w:bCs w:val="0"/>
        </w:rPr>
      </w:pPr>
      <w:r>
        <w:rPr>
          <w:rFonts w:hint="eastAsia" w:ascii="宋体" w:hAnsi="宋体" w:eastAsia="宋体"/>
          <w:bCs w:val="0"/>
        </w:rPr>
        <w:t>三、磋商文件</w:t>
      </w:r>
      <w:bookmarkEnd w:id="26"/>
      <w:bookmarkEnd w:id="27"/>
      <w:bookmarkEnd w:id="28"/>
      <w:bookmarkEnd w:id="29"/>
      <w:bookmarkEnd w:id="30"/>
    </w:p>
    <w:p>
      <w:pPr>
        <w:pStyle w:val="4"/>
        <w:keepNext w:val="0"/>
        <w:keepLines w:val="0"/>
        <w:spacing w:before="0" w:after="0" w:line="360" w:lineRule="auto"/>
        <w:ind w:firstLine="482" w:firstLineChars="200"/>
        <w:rPr>
          <w:rFonts w:ascii="宋体" w:hAnsi="宋体"/>
          <w:sz w:val="24"/>
        </w:rPr>
      </w:pPr>
      <w:bookmarkStart w:id="31" w:name="_Toc217446039"/>
      <w:bookmarkStart w:id="32" w:name="_Toc183682347"/>
      <w:bookmarkStart w:id="33" w:name="_Toc183582210"/>
    </w:p>
    <w:p>
      <w:pPr>
        <w:pStyle w:val="4"/>
        <w:keepNext w:val="0"/>
        <w:keepLines w:val="0"/>
        <w:spacing w:before="0" w:after="0" w:line="360" w:lineRule="auto"/>
        <w:ind w:firstLine="482" w:firstLineChars="200"/>
        <w:rPr>
          <w:rFonts w:ascii="宋体" w:hAnsi="宋体"/>
          <w:sz w:val="24"/>
        </w:rPr>
      </w:pPr>
      <w:bookmarkStart w:id="34" w:name="PO_默认文件内容_25"/>
      <w:r>
        <w:rPr>
          <w:rFonts w:hint="eastAsia" w:ascii="宋体" w:hAnsi="宋体"/>
          <w:sz w:val="24"/>
        </w:rPr>
        <w:t>10．磋商文件的构成</w:t>
      </w:r>
      <w:bookmarkEnd w:id="31"/>
      <w:bookmarkEnd w:id="32"/>
      <w:bookmarkEnd w:id="33"/>
      <w:r>
        <w:rPr>
          <w:rFonts w:hint="eastAsia" w:ascii="宋体" w:hAnsi="宋体"/>
          <w:sz w:val="24"/>
        </w:rPr>
        <w:t>（实质性要求）</w:t>
      </w:r>
    </w:p>
    <w:p>
      <w:pPr>
        <w:tabs>
          <w:tab w:val="left" w:pos="720"/>
        </w:tabs>
        <w:spacing w:line="360" w:lineRule="auto"/>
        <w:ind w:firstLine="480" w:firstLineChars="200"/>
        <w:rPr>
          <w:rFonts w:ascii="宋体" w:hAnsi="宋体"/>
          <w:sz w:val="24"/>
        </w:rPr>
      </w:pPr>
      <w:r>
        <w:rPr>
          <w:rFonts w:hint="eastAsia" w:ascii="宋体" w:hAnsi="宋体"/>
          <w:sz w:val="24"/>
        </w:rPr>
        <w:t>10</w:t>
      </w:r>
      <w:r>
        <w:rPr>
          <w:rFonts w:ascii="宋体" w:hAnsi="宋体"/>
          <w:b/>
          <w:bCs/>
          <w:sz w:val="24"/>
        </w:rPr>
        <w:t>.</w:t>
      </w:r>
      <w:r>
        <w:rPr>
          <w:rFonts w:hint="eastAsia" w:ascii="宋体" w:hAnsi="宋体"/>
          <w:sz w:val="24"/>
        </w:rPr>
        <w:t>1 磋商文件是供应商准备响应文件和参加磋商的依据，同时也是磋商的重要依据。磋商文件用以阐明磋商项目所需的资质、技术、服务及报价等要求、磋商程序、有关规定和注意事项以及合同主要条款等。</w:t>
      </w:r>
    </w:p>
    <w:p>
      <w:pPr>
        <w:tabs>
          <w:tab w:val="left" w:pos="7665"/>
        </w:tabs>
        <w:spacing w:line="360" w:lineRule="auto"/>
        <w:ind w:firstLine="480" w:firstLineChars="200"/>
        <w:rPr>
          <w:rFonts w:ascii="宋体" w:hAnsi="宋体"/>
          <w:sz w:val="24"/>
        </w:rPr>
      </w:pPr>
      <w:r>
        <w:rPr>
          <w:rFonts w:hint="eastAsia" w:ascii="宋体" w:hAnsi="宋体"/>
          <w:sz w:val="24"/>
        </w:rPr>
        <w:t>10</w:t>
      </w:r>
      <w:r>
        <w:rPr>
          <w:rFonts w:hint="eastAsia" w:ascii="宋体" w:hAnsi="宋体"/>
          <w:b/>
          <w:bCs/>
          <w:sz w:val="24"/>
        </w:rPr>
        <w:t>.</w:t>
      </w:r>
      <w:r>
        <w:rPr>
          <w:rFonts w:hint="eastAsia" w:ascii="宋体" w:hAnsi="宋体"/>
          <w:sz w:val="24"/>
        </w:rPr>
        <w:t>2 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pPr>
        <w:pStyle w:val="4"/>
        <w:keepNext w:val="0"/>
        <w:keepLines w:val="0"/>
        <w:spacing w:before="0" w:after="0" w:line="360" w:lineRule="auto"/>
        <w:ind w:firstLine="482" w:firstLineChars="200"/>
        <w:rPr>
          <w:rFonts w:ascii="宋体" w:hAnsi="宋体"/>
          <w:sz w:val="24"/>
        </w:rPr>
      </w:pPr>
      <w:bookmarkStart w:id="35" w:name="_Toc183682348"/>
      <w:bookmarkStart w:id="36" w:name="_Toc183582211"/>
      <w:bookmarkStart w:id="37" w:name="_Toc217446040"/>
    </w:p>
    <w:p>
      <w:pPr>
        <w:pStyle w:val="4"/>
        <w:keepNext w:val="0"/>
        <w:keepLines w:val="0"/>
        <w:spacing w:before="0" w:after="0" w:line="360" w:lineRule="auto"/>
        <w:ind w:firstLine="482" w:firstLineChars="200"/>
        <w:rPr>
          <w:rFonts w:ascii="宋体" w:hAnsi="宋体"/>
          <w:sz w:val="24"/>
        </w:rPr>
      </w:pPr>
      <w:r>
        <w:rPr>
          <w:rFonts w:hint="eastAsia" w:ascii="宋体" w:hAnsi="宋体"/>
          <w:sz w:val="24"/>
        </w:rPr>
        <w:t>11. 磋商文件的澄清</w:t>
      </w:r>
      <w:bookmarkEnd w:id="35"/>
      <w:bookmarkEnd w:id="36"/>
      <w:r>
        <w:rPr>
          <w:rFonts w:hint="eastAsia" w:ascii="宋体" w:hAnsi="宋体"/>
          <w:sz w:val="24"/>
        </w:rPr>
        <w:t>和修改</w:t>
      </w:r>
      <w:bookmarkEnd w:id="37"/>
    </w:p>
    <w:p>
      <w:pPr>
        <w:tabs>
          <w:tab w:val="left" w:pos="720"/>
        </w:tabs>
        <w:spacing w:line="360" w:lineRule="auto"/>
        <w:ind w:firstLine="480" w:firstLineChars="200"/>
        <w:rPr>
          <w:rFonts w:ascii="宋体" w:hAnsi="宋体"/>
          <w:sz w:val="24"/>
        </w:rPr>
      </w:pPr>
      <w:r>
        <w:rPr>
          <w:rFonts w:hint="eastAsia" w:ascii="宋体" w:hAnsi="宋体"/>
          <w:sz w:val="24"/>
        </w:rPr>
        <w:t>11.1 在递交响应文件截止时间前，采购人、采购代理机构可以对磋商文件进行澄清或者修改。</w:t>
      </w:r>
    </w:p>
    <w:p>
      <w:pPr>
        <w:tabs>
          <w:tab w:val="left" w:pos="720"/>
        </w:tabs>
        <w:spacing w:line="360" w:lineRule="auto"/>
        <w:ind w:firstLine="480" w:firstLineChars="200"/>
        <w:rPr>
          <w:rFonts w:ascii="宋体" w:hAnsi="宋体"/>
          <w:sz w:val="24"/>
        </w:rPr>
      </w:pPr>
      <w:r>
        <w:rPr>
          <w:rFonts w:hint="eastAsia" w:ascii="宋体" w:hAnsi="宋体"/>
          <w:sz w:val="24"/>
        </w:rPr>
        <w:t>11.2 采购代理机构对已发出的磋商文件进行澄清或者修改，应当以书面形式将澄清或者修改的内容通知所有购买了磋商文件的供应商，同时在中国政府采购网上发布更正公告。该澄清或者修改的内容为磋商文件的组成部分，澄清或者修改的内容可能影响响应文件编制的，采购人或者采购代理机构发布公告并书面通知供应商的时间，应当在</w:t>
      </w:r>
      <w:r>
        <w:rPr>
          <w:rFonts w:hint="eastAsia" w:ascii="宋体" w:hAnsi="宋体" w:cs="宋体"/>
          <w:sz w:val="24"/>
        </w:rPr>
        <w:t>提交</w:t>
      </w:r>
      <w:r>
        <w:rPr>
          <w:rFonts w:hint="eastAsia" w:ascii="宋体" w:hAnsi="宋体"/>
          <w:sz w:val="24"/>
        </w:rPr>
        <w:t>首次响应文件截</w:t>
      </w:r>
      <w:r>
        <w:rPr>
          <w:rFonts w:hint="eastAsia" w:ascii="宋体" w:hAnsi="宋体" w:cs="宋体"/>
          <w:sz w:val="24"/>
        </w:rPr>
        <w:t>止之日起5日前</w:t>
      </w:r>
      <w:r>
        <w:rPr>
          <w:rFonts w:hint="eastAsia" w:ascii="宋体" w:hAnsi="宋体"/>
          <w:sz w:val="24"/>
        </w:rPr>
        <w:t>；不足上述时间的，应当顺延递交响应文件的截止时间。</w:t>
      </w:r>
    </w:p>
    <w:p>
      <w:pPr>
        <w:tabs>
          <w:tab w:val="left" w:pos="7665"/>
        </w:tabs>
        <w:spacing w:line="360" w:lineRule="auto"/>
        <w:ind w:firstLine="480" w:firstLineChars="200"/>
        <w:rPr>
          <w:rFonts w:ascii="宋体" w:hAnsi="宋体"/>
          <w:sz w:val="24"/>
        </w:rPr>
      </w:pPr>
      <w:r>
        <w:rPr>
          <w:rFonts w:hint="eastAsia" w:ascii="宋体" w:hAnsi="宋体"/>
          <w:sz w:val="24"/>
        </w:rPr>
        <w:t>11.3 供应商应于递交响应文件截止前，在中国政府采购网查询本项目的更正公告，以保证其对磋商文件做出正确的响应。供应商未按要求下载相关文件，或由于未及时关注更正公告的信息造成的后果，其责任由供应商自行负责。</w:t>
      </w:r>
    </w:p>
    <w:p>
      <w:pPr>
        <w:tabs>
          <w:tab w:val="left" w:pos="720"/>
        </w:tabs>
        <w:spacing w:line="360" w:lineRule="auto"/>
        <w:ind w:firstLine="480" w:firstLineChars="200"/>
        <w:rPr>
          <w:rFonts w:ascii="宋体" w:hAnsi="宋体"/>
          <w:sz w:val="24"/>
        </w:rPr>
      </w:pPr>
      <w:r>
        <w:rPr>
          <w:rFonts w:hint="eastAsia" w:ascii="宋体" w:hAnsi="宋体"/>
          <w:sz w:val="24"/>
        </w:rPr>
        <w:t>更正通知通过供应商报名时备注的电子邮箱发送至所有购买磋商文件的供应商，供应商在收到相应更正通知后，以书面形式给予确认。如供应商未给予书面回复，则视为收到并认可该更正通知的内容。</w:t>
      </w:r>
    </w:p>
    <w:p>
      <w:pPr>
        <w:tabs>
          <w:tab w:val="left" w:pos="720"/>
        </w:tabs>
        <w:spacing w:line="360" w:lineRule="auto"/>
        <w:ind w:firstLine="480" w:firstLineChars="200"/>
        <w:rPr>
          <w:rFonts w:ascii="宋体" w:hAnsi="宋体"/>
          <w:sz w:val="24"/>
        </w:rPr>
      </w:pPr>
      <w:r>
        <w:rPr>
          <w:rFonts w:hint="eastAsia" w:ascii="宋体" w:hAnsi="宋体"/>
          <w:sz w:val="24"/>
        </w:rPr>
        <w:t>11.4供应商认为需要对磋商文件进行澄清或者修改的，可以以书面形式向采购人或采购代理机构提出申请，由采购人或采购代理机构决定是否采纳供应商的申请事项。</w:t>
      </w:r>
    </w:p>
    <w:p>
      <w:pPr>
        <w:pStyle w:val="4"/>
        <w:keepNext w:val="0"/>
        <w:keepLines w:val="0"/>
        <w:spacing w:before="0" w:after="0" w:line="360" w:lineRule="auto"/>
        <w:ind w:firstLine="482" w:firstLineChars="200"/>
        <w:rPr>
          <w:rFonts w:ascii="宋体" w:hAnsi="宋体"/>
          <w:sz w:val="24"/>
        </w:rPr>
      </w:pPr>
    </w:p>
    <w:p>
      <w:pPr>
        <w:pStyle w:val="4"/>
        <w:keepNext w:val="0"/>
        <w:keepLines w:val="0"/>
        <w:spacing w:before="0" w:after="0" w:line="360" w:lineRule="auto"/>
        <w:ind w:firstLine="482" w:firstLineChars="200"/>
        <w:rPr>
          <w:rFonts w:ascii="宋体" w:hAnsi="宋体"/>
          <w:sz w:val="24"/>
        </w:rPr>
      </w:pPr>
      <w:bookmarkStart w:id="38" w:name="_Toc217446041"/>
      <w:bookmarkStart w:id="39" w:name="_Toc208848971"/>
      <w:r>
        <w:rPr>
          <w:rFonts w:hint="eastAsia" w:ascii="宋体" w:hAnsi="宋体"/>
          <w:sz w:val="24"/>
        </w:rPr>
        <w:t>12. 答疑会和现场考察</w:t>
      </w:r>
      <w:bookmarkEnd w:id="38"/>
      <w:bookmarkEnd w:id="39"/>
    </w:p>
    <w:p>
      <w:pPr>
        <w:spacing w:line="360" w:lineRule="auto"/>
        <w:ind w:firstLine="480" w:firstLineChars="200"/>
        <w:rPr>
          <w:rFonts w:ascii="宋体" w:hAnsi="宋体"/>
          <w:sz w:val="24"/>
        </w:rPr>
      </w:pPr>
      <w:r>
        <w:rPr>
          <w:rFonts w:hint="eastAsia" w:ascii="宋体" w:hAnsi="宋体"/>
          <w:sz w:val="24"/>
        </w:rPr>
        <w:t>12.1 根据采购项目和具体情况，详见</w:t>
      </w:r>
      <w:r>
        <w:rPr>
          <w:rFonts w:ascii="宋体" w:hAnsi="宋体"/>
          <w:sz w:val="24"/>
        </w:rPr>
        <w:t>须知前附表，</w:t>
      </w:r>
      <w:r>
        <w:rPr>
          <w:rFonts w:hint="eastAsia" w:ascii="宋体" w:hAnsi="宋体"/>
          <w:sz w:val="24"/>
        </w:rPr>
        <w:t>采购人、采购代理机构认为有必要，可以在磋商文件提供期限截止后响应文件提交截止前，组织已获取磋商文件的潜在供应商现场考察或者召开答疑会。</w:t>
      </w:r>
    </w:p>
    <w:p>
      <w:pPr>
        <w:spacing w:line="360" w:lineRule="auto"/>
        <w:ind w:firstLine="480" w:firstLineChars="200"/>
        <w:rPr>
          <w:rFonts w:ascii="宋体" w:hAnsi="宋体"/>
          <w:sz w:val="24"/>
        </w:rPr>
      </w:pPr>
      <w:r>
        <w:rPr>
          <w:rFonts w:hint="eastAsia" w:ascii="宋体" w:hAnsi="宋体"/>
          <w:sz w:val="24"/>
        </w:rPr>
        <w:t>12.2采购人、采购代理机构组织现场考察或者召开答疑会的，将以书面形式通知所有获取磋商文件的潜在供应商。供应商接到通知后，不按照要求参加现场考察或者答疑会的，视同放弃参加现场考察或者答疑的权利，采购人、采购代理机构不再对该供应商重新组织，但也不会以此限制供应商提交响应文件或者以此将供应商响应文件直接作为无效处理。</w:t>
      </w:r>
    </w:p>
    <w:p>
      <w:pPr>
        <w:adjustRightInd w:val="0"/>
        <w:snapToGrid w:val="0"/>
        <w:spacing w:line="360" w:lineRule="auto"/>
        <w:ind w:firstLine="420" w:firstLineChars="175"/>
        <w:rPr>
          <w:rFonts w:ascii="宋体" w:hAnsi="宋体"/>
          <w:sz w:val="24"/>
        </w:rPr>
      </w:pPr>
      <w:r>
        <w:rPr>
          <w:rFonts w:hint="eastAsia" w:ascii="宋体" w:hAnsi="宋体"/>
          <w:sz w:val="24"/>
        </w:rPr>
        <w:t>12</w:t>
      </w:r>
      <w:r>
        <w:rPr>
          <w:rFonts w:ascii="宋体" w:hAnsi="宋体"/>
          <w:sz w:val="24"/>
        </w:rPr>
        <w:t>.</w:t>
      </w:r>
      <w:r>
        <w:rPr>
          <w:rFonts w:hint="eastAsia" w:ascii="宋体" w:hAnsi="宋体"/>
          <w:sz w:val="24"/>
        </w:rPr>
        <w:t>3 供应商考察现场或者参加答疑会所发生的一切费用由供应商自己承担。</w:t>
      </w:r>
      <w:bookmarkEnd w:id="34"/>
    </w:p>
    <w:p>
      <w:pPr>
        <w:pStyle w:val="3"/>
        <w:keepNext w:val="0"/>
        <w:keepLines w:val="0"/>
        <w:spacing w:before="0" w:after="0" w:line="360" w:lineRule="auto"/>
        <w:jc w:val="center"/>
        <w:rPr>
          <w:rFonts w:ascii="宋体" w:hAnsi="宋体" w:eastAsia="宋体"/>
          <w:bCs w:val="0"/>
        </w:rPr>
      </w:pPr>
      <w:bookmarkStart w:id="40" w:name="_Toc89075876"/>
      <w:bookmarkStart w:id="41" w:name="_Toc217446042"/>
      <w:bookmarkStart w:id="42" w:name="_Toc183682351"/>
      <w:bookmarkStart w:id="43" w:name="_Toc183582214"/>
      <w:bookmarkStart w:id="44" w:name="_Toc77400780"/>
    </w:p>
    <w:p>
      <w:pPr>
        <w:pStyle w:val="3"/>
        <w:keepNext w:val="0"/>
        <w:keepLines w:val="0"/>
        <w:spacing w:before="0" w:after="0" w:line="360" w:lineRule="auto"/>
        <w:jc w:val="center"/>
        <w:rPr>
          <w:rFonts w:ascii="宋体" w:hAnsi="宋体" w:eastAsia="宋体"/>
          <w:bCs w:val="0"/>
        </w:rPr>
      </w:pPr>
      <w:bookmarkStart w:id="45" w:name="PO_默认文件内容_26"/>
      <w:r>
        <w:rPr>
          <w:rFonts w:hint="eastAsia" w:ascii="宋体" w:hAnsi="宋体" w:eastAsia="宋体"/>
          <w:bCs w:val="0"/>
        </w:rPr>
        <w:t>四、响应文件</w:t>
      </w:r>
      <w:bookmarkEnd w:id="40"/>
      <w:bookmarkEnd w:id="41"/>
      <w:bookmarkEnd w:id="42"/>
      <w:bookmarkEnd w:id="43"/>
      <w:bookmarkEnd w:id="44"/>
    </w:p>
    <w:p>
      <w:pPr>
        <w:spacing w:line="360" w:lineRule="auto"/>
        <w:rPr>
          <w:rFonts w:ascii="宋体" w:hAnsi="宋体"/>
        </w:rPr>
      </w:pPr>
    </w:p>
    <w:p>
      <w:pPr>
        <w:spacing w:line="400" w:lineRule="exact"/>
        <w:ind w:firstLine="482" w:firstLineChars="200"/>
        <w:outlineLvl w:val="2"/>
        <w:rPr>
          <w:rFonts w:ascii="宋体" w:hAnsi="宋体"/>
          <w:b/>
          <w:bCs/>
          <w:sz w:val="24"/>
          <w:szCs w:val="32"/>
        </w:rPr>
      </w:pPr>
      <w:bookmarkStart w:id="46" w:name="_Toc183682352"/>
      <w:bookmarkStart w:id="47" w:name="_Toc217446043"/>
      <w:bookmarkStart w:id="48" w:name="_Toc183582215"/>
      <w:r>
        <w:rPr>
          <w:rFonts w:hint="eastAsia" w:ascii="宋体" w:hAnsi="宋体"/>
          <w:b/>
          <w:bCs/>
          <w:sz w:val="24"/>
          <w:szCs w:val="32"/>
        </w:rPr>
        <w:t>13.响应文件的组成</w:t>
      </w:r>
    </w:p>
    <w:p>
      <w:pPr>
        <w:spacing w:line="400" w:lineRule="exact"/>
        <w:ind w:left="2" w:leftChars="1" w:firstLine="480" w:firstLineChars="200"/>
        <w:rPr>
          <w:rFonts w:ascii="宋体" w:hAnsi="宋体"/>
          <w:sz w:val="24"/>
        </w:rPr>
      </w:pPr>
      <w:r>
        <w:rPr>
          <w:rFonts w:hint="eastAsia" w:ascii="宋体" w:hAnsi="宋体"/>
          <w:sz w:val="24"/>
        </w:rPr>
        <w:t>供应商编写的响应文件应包括资格性响应文件和其他响应文件两部分，分册装订。</w:t>
      </w:r>
    </w:p>
    <w:p>
      <w:pPr>
        <w:pStyle w:val="4"/>
        <w:keepNext w:val="0"/>
        <w:keepLines w:val="0"/>
        <w:spacing w:before="0" w:after="0" w:line="360" w:lineRule="auto"/>
        <w:ind w:firstLine="482" w:firstLineChars="200"/>
        <w:rPr>
          <w:rFonts w:ascii="宋体" w:hAnsi="宋体"/>
          <w:sz w:val="24"/>
        </w:rPr>
      </w:pPr>
    </w:p>
    <w:p>
      <w:pPr>
        <w:pStyle w:val="4"/>
        <w:keepNext w:val="0"/>
        <w:keepLines w:val="0"/>
        <w:spacing w:before="0" w:after="0" w:line="360" w:lineRule="auto"/>
        <w:ind w:firstLine="482" w:firstLineChars="200"/>
        <w:rPr>
          <w:rFonts w:ascii="宋体" w:hAnsi="宋体"/>
          <w:bCs w:val="0"/>
          <w:sz w:val="24"/>
        </w:rPr>
      </w:pPr>
      <w:r>
        <w:rPr>
          <w:rFonts w:hint="eastAsia" w:ascii="宋体" w:hAnsi="宋体"/>
          <w:bCs w:val="0"/>
          <w:sz w:val="24"/>
        </w:rPr>
        <w:t>14.响应文件的语言</w:t>
      </w:r>
      <w:bookmarkEnd w:id="46"/>
      <w:bookmarkEnd w:id="47"/>
      <w:bookmarkEnd w:id="48"/>
      <w:r>
        <w:rPr>
          <w:rFonts w:hint="eastAsia" w:ascii="宋体" w:hAnsi="宋体"/>
          <w:bCs w:val="0"/>
          <w:sz w:val="24"/>
        </w:rPr>
        <w:t>（实质性要求）</w:t>
      </w:r>
    </w:p>
    <w:p>
      <w:pPr>
        <w:tabs>
          <w:tab w:val="left" w:pos="1134"/>
        </w:tabs>
        <w:spacing w:line="360" w:lineRule="auto"/>
        <w:ind w:firstLine="480" w:firstLineChars="200"/>
        <w:jc w:val="left"/>
        <w:rPr>
          <w:rFonts w:ascii="宋体" w:hAnsi="宋体"/>
          <w:sz w:val="24"/>
        </w:rPr>
      </w:pPr>
      <w:r>
        <w:rPr>
          <w:rFonts w:hint="eastAsia" w:ascii="宋体" w:hAnsi="宋体"/>
          <w:sz w:val="24"/>
        </w:rPr>
        <w:t>14.1供应商提交的响应文件以及供应商与采购组织单位就有关磋商采购的所有来往书面文件均须使用中文。响应文件中如附有外文资料，主要部分对应翻译成中文并加盖供应商公章后附在相关外文资料后面。</w:t>
      </w:r>
    </w:p>
    <w:p>
      <w:pPr>
        <w:tabs>
          <w:tab w:val="left" w:pos="1134"/>
        </w:tabs>
        <w:spacing w:line="360" w:lineRule="auto"/>
        <w:ind w:firstLine="480" w:firstLineChars="200"/>
        <w:jc w:val="left"/>
        <w:rPr>
          <w:rFonts w:ascii="宋体" w:hAnsi="宋体"/>
          <w:sz w:val="24"/>
        </w:rPr>
      </w:pPr>
      <w:r>
        <w:rPr>
          <w:rFonts w:hint="eastAsia" w:ascii="宋体" w:hAnsi="宋体"/>
          <w:sz w:val="24"/>
        </w:rPr>
        <w:t>14.2 翻译的中文资料与外文资料如果出现差异和矛盾时，以中文为准。涉嫌虚假响应的按照相关法律法规处理。</w:t>
      </w:r>
    </w:p>
    <w:p>
      <w:pPr>
        <w:spacing w:line="360" w:lineRule="auto"/>
        <w:ind w:firstLine="480" w:firstLineChars="200"/>
        <w:rPr>
          <w:rFonts w:ascii="宋体" w:hAnsi="宋体" w:cs="宋体"/>
          <w:sz w:val="24"/>
        </w:rPr>
      </w:pPr>
      <w:r>
        <w:rPr>
          <w:rFonts w:hint="eastAsia" w:ascii="宋体" w:hAnsi="宋体" w:cs="宋体"/>
          <w:sz w:val="24"/>
        </w:rPr>
        <w:t>14.3 如因未翻译而造成的响应文件无效风险，由供应商承担。</w:t>
      </w:r>
    </w:p>
    <w:p>
      <w:pPr>
        <w:pStyle w:val="4"/>
        <w:keepNext w:val="0"/>
        <w:keepLines w:val="0"/>
        <w:spacing w:before="0" w:after="0" w:line="360" w:lineRule="auto"/>
        <w:ind w:firstLine="482" w:firstLineChars="200"/>
        <w:rPr>
          <w:rFonts w:ascii="宋体" w:hAnsi="宋体"/>
          <w:sz w:val="24"/>
        </w:rPr>
      </w:pPr>
      <w:bookmarkStart w:id="49" w:name="_Toc183582216"/>
      <w:bookmarkStart w:id="50" w:name="_Toc217446044"/>
      <w:bookmarkStart w:id="51" w:name="_Toc183682353"/>
      <w:r>
        <w:rPr>
          <w:rFonts w:hint="eastAsia" w:ascii="宋体" w:hAnsi="宋体"/>
          <w:sz w:val="24"/>
        </w:rPr>
        <w:t>15．计量单位</w:t>
      </w:r>
      <w:bookmarkEnd w:id="49"/>
      <w:bookmarkEnd w:id="50"/>
      <w:bookmarkEnd w:id="51"/>
      <w:r>
        <w:rPr>
          <w:rFonts w:hint="eastAsia" w:ascii="宋体" w:hAnsi="宋体"/>
          <w:sz w:val="24"/>
        </w:rPr>
        <w:t>（实质性要求）</w:t>
      </w:r>
    </w:p>
    <w:p>
      <w:pPr>
        <w:spacing w:line="360" w:lineRule="auto"/>
        <w:ind w:firstLine="470" w:firstLineChars="196"/>
        <w:rPr>
          <w:rFonts w:ascii="宋体" w:hAnsi="宋体"/>
          <w:sz w:val="24"/>
        </w:rPr>
      </w:pPr>
      <w:r>
        <w:rPr>
          <w:rFonts w:hint="eastAsia" w:ascii="宋体" w:hAnsi="宋体"/>
          <w:sz w:val="24"/>
        </w:rPr>
        <w:t>除磋商文件中另有规定外，本次采购项目所有合同项下的报价均采用国家法定的计量单位。</w:t>
      </w:r>
    </w:p>
    <w:p>
      <w:pPr>
        <w:spacing w:line="360" w:lineRule="auto"/>
        <w:ind w:firstLine="470" w:firstLineChars="195"/>
        <w:rPr>
          <w:rFonts w:ascii="宋体" w:hAnsi="宋体"/>
          <w:b/>
          <w:bCs/>
          <w:sz w:val="24"/>
        </w:rPr>
      </w:pPr>
      <w:bookmarkStart w:id="52" w:name="_Toc217446045"/>
    </w:p>
    <w:p>
      <w:pPr>
        <w:spacing w:line="360" w:lineRule="auto"/>
        <w:ind w:firstLine="470" w:firstLineChars="195"/>
        <w:rPr>
          <w:rFonts w:ascii="宋体" w:hAnsi="宋体"/>
          <w:b/>
          <w:bCs/>
          <w:sz w:val="24"/>
        </w:rPr>
      </w:pPr>
      <w:r>
        <w:rPr>
          <w:rFonts w:hint="eastAsia" w:ascii="宋体" w:hAnsi="宋体"/>
          <w:b/>
          <w:bCs/>
          <w:sz w:val="24"/>
        </w:rPr>
        <w:t xml:space="preserve">16. </w:t>
      </w:r>
      <w:r>
        <w:rPr>
          <w:rFonts w:hint="eastAsia" w:ascii="宋体" w:hAnsi="宋体"/>
          <w:b/>
          <w:sz w:val="24"/>
        </w:rPr>
        <w:t>报价</w:t>
      </w:r>
      <w:r>
        <w:rPr>
          <w:rFonts w:hint="eastAsia" w:ascii="宋体" w:hAnsi="宋体"/>
          <w:b/>
          <w:bCs/>
          <w:sz w:val="24"/>
        </w:rPr>
        <w:t>（实质性要求）</w:t>
      </w:r>
    </w:p>
    <w:p>
      <w:pPr>
        <w:numPr>
          <w:ilvl w:val="0"/>
          <w:numId w:val="2"/>
        </w:numPr>
        <w:spacing w:line="360" w:lineRule="auto"/>
        <w:ind w:left="0" w:firstLine="426"/>
        <w:rPr>
          <w:rFonts w:ascii="宋体" w:hAnsi="宋体"/>
          <w:bCs/>
          <w:sz w:val="24"/>
        </w:rPr>
      </w:pPr>
      <w:r>
        <w:rPr>
          <w:rFonts w:hint="eastAsia" w:ascii="宋体" w:hAnsi="宋体"/>
          <w:bCs/>
          <w:sz w:val="24"/>
        </w:rPr>
        <w:t>所有报价一律以人民币报价。采购人不接受任何非人民币币种的报价。</w:t>
      </w:r>
    </w:p>
    <w:p>
      <w:pPr>
        <w:numPr>
          <w:ilvl w:val="0"/>
          <w:numId w:val="2"/>
        </w:numPr>
        <w:spacing w:line="360" w:lineRule="auto"/>
        <w:ind w:left="0" w:firstLine="426"/>
        <w:rPr>
          <w:rFonts w:ascii="宋体" w:hAnsi="宋体"/>
          <w:bCs/>
          <w:sz w:val="24"/>
        </w:rPr>
      </w:pPr>
      <w:r>
        <w:rPr>
          <w:rFonts w:hint="eastAsia" w:ascii="宋体" w:hAnsi="宋体"/>
          <w:bCs/>
          <w:sz w:val="24"/>
        </w:rPr>
        <w:t>供应商的报价是其响应本项目要求的全部工作内容的价格体现，包括供应商完成本项目所需的一切费用。</w:t>
      </w:r>
    </w:p>
    <w:p>
      <w:pPr>
        <w:numPr>
          <w:ilvl w:val="0"/>
          <w:numId w:val="2"/>
        </w:numPr>
        <w:spacing w:line="360" w:lineRule="auto"/>
        <w:ind w:left="0" w:firstLine="426"/>
        <w:rPr>
          <w:rFonts w:ascii="宋体" w:hAnsi="宋体"/>
          <w:bCs/>
          <w:sz w:val="24"/>
        </w:rPr>
      </w:pPr>
      <w:r>
        <w:rPr>
          <w:rFonts w:hint="eastAsia" w:ascii="宋体" w:hAnsi="宋体"/>
          <w:bCs/>
          <w:sz w:val="24"/>
        </w:rPr>
        <w:t>本项目合同价格形式为</w:t>
      </w:r>
      <w:r>
        <w:rPr>
          <w:rFonts w:hint="eastAsia" w:ascii="宋体" w:hAnsi="宋体"/>
          <w:bCs/>
          <w:color w:val="000000" w:themeColor="text1"/>
          <w:sz w:val="24"/>
          <w14:textFill>
            <w14:solidFill>
              <w14:schemeClr w14:val="tx1"/>
            </w14:solidFill>
          </w14:textFill>
        </w:rPr>
        <w:t>固定单价合同</w:t>
      </w:r>
      <w:r>
        <w:rPr>
          <w:rFonts w:hint="eastAsia" w:ascii="宋体" w:hAnsi="宋体"/>
          <w:bCs/>
          <w:color w:val="FF0000"/>
          <w:sz w:val="24"/>
        </w:rPr>
        <w:t>。</w:t>
      </w:r>
    </w:p>
    <w:p>
      <w:pPr>
        <w:numPr>
          <w:ilvl w:val="0"/>
          <w:numId w:val="2"/>
        </w:numPr>
        <w:spacing w:line="360" w:lineRule="auto"/>
        <w:ind w:left="0" w:firstLine="426"/>
        <w:rPr>
          <w:rFonts w:ascii="宋体" w:hAnsi="宋体"/>
          <w:bCs/>
          <w:sz w:val="24"/>
        </w:rPr>
      </w:pPr>
      <w:r>
        <w:rPr>
          <w:rFonts w:hint="eastAsia" w:ascii="宋体" w:hAnsi="宋体"/>
          <w:bCs/>
          <w:sz w:val="24"/>
        </w:rPr>
        <w:t>本项目按下浮比例的形式进行报价。</w:t>
      </w:r>
    </w:p>
    <w:p>
      <w:pPr>
        <w:numPr>
          <w:ilvl w:val="0"/>
          <w:numId w:val="2"/>
        </w:numPr>
        <w:spacing w:line="360" w:lineRule="auto"/>
        <w:ind w:left="0" w:firstLine="426"/>
        <w:rPr>
          <w:rFonts w:ascii="宋体" w:hAnsi="宋体"/>
          <w:bCs/>
          <w:sz w:val="24"/>
        </w:rPr>
      </w:pPr>
      <w:r>
        <w:rPr>
          <w:rFonts w:hint="eastAsia" w:ascii="宋体" w:hAnsi="宋体"/>
          <w:bCs/>
          <w:sz w:val="24"/>
        </w:rPr>
        <w:t>供应</w:t>
      </w:r>
      <w:r>
        <w:rPr>
          <w:rFonts w:ascii="宋体" w:hAnsi="宋体"/>
          <w:bCs/>
          <w:sz w:val="24"/>
        </w:rPr>
        <w:t>商</w:t>
      </w:r>
      <w:r>
        <w:rPr>
          <w:rFonts w:hint="eastAsia" w:ascii="宋体" w:hAnsi="宋体"/>
          <w:bCs/>
          <w:sz w:val="24"/>
        </w:rPr>
        <w:t>报价超过政府采购预算或最高限价（金额详见“供应商须知附表”）的, 其响应文件按无效处理。</w:t>
      </w:r>
    </w:p>
    <w:p>
      <w:pPr>
        <w:spacing w:line="360" w:lineRule="auto"/>
        <w:ind w:firstLine="468" w:firstLineChars="195"/>
        <w:rPr>
          <w:rFonts w:ascii="宋体" w:hAnsi="宋体"/>
          <w:bCs/>
          <w:sz w:val="24"/>
        </w:rPr>
      </w:pPr>
    </w:p>
    <w:bookmarkEnd w:id="52"/>
    <w:p>
      <w:pPr>
        <w:spacing w:line="360" w:lineRule="auto"/>
        <w:ind w:left="2" w:leftChars="1" w:firstLine="482" w:firstLineChars="200"/>
        <w:rPr>
          <w:rFonts w:ascii="宋体" w:hAnsi="宋体"/>
          <w:b/>
          <w:bCs/>
          <w:sz w:val="24"/>
        </w:rPr>
      </w:pPr>
      <w:r>
        <w:rPr>
          <w:rFonts w:hint="eastAsia" w:ascii="宋体" w:hAnsi="宋体"/>
          <w:b/>
          <w:bCs/>
          <w:sz w:val="24"/>
        </w:rPr>
        <w:t>17.响应文件格式</w:t>
      </w:r>
    </w:p>
    <w:p>
      <w:pPr>
        <w:spacing w:line="360" w:lineRule="auto"/>
        <w:ind w:left="2" w:leftChars="1" w:firstLine="480" w:firstLineChars="200"/>
        <w:rPr>
          <w:rFonts w:ascii="宋体" w:hAnsi="宋体"/>
          <w:bCs/>
          <w:sz w:val="24"/>
        </w:rPr>
      </w:pPr>
      <w:r>
        <w:rPr>
          <w:rFonts w:hint="eastAsia" w:ascii="宋体" w:hAnsi="宋体"/>
          <w:bCs/>
          <w:sz w:val="24"/>
        </w:rPr>
        <w:t>17.1 供应商应执行磋商文件第七章的规定要求。</w:t>
      </w:r>
    </w:p>
    <w:p>
      <w:pPr>
        <w:spacing w:line="360" w:lineRule="auto"/>
        <w:ind w:left="2" w:leftChars="1" w:firstLine="480" w:firstLineChars="200"/>
        <w:rPr>
          <w:rFonts w:ascii="宋体" w:hAnsi="宋体"/>
          <w:sz w:val="24"/>
        </w:rPr>
      </w:pPr>
      <w:r>
        <w:rPr>
          <w:rFonts w:hint="eastAsia" w:ascii="宋体" w:hAnsi="宋体"/>
          <w:sz w:val="24"/>
        </w:rPr>
        <w:t>17.2 对于没有格式要求的磋商文件由供应商自行编写。</w:t>
      </w:r>
    </w:p>
    <w:p>
      <w:pPr>
        <w:spacing w:line="360" w:lineRule="auto"/>
        <w:ind w:firstLine="470" w:firstLineChars="196"/>
        <w:rPr>
          <w:rFonts w:ascii="宋体" w:hAnsi="宋体"/>
          <w:sz w:val="24"/>
        </w:rPr>
      </w:pPr>
      <w:bookmarkStart w:id="53" w:name="_Toc183582224"/>
      <w:bookmarkStart w:id="54" w:name="_Toc217446051"/>
      <w:bookmarkStart w:id="55" w:name="_Toc183682361"/>
    </w:p>
    <w:p>
      <w:pPr>
        <w:spacing w:line="360" w:lineRule="auto"/>
        <w:ind w:firstLine="472" w:firstLineChars="196"/>
        <w:rPr>
          <w:rFonts w:ascii="宋体" w:hAnsi="宋体"/>
          <w:b/>
          <w:sz w:val="24"/>
        </w:rPr>
      </w:pPr>
    </w:p>
    <w:p>
      <w:pPr>
        <w:spacing w:line="360" w:lineRule="auto"/>
        <w:ind w:firstLine="472" w:firstLineChars="196"/>
        <w:rPr>
          <w:rFonts w:ascii="宋体" w:hAnsi="宋体"/>
          <w:b/>
          <w:sz w:val="24"/>
        </w:rPr>
      </w:pPr>
      <w:r>
        <w:rPr>
          <w:rFonts w:hint="eastAsia" w:ascii="宋体" w:hAnsi="宋体"/>
          <w:b/>
          <w:sz w:val="24"/>
        </w:rPr>
        <w:t>18.响应文件的编制和签署</w:t>
      </w:r>
    </w:p>
    <w:p>
      <w:pPr>
        <w:spacing w:line="360" w:lineRule="auto"/>
        <w:ind w:firstLine="468" w:firstLineChars="195"/>
        <w:rPr>
          <w:rFonts w:ascii="宋体" w:hAnsi="宋体"/>
          <w:bCs/>
          <w:sz w:val="24"/>
        </w:rPr>
      </w:pPr>
      <w:r>
        <w:rPr>
          <w:rFonts w:hint="eastAsia" w:ascii="宋体" w:hAnsi="宋体"/>
          <w:sz w:val="24"/>
        </w:rPr>
        <w:t>18.1 资格性响应文件正本</w:t>
      </w:r>
      <w:r>
        <w:rPr>
          <w:rFonts w:ascii="宋体" w:hAnsi="宋体"/>
          <w:sz w:val="24"/>
        </w:rPr>
        <w:t>1</w:t>
      </w:r>
      <w:r>
        <w:rPr>
          <w:rFonts w:hint="eastAsia" w:ascii="宋体" w:hAnsi="宋体"/>
          <w:sz w:val="24"/>
        </w:rPr>
        <w:t>份副本</w:t>
      </w:r>
      <w:r>
        <w:rPr>
          <w:rFonts w:ascii="宋体" w:hAnsi="宋体"/>
          <w:sz w:val="24"/>
        </w:rPr>
        <w:t>2</w:t>
      </w:r>
      <w:r>
        <w:rPr>
          <w:rFonts w:hint="eastAsia" w:ascii="宋体" w:hAnsi="宋体"/>
          <w:sz w:val="24"/>
        </w:rPr>
        <w:t>份</w:t>
      </w:r>
      <w:r>
        <w:rPr>
          <w:rFonts w:hint="eastAsia" w:ascii="宋体" w:hAnsi="宋体"/>
          <w:bCs/>
          <w:sz w:val="24"/>
        </w:rPr>
        <w:t>，并在其封面上清楚地标明资格性响应文件、采购项目名称、采购项目编号、包件号及名称（若有）、供应商名称以及“正本”或“副本”字样。若正本和副本有不一致的内容，以正本书面响应文件为准。</w:t>
      </w:r>
    </w:p>
    <w:p>
      <w:pPr>
        <w:spacing w:line="360" w:lineRule="auto"/>
        <w:ind w:firstLine="468" w:firstLineChars="195"/>
        <w:rPr>
          <w:rFonts w:ascii="宋体" w:hAnsi="宋体"/>
          <w:bCs/>
          <w:sz w:val="24"/>
        </w:rPr>
      </w:pPr>
      <w:r>
        <w:rPr>
          <w:rFonts w:hint="eastAsia" w:ascii="宋体" w:hAnsi="宋体"/>
          <w:bCs/>
          <w:sz w:val="24"/>
        </w:rPr>
        <w:t>18.2 其他响应文件正本</w:t>
      </w:r>
      <w:r>
        <w:rPr>
          <w:rFonts w:ascii="宋体" w:hAnsi="宋体"/>
          <w:bCs/>
          <w:sz w:val="24"/>
        </w:rPr>
        <w:t>1</w:t>
      </w:r>
      <w:r>
        <w:rPr>
          <w:rFonts w:hint="eastAsia" w:ascii="宋体" w:hAnsi="宋体"/>
          <w:bCs/>
          <w:sz w:val="24"/>
        </w:rPr>
        <w:t>份副本</w:t>
      </w:r>
      <w:r>
        <w:rPr>
          <w:rFonts w:ascii="宋体" w:hAnsi="宋体"/>
          <w:bCs/>
          <w:sz w:val="24"/>
        </w:rPr>
        <w:t>2</w:t>
      </w:r>
      <w:r>
        <w:rPr>
          <w:rFonts w:hint="eastAsia" w:ascii="宋体" w:hAnsi="宋体"/>
          <w:bCs/>
          <w:sz w:val="24"/>
        </w:rPr>
        <w:t>份，并在其封面上清楚地标明其他响应文件、采购项目名称、采购项目编号、包件号及名称（若有）、供应商名称以及“正本”或“副本”字样。若正本和副本有不一致的内容，以正本书面响应文件为准。</w:t>
      </w:r>
    </w:p>
    <w:bookmarkEnd w:id="53"/>
    <w:bookmarkEnd w:id="54"/>
    <w:bookmarkEnd w:id="55"/>
    <w:p>
      <w:pPr>
        <w:spacing w:line="360" w:lineRule="auto"/>
        <w:ind w:firstLine="468" w:firstLineChars="195"/>
        <w:rPr>
          <w:rFonts w:ascii="宋体" w:hAnsi="宋体"/>
          <w:bCs/>
          <w:sz w:val="24"/>
        </w:rPr>
      </w:pPr>
      <w:r>
        <w:rPr>
          <w:rFonts w:hint="eastAsia" w:ascii="宋体" w:hAnsi="宋体"/>
          <w:bCs/>
          <w:sz w:val="24"/>
        </w:rPr>
        <w:t>18.3 响应文件正本和副本均需打印或用不褪色、不变质的墨水书写，并在规定签章处签字和盖章。响应文件副本可采用正本的复印件，提供电子文档1份采用U盘制作（包括</w:t>
      </w:r>
      <w:r>
        <w:rPr>
          <w:rFonts w:ascii="宋体" w:hAnsi="宋体"/>
          <w:bCs/>
          <w:sz w:val="24"/>
        </w:rPr>
        <w:t>但</w:t>
      </w:r>
      <w:r>
        <w:rPr>
          <w:rFonts w:hint="eastAsia" w:ascii="宋体" w:hAnsi="宋体"/>
          <w:bCs/>
          <w:sz w:val="24"/>
        </w:rPr>
        <w:t>不限于由专业计价软件编制的报价文件及其导出的EXCEL文件</w:t>
      </w:r>
      <w:r>
        <w:rPr>
          <w:rFonts w:ascii="宋体" w:hAnsi="宋体"/>
          <w:bCs/>
          <w:sz w:val="24"/>
        </w:rPr>
        <w:t>）</w:t>
      </w:r>
      <w:r>
        <w:rPr>
          <w:rFonts w:hint="eastAsia" w:ascii="宋体" w:hAnsi="宋体"/>
          <w:bCs/>
          <w:sz w:val="24"/>
        </w:rPr>
        <w:t>。</w:t>
      </w:r>
    </w:p>
    <w:p>
      <w:pPr>
        <w:spacing w:line="360" w:lineRule="auto"/>
        <w:ind w:firstLine="468" w:firstLineChars="195"/>
        <w:rPr>
          <w:rFonts w:ascii="宋体" w:hAnsi="宋体"/>
          <w:bCs/>
          <w:sz w:val="24"/>
        </w:rPr>
      </w:pPr>
      <w:r>
        <w:rPr>
          <w:rFonts w:hint="eastAsia" w:ascii="宋体" w:hAnsi="宋体"/>
          <w:bCs/>
          <w:sz w:val="24"/>
        </w:rPr>
        <w:t>18.4响应文件的打印和书写应清楚工整，任何行间插字、涂改或增删，必须由供应商的法定代表人/单位负责人或其授权代表签字并盖供应商公章。</w:t>
      </w:r>
    </w:p>
    <w:p>
      <w:pPr>
        <w:spacing w:line="360" w:lineRule="auto"/>
        <w:ind w:firstLine="468" w:firstLineChars="195"/>
        <w:rPr>
          <w:rFonts w:ascii="宋体" w:hAnsi="宋体"/>
          <w:bCs/>
          <w:sz w:val="24"/>
        </w:rPr>
      </w:pPr>
      <w:r>
        <w:rPr>
          <w:rFonts w:hint="eastAsia" w:ascii="宋体" w:hAnsi="宋体"/>
          <w:bCs/>
          <w:sz w:val="24"/>
        </w:rPr>
        <w:t>18.5</w:t>
      </w:r>
      <w:r>
        <w:rPr>
          <w:rFonts w:hint="eastAsia" w:ascii="宋体" w:hAnsi="宋体"/>
          <w:b/>
          <w:bCs/>
          <w:sz w:val="24"/>
        </w:rPr>
        <w:t>（实质性要求）</w:t>
      </w:r>
      <w:r>
        <w:rPr>
          <w:rFonts w:hint="eastAsia" w:ascii="宋体" w:hAnsi="宋体"/>
          <w:bCs/>
          <w:sz w:val="24"/>
        </w:rPr>
        <w:t>响应文件应由供应商法定代表人/主要负责人/本人或其授权代表在响应文件要求的地方签字（注：</w:t>
      </w:r>
      <w:r>
        <w:rPr>
          <w:rFonts w:hint="eastAsia" w:ascii="宋体" w:hAnsi="宋体"/>
          <w:sz w:val="24"/>
        </w:rPr>
        <w:t>供应商为法人的，应当由其法定代表人或者</w:t>
      </w:r>
      <w:r>
        <w:rPr>
          <w:rFonts w:hint="eastAsia" w:ascii="宋体" w:hAnsi="宋体"/>
          <w:bCs/>
          <w:sz w:val="24"/>
        </w:rPr>
        <w:t>授权代表</w:t>
      </w:r>
      <w:r>
        <w:rPr>
          <w:rFonts w:hint="eastAsia" w:ascii="宋体" w:hAnsi="宋体"/>
          <w:sz w:val="24"/>
        </w:rPr>
        <w:t>签字确认；供应商为其他组织的，应当由其主要负责人或者</w:t>
      </w:r>
      <w:r>
        <w:rPr>
          <w:rFonts w:hint="eastAsia" w:ascii="宋体" w:hAnsi="宋体"/>
          <w:bCs/>
          <w:sz w:val="24"/>
        </w:rPr>
        <w:t>授权代表</w:t>
      </w:r>
      <w:r>
        <w:rPr>
          <w:rFonts w:hint="eastAsia" w:ascii="宋体" w:hAnsi="宋体"/>
          <w:sz w:val="24"/>
        </w:rPr>
        <w:t>签字确认；供应商为自然人的，应当由其本人或者</w:t>
      </w:r>
      <w:r>
        <w:rPr>
          <w:rFonts w:hint="eastAsia" w:ascii="宋体" w:hAnsi="宋体"/>
          <w:bCs/>
          <w:sz w:val="24"/>
        </w:rPr>
        <w:t>授权代表</w:t>
      </w:r>
      <w:r>
        <w:rPr>
          <w:rFonts w:hint="eastAsia" w:ascii="宋体" w:hAnsi="宋体"/>
          <w:sz w:val="24"/>
        </w:rPr>
        <w:t>签字确认</w:t>
      </w:r>
      <w:r>
        <w:rPr>
          <w:rFonts w:hint="eastAsia" w:ascii="宋体" w:hAnsi="宋体"/>
          <w:bCs/>
          <w:sz w:val="24"/>
        </w:rPr>
        <w:t>）或加盖私人印章，要求加盖公章的地方加盖单位公章，不得使用专用章（如经济合同章、投标专用章等）或下属单位印章代替。</w:t>
      </w:r>
    </w:p>
    <w:p>
      <w:pPr>
        <w:spacing w:line="360" w:lineRule="auto"/>
        <w:ind w:firstLine="468" w:firstLineChars="195"/>
        <w:rPr>
          <w:rFonts w:ascii="宋体" w:hAnsi="宋体"/>
          <w:bCs/>
          <w:sz w:val="24"/>
        </w:rPr>
      </w:pPr>
      <w:r>
        <w:rPr>
          <w:rFonts w:hint="eastAsia" w:ascii="宋体" w:hAnsi="宋体"/>
          <w:bCs/>
          <w:sz w:val="24"/>
        </w:rPr>
        <w:t>18.6响应文件正本和副本需要逐页编目编码。</w:t>
      </w:r>
    </w:p>
    <w:p>
      <w:pPr>
        <w:tabs>
          <w:tab w:val="left" w:pos="1080"/>
        </w:tabs>
        <w:spacing w:line="360" w:lineRule="auto"/>
        <w:ind w:firstLine="460" w:firstLineChars="192"/>
        <w:rPr>
          <w:rFonts w:ascii="宋体" w:hAnsi="宋体"/>
          <w:sz w:val="24"/>
        </w:rPr>
      </w:pPr>
      <w:r>
        <w:rPr>
          <w:rFonts w:hint="eastAsia" w:ascii="宋体" w:hAnsi="宋体"/>
          <w:sz w:val="24"/>
        </w:rPr>
        <w:t>18.7响应文件正本和副本应当采用胶装方式装订成册，不得散装或者合页装订。</w:t>
      </w:r>
    </w:p>
    <w:p>
      <w:pPr>
        <w:tabs>
          <w:tab w:val="left" w:pos="1080"/>
        </w:tabs>
        <w:spacing w:line="400" w:lineRule="exact"/>
        <w:ind w:firstLine="460" w:firstLineChars="192"/>
        <w:rPr>
          <w:rFonts w:ascii="宋体" w:hAnsi="宋体"/>
          <w:sz w:val="24"/>
        </w:rPr>
      </w:pPr>
      <w:r>
        <w:rPr>
          <w:rFonts w:hint="eastAsia" w:ascii="宋体" w:hAnsi="宋体"/>
          <w:sz w:val="24"/>
        </w:rPr>
        <w:t>18.8</w:t>
      </w:r>
      <w:r>
        <w:rPr>
          <w:rFonts w:hint="eastAsia" w:ascii="宋体" w:hAnsi="宋体"/>
          <w:b/>
          <w:sz w:val="24"/>
        </w:rPr>
        <w:t>（实质性要求）</w:t>
      </w:r>
      <w:r>
        <w:rPr>
          <w:rFonts w:hint="eastAsia" w:ascii="宋体" w:hAnsi="宋体"/>
          <w:sz w:val="24"/>
        </w:rPr>
        <w:t>响应文件应按磋商文件的要求签署、盖章（第八章</w:t>
      </w:r>
      <w:r>
        <w:rPr>
          <w:rFonts w:ascii="宋体" w:hAnsi="宋体"/>
          <w:sz w:val="24"/>
        </w:rPr>
        <w:t>2.4.6</w:t>
      </w:r>
      <w:r>
        <w:rPr>
          <w:rFonts w:hint="eastAsia" w:ascii="宋体" w:hAnsi="宋体"/>
          <w:sz w:val="24"/>
        </w:rPr>
        <w:t>规定</w:t>
      </w:r>
      <w:r>
        <w:rPr>
          <w:rFonts w:ascii="宋体" w:hAnsi="宋体"/>
          <w:sz w:val="24"/>
        </w:rPr>
        <w:t>的</w:t>
      </w:r>
      <w:r>
        <w:rPr>
          <w:rFonts w:hint="eastAsia" w:ascii="宋体" w:hAnsi="宋体"/>
          <w:sz w:val="24"/>
        </w:rPr>
        <w:t>例外</w:t>
      </w:r>
      <w:r>
        <w:rPr>
          <w:rFonts w:ascii="宋体" w:hAnsi="宋体"/>
          <w:sz w:val="24"/>
        </w:rPr>
        <w:t>情形除外</w:t>
      </w:r>
      <w:r>
        <w:rPr>
          <w:rFonts w:hint="eastAsia" w:ascii="宋体" w:hAnsi="宋体"/>
          <w:sz w:val="24"/>
        </w:rPr>
        <w:t>）。</w:t>
      </w:r>
    </w:p>
    <w:p>
      <w:pPr>
        <w:tabs>
          <w:tab w:val="left" w:pos="1080"/>
        </w:tabs>
        <w:spacing w:line="360" w:lineRule="auto"/>
        <w:ind w:firstLine="460" w:firstLineChars="192"/>
        <w:rPr>
          <w:rFonts w:ascii="宋体" w:hAnsi="宋体"/>
          <w:sz w:val="24"/>
        </w:rPr>
      </w:pPr>
      <w:r>
        <w:rPr>
          <w:rFonts w:hint="eastAsia" w:ascii="宋体" w:hAnsi="宋体"/>
          <w:sz w:val="24"/>
        </w:rPr>
        <w:t>18.9响应文件统一用</w:t>
      </w:r>
      <w:r>
        <w:rPr>
          <w:rFonts w:ascii="宋体" w:hAnsi="宋体"/>
          <w:sz w:val="24"/>
        </w:rPr>
        <w:t>A4</w:t>
      </w:r>
      <w:r>
        <w:rPr>
          <w:rFonts w:hint="eastAsia" w:ascii="宋体" w:hAnsi="宋体"/>
          <w:sz w:val="24"/>
        </w:rPr>
        <w:t>幅面纸印制，除另有规定外。</w:t>
      </w:r>
    </w:p>
    <w:p>
      <w:pPr>
        <w:tabs>
          <w:tab w:val="left" w:pos="1080"/>
        </w:tabs>
        <w:spacing w:line="360" w:lineRule="auto"/>
        <w:ind w:firstLine="463" w:firstLineChars="192"/>
        <w:rPr>
          <w:rFonts w:ascii="宋体" w:hAnsi="宋体"/>
          <w:b/>
          <w:sz w:val="24"/>
        </w:rPr>
      </w:pPr>
      <w:bookmarkStart w:id="56" w:name="_Toc89075877"/>
      <w:bookmarkStart w:id="57" w:name="_Toc77400781"/>
      <w:bookmarkStart w:id="58" w:name="_Toc183582226"/>
      <w:bookmarkStart w:id="59" w:name="_Toc183682363"/>
      <w:bookmarkStart w:id="60" w:name="_Toc217446053"/>
    </w:p>
    <w:p>
      <w:pPr>
        <w:tabs>
          <w:tab w:val="left" w:pos="1080"/>
        </w:tabs>
        <w:spacing w:line="360" w:lineRule="auto"/>
        <w:ind w:firstLine="463" w:firstLineChars="192"/>
        <w:rPr>
          <w:rFonts w:ascii="宋体" w:hAnsi="宋体"/>
          <w:b/>
          <w:sz w:val="24"/>
        </w:rPr>
      </w:pPr>
      <w:r>
        <w:rPr>
          <w:rFonts w:hint="eastAsia" w:ascii="宋体" w:hAnsi="宋体"/>
          <w:b/>
          <w:sz w:val="24"/>
        </w:rPr>
        <w:t>19.响应文件的密封和标注（不属于本项目磋商小组评审范畴，由采购人、采购代理机构在接收响应文件时及时处理）</w:t>
      </w:r>
    </w:p>
    <w:p>
      <w:pPr>
        <w:tabs>
          <w:tab w:val="left" w:pos="1080"/>
        </w:tabs>
        <w:spacing w:line="360" w:lineRule="auto"/>
        <w:ind w:firstLine="460" w:firstLineChars="192"/>
        <w:rPr>
          <w:rFonts w:ascii="宋体" w:hAnsi="宋体"/>
          <w:sz w:val="24"/>
        </w:rPr>
      </w:pPr>
      <w:r>
        <w:rPr>
          <w:rFonts w:hint="eastAsia" w:ascii="宋体" w:hAnsi="宋体"/>
          <w:sz w:val="24"/>
        </w:rPr>
        <w:t>19.1 响应文件可以单独密封包装，也可以所有响应文件密封包装在一个密封袋内。</w:t>
      </w:r>
    </w:p>
    <w:p>
      <w:pPr>
        <w:tabs>
          <w:tab w:val="left" w:pos="1080"/>
        </w:tabs>
        <w:spacing w:line="360" w:lineRule="auto"/>
        <w:ind w:firstLine="460" w:firstLineChars="192"/>
        <w:rPr>
          <w:rFonts w:ascii="宋体" w:hAnsi="宋体"/>
          <w:sz w:val="24"/>
        </w:rPr>
      </w:pPr>
      <w:r>
        <w:rPr>
          <w:rFonts w:hint="eastAsia" w:ascii="宋体" w:hAnsi="宋体"/>
          <w:sz w:val="24"/>
        </w:rPr>
        <w:t>19.2 响应文件密封袋的最外层应清楚地标明采购项目名称、采购项目编号、包件号及名称（若有）、供应商名称。</w:t>
      </w:r>
    </w:p>
    <w:p>
      <w:pPr>
        <w:tabs>
          <w:tab w:val="left" w:pos="1080"/>
        </w:tabs>
        <w:spacing w:line="360" w:lineRule="auto"/>
        <w:ind w:firstLine="460" w:firstLineChars="192"/>
        <w:rPr>
          <w:rFonts w:ascii="宋体" w:hAnsi="宋体"/>
          <w:sz w:val="24"/>
        </w:rPr>
      </w:pPr>
      <w:r>
        <w:rPr>
          <w:rFonts w:hint="eastAsia" w:ascii="宋体" w:hAnsi="宋体"/>
          <w:sz w:val="24"/>
        </w:rPr>
        <w:t>19.3 所有外层密封袋的封口处应粘贴牢固。</w:t>
      </w:r>
    </w:p>
    <w:p>
      <w:pPr>
        <w:tabs>
          <w:tab w:val="left" w:pos="1080"/>
        </w:tabs>
        <w:spacing w:line="360" w:lineRule="auto"/>
        <w:ind w:firstLine="460" w:firstLineChars="192"/>
        <w:rPr>
          <w:rFonts w:ascii="宋体" w:hAnsi="宋体"/>
          <w:sz w:val="24"/>
        </w:rPr>
      </w:pPr>
      <w:r>
        <w:rPr>
          <w:rFonts w:hint="eastAsia" w:ascii="宋体" w:hAnsi="宋体"/>
          <w:sz w:val="24"/>
        </w:rPr>
        <w:t>19.4 未密封的响应文件，采购人、采购代理机构将拒收或者在时间允许的范围内，要求供应商密封完善后接收。</w:t>
      </w:r>
    </w:p>
    <w:p>
      <w:pPr>
        <w:tabs>
          <w:tab w:val="left" w:pos="1080"/>
        </w:tabs>
        <w:spacing w:line="360" w:lineRule="auto"/>
        <w:ind w:firstLine="460" w:firstLineChars="192"/>
        <w:rPr>
          <w:rFonts w:ascii="宋体" w:hAnsi="宋体"/>
          <w:sz w:val="24"/>
        </w:rPr>
      </w:pPr>
    </w:p>
    <w:p>
      <w:pPr>
        <w:tabs>
          <w:tab w:val="left" w:pos="1080"/>
        </w:tabs>
        <w:spacing w:line="360" w:lineRule="auto"/>
        <w:ind w:firstLine="463" w:firstLineChars="192"/>
        <w:rPr>
          <w:rFonts w:ascii="宋体" w:hAnsi="宋体"/>
          <w:b/>
          <w:sz w:val="24"/>
        </w:rPr>
      </w:pPr>
      <w:r>
        <w:rPr>
          <w:rFonts w:hint="eastAsia" w:ascii="宋体" w:hAnsi="宋体"/>
          <w:b/>
          <w:sz w:val="24"/>
        </w:rPr>
        <w:t>20.响应文件的递交</w:t>
      </w:r>
    </w:p>
    <w:p>
      <w:pPr>
        <w:tabs>
          <w:tab w:val="left" w:pos="1080"/>
        </w:tabs>
        <w:spacing w:line="360" w:lineRule="auto"/>
        <w:ind w:firstLine="460" w:firstLineChars="192"/>
        <w:rPr>
          <w:rFonts w:ascii="宋体" w:hAnsi="宋体"/>
          <w:sz w:val="24"/>
        </w:rPr>
      </w:pPr>
      <w:r>
        <w:rPr>
          <w:rFonts w:hint="eastAsia" w:ascii="宋体" w:hAnsi="宋体"/>
          <w:sz w:val="24"/>
        </w:rPr>
        <w:t>20.1 资格性响应文件和其他响应文件应于递交响应文件截止时间前送达指定地点，采购代理机构拒绝接收截止时间后送达的响应文件。供应商在递交响应文件时，用正楷填写递交响应文件签收表然后将签收表和响应文件一并递交给采购代理机构工作人员。</w:t>
      </w:r>
    </w:p>
    <w:p>
      <w:pPr>
        <w:tabs>
          <w:tab w:val="left" w:pos="1080"/>
        </w:tabs>
        <w:spacing w:line="360" w:lineRule="auto"/>
        <w:ind w:firstLine="460" w:firstLineChars="192"/>
        <w:rPr>
          <w:rFonts w:ascii="宋体" w:hAnsi="宋体"/>
          <w:sz w:val="24"/>
        </w:rPr>
      </w:pPr>
      <w:r>
        <w:rPr>
          <w:rFonts w:hint="eastAsia" w:ascii="宋体" w:hAnsi="宋体"/>
          <w:sz w:val="24"/>
        </w:rPr>
        <w:t>20.2 采购代理机构将向通过资格审查的供应商发出磋商邀请；告知未通过资格审查的供应商未通过的原因。</w:t>
      </w:r>
    </w:p>
    <w:p>
      <w:pPr>
        <w:tabs>
          <w:tab w:val="left" w:pos="1080"/>
        </w:tabs>
        <w:spacing w:line="360" w:lineRule="auto"/>
        <w:ind w:firstLine="460" w:firstLineChars="192"/>
        <w:rPr>
          <w:rFonts w:ascii="宋体" w:hAnsi="宋体"/>
          <w:sz w:val="24"/>
        </w:rPr>
      </w:pPr>
      <w:r>
        <w:rPr>
          <w:rFonts w:hint="eastAsia" w:ascii="宋体" w:hAnsi="宋体"/>
          <w:sz w:val="24"/>
        </w:rPr>
        <w:t>20.3 报价表在磋商后，磋商小组要求供应商进行最后报价时递交。</w:t>
      </w:r>
    </w:p>
    <w:p>
      <w:pPr>
        <w:tabs>
          <w:tab w:val="left" w:pos="1080"/>
        </w:tabs>
        <w:spacing w:line="360" w:lineRule="auto"/>
        <w:ind w:firstLine="460" w:firstLineChars="192"/>
        <w:rPr>
          <w:rFonts w:ascii="宋体" w:hAnsi="宋体"/>
          <w:sz w:val="24"/>
        </w:rPr>
      </w:pPr>
      <w:r>
        <w:rPr>
          <w:rFonts w:hint="eastAsia" w:ascii="宋体" w:hAnsi="宋体"/>
          <w:sz w:val="24"/>
        </w:rPr>
        <w:t>20.4 本次采购不接收邮寄的响应文件。</w:t>
      </w:r>
    </w:p>
    <w:p>
      <w:pPr>
        <w:tabs>
          <w:tab w:val="left" w:pos="1080"/>
        </w:tabs>
        <w:spacing w:line="360" w:lineRule="auto"/>
        <w:ind w:firstLine="460" w:firstLineChars="192"/>
        <w:rPr>
          <w:rFonts w:ascii="宋体" w:hAnsi="宋体"/>
          <w:sz w:val="24"/>
        </w:rPr>
      </w:pPr>
    </w:p>
    <w:bookmarkEnd w:id="56"/>
    <w:bookmarkEnd w:id="57"/>
    <w:bookmarkEnd w:id="58"/>
    <w:bookmarkEnd w:id="59"/>
    <w:bookmarkEnd w:id="60"/>
    <w:p>
      <w:pPr>
        <w:tabs>
          <w:tab w:val="left" w:pos="1080"/>
        </w:tabs>
        <w:spacing w:line="360" w:lineRule="auto"/>
        <w:ind w:firstLine="463" w:firstLineChars="192"/>
        <w:rPr>
          <w:rFonts w:ascii="宋体" w:hAnsi="宋体"/>
          <w:b/>
          <w:sz w:val="24"/>
        </w:rPr>
      </w:pPr>
      <w:bookmarkStart w:id="61" w:name="_Toc183582228"/>
      <w:bookmarkStart w:id="62" w:name="_Toc183682365"/>
      <w:bookmarkStart w:id="63" w:name="_Toc217446055"/>
      <w:r>
        <w:rPr>
          <w:rFonts w:hint="eastAsia" w:ascii="宋体" w:hAnsi="宋体"/>
          <w:b/>
          <w:sz w:val="24"/>
        </w:rPr>
        <w:t>21.响应文件的修改和撤回（补充、修改响应文件的密封和标注按照本章“19.响应文件的密封和标注”规定处理）</w:t>
      </w:r>
    </w:p>
    <w:p>
      <w:pPr>
        <w:pStyle w:val="12"/>
        <w:spacing w:line="360" w:lineRule="auto"/>
        <w:ind w:firstLine="480"/>
        <w:rPr>
          <w:rFonts w:ascii="宋体" w:hAnsi="宋体"/>
          <w:sz w:val="24"/>
        </w:rPr>
      </w:pPr>
      <w:r>
        <w:rPr>
          <w:rFonts w:hint="eastAsia" w:ascii="宋体" w:hAnsi="宋体"/>
          <w:sz w:val="24"/>
        </w:rPr>
        <w:t>21</w:t>
      </w:r>
      <w:r>
        <w:rPr>
          <w:rFonts w:ascii="宋体" w:hAnsi="宋体"/>
          <w:sz w:val="24"/>
        </w:rPr>
        <w:t>.</w:t>
      </w:r>
      <w:r>
        <w:rPr>
          <w:rFonts w:hint="eastAsia" w:ascii="宋体" w:hAnsi="宋体"/>
          <w:sz w:val="24"/>
        </w:rPr>
        <w:t>1供应商在提交响应文件后可对其响应文件进行修改或撤回，但该修改或撤回的书面通知须在递交截止时间之前送达采购代理机构，补充、修改的内容作为响应文件的组成部分。且该通知需经正式授权的供应商代表签字方为有效。 供应商在提交响应文件截止时间前，可以对所提交的响应文件进行补充、修改或者撤回，补充、修改的内容与响应文件不一致的，以补充、修改的内容为准。</w:t>
      </w:r>
    </w:p>
    <w:p>
      <w:pPr>
        <w:adjustRightInd w:val="0"/>
        <w:snapToGrid w:val="0"/>
        <w:spacing w:line="360" w:lineRule="auto"/>
        <w:ind w:firstLine="480" w:firstLineChars="200"/>
        <w:rPr>
          <w:rFonts w:ascii="宋体" w:hAnsi="宋体"/>
          <w:sz w:val="24"/>
        </w:rPr>
      </w:pPr>
      <w:r>
        <w:rPr>
          <w:rFonts w:hint="eastAsia" w:ascii="宋体" w:hAnsi="宋体"/>
          <w:sz w:val="24"/>
        </w:rPr>
        <w:t>21</w:t>
      </w:r>
      <w:r>
        <w:rPr>
          <w:rFonts w:ascii="宋体" w:hAnsi="宋体"/>
          <w:sz w:val="24"/>
        </w:rPr>
        <w:t>.</w:t>
      </w:r>
      <w:r>
        <w:rPr>
          <w:rFonts w:hint="eastAsia" w:ascii="宋体" w:hAnsi="宋体"/>
          <w:sz w:val="24"/>
        </w:rPr>
        <w:t>2供应商对响应文件修改的书面材料或撤回的通知应该按规定进行编写、密封、标注和递送，并注明“修改响应文件”字样。</w:t>
      </w:r>
    </w:p>
    <w:p>
      <w:pPr>
        <w:adjustRightInd w:val="0"/>
        <w:snapToGrid w:val="0"/>
        <w:spacing w:line="360" w:lineRule="auto"/>
        <w:ind w:firstLine="480" w:firstLineChars="200"/>
        <w:rPr>
          <w:rFonts w:ascii="宋体" w:hAnsi="宋体"/>
          <w:sz w:val="24"/>
        </w:rPr>
      </w:pPr>
      <w:r>
        <w:rPr>
          <w:rFonts w:hint="eastAsia" w:ascii="宋体" w:hAnsi="宋体"/>
          <w:sz w:val="24"/>
        </w:rPr>
        <w:t>21</w:t>
      </w:r>
      <w:r>
        <w:rPr>
          <w:rFonts w:ascii="宋体" w:hAnsi="宋体"/>
          <w:sz w:val="24"/>
        </w:rPr>
        <w:t>.</w:t>
      </w:r>
      <w:r>
        <w:rPr>
          <w:rFonts w:hint="eastAsia" w:ascii="宋体" w:hAnsi="宋体"/>
          <w:sz w:val="24"/>
        </w:rPr>
        <w:t>3供应商不得在递交截止时间起至响应文件有效期期满前撤销其响应文件。否则其磋商保证金将按相关规定不予退还。</w:t>
      </w:r>
    </w:p>
    <w:p>
      <w:pPr>
        <w:spacing w:line="360" w:lineRule="auto"/>
        <w:ind w:firstLine="480"/>
        <w:rPr>
          <w:rFonts w:ascii="宋体" w:hAnsi="宋体"/>
          <w:sz w:val="24"/>
        </w:rPr>
      </w:pPr>
      <w:r>
        <w:rPr>
          <w:rFonts w:hint="eastAsia" w:ascii="宋体" w:hAnsi="宋体"/>
          <w:sz w:val="24"/>
        </w:rPr>
        <w:t>21.4供应商对其提交的响应文件的真实性、合法性承担法律责任。</w:t>
      </w:r>
      <w:bookmarkEnd w:id="61"/>
      <w:bookmarkEnd w:id="62"/>
      <w:bookmarkEnd w:id="63"/>
    </w:p>
    <w:p>
      <w:pPr>
        <w:pStyle w:val="3"/>
        <w:keepNext w:val="0"/>
        <w:keepLines w:val="0"/>
        <w:spacing w:line="360" w:lineRule="auto"/>
        <w:jc w:val="center"/>
        <w:rPr>
          <w:rFonts w:ascii="宋体" w:hAnsi="宋体" w:eastAsia="宋体"/>
        </w:rPr>
      </w:pPr>
      <w:bookmarkStart w:id="64" w:name="_Toc89075878"/>
      <w:bookmarkStart w:id="65" w:name="_Toc183682368"/>
      <w:bookmarkStart w:id="66" w:name="_Toc77400782"/>
      <w:bookmarkStart w:id="67" w:name="_Toc183582231"/>
      <w:bookmarkStart w:id="68" w:name="_Toc217446056"/>
      <w:r>
        <w:rPr>
          <w:rFonts w:hint="eastAsia" w:ascii="宋体" w:hAnsi="宋体" w:eastAsia="宋体"/>
        </w:rPr>
        <w:t>五、评审</w:t>
      </w:r>
    </w:p>
    <w:p>
      <w:pPr>
        <w:pStyle w:val="3"/>
        <w:keepNext w:val="0"/>
        <w:keepLines w:val="0"/>
        <w:spacing w:line="360" w:lineRule="auto"/>
        <w:ind w:firstLine="482" w:firstLineChars="200"/>
        <w:rPr>
          <w:rFonts w:ascii="宋体" w:hAnsi="宋体" w:eastAsia="宋体"/>
          <w:b w:val="0"/>
          <w:sz w:val="24"/>
          <w:szCs w:val="24"/>
        </w:rPr>
      </w:pPr>
      <w:r>
        <w:rPr>
          <w:rFonts w:hint="eastAsia" w:ascii="宋体" w:hAnsi="宋体" w:eastAsia="宋体"/>
          <w:sz w:val="24"/>
          <w:szCs w:val="24"/>
        </w:rPr>
        <w:t>22.</w:t>
      </w:r>
      <w:r>
        <w:rPr>
          <w:rFonts w:hint="eastAsia" w:ascii="宋体" w:hAnsi="宋体" w:eastAsia="宋体"/>
          <w:b w:val="0"/>
          <w:sz w:val="24"/>
          <w:szCs w:val="24"/>
        </w:rPr>
        <w:t>磋商小组的组建及其评审工作按照有关法律制度和本文件第八章的规定进行。</w:t>
      </w:r>
    </w:p>
    <w:p>
      <w:pPr>
        <w:pStyle w:val="3"/>
        <w:keepNext w:val="0"/>
        <w:keepLines w:val="0"/>
        <w:spacing w:line="360" w:lineRule="auto"/>
        <w:jc w:val="center"/>
        <w:rPr>
          <w:rFonts w:ascii="宋体" w:hAnsi="宋体" w:eastAsia="宋体"/>
        </w:rPr>
      </w:pPr>
      <w:r>
        <w:rPr>
          <w:rFonts w:hint="eastAsia" w:ascii="宋体" w:hAnsi="宋体" w:eastAsia="宋体"/>
        </w:rPr>
        <w:t>六、成交事项</w:t>
      </w:r>
    </w:p>
    <w:p>
      <w:pPr>
        <w:pStyle w:val="3"/>
        <w:keepNext w:val="0"/>
        <w:keepLines w:val="0"/>
        <w:spacing w:after="0" w:line="360" w:lineRule="auto"/>
        <w:ind w:firstLine="482" w:firstLineChars="200"/>
        <w:rPr>
          <w:rFonts w:ascii="宋体" w:hAnsi="宋体" w:eastAsia="宋体"/>
          <w:sz w:val="24"/>
          <w:szCs w:val="24"/>
        </w:rPr>
      </w:pPr>
      <w:r>
        <w:rPr>
          <w:rFonts w:hint="eastAsia" w:ascii="宋体" w:hAnsi="宋体" w:eastAsia="宋体"/>
          <w:sz w:val="24"/>
          <w:szCs w:val="24"/>
        </w:rPr>
        <w:t>23.确定成交供应商</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本项目采用方式一确定成交供应商。采购人将按磋商小组推荐的成交候选供应商顺序确定成交供应商。</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23.1采购代理机构自评审结束后2个工作日内将磋商报告及有关资料送交采购人确定成交供应商。</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23.2采购人收到磋商报告及有关资料后，将在5个工作日内按照磋商报告中推荐的成交候选供应商顺序确定成交供应商。成交候选供应商并列的，采购人自主采取公平、择优的方式选择成交供应商。采购人逾期未确定成交供应商且不提出异议的，视为确定磋商报告提出的排序第一的供应商为成交供应商。</w:t>
      </w:r>
    </w:p>
    <w:p>
      <w:pPr>
        <w:spacing w:line="360" w:lineRule="auto"/>
        <w:rPr>
          <w:rFonts w:ascii="宋体" w:hAnsi="宋体"/>
        </w:rPr>
      </w:pPr>
    </w:p>
    <w:p>
      <w:pPr>
        <w:pStyle w:val="3"/>
        <w:keepNext w:val="0"/>
        <w:keepLines w:val="0"/>
        <w:spacing w:before="0" w:after="0" w:line="360" w:lineRule="auto"/>
        <w:ind w:firstLine="482" w:firstLineChars="20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4</w:t>
      </w:r>
      <w:r>
        <w:rPr>
          <w:rFonts w:hint="eastAsia" w:ascii="宋体" w:hAnsi="宋体" w:eastAsia="宋体"/>
          <w:sz w:val="24"/>
          <w:szCs w:val="24"/>
        </w:rPr>
        <w:t>.成交结果</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w:t>
      </w:r>
      <w:r>
        <w:rPr>
          <w:rFonts w:ascii="宋体" w:hAnsi="宋体" w:eastAsia="宋体"/>
          <w:b w:val="0"/>
          <w:sz w:val="24"/>
          <w:szCs w:val="24"/>
        </w:rPr>
        <w:t>4</w:t>
      </w:r>
      <w:r>
        <w:rPr>
          <w:rFonts w:hint="eastAsia" w:ascii="宋体" w:hAnsi="宋体" w:eastAsia="宋体"/>
          <w:b w:val="0"/>
          <w:sz w:val="24"/>
          <w:szCs w:val="24"/>
        </w:rPr>
        <w:t>.1采购人确定成交供应商后，将及时书面通知采购代理机构，发出成交通知书并发布成交结果公告。</w:t>
      </w:r>
    </w:p>
    <w:p>
      <w:pPr>
        <w:spacing w:line="360" w:lineRule="auto"/>
        <w:ind w:firstLine="480" w:firstLineChars="200"/>
        <w:rPr>
          <w:rFonts w:ascii="宋体" w:hAnsi="宋体"/>
          <w:bCs/>
          <w:sz w:val="24"/>
        </w:rPr>
      </w:pPr>
      <w:r>
        <w:rPr>
          <w:rFonts w:hint="eastAsia" w:ascii="宋体" w:hAnsi="宋体"/>
          <w:bCs/>
          <w:sz w:val="24"/>
        </w:rPr>
        <w:t>2</w:t>
      </w:r>
      <w:r>
        <w:rPr>
          <w:rFonts w:ascii="宋体" w:hAnsi="宋体"/>
          <w:bCs/>
          <w:sz w:val="24"/>
        </w:rPr>
        <w:t>4</w:t>
      </w:r>
      <w:r>
        <w:rPr>
          <w:rFonts w:hint="eastAsia" w:ascii="宋体" w:hAnsi="宋体"/>
          <w:bCs/>
          <w:sz w:val="24"/>
        </w:rPr>
        <w:t>.2成交供应商应当及时领取成交通知书。本项目需要交纳履约保证金的，成交供应商应当及时向采购人交纳。</w:t>
      </w:r>
    </w:p>
    <w:p>
      <w:pPr>
        <w:spacing w:line="360" w:lineRule="auto"/>
        <w:ind w:firstLine="480" w:firstLineChars="200"/>
        <w:rPr>
          <w:rFonts w:ascii="宋体" w:hAnsi="宋体"/>
          <w:bCs/>
          <w:sz w:val="24"/>
        </w:rPr>
      </w:pPr>
      <w:r>
        <w:rPr>
          <w:rFonts w:hint="eastAsia" w:ascii="宋体" w:hAnsi="宋体"/>
          <w:bCs/>
          <w:sz w:val="24"/>
        </w:rPr>
        <w:t>24.3成交供应商不能及时领取成交通知书，采购人或者采购代理机构应当通过邮寄、快递等方式将项目成交通知书送达成交供应商。</w:t>
      </w:r>
    </w:p>
    <w:p>
      <w:pPr>
        <w:spacing w:line="360" w:lineRule="auto"/>
        <w:ind w:firstLine="465"/>
        <w:rPr>
          <w:rFonts w:ascii="宋体" w:hAnsi="宋体"/>
          <w:bCs/>
          <w:sz w:val="24"/>
        </w:rPr>
      </w:pPr>
    </w:p>
    <w:p>
      <w:pPr>
        <w:pStyle w:val="3"/>
        <w:keepNext w:val="0"/>
        <w:keepLines w:val="0"/>
        <w:spacing w:before="0" w:after="0" w:line="360" w:lineRule="auto"/>
        <w:ind w:firstLine="482" w:firstLineChars="20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5</w:t>
      </w:r>
      <w:r>
        <w:rPr>
          <w:rFonts w:hint="eastAsia" w:ascii="宋体" w:hAnsi="宋体" w:eastAsia="宋体"/>
          <w:sz w:val="24"/>
          <w:szCs w:val="24"/>
        </w:rPr>
        <w:t>.成交通知书</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w:t>
      </w:r>
      <w:r>
        <w:rPr>
          <w:rFonts w:ascii="宋体" w:hAnsi="宋体" w:eastAsia="宋体"/>
          <w:b w:val="0"/>
          <w:sz w:val="24"/>
          <w:szCs w:val="24"/>
        </w:rPr>
        <w:t>5</w:t>
      </w:r>
      <w:r>
        <w:rPr>
          <w:rFonts w:hint="eastAsia" w:ascii="宋体" w:hAnsi="宋体" w:eastAsia="宋体"/>
          <w:b w:val="0"/>
          <w:sz w:val="24"/>
          <w:szCs w:val="24"/>
        </w:rPr>
        <w:t>.1成交通知书为签订政府采购合同的依据之一，是合同的有效组成部分。</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w:t>
      </w:r>
      <w:r>
        <w:rPr>
          <w:rFonts w:ascii="宋体" w:hAnsi="宋体" w:eastAsia="宋体"/>
          <w:b w:val="0"/>
          <w:sz w:val="24"/>
          <w:szCs w:val="24"/>
        </w:rPr>
        <w:t>5</w:t>
      </w:r>
      <w:r>
        <w:rPr>
          <w:rFonts w:hint="eastAsia" w:ascii="宋体" w:hAnsi="宋体" w:eastAsia="宋体"/>
          <w:b w:val="0"/>
          <w:sz w:val="24"/>
          <w:szCs w:val="24"/>
        </w:rPr>
        <w:t>.2成交通知书对采购人和成交供应商均具有法律效力。成交通知书发出后，采购人无正当理由改变成交结果，或者成交供应商无正当理由放弃成交的，将承担相应的法律责任。</w:t>
      </w:r>
    </w:p>
    <w:p>
      <w:pPr>
        <w:pStyle w:val="3"/>
        <w:keepNext w:val="0"/>
        <w:keepLines w:val="0"/>
        <w:spacing w:before="0" w:after="0" w:line="360" w:lineRule="auto"/>
        <w:ind w:firstLine="480" w:firstLineChars="200"/>
        <w:rPr>
          <w:rFonts w:ascii="宋体" w:hAnsi="宋体" w:eastAsia="宋体"/>
          <w:b w:val="0"/>
          <w:sz w:val="24"/>
          <w:szCs w:val="24"/>
        </w:rPr>
      </w:pPr>
      <w:r>
        <w:rPr>
          <w:rFonts w:hint="eastAsia" w:ascii="宋体" w:hAnsi="宋体" w:eastAsia="宋体"/>
          <w:b w:val="0"/>
          <w:sz w:val="24"/>
          <w:szCs w:val="24"/>
        </w:rPr>
        <w:t>2</w:t>
      </w:r>
      <w:r>
        <w:rPr>
          <w:rFonts w:ascii="宋体" w:hAnsi="宋体" w:eastAsia="宋体"/>
          <w:b w:val="0"/>
          <w:sz w:val="24"/>
          <w:szCs w:val="24"/>
        </w:rPr>
        <w:t>5</w:t>
      </w:r>
      <w:r>
        <w:rPr>
          <w:rFonts w:hint="eastAsia" w:ascii="宋体" w:hAnsi="宋体" w:eastAsia="宋体"/>
          <w:b w:val="0"/>
          <w:sz w:val="24"/>
          <w:szCs w:val="24"/>
        </w:rPr>
        <w:t>.3成交供应商的响应文件作为无效响应文件处理或者有政府采购法律法规规章制度规定的成交无效情形的，采购人/采购代理机构在取得有权主体的认定以后，有权宣布发出的成交通知书无效，并收回发出的成交通知书，依法重新确定成交供应商或者重新开展采购活动。</w:t>
      </w:r>
    </w:p>
    <w:p>
      <w:pPr>
        <w:spacing w:line="360" w:lineRule="auto"/>
        <w:rPr>
          <w:rFonts w:ascii="宋体" w:hAnsi="宋体"/>
        </w:rPr>
      </w:pPr>
    </w:p>
    <w:p>
      <w:pPr>
        <w:pStyle w:val="3"/>
        <w:keepNext w:val="0"/>
        <w:keepLines w:val="0"/>
        <w:spacing w:line="360" w:lineRule="auto"/>
        <w:jc w:val="center"/>
        <w:rPr>
          <w:rFonts w:ascii="宋体" w:hAnsi="宋体" w:eastAsia="宋体"/>
        </w:rPr>
      </w:pPr>
      <w:r>
        <w:rPr>
          <w:rFonts w:hint="eastAsia" w:ascii="宋体" w:hAnsi="宋体" w:eastAsia="宋体"/>
        </w:rPr>
        <w:t>七、合同事项</w:t>
      </w:r>
    </w:p>
    <w:p>
      <w:pPr>
        <w:pStyle w:val="3"/>
        <w:keepNext w:val="0"/>
        <w:keepLines w:val="0"/>
        <w:spacing w:before="0" w:after="0" w:line="360" w:lineRule="auto"/>
        <w:ind w:firstLine="472" w:firstLineChars="196"/>
        <w:rPr>
          <w:rFonts w:ascii="宋体" w:hAnsi="宋体" w:eastAsia="宋体"/>
          <w:sz w:val="24"/>
          <w:szCs w:val="24"/>
        </w:rPr>
      </w:pPr>
    </w:p>
    <w:p>
      <w:pPr>
        <w:pStyle w:val="3"/>
        <w:keepNext w:val="0"/>
        <w:keepLines w:val="0"/>
        <w:spacing w:before="0" w:after="0" w:line="360" w:lineRule="auto"/>
        <w:ind w:firstLine="472" w:firstLineChars="196"/>
        <w:rPr>
          <w:rFonts w:ascii="宋体" w:hAnsi="宋体" w:eastAsia="宋体"/>
          <w:sz w:val="24"/>
          <w:szCs w:val="24"/>
        </w:rPr>
      </w:pPr>
      <w:bookmarkStart w:id="69" w:name="_Toc101174151"/>
      <w:bookmarkStart w:id="70" w:name="_Toc430773927"/>
      <w:bookmarkStart w:id="71" w:name="_Toc209847069"/>
      <w:bookmarkStart w:id="72" w:name="_Toc101338364"/>
      <w:bookmarkStart w:id="73" w:name="_Toc101250646"/>
      <w:r>
        <w:rPr>
          <w:rFonts w:hint="eastAsia" w:ascii="宋体" w:hAnsi="宋体" w:eastAsia="宋体"/>
          <w:sz w:val="24"/>
          <w:szCs w:val="24"/>
        </w:rPr>
        <w:t>2</w:t>
      </w:r>
      <w:r>
        <w:rPr>
          <w:rFonts w:ascii="宋体" w:hAnsi="宋体" w:eastAsia="宋体"/>
          <w:sz w:val="24"/>
          <w:szCs w:val="24"/>
        </w:rPr>
        <w:t>6</w:t>
      </w:r>
      <w:r>
        <w:rPr>
          <w:rFonts w:hint="eastAsia" w:ascii="宋体" w:hAnsi="宋体" w:eastAsia="宋体"/>
          <w:sz w:val="24"/>
          <w:szCs w:val="24"/>
        </w:rPr>
        <w:t>.签订合同</w:t>
      </w:r>
      <w:bookmarkEnd w:id="69"/>
      <w:bookmarkEnd w:id="70"/>
      <w:bookmarkEnd w:id="71"/>
      <w:bookmarkEnd w:id="72"/>
      <w:bookmarkEnd w:id="73"/>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.1 成交供应商应在成交通知书发出之日起三十日内与采购人签订采购合同。由于成交供应商的原因逾期未与采购人签订采购合同的，将视为放弃成交，取消其成交资格并将按相关规定进行处理。</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.2 磋商文件、成交供应商的响应文件及双方确认的澄清文件等，均为有法律约束力的合同组成部分。</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.3 采购人不得向成交供应商提出任何不合理的要求，作为签订合同的条件，不得与成交供应商私下订立背离合同实质性内容的任何协议，所签订的合同不得对磋商文件和成交供应商响应文件确定的实质性事项进行修改。</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.4 成交供应商因不可抗力原因不能履行采购合同或放弃成交的，采购人可以与排在成交供应商之后第一位的成交候选人签订采购合同，以此类推。</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6</w:t>
      </w:r>
      <w:r>
        <w:rPr>
          <w:rFonts w:hint="eastAsia" w:ascii="宋体" w:hAnsi="宋体"/>
          <w:sz w:val="24"/>
        </w:rPr>
        <w:t>.5竞争性磋商文件、成交供应商提交的响应文件、磋商中的最后报价、成交供应商承诺书、成交通知书等均称为有法律约束力的合同组成内容。</w:t>
      </w:r>
    </w:p>
    <w:p>
      <w:pPr>
        <w:spacing w:line="360" w:lineRule="auto"/>
        <w:ind w:firstLine="480" w:firstLineChars="200"/>
        <w:rPr>
          <w:rFonts w:ascii="宋体" w:hAnsi="宋体"/>
          <w:sz w:val="24"/>
        </w:rPr>
      </w:pPr>
    </w:p>
    <w:p>
      <w:pPr>
        <w:spacing w:line="360" w:lineRule="auto"/>
        <w:ind w:firstLine="482" w:firstLineChars="200"/>
        <w:rPr>
          <w:rFonts w:ascii="宋体" w:hAnsi="宋体"/>
          <w:b/>
          <w:sz w:val="24"/>
        </w:rPr>
      </w:pPr>
      <w:r>
        <w:rPr>
          <w:rFonts w:hint="eastAsia" w:ascii="宋体" w:hAnsi="宋体"/>
          <w:b/>
          <w:sz w:val="24"/>
        </w:rPr>
        <w:t>2</w:t>
      </w:r>
      <w:r>
        <w:rPr>
          <w:rFonts w:ascii="宋体" w:hAnsi="宋体"/>
          <w:b/>
          <w:sz w:val="24"/>
        </w:rPr>
        <w:t>7</w:t>
      </w:r>
      <w:r>
        <w:rPr>
          <w:rFonts w:hint="eastAsia" w:ascii="宋体" w:hAnsi="宋体"/>
          <w:b/>
          <w:sz w:val="24"/>
        </w:rPr>
        <w:t>.合同分包（实质性要求）</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7</w:t>
      </w:r>
      <w:r>
        <w:rPr>
          <w:rFonts w:hint="eastAsia" w:ascii="宋体" w:hAnsi="宋体"/>
          <w:sz w:val="24"/>
        </w:rPr>
        <w:t>.1 本项目合同接受分包与否，以“供应商须知附表”勾选项为准。</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7</w:t>
      </w:r>
      <w:r>
        <w:rPr>
          <w:rFonts w:hint="eastAsia" w:ascii="宋体" w:hAnsi="宋体"/>
          <w:sz w:val="24"/>
        </w:rPr>
        <w:t>.2 采购合同实行分包履行的，成交供应商就采购项目和分包项目向采购人负责，分包供应商就分包项目承担责任。</w:t>
      </w:r>
    </w:p>
    <w:p>
      <w:pPr>
        <w:spacing w:line="360" w:lineRule="auto"/>
        <w:ind w:firstLine="480" w:firstLineChars="200"/>
        <w:rPr>
          <w:rFonts w:ascii="宋体" w:hAnsi="宋体"/>
          <w:sz w:val="24"/>
        </w:rPr>
      </w:pPr>
      <w:r>
        <w:rPr>
          <w:rFonts w:hint="eastAsia" w:ascii="宋体" w:hAnsi="宋体"/>
          <w:sz w:val="24"/>
        </w:rPr>
        <w:t>2</w:t>
      </w:r>
      <w:r>
        <w:rPr>
          <w:rFonts w:ascii="宋体" w:hAnsi="宋体"/>
          <w:sz w:val="24"/>
        </w:rPr>
        <w:t>7</w:t>
      </w:r>
      <w:r>
        <w:rPr>
          <w:rFonts w:hint="eastAsia" w:ascii="宋体" w:hAnsi="宋体"/>
          <w:sz w:val="24"/>
        </w:rPr>
        <w:t>.3 中小企业依据《政府采购促进中小企业发展管理办法》（财库〔2020〕46号）规定的政策获取政府采购合同后，小型、微型企业不得分包或转包给大型、中型企业，中型企业不得分包或转包给大型企业。</w:t>
      </w:r>
    </w:p>
    <w:p>
      <w:pPr>
        <w:spacing w:line="360" w:lineRule="auto"/>
        <w:ind w:firstLine="482" w:firstLineChars="200"/>
        <w:rPr>
          <w:rFonts w:ascii="宋体" w:hAnsi="宋体"/>
          <w:b/>
          <w:sz w:val="24"/>
        </w:rPr>
      </w:pPr>
      <w:r>
        <w:rPr>
          <w:rFonts w:hint="eastAsia" w:ascii="宋体" w:hAnsi="宋体"/>
          <w:b/>
          <w:sz w:val="24"/>
        </w:rPr>
        <w:t>2</w:t>
      </w:r>
      <w:r>
        <w:rPr>
          <w:rFonts w:ascii="宋体" w:hAnsi="宋体"/>
          <w:b/>
          <w:sz w:val="24"/>
        </w:rPr>
        <w:t>8</w:t>
      </w:r>
      <w:r>
        <w:rPr>
          <w:rFonts w:hint="eastAsia" w:ascii="宋体" w:hAnsi="宋体"/>
          <w:b/>
          <w:sz w:val="24"/>
        </w:rPr>
        <w:t>.合同转包（实质性要求）</w:t>
      </w:r>
    </w:p>
    <w:p>
      <w:pPr>
        <w:spacing w:line="360" w:lineRule="auto"/>
        <w:ind w:firstLine="480" w:firstLineChars="200"/>
        <w:rPr>
          <w:rFonts w:ascii="宋体" w:hAnsi="宋体"/>
          <w:sz w:val="24"/>
        </w:rPr>
      </w:pPr>
      <w:r>
        <w:rPr>
          <w:rFonts w:hint="eastAsia" w:ascii="宋体" w:hAnsi="宋体"/>
          <w:sz w:val="24"/>
        </w:rPr>
        <w:t>本采购项目严禁成交供应商将任何政府采购合同义务转包。本项目所称转包，是指成交供应商将政府采购合同义务转让给第三人，并退出现有政府采购合同当事人双方的权利义务关系，受让人（即第三人）成为政府采购合同的另一方当事人的行为。</w:t>
      </w:r>
    </w:p>
    <w:p>
      <w:pPr>
        <w:spacing w:line="360" w:lineRule="auto"/>
        <w:ind w:firstLine="480" w:firstLineChars="200"/>
        <w:rPr>
          <w:rFonts w:ascii="宋体" w:hAnsi="宋体"/>
          <w:sz w:val="24"/>
        </w:rPr>
      </w:pPr>
      <w:r>
        <w:rPr>
          <w:rFonts w:hint="eastAsia" w:ascii="宋体" w:hAnsi="宋体"/>
          <w:sz w:val="24"/>
        </w:rPr>
        <w:t>成交供应商转包的，视同拒绝履行政府采购合同义务，将依法追究法律责任。</w:t>
      </w:r>
    </w:p>
    <w:p>
      <w:pPr>
        <w:spacing w:line="360" w:lineRule="auto"/>
        <w:ind w:firstLine="480" w:firstLineChars="200"/>
        <w:rPr>
          <w:rFonts w:ascii="宋体" w:hAnsi="宋体"/>
          <w:sz w:val="24"/>
        </w:rPr>
      </w:pPr>
    </w:p>
    <w:p>
      <w:pPr>
        <w:spacing w:line="360" w:lineRule="auto"/>
        <w:ind w:firstLine="482" w:firstLineChars="200"/>
        <w:rPr>
          <w:rFonts w:ascii="宋体" w:hAnsi="宋体"/>
          <w:b/>
          <w:sz w:val="24"/>
        </w:rPr>
      </w:pPr>
      <w:r>
        <w:rPr>
          <w:rFonts w:ascii="宋体" w:hAnsi="宋体"/>
          <w:b/>
          <w:sz w:val="24"/>
        </w:rPr>
        <w:t>29</w:t>
      </w:r>
      <w:r>
        <w:rPr>
          <w:rFonts w:hint="eastAsia" w:ascii="宋体" w:hAnsi="宋体"/>
          <w:b/>
          <w:sz w:val="24"/>
        </w:rPr>
        <w:t>.补充合同</w:t>
      </w:r>
    </w:p>
    <w:p>
      <w:pPr>
        <w:spacing w:line="360" w:lineRule="auto"/>
        <w:ind w:firstLine="480" w:firstLineChars="200"/>
        <w:rPr>
          <w:rFonts w:ascii="宋体" w:hAnsi="宋体"/>
          <w:sz w:val="24"/>
        </w:rPr>
      </w:pPr>
      <w:r>
        <w:rPr>
          <w:rFonts w:hint="eastAsia" w:ascii="宋体" w:hAnsi="宋体"/>
          <w:sz w:val="24"/>
        </w:rPr>
        <w:t xml:space="preserve">采购合同履行过程中，采购人需要追加与合同标的相同的货物、工程或者服务的，在不改变合同其他条款的前提下，可以与成交供应商协商签订补充合同，但所有补充合同的采购金额不得超过原合同采购金额的百分之十。 </w:t>
      </w:r>
    </w:p>
    <w:p>
      <w:pPr>
        <w:spacing w:line="360" w:lineRule="auto"/>
        <w:rPr>
          <w:rFonts w:ascii="宋体" w:hAnsi="宋体"/>
          <w:sz w:val="24"/>
        </w:rPr>
      </w:pPr>
    </w:p>
    <w:p>
      <w:pPr>
        <w:spacing w:line="360" w:lineRule="auto"/>
        <w:ind w:firstLine="482" w:firstLineChars="200"/>
        <w:rPr>
          <w:rFonts w:ascii="宋体" w:hAnsi="宋体"/>
          <w:b/>
          <w:sz w:val="24"/>
        </w:rPr>
      </w:pPr>
      <w:r>
        <w:rPr>
          <w:rFonts w:hint="eastAsia" w:ascii="宋体" w:hAnsi="宋体"/>
          <w:b/>
          <w:sz w:val="24"/>
        </w:rPr>
        <w:t>3</w:t>
      </w:r>
      <w:r>
        <w:rPr>
          <w:rFonts w:ascii="宋体" w:hAnsi="宋体"/>
          <w:b/>
          <w:sz w:val="24"/>
        </w:rPr>
        <w:t>0</w:t>
      </w:r>
      <w:r>
        <w:rPr>
          <w:rFonts w:hint="eastAsia" w:ascii="宋体" w:hAnsi="宋体"/>
          <w:b/>
          <w:sz w:val="24"/>
        </w:rPr>
        <w:t>.履约保证金（实质性要求）</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.1 成交供应商应在合同签订之前交纳竞争性磋商文件规定数额的履约保证金。</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0</w:t>
      </w:r>
      <w:r>
        <w:rPr>
          <w:rFonts w:hint="eastAsia" w:ascii="宋体" w:hAnsi="宋体"/>
          <w:sz w:val="24"/>
        </w:rPr>
        <w:t>.2 如果成交供应商在规定的合同签订时间内，没有按照采购文件的规定交纳履约保证金，且又无正当理由的，将视为放弃成交。</w:t>
      </w:r>
    </w:p>
    <w:p>
      <w:pPr>
        <w:spacing w:line="360" w:lineRule="auto"/>
        <w:rPr>
          <w:rFonts w:ascii="宋体" w:hAnsi="宋体"/>
          <w:sz w:val="24"/>
        </w:rPr>
      </w:pPr>
    </w:p>
    <w:p>
      <w:pPr>
        <w:spacing w:line="360" w:lineRule="auto"/>
        <w:ind w:firstLine="482" w:firstLineChars="200"/>
        <w:rPr>
          <w:rFonts w:ascii="宋体" w:hAnsi="宋体"/>
          <w:b/>
          <w:sz w:val="24"/>
        </w:rPr>
      </w:pPr>
      <w:r>
        <w:rPr>
          <w:rFonts w:hint="eastAsia" w:ascii="宋体" w:hAnsi="宋体"/>
          <w:b/>
          <w:sz w:val="24"/>
        </w:rPr>
        <w:t>3</w:t>
      </w:r>
      <w:r>
        <w:rPr>
          <w:rFonts w:ascii="宋体" w:hAnsi="宋体"/>
          <w:b/>
          <w:sz w:val="24"/>
        </w:rPr>
        <w:t>1</w:t>
      </w:r>
      <w:r>
        <w:rPr>
          <w:rFonts w:hint="eastAsia" w:ascii="宋体" w:hAnsi="宋体"/>
          <w:b/>
          <w:sz w:val="24"/>
        </w:rPr>
        <w:t>.履行合同</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.1 成交供应商与采购人签订合同后，合同双方应严格执行合同条款，履行合同规定的义务，保证合同的顺利完成。</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1</w:t>
      </w:r>
      <w:r>
        <w:rPr>
          <w:rFonts w:hint="eastAsia" w:ascii="宋体" w:hAnsi="宋体"/>
          <w:sz w:val="24"/>
        </w:rPr>
        <w:t>.2 在合同履行过程中，如发生合同纠纷，合同双方应按照合同约定及《中华人民共和国民法典》的有关规定进行处理。</w:t>
      </w:r>
    </w:p>
    <w:p>
      <w:pPr>
        <w:spacing w:line="360" w:lineRule="auto"/>
        <w:ind w:firstLine="480" w:firstLineChars="200"/>
        <w:rPr>
          <w:rFonts w:ascii="宋体" w:hAnsi="宋体"/>
          <w:sz w:val="24"/>
        </w:rPr>
      </w:pPr>
    </w:p>
    <w:p>
      <w:pPr>
        <w:spacing w:line="360" w:lineRule="auto"/>
        <w:ind w:firstLine="482" w:firstLineChars="200"/>
        <w:rPr>
          <w:rFonts w:ascii="宋体" w:hAnsi="宋体"/>
          <w:b/>
          <w:sz w:val="24"/>
        </w:rPr>
      </w:pPr>
      <w:r>
        <w:rPr>
          <w:rFonts w:hint="eastAsia" w:ascii="宋体" w:hAnsi="宋体"/>
          <w:b/>
          <w:sz w:val="24"/>
        </w:rPr>
        <w:t>3</w:t>
      </w:r>
      <w:r>
        <w:rPr>
          <w:rFonts w:ascii="宋体" w:hAnsi="宋体"/>
          <w:b/>
          <w:sz w:val="24"/>
        </w:rPr>
        <w:t>2</w:t>
      </w:r>
      <w:r>
        <w:rPr>
          <w:rFonts w:hint="eastAsia" w:ascii="宋体" w:hAnsi="宋体"/>
          <w:b/>
          <w:sz w:val="24"/>
        </w:rPr>
        <w:t>.验收</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2</w:t>
      </w:r>
      <w:r>
        <w:rPr>
          <w:rFonts w:hint="eastAsia" w:ascii="宋体" w:hAnsi="宋体"/>
          <w:sz w:val="24"/>
        </w:rPr>
        <w:t>.1本项目采购人及其委托的采购代理机构将严格按照政府采购相关法律法规的要求进行验收。</w:t>
      </w:r>
    </w:p>
    <w:p>
      <w:pPr>
        <w:spacing w:line="360" w:lineRule="auto"/>
        <w:ind w:firstLine="480" w:firstLineChars="200"/>
        <w:rPr>
          <w:rFonts w:ascii="宋体" w:hAnsi="宋体"/>
          <w:sz w:val="24"/>
        </w:rPr>
      </w:pPr>
      <w:r>
        <w:rPr>
          <w:rFonts w:hint="eastAsia" w:ascii="宋体" w:hAnsi="宋体"/>
          <w:sz w:val="24"/>
        </w:rPr>
        <w:t>3</w:t>
      </w:r>
      <w:r>
        <w:rPr>
          <w:rFonts w:ascii="宋体" w:hAnsi="宋体"/>
          <w:sz w:val="24"/>
        </w:rPr>
        <w:t>2</w:t>
      </w:r>
      <w:r>
        <w:rPr>
          <w:rFonts w:hint="eastAsia" w:ascii="宋体" w:hAnsi="宋体"/>
          <w:sz w:val="24"/>
        </w:rPr>
        <w:t>.2 验收结果合格的，成交供应商凭验收报告办理相关手续；验收结果不合格的，履约保证金将不予退还，也将不予支付采购资金。</w:t>
      </w:r>
    </w:p>
    <w:p>
      <w:pPr>
        <w:spacing w:line="360" w:lineRule="auto"/>
        <w:rPr>
          <w:rFonts w:ascii="宋体" w:hAnsi="宋体"/>
          <w:sz w:val="24"/>
        </w:rPr>
      </w:pPr>
    </w:p>
    <w:p>
      <w:pPr>
        <w:pStyle w:val="3"/>
        <w:keepNext w:val="0"/>
        <w:keepLines w:val="0"/>
        <w:spacing w:before="0" w:after="0" w:line="360" w:lineRule="auto"/>
        <w:jc w:val="center"/>
        <w:rPr>
          <w:rFonts w:ascii="宋体" w:hAnsi="宋体" w:eastAsia="宋体"/>
        </w:rPr>
      </w:pPr>
      <w:r>
        <w:rPr>
          <w:rFonts w:hint="eastAsia" w:ascii="宋体" w:hAnsi="宋体" w:eastAsia="宋体"/>
        </w:rPr>
        <w:t>八、磋商纪律要求</w:t>
      </w:r>
    </w:p>
    <w:p>
      <w:pPr>
        <w:tabs>
          <w:tab w:val="left" w:pos="851"/>
        </w:tabs>
        <w:spacing w:line="360" w:lineRule="auto"/>
        <w:jc w:val="center"/>
        <w:rPr>
          <w:rFonts w:ascii="宋体" w:hAnsi="宋体"/>
          <w:sz w:val="24"/>
        </w:rPr>
      </w:pPr>
    </w:p>
    <w:p>
      <w:pPr>
        <w:tabs>
          <w:tab w:val="left" w:pos="851"/>
        </w:tabs>
        <w:spacing w:line="360" w:lineRule="auto"/>
        <w:ind w:firstLine="482" w:firstLineChars="200"/>
        <w:rPr>
          <w:rFonts w:ascii="宋体" w:hAnsi="宋体"/>
          <w:b/>
          <w:sz w:val="24"/>
        </w:rPr>
      </w:pPr>
      <w:r>
        <w:rPr>
          <w:rFonts w:hint="eastAsia" w:ascii="宋体" w:hAnsi="宋体"/>
          <w:b/>
          <w:sz w:val="24"/>
        </w:rPr>
        <w:t>3</w:t>
      </w:r>
      <w:r>
        <w:rPr>
          <w:rFonts w:ascii="宋体" w:hAnsi="宋体"/>
          <w:b/>
          <w:sz w:val="24"/>
        </w:rPr>
        <w:t>3</w:t>
      </w:r>
      <w:r>
        <w:rPr>
          <w:rFonts w:hint="eastAsia" w:ascii="宋体" w:hAnsi="宋体"/>
          <w:b/>
          <w:sz w:val="24"/>
        </w:rPr>
        <w:t>.供应商不得具有的情形</w:t>
      </w:r>
    </w:p>
    <w:p>
      <w:pPr>
        <w:tabs>
          <w:tab w:val="left" w:pos="851"/>
        </w:tabs>
        <w:spacing w:line="360" w:lineRule="auto"/>
        <w:ind w:firstLine="480" w:firstLineChars="200"/>
        <w:rPr>
          <w:rFonts w:ascii="宋体" w:hAnsi="宋体"/>
          <w:sz w:val="24"/>
        </w:rPr>
      </w:pPr>
      <w:r>
        <w:rPr>
          <w:rFonts w:hint="eastAsia" w:ascii="宋体" w:hAnsi="宋体"/>
          <w:sz w:val="24"/>
        </w:rPr>
        <w:t>供应商参加本项目磋商不得有下列情形：</w:t>
      </w:r>
    </w:p>
    <w:p>
      <w:pPr>
        <w:tabs>
          <w:tab w:val="left" w:pos="851"/>
        </w:tabs>
        <w:spacing w:line="360" w:lineRule="auto"/>
        <w:ind w:firstLine="480" w:firstLineChars="200"/>
        <w:rPr>
          <w:rFonts w:ascii="宋体" w:hAnsi="宋体"/>
          <w:sz w:val="24"/>
        </w:rPr>
      </w:pPr>
      <w:r>
        <w:rPr>
          <w:rFonts w:hint="eastAsia" w:ascii="宋体" w:hAnsi="宋体"/>
          <w:sz w:val="24"/>
        </w:rPr>
        <w:t>（1）提供虚假材料谋取成交；</w:t>
      </w:r>
    </w:p>
    <w:p>
      <w:pPr>
        <w:tabs>
          <w:tab w:val="left" w:pos="851"/>
        </w:tabs>
        <w:spacing w:line="360" w:lineRule="auto"/>
        <w:ind w:firstLine="480" w:firstLineChars="200"/>
        <w:rPr>
          <w:rFonts w:ascii="宋体" w:hAnsi="宋体"/>
          <w:sz w:val="24"/>
        </w:rPr>
      </w:pPr>
      <w:r>
        <w:rPr>
          <w:rFonts w:hint="eastAsia" w:ascii="宋体" w:hAnsi="宋体"/>
          <w:sz w:val="24"/>
        </w:rPr>
        <w:t>（2）采取不正当手段诋毁、排挤其他供应商；</w:t>
      </w:r>
    </w:p>
    <w:p>
      <w:pPr>
        <w:tabs>
          <w:tab w:val="left" w:pos="851"/>
        </w:tabs>
        <w:spacing w:line="360" w:lineRule="auto"/>
        <w:ind w:firstLine="480" w:firstLineChars="200"/>
        <w:rPr>
          <w:rFonts w:ascii="宋体" w:hAnsi="宋体"/>
          <w:sz w:val="24"/>
        </w:rPr>
      </w:pPr>
      <w:r>
        <w:rPr>
          <w:rFonts w:hint="eastAsia" w:ascii="宋体" w:hAnsi="宋体"/>
          <w:sz w:val="24"/>
        </w:rPr>
        <w:t>（3）与采购人、采购代理机构、或其他供应商恶意串通；</w:t>
      </w:r>
    </w:p>
    <w:p>
      <w:pPr>
        <w:tabs>
          <w:tab w:val="left" w:pos="851"/>
        </w:tabs>
        <w:spacing w:line="360" w:lineRule="auto"/>
        <w:ind w:firstLine="480" w:firstLineChars="200"/>
        <w:rPr>
          <w:rFonts w:ascii="宋体" w:hAnsi="宋体"/>
          <w:sz w:val="24"/>
        </w:rPr>
      </w:pPr>
      <w:r>
        <w:rPr>
          <w:rFonts w:hint="eastAsia" w:ascii="宋体" w:hAnsi="宋体"/>
          <w:sz w:val="24"/>
        </w:rPr>
        <w:t>（4）向采购人、采购代理机构、磋商小组成员行贿或者提供其他不正当利益；</w:t>
      </w:r>
    </w:p>
    <w:p>
      <w:pPr>
        <w:tabs>
          <w:tab w:val="left" w:pos="851"/>
        </w:tabs>
        <w:spacing w:line="360" w:lineRule="auto"/>
        <w:ind w:firstLine="480" w:firstLineChars="200"/>
        <w:rPr>
          <w:rFonts w:ascii="宋体" w:hAnsi="宋体"/>
          <w:sz w:val="24"/>
        </w:rPr>
      </w:pPr>
      <w:r>
        <w:rPr>
          <w:rFonts w:hint="eastAsia" w:ascii="宋体" w:hAnsi="宋体"/>
          <w:sz w:val="24"/>
        </w:rPr>
        <w:t>（5）在磋商过程中与采购人、采购代理机构进行协商；</w:t>
      </w:r>
    </w:p>
    <w:p>
      <w:pPr>
        <w:tabs>
          <w:tab w:val="left" w:pos="851"/>
        </w:tabs>
        <w:spacing w:line="360" w:lineRule="auto"/>
        <w:ind w:firstLine="480" w:firstLineChars="200"/>
        <w:rPr>
          <w:rFonts w:ascii="宋体" w:hAnsi="宋体"/>
          <w:sz w:val="24"/>
        </w:rPr>
      </w:pPr>
      <w:r>
        <w:rPr>
          <w:rFonts w:hint="eastAsia" w:ascii="宋体" w:hAnsi="宋体"/>
          <w:sz w:val="24"/>
        </w:rPr>
        <w:t>（6）成交后无正当理由拒不与采购人签订政府采购合同；</w:t>
      </w:r>
    </w:p>
    <w:p>
      <w:pPr>
        <w:tabs>
          <w:tab w:val="left" w:pos="851"/>
        </w:tabs>
        <w:spacing w:line="360" w:lineRule="auto"/>
        <w:ind w:firstLine="480" w:firstLineChars="200"/>
        <w:rPr>
          <w:rFonts w:ascii="宋体" w:hAnsi="宋体"/>
          <w:sz w:val="24"/>
        </w:rPr>
      </w:pPr>
      <w:r>
        <w:rPr>
          <w:rFonts w:hint="eastAsia" w:ascii="宋体" w:hAnsi="宋体"/>
          <w:sz w:val="24"/>
        </w:rPr>
        <w:t>（7）未按照磋商文件确定的事项签订政府采购合同；</w:t>
      </w:r>
    </w:p>
    <w:p>
      <w:pPr>
        <w:tabs>
          <w:tab w:val="left" w:pos="851"/>
        </w:tabs>
        <w:spacing w:line="360" w:lineRule="auto"/>
        <w:ind w:firstLine="480" w:firstLineChars="200"/>
        <w:rPr>
          <w:rFonts w:ascii="宋体" w:hAnsi="宋体"/>
          <w:sz w:val="24"/>
        </w:rPr>
      </w:pPr>
      <w:r>
        <w:rPr>
          <w:rFonts w:hint="eastAsia" w:ascii="宋体" w:hAnsi="宋体"/>
          <w:sz w:val="24"/>
        </w:rPr>
        <w:t>（8）将政府采购合同转包或者违规分包；</w:t>
      </w:r>
    </w:p>
    <w:p>
      <w:pPr>
        <w:tabs>
          <w:tab w:val="left" w:pos="851"/>
        </w:tabs>
        <w:spacing w:line="360" w:lineRule="auto"/>
        <w:ind w:firstLine="480" w:firstLineChars="200"/>
        <w:rPr>
          <w:rFonts w:ascii="宋体" w:hAnsi="宋体"/>
          <w:sz w:val="24"/>
        </w:rPr>
      </w:pPr>
      <w:r>
        <w:rPr>
          <w:rFonts w:hint="eastAsia" w:ascii="宋体" w:hAnsi="宋体"/>
          <w:sz w:val="24"/>
        </w:rPr>
        <w:t>（9）提供假冒伪劣产品；</w:t>
      </w:r>
    </w:p>
    <w:p>
      <w:pPr>
        <w:tabs>
          <w:tab w:val="left" w:pos="851"/>
        </w:tabs>
        <w:spacing w:line="360" w:lineRule="auto"/>
        <w:ind w:firstLine="480" w:firstLineChars="200"/>
        <w:rPr>
          <w:rFonts w:ascii="宋体" w:hAnsi="宋体"/>
          <w:sz w:val="24"/>
        </w:rPr>
      </w:pPr>
      <w:r>
        <w:rPr>
          <w:rFonts w:hint="eastAsia" w:ascii="宋体" w:hAnsi="宋体"/>
          <w:sz w:val="24"/>
        </w:rPr>
        <w:t>（10）擅自变更、中止或者终止政府采购合同；</w:t>
      </w:r>
    </w:p>
    <w:p>
      <w:pPr>
        <w:tabs>
          <w:tab w:val="left" w:pos="851"/>
        </w:tabs>
        <w:spacing w:line="360" w:lineRule="auto"/>
        <w:ind w:firstLine="480" w:firstLineChars="200"/>
        <w:rPr>
          <w:rFonts w:ascii="宋体" w:hAnsi="宋体"/>
          <w:sz w:val="24"/>
        </w:rPr>
      </w:pPr>
      <w:r>
        <w:rPr>
          <w:rFonts w:hint="eastAsia" w:ascii="宋体" w:hAnsi="宋体"/>
          <w:sz w:val="24"/>
        </w:rPr>
        <w:t>（11）拒绝有关部门的监督检查或者向监督检查部门提供虚假情况；</w:t>
      </w:r>
    </w:p>
    <w:p>
      <w:pPr>
        <w:tabs>
          <w:tab w:val="left" w:pos="851"/>
        </w:tabs>
        <w:spacing w:line="360" w:lineRule="auto"/>
        <w:ind w:firstLine="480" w:firstLineChars="200"/>
        <w:rPr>
          <w:rFonts w:ascii="宋体" w:hAnsi="宋体"/>
          <w:sz w:val="24"/>
        </w:rPr>
      </w:pPr>
      <w:r>
        <w:rPr>
          <w:rFonts w:hint="eastAsia" w:ascii="宋体" w:hAnsi="宋体"/>
          <w:sz w:val="24"/>
        </w:rPr>
        <w:t>（12）法律法规规定的其他情形。</w:t>
      </w:r>
    </w:p>
    <w:p>
      <w:pPr>
        <w:tabs>
          <w:tab w:val="left" w:pos="851"/>
        </w:tabs>
        <w:spacing w:line="360" w:lineRule="auto"/>
        <w:ind w:firstLine="480" w:firstLineChars="200"/>
        <w:rPr>
          <w:rFonts w:ascii="宋体" w:hAnsi="宋体"/>
          <w:sz w:val="24"/>
        </w:rPr>
      </w:pPr>
      <w:r>
        <w:rPr>
          <w:rFonts w:hint="eastAsia" w:ascii="宋体" w:hAnsi="宋体"/>
          <w:sz w:val="24"/>
        </w:rPr>
        <w:t>供应商有上述情形的，按照规定追究法律责任。</w:t>
      </w:r>
    </w:p>
    <w:p>
      <w:pPr>
        <w:tabs>
          <w:tab w:val="left" w:pos="851"/>
        </w:tabs>
        <w:spacing w:line="360" w:lineRule="auto"/>
        <w:ind w:firstLine="480" w:firstLineChars="200"/>
        <w:rPr>
          <w:rFonts w:ascii="宋体" w:hAnsi="宋体"/>
          <w:sz w:val="24"/>
        </w:rPr>
      </w:pPr>
    </w:p>
    <w:p>
      <w:pPr>
        <w:tabs>
          <w:tab w:val="left" w:pos="851"/>
        </w:tabs>
        <w:spacing w:line="360" w:lineRule="auto"/>
        <w:jc w:val="center"/>
        <w:rPr>
          <w:rFonts w:ascii="宋体" w:hAnsi="宋体"/>
          <w:b/>
          <w:sz w:val="32"/>
          <w:szCs w:val="32"/>
        </w:rPr>
      </w:pPr>
      <w:r>
        <w:rPr>
          <w:rFonts w:hint="eastAsia" w:ascii="宋体" w:hAnsi="宋体"/>
          <w:b/>
          <w:sz w:val="32"/>
          <w:szCs w:val="32"/>
        </w:rPr>
        <w:t>九、询问、质疑和投诉</w:t>
      </w:r>
    </w:p>
    <w:p>
      <w:pPr>
        <w:tabs>
          <w:tab w:val="left" w:pos="851"/>
        </w:tabs>
        <w:spacing w:line="360" w:lineRule="auto"/>
        <w:ind w:firstLine="495"/>
        <w:rPr>
          <w:rFonts w:ascii="宋体" w:hAnsi="宋体"/>
          <w:sz w:val="24"/>
        </w:rPr>
      </w:pPr>
      <w:r>
        <w:rPr>
          <w:rFonts w:ascii="宋体" w:hAnsi="宋体"/>
          <w:sz w:val="24"/>
        </w:rPr>
        <w:t>34</w:t>
      </w:r>
      <w:r>
        <w:rPr>
          <w:rFonts w:hint="eastAsia" w:ascii="宋体" w:hAnsi="宋体"/>
          <w:sz w:val="24"/>
        </w:rPr>
        <w:t>.询问、质疑、投诉的接收和处理严格按照《中华人民共和国政府采购法》 、《中华人民共和国政府采购法实施条例》、《</w:t>
      </w:r>
      <w:r>
        <w:rPr>
          <w:rFonts w:hint="eastAsia" w:ascii="宋体" w:hAnsi="宋体"/>
          <w:bCs/>
          <w:sz w:val="24"/>
        </w:rPr>
        <w:t>政府采购质疑和投诉办法</w:t>
      </w:r>
      <w:r>
        <w:rPr>
          <w:rFonts w:hint="eastAsia" w:ascii="宋体" w:hAnsi="宋体"/>
          <w:sz w:val="24"/>
        </w:rPr>
        <w:t>》的有关规定办理。</w:t>
      </w:r>
    </w:p>
    <w:p>
      <w:pPr>
        <w:tabs>
          <w:tab w:val="left" w:pos="851"/>
        </w:tabs>
        <w:spacing w:line="360" w:lineRule="auto"/>
        <w:jc w:val="center"/>
        <w:rPr>
          <w:rFonts w:ascii="宋体" w:hAnsi="宋体"/>
          <w:sz w:val="24"/>
        </w:rPr>
      </w:pPr>
    </w:p>
    <w:p>
      <w:pPr>
        <w:tabs>
          <w:tab w:val="left" w:pos="851"/>
        </w:tabs>
        <w:spacing w:line="360" w:lineRule="auto"/>
        <w:jc w:val="center"/>
        <w:rPr>
          <w:rFonts w:ascii="宋体" w:hAnsi="宋体"/>
          <w:b/>
          <w:sz w:val="32"/>
          <w:szCs w:val="32"/>
        </w:rPr>
      </w:pPr>
      <w:r>
        <w:rPr>
          <w:rFonts w:hint="eastAsia" w:ascii="宋体" w:hAnsi="宋体"/>
          <w:b/>
          <w:sz w:val="32"/>
          <w:szCs w:val="32"/>
        </w:rPr>
        <w:t>十、其  他</w:t>
      </w:r>
    </w:p>
    <w:p>
      <w:pPr>
        <w:tabs>
          <w:tab w:val="left" w:pos="851"/>
        </w:tabs>
        <w:spacing w:line="360" w:lineRule="auto"/>
        <w:jc w:val="center"/>
        <w:rPr>
          <w:rFonts w:ascii="宋体" w:hAnsi="宋体"/>
          <w:sz w:val="24"/>
        </w:rPr>
      </w:pPr>
    </w:p>
    <w:p>
      <w:pPr>
        <w:spacing w:line="360" w:lineRule="auto"/>
        <w:ind w:firstLine="480" w:firstLineChars="200"/>
        <w:rPr>
          <w:rFonts w:ascii="宋体" w:hAnsi="宋体"/>
          <w:sz w:val="24"/>
        </w:rPr>
        <w:sectPr>
          <w:footerReference r:id="rId3" w:type="default"/>
          <w:footerReference r:id="rId4" w:type="even"/>
          <w:type w:val="continuous"/>
          <w:pgSz w:w="11906" w:h="16838"/>
          <w:pgMar w:top="1440" w:right="1080" w:bottom="1440" w:left="1080" w:header="851" w:footer="992" w:gutter="0"/>
          <w:pgNumType w:start="0"/>
          <w:cols w:space="720" w:num="1"/>
          <w:titlePg/>
          <w:docGrid w:linePitch="326" w:charSpace="0"/>
        </w:sectPr>
      </w:pPr>
      <w:r>
        <w:rPr>
          <w:rFonts w:ascii="宋体" w:hAnsi="宋体"/>
          <w:sz w:val="24"/>
        </w:rPr>
        <w:t>35</w:t>
      </w:r>
      <w:r>
        <w:rPr>
          <w:rFonts w:hint="eastAsia" w:ascii="宋体" w:hAnsi="宋体"/>
          <w:sz w:val="24"/>
        </w:rPr>
        <w:t>.</w:t>
      </w:r>
      <w:r>
        <w:rPr>
          <w:rFonts w:hint="eastAsia" w:ascii="宋体" w:hAnsi="宋体"/>
          <w:b/>
          <w:sz w:val="24"/>
        </w:rPr>
        <w:t>（实质性要求）</w:t>
      </w:r>
      <w:r>
        <w:rPr>
          <w:rFonts w:ascii="宋体" w:hAnsi="宋体"/>
          <w:sz w:val="24"/>
        </w:rPr>
        <w:t>国家</w:t>
      </w:r>
      <w:r>
        <w:rPr>
          <w:rFonts w:hint="eastAsia" w:ascii="宋体" w:hAnsi="宋体"/>
          <w:sz w:val="24"/>
        </w:rPr>
        <w:t>或行业主管部门</w:t>
      </w:r>
      <w:r>
        <w:rPr>
          <w:rFonts w:ascii="宋体" w:hAnsi="宋体"/>
          <w:sz w:val="24"/>
        </w:rPr>
        <w:t>对</w:t>
      </w:r>
      <w:r>
        <w:rPr>
          <w:rFonts w:hint="eastAsia" w:ascii="宋体" w:hAnsi="宋体"/>
          <w:sz w:val="24"/>
        </w:rPr>
        <w:t>采购产品的</w:t>
      </w:r>
      <w:r>
        <w:rPr>
          <w:rFonts w:ascii="宋体" w:hAnsi="宋体"/>
          <w:sz w:val="24"/>
        </w:rPr>
        <w:t>技术</w:t>
      </w:r>
      <w:r>
        <w:rPr>
          <w:rFonts w:hint="eastAsia" w:ascii="宋体" w:hAnsi="宋体"/>
          <w:sz w:val="24"/>
        </w:rPr>
        <w:t>标准、</w:t>
      </w:r>
      <w:r>
        <w:rPr>
          <w:rFonts w:ascii="宋体" w:hAnsi="宋体"/>
          <w:sz w:val="24"/>
        </w:rPr>
        <w:t>质量</w:t>
      </w:r>
      <w:r>
        <w:rPr>
          <w:rFonts w:hint="eastAsia" w:ascii="宋体" w:hAnsi="宋体"/>
          <w:sz w:val="24"/>
        </w:rPr>
        <w:t>标准和资格资质条件</w:t>
      </w:r>
      <w:r>
        <w:rPr>
          <w:rFonts w:ascii="宋体" w:hAnsi="宋体"/>
          <w:sz w:val="24"/>
        </w:rPr>
        <w:t>等有</w:t>
      </w:r>
      <w:r>
        <w:rPr>
          <w:rFonts w:hint="eastAsia" w:ascii="宋体" w:hAnsi="宋体"/>
          <w:sz w:val="24"/>
        </w:rPr>
        <w:t>强制性规定</w:t>
      </w:r>
      <w:r>
        <w:rPr>
          <w:rFonts w:ascii="宋体" w:hAnsi="宋体"/>
          <w:sz w:val="24"/>
        </w:rPr>
        <w:t>的</w:t>
      </w:r>
      <w:r>
        <w:rPr>
          <w:rFonts w:hint="eastAsia" w:ascii="宋体" w:hAnsi="宋体"/>
          <w:sz w:val="24"/>
        </w:rPr>
        <w:t>，必须符合其要求。</w:t>
      </w:r>
    </w:p>
    <w:p>
      <w:pPr>
        <w:pStyle w:val="37"/>
        <w:rPr>
          <w:rFonts w:ascii="宋体" w:hAnsi="宋体" w:eastAsia="宋体"/>
        </w:rPr>
      </w:pPr>
      <w:bookmarkStart w:id="74" w:name="_Toc509579142"/>
      <w:bookmarkStart w:id="75" w:name="_Toc511289482"/>
      <w:r>
        <w:rPr>
          <w:rFonts w:hint="eastAsia" w:ascii="宋体" w:hAnsi="宋体" w:eastAsia="宋体"/>
        </w:rPr>
        <w:t>第三章  供应商的资格、资质性及其他类似效力要求</w:t>
      </w:r>
      <w:bookmarkEnd w:id="74"/>
      <w:bookmarkEnd w:id="75"/>
    </w:p>
    <w:p>
      <w:pPr>
        <w:spacing w:line="360" w:lineRule="auto"/>
        <w:rPr>
          <w:rFonts w:ascii="宋体" w:hAnsi="宋体"/>
          <w:b/>
          <w:sz w:val="32"/>
          <w:szCs w:val="32"/>
        </w:rPr>
      </w:pPr>
    </w:p>
    <w:p>
      <w:pPr>
        <w:spacing w:line="360" w:lineRule="auto"/>
        <w:ind w:firstLine="540" w:firstLineChars="225"/>
        <w:rPr>
          <w:rFonts w:ascii="宋体" w:hAnsi="宋体"/>
          <w:sz w:val="24"/>
        </w:rPr>
      </w:pPr>
      <w:r>
        <w:rPr>
          <w:rFonts w:hint="eastAsia" w:ascii="宋体" w:hAnsi="宋体"/>
          <w:sz w:val="24"/>
        </w:rPr>
        <w:t>一、参加磋商的供应商应具备下列资格条件：</w:t>
      </w:r>
    </w:p>
    <w:p>
      <w:pPr>
        <w:spacing w:line="360" w:lineRule="auto"/>
        <w:ind w:firstLine="542" w:firstLineChars="225"/>
        <w:rPr>
          <w:rFonts w:ascii="宋体" w:hAnsi="宋体"/>
          <w:b/>
          <w:sz w:val="24"/>
        </w:rPr>
      </w:pPr>
      <w:r>
        <w:rPr>
          <w:rFonts w:hint="eastAsia" w:ascii="宋体" w:hAnsi="宋体"/>
          <w:b/>
          <w:sz w:val="24"/>
        </w:rPr>
        <w:t>（一）资格条件：</w:t>
      </w:r>
    </w:p>
    <w:p>
      <w:pPr>
        <w:ind w:firstLine="540" w:firstLineChars="225"/>
        <w:rPr>
          <w:rFonts w:ascii="宋体" w:hAnsi="宋体"/>
          <w:sz w:val="24"/>
        </w:rPr>
      </w:pPr>
      <w:r>
        <w:rPr>
          <w:rFonts w:hint="eastAsia" w:ascii="宋体" w:hAnsi="宋体"/>
          <w:sz w:val="24"/>
        </w:rPr>
        <w:t>1、</w:t>
      </w:r>
      <w:r>
        <w:rPr>
          <w:rFonts w:hint="eastAsia" w:ascii="宋体" w:hAnsi="宋体" w:cs="宋体"/>
          <w:sz w:val="24"/>
        </w:rPr>
        <w:t>满足《中华人民共和国政府采购法》第二十二条规定</w:t>
      </w:r>
      <w:r>
        <w:rPr>
          <w:rFonts w:ascii="宋体" w:hAnsi="宋体" w:cs="宋体"/>
          <w:sz w:val="24"/>
        </w:rPr>
        <w:t>；</w:t>
      </w:r>
    </w:p>
    <w:p>
      <w:pPr>
        <w:ind w:firstLine="540" w:firstLineChars="225"/>
        <w:rPr>
          <w:rFonts w:ascii="宋体" w:hAnsi="宋体"/>
          <w:sz w:val="24"/>
        </w:rPr>
      </w:pPr>
      <w:r>
        <w:rPr>
          <w:rFonts w:hint="eastAsia" w:ascii="宋体" w:hAnsi="宋体"/>
          <w:sz w:val="24"/>
        </w:rPr>
        <w:t>2、落实政府采购政策需满足的资格要求：无</w:t>
      </w:r>
      <w:r>
        <w:rPr>
          <w:rFonts w:ascii="宋体" w:hAnsi="宋体"/>
          <w:sz w:val="24"/>
        </w:rPr>
        <w:t>。</w:t>
      </w:r>
    </w:p>
    <w:p>
      <w:pPr>
        <w:ind w:firstLine="540" w:firstLineChars="225"/>
        <w:rPr>
          <w:rFonts w:ascii="宋体" w:hAnsi="宋体" w:cs="宋体"/>
          <w:sz w:val="24"/>
        </w:rPr>
      </w:pPr>
      <w:r>
        <w:rPr>
          <w:rFonts w:ascii="宋体" w:hAnsi="宋体"/>
          <w:sz w:val="24"/>
        </w:rPr>
        <w:t>3</w:t>
      </w:r>
      <w:r>
        <w:rPr>
          <w:rFonts w:hint="eastAsia" w:ascii="宋体" w:hAnsi="宋体"/>
          <w:sz w:val="24"/>
        </w:rPr>
        <w:t>、</w:t>
      </w:r>
      <w:r>
        <w:rPr>
          <w:rFonts w:hint="eastAsia" w:ascii="宋体" w:hAnsi="宋体" w:cs="宋体"/>
          <w:sz w:val="24"/>
        </w:rPr>
        <w:t>本项目的特定资格要求：</w:t>
      </w:r>
    </w:p>
    <w:p>
      <w:pPr>
        <w:pStyle w:val="53"/>
        <w:spacing w:line="440" w:lineRule="exact"/>
        <w:ind w:firstLine="600" w:firstLineChars="250"/>
        <w:rPr>
          <w:rFonts w:ascii="宋体" w:hAnsi="宋体"/>
          <w:sz w:val="24"/>
        </w:rPr>
      </w:pPr>
      <w:r>
        <w:rPr>
          <w:rFonts w:hint="eastAsia" w:ascii="宋体" w:hAnsi="宋体" w:cs="宋体"/>
          <w:sz w:val="24"/>
        </w:rPr>
        <w:t xml:space="preserve">    </w:t>
      </w:r>
      <w:r>
        <w:rPr>
          <w:rFonts w:ascii="宋体" w:hAnsi="宋体" w:cs="宋体"/>
          <w:sz w:val="24"/>
        </w:rPr>
        <w:t>3.1</w:t>
      </w:r>
      <w:r>
        <w:rPr>
          <w:rFonts w:hint="eastAsia" w:ascii="宋体" w:hAnsi="宋体"/>
          <w:sz w:val="24"/>
        </w:rPr>
        <w:t>供应商须提供“截至递交响应文件截止日未被列入失信被执行人、税收违法黑名单、政府采购严重违法失信行为记录名单的承诺函”。</w:t>
      </w:r>
    </w:p>
    <w:p>
      <w:pPr>
        <w:spacing w:line="360" w:lineRule="auto"/>
        <w:ind w:firstLine="540" w:firstLineChars="225"/>
        <w:rPr>
          <w:rFonts w:ascii="宋体" w:hAnsi="宋体"/>
          <w:sz w:val="24"/>
        </w:rPr>
      </w:pPr>
      <w:r>
        <w:rPr>
          <w:rFonts w:hint="eastAsia" w:ascii="宋体" w:hAnsi="宋体"/>
          <w:sz w:val="24"/>
        </w:rPr>
        <w:t>注：将于资格审查时在‘信用中国’网站、 ‘中国政府采购网’网站等渠道对供应商进行信用记录查询，并将查询记录存档。凡被列入失信被执行人、税收违法黑名单、政府采购严重违法失信行为记录名单的，视为存在不良信用记录，参与本项目的将被视为无效响应。（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53"/>
        <w:spacing w:line="420" w:lineRule="exact"/>
        <w:ind w:firstLine="960" w:firstLineChars="400"/>
        <w:rPr>
          <w:rFonts w:ascii="宋体" w:hAnsi="宋体" w:cs="宋体"/>
          <w:sz w:val="24"/>
        </w:rPr>
      </w:pPr>
      <w:r>
        <w:rPr>
          <w:rFonts w:hint="eastAsia" w:ascii="宋体" w:hAnsi="宋体" w:cs="宋体"/>
          <w:sz w:val="24"/>
        </w:rPr>
        <w:t>3.2设计：具有省级及以上建设主管部门颁发的工程设计综合资质或建筑行业（建筑工程）设计乙级及以上设计资质；</w:t>
      </w:r>
    </w:p>
    <w:p>
      <w:pPr>
        <w:pStyle w:val="53"/>
        <w:spacing w:line="420" w:lineRule="exact"/>
        <w:ind w:firstLine="960" w:firstLineChars="400"/>
        <w:rPr>
          <w:rFonts w:ascii="宋体" w:hAnsi="宋体" w:cs="宋体"/>
          <w:sz w:val="24"/>
        </w:rPr>
      </w:pPr>
      <w:r>
        <w:rPr>
          <w:rFonts w:hint="eastAsia" w:ascii="宋体" w:hAnsi="宋体" w:cs="宋体"/>
          <w:sz w:val="24"/>
        </w:rPr>
        <w:t>3.3施工：独立法人资格,具备国家行政主管部门颁发的电子与智能化工程专业承包贰级及以上和建筑装修装饰工程专业承包贰级及以上施工资质，企业注册地不在四川省行政区域内的省外企业须提供在有效期内的四川省住房和城乡建设厅官网已公开的入川信息网页截图，并具有安全生产许可证；</w:t>
      </w:r>
    </w:p>
    <w:p>
      <w:pPr>
        <w:pStyle w:val="53"/>
        <w:spacing w:line="420" w:lineRule="exact"/>
        <w:ind w:firstLine="960" w:firstLineChars="400"/>
        <w:rPr>
          <w:rFonts w:ascii="宋体" w:hAnsi="宋体" w:cs="宋体"/>
          <w:sz w:val="24"/>
        </w:rPr>
      </w:pPr>
      <w:r>
        <w:rPr>
          <w:rFonts w:hint="eastAsia" w:ascii="宋体" w:hAnsi="宋体" w:cs="宋体"/>
          <w:sz w:val="24"/>
        </w:rPr>
        <w:t>3.4</w:t>
      </w:r>
      <w:r>
        <w:rPr>
          <w:rFonts w:hint="eastAsia"/>
          <w:spacing w:val="1"/>
          <w:sz w:val="24"/>
        </w:rPr>
        <w:t>施工负责</w:t>
      </w:r>
      <w:r>
        <w:rPr>
          <w:spacing w:val="1"/>
          <w:sz w:val="24"/>
        </w:rPr>
        <w:t>人</w:t>
      </w:r>
      <w:r>
        <w:rPr>
          <w:rFonts w:hint="eastAsia"/>
          <w:spacing w:val="1"/>
          <w:sz w:val="24"/>
        </w:rPr>
        <w:t>(项目经理)</w:t>
      </w:r>
      <w:r>
        <w:rPr>
          <w:spacing w:val="1"/>
          <w:sz w:val="24"/>
        </w:rPr>
        <w:t>具有</w:t>
      </w:r>
      <w:r>
        <w:rPr>
          <w:rFonts w:hint="eastAsia"/>
          <w:spacing w:val="1"/>
          <w:sz w:val="24"/>
        </w:rPr>
        <w:t>机电工程专业二级及以上建造师；设计负责人具备二级及以上注册建筑师；</w:t>
      </w:r>
    </w:p>
    <w:p>
      <w:pPr>
        <w:spacing w:line="360" w:lineRule="auto"/>
        <w:ind w:firstLine="540" w:firstLineChars="225"/>
        <w:rPr>
          <w:rFonts w:ascii="宋体" w:hAnsi="宋体"/>
          <w:sz w:val="24"/>
        </w:rPr>
      </w:pPr>
      <w:r>
        <w:rPr>
          <w:rFonts w:hint="eastAsia" w:ascii="宋体" w:hAnsi="宋体"/>
          <w:sz w:val="24"/>
        </w:rPr>
        <w:t>4、本项目</w:t>
      </w:r>
      <w:r>
        <w:rPr>
          <w:rFonts w:hint="eastAsia" w:ascii="宋体" w:hAnsi="宋体"/>
          <w:b/>
          <w:sz w:val="24"/>
          <w:u w:val="single"/>
        </w:rPr>
        <w:t>接受</w:t>
      </w:r>
      <w:r>
        <w:rPr>
          <w:rFonts w:hint="eastAsia" w:ascii="宋体" w:hAnsi="宋体"/>
          <w:sz w:val="24"/>
        </w:rPr>
        <w:t>联合体参与采购活动：①联合体牵头人应具备建设行政主管部门颁发的</w:t>
      </w:r>
      <w:r>
        <w:rPr>
          <w:rFonts w:hint="eastAsia" w:ascii="宋体" w:hAnsi="宋体" w:cs="宋体"/>
          <w:sz w:val="24"/>
        </w:rPr>
        <w:t>电子与智能化工程专业承包贰</w:t>
      </w:r>
      <w:r>
        <w:rPr>
          <w:rFonts w:hint="eastAsia" w:ascii="宋体" w:hAnsi="宋体"/>
          <w:sz w:val="24"/>
        </w:rPr>
        <w:t xml:space="preserve">级及以上资质；②组成联合体的成员家数最多不超过 </w:t>
      </w:r>
      <w:r>
        <w:rPr>
          <w:rFonts w:ascii="宋体" w:hAnsi="宋体"/>
          <w:sz w:val="24"/>
        </w:rPr>
        <w:t>3</w:t>
      </w:r>
      <w:r>
        <w:rPr>
          <w:rFonts w:hint="eastAsia" w:ascii="宋体" w:hAnsi="宋体"/>
          <w:sz w:val="24"/>
        </w:rPr>
        <w:t xml:space="preserve"> 家；③ 联合体各方应签订联合体协议书，明确联合体牵头人和各方权利义务。④组成联合体投标应符合相关法律法规对联合体投标的有关规定，联合体各方不得再以自己名义单独或参加其他联合体在同一工程项目中投标。</w:t>
      </w:r>
    </w:p>
    <w:p>
      <w:pPr>
        <w:spacing w:line="360" w:lineRule="auto"/>
        <w:ind w:firstLine="540" w:firstLineChars="225"/>
        <w:rPr>
          <w:rFonts w:ascii="宋体" w:hAnsi="宋体"/>
          <w:sz w:val="24"/>
        </w:rPr>
      </w:pPr>
      <w:r>
        <w:rPr>
          <w:rFonts w:hint="eastAsia" w:ascii="宋体" w:hAnsi="宋体"/>
          <w:sz w:val="24"/>
        </w:rPr>
        <w:t xml:space="preserve">（二）其他类似效力要求： </w:t>
      </w:r>
    </w:p>
    <w:p>
      <w:pPr>
        <w:spacing w:line="360" w:lineRule="auto"/>
        <w:ind w:firstLine="540" w:firstLineChars="225"/>
        <w:rPr>
          <w:rFonts w:ascii="宋体" w:hAnsi="宋体"/>
          <w:sz w:val="24"/>
        </w:rPr>
      </w:pPr>
      <w:r>
        <w:rPr>
          <w:rFonts w:ascii="宋体" w:hAnsi="宋体"/>
          <w:sz w:val="24"/>
        </w:rPr>
        <w:t>1</w:t>
      </w:r>
      <w:r>
        <w:rPr>
          <w:rFonts w:hint="eastAsia" w:ascii="宋体" w:hAnsi="宋体"/>
          <w:sz w:val="24"/>
        </w:rPr>
        <w:t>.授权参加本次采购活动的供应商代表证明材料。</w:t>
      </w:r>
    </w:p>
    <w:p>
      <w:pPr>
        <w:spacing w:line="360" w:lineRule="auto"/>
        <w:ind w:firstLine="540" w:firstLineChars="225"/>
        <w:rPr>
          <w:rFonts w:ascii="宋体" w:hAnsi="宋体"/>
          <w:b/>
          <w:sz w:val="24"/>
        </w:rPr>
      </w:pPr>
      <w:r>
        <w:rPr>
          <w:rFonts w:hint="eastAsia" w:ascii="宋体" w:hAnsi="宋体"/>
          <w:sz w:val="24"/>
        </w:rPr>
        <w:t>2.磋商</w:t>
      </w:r>
      <w:r>
        <w:rPr>
          <w:rFonts w:ascii="宋体" w:hAnsi="宋体"/>
          <w:sz w:val="24"/>
        </w:rPr>
        <w:t>保证金证明</w:t>
      </w:r>
      <w:r>
        <w:rPr>
          <w:rFonts w:hint="eastAsia" w:ascii="宋体" w:hAnsi="宋体"/>
          <w:sz w:val="24"/>
        </w:rPr>
        <w:t>材料</w:t>
      </w:r>
      <w:r>
        <w:rPr>
          <w:rFonts w:ascii="宋体" w:hAnsi="宋体"/>
          <w:sz w:val="24"/>
        </w:rPr>
        <w:t>。</w:t>
      </w:r>
    </w:p>
    <w:p>
      <w:pPr>
        <w:spacing w:line="360" w:lineRule="auto"/>
        <w:ind w:firstLine="540" w:firstLineChars="225"/>
        <w:rPr>
          <w:rFonts w:ascii="宋体" w:hAnsi="宋体"/>
          <w:sz w:val="24"/>
        </w:rPr>
      </w:pPr>
      <w:r>
        <w:rPr>
          <w:rFonts w:hint="eastAsia" w:ascii="宋体" w:hAnsi="宋体"/>
          <w:sz w:val="24"/>
        </w:rPr>
        <w:t>注：本章所称“重大违法记录”，是指供应商因违法经营受到刑事处罚或者责令停产停业、吊销许可证或者执照、较大数额罚款等行政处罚。（“较大数额罚款”的金额标准是指：2</w:t>
      </w:r>
      <w:r>
        <w:rPr>
          <w:rFonts w:ascii="宋体" w:hAnsi="宋体"/>
          <w:sz w:val="24"/>
        </w:rPr>
        <w:t>00</w:t>
      </w:r>
      <w:r>
        <w:rPr>
          <w:rFonts w:hint="eastAsia" w:ascii="宋体" w:hAnsi="宋体"/>
          <w:sz w:val="24"/>
        </w:rPr>
        <w:t>万元</w:t>
      </w:r>
      <w:r>
        <w:rPr>
          <w:rFonts w:ascii="宋体" w:hAnsi="宋体"/>
          <w:sz w:val="24"/>
        </w:rPr>
        <w:t>以上</w:t>
      </w:r>
      <w:r>
        <w:rPr>
          <w:rFonts w:hint="eastAsia" w:ascii="宋体" w:hAnsi="宋体"/>
          <w:sz w:val="24"/>
        </w:rPr>
        <w:t>。）</w:t>
      </w:r>
    </w:p>
    <w:p>
      <w:pPr>
        <w:widowControl/>
        <w:jc w:val="left"/>
        <w:rPr>
          <w:rFonts w:ascii="宋体" w:hAnsi="宋体"/>
          <w:sz w:val="24"/>
        </w:rPr>
      </w:pPr>
      <w:r>
        <w:rPr>
          <w:rFonts w:ascii="宋体" w:hAnsi="宋体"/>
          <w:sz w:val="24"/>
        </w:rPr>
        <w:br w:type="page"/>
      </w:r>
    </w:p>
    <w:p>
      <w:pPr>
        <w:spacing w:line="360" w:lineRule="auto"/>
        <w:ind w:firstLine="540" w:firstLineChars="225"/>
        <w:rPr>
          <w:rFonts w:ascii="宋体" w:hAnsi="宋体"/>
          <w:sz w:val="24"/>
        </w:rPr>
      </w:pPr>
    </w:p>
    <w:p>
      <w:pPr>
        <w:pStyle w:val="37"/>
        <w:rPr>
          <w:rFonts w:ascii="宋体" w:hAnsi="宋体" w:eastAsia="宋体"/>
          <w:sz w:val="28"/>
          <w:szCs w:val="28"/>
        </w:rPr>
      </w:pPr>
      <w:bookmarkStart w:id="76" w:name="_Toc509579143"/>
      <w:bookmarkStart w:id="77" w:name="_Toc511289483"/>
      <w:r>
        <w:rPr>
          <w:rFonts w:hint="eastAsia" w:ascii="宋体" w:hAnsi="宋体" w:eastAsia="宋体"/>
        </w:rPr>
        <w:t>第四章  供应商应当提供的资格、资质性及其他类似效力要求的相关证明材料</w:t>
      </w:r>
      <w:bookmarkEnd w:id="76"/>
      <w:bookmarkEnd w:id="77"/>
    </w:p>
    <w:p>
      <w:pPr>
        <w:spacing w:line="360" w:lineRule="auto"/>
        <w:ind w:firstLine="538"/>
        <w:rPr>
          <w:rFonts w:ascii="宋体" w:hAnsi="宋体"/>
          <w:sz w:val="28"/>
          <w:szCs w:val="28"/>
        </w:rPr>
      </w:pPr>
    </w:p>
    <w:p>
      <w:pPr>
        <w:spacing w:line="360" w:lineRule="auto"/>
        <w:ind w:firstLine="472" w:firstLineChars="196"/>
        <w:rPr>
          <w:rFonts w:ascii="宋体" w:hAnsi="宋体"/>
          <w:b/>
          <w:sz w:val="24"/>
        </w:rPr>
      </w:pPr>
      <w:r>
        <w:rPr>
          <w:rFonts w:ascii="宋体" w:hAnsi="宋体"/>
          <w:b/>
          <w:sz w:val="24"/>
        </w:rPr>
        <w:t>一、</w:t>
      </w:r>
      <w:r>
        <w:rPr>
          <w:rFonts w:hint="eastAsia" w:ascii="宋体" w:hAnsi="宋体"/>
          <w:b/>
          <w:sz w:val="24"/>
        </w:rPr>
        <w:t>应当提供的供应商资格、资质性及其他类似效力要求的相关证明材料</w:t>
      </w:r>
    </w:p>
    <w:p>
      <w:pPr>
        <w:spacing w:line="360" w:lineRule="auto"/>
        <w:ind w:firstLine="236" w:firstLineChars="98"/>
        <w:rPr>
          <w:rFonts w:ascii="宋体" w:hAnsi="宋体"/>
          <w:b/>
          <w:bCs/>
          <w:sz w:val="24"/>
        </w:rPr>
      </w:pPr>
      <w:r>
        <w:rPr>
          <w:rFonts w:hint="eastAsia" w:ascii="宋体" w:hAnsi="宋体"/>
          <w:b/>
          <w:bCs/>
          <w:sz w:val="24"/>
        </w:rPr>
        <w:t>（一）资格要求相关证明材料：</w:t>
      </w:r>
    </w:p>
    <w:p>
      <w:pPr>
        <w:spacing w:line="360" w:lineRule="auto"/>
        <w:ind w:firstLine="470" w:firstLineChars="196"/>
        <w:rPr>
          <w:rFonts w:ascii="宋体" w:hAnsi="宋体"/>
          <w:sz w:val="24"/>
        </w:rPr>
      </w:pPr>
      <w:r>
        <w:rPr>
          <w:rFonts w:hint="eastAsia" w:ascii="宋体" w:hAnsi="宋体"/>
          <w:sz w:val="24"/>
        </w:rPr>
        <w:t>1、具有独立承担民事责任的能力。（注：①供应商若为企业法人：提供“统一社会信用代码营业执照”；未换证的提供“营业执照、税务登记证、组织机构代码证或三证合一的营业执照”；②若为事业法人：提供“统一社会信用代码法人登记证书”；未换证的提交“事业法人登记证书、组织机构代码证”；③若为其他组织：提供“对应主管部门颁发的准许执业证明文件或营业执照”；④若为自然人：提供“身份证明材料”。（</w:t>
      </w:r>
      <w:r>
        <w:rPr>
          <w:rFonts w:hint="eastAsia" w:ascii="宋体" w:hAnsi="宋体"/>
          <w:b/>
          <w:sz w:val="24"/>
        </w:rPr>
        <w:t>以上均提供复印件，</w:t>
      </w:r>
      <w:r>
        <w:rPr>
          <w:rFonts w:ascii="宋体" w:hAnsi="宋体"/>
          <w:b/>
          <w:sz w:val="24"/>
        </w:rPr>
        <w:t>联合体</w:t>
      </w:r>
      <w:r>
        <w:rPr>
          <w:rFonts w:hint="eastAsia" w:ascii="宋体" w:hAnsi="宋体"/>
          <w:b/>
          <w:sz w:val="24"/>
        </w:rPr>
        <w:t>参与</w:t>
      </w:r>
      <w:r>
        <w:rPr>
          <w:rFonts w:ascii="宋体" w:hAnsi="宋体"/>
          <w:b/>
          <w:sz w:val="24"/>
        </w:rPr>
        <w:t>的，</w:t>
      </w:r>
      <w:r>
        <w:rPr>
          <w:rFonts w:hint="eastAsia" w:ascii="宋体" w:hAnsi="宋体"/>
          <w:b/>
          <w:sz w:val="24"/>
        </w:rPr>
        <w:t>各</w:t>
      </w:r>
      <w:r>
        <w:rPr>
          <w:rFonts w:ascii="宋体" w:hAnsi="宋体"/>
          <w:b/>
          <w:sz w:val="24"/>
        </w:rPr>
        <w:t>方都须提供</w:t>
      </w:r>
      <w:r>
        <w:rPr>
          <w:rFonts w:hint="eastAsia" w:ascii="宋体" w:hAnsi="宋体"/>
          <w:sz w:val="24"/>
        </w:rPr>
        <w:t>）。</w:t>
      </w:r>
    </w:p>
    <w:p>
      <w:pPr>
        <w:spacing w:line="360" w:lineRule="auto"/>
        <w:ind w:firstLine="470" w:firstLineChars="196"/>
        <w:rPr>
          <w:rFonts w:ascii="宋体" w:hAnsi="宋体"/>
          <w:sz w:val="24"/>
        </w:rPr>
      </w:pPr>
      <w:r>
        <w:rPr>
          <w:rFonts w:hint="eastAsia" w:ascii="宋体" w:hAnsi="宋体"/>
          <w:sz w:val="24"/>
        </w:rPr>
        <w:t>2、具备良好商业信誉的证明材料（可提供承诺函，格式详见第七章）；（</w:t>
      </w:r>
      <w:r>
        <w:rPr>
          <w:rFonts w:hint="eastAsia" w:ascii="宋体" w:hAnsi="宋体"/>
          <w:b/>
          <w:sz w:val="24"/>
        </w:rPr>
        <w:t>联合体参与的，各方都须提供</w:t>
      </w:r>
      <w:r>
        <w:rPr>
          <w:rFonts w:hint="eastAsia" w:ascii="宋体" w:hAnsi="宋体"/>
          <w:sz w:val="24"/>
        </w:rPr>
        <w:t>）</w:t>
      </w:r>
      <w:r>
        <w:rPr>
          <w:rFonts w:ascii="宋体" w:hAnsi="宋体"/>
          <w:sz w:val="24"/>
        </w:rPr>
        <w:t>。</w:t>
      </w:r>
    </w:p>
    <w:p>
      <w:pPr>
        <w:spacing w:line="360" w:lineRule="auto"/>
        <w:ind w:firstLine="470" w:firstLineChars="196"/>
        <w:rPr>
          <w:rFonts w:ascii="宋体" w:hAnsi="宋体"/>
          <w:sz w:val="24"/>
        </w:rPr>
      </w:pPr>
      <w:r>
        <w:rPr>
          <w:rFonts w:hint="eastAsia" w:ascii="宋体" w:hAnsi="宋体"/>
          <w:sz w:val="24"/>
        </w:rPr>
        <w:t>3、具备健全的财务会计制度的证明材料。｛注：①可提供20</w:t>
      </w:r>
      <w:r>
        <w:rPr>
          <w:rFonts w:ascii="宋体" w:hAnsi="宋体"/>
          <w:sz w:val="24"/>
        </w:rPr>
        <w:t>20</w:t>
      </w:r>
      <w:r>
        <w:rPr>
          <w:rFonts w:hint="eastAsia" w:ascii="宋体" w:hAnsi="宋体"/>
          <w:sz w:val="24"/>
        </w:rPr>
        <w:t>或20</w:t>
      </w:r>
      <w:r>
        <w:rPr>
          <w:rFonts w:ascii="宋体" w:hAnsi="宋体"/>
          <w:sz w:val="24"/>
        </w:rPr>
        <w:t>21</w:t>
      </w:r>
      <w:r>
        <w:rPr>
          <w:rFonts w:hint="eastAsia" w:ascii="宋体" w:hAnsi="宋体"/>
          <w:sz w:val="24"/>
        </w:rPr>
        <w:t>年度经审计的财务报告复印件（包含审计报告和审计报告中所涉及的财务报表和报表附注），②也可提供20</w:t>
      </w:r>
      <w:r>
        <w:rPr>
          <w:rFonts w:ascii="宋体" w:hAnsi="宋体"/>
          <w:sz w:val="24"/>
        </w:rPr>
        <w:t>20</w:t>
      </w:r>
      <w:r>
        <w:rPr>
          <w:rFonts w:hint="eastAsia" w:ascii="宋体" w:hAnsi="宋体"/>
          <w:sz w:val="24"/>
        </w:rPr>
        <w:t>或20</w:t>
      </w:r>
      <w:r>
        <w:rPr>
          <w:rFonts w:ascii="宋体" w:hAnsi="宋体"/>
          <w:sz w:val="24"/>
        </w:rPr>
        <w:t>21</w:t>
      </w:r>
      <w:r>
        <w:rPr>
          <w:rFonts w:hint="eastAsia" w:ascii="宋体" w:hAnsi="宋体"/>
          <w:sz w:val="24"/>
        </w:rPr>
        <w:t>年度供应商内部的财务报表复印件（至少包含资产负债表），③也可提供截至响应文件递交截止日一年内银行出具的资信证明（复印件），④供应商注册时间截至响应文件递交截止日不足一年的，也可提供加盖工商备案主管部门印章的公司章程复印件。｝（</w:t>
      </w:r>
      <w:r>
        <w:rPr>
          <w:rFonts w:hint="eastAsia" w:ascii="宋体" w:hAnsi="宋体"/>
          <w:b/>
          <w:sz w:val="24"/>
        </w:rPr>
        <w:t>联合体参与的，各方都须提供</w:t>
      </w:r>
      <w:r>
        <w:rPr>
          <w:rFonts w:hint="eastAsia" w:ascii="宋体" w:hAnsi="宋体"/>
          <w:sz w:val="24"/>
        </w:rPr>
        <w:t>）</w:t>
      </w:r>
      <w:r>
        <w:rPr>
          <w:rFonts w:ascii="宋体" w:hAnsi="宋体"/>
          <w:sz w:val="24"/>
        </w:rPr>
        <w:t>。</w:t>
      </w:r>
    </w:p>
    <w:p>
      <w:pPr>
        <w:spacing w:line="360" w:lineRule="auto"/>
        <w:ind w:firstLine="470" w:firstLineChars="196"/>
        <w:rPr>
          <w:rFonts w:ascii="宋体" w:hAnsi="宋体"/>
          <w:sz w:val="24"/>
        </w:rPr>
      </w:pPr>
      <w:r>
        <w:rPr>
          <w:rFonts w:hint="eastAsia" w:ascii="宋体" w:hAnsi="宋体"/>
          <w:sz w:val="24"/>
        </w:rPr>
        <w:t>4、具有依法缴纳税收和社会保障资金的良好记录（可提供承诺函，格式详见第七章）；（</w:t>
      </w:r>
      <w:r>
        <w:rPr>
          <w:rFonts w:hint="eastAsia" w:ascii="宋体" w:hAnsi="宋体"/>
          <w:b/>
          <w:sz w:val="24"/>
        </w:rPr>
        <w:t>联合体参与的，各方都须提供</w:t>
      </w:r>
      <w:r>
        <w:rPr>
          <w:rFonts w:hint="eastAsia" w:ascii="宋体" w:hAnsi="宋体"/>
          <w:sz w:val="24"/>
        </w:rPr>
        <w:t>）</w:t>
      </w:r>
      <w:r>
        <w:rPr>
          <w:rFonts w:ascii="宋体" w:hAnsi="宋体"/>
          <w:sz w:val="24"/>
        </w:rPr>
        <w:t xml:space="preserve">。 </w:t>
      </w:r>
    </w:p>
    <w:p>
      <w:pPr>
        <w:spacing w:line="360" w:lineRule="auto"/>
        <w:ind w:firstLine="470" w:firstLineChars="196"/>
        <w:rPr>
          <w:rFonts w:ascii="宋体" w:hAnsi="宋体"/>
          <w:sz w:val="24"/>
        </w:rPr>
      </w:pPr>
      <w:r>
        <w:rPr>
          <w:rFonts w:hint="eastAsia" w:ascii="宋体" w:hAnsi="宋体"/>
          <w:sz w:val="24"/>
        </w:rPr>
        <w:t>5、具备履行合同所必需的设备和专业技术能力的证明材料（可提供承诺函，格式详见第七章）；（</w:t>
      </w:r>
      <w:r>
        <w:rPr>
          <w:rFonts w:hint="eastAsia" w:ascii="宋体" w:hAnsi="宋体"/>
          <w:b/>
          <w:sz w:val="24"/>
        </w:rPr>
        <w:t>联合体参与的，各方都须提供</w:t>
      </w:r>
      <w:r>
        <w:rPr>
          <w:rFonts w:hint="eastAsia" w:ascii="宋体" w:hAnsi="宋体"/>
          <w:sz w:val="24"/>
        </w:rPr>
        <w:t>）</w:t>
      </w:r>
      <w:r>
        <w:rPr>
          <w:rFonts w:ascii="宋体" w:hAnsi="宋体"/>
          <w:sz w:val="24"/>
        </w:rPr>
        <w:t xml:space="preserve">。 </w:t>
      </w:r>
    </w:p>
    <w:p>
      <w:pPr>
        <w:spacing w:line="360" w:lineRule="auto"/>
        <w:ind w:firstLine="470" w:firstLineChars="196"/>
        <w:rPr>
          <w:rFonts w:ascii="宋体" w:hAnsi="宋体"/>
          <w:sz w:val="24"/>
        </w:rPr>
      </w:pPr>
      <w:r>
        <w:rPr>
          <w:rFonts w:hint="eastAsia" w:ascii="宋体" w:hAnsi="宋体"/>
          <w:sz w:val="24"/>
        </w:rPr>
        <w:t>6、参加政府采购活动前3年内在经营活动中没有重大违法记录的承诺函（格式详见第七章）；（</w:t>
      </w:r>
      <w:r>
        <w:rPr>
          <w:rFonts w:hint="eastAsia" w:ascii="宋体" w:hAnsi="宋体"/>
          <w:b/>
          <w:sz w:val="24"/>
        </w:rPr>
        <w:t>联合体参与的，各方都须提供</w:t>
      </w:r>
      <w:r>
        <w:rPr>
          <w:rFonts w:hint="eastAsia" w:ascii="宋体" w:hAnsi="宋体"/>
          <w:sz w:val="24"/>
        </w:rPr>
        <w:t>）</w:t>
      </w:r>
      <w:r>
        <w:rPr>
          <w:rFonts w:ascii="宋体" w:hAnsi="宋体"/>
          <w:sz w:val="24"/>
        </w:rPr>
        <w:t xml:space="preserve">。 </w:t>
      </w:r>
    </w:p>
    <w:p>
      <w:pPr>
        <w:spacing w:line="360" w:lineRule="auto"/>
        <w:ind w:firstLine="470" w:firstLineChars="196"/>
        <w:rPr>
          <w:rFonts w:ascii="宋体" w:hAnsi="宋体"/>
          <w:sz w:val="24"/>
        </w:rPr>
      </w:pPr>
      <w:r>
        <w:rPr>
          <w:rFonts w:hint="eastAsia" w:ascii="宋体" w:hAnsi="宋体"/>
          <w:sz w:val="24"/>
        </w:rPr>
        <w:t>7、具备法律、行政法规规定的其他条件的证明材料（可提供承诺函，格式详见第七章）；（</w:t>
      </w:r>
      <w:r>
        <w:rPr>
          <w:rFonts w:hint="eastAsia" w:ascii="宋体" w:hAnsi="宋体"/>
          <w:b/>
          <w:sz w:val="24"/>
        </w:rPr>
        <w:t>联合体参与的，各方都须提供</w:t>
      </w:r>
      <w:r>
        <w:rPr>
          <w:rFonts w:hint="eastAsia" w:ascii="宋体" w:hAnsi="宋体"/>
          <w:sz w:val="24"/>
        </w:rPr>
        <w:t>）</w:t>
      </w:r>
      <w:r>
        <w:rPr>
          <w:rFonts w:ascii="宋体" w:hAnsi="宋体"/>
          <w:sz w:val="24"/>
        </w:rPr>
        <w:t xml:space="preserve">。 </w:t>
      </w:r>
    </w:p>
    <w:p>
      <w:pPr>
        <w:spacing w:line="360" w:lineRule="auto"/>
        <w:ind w:firstLine="470" w:firstLineChars="196"/>
        <w:rPr>
          <w:rFonts w:ascii="宋体" w:hAnsi="宋体"/>
          <w:sz w:val="24"/>
        </w:rPr>
      </w:pPr>
      <w:r>
        <w:rPr>
          <w:rFonts w:hint="eastAsia" w:ascii="宋体" w:hAnsi="宋体"/>
          <w:sz w:val="24"/>
        </w:rPr>
        <w:t>8、根据采购项目提出的特殊条件：</w:t>
      </w:r>
    </w:p>
    <w:p>
      <w:pPr>
        <w:pStyle w:val="53"/>
        <w:spacing w:line="420" w:lineRule="exact"/>
        <w:ind w:firstLine="480"/>
        <w:rPr>
          <w:rFonts w:ascii="宋体" w:hAnsi="宋体"/>
          <w:sz w:val="24"/>
        </w:rPr>
      </w:pPr>
      <w:r>
        <w:rPr>
          <w:rFonts w:ascii="宋体" w:hAnsi="宋体" w:cs="宋体"/>
          <w:sz w:val="24"/>
        </w:rPr>
        <w:t>8.1</w:t>
      </w:r>
      <w:r>
        <w:rPr>
          <w:rFonts w:hint="eastAsia" w:ascii="宋体" w:hAnsi="宋体"/>
          <w:sz w:val="24"/>
        </w:rPr>
        <w:t>供应商须提供“截至递交响应文件截止日未被列入失信被执行人、税收违法黑名单、政府采购严重违法失信行为记录名单的承诺函”。（</w:t>
      </w:r>
      <w:r>
        <w:rPr>
          <w:rFonts w:hint="eastAsia" w:ascii="宋体" w:hAnsi="宋体"/>
          <w:b/>
          <w:sz w:val="24"/>
        </w:rPr>
        <w:t>联合体参与的，各方都须提供</w:t>
      </w:r>
      <w:r>
        <w:rPr>
          <w:rFonts w:hint="eastAsia" w:ascii="宋体" w:hAnsi="宋体"/>
          <w:sz w:val="24"/>
        </w:rPr>
        <w:t>）</w:t>
      </w:r>
      <w:r>
        <w:rPr>
          <w:rFonts w:ascii="宋体" w:hAnsi="宋体"/>
          <w:sz w:val="24"/>
        </w:rPr>
        <w:t>。</w:t>
      </w:r>
    </w:p>
    <w:p>
      <w:pPr>
        <w:pStyle w:val="53"/>
        <w:spacing w:line="420" w:lineRule="exact"/>
        <w:ind w:firstLine="480"/>
        <w:rPr>
          <w:rFonts w:ascii="宋体" w:hAnsi="宋体" w:cs="宋体"/>
          <w:sz w:val="24"/>
        </w:rPr>
      </w:pPr>
      <w:r>
        <w:rPr>
          <w:rFonts w:ascii="宋体" w:hAnsi="宋体" w:cs="宋体"/>
          <w:sz w:val="24"/>
        </w:rPr>
        <w:t>8</w:t>
      </w:r>
      <w:r>
        <w:rPr>
          <w:rFonts w:hint="eastAsia" w:ascii="宋体" w:hAnsi="宋体" w:cs="宋体"/>
          <w:sz w:val="24"/>
        </w:rPr>
        <w:t>.2设计</w:t>
      </w:r>
      <w:r>
        <w:rPr>
          <w:rFonts w:ascii="宋体" w:hAnsi="宋体" w:cs="宋体"/>
          <w:sz w:val="24"/>
        </w:rPr>
        <w:t>：</w:t>
      </w:r>
      <w:r>
        <w:rPr>
          <w:rFonts w:hint="eastAsia" w:ascii="宋体" w:hAnsi="宋体"/>
          <w:sz w:val="24"/>
        </w:rPr>
        <w:t>具有省级及以上建设主管部门颁发的工程设计综合资质或建筑行业（建筑工程）设计乙级及以上设计资质；（提供</w:t>
      </w:r>
      <w:r>
        <w:rPr>
          <w:rFonts w:ascii="宋体" w:hAnsi="宋体"/>
          <w:sz w:val="24"/>
        </w:rPr>
        <w:t>证书复印件</w:t>
      </w:r>
      <w:r>
        <w:rPr>
          <w:rFonts w:hint="eastAsia" w:ascii="宋体" w:hAnsi="宋体"/>
          <w:sz w:val="24"/>
        </w:rPr>
        <w:t>，</w:t>
      </w:r>
      <w:r>
        <w:rPr>
          <w:rFonts w:ascii="宋体" w:hAnsi="宋体"/>
          <w:b/>
        </w:rPr>
        <w:t>联合体</w:t>
      </w:r>
      <w:r>
        <w:rPr>
          <w:rFonts w:hint="eastAsia" w:ascii="宋体" w:hAnsi="宋体"/>
          <w:b/>
        </w:rPr>
        <w:t>参与</w:t>
      </w:r>
      <w:r>
        <w:rPr>
          <w:rFonts w:ascii="宋体" w:hAnsi="宋体"/>
          <w:b/>
        </w:rPr>
        <w:t>的，</w:t>
      </w:r>
      <w:r>
        <w:rPr>
          <w:rFonts w:hint="eastAsia" w:ascii="宋体" w:hAnsi="宋体"/>
          <w:b/>
        </w:rPr>
        <w:t>由设计</w:t>
      </w:r>
      <w:r>
        <w:rPr>
          <w:rFonts w:ascii="宋体" w:hAnsi="宋体"/>
          <w:b/>
        </w:rPr>
        <w:t>单位提供</w:t>
      </w:r>
      <w:r>
        <w:rPr>
          <w:rFonts w:hint="eastAsia" w:ascii="宋体" w:hAnsi="宋体"/>
          <w:b/>
        </w:rPr>
        <w:t>。</w:t>
      </w:r>
      <w:r>
        <w:rPr>
          <w:rFonts w:hint="eastAsia" w:ascii="宋体" w:hAnsi="宋体"/>
          <w:sz w:val="24"/>
        </w:rPr>
        <w:t>）</w:t>
      </w:r>
    </w:p>
    <w:p>
      <w:pPr>
        <w:pStyle w:val="53"/>
        <w:spacing w:line="420" w:lineRule="exact"/>
        <w:ind w:firstLine="480"/>
        <w:rPr>
          <w:rFonts w:ascii="宋体" w:hAnsi="宋体"/>
          <w:sz w:val="24"/>
        </w:rPr>
      </w:pPr>
      <w:r>
        <w:rPr>
          <w:rFonts w:ascii="宋体" w:hAnsi="宋体" w:cs="宋体"/>
          <w:sz w:val="24"/>
        </w:rPr>
        <w:t>8.3</w:t>
      </w:r>
      <w:r>
        <w:rPr>
          <w:rFonts w:hint="eastAsia" w:ascii="宋体" w:hAnsi="宋体" w:cs="宋体"/>
          <w:sz w:val="24"/>
        </w:rPr>
        <w:t>施工</w:t>
      </w:r>
      <w:r>
        <w:rPr>
          <w:rFonts w:ascii="宋体" w:hAnsi="宋体" w:cs="宋体"/>
          <w:sz w:val="24"/>
        </w:rPr>
        <w:t>：</w:t>
      </w:r>
      <w:r>
        <w:rPr>
          <w:rFonts w:hint="eastAsia" w:ascii="宋体" w:hAnsi="宋体"/>
          <w:sz w:val="24"/>
        </w:rPr>
        <w:t>具备国家行政主管部门颁发的电子与智能化工程专业承包贰级及以上和建筑装修装饰工程专业承包贰级及以上施工资质，企业注册地不在四川省行政区域内的省外企业须提供在有效期内的四川省住房和城乡建设厅官网已公开的入川信息网页截图，并具有安全生产许可证；（提供</w:t>
      </w:r>
      <w:r>
        <w:rPr>
          <w:rFonts w:ascii="宋体" w:hAnsi="宋体"/>
          <w:sz w:val="24"/>
        </w:rPr>
        <w:t>证书复印件</w:t>
      </w:r>
      <w:r>
        <w:rPr>
          <w:rFonts w:hint="eastAsia" w:ascii="宋体" w:hAnsi="宋体"/>
          <w:sz w:val="24"/>
        </w:rPr>
        <w:t>，</w:t>
      </w:r>
      <w:r>
        <w:rPr>
          <w:rFonts w:ascii="宋体" w:hAnsi="宋体"/>
          <w:b/>
        </w:rPr>
        <w:t>联合体</w:t>
      </w:r>
      <w:r>
        <w:rPr>
          <w:rFonts w:hint="eastAsia" w:ascii="宋体" w:hAnsi="宋体"/>
          <w:b/>
        </w:rPr>
        <w:t>参与</w:t>
      </w:r>
      <w:r>
        <w:rPr>
          <w:rFonts w:ascii="宋体" w:hAnsi="宋体"/>
          <w:b/>
        </w:rPr>
        <w:t>的，</w:t>
      </w:r>
      <w:r>
        <w:rPr>
          <w:rFonts w:hint="eastAsia" w:ascii="宋体" w:hAnsi="宋体"/>
          <w:b/>
        </w:rPr>
        <w:t>由施工</w:t>
      </w:r>
      <w:r>
        <w:rPr>
          <w:rFonts w:ascii="宋体" w:hAnsi="宋体"/>
          <w:b/>
        </w:rPr>
        <w:t>单位提供</w:t>
      </w:r>
      <w:r>
        <w:rPr>
          <w:rFonts w:hint="eastAsia" w:ascii="宋体" w:hAnsi="宋体"/>
          <w:b/>
        </w:rPr>
        <w:t>。</w:t>
      </w:r>
      <w:r>
        <w:rPr>
          <w:rFonts w:hint="eastAsia" w:ascii="宋体" w:hAnsi="宋体"/>
          <w:sz w:val="24"/>
        </w:rPr>
        <w:t>）</w:t>
      </w:r>
    </w:p>
    <w:p>
      <w:pPr>
        <w:pStyle w:val="53"/>
        <w:spacing w:line="420" w:lineRule="exact"/>
        <w:ind w:firstLine="480"/>
        <w:rPr>
          <w:rFonts w:ascii="宋体" w:hAnsi="宋体" w:cs="宋体"/>
          <w:sz w:val="24"/>
        </w:rPr>
      </w:pPr>
      <w:r>
        <w:rPr>
          <w:rFonts w:hint="eastAsia" w:ascii="宋体" w:hAnsi="宋体"/>
          <w:sz w:val="24"/>
        </w:rPr>
        <w:t>8.4</w:t>
      </w:r>
      <w:r>
        <w:rPr>
          <w:rFonts w:hint="eastAsia"/>
          <w:spacing w:val="1"/>
          <w:sz w:val="24"/>
        </w:rPr>
        <w:t>施工负责</w:t>
      </w:r>
      <w:r>
        <w:rPr>
          <w:spacing w:val="1"/>
          <w:sz w:val="24"/>
        </w:rPr>
        <w:t>人</w:t>
      </w:r>
      <w:r>
        <w:rPr>
          <w:rFonts w:hint="eastAsia"/>
          <w:spacing w:val="1"/>
          <w:sz w:val="24"/>
        </w:rPr>
        <w:t>(项目经理)</w:t>
      </w:r>
      <w:r>
        <w:rPr>
          <w:spacing w:val="1"/>
          <w:sz w:val="24"/>
        </w:rPr>
        <w:t>具有</w:t>
      </w:r>
      <w:r>
        <w:rPr>
          <w:rFonts w:hint="eastAsia"/>
          <w:spacing w:val="1"/>
          <w:sz w:val="24"/>
        </w:rPr>
        <w:t>机电工程专业二级及以上建造师；设计负责人具备二级及以上注册建筑师；（</w:t>
      </w:r>
      <w:r>
        <w:rPr>
          <w:rFonts w:hint="eastAsia" w:ascii="宋体" w:hAnsi="宋体"/>
          <w:sz w:val="24"/>
        </w:rPr>
        <w:t>（提供</w:t>
      </w:r>
      <w:r>
        <w:rPr>
          <w:rFonts w:ascii="宋体" w:hAnsi="宋体"/>
          <w:sz w:val="24"/>
        </w:rPr>
        <w:t>证书复印件</w:t>
      </w:r>
      <w:r>
        <w:rPr>
          <w:rFonts w:hint="eastAsia"/>
          <w:spacing w:val="1"/>
          <w:sz w:val="24"/>
        </w:rPr>
        <w:t>）</w:t>
      </w:r>
    </w:p>
    <w:p>
      <w:pPr>
        <w:pStyle w:val="53"/>
        <w:spacing w:line="420" w:lineRule="exact"/>
        <w:ind w:firstLine="480"/>
        <w:rPr>
          <w:rFonts w:ascii="宋体" w:hAnsi="宋体"/>
          <w:sz w:val="24"/>
        </w:rPr>
      </w:pPr>
      <w:r>
        <w:rPr>
          <w:rFonts w:ascii="宋体" w:hAnsi="宋体"/>
          <w:sz w:val="24"/>
        </w:rPr>
        <w:t>9</w:t>
      </w:r>
      <w:r>
        <w:rPr>
          <w:rFonts w:hint="eastAsia" w:ascii="宋体" w:hAnsi="宋体"/>
          <w:sz w:val="24"/>
        </w:rPr>
        <w:t>、本项目</w:t>
      </w:r>
      <w:r>
        <w:rPr>
          <w:rFonts w:hint="eastAsia" w:ascii="宋体" w:hAnsi="宋体"/>
          <w:b/>
          <w:sz w:val="24"/>
          <w:u w:val="single"/>
        </w:rPr>
        <w:t>接受</w:t>
      </w:r>
      <w:r>
        <w:rPr>
          <w:rFonts w:hint="eastAsia" w:ascii="宋体" w:hAnsi="宋体"/>
          <w:sz w:val="24"/>
        </w:rPr>
        <w:t xml:space="preserve">联合体参与采购活动：①联合体牵头人应具备建设行政主管部门颁发的电子与智能化工程专业承包贰级及以上施工资质；②组成联合体的成员家数最多不超过 </w:t>
      </w:r>
      <w:r>
        <w:rPr>
          <w:rFonts w:ascii="宋体" w:hAnsi="宋体"/>
          <w:sz w:val="24"/>
        </w:rPr>
        <w:t>3</w:t>
      </w:r>
      <w:r>
        <w:rPr>
          <w:rFonts w:hint="eastAsia" w:ascii="宋体" w:hAnsi="宋体"/>
          <w:sz w:val="24"/>
        </w:rPr>
        <w:t xml:space="preserve"> 家；③ 联合体各方应签订联合体协议书，明确联合体牵头人和各方权利义务。④组成联合体投标应符合相关法律法规对联合体投标的有关规定，联合体各方不得再以自己名义单独或参加其他联合体在同一工程项目中投标。（</w:t>
      </w:r>
      <w:r>
        <w:rPr>
          <w:rFonts w:hint="eastAsia" w:ascii="宋体" w:hAnsi="宋体"/>
          <w:b/>
          <w:sz w:val="24"/>
        </w:rPr>
        <w:t>提供</w:t>
      </w:r>
      <w:r>
        <w:rPr>
          <w:rFonts w:ascii="宋体" w:hAnsi="宋体"/>
          <w:b/>
          <w:sz w:val="24"/>
        </w:rPr>
        <w:t>联合体协议书原件</w:t>
      </w:r>
      <w:r>
        <w:rPr>
          <w:rFonts w:hint="eastAsia" w:ascii="宋体" w:hAnsi="宋体"/>
          <w:sz w:val="24"/>
        </w:rPr>
        <w:t>）。</w:t>
      </w:r>
    </w:p>
    <w:p>
      <w:pPr>
        <w:spacing w:after="50" w:line="360" w:lineRule="auto"/>
        <w:rPr>
          <w:rFonts w:ascii="宋体" w:hAnsi="宋体"/>
          <w:sz w:val="24"/>
        </w:rPr>
      </w:pPr>
    </w:p>
    <w:p>
      <w:pPr>
        <w:spacing w:after="50" w:line="360" w:lineRule="auto"/>
        <w:ind w:firstLine="480"/>
        <w:rPr>
          <w:rFonts w:ascii="宋体" w:hAnsi="宋体"/>
          <w:b/>
          <w:bCs/>
          <w:sz w:val="24"/>
        </w:rPr>
      </w:pPr>
      <w:r>
        <w:rPr>
          <w:rFonts w:hint="eastAsia" w:ascii="宋体" w:hAnsi="宋体"/>
          <w:b/>
          <w:bCs/>
          <w:sz w:val="24"/>
        </w:rPr>
        <w:t>（二）其他类似效力要求相关证明材料：</w:t>
      </w:r>
    </w:p>
    <w:p>
      <w:pPr>
        <w:spacing w:after="50" w:line="360" w:lineRule="auto"/>
        <w:ind w:firstLine="480"/>
        <w:rPr>
          <w:rFonts w:ascii="宋体" w:hAnsi="宋体"/>
          <w:sz w:val="24"/>
        </w:rPr>
      </w:pPr>
      <w:r>
        <w:rPr>
          <w:rFonts w:hint="eastAsia" w:ascii="宋体" w:hAnsi="宋体"/>
          <w:sz w:val="24"/>
        </w:rPr>
        <w:t>（1）法定代表人/单位负责人身份证明材料复印件。</w:t>
      </w:r>
    </w:p>
    <w:p>
      <w:pPr>
        <w:spacing w:after="50" w:line="360" w:lineRule="auto"/>
        <w:ind w:firstLine="480"/>
        <w:rPr>
          <w:rFonts w:ascii="宋体" w:hAnsi="宋体"/>
          <w:sz w:val="24"/>
        </w:rPr>
      </w:pPr>
      <w:r>
        <w:rPr>
          <w:rFonts w:hint="eastAsia" w:ascii="宋体" w:hAnsi="宋体"/>
          <w:sz w:val="24"/>
        </w:rPr>
        <w:t>（2）法定代表人/单位负责人授权代理书原件及代理人身份证明材料复印件（注：①法定代表人/单位负责人授权代理书原件需加盖公章；②如响应文件均由供应商法定代表人/单位负责人签字或加盖私人印章的且法定代表人/单位负责人本人参与磋商的，则可不提供。）</w:t>
      </w:r>
    </w:p>
    <w:p>
      <w:pPr>
        <w:spacing w:after="50" w:line="360" w:lineRule="auto"/>
        <w:ind w:firstLine="480"/>
        <w:rPr>
          <w:rFonts w:ascii="宋体" w:hAnsi="宋体"/>
          <w:sz w:val="24"/>
        </w:rPr>
      </w:pPr>
      <w:r>
        <w:rPr>
          <w:rFonts w:hint="eastAsia" w:ascii="宋体" w:hAnsi="宋体"/>
          <w:sz w:val="24"/>
        </w:rPr>
        <w:t xml:space="preserve">  （3）保证金相关证材料【复印件/扫描件】。</w:t>
      </w:r>
    </w:p>
    <w:p>
      <w:pPr>
        <w:spacing w:line="360" w:lineRule="auto"/>
        <w:rPr>
          <w:rFonts w:ascii="宋体" w:hAnsi="宋体"/>
          <w:b/>
          <w:bCs/>
          <w:sz w:val="24"/>
        </w:rPr>
      </w:pPr>
    </w:p>
    <w:p>
      <w:pPr>
        <w:spacing w:line="360" w:lineRule="auto"/>
        <w:rPr>
          <w:rFonts w:ascii="宋体" w:hAnsi="宋体"/>
          <w:b/>
          <w:bCs/>
          <w:sz w:val="24"/>
        </w:rPr>
      </w:pPr>
      <w:r>
        <w:rPr>
          <w:rFonts w:hint="eastAsia" w:ascii="宋体" w:hAnsi="宋体"/>
          <w:b/>
          <w:bCs/>
          <w:sz w:val="24"/>
        </w:rPr>
        <w:t>注：1、以上要求的资料复印件均须加盖供应商单位的公章（鲜章）。</w:t>
      </w:r>
    </w:p>
    <w:p>
      <w:pPr>
        <w:spacing w:line="360" w:lineRule="auto"/>
        <w:ind w:firstLine="463" w:firstLineChars="192"/>
        <w:rPr>
          <w:rFonts w:ascii="宋体" w:hAnsi="宋体"/>
          <w:sz w:val="24"/>
        </w:rPr>
      </w:pPr>
      <w:r>
        <w:rPr>
          <w:rFonts w:hint="eastAsia" w:ascii="宋体" w:hAnsi="宋体" w:cs="宋体"/>
          <w:b/>
          <w:kern w:val="0"/>
          <w:sz w:val="24"/>
        </w:rPr>
        <w:t>2、</w:t>
      </w:r>
      <w:r>
        <w:rPr>
          <w:rFonts w:ascii="宋体" w:hAnsi="宋体" w:cs="宋体"/>
          <w:b/>
          <w:kern w:val="0"/>
          <w:sz w:val="24"/>
        </w:rPr>
        <w:t>根据国务院办公厅关于加快推进“多证合一”改革的指导意见（国办发【2017】41号）等政策要求，若资格要求涉及的登记、备案等有关事项和各类证照已实行多证合一导致供应商无法提供该类证明材料的，供应商须提供“多证合一”的营业执照，并就被“多证合一”整合的相关登记、备案和各类证照的真实性作出承诺（承诺函格式详见第</w:t>
      </w:r>
      <w:r>
        <w:rPr>
          <w:rFonts w:hint="eastAsia" w:ascii="宋体" w:hAnsi="宋体" w:cs="宋体"/>
          <w:b/>
          <w:kern w:val="0"/>
          <w:sz w:val="24"/>
        </w:rPr>
        <w:t>七</w:t>
      </w:r>
      <w:r>
        <w:rPr>
          <w:rFonts w:ascii="宋体" w:hAnsi="宋体" w:cs="宋体"/>
          <w:b/>
          <w:kern w:val="0"/>
          <w:sz w:val="24"/>
        </w:rPr>
        <w:t>章）。</w:t>
      </w:r>
      <w:r>
        <w:rPr>
          <w:rFonts w:ascii="宋体" w:hAnsi="宋体"/>
          <w:sz w:val="24"/>
        </w:rPr>
        <w:br w:type="page"/>
      </w:r>
    </w:p>
    <w:p>
      <w:pPr>
        <w:pStyle w:val="37"/>
        <w:rPr>
          <w:rFonts w:ascii="宋体" w:hAnsi="宋体" w:eastAsia="宋体"/>
        </w:rPr>
      </w:pPr>
      <w:bookmarkStart w:id="78" w:name="_Toc511289484"/>
      <w:bookmarkStart w:id="79" w:name="_Toc509579144"/>
      <w:r>
        <w:rPr>
          <w:rFonts w:hint="eastAsia" w:ascii="宋体" w:hAnsi="宋体" w:eastAsia="宋体"/>
        </w:rPr>
        <w:t>第五章  采购项目技术、服务、政府采购合同内容条款</w:t>
      </w:r>
      <w:r>
        <w:rPr>
          <w:rFonts w:ascii="宋体" w:hAnsi="宋体" w:eastAsia="宋体"/>
        </w:rPr>
        <w:br w:type="textWrapping"/>
      </w:r>
      <w:r>
        <w:rPr>
          <w:rFonts w:hint="eastAsia" w:ascii="宋体" w:hAnsi="宋体" w:eastAsia="宋体"/>
        </w:rPr>
        <w:t>及其他商务要求</w:t>
      </w:r>
      <w:bookmarkEnd w:id="78"/>
      <w:bookmarkEnd w:id="79"/>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前提：</w:t>
      </w:r>
      <w:r>
        <w:rPr>
          <w:rFonts w:ascii="宋体" w:hAnsi="宋体"/>
          <w:sz w:val="24"/>
        </w:rPr>
        <w:t>本章采购需求</w:t>
      </w:r>
      <w:r>
        <w:rPr>
          <w:rFonts w:hint="eastAsia" w:ascii="宋体" w:hAnsi="宋体"/>
          <w:sz w:val="24"/>
        </w:rPr>
        <w:t>所有</w:t>
      </w:r>
      <w:r>
        <w:rPr>
          <w:rFonts w:ascii="宋体" w:hAnsi="宋体"/>
          <w:sz w:val="24"/>
        </w:rPr>
        <w:t>的</w:t>
      </w:r>
      <w:r>
        <w:rPr>
          <w:rFonts w:hint="eastAsia" w:ascii="宋体" w:hAnsi="宋体"/>
          <w:sz w:val="24"/>
        </w:rPr>
        <w:t>带</w:t>
      </w:r>
      <w:r>
        <w:rPr>
          <w:rFonts w:hint="eastAsia" w:ascii="宋体" w:hAnsi="宋体" w:cs="仿宋"/>
          <w:sz w:val="24"/>
        </w:rPr>
        <w:t>“</w:t>
      </w:r>
      <w:r>
        <w:rPr>
          <w:rFonts w:hint="eastAsia" w:ascii="宋体" w:hAnsi="宋体" w:cs="微软雅黑"/>
          <w:sz w:val="24"/>
        </w:rPr>
        <w:t>★</w:t>
      </w:r>
      <w:r>
        <w:rPr>
          <w:rFonts w:hint="eastAsia" w:ascii="宋体" w:hAnsi="宋体" w:cs="仿宋"/>
          <w:sz w:val="24"/>
        </w:rPr>
        <w:t>”</w:t>
      </w:r>
      <w:r>
        <w:rPr>
          <w:rFonts w:ascii="宋体" w:hAnsi="宋体"/>
          <w:sz w:val="24"/>
        </w:rPr>
        <w:t>条款为本次磋商采购项目的实质性要求，供应商应全部满足</w:t>
      </w:r>
      <w:r>
        <w:rPr>
          <w:rFonts w:hint="eastAsia" w:ascii="宋体" w:hAnsi="宋体"/>
          <w:sz w:val="24"/>
        </w:rPr>
        <w:t>，否则</w:t>
      </w:r>
      <w:r>
        <w:rPr>
          <w:rFonts w:ascii="宋体" w:hAnsi="宋体"/>
          <w:sz w:val="24"/>
        </w:rPr>
        <w:t>视为无效响应。</w:t>
      </w:r>
    </w:p>
    <w:p>
      <w:pPr>
        <w:keepNext/>
        <w:keepLines/>
        <w:spacing w:before="260" w:after="260" w:line="360" w:lineRule="auto"/>
        <w:ind w:firstLine="236" w:firstLineChars="98"/>
        <w:outlineLvl w:val="1"/>
        <w:rPr>
          <w:rFonts w:ascii="宋体" w:hAnsi="宋体"/>
          <w:b/>
          <w:bCs/>
          <w:sz w:val="24"/>
        </w:rPr>
      </w:pPr>
      <w:r>
        <w:rPr>
          <w:rFonts w:hint="eastAsia" w:ascii="宋体" w:hAnsi="宋体"/>
          <w:b/>
          <w:bCs/>
          <w:sz w:val="24"/>
        </w:rPr>
        <w:t>一、项目概述</w:t>
      </w:r>
    </w:p>
    <w:p>
      <w:pPr>
        <w:spacing w:line="360" w:lineRule="auto"/>
        <w:rPr>
          <w:rFonts w:ascii="宋体" w:hAnsi="宋体"/>
          <w:bCs/>
          <w:sz w:val="24"/>
        </w:rPr>
      </w:pPr>
      <w:r>
        <w:rPr>
          <w:rFonts w:hint="eastAsia" w:ascii="宋体" w:hAnsi="宋体"/>
          <w:bCs/>
          <w:sz w:val="24"/>
        </w:rPr>
        <w:t>1</w:t>
      </w:r>
      <w:r>
        <w:rPr>
          <w:rFonts w:ascii="宋体" w:hAnsi="宋体"/>
          <w:bCs/>
          <w:sz w:val="24"/>
        </w:rPr>
        <w:t>.</w:t>
      </w:r>
      <w:r>
        <w:rPr>
          <w:rFonts w:hint="eastAsia" w:ascii="宋体" w:hAnsi="宋体"/>
          <w:bCs/>
          <w:sz w:val="24"/>
        </w:rPr>
        <w:t>工程概况：</w:t>
      </w:r>
    </w:p>
    <w:p>
      <w:pPr>
        <w:spacing w:line="360" w:lineRule="auto"/>
        <w:ind w:firstLine="480" w:firstLineChars="200"/>
        <w:rPr>
          <w:rFonts w:ascii="宋体" w:hAnsi="宋体"/>
          <w:bCs/>
          <w:sz w:val="24"/>
        </w:rPr>
      </w:pPr>
      <w:r>
        <w:rPr>
          <w:rFonts w:hint="eastAsia" w:ascii="宋体" w:hAnsi="宋体"/>
          <w:bCs/>
          <w:sz w:val="24"/>
        </w:rPr>
        <w:t>（1）、本项目位于电子科技大学沙河校区，本建筑地上七层，本次改造区域为第七层局部区域，详见招标范围图。第七层设屏障环境动物设施及实验室面积约994m2。设计图预留垂直运输通道、污水处理系统等位置。包含屏障环境动物设施的建筑装饰工程、净化空调系统、通风系统及自动控制工程、给排水工程、强电工程、弱电工程、消防工程、智能化系统、动物饮水系统等进行设计与施工安装。</w:t>
      </w:r>
    </w:p>
    <w:p>
      <w:pPr>
        <w:spacing w:line="360" w:lineRule="auto"/>
        <w:ind w:firstLine="480" w:firstLineChars="200"/>
        <w:rPr>
          <w:rFonts w:ascii="宋体" w:hAnsi="宋体"/>
          <w:bCs/>
          <w:sz w:val="24"/>
        </w:rPr>
      </w:pPr>
      <w:r>
        <w:rPr>
          <w:rFonts w:hint="eastAsia" w:ascii="宋体" w:hAnsi="宋体"/>
          <w:bCs/>
          <w:sz w:val="24"/>
        </w:rPr>
        <w:t>（2）、本次室内装饰装修拟将本建筑改造装修成符合《实验动物 环境及设施》GB14925-2010 、《实验动物设施建筑技术规范》GB50447-2008标准要求的实验动物（大小鼠）屏障环境实验设施，及实验动物实验设施相配套的动物解剖区域、手术区域、实验室区域及辅助功能操作区域等。</w:t>
      </w:r>
    </w:p>
    <w:p>
      <w:pPr>
        <w:spacing w:line="360" w:lineRule="auto"/>
        <w:ind w:firstLine="480" w:firstLineChars="200"/>
        <w:rPr>
          <w:rFonts w:ascii="宋体" w:hAnsi="宋体"/>
          <w:bCs/>
          <w:sz w:val="24"/>
        </w:rPr>
      </w:pPr>
      <w:r>
        <w:rPr>
          <w:rFonts w:hint="eastAsia" w:ascii="宋体" w:hAnsi="宋体"/>
          <w:bCs/>
          <w:sz w:val="24"/>
        </w:rPr>
        <w:t>（3）、同时改造装修与屏障环境实验动物设施相配套的满足实验动物设施、实验等相关要求的行政人员 、实验人员、饲养人员、学生等的办公和教学场所和各类库房。</w:t>
      </w:r>
    </w:p>
    <w:p>
      <w:pPr>
        <w:spacing w:line="360" w:lineRule="auto"/>
        <w:rPr>
          <w:rFonts w:ascii="宋体" w:hAnsi="宋体"/>
          <w:bCs/>
          <w:sz w:val="24"/>
        </w:rPr>
      </w:pPr>
      <w:r>
        <w:rPr>
          <w:rFonts w:hint="eastAsia" w:ascii="宋体" w:hAnsi="宋体"/>
          <w:bCs/>
          <w:sz w:val="24"/>
        </w:rPr>
        <w:t>2</w:t>
      </w:r>
      <w:r>
        <w:rPr>
          <w:rFonts w:ascii="宋体" w:hAnsi="宋体"/>
          <w:bCs/>
          <w:sz w:val="24"/>
        </w:rPr>
        <w:t>.</w:t>
      </w:r>
      <w:r>
        <w:rPr>
          <w:rFonts w:hint="eastAsia" w:ascii="宋体" w:hAnsi="宋体"/>
          <w:bCs/>
          <w:sz w:val="24"/>
        </w:rPr>
        <w:t>建设地点：四川省成都市成华区建设北路二段4号</w:t>
      </w:r>
      <w:r>
        <w:rPr>
          <w:rFonts w:ascii="宋体" w:hAnsi="宋体"/>
          <w:bCs/>
          <w:sz w:val="24"/>
        </w:rPr>
        <w:t>。</w:t>
      </w:r>
    </w:p>
    <w:p>
      <w:pPr>
        <w:spacing w:line="360" w:lineRule="auto"/>
        <w:rPr>
          <w:rFonts w:ascii="宋体" w:hAnsi="宋体"/>
          <w:bCs/>
          <w:sz w:val="24"/>
        </w:rPr>
      </w:pPr>
      <w:r>
        <w:rPr>
          <w:rFonts w:hint="eastAsia" w:ascii="宋体" w:hAnsi="宋体"/>
          <w:bCs/>
          <w:sz w:val="24"/>
        </w:rPr>
        <w:t>3</w:t>
      </w:r>
      <w:r>
        <w:rPr>
          <w:rFonts w:ascii="宋体" w:hAnsi="宋体"/>
          <w:bCs/>
          <w:sz w:val="24"/>
        </w:rPr>
        <w:t>.</w:t>
      </w:r>
      <w:r>
        <w:rPr>
          <w:rFonts w:hint="eastAsia" w:ascii="宋体" w:hAnsi="宋体"/>
          <w:bCs/>
          <w:sz w:val="24"/>
        </w:rPr>
        <w:t>采购范围：</w:t>
      </w:r>
    </w:p>
    <w:p>
      <w:pPr>
        <w:spacing w:line="360" w:lineRule="auto"/>
        <w:ind w:firstLine="480" w:firstLineChars="200"/>
        <w:rPr>
          <w:rFonts w:ascii="宋体" w:hAnsi="宋体"/>
          <w:bCs/>
          <w:sz w:val="24"/>
        </w:rPr>
      </w:pPr>
      <w:r>
        <w:rPr>
          <w:rFonts w:hint="eastAsia" w:ascii="宋体" w:hAnsi="宋体"/>
          <w:bCs/>
          <w:sz w:val="24"/>
        </w:rPr>
        <w:t>在原有建筑基础上进行屏障环境动物设施及配套设施的改建设计和施工，符合行业现行最新标准要求和国家相关法规要求，</w:t>
      </w:r>
      <w:r>
        <w:rPr>
          <w:rFonts w:hint="eastAsia" w:ascii="宋体" w:hAnsi="宋体"/>
          <w:sz w:val="24"/>
        </w:rPr>
        <w:t>本项目施工图除了按正常工程图进行审查之外，必须通过四川省科技厅组织专家对施工图进行审查，达到屏障环境实验动物设施要求；本项目除了按正常工程进行竣工验收之外，必须通过四川省科技厅组织专家对实验动物环境设施验收，并取得屏障环境实验动物使用许可证</w:t>
      </w:r>
      <w:r>
        <w:rPr>
          <w:rFonts w:hint="eastAsia" w:ascii="宋体" w:hAnsi="宋体"/>
          <w:bCs/>
          <w:sz w:val="24"/>
        </w:rPr>
        <w:t>。包括并不限于工艺平面布置、室内装饰装修、舒适性空调系统、净化空调系统、空调冷热源系统、通风及废气处理系统、给排水、动物饮用水系统、消防系统、动力配电及照明系统、综合布线系统（监控、门禁、网络、电信、自控、消防、智能化管理）、同时考虑灭菌锅、空调加湿器的蒸汽来源、原有设施拆除（吊顶、地.面、门窗、隔墙及水电空调等安装设施的拆除）等。同时包含实验动物环境 设施内应配置的高压灭菌器、淋浴装置、洗消池、软化水设备、空气压缩机等设备的配置。两部楼梯及其前室、卫生间的装修及配套设施不在本次招标范围。笼具、实验家具、实验仪器设备、无影灯、通风柜、生物安全柜、洁净工作台、办公家具、原有垂直运输通道或新增运输设施等不在本次工程范围内。网络、电话、电力、给排水工程的室外管网接入、电力增容及备用电源不在本次工程范围内，消防给水主干道、消防报警系统与园区内的消防报警联动不在本次工程范围内。电力进线线缆由业主负责分别引至各楼层动力配电总箱及照明配电总箱、屋面动力总箱。</w:t>
      </w:r>
    </w:p>
    <w:p>
      <w:pPr>
        <w:spacing w:line="360" w:lineRule="auto"/>
        <w:rPr>
          <w:rFonts w:ascii="宋体" w:hAnsi="宋体"/>
          <w:b/>
          <w:bCs/>
          <w:sz w:val="24"/>
        </w:rPr>
      </w:pPr>
      <w:r>
        <w:rPr>
          <w:rFonts w:hint="eastAsia" w:ascii="宋体" w:hAnsi="宋体"/>
          <w:bCs/>
          <w:sz w:val="24"/>
        </w:rPr>
        <w:t>4.</w:t>
      </w:r>
      <w:r>
        <w:rPr>
          <w:rFonts w:hint="eastAsia" w:ascii="宋体" w:hAnsi="宋体"/>
          <w:b/>
          <w:bCs/>
          <w:sz w:val="24"/>
        </w:rPr>
        <w:t>本项目</w:t>
      </w:r>
      <w:r>
        <w:rPr>
          <w:rFonts w:ascii="宋体" w:hAnsi="宋体"/>
          <w:b/>
          <w:bCs/>
          <w:sz w:val="24"/>
        </w:rPr>
        <w:t>标的</w:t>
      </w:r>
      <w:r>
        <w:rPr>
          <w:rFonts w:hint="eastAsia" w:ascii="宋体" w:hAnsi="宋体"/>
          <w:b/>
          <w:bCs/>
          <w:sz w:val="24"/>
        </w:rPr>
        <w:t>名称：电子科技大学（沙河校区）医学院SPF动物房设计施工一体化建设项目；</w:t>
      </w:r>
    </w:p>
    <w:p>
      <w:pPr>
        <w:spacing w:line="360" w:lineRule="auto"/>
        <w:ind w:firstLine="241" w:firstLineChars="100"/>
        <w:rPr>
          <w:rFonts w:ascii="宋体" w:hAnsi="宋体"/>
          <w:bCs/>
          <w:sz w:val="24"/>
        </w:rPr>
      </w:pPr>
      <w:r>
        <w:rPr>
          <w:rFonts w:hint="eastAsia" w:ascii="宋体" w:hAnsi="宋体"/>
          <w:b/>
          <w:bCs/>
          <w:sz w:val="24"/>
        </w:rPr>
        <w:t>所属行业：建筑业</w:t>
      </w:r>
      <w:r>
        <w:rPr>
          <w:rFonts w:ascii="宋体" w:hAnsi="宋体"/>
          <w:b/>
          <w:bCs/>
          <w:sz w:val="24"/>
        </w:rPr>
        <w:t>。</w:t>
      </w:r>
    </w:p>
    <w:p>
      <w:pPr>
        <w:keepNext/>
        <w:keepLines/>
        <w:spacing w:before="260" w:after="260" w:line="360" w:lineRule="auto"/>
        <w:ind w:firstLine="236" w:firstLineChars="98"/>
        <w:outlineLvl w:val="1"/>
        <w:rPr>
          <w:rFonts w:ascii="宋体" w:hAnsi="宋体"/>
          <w:b/>
          <w:bCs/>
          <w:sz w:val="24"/>
        </w:rPr>
      </w:pPr>
      <w:r>
        <w:rPr>
          <w:rFonts w:hint="eastAsia" w:ascii="宋体" w:hAnsi="宋体"/>
          <w:b/>
          <w:bCs/>
          <w:sz w:val="24"/>
        </w:rPr>
        <w:t>二、技术要求</w:t>
      </w:r>
    </w:p>
    <w:bookmarkEnd w:id="64"/>
    <w:bookmarkEnd w:id="65"/>
    <w:bookmarkEnd w:id="66"/>
    <w:bookmarkEnd w:id="67"/>
    <w:bookmarkEnd w:id="68"/>
    <w:p>
      <w:pPr>
        <w:spacing w:line="360" w:lineRule="auto"/>
        <w:rPr>
          <w:rFonts w:ascii="宋体" w:hAnsi="宋体"/>
          <w:color w:val="000000" w:themeColor="text1"/>
          <w:spacing w:val="-2"/>
          <w:sz w:val="24"/>
          <w14:textFill>
            <w14:solidFill>
              <w14:schemeClr w14:val="tx1"/>
            </w14:solidFill>
          </w14:textFill>
        </w:rPr>
      </w:pPr>
      <w:bookmarkStart w:id="80" w:name="_Toc511289485"/>
      <w:bookmarkStart w:id="81" w:name="_Toc509579145"/>
      <w:bookmarkStart w:id="82" w:name="_Toc183582232"/>
      <w:bookmarkStart w:id="83" w:name="_Toc183682369"/>
      <w:bookmarkStart w:id="84" w:name="_Toc217446057"/>
      <w:r>
        <w:rPr>
          <w:rFonts w:hint="eastAsia" w:ascii="宋体" w:hAnsi="宋体"/>
          <w:color w:val="000000" w:themeColor="text1"/>
          <w:spacing w:val="-2"/>
          <w:sz w:val="24"/>
          <w14:textFill>
            <w14:solidFill>
              <w14:schemeClr w14:val="tx1"/>
            </w14:solidFill>
          </w14:textFill>
        </w:rPr>
        <w:t>1、</w:t>
      </w: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总体技术要求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根据采购人提供的建筑现场条件、资料及技术要求，按照国家相关规范及标准对磋商范围内的建筑进行实验动物（大小鼠）屏障环境实验设施方案设计及施工图设计，</w:t>
      </w:r>
      <w:r>
        <w:rPr>
          <w:rFonts w:hint="eastAsia" w:ascii="宋体" w:hAnsi="宋体"/>
          <w:sz w:val="24"/>
        </w:rPr>
        <w:t>本项目施工图除了按正常工程图进行审查之外，必须通过四川省科技厅组织专家对施工图进行审查，达到屏障环境实验动物设施要求。</w:t>
      </w:r>
      <w:r>
        <w:rPr>
          <w:rFonts w:hint="eastAsia" w:ascii="宋体" w:hAnsi="宋体"/>
          <w:color w:val="000000" w:themeColor="text1"/>
          <w:spacing w:val="-2"/>
          <w:sz w:val="24"/>
          <w14:textFill>
            <w14:solidFill>
              <w14:schemeClr w14:val="tx1"/>
            </w14:solidFill>
          </w14:textFill>
        </w:rPr>
        <w:t>项目必须按照国家相关施工、验收规范及标准进行施工，项目施工完成后，其室内的空气质量、温湿度、换气次数、洁净度、氨浓度、照度、噪音、菌落数、气流速度、压差等必须满足《实验动物环境及设施》GB14925-2010、《实验动物设施建筑技术规范》GB50447-2008标准要求，废气、废水、固体废弃物的排放及消防设施等必须满足国家环保及消防相关规范要求。</w:t>
      </w:r>
      <w:r>
        <w:rPr>
          <w:rFonts w:hint="eastAsia" w:ascii="宋体" w:hAnsi="宋体"/>
          <w:sz w:val="24"/>
        </w:rPr>
        <w:t>本项目除了按正常工程进行竣工验收之外，必须通过四川省科技厅组织专家对实验动物环境设施验收，并取得屏障环境实验动物使用许可证</w:t>
      </w:r>
      <w:r>
        <w:rPr>
          <w:rFonts w:hint="eastAsia" w:ascii="宋体" w:hAnsi="宋体"/>
          <w:color w:val="000000" w:themeColor="text1"/>
          <w:spacing w:val="-2"/>
          <w:sz w:val="24"/>
          <w14:textFill>
            <w14:solidFill>
              <w14:schemeClr w14:val="tx1"/>
            </w14:solidFill>
          </w14:textFill>
        </w:rPr>
        <w:t>。</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2、</w:t>
      </w: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主要材料及设备的提供</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本工程所用的全部材料及设备由中标单位采购和保管。所有材料和设备必须要有出厂合格证及质检报告，并达到国家和行业有关标准，选用的主要材料和设备必须是国内或国际名牌产品，主要材料、设备到场后必须经甲方验收确认后才能用于工程中，并确保施工后符合要求，中标人单方使用未经采购人验收确认的材料、设备或施工后不符合要求，由此产生的一切后果和责任由中标人承担。</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3、</w:t>
      </w: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设计及施工的内容及要求</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设计及施工内容主要包括工艺平面布置、室内装饰装修、舒适性空调系统、净化空调系统、空调冷热源系统、通风及废气处理系统、给排水、动物饮用水系统、蒸汽系统、工艺气体系统、消防系统、动力配电及照明系统、综合布线系统（监控、门禁、网络、电信、自控、消防、智能化管理）。同时包含实验动物环境设施内应配置的高压灭菌器、淋浴装置、洗消池、软化水设备、空气压缩机等设备的配置及原有建筑内设施拆除（吊顶、地.面、门窗、隔墙及水电空调等安装设施的拆除）等。</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2）工程质量要求：在原有建筑基础上进行实验动物房及配套设施的改建设计和施工，设计质量：符合国家及地方现行的相关设计规范要求，施工图通过采购人委托的施工图审查单位进行审查并取得审图合格的报告；施工质量</w:t>
      </w:r>
      <w:r>
        <w:rPr>
          <w:rFonts w:ascii="宋体" w:hAnsi="宋体"/>
          <w:color w:val="000000" w:themeColor="text1"/>
          <w:spacing w:val="-2"/>
          <w:sz w:val="24"/>
          <w14:textFill>
            <w14:solidFill>
              <w14:schemeClr w14:val="tx1"/>
            </w14:solidFill>
          </w14:textFill>
        </w:rPr>
        <w:t>：</w:t>
      </w:r>
      <w:r>
        <w:rPr>
          <w:rFonts w:hint="eastAsia" w:ascii="宋体" w:hAnsi="宋体"/>
          <w:color w:val="000000" w:themeColor="text1"/>
          <w:spacing w:val="-2"/>
          <w:sz w:val="24"/>
          <w14:textFill>
            <w14:solidFill>
              <w14:schemeClr w14:val="tx1"/>
            </w14:solidFill>
          </w14:textFill>
        </w:rPr>
        <w:t xml:space="preserve"> 符合按国家及行业现行相关质量验收标准。满足采购人提出的技术要求，达到技术先进、布局合理、维护方便、运行节能、智能化管理、建筑人性化标准，建成后符合屏障环境实验动物设施、生物安全实验室、药物非临床研究质量管理规范认证标准等相关规范要求及认证认可的要求。</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4、设置内容及技术要求</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w:t>
      </w: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屏障环境（大、小鼠）</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布局设计：屏障环境设施改建应采用双走廊或三走廊平面布局，设置屏障环境控制区和辅助功能区、生物安全实验室区域、辅助办公区等。辅助功能区包括（不限于）办公室、控制室、饲料垫料笼具储存间、清储间、清洗消毒间等；屏障环境控制区包括（不限于）检疫观察室、实验动物饲养间、更衣间、风淋、缓冲间、洁净走廊、污物走廊等；生物安全实验室区域包括（不限于）实验室、解剖室、传递窗等。</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小鼠屏障环境控制区实验动物饲养间应设置高压灭菌器、小鼠 IVC 饲养笼架及笼盒、实验工作台等等，应能够放置不低于 2600 个小鼠 IVC 笼盒。大小鼠 IVC 笼盒的层数不能大于 8 层，不采用密集型笼架。具备饲料、垫料、笼具和其他动物用品的存放及周转设施（与环境设施容积相匹配），具有清洗消毒设施（与环境设施容积相匹配）。</w:t>
      </w:r>
    </w:p>
    <w:p>
      <w:pPr>
        <w:spacing w:line="360" w:lineRule="auto"/>
        <w:ind w:firstLine="474" w:firstLineChars="200"/>
        <w:rPr>
          <w:rFonts w:ascii="宋体" w:hAnsi="宋体"/>
          <w:color w:val="000000" w:themeColor="text1"/>
          <w:spacing w:val="-2"/>
          <w:sz w:val="24"/>
          <w14:textFill>
            <w14:solidFill>
              <w14:schemeClr w14:val="tx1"/>
            </w14:solidFill>
          </w14:textFill>
        </w:rPr>
      </w:pPr>
      <w:r>
        <w:rPr>
          <w:rFonts w:hint="eastAsia" w:ascii="宋体" w:hAnsi="宋体"/>
          <w:b/>
          <w:bCs/>
          <w:color w:val="000000" w:themeColor="text1"/>
          <w:spacing w:val="-2"/>
          <w:sz w:val="24"/>
          <w14:textFill>
            <w14:solidFill>
              <w14:schemeClr w14:val="tx1"/>
            </w14:solidFill>
          </w14:textFill>
        </w:rPr>
        <w:t>高压灭菌器：</w:t>
      </w:r>
      <w:r>
        <w:rPr>
          <w:rFonts w:hint="eastAsia" w:ascii="宋体" w:hAnsi="宋体"/>
          <w:color w:val="000000" w:themeColor="text1"/>
          <w:spacing w:val="-2"/>
          <w:sz w:val="24"/>
          <w14:textFill>
            <w14:solidFill>
              <w14:schemeClr w14:val="tx1"/>
            </w14:solidFill>
          </w14:textFill>
        </w:rPr>
        <w:t>根据动物房容量大小，合理考虑高压灭菌器容积与数量，消毒车采用平地安装折叠式内车，无需外车即可使用，节约场地，同时省去搬运外车需要清洗、消毒的过程。高压灭菌器的容积按每周运行 5 天、每天消毒 4 次计算，高压灭菌器的总容积应满足每周消毒大小鼠 IVC 笼具不低于 2600 个，并满足每天消毒动物饮水、垫料的要求。安装要求：平地安装，要求设置拆叠式消毒灭菌内车， 注:不需外搬运车，便于操作人员装载,缷载灭菌物品。注:因楼层安装，地面结构场地原因, 不能使用地坑式安装的灭菌器。</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2）生物安全实验室区域</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生物安全实验室区域包括与屏障环境实验设施相配套的操作间、解剖室及其他实验室。满足《实验动物设施建筑技术规范》GB50447-2008、《生物安全实验室建筑技术规范》GB50346-2011规范要求。</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3）辅助办公区</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配套辅助办公区包括办公区域及各类物品储存库房等场所。</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 xml:space="preserve">行政办公区及辅助功能区的温湿度、新风量、照度等按相应的规范执行。 </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电力增容及备用电源设施不在本次磋商范围，由业主另行实施。供应商应在平面图上预留设置垂直运输通道位置。</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5、建筑装修及结构要求：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动物实验区平面布局采用双走廊或三走廊方式。</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结构安全不低于二级，抗震设防不低于丙类建筑。原建筑为框架结构，改造后要符合建筑相关结构安全要求，必要时应按相关规范要求加固，满足安全使用要求；另：凡是楼板增加设备处，需考虑结构荷载核算及加固处理。</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主体建筑的出入口不少于2个。</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动物实验辅助区应设置用于存储动物饲料、垫料、笼具等物品的用房，笼具的周转库及设置高压灭菌器。清洗消毒间设施地漏，地面、墙面做防水处理设计。</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动物实验区设置有检疫室，实验区内动物饲养间和实验操作间（前室）可分开设置，走廊宽度不小于1.5m，动物实验室门洞宽度不小于1.0m，室内净高不低于2.4m。</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中央空调机组对噪音和振动进行处理，空调风管和其他管线暗敷。</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动物实验区及生物安全实验室区维护结构选用无毒、无放射性材料。墙面和顶棚材料应易于清洗消毒、耐腐蚀、不起尘、不开裂、无反光、耐冲击、光滑防水。地面材料防滑、耐磨、耐腐蚀、无渗漏、脚踢不突出墙面。</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净化区门有良好的密闭性，朝空气压力较高的房间开启，并能自动关闭，各房间门上设有观察窗，缓冲间门（传递窗）设互锁装置。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房间与其相通房间之间，以及不同净化级别房间之间设置压差显示装置。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实验动物屏障环境、生物安全实验区域、解剖室区域以及辅助用房房间隔墙、吊顶、地面以及门：</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隔墙及吊顶：隔墙及吊顶均采用50系列手工型灰白色平面双层玻镁板夹心彩钢板或双层玻镁板岩棉夹心彩钢板，中字铝型材连接，其钢板厚度≥0.476mm；芯材采用双层≥4mm防火玻镁板，岩棉容重120KG/m</w:t>
      </w:r>
      <w:r>
        <w:rPr>
          <w:rFonts w:ascii="宋体" w:hAnsi="宋体"/>
          <w:color w:val="000000" w:themeColor="text1"/>
          <w:spacing w:val="-2"/>
          <w:sz w:val="24"/>
          <w:vertAlign w:val="superscript"/>
          <w14:textFill>
            <w14:solidFill>
              <w14:schemeClr w14:val="tx1"/>
            </w14:solidFill>
          </w14:textFill>
        </w:rPr>
        <w:t>3</w:t>
      </w:r>
      <w:r>
        <w:rPr>
          <w:rFonts w:hint="eastAsia" w:ascii="宋体" w:hAnsi="宋体"/>
          <w:color w:val="000000" w:themeColor="text1"/>
          <w:spacing w:val="-2"/>
          <w:sz w:val="24"/>
          <w14:textFill>
            <w14:solidFill>
              <w14:schemeClr w14:val="tx1"/>
            </w14:solidFill>
          </w14:textFill>
        </w:rPr>
        <w:t>，钢板镀锌表面聚酯涂层；夹心彩钢板耐火极限按防火规范设计实施。铝合金配件表面阳极化净化处理，空气净化工程专用型。吊顶为上人吊顶，能够保证吊顶的足够材料强度及安装强度。</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地面：地面采用自流平PVC地胶。厚度≥2mm，耐磨层厚度0.5mm，耐磨等级T级，与地面的交角采用圆弧处理（R≥50），同时踢脚不应突出墙面。清洗消毒间地面采用耐磨型环氧钢玉地坪。</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所有在彩钢板隔墙上安装的门采用整体成品净化密闭钢制门：门框：整体钢制门框，板材厚不小于1.5mm 。门体：整体钢制，板材厚不小于1mm 。表面处理：整体静电喷塑防腐处理，无色差，无眩光。密封条确保门框及门体四周接口完全保持气密性，门底部设有可调密封设施。根据需要配备密闭安全玻璃可视窗，双层中空玻璃密闭窗。不锈钢门锁、铰链、执手。采用自动闭锁门，配备与门相匹配的闭门器，控制机构灵活，阻尼可调，使用方便，安全可靠。</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走廊均需安装双层防撞带。</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彩钢板上的窗均采用双层中空玻璃成品净化密闭窗。</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不锈钢传递窗采用互锁型，材质304不锈钢内胆，厚度为0.8mm，带照明灯和紫外线杀菌灯。为保证灭菌效果，传递窗内应设置不锈钢架用于物品传递时全方位辐照。</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辅助办公、辅助用房房间隔墙、吊顶、地面以及门：</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隔墙：采用轻钢龙骨石膏板、空心砖砌体、玻璃隔断、加气混凝土砌块等轻质隔墙。</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吊顶：采用轻钢龙骨石膏板、铝扣板、矿棉板等吊顶材料。</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地面：采用玻化砖、防滑砖、花岗岩、大理石地面材料。踢脚线采用不锈钢踢脚。</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门：采用成品木质门、钢化玻璃门、钢质门等，应根据功能需求、美观要求在特定位置设置电动感应门，门的材质应根据墙体的装修风格配套选用。</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6、空调、通风和空气净化要求：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动物实验区净化空调系统设计满足人员、动物、动物饲养设备、高压灭菌锅等污染负荷及热湿负荷的要求。动物实验区为全新风系统，动物实验室换气次数必须充分考虑洁净度、氨浓度、压差、风速要求，满足使用功能，以保证具有足够动力送至工作面。在表冷器前设置保护用中效过滤器。空调机组的安装位置应满足日常检查、维修及过滤器更换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房间或区域送、回（排）风支管应安装气密阀门，以满足实验动物设施的房间或区域单独消毒。</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净化空调送风系统设置初效、中效、高效三级空气过滤器；送风系统新风口有有效的防雨措施设计；有防鼠、防虫、阻挡绒毛等的保护网，且易于拆装和清洗；新风口高于室外地面2.5m 以上，远离排风口和其他污染源。</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应合理设计排风系统（IVC 系统排风）及废气处理系统，废气处理系统采用光催化加喷淋设施。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bCs/>
          <w:color w:val="000000" w:themeColor="text1"/>
          <w:spacing w:val="-2"/>
          <w:sz w:val="24"/>
          <w14:textFill>
            <w14:solidFill>
              <w14:schemeClr w14:val="tx1"/>
            </w14:solidFill>
          </w14:textFill>
        </w:rPr>
        <w:t>光催化加喷淋设施应达到的标准及功能段：</w:t>
      </w:r>
      <w:r>
        <w:rPr>
          <w:rFonts w:hint="eastAsia" w:ascii="宋体" w:hAnsi="宋体"/>
          <w:color w:val="000000" w:themeColor="text1"/>
          <w:spacing w:val="-2"/>
          <w:sz w:val="24"/>
          <w14:textFill>
            <w14:solidFill>
              <w14:schemeClr w14:val="tx1"/>
            </w14:solidFill>
          </w14:textFill>
        </w:rPr>
        <w:t>符合GB14554-</w:t>
      </w:r>
      <w:r>
        <w:rPr>
          <w:rFonts w:ascii="宋体" w:hAnsi="宋体"/>
          <w:color w:val="000000" w:themeColor="text1"/>
          <w:spacing w:val="-2"/>
          <w:sz w:val="24"/>
          <w14:textFill>
            <w14:solidFill>
              <w14:schemeClr w14:val="tx1"/>
            </w14:solidFill>
          </w14:textFill>
        </w:rPr>
        <w:t>19</w:t>
      </w:r>
      <w:r>
        <w:rPr>
          <w:rFonts w:hint="eastAsia" w:ascii="宋体" w:hAnsi="宋体"/>
          <w:color w:val="000000" w:themeColor="text1"/>
          <w:spacing w:val="-2"/>
          <w:sz w:val="24"/>
          <w14:textFill>
            <w14:solidFill>
              <w14:schemeClr w14:val="tx1"/>
            </w14:solidFill>
          </w14:textFill>
        </w:rPr>
        <w:t>93《恶臭污染物排放标准》等规定；功能段应保证性能。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设置备用送风机和排风机，当风机发生故障时，系统能保证实验动物设施所需最小换气次数及温湿度要求。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排风系统的风机与送风机连锁，送风机应先于排风机开启，后于排风机关闭。</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清洗间、消毒间、解剖室等排风单独设置，蒸汽高压灭菌器用局部排风措施。</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相邻动物饲养间不能使用同一夹墙作排风道，排风系统在排风机负压段设有消除污染的装置；净化区回（排）风口有过滤功能，有调节风量的措施。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净化区的气流组织采用上送下回（排）方式，回（排）风口下边沿离地面不低于0.1m，排风口的风速不大于2m/s，送、回（排）风口布置合理。非净化区域可采用上送上回风。</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风管适当位置上应设置风量测量孔，空气过滤器前后安装压差计，测量接管通畅、安装严密。</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空调送排风系统应设置能单独调节控制室内温度、湿度、压差、风量等的相关措施。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送排风风管全用热镀锌钢板，按净化风管要求制作，钢板厚度按相关规范执行，热镀锌钢板镀锌层厚度不小于100g/m</w:t>
      </w:r>
      <w:r>
        <w:rPr>
          <w:rFonts w:hint="eastAsia" w:ascii="宋体" w:hAnsi="宋体"/>
          <w:color w:val="000000" w:themeColor="text1"/>
          <w:spacing w:val="-2"/>
          <w:sz w:val="24"/>
          <w:vertAlign w:val="superscript"/>
          <w14:textFill>
            <w14:solidFill>
              <w14:schemeClr w14:val="tx1"/>
            </w14:solidFill>
          </w14:textFill>
        </w:rPr>
        <w:t>2</w:t>
      </w:r>
      <w:r>
        <w:rPr>
          <w:rFonts w:hint="eastAsia" w:ascii="宋体" w:hAnsi="宋体"/>
          <w:color w:val="000000" w:themeColor="text1"/>
          <w:spacing w:val="-2"/>
          <w:sz w:val="24"/>
          <w14:textFill>
            <w14:solidFill>
              <w14:schemeClr w14:val="tx1"/>
            </w14:solidFill>
          </w14:textFill>
        </w:rPr>
        <w:t>。空调送风管应保温，保温材料采用B1级难燃橡塑材料，保温材料厚度采用25mm。室外风管应设0.5mm厚铝皮保护层。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送风管进场后采用专用清洗剂进行清洗，风管咬口方式采用联合角咬口拼接，拼接前咬口处打密封胶，风管连接采用角钢法兰与镀锌螺栓连接，角钢采用镀锌角钢，法兰密封垫采用厚度不低于5mm的不透气、不产尘的闭孔橡胶海绵板密封垫，风管与法兰连接采用镀锌铁铆钉连接；</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高效过滤器采用纳焰检测不低于99.99%的B类过滤器，高效过滤器必须在房间清理干净，风管系统空吹24小时后安装；</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高效送风口采用四点或六点带花兰螺栓镀锌丝杆（ф8mm）吊装，高效送风口与顶板连接处翻边采用下翻边，并用橡胶密封垫密封；风口安装包括风口清洗擦拭、风口密封等工作；</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送风口、风阀、新风口及排风口采用喷塑处理；送风口与风管采用光面人造革软连接，排风口采用可拆卸齿轮调节型，新风口加可拆式防虫滤网；</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电动密闭阀采用优质冷轧钢板静电喷塑，密闭性良好，转轮丝杆调节；</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在空调机组内保持1000Pa的静压值时，箱体漏风率不大于2%。</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净化空调送风系统的消音器或消音部件的材料应不产尘、不易附着灰尘，填充材料符合要求。</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洁净型组合式恒温恒湿空调机组：采用冷暖型组合式洁净空调机组，空调处理机组功能段分布：初效过滤+送风机+中效过滤+冷却/加热+再热段+加湿段）风机为无蜗壳风机+变频电机，过滤等级 G4+F8，其中，风机、过滤器各两套，一用一备，通过单向阀自动切换。</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表冷盘管采用防腐亲水铝箔，要求换热率高，表冷器迎面风速不大于 2.8M/S，并能避免表冷器表面出现水滴现象；</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风量恒定情况下，风压调节范围大，以适应净化系统压损变化；</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送排风机采用变频与联动设置；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空气处理机组和排风机组必须应考虑备用设备，保证设施正常运行；</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风机采用无蜗壳风机，电机为变频电机。</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舒适性空调系统、新风系统、排风系统按相关规范设计。</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冷热水机组能效比不小于3.2。微电脑控制器可根据水温变化通过模糊控制对压缩机进行启停控制，使机组运行容量与实际负载相匹配，以提高压缩机工作效率和水温稳定性，降低功率消耗。机组根据各压缩机运行时间长短，将优先启动运行时间较短压缩机，卸载运行时间较长压缩机，使各压缩机运行时间趋于平衡，从而延长整机使用寿命。机组控制无主、次模块之分。每台机组均能独立启停，任何一台机组停止运行，不影响其他机组运行。</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应具有：远程开关、制冷制热容量控制、出水温度显示和控制、智能除霜、制冷剂停机和风扇变速控制、电气启动自检、故障显示、故障记录等功能。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户外型：机组框架和底盘均由加厚镀锌钢制彩钢板制成，外涂环氧树脂，防腐防锈；面板由优质合金制作；带自动除霜功能，确保冬季安全可靠稳定供热； 冷冻水进出口温度：12/7度；</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热水进出口温度：40/45度。</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该热泵机组需预留远程启停、运行状态、故障报警、冬夏转换接口。</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水泵及其它</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水泵：空调水泵采用立式水泵，单吸式铸铁材质；</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空调冷热水供回水管采用镀锌钢管,保温采用B1级难燃橡塑保温λ≤0.035W/m.K；室外水管应设0.5mm厚铝皮保护层。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组合式空调机组冷凝水管用柔性铸铁管,保温采用难燃橡塑保温管材，厚度为20mm。</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风机盘管冷凝水管道采用（UPVC）硬聚氯乙烯管，连接方式采用承插粘接。空调冷凝水管保温采用PVC/NBR难燃橡塑保温管材，厚度为20mm。</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7、电气和自控要求：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电气要求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净化空调系统的配电应设置自动和手动控制。动物试验区的用电负荷不低于2级，净化区的配电设备选择不易积尘的暗装设备，电气管线暗敷，设施内电气线的管口采取可靠的密封措施。配电管线采用金属管，穿过墙体和楼板的电线管加套管，套管内采用不收缩、不燃烧的材料密封。</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净化区的照明灯具，采用密闭洁净灯（LED)，照明灯采用吸顶方式安装，安装缝有可靠的密封措施。灯罩用不易破损、透光性好的材料。动物照度可以调节，在净化区外设置工作照明总开关。饲养间灯具应为符合洁净要求的不锈钢 LED 平板吸顶灯。要求不积灰尘，容易擦洗。动物照明的照度及时间应可调节，并符合规范要求。实验动物设施照明应按国家标准规范分别设计工作照度和动物照度，小动物区域动物照明应可在自动控制下实现 12/12 小时或 10/14 小时交替照明。特殊需要情况下，也可人工控制。</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动物饲养间、生物安全实验室、走道及辅房功能间设紫外线灭菌灯，紫外灯的布置与开启关闭应符合操作方便。</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自控系统经济、安全、可靠、节能，操作简单明了，能满足控制区域的温度、湿度、压差、氨浓度要求。具备环境及设备运行状态监控，运行数据安全备份与管理等。</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净化区、动物实验区、生物安全实验室区域设门禁系统，人流与物流的门禁及记录安全备份与管理等。缓冲间的门采取互锁措施，传递窗采用定时互锁措施。当出现紧急情况时，所有设置互锁功能的门应处于可开启状态。</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送、排风机设有正常运转指示，风机发生故障时应报警，相应的备用风机能自动和手动投入运行。空气调节系统的电加热器应与送风机连锁，并设无风断电、超温断电保护及报警装置。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电加热器的金属风管接地。电加热器前后各800mm范围内的风管和穿过设有火源等容易起火部位的管道和保温材料，必须采用不燃材料。</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净化区的内外及动物实验区设有可靠的通信方式，设有必要的摄像监控装置。视频监控及记录安全备份与管理等。</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动物实验区的温度、湿度、压差、氨浓度超过设定范围时，设置有有效的声光报警装置和远程报警装置。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光照控制系统，网络、电子记录系统，终端显示联动（时间显示一致性），各房间插座电源等方面设计。</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照明系统、仪器设备动力用电系统、通风空调动力用电系统、应急照明系统、弱电系统、接地系统等设计。</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自动控制：</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自动化项目工程需求涵盖从设计，系统图、电气原理图、I/O接线图纸、点位编号清单等。从施工及提供配套传感器、变送器、执行器、系统所需的控制器、PC上位机及服务器、电气元件、提供与子系统数据交接的网络及接口、控制箱柜等、传动设备、PLC可编程序控制器、人机界面等自动控制系统的各个层面。包含设计、制造、检查和测试、包装、运输、交付、安装、调试、人员培训、试运行、验证、最终验收，质保等全套项目。</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自控系统硬件主要包括：中央监控站OS/ES、控制器、HMI、IO模块、；洁净室内温度/湿度传感器、压差传感器；组合空调电动阀、电动调节阀、风道温湿度传感器、压差传感器、压差开关、风速或风量传感器、风阀执行器，以及冷冻站供回水压差/温度变送器、电动开关阀、调节阀等自控仪表。控制实验室风量、温湿度、压差、氨浓度。确保数据的唯一性和可追溯性。能够对重要功能房间的温湿度、压差、氨浓度进行监视，在线监测并有报警功能，远程与现场报警。</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报警处理的操作记录，包含确认人、确认时间、确认日期、确认理由、确认位置；能够对归档数据的清晰打印；记录能长期保存。</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应提供系统纠正预防措施及突发事件处理规程。系统一旦发生故障，可迅速地转入安全状态并在此状态下维持，避免一切因机器设备故障所引起的事故和损失，保护人员、机器和环境的安全。监测数据能够准确归档，归档数据完整、可靠，可连续查询、储存运行情况的历史数据、报警记录和瞬值（即时取样）等，收集频率都可由操作者设置。数据记录存储于硬盘中，便于以后参考。历史数据保存不少于一个自然年，一年以上数据可转存；数据存储满，有提示信息。</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安全、门禁控制系统：</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门禁控制系技术要求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主要出入口设读卡器，用磁卡和密码分组授权；</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出入控制系统要求能记录出入人员资料，并能设置出入级别；</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在进出实验室的入口及缓冲间设双门互锁；</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出现紧急情况时所有门禁控制的门都必须处于开启状态；</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门禁系统功能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门禁管理子系统是通过非接触式感应卡的方式对出入口进行设防，对人员的身份、进出及停留时间作记录，对电动门锁进行控制，既能防止外盗，又能防止内部作案，要能实时反映、记录各点工作状态，且不可更改。</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系统应采用先进的系统结构，即上位主机以门禁控制器的控制结构，确保系统在脱机状态下的可靠性高及在联机状态下的实时性强的要求。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系统可采用 IC 卡刷卡的方式进出各个通道。</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系统应能对设防区域的位置、通过对象及通行时间等进行实时控制或设定多级程序控制。</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系统当有人员进出通道、非法开门、破坏时，可自动调用附近的摄像机图像，实时通过闭路电视监控系统观察进出人员的情况。</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系统应与消防系统联动，在火灾报警时能及时开启有关通道和门。</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门禁控制器可通过门禁管理软件进行管理与控制。</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系统应能对出入口进行多级控制和集中管理。</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普通场所选用感应距离可达 5-10cm 的非接触式 ID 读卡器。</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电视监视系统：</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电视监视系统的功能如下：</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可定时录像功能和循环录像功能，可通过局域网/广域网进行本地或远程监控全中文操作界面，操作简单、方便存储时间不低于 7 天，录像文件存储方式采用固定硬盘方法。</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多画面处理功能：≥16 画面分割显示现场视频图像；单画面/多画面切换显示现场视频图像。</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远程传输功能：可通过局域网通信方式进行远程图像传输；远程回放录像数据及云台镜头控制。</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硬盘处理功能：录像；每台可实现≥16路实时录像；视频同步录像；可进行现场监听，可将录像数据记录在本机硬盘里，也可以接活动硬盘，光盘刻录机作长时间的数据备份。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回放功能：可按录像时间日期进行选择回放；可选择不同的速度回放，快进或快退；可捕捉单帧图像打印或进行电子放大；录像与回放可同时进行。</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实验室、动物饲养间、重要通道等位置均应安装摄像头。</w:t>
      </w:r>
    </w:p>
    <w:p>
      <w:pPr>
        <w:spacing w:line="360" w:lineRule="auto"/>
        <w:ind w:firstLine="480" w:firstLineChars="200"/>
        <w:rPr>
          <w:rFonts w:ascii="宋体" w:hAnsi="宋体"/>
          <w:color w:val="000000" w:themeColor="text1"/>
          <w:spacing w:val="-2"/>
          <w:sz w:val="24"/>
          <w14:textFill>
            <w14:solidFill>
              <w14:schemeClr w14:val="tx1"/>
            </w14:solidFill>
          </w14:textFill>
        </w:rPr>
      </w:pPr>
      <w:r>
        <w:rPr>
          <w:rFonts w:hint="eastAsia" w:ascii="宋体" w:hAnsi="宋体" w:cs="微软雅黑"/>
          <w:sz w:val="24"/>
        </w:rPr>
        <w:t>★</w:t>
      </w:r>
      <w:r>
        <w:rPr>
          <w:rFonts w:hint="eastAsia" w:ascii="宋体" w:hAnsi="宋体"/>
          <w:color w:val="000000" w:themeColor="text1"/>
          <w:spacing w:val="-2"/>
          <w:sz w:val="24"/>
          <w14:textFill>
            <w14:solidFill>
              <w14:schemeClr w14:val="tx1"/>
            </w14:solidFill>
          </w14:textFill>
        </w:rPr>
        <w:t>网络系统、电话系统</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工作区：按照需要在办公室、实验室、动物房等处设置语音及数据通用的信息插座，用于连接电话、计算机或其它终端设备。</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信息插座选用标准:网络模块插座，每一孔的配线电缆采用一条六类铜芯非屏蔽 4 对双绞线。</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综合布线系统采用光纤和铜缆，通过配线架上的主配线架用星形结构连接。</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8.给排水要求：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给水系统：包括各实验室工艺用水、热水系统、软化水系统及生活用水系统设计。</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排水系统：包括工艺废水系统及生活污水系统设计。</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改造区域内工艺废水需汇集到一根立管，集中排放到建设方原有化粪池处理。</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9、消防要求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设施耐火等级不低于二级。防火分隔隔墙耐火极限值大于1.0h，砌至梁板底部，不留缝隙，吊顶空间较大的区域其顶棚装修材料为不燃材料且吊顶的耐火极限不低于0.5h。</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设置有火灾事故照明，疏散走道和疏散门设有灯光疏散指示标志。火灾事故照明和疏散标志采用连续供电时间不少于20min的蓄电池作备用电源。</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设置有火灾自动报警装置，设置消火栓系统且保证有两个水枪的充实水柱同时到达建筑任何部位。</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根据规范要求合理设置防排烟设施。</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w:t>
      </w:r>
      <w:r>
        <w:rPr>
          <w:rFonts w:ascii="宋体" w:hAnsi="宋体"/>
          <w:color w:val="000000" w:themeColor="text1"/>
          <w:spacing w:val="-2"/>
          <w:sz w:val="24"/>
          <w14:textFill>
            <w14:solidFill>
              <w14:schemeClr w14:val="tx1"/>
            </w14:solidFill>
          </w14:textFill>
        </w:rPr>
        <w:t>0</w:t>
      </w:r>
      <w:r>
        <w:rPr>
          <w:rFonts w:hint="eastAsia" w:ascii="宋体" w:hAnsi="宋体"/>
          <w:color w:val="000000" w:themeColor="text1"/>
          <w:spacing w:val="-2"/>
          <w:sz w:val="24"/>
          <w14:textFill>
            <w14:solidFill>
              <w14:schemeClr w14:val="tx1"/>
            </w14:solidFill>
          </w14:textFill>
        </w:rPr>
        <w:t>.安全及环保要求：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安全运行设计：包括人员安全保护，故障应急设计，设施安全运行控制设计，消防，各种外露应用部件以及避免触碰部件的安装位置设计等。</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环保设计：外围设备噪音控制，排污管网、废气、废物处理、动物尸体处理等。</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w:t>
      </w:r>
      <w:r>
        <w:rPr>
          <w:rFonts w:ascii="宋体" w:hAnsi="宋体"/>
          <w:color w:val="000000" w:themeColor="text1"/>
          <w:spacing w:val="-2"/>
          <w:sz w:val="24"/>
          <w14:textFill>
            <w14:solidFill>
              <w14:schemeClr w14:val="tx1"/>
            </w14:solidFill>
          </w14:textFill>
        </w:rPr>
        <w:t>1</w:t>
      </w:r>
      <w:r>
        <w:rPr>
          <w:rFonts w:hint="eastAsia" w:ascii="宋体" w:hAnsi="宋体"/>
          <w:color w:val="000000" w:themeColor="text1"/>
          <w:spacing w:val="-2"/>
          <w:sz w:val="24"/>
          <w14:textFill>
            <w14:solidFill>
              <w14:schemeClr w14:val="tx1"/>
            </w14:solidFill>
          </w14:textFill>
        </w:rPr>
        <w:t>.安装与设计规范</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严格按照以下中华人民共和国国家标准，能够通过国内实验动物设施使用认证。</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专业类设计依据和技术标准（包含并不限于）</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GB14925—2010</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《实验动物环境及设施》</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GB50447—2008</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《实验动物设施建筑技术规范》</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GB19489—2008</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《实验室生物安全通用要求》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GB50346-2011</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《生物安全实验室建筑技术规范》</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WS233—2017</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《病原微生物实验室生物安全通用要求》</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国家科委 1988 年第 2 号令</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国家科学技术委员会《实验动物管理条例》</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国科发财字〔2001〕545 号</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国家科技部等七部委《实验动物许可证管理办法（试行） 》</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通用类设计依据和技术标准（包含并不限于）</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GB50019-2015</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《工业建筑采暖通风与空气调节设计规范》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GB50243-2016</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《通风与空调工程施工质量验收规范》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GB/T14295-2008</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《空气过滤器》</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GB/T13554-2008</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《高效空气过滤器》</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GB50015-2019</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《建筑给排水设计标准》</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GB50242-2002</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《建筑给水排水及采暖工程施工质量验收规范》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GB50016-2014(2018年版)</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《建筑设计防火规范》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GB50222—2017</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《建筑内部装修设计防火规范》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GB50054—2011</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《低压配电设计规范》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GB50055—2011</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《通用用电设备配电设计规范》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GB51348—2019</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《民用建筑电气设计标准》</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GB50591-2010</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《洁净室施工及验收规范》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GB50395-2007</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《视频安防监控系统工程设计规范》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GB/T50312-2016</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《建筑及建筑群综合布线系统工程验收规范》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GB50314-2015</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《智能建筑设计标准》</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GB50034-2013</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《建筑照明设计标准》</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GB50029-2014</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《压缩空气站设计规范》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GB50316-2000(2008)</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《工业金属管道设计规范》</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GB50189-2015</w:t>
      </w:r>
      <w:r>
        <w:rPr>
          <w:rFonts w:hint="eastAsia" w:ascii="宋体" w:hAnsi="宋体"/>
          <w:color w:val="000000" w:themeColor="text1"/>
          <w:spacing w:val="-2"/>
          <w:sz w:val="24"/>
          <w14:textFill>
            <w14:solidFill>
              <w14:schemeClr w14:val="tx1"/>
            </w14:solidFill>
          </w14:textFill>
        </w:rPr>
        <w:tab/>
      </w:r>
      <w:r>
        <w:rPr>
          <w:rFonts w:hint="eastAsia" w:ascii="宋体" w:hAnsi="宋体"/>
          <w:color w:val="000000" w:themeColor="text1"/>
          <w:spacing w:val="-2"/>
          <w:sz w:val="24"/>
          <w14:textFill>
            <w14:solidFill>
              <w14:schemeClr w14:val="tx1"/>
            </w14:solidFill>
          </w14:textFill>
        </w:rPr>
        <w:t>《公共建筑节能设计标准》</w:t>
      </w:r>
      <w:r>
        <w:rPr>
          <w:rFonts w:hint="eastAsia" w:ascii="宋体" w:hAnsi="宋体"/>
          <w:color w:val="000000" w:themeColor="text1"/>
          <w:spacing w:val="-2"/>
          <w:sz w:val="24"/>
          <w14:textFill>
            <w14:solidFill>
              <w14:schemeClr w14:val="tx1"/>
            </w14:solidFill>
          </w14:textFill>
        </w:rPr>
        <w:tab/>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以上所列的主要技术标准和规范，如未能达到国际和国内最新标准时，中标人应使系统的施工及选用的设备和材料符合最新的国际、国内标准。实验动物设施环境各项指标，在不同版本有冲突时，以高标准为准。</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施工应安全坚固、使用方便、美观、便于清洁，净化设计施工应性价比高、节能环保、坚固耐用、维护方便。</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工程应用料扎实，净化工程关键部件采用知名品牌，以保证工程质量。</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工程施工要求自动化和智能化程度高，便于管理与操作。</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11.主要设备材料及品牌</w:t>
      </w:r>
    </w:p>
    <w:p>
      <w:pPr>
        <w:spacing w:line="360" w:lineRule="auto"/>
        <w:ind w:firstLine="472" w:firstLineChars="200"/>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为保证本工程的质量，采购人对主要设备、材料推荐以下被市场认可，质量稳定的品牌，采购人推荐本工程部分材料和设备是生产厂家或品牌，供应商从采购人推荐品牌或同等档次品牌中自选品牌，竞争报价。如因部分产品采购、停产、部分产品型号不齐（仅对型号规格不齐部分调整）、价格等原因需要调整，供应商在磋商文件推荐品牌的同等档次品牌范围内选择其他产品，并报采购人审批后采购。因上述原因引起的设备采购费用增加，采购人不接受价格调整的申请。</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主要设备及其推荐品牌一览表</w:t>
      </w:r>
    </w:p>
    <w:tbl>
      <w:tblPr>
        <w:tblStyle w:val="39"/>
        <w:tblW w:w="9664"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4"/>
        <w:gridCol w:w="1674"/>
        <w:gridCol w:w="3272"/>
        <w:gridCol w:w="1985"/>
        <w:gridCol w:w="155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96"/>
              <w:jc w:val="center"/>
              <w:rPr>
                <w:sz w:val="21"/>
                <w:szCs w:val="21"/>
              </w:rPr>
            </w:pPr>
            <w:r>
              <w:rPr>
                <w:rFonts w:hint="eastAsia"/>
                <w:sz w:val="21"/>
                <w:szCs w:val="21"/>
              </w:rPr>
              <w:t>序号</w:t>
            </w:r>
          </w:p>
        </w:tc>
        <w:tc>
          <w:tcPr>
            <w:tcW w:w="1674" w:type="dxa"/>
          </w:tcPr>
          <w:p>
            <w:pPr>
              <w:pStyle w:val="152"/>
              <w:spacing w:before="137" w:line="360" w:lineRule="auto"/>
              <w:ind w:left="89" w:right="79"/>
              <w:jc w:val="center"/>
              <w:rPr>
                <w:sz w:val="21"/>
                <w:szCs w:val="21"/>
              </w:rPr>
            </w:pPr>
            <w:r>
              <w:rPr>
                <w:rFonts w:hint="eastAsia"/>
                <w:sz w:val="21"/>
                <w:szCs w:val="21"/>
              </w:rPr>
              <w:t>设备名称</w:t>
            </w:r>
          </w:p>
        </w:tc>
        <w:tc>
          <w:tcPr>
            <w:tcW w:w="3272" w:type="dxa"/>
          </w:tcPr>
          <w:p>
            <w:pPr>
              <w:pStyle w:val="152"/>
              <w:spacing w:before="137" w:line="360" w:lineRule="auto"/>
              <w:ind w:left="134" w:right="122"/>
              <w:jc w:val="center"/>
              <w:rPr>
                <w:sz w:val="21"/>
                <w:szCs w:val="21"/>
                <w:lang w:val="en-US"/>
              </w:rPr>
            </w:pPr>
            <w:r>
              <w:rPr>
                <w:rFonts w:hint="eastAsia"/>
                <w:sz w:val="21"/>
                <w:szCs w:val="21"/>
                <w:lang w:val="en-US"/>
              </w:rPr>
              <w:t>主要性能参数</w:t>
            </w:r>
          </w:p>
        </w:tc>
        <w:tc>
          <w:tcPr>
            <w:tcW w:w="1985" w:type="dxa"/>
          </w:tcPr>
          <w:p>
            <w:pPr>
              <w:pStyle w:val="152"/>
              <w:spacing w:before="137" w:line="360" w:lineRule="auto"/>
              <w:ind w:left="134" w:right="122"/>
              <w:jc w:val="center"/>
              <w:rPr>
                <w:sz w:val="21"/>
                <w:szCs w:val="21"/>
              </w:rPr>
            </w:pPr>
            <w:r>
              <w:rPr>
                <w:rFonts w:hint="eastAsia"/>
                <w:sz w:val="21"/>
                <w:szCs w:val="21"/>
              </w:rPr>
              <w:t>推荐品牌</w:t>
            </w:r>
          </w:p>
        </w:tc>
        <w:tc>
          <w:tcPr>
            <w:tcW w:w="1559" w:type="dxa"/>
          </w:tcPr>
          <w:p>
            <w:pPr>
              <w:pStyle w:val="152"/>
              <w:spacing w:before="137" w:line="360" w:lineRule="auto"/>
              <w:ind w:right="866"/>
              <w:jc w:val="center"/>
              <w:rPr>
                <w:sz w:val="21"/>
                <w:szCs w:val="21"/>
              </w:rPr>
            </w:pPr>
            <w:r>
              <w:rPr>
                <w:rFonts w:hint="eastAsia"/>
                <w:sz w:val="21"/>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37" w:line="360" w:lineRule="auto"/>
              <w:ind w:left="249"/>
              <w:rPr>
                <w:sz w:val="21"/>
                <w:szCs w:val="21"/>
              </w:rPr>
            </w:pPr>
            <w:r>
              <w:rPr>
                <w:rFonts w:hint="eastAsia"/>
                <w:sz w:val="21"/>
                <w:szCs w:val="21"/>
              </w:rPr>
              <w:t>1</w:t>
            </w:r>
          </w:p>
        </w:tc>
        <w:tc>
          <w:tcPr>
            <w:tcW w:w="1674" w:type="dxa"/>
          </w:tcPr>
          <w:p>
            <w:pPr>
              <w:pStyle w:val="152"/>
              <w:spacing w:before="137" w:line="360" w:lineRule="auto"/>
              <w:ind w:left="89" w:right="79"/>
              <w:jc w:val="center"/>
              <w:rPr>
                <w:sz w:val="21"/>
                <w:szCs w:val="21"/>
              </w:rPr>
            </w:pPr>
            <w:r>
              <w:rPr>
                <w:rFonts w:hint="eastAsia"/>
                <w:sz w:val="21"/>
                <w:szCs w:val="21"/>
              </w:rPr>
              <w:t>空调冷</w:t>
            </w:r>
            <w:r>
              <w:rPr>
                <w:rFonts w:hint="eastAsia"/>
                <w:sz w:val="21"/>
                <w:szCs w:val="21"/>
                <w:lang w:val="en-US"/>
              </w:rPr>
              <w:t>热</w:t>
            </w:r>
            <w:r>
              <w:rPr>
                <w:rFonts w:hint="eastAsia"/>
                <w:sz w:val="21"/>
                <w:szCs w:val="21"/>
              </w:rPr>
              <w:t>水</w:t>
            </w:r>
            <w:r>
              <w:rPr>
                <w:rFonts w:hint="eastAsia"/>
                <w:sz w:val="21"/>
                <w:szCs w:val="21"/>
                <w:lang w:val="en-US"/>
              </w:rPr>
              <w:t>机组</w:t>
            </w:r>
          </w:p>
        </w:tc>
        <w:tc>
          <w:tcPr>
            <w:tcW w:w="3272" w:type="dxa"/>
          </w:tcPr>
          <w:p>
            <w:pPr>
              <w:pStyle w:val="152"/>
              <w:spacing w:before="1" w:line="360" w:lineRule="auto"/>
              <w:ind w:left="134" w:right="122"/>
              <w:rPr>
                <w:sz w:val="21"/>
                <w:szCs w:val="21"/>
              </w:rPr>
            </w:pPr>
            <w:r>
              <w:rPr>
                <w:rFonts w:hint="eastAsia"/>
                <w:sz w:val="21"/>
                <w:szCs w:val="21"/>
              </w:rPr>
              <w:t>能效比不小于3.2。应具有：远程开关、制冷制热容量控制、出水温度显示和控制、智能除霜等功能。</w:t>
            </w:r>
          </w:p>
          <w:p>
            <w:pPr>
              <w:pStyle w:val="152"/>
              <w:spacing w:before="1" w:line="360" w:lineRule="auto"/>
              <w:ind w:left="134" w:right="122"/>
              <w:jc w:val="center"/>
              <w:rPr>
                <w:sz w:val="21"/>
                <w:szCs w:val="21"/>
              </w:rPr>
            </w:pPr>
            <w:r>
              <w:rPr>
                <w:rFonts w:hint="eastAsia"/>
                <w:sz w:val="21"/>
                <w:szCs w:val="21"/>
              </w:rPr>
              <w:t>需预留远程启停、运行状态、故障报警、冬夏转换接口。</w:t>
            </w:r>
          </w:p>
        </w:tc>
        <w:tc>
          <w:tcPr>
            <w:tcW w:w="1985" w:type="dxa"/>
          </w:tcPr>
          <w:p>
            <w:pPr>
              <w:pStyle w:val="152"/>
              <w:spacing w:before="1" w:line="360" w:lineRule="auto"/>
              <w:ind w:left="134" w:right="122"/>
              <w:jc w:val="center"/>
              <w:rPr>
                <w:sz w:val="21"/>
                <w:szCs w:val="21"/>
              </w:rPr>
            </w:pPr>
            <w:r>
              <w:rPr>
                <w:rFonts w:hint="eastAsia"/>
                <w:sz w:val="21"/>
                <w:szCs w:val="21"/>
              </w:rPr>
              <w:t>美的、国祥、克莱门特、麦克维尔、开利、约克</w:t>
            </w:r>
          </w:p>
        </w:tc>
        <w:tc>
          <w:tcPr>
            <w:tcW w:w="1559" w:type="dxa"/>
          </w:tcPr>
          <w:p>
            <w:pPr>
              <w:pStyle w:val="152"/>
              <w:spacing w:before="137" w:line="360" w:lineRule="auto"/>
              <w:ind w:left="872" w:right="868"/>
              <w:jc w:val="center"/>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00" w:hRule="atLeast"/>
        </w:trPr>
        <w:tc>
          <w:tcPr>
            <w:tcW w:w="1174" w:type="dxa"/>
          </w:tcPr>
          <w:p>
            <w:pPr>
              <w:pStyle w:val="152"/>
              <w:spacing w:before="138" w:line="360" w:lineRule="auto"/>
              <w:ind w:left="249"/>
              <w:rPr>
                <w:sz w:val="21"/>
                <w:szCs w:val="21"/>
              </w:rPr>
            </w:pPr>
            <w:r>
              <w:rPr>
                <w:rFonts w:hint="eastAsia"/>
                <w:sz w:val="21"/>
                <w:szCs w:val="21"/>
              </w:rPr>
              <w:t>2</w:t>
            </w:r>
          </w:p>
        </w:tc>
        <w:tc>
          <w:tcPr>
            <w:tcW w:w="1674" w:type="dxa"/>
          </w:tcPr>
          <w:p>
            <w:pPr>
              <w:pStyle w:val="152"/>
              <w:spacing w:before="138" w:line="360" w:lineRule="auto"/>
              <w:ind w:left="89" w:right="81"/>
              <w:jc w:val="center"/>
              <w:rPr>
                <w:sz w:val="21"/>
                <w:szCs w:val="21"/>
              </w:rPr>
            </w:pPr>
            <w:r>
              <w:rPr>
                <w:rFonts w:hint="eastAsia"/>
                <w:sz w:val="21"/>
                <w:szCs w:val="21"/>
              </w:rPr>
              <w:t>空气处理机组</w:t>
            </w:r>
          </w:p>
        </w:tc>
        <w:tc>
          <w:tcPr>
            <w:tcW w:w="3272" w:type="dxa"/>
          </w:tcPr>
          <w:p>
            <w:pPr>
              <w:pStyle w:val="152"/>
              <w:spacing w:before="1" w:line="360" w:lineRule="auto"/>
              <w:ind w:left="134" w:right="122"/>
              <w:rPr>
                <w:sz w:val="21"/>
                <w:szCs w:val="21"/>
              </w:rPr>
            </w:pPr>
            <w:r>
              <w:rPr>
                <w:rFonts w:hint="eastAsia"/>
                <w:sz w:val="21"/>
                <w:szCs w:val="21"/>
                <w:lang w:val="en-US"/>
              </w:rPr>
              <w:t>全新风</w:t>
            </w:r>
            <w:r>
              <w:rPr>
                <w:rFonts w:hint="eastAsia"/>
                <w:sz w:val="21"/>
                <w:szCs w:val="21"/>
              </w:rPr>
              <w:t>组合式恒温恒湿</w:t>
            </w:r>
            <w:r>
              <w:rPr>
                <w:rFonts w:hint="eastAsia"/>
                <w:sz w:val="21"/>
                <w:szCs w:val="21"/>
                <w:lang w:val="en-US"/>
              </w:rPr>
              <w:t>净化</w:t>
            </w:r>
            <w:r>
              <w:rPr>
                <w:rFonts w:hint="eastAsia"/>
                <w:sz w:val="21"/>
                <w:szCs w:val="21"/>
              </w:rPr>
              <w:t>空调机组：空调处理机组功能段分布：</w:t>
            </w:r>
            <w:r>
              <w:rPr>
                <w:rFonts w:hint="eastAsia"/>
                <w:sz w:val="21"/>
                <w:szCs w:val="21"/>
                <w:lang w:val="en-US"/>
              </w:rPr>
              <w:t>初效过滤</w:t>
            </w:r>
            <w:r>
              <w:rPr>
                <w:rFonts w:hint="eastAsia"/>
                <w:sz w:val="21"/>
                <w:szCs w:val="21"/>
              </w:rPr>
              <w:t>+送风机+</w:t>
            </w:r>
            <w:r>
              <w:rPr>
                <w:rFonts w:hint="eastAsia"/>
                <w:sz w:val="21"/>
                <w:szCs w:val="21"/>
                <w:lang w:val="en-US"/>
              </w:rPr>
              <w:t>中效</w:t>
            </w:r>
            <w:r>
              <w:rPr>
                <w:rFonts w:hint="eastAsia"/>
                <w:sz w:val="21"/>
                <w:szCs w:val="21"/>
              </w:rPr>
              <w:t>过滤+冷却/加热+再热段+加湿段</w:t>
            </w:r>
            <w:r>
              <w:rPr>
                <w:rFonts w:hint="eastAsia"/>
                <w:sz w:val="21"/>
                <w:szCs w:val="21"/>
                <w:lang w:val="en-US"/>
              </w:rPr>
              <w:t>等</w:t>
            </w:r>
            <w:r>
              <w:rPr>
                <w:rFonts w:hint="eastAsia"/>
                <w:sz w:val="21"/>
                <w:szCs w:val="21"/>
              </w:rPr>
              <w:t>）风机为无蜗壳风机+变频电机，过滤等级 G4+F8，其中，风机、过滤器各两套，一用一备，通过单向阀自动切换。</w:t>
            </w:r>
          </w:p>
        </w:tc>
        <w:tc>
          <w:tcPr>
            <w:tcW w:w="1985" w:type="dxa"/>
          </w:tcPr>
          <w:p>
            <w:pPr>
              <w:pStyle w:val="152"/>
              <w:spacing w:before="1" w:line="360" w:lineRule="auto"/>
              <w:ind w:left="134" w:right="122"/>
              <w:jc w:val="center"/>
              <w:rPr>
                <w:sz w:val="21"/>
                <w:szCs w:val="21"/>
              </w:rPr>
            </w:pPr>
            <w:r>
              <w:rPr>
                <w:rFonts w:hint="eastAsia"/>
                <w:sz w:val="21"/>
                <w:szCs w:val="21"/>
              </w:rPr>
              <w:t>天</w:t>
            </w:r>
            <w:r>
              <w:rPr>
                <w:rFonts w:hint="eastAsia"/>
                <w:sz w:val="21"/>
                <w:szCs w:val="21"/>
                <w:lang w:val="en-US"/>
              </w:rPr>
              <w:t>加</w:t>
            </w:r>
            <w:r>
              <w:rPr>
                <w:rFonts w:hint="eastAsia"/>
                <w:sz w:val="21"/>
                <w:szCs w:val="21"/>
              </w:rPr>
              <w:t>、国祥、开利、爱科、约克、麦克维尔</w:t>
            </w:r>
          </w:p>
        </w:tc>
        <w:tc>
          <w:tcPr>
            <w:tcW w:w="1559" w:type="dxa"/>
          </w:tcPr>
          <w:p>
            <w:pPr>
              <w:pStyle w:val="152"/>
              <w:spacing w:before="1" w:line="360" w:lineRule="auto"/>
              <w:ind w:left="106"/>
              <w:rPr>
                <w:sz w:val="21"/>
                <w:szCs w:val="21"/>
              </w:rPr>
            </w:pPr>
            <w:r>
              <w:rPr>
                <w:rFonts w:hint="eastAsia"/>
                <w:sz w:val="21"/>
                <w:szCs w:val="21"/>
              </w:rPr>
              <w:t>风机品牌施乐百、亿利达，电机品牌西门子或 ABB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174" w:type="dxa"/>
          </w:tcPr>
          <w:p>
            <w:pPr>
              <w:pStyle w:val="152"/>
              <w:spacing w:before="137" w:line="360" w:lineRule="auto"/>
              <w:ind w:left="249"/>
              <w:rPr>
                <w:sz w:val="21"/>
                <w:szCs w:val="21"/>
              </w:rPr>
            </w:pPr>
            <w:r>
              <w:rPr>
                <w:rFonts w:hint="eastAsia"/>
                <w:sz w:val="21"/>
                <w:szCs w:val="21"/>
              </w:rPr>
              <w:t>3</w:t>
            </w:r>
          </w:p>
        </w:tc>
        <w:tc>
          <w:tcPr>
            <w:tcW w:w="1674" w:type="dxa"/>
          </w:tcPr>
          <w:p>
            <w:pPr>
              <w:pStyle w:val="152"/>
              <w:spacing w:before="137" w:line="360" w:lineRule="auto"/>
              <w:ind w:left="89" w:right="81"/>
              <w:jc w:val="center"/>
              <w:rPr>
                <w:sz w:val="21"/>
                <w:szCs w:val="21"/>
                <w:lang w:val="en-US"/>
              </w:rPr>
            </w:pPr>
            <w:r>
              <w:rPr>
                <w:rFonts w:hint="eastAsia"/>
                <w:sz w:val="21"/>
                <w:szCs w:val="21"/>
              </w:rPr>
              <w:t>排风</w:t>
            </w:r>
            <w:r>
              <w:rPr>
                <w:rFonts w:hint="eastAsia"/>
                <w:sz w:val="21"/>
                <w:szCs w:val="21"/>
                <w:lang w:val="en-US"/>
              </w:rPr>
              <w:t>机箱</w:t>
            </w:r>
          </w:p>
        </w:tc>
        <w:tc>
          <w:tcPr>
            <w:tcW w:w="3272" w:type="dxa"/>
          </w:tcPr>
          <w:p>
            <w:pPr>
              <w:pStyle w:val="152"/>
              <w:spacing w:before="1" w:line="360" w:lineRule="auto"/>
              <w:ind w:left="134" w:right="122"/>
              <w:rPr>
                <w:sz w:val="21"/>
                <w:szCs w:val="21"/>
                <w:lang w:val="en-US"/>
              </w:rPr>
            </w:pPr>
          </w:p>
        </w:tc>
        <w:tc>
          <w:tcPr>
            <w:tcW w:w="1985" w:type="dxa"/>
          </w:tcPr>
          <w:p>
            <w:pPr>
              <w:pStyle w:val="152"/>
              <w:spacing w:before="1" w:line="360" w:lineRule="auto"/>
              <w:ind w:left="134" w:right="122"/>
              <w:jc w:val="center"/>
              <w:rPr>
                <w:sz w:val="21"/>
                <w:szCs w:val="21"/>
              </w:rPr>
            </w:pPr>
            <w:r>
              <w:rPr>
                <w:rFonts w:hint="eastAsia"/>
                <w:sz w:val="21"/>
                <w:szCs w:val="21"/>
              </w:rPr>
              <w:t>天</w:t>
            </w:r>
            <w:r>
              <w:rPr>
                <w:rFonts w:hint="eastAsia"/>
                <w:sz w:val="21"/>
                <w:szCs w:val="21"/>
                <w:lang w:val="en-US"/>
              </w:rPr>
              <w:t>加</w:t>
            </w:r>
            <w:r>
              <w:rPr>
                <w:rFonts w:hint="eastAsia"/>
                <w:sz w:val="21"/>
                <w:szCs w:val="21"/>
              </w:rPr>
              <w:t>、国祥、韦纯、红光、</w:t>
            </w:r>
            <w:r>
              <w:rPr>
                <w:rFonts w:hint="eastAsia"/>
                <w:sz w:val="21"/>
                <w:szCs w:val="21"/>
                <w:lang w:val="en-US"/>
              </w:rPr>
              <w:t>亿利达、</w:t>
            </w:r>
            <w:r>
              <w:rPr>
                <w:rFonts w:hint="eastAsia"/>
                <w:sz w:val="21"/>
                <w:szCs w:val="21"/>
              </w:rPr>
              <w:t>施乐百</w:t>
            </w:r>
          </w:p>
        </w:tc>
        <w:tc>
          <w:tcPr>
            <w:tcW w:w="1559" w:type="dxa"/>
          </w:tcPr>
          <w:p>
            <w:pPr>
              <w:pStyle w:val="152"/>
              <w:spacing w:before="1" w:line="360" w:lineRule="auto"/>
              <w:ind w:left="106"/>
              <w:rPr>
                <w:sz w:val="21"/>
                <w:szCs w:val="21"/>
              </w:rPr>
            </w:pPr>
            <w:r>
              <w:rPr>
                <w:rFonts w:hint="eastAsia"/>
                <w:sz w:val="21"/>
                <w:szCs w:val="21"/>
                <w:lang w:val="en-US"/>
              </w:rPr>
              <w:t>变频</w:t>
            </w:r>
            <w:r>
              <w:rPr>
                <w:rFonts w:hint="eastAsia"/>
                <w:sz w:val="21"/>
                <w:szCs w:val="21"/>
              </w:rPr>
              <w:t>电机品牌西门子或 ABB</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92" w:line="360" w:lineRule="auto"/>
              <w:ind w:left="249"/>
              <w:rPr>
                <w:sz w:val="21"/>
                <w:szCs w:val="21"/>
              </w:rPr>
            </w:pPr>
            <w:r>
              <w:rPr>
                <w:rFonts w:hint="eastAsia"/>
                <w:sz w:val="21"/>
                <w:szCs w:val="21"/>
                <w:lang w:val="en-US"/>
              </w:rPr>
              <w:t>4</w:t>
            </w:r>
          </w:p>
        </w:tc>
        <w:tc>
          <w:tcPr>
            <w:tcW w:w="1674" w:type="dxa"/>
          </w:tcPr>
          <w:p>
            <w:pPr>
              <w:pStyle w:val="152"/>
              <w:spacing w:before="138" w:line="360" w:lineRule="auto"/>
              <w:ind w:left="89" w:right="79"/>
              <w:jc w:val="center"/>
              <w:rPr>
                <w:sz w:val="21"/>
                <w:szCs w:val="21"/>
              </w:rPr>
            </w:pPr>
            <w:r>
              <w:rPr>
                <w:rFonts w:hint="eastAsia"/>
                <w:sz w:val="21"/>
                <w:szCs w:val="21"/>
              </w:rPr>
              <w:t>玻镁彩钢板</w:t>
            </w:r>
          </w:p>
        </w:tc>
        <w:tc>
          <w:tcPr>
            <w:tcW w:w="3272" w:type="dxa"/>
          </w:tcPr>
          <w:p>
            <w:pPr>
              <w:pStyle w:val="152"/>
              <w:spacing w:before="1" w:line="360" w:lineRule="auto"/>
              <w:ind w:left="134" w:right="122"/>
              <w:rPr>
                <w:sz w:val="21"/>
                <w:szCs w:val="21"/>
              </w:rPr>
            </w:pPr>
            <w:r>
              <w:rPr>
                <w:rFonts w:hint="eastAsia"/>
                <w:sz w:val="21"/>
                <w:szCs w:val="21"/>
              </w:rPr>
              <w:t>50系列手工型</w:t>
            </w:r>
            <w:r>
              <w:rPr>
                <w:rFonts w:hint="eastAsia"/>
                <w:sz w:val="21"/>
                <w:szCs w:val="21"/>
                <w:lang w:val="en-US"/>
              </w:rPr>
              <w:t>净化</w:t>
            </w:r>
            <w:r>
              <w:rPr>
                <w:rFonts w:hint="eastAsia"/>
                <w:sz w:val="21"/>
                <w:szCs w:val="21"/>
              </w:rPr>
              <w:t>平面双层玻镁板夹心彩钢板</w:t>
            </w:r>
            <w:r>
              <w:rPr>
                <w:rFonts w:hint="eastAsia"/>
                <w:sz w:val="21"/>
                <w:szCs w:val="21"/>
                <w:lang w:val="en-US"/>
              </w:rPr>
              <w:t>或</w:t>
            </w:r>
            <w:r>
              <w:rPr>
                <w:rFonts w:hint="eastAsia"/>
                <w:sz w:val="21"/>
                <w:szCs w:val="21"/>
              </w:rPr>
              <w:t>双层玻镁板</w:t>
            </w:r>
            <w:r>
              <w:rPr>
                <w:rFonts w:hint="eastAsia"/>
                <w:sz w:val="21"/>
                <w:szCs w:val="21"/>
                <w:lang w:val="en-US"/>
              </w:rPr>
              <w:t>岩棉</w:t>
            </w:r>
            <w:r>
              <w:rPr>
                <w:rFonts w:hint="eastAsia"/>
                <w:sz w:val="21"/>
                <w:szCs w:val="21"/>
              </w:rPr>
              <w:t>夹心彩钢板，中字铝型材连接，其钢板厚度≥0.4</w:t>
            </w:r>
            <w:r>
              <w:rPr>
                <w:rFonts w:hint="eastAsia"/>
                <w:sz w:val="21"/>
                <w:szCs w:val="21"/>
                <w:lang w:val="en-US"/>
              </w:rPr>
              <w:t>7</w:t>
            </w:r>
            <w:r>
              <w:rPr>
                <w:rFonts w:hint="eastAsia"/>
                <w:sz w:val="21"/>
                <w:szCs w:val="21"/>
              </w:rPr>
              <w:t>6mm；芯材采用双层≥4mm防火玻镁板,钢板镀锌表面聚酯涂层；夹心彩钢板耐火极限</w:t>
            </w:r>
            <w:r>
              <w:rPr>
                <w:rFonts w:hint="eastAsia"/>
                <w:sz w:val="21"/>
                <w:szCs w:val="21"/>
                <w:lang w:val="en-US"/>
              </w:rPr>
              <w:t>满足防火要求</w:t>
            </w:r>
            <w:r>
              <w:rPr>
                <w:rFonts w:hint="eastAsia"/>
                <w:sz w:val="21"/>
                <w:szCs w:val="21"/>
              </w:rPr>
              <w:t>。</w:t>
            </w:r>
          </w:p>
        </w:tc>
        <w:tc>
          <w:tcPr>
            <w:tcW w:w="1985" w:type="dxa"/>
          </w:tcPr>
          <w:p>
            <w:pPr>
              <w:pStyle w:val="152"/>
              <w:spacing w:before="1" w:line="360" w:lineRule="auto"/>
              <w:ind w:left="134" w:right="122"/>
              <w:jc w:val="center"/>
              <w:rPr>
                <w:sz w:val="21"/>
                <w:szCs w:val="21"/>
              </w:rPr>
            </w:pPr>
            <w:r>
              <w:rPr>
                <w:rFonts w:hint="eastAsia"/>
                <w:sz w:val="21"/>
                <w:szCs w:val="21"/>
              </w:rPr>
              <w:t>协多利、秦净源、医净、黄</w:t>
            </w:r>
          </w:p>
          <w:p>
            <w:pPr>
              <w:pStyle w:val="152"/>
              <w:spacing w:before="1" w:line="360" w:lineRule="auto"/>
              <w:ind w:left="134" w:right="122"/>
              <w:jc w:val="center"/>
              <w:rPr>
                <w:sz w:val="21"/>
                <w:szCs w:val="21"/>
              </w:rPr>
            </w:pPr>
            <w:r>
              <w:rPr>
                <w:rFonts w:hint="eastAsia"/>
                <w:sz w:val="21"/>
                <w:szCs w:val="21"/>
              </w:rPr>
              <w:t>埔、金童</w:t>
            </w:r>
          </w:p>
        </w:tc>
        <w:tc>
          <w:tcPr>
            <w:tcW w:w="1559" w:type="dxa"/>
          </w:tcPr>
          <w:p>
            <w:pPr>
              <w:pStyle w:val="152"/>
              <w:spacing w:before="1" w:line="360" w:lineRule="auto"/>
              <w:ind w:left="106"/>
              <w:rPr>
                <w:sz w:val="21"/>
                <w:szCs w:val="21"/>
                <w:lang w:val="en-US"/>
              </w:rPr>
            </w:pPr>
            <w:r>
              <w:rPr>
                <w:rFonts w:hint="eastAsia"/>
                <w:sz w:val="21"/>
                <w:szCs w:val="21"/>
              </w:rPr>
              <w:t>钢材来源：扬子江抗氧化板或宝钢彩板</w:t>
            </w:r>
            <w:r>
              <w:rPr>
                <w:rFonts w:hint="eastAsia"/>
                <w:sz w:val="21"/>
                <w:szCs w:val="21"/>
                <w:lang w:val="en-US"/>
              </w:rPr>
              <w:t>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38" w:line="360" w:lineRule="auto"/>
              <w:ind w:left="249"/>
              <w:rPr>
                <w:sz w:val="21"/>
                <w:szCs w:val="21"/>
              </w:rPr>
            </w:pPr>
            <w:r>
              <w:rPr>
                <w:rFonts w:hint="eastAsia"/>
                <w:sz w:val="21"/>
                <w:szCs w:val="21"/>
                <w:lang w:val="en-US"/>
              </w:rPr>
              <w:t>5</w:t>
            </w:r>
          </w:p>
        </w:tc>
        <w:tc>
          <w:tcPr>
            <w:tcW w:w="1674" w:type="dxa"/>
          </w:tcPr>
          <w:p>
            <w:pPr>
              <w:pStyle w:val="152"/>
              <w:spacing w:before="92" w:line="360" w:lineRule="auto"/>
              <w:ind w:left="89" w:right="81"/>
              <w:jc w:val="center"/>
              <w:rPr>
                <w:sz w:val="21"/>
                <w:szCs w:val="21"/>
              </w:rPr>
            </w:pPr>
            <w:r>
              <w:rPr>
                <w:rFonts w:hint="eastAsia"/>
                <w:sz w:val="21"/>
                <w:szCs w:val="21"/>
              </w:rPr>
              <w:t>涂料</w:t>
            </w:r>
          </w:p>
        </w:tc>
        <w:tc>
          <w:tcPr>
            <w:tcW w:w="3272" w:type="dxa"/>
          </w:tcPr>
          <w:p>
            <w:pPr>
              <w:pStyle w:val="152"/>
              <w:spacing w:before="1" w:line="360" w:lineRule="auto"/>
              <w:ind w:left="134" w:right="122"/>
              <w:rPr>
                <w:sz w:val="21"/>
                <w:szCs w:val="21"/>
                <w:lang w:val="en-US"/>
              </w:rPr>
            </w:pPr>
            <w:r>
              <w:rPr>
                <w:rFonts w:hint="eastAsia"/>
                <w:sz w:val="21"/>
                <w:szCs w:val="21"/>
                <w:lang w:val="en-US"/>
              </w:rPr>
              <w:t>无机涂料</w:t>
            </w:r>
          </w:p>
        </w:tc>
        <w:tc>
          <w:tcPr>
            <w:tcW w:w="1985" w:type="dxa"/>
          </w:tcPr>
          <w:p>
            <w:pPr>
              <w:pStyle w:val="152"/>
              <w:spacing w:before="1" w:line="360" w:lineRule="auto"/>
              <w:ind w:left="134" w:right="122"/>
              <w:jc w:val="center"/>
              <w:rPr>
                <w:sz w:val="21"/>
                <w:szCs w:val="21"/>
              </w:rPr>
            </w:pPr>
            <w:r>
              <w:rPr>
                <w:rFonts w:hint="eastAsia"/>
                <w:sz w:val="21"/>
                <w:szCs w:val="21"/>
              </w:rPr>
              <w:t>多乐士、立邦、美涂士</w:t>
            </w:r>
          </w:p>
        </w:tc>
        <w:tc>
          <w:tcPr>
            <w:tcW w:w="1559" w:type="dxa"/>
          </w:tcPr>
          <w:p>
            <w:pPr>
              <w:pStyle w:val="152"/>
              <w:spacing w:line="360" w:lineRule="auto"/>
              <w:rPr>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lang w:val="en-US"/>
              </w:rPr>
              <w:t>6</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PVC 地坪</w:t>
            </w:r>
          </w:p>
        </w:tc>
        <w:tc>
          <w:tcPr>
            <w:tcW w:w="3272" w:type="dxa"/>
          </w:tcPr>
          <w:p>
            <w:pPr>
              <w:pStyle w:val="152"/>
              <w:spacing w:before="1" w:line="360" w:lineRule="auto"/>
              <w:ind w:left="134" w:right="122"/>
              <w:rPr>
                <w:sz w:val="21"/>
                <w:szCs w:val="21"/>
              </w:rPr>
            </w:pPr>
            <w:r>
              <w:rPr>
                <w:rFonts w:hint="eastAsia"/>
                <w:sz w:val="21"/>
                <w:szCs w:val="21"/>
              </w:rPr>
              <w:t>自流平PVC地胶。厚度≥2mm，耐磨层厚度0.5mm，耐磨等级T级，</w:t>
            </w:r>
            <w:r>
              <w:rPr>
                <w:rFonts w:hint="eastAsia"/>
                <w:sz w:val="21"/>
                <w:szCs w:val="21"/>
                <w:lang w:val="en-US"/>
              </w:rPr>
              <w:t>墙面</w:t>
            </w:r>
            <w:r>
              <w:rPr>
                <w:rFonts w:hint="eastAsia"/>
                <w:sz w:val="21"/>
                <w:szCs w:val="21"/>
              </w:rPr>
              <w:t>与地面的交角采用圆弧处理（R≥50），</w:t>
            </w:r>
            <w:r>
              <w:rPr>
                <w:rFonts w:hint="eastAsia"/>
                <w:sz w:val="21"/>
                <w:szCs w:val="21"/>
                <w:lang w:val="en-US"/>
              </w:rPr>
              <w:t>地胶上翻</w:t>
            </w:r>
            <w:r>
              <w:rPr>
                <w:rFonts w:hint="eastAsia"/>
                <w:sz w:val="21"/>
                <w:szCs w:val="21"/>
              </w:rPr>
              <w:t>墙面。</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LG、法国德嘉、意大利盟多、阿姆斯壮</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lang w:val="en-US"/>
              </w:rPr>
              <w:t>7</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专用密闭门</w:t>
            </w:r>
          </w:p>
        </w:tc>
        <w:tc>
          <w:tcPr>
            <w:tcW w:w="3272" w:type="dxa"/>
          </w:tcPr>
          <w:p>
            <w:pPr>
              <w:pStyle w:val="152"/>
              <w:spacing w:before="1" w:line="360" w:lineRule="auto"/>
              <w:ind w:left="134" w:right="122"/>
              <w:rPr>
                <w:sz w:val="21"/>
                <w:szCs w:val="21"/>
              </w:rPr>
            </w:pPr>
            <w:r>
              <w:rPr>
                <w:rFonts w:hint="eastAsia"/>
                <w:sz w:val="21"/>
                <w:szCs w:val="21"/>
              </w:rPr>
              <w:t>整体成品净化密闭钢制门</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欧尼克、特新、欧洁、医净</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lang w:val="en-US"/>
              </w:rPr>
              <w:t>8</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干蒸汽加湿器</w:t>
            </w:r>
          </w:p>
        </w:tc>
        <w:tc>
          <w:tcPr>
            <w:tcW w:w="3272" w:type="dxa"/>
          </w:tcPr>
          <w:p>
            <w:pPr>
              <w:pStyle w:val="152"/>
              <w:spacing w:before="1" w:line="360" w:lineRule="auto"/>
              <w:ind w:left="134" w:right="122"/>
              <w:rPr>
                <w:sz w:val="21"/>
                <w:szCs w:val="21"/>
              </w:rPr>
            </w:pPr>
            <w:r>
              <w:rPr>
                <w:rFonts w:hint="eastAsia"/>
                <w:sz w:val="21"/>
                <w:szCs w:val="21"/>
              </w:rPr>
              <w:t>加湿效率高达9</w:t>
            </w:r>
            <w:r>
              <w:rPr>
                <w:rFonts w:hint="eastAsia"/>
                <w:sz w:val="21"/>
                <w:szCs w:val="21"/>
                <w:lang w:val="en-US"/>
              </w:rPr>
              <w:t>0</w:t>
            </w:r>
            <w:r>
              <w:rPr>
                <w:rFonts w:hint="eastAsia"/>
                <w:sz w:val="21"/>
                <w:szCs w:val="21"/>
              </w:rPr>
              <w:t>%以上，全不锈钢材料制造，双层蒸汽套管和消音结构，</w:t>
            </w:r>
            <w:r>
              <w:rPr>
                <w:rFonts w:hint="eastAsia"/>
                <w:sz w:val="21"/>
                <w:szCs w:val="21"/>
                <w:lang w:val="en-US"/>
              </w:rPr>
              <w:t>液</w:t>
            </w:r>
            <w:r>
              <w:rPr>
                <w:rFonts w:hint="eastAsia"/>
                <w:sz w:val="21"/>
                <w:szCs w:val="21"/>
              </w:rPr>
              <w:t>汽</w:t>
            </w:r>
            <w:r>
              <w:rPr>
                <w:rFonts w:hint="eastAsia"/>
                <w:sz w:val="21"/>
                <w:szCs w:val="21"/>
                <w:lang w:val="en-US"/>
              </w:rPr>
              <w:t>分离</w:t>
            </w:r>
            <w:r>
              <w:rPr>
                <w:rFonts w:hint="eastAsia"/>
                <w:sz w:val="21"/>
                <w:szCs w:val="21"/>
              </w:rPr>
              <w:t>。</w:t>
            </w:r>
            <w:r>
              <w:rPr>
                <w:rFonts w:hint="eastAsia"/>
                <w:sz w:val="21"/>
                <w:szCs w:val="21"/>
                <w:lang w:val="en-US"/>
              </w:rPr>
              <w:t>配置</w:t>
            </w:r>
            <w:r>
              <w:fldChar w:fldCharType="begin"/>
            </w:r>
            <w:r>
              <w:instrText xml:space="preserve"> HYPERLINK "https://baike.baidu.com/item/%E7%94%B5%E5%8A%A8%E8%B0%83%E8%8A%82%E9%98%80/3679961" \t "https://baike.baidu.com/item/%E5%B9%B2%E8%92%B8%E6%B1%BD%E5%8A%A0%E6%B9%BF%E5%99%A8/_blank" </w:instrText>
            </w:r>
            <w:r>
              <w:fldChar w:fldCharType="separate"/>
            </w:r>
            <w:r>
              <w:rPr>
                <w:rFonts w:hint="eastAsia"/>
                <w:sz w:val="21"/>
                <w:szCs w:val="21"/>
              </w:rPr>
              <w:t>电动调节阀</w:t>
            </w:r>
            <w:r>
              <w:rPr>
                <w:rFonts w:hint="eastAsia"/>
                <w:sz w:val="21"/>
                <w:szCs w:val="21"/>
              </w:rPr>
              <w:fldChar w:fldCharType="end"/>
            </w:r>
            <w:r>
              <w:rPr>
                <w:rFonts w:hint="eastAsia"/>
                <w:sz w:val="21"/>
                <w:szCs w:val="21"/>
              </w:rPr>
              <w:t>、电磁阀，实现对湿度的远程精确调节控制</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瑞士诺曼、思探得、日本湿王</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lang w:val="en-US"/>
              </w:rPr>
              <w:t>9</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风机盘管</w:t>
            </w:r>
          </w:p>
        </w:tc>
        <w:tc>
          <w:tcPr>
            <w:tcW w:w="3272" w:type="dxa"/>
          </w:tcPr>
          <w:p>
            <w:pPr>
              <w:pStyle w:val="152"/>
              <w:spacing w:before="1" w:line="360" w:lineRule="auto"/>
              <w:ind w:left="134" w:right="122"/>
              <w:rPr>
                <w:sz w:val="21"/>
                <w:szCs w:val="21"/>
              </w:rPr>
            </w:pPr>
            <w:r>
              <w:rPr>
                <w:rFonts w:hint="eastAsia"/>
                <w:sz w:val="21"/>
                <w:szCs w:val="21"/>
              </w:rPr>
              <w:t>暗装机组，</w:t>
            </w:r>
            <w:r>
              <w:rPr>
                <w:rFonts w:hint="eastAsia"/>
                <w:sz w:val="21"/>
                <w:szCs w:val="21"/>
                <w:lang w:val="en-US"/>
              </w:rPr>
              <w:t>配置</w:t>
            </w:r>
            <w:r>
              <w:rPr>
                <w:rFonts w:hint="eastAsia"/>
                <w:sz w:val="21"/>
                <w:szCs w:val="21"/>
              </w:rPr>
              <w:t>送风口、回风口，</w:t>
            </w:r>
            <w:r>
              <w:rPr>
                <w:rFonts w:hint="eastAsia"/>
                <w:sz w:val="21"/>
                <w:szCs w:val="21"/>
                <w:lang w:val="en-US"/>
              </w:rPr>
              <w:t>设置</w:t>
            </w:r>
            <w:r>
              <w:rPr>
                <w:rFonts w:hint="eastAsia"/>
                <w:sz w:val="21"/>
                <w:szCs w:val="21"/>
              </w:rPr>
              <w:t>风口过滤器。</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富田、天</w:t>
            </w:r>
            <w:r>
              <w:rPr>
                <w:rFonts w:hint="eastAsia"/>
                <w:spacing w:val="-3"/>
                <w:sz w:val="21"/>
                <w:szCs w:val="21"/>
                <w:lang w:val="en-US"/>
              </w:rPr>
              <w:t>加</w:t>
            </w:r>
            <w:r>
              <w:rPr>
                <w:rFonts w:hint="eastAsia"/>
                <w:spacing w:val="-3"/>
                <w:sz w:val="21"/>
                <w:szCs w:val="21"/>
              </w:rPr>
              <w:t>、国祥、美的、开利、特灵</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6"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0</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过滤器</w:t>
            </w:r>
          </w:p>
        </w:tc>
        <w:tc>
          <w:tcPr>
            <w:tcW w:w="3272" w:type="dxa"/>
          </w:tcPr>
          <w:p>
            <w:pPr>
              <w:pStyle w:val="152"/>
              <w:spacing w:before="1" w:line="360" w:lineRule="auto"/>
              <w:ind w:left="134" w:right="122"/>
              <w:rPr>
                <w:sz w:val="21"/>
                <w:szCs w:val="21"/>
                <w:lang w:val="en-US"/>
              </w:rPr>
            </w:pPr>
            <w:r>
              <w:rPr>
                <w:rFonts w:hint="eastAsia"/>
                <w:sz w:val="21"/>
                <w:szCs w:val="21"/>
                <w:lang w:val="en-US"/>
              </w:rPr>
              <w:t>初中高效过滤器，</w:t>
            </w:r>
            <w:r>
              <w:rPr>
                <w:rFonts w:hint="eastAsia"/>
                <w:sz w:val="21"/>
                <w:szCs w:val="21"/>
              </w:rPr>
              <w:t>《空气过滤器》GBT14295-2008</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AAF、MayAir、红光、华泰、康斐尔</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1</w:t>
            </w:r>
          </w:p>
        </w:tc>
        <w:tc>
          <w:tcPr>
            <w:tcW w:w="1674" w:type="dxa"/>
          </w:tcPr>
          <w:p>
            <w:pPr>
              <w:pStyle w:val="152"/>
              <w:spacing w:before="1" w:line="360" w:lineRule="auto"/>
              <w:ind w:left="134" w:right="122"/>
              <w:jc w:val="center"/>
              <w:rPr>
                <w:sz w:val="21"/>
                <w:szCs w:val="21"/>
              </w:rPr>
            </w:pPr>
            <w:r>
              <w:rPr>
                <w:rFonts w:hint="eastAsia"/>
                <w:sz w:val="21"/>
                <w:szCs w:val="21"/>
              </w:rPr>
              <w:t>定风量阀</w:t>
            </w:r>
          </w:p>
        </w:tc>
        <w:tc>
          <w:tcPr>
            <w:tcW w:w="3272" w:type="dxa"/>
          </w:tcPr>
          <w:p>
            <w:pPr>
              <w:pStyle w:val="152"/>
              <w:spacing w:before="1" w:line="360" w:lineRule="auto"/>
              <w:ind w:left="134" w:right="122"/>
              <w:rPr>
                <w:sz w:val="21"/>
                <w:szCs w:val="21"/>
              </w:rPr>
            </w:pPr>
            <w:r>
              <w:rPr>
                <w:rFonts w:hint="eastAsia"/>
                <w:sz w:val="21"/>
                <w:szCs w:val="21"/>
                <w:lang w:val="en-US"/>
              </w:rPr>
              <w:t>作温度一般为10～50℃，压差范围为50～1000Pa，调节精度约为±5%</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皇家、科泰、开思托、龙泰吉、妥思</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2</w:t>
            </w:r>
          </w:p>
        </w:tc>
        <w:tc>
          <w:tcPr>
            <w:tcW w:w="1674" w:type="dxa"/>
          </w:tcPr>
          <w:p>
            <w:pPr>
              <w:pStyle w:val="152"/>
              <w:spacing w:before="1" w:line="360" w:lineRule="auto"/>
              <w:ind w:left="134" w:right="122"/>
              <w:jc w:val="center"/>
              <w:rPr>
                <w:sz w:val="21"/>
                <w:szCs w:val="21"/>
              </w:rPr>
            </w:pPr>
            <w:r>
              <w:rPr>
                <w:rFonts w:hint="eastAsia"/>
                <w:sz w:val="21"/>
                <w:szCs w:val="21"/>
              </w:rPr>
              <w:t>镀锌风管/不锈钢风管</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宝钢、武钢、马钢、攀钢</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3</w:t>
            </w:r>
          </w:p>
        </w:tc>
        <w:tc>
          <w:tcPr>
            <w:tcW w:w="1674" w:type="dxa"/>
          </w:tcPr>
          <w:p>
            <w:pPr>
              <w:pStyle w:val="152"/>
              <w:spacing w:before="1" w:line="360" w:lineRule="auto"/>
              <w:ind w:left="134" w:right="122"/>
              <w:jc w:val="center"/>
              <w:rPr>
                <w:sz w:val="21"/>
                <w:szCs w:val="21"/>
              </w:rPr>
            </w:pPr>
            <w:r>
              <w:rPr>
                <w:rFonts w:hint="eastAsia"/>
                <w:sz w:val="21"/>
                <w:szCs w:val="21"/>
              </w:rPr>
              <w:t>水泵</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凯泉、格兰富、</w:t>
            </w:r>
            <w:r>
              <w:rPr>
                <w:rFonts w:hint="eastAsia"/>
                <w:spacing w:val="-3"/>
                <w:sz w:val="21"/>
                <w:szCs w:val="21"/>
                <w:lang w:val="en-US"/>
              </w:rPr>
              <w:t>威乐</w:t>
            </w:r>
            <w:r>
              <w:rPr>
                <w:rFonts w:hint="eastAsia"/>
                <w:spacing w:val="-3"/>
                <w:sz w:val="21"/>
                <w:szCs w:val="21"/>
              </w:rPr>
              <w:t>、凯利</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4</w:t>
            </w:r>
          </w:p>
        </w:tc>
        <w:tc>
          <w:tcPr>
            <w:tcW w:w="1674" w:type="dxa"/>
          </w:tcPr>
          <w:p>
            <w:pPr>
              <w:pStyle w:val="152"/>
              <w:spacing w:before="1" w:line="360" w:lineRule="auto"/>
              <w:ind w:left="134" w:right="122"/>
              <w:jc w:val="center"/>
              <w:rPr>
                <w:sz w:val="21"/>
                <w:szCs w:val="21"/>
                <w:lang w:val="en-US"/>
              </w:rPr>
            </w:pPr>
            <w:r>
              <w:rPr>
                <w:rFonts w:hint="eastAsia"/>
                <w:sz w:val="21"/>
                <w:szCs w:val="21"/>
              </w:rPr>
              <w:t>控制箱/配电</w:t>
            </w:r>
            <w:r>
              <w:rPr>
                <w:rFonts w:hint="eastAsia"/>
                <w:sz w:val="21"/>
                <w:szCs w:val="21"/>
                <w:lang w:val="en-US"/>
              </w:rPr>
              <w:t>箱</w:t>
            </w:r>
          </w:p>
          <w:p>
            <w:pPr>
              <w:pStyle w:val="152"/>
              <w:spacing w:before="1" w:line="360" w:lineRule="auto"/>
              <w:ind w:left="134" w:right="122"/>
              <w:jc w:val="center"/>
              <w:rPr>
                <w:sz w:val="21"/>
                <w:szCs w:val="21"/>
              </w:rPr>
            </w:pPr>
            <w:r>
              <w:rPr>
                <w:rFonts w:hint="eastAsia"/>
                <w:sz w:val="21"/>
                <w:szCs w:val="21"/>
              </w:rPr>
              <w:t>/变频器</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施耐德、ABB、西门子</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5</w:t>
            </w:r>
          </w:p>
        </w:tc>
        <w:tc>
          <w:tcPr>
            <w:tcW w:w="1674" w:type="dxa"/>
          </w:tcPr>
          <w:p>
            <w:pPr>
              <w:pStyle w:val="152"/>
              <w:spacing w:before="1" w:line="360" w:lineRule="auto"/>
              <w:ind w:left="134" w:right="122"/>
              <w:jc w:val="center"/>
              <w:rPr>
                <w:sz w:val="21"/>
                <w:szCs w:val="21"/>
              </w:rPr>
            </w:pPr>
            <w:r>
              <w:rPr>
                <w:rFonts w:hint="eastAsia"/>
                <w:sz w:val="21"/>
                <w:szCs w:val="21"/>
              </w:rPr>
              <w:t>LED（平板）灯具</w:t>
            </w:r>
          </w:p>
        </w:tc>
        <w:tc>
          <w:tcPr>
            <w:tcW w:w="3272" w:type="dxa"/>
          </w:tcPr>
          <w:p>
            <w:pPr>
              <w:pStyle w:val="152"/>
              <w:spacing w:before="1" w:line="360" w:lineRule="auto"/>
              <w:ind w:left="134" w:right="122"/>
              <w:rPr>
                <w:sz w:val="21"/>
                <w:szCs w:val="21"/>
                <w:lang w:val="en-US"/>
              </w:rPr>
            </w:pPr>
            <w:r>
              <w:rPr>
                <w:rFonts w:hint="eastAsia"/>
                <w:sz w:val="21"/>
                <w:szCs w:val="21"/>
                <w:lang w:val="en-US"/>
              </w:rPr>
              <w:t>净化房间使用，洁净密闭型</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飞利浦、海仕伦、云镜、申达、欧恩、医净</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6</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开关插座</w:t>
            </w:r>
          </w:p>
        </w:tc>
        <w:tc>
          <w:tcPr>
            <w:tcW w:w="3272" w:type="dxa"/>
          </w:tcPr>
          <w:p>
            <w:pPr>
              <w:pStyle w:val="152"/>
              <w:spacing w:before="1" w:line="360" w:lineRule="auto"/>
              <w:ind w:left="134" w:right="122"/>
              <w:rPr>
                <w:sz w:val="21"/>
                <w:szCs w:val="21"/>
              </w:rPr>
            </w:pPr>
            <w:r>
              <w:rPr>
                <w:rFonts w:hint="eastAsia"/>
                <w:sz w:val="21"/>
                <w:szCs w:val="21"/>
                <w:lang w:val="en-US"/>
              </w:rPr>
              <w:t>净化房间使用，洁净密闭型</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西门子、TCL、施耐德、罗格朗</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5"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1</w:t>
            </w:r>
            <w:r>
              <w:rPr>
                <w:rFonts w:hint="eastAsia"/>
                <w:spacing w:val="-3"/>
                <w:sz w:val="21"/>
                <w:szCs w:val="21"/>
                <w:lang w:val="en-US"/>
              </w:rPr>
              <w:t>7</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电线电缆</w:t>
            </w:r>
          </w:p>
        </w:tc>
        <w:tc>
          <w:tcPr>
            <w:tcW w:w="3272" w:type="dxa"/>
          </w:tcPr>
          <w:p>
            <w:pPr>
              <w:pStyle w:val="152"/>
              <w:spacing w:before="1" w:line="360" w:lineRule="auto"/>
              <w:ind w:left="134" w:right="122"/>
              <w:rPr>
                <w:sz w:val="21"/>
                <w:szCs w:val="21"/>
                <w:lang w:val="en-US"/>
              </w:rPr>
            </w:pPr>
            <w:r>
              <w:rPr>
                <w:rFonts w:hint="eastAsia"/>
                <w:sz w:val="21"/>
                <w:szCs w:val="21"/>
                <w:lang w:val="en-US"/>
              </w:rPr>
              <w:t>低烟无卤型</w:t>
            </w: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宏胜、成塑、特变、远东、美河、起帆</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18</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数字硬盘录象</w:t>
            </w:r>
          </w:p>
          <w:p>
            <w:pPr>
              <w:pStyle w:val="152"/>
              <w:spacing w:before="1" w:line="360" w:lineRule="auto"/>
              <w:ind w:left="134" w:right="122"/>
              <w:jc w:val="center"/>
              <w:rPr>
                <w:spacing w:val="-3"/>
                <w:sz w:val="21"/>
                <w:szCs w:val="21"/>
              </w:rPr>
            </w:pPr>
            <w:r>
              <w:rPr>
                <w:rFonts w:hint="eastAsia"/>
                <w:spacing w:val="-3"/>
                <w:sz w:val="21"/>
                <w:szCs w:val="21"/>
              </w:rPr>
              <w:t>机：</w:t>
            </w:r>
          </w:p>
        </w:tc>
        <w:tc>
          <w:tcPr>
            <w:tcW w:w="3272" w:type="dxa"/>
          </w:tcPr>
          <w:p>
            <w:pPr>
              <w:pStyle w:val="152"/>
              <w:spacing w:before="1" w:line="360" w:lineRule="auto"/>
              <w:ind w:left="134" w:right="122"/>
              <w:rPr>
                <w:sz w:val="21"/>
                <w:szCs w:val="21"/>
                <w:lang w:val="en-US"/>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海康、三星、泰科</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19</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数字彩色摄像</w:t>
            </w:r>
          </w:p>
          <w:p>
            <w:pPr>
              <w:pStyle w:val="152"/>
              <w:spacing w:before="1" w:line="360" w:lineRule="auto"/>
              <w:ind w:left="134" w:right="122"/>
              <w:jc w:val="center"/>
              <w:rPr>
                <w:spacing w:val="-3"/>
                <w:sz w:val="21"/>
                <w:szCs w:val="21"/>
              </w:rPr>
            </w:pPr>
            <w:r>
              <w:rPr>
                <w:rFonts w:hint="eastAsia"/>
                <w:spacing w:val="-3"/>
                <w:sz w:val="21"/>
                <w:szCs w:val="21"/>
              </w:rPr>
              <w:t>机</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海康、三星、泰科</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2</w:t>
            </w:r>
            <w:r>
              <w:rPr>
                <w:rFonts w:hint="eastAsia"/>
                <w:spacing w:val="-3"/>
                <w:sz w:val="21"/>
                <w:szCs w:val="21"/>
                <w:lang w:val="en-US"/>
              </w:rPr>
              <w:t>0</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门禁管理主机</w:t>
            </w:r>
          </w:p>
        </w:tc>
        <w:tc>
          <w:tcPr>
            <w:tcW w:w="3272" w:type="dxa"/>
          </w:tcPr>
          <w:p>
            <w:pPr>
              <w:pStyle w:val="152"/>
              <w:spacing w:before="1" w:line="360" w:lineRule="auto"/>
              <w:ind w:left="134" w:right="122"/>
              <w:rPr>
                <w:sz w:val="21"/>
                <w:szCs w:val="21"/>
                <w:lang w:val="en-US"/>
              </w:rPr>
            </w:pPr>
          </w:p>
        </w:tc>
        <w:tc>
          <w:tcPr>
            <w:tcW w:w="1985"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SYRIS</w:t>
            </w:r>
            <w:r>
              <w:rPr>
                <w:rFonts w:hint="eastAsia"/>
                <w:spacing w:val="-3"/>
                <w:sz w:val="21"/>
                <w:szCs w:val="21"/>
              </w:rPr>
              <w:t>、</w:t>
            </w:r>
            <w:r>
              <w:rPr>
                <w:rFonts w:hint="eastAsia"/>
                <w:spacing w:val="-3"/>
                <w:sz w:val="21"/>
                <w:szCs w:val="21"/>
                <w:lang w:val="en-US"/>
              </w:rPr>
              <w:t>PORIS</w:t>
            </w:r>
            <w:r>
              <w:rPr>
                <w:rFonts w:hint="eastAsia"/>
                <w:spacing w:val="-3"/>
                <w:sz w:val="21"/>
                <w:szCs w:val="21"/>
              </w:rPr>
              <w:t>、泰科</w:t>
            </w:r>
          </w:p>
        </w:tc>
        <w:tc>
          <w:tcPr>
            <w:tcW w:w="1559" w:type="dxa"/>
          </w:tcPr>
          <w:p>
            <w:pPr>
              <w:pStyle w:val="152"/>
              <w:spacing w:before="1" w:line="360" w:lineRule="auto"/>
              <w:ind w:left="134" w:right="122"/>
              <w:jc w:val="center"/>
              <w:rPr>
                <w:spacing w:val="-3"/>
                <w:sz w:val="21"/>
                <w:szCs w:val="21"/>
                <w:lang w:val="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rPr>
            </w:pPr>
            <w:r>
              <w:rPr>
                <w:rFonts w:hint="eastAsia"/>
                <w:spacing w:val="-3"/>
                <w:sz w:val="21"/>
                <w:szCs w:val="21"/>
              </w:rPr>
              <w:t>2</w:t>
            </w:r>
            <w:r>
              <w:rPr>
                <w:rFonts w:hint="eastAsia"/>
                <w:spacing w:val="-3"/>
                <w:sz w:val="21"/>
                <w:szCs w:val="21"/>
                <w:lang w:val="en-US"/>
              </w:rPr>
              <w:t>1</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控制器/传感器/执行器/压差开关/监控软件</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西门子、山伍、霍尼韦尔、博尼莫、江森</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6" w:hRule="atLeast"/>
        </w:trPr>
        <w:tc>
          <w:tcPr>
            <w:tcW w:w="1174"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22</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灭菌器</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千樱、三浦、新华、江汉</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1174"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23</w:t>
            </w:r>
          </w:p>
        </w:tc>
        <w:tc>
          <w:tcPr>
            <w:tcW w:w="1674" w:type="dxa"/>
          </w:tcPr>
          <w:p>
            <w:pPr>
              <w:pStyle w:val="152"/>
              <w:spacing w:before="1" w:line="360" w:lineRule="auto"/>
              <w:ind w:left="134" w:right="122"/>
              <w:jc w:val="center"/>
              <w:rPr>
                <w:spacing w:val="-3"/>
                <w:sz w:val="21"/>
                <w:szCs w:val="21"/>
              </w:rPr>
            </w:pPr>
            <w:r>
              <w:rPr>
                <w:rFonts w:hint="eastAsia"/>
                <w:spacing w:val="-3"/>
                <w:sz w:val="21"/>
                <w:szCs w:val="21"/>
              </w:rPr>
              <w:t>风口风阀</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上海盈达、上海研普、芯锐、红光、华联达</w:t>
            </w:r>
          </w:p>
        </w:tc>
        <w:tc>
          <w:tcPr>
            <w:tcW w:w="1559" w:type="dxa"/>
          </w:tcPr>
          <w:p>
            <w:pPr>
              <w:pStyle w:val="152"/>
              <w:spacing w:before="1" w:line="360" w:lineRule="auto"/>
              <w:ind w:left="134" w:right="122"/>
              <w:jc w:val="center"/>
              <w:rPr>
                <w:spacing w:val="-3"/>
                <w:sz w:val="21"/>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7" w:hRule="atLeast"/>
        </w:trPr>
        <w:tc>
          <w:tcPr>
            <w:tcW w:w="1174" w:type="dxa"/>
          </w:tcPr>
          <w:p>
            <w:pPr>
              <w:pStyle w:val="152"/>
              <w:spacing w:before="1" w:line="360" w:lineRule="auto"/>
              <w:ind w:left="134" w:right="122"/>
              <w:jc w:val="center"/>
              <w:rPr>
                <w:spacing w:val="-3"/>
                <w:sz w:val="21"/>
                <w:szCs w:val="21"/>
                <w:lang w:val="en-US"/>
              </w:rPr>
            </w:pPr>
            <w:r>
              <w:rPr>
                <w:rFonts w:hint="eastAsia"/>
                <w:spacing w:val="-3"/>
                <w:sz w:val="21"/>
                <w:szCs w:val="21"/>
                <w:lang w:val="en-US"/>
              </w:rPr>
              <w:t>24</w:t>
            </w:r>
          </w:p>
        </w:tc>
        <w:tc>
          <w:tcPr>
            <w:tcW w:w="1674" w:type="dxa"/>
          </w:tcPr>
          <w:p>
            <w:pPr>
              <w:pStyle w:val="152"/>
              <w:spacing w:before="1" w:line="360" w:lineRule="auto"/>
              <w:ind w:left="134" w:right="122"/>
              <w:jc w:val="center"/>
              <w:rPr>
                <w:spacing w:val="-3"/>
                <w:sz w:val="21"/>
                <w:szCs w:val="21"/>
              </w:rPr>
            </w:pPr>
            <w:r>
              <w:rPr>
                <w:rFonts w:hint="eastAsia"/>
                <w:spacing w:val="-3"/>
                <w:sz w:val="21"/>
                <w:szCs w:val="21"/>
                <w:lang w:val="en-US"/>
              </w:rPr>
              <w:t>光催化加</w:t>
            </w:r>
            <w:r>
              <w:rPr>
                <w:rFonts w:hint="eastAsia"/>
                <w:spacing w:val="-3"/>
                <w:sz w:val="21"/>
                <w:szCs w:val="21"/>
              </w:rPr>
              <w:t>喷淋除臭设备</w:t>
            </w:r>
          </w:p>
        </w:tc>
        <w:tc>
          <w:tcPr>
            <w:tcW w:w="3272" w:type="dxa"/>
          </w:tcPr>
          <w:p>
            <w:pPr>
              <w:pStyle w:val="152"/>
              <w:spacing w:before="1" w:line="360" w:lineRule="auto"/>
              <w:ind w:left="134" w:right="122"/>
              <w:rPr>
                <w:sz w:val="21"/>
                <w:szCs w:val="21"/>
              </w:rPr>
            </w:pPr>
          </w:p>
        </w:tc>
        <w:tc>
          <w:tcPr>
            <w:tcW w:w="1985" w:type="dxa"/>
          </w:tcPr>
          <w:p>
            <w:pPr>
              <w:pStyle w:val="152"/>
              <w:spacing w:before="1" w:line="360" w:lineRule="auto"/>
              <w:ind w:left="134" w:right="122"/>
              <w:jc w:val="center"/>
              <w:rPr>
                <w:spacing w:val="-3"/>
                <w:sz w:val="21"/>
                <w:szCs w:val="21"/>
              </w:rPr>
            </w:pPr>
            <w:r>
              <w:rPr>
                <w:rFonts w:hint="eastAsia"/>
                <w:spacing w:val="-3"/>
                <w:sz w:val="21"/>
                <w:szCs w:val="21"/>
              </w:rPr>
              <w:t>北京北盛、上海鸣励、西安富康</w:t>
            </w:r>
          </w:p>
        </w:tc>
        <w:tc>
          <w:tcPr>
            <w:tcW w:w="1559" w:type="dxa"/>
          </w:tcPr>
          <w:p>
            <w:pPr>
              <w:pStyle w:val="152"/>
              <w:spacing w:before="1" w:line="360" w:lineRule="auto"/>
              <w:ind w:left="134" w:right="122"/>
              <w:jc w:val="center"/>
              <w:rPr>
                <w:spacing w:val="-3"/>
                <w:sz w:val="21"/>
                <w:szCs w:val="21"/>
              </w:rPr>
            </w:pPr>
          </w:p>
        </w:tc>
      </w:tr>
    </w:tbl>
    <w:p>
      <w:pPr>
        <w:spacing w:line="360" w:lineRule="auto"/>
        <w:rPr>
          <w:rFonts w:ascii="宋体" w:hAnsi="宋体"/>
          <w:color w:val="000000" w:themeColor="text1"/>
          <w:spacing w:val="-2"/>
          <w:sz w:val="24"/>
          <w14:textFill>
            <w14:solidFill>
              <w14:schemeClr w14:val="tx1"/>
            </w14:solidFill>
          </w14:textFill>
        </w:rPr>
      </w:pP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注：施工材料设备经甲方及监理审查后方能进场。投标人在报价时必须注明材料的规格和品牌，但不得低于磋商文件的要求。实施时如果采购人认为该品牌不能满足项目要求，成交人必须按要求更换，且不能得到任何费用的补偿。</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注:根据财政部、发展改革委、生态环境部、市场监管总局联合发布《关于调整优化节能产品、环境标志产品政府采购执行机制的通知》(财库〔2019〕9号)，对政府采购节能产品、环境标志产品实施品目清单管理，本项目如涉及政府强制采购产品（节能产品政府采购品目清单中★号产品），投标时提供承诺函（见投标文件格式），供货时提供认证结果信息发布平台公布的该产品认证信息截图，或者在有效期内的强制节能产品认证证书。</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三、商务要求</w:t>
      </w:r>
      <w:r>
        <w:rPr>
          <w:rFonts w:hint="eastAsia" w:ascii="宋体" w:hAnsi="宋体"/>
          <w:spacing w:val="-2"/>
          <w:sz w:val="24"/>
        </w:rPr>
        <w:t>（实质性要求）</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1、交货期及地点</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1.1工期:签订合同之日起240日历天（其中设计：60日历天，施工：180日历天）内完成交付。</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1.2项目实施地点:</w:t>
      </w:r>
      <w:r>
        <w:rPr>
          <w:rFonts w:hint="eastAsia"/>
        </w:rPr>
        <w:t xml:space="preserve"> </w:t>
      </w:r>
      <w:r>
        <w:rPr>
          <w:rFonts w:hint="eastAsia" w:ascii="宋体" w:hAnsi="宋体"/>
          <w:color w:val="000000" w:themeColor="text1"/>
          <w:spacing w:val="-2"/>
          <w:sz w:val="24"/>
          <w14:textFill>
            <w14:solidFill>
              <w14:schemeClr w14:val="tx1"/>
            </w14:solidFill>
          </w14:textFill>
        </w:rPr>
        <w:t>电子科技大学沙河校区内。</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2、本项目付款方式为:</w:t>
      </w:r>
      <w:r>
        <w:rPr>
          <w:rFonts w:hint="eastAsia"/>
        </w:rPr>
        <w:t xml:space="preserve"> </w:t>
      </w:r>
      <w:r>
        <w:rPr>
          <w:rFonts w:hint="eastAsia" w:ascii="宋体" w:hAnsi="宋体"/>
          <w:color w:val="000000" w:themeColor="text1"/>
          <w:spacing w:val="-2"/>
          <w:sz w:val="24"/>
          <w14:textFill>
            <w14:solidFill>
              <w14:schemeClr w14:val="tx1"/>
            </w14:solidFill>
          </w14:textFill>
        </w:rPr>
        <w:t>合同签订并生效后，设计部分：提交全部方案设计图并通过学校同意后10日内支付合同价款的30%；施工图设计成果交付时支付合同价款的20%；施工图设计文件通过施工图审查后10日内支付合同价款的10%，工程主体验收合格后10日内支付合同价款的20%，工程竣工验收合格并签署设计意见办理完设计费结算后15天内付清余款。施工部分：供应商根据现场情况进行施工图设计，并编制工程量清单，经采购人审核通过后，材料进场时采购人支付施工部分第一笔工程款为合同暂定金额的20%，施工期间每月按该月工程量与总工程量占比，合同暂定金额的同样比例的70%支付进度款，进度付款首先抵扣预付款，预付款分3次扣回；工程竣工验收合格后并经审计结算后支付至工程结算价金额的97%，剩余工程结算价金额的3%作为工程质保金。待缺陷责任期满且无质量问题后一次性退还。</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3、安装调试及培训:</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3.1供应商负责产品安装、调试，直至采购人能正常使用，所需的一切材料、备件、专业工具均由供应商负责提供。供应商应向采购人提供产品安装、维修所需的专用工具和仪器。</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3.2供应商应就产品的安装、调试、操作、维修、保养等对采购人维修技术人员进行培训。产品安装调试完毕后，供应商应对采购人操作人员进行现场培训，直至采购人的技术人员能独立操作，同时能完成一般常见故障的维修工作。</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4、售后服务:</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4.1缺陷责任期:自项目验收交付之日起，缺陷责任期为2年；</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4.2缺陷责任期内供应商应免费负责产品维护、维修及抢修在质保期内设置7*24小时技术支持热线电话（固话、手机）。如2小时内无法电话解决问题，供应商维修工程师必须在接到故障报告后24小时内到达采购人现场修理和更换零件。</w:t>
      </w:r>
    </w:p>
    <w:p>
      <w:pPr>
        <w:spacing w:line="360" w:lineRule="auto"/>
        <w:rPr>
          <w:rFonts w:ascii="宋体" w:hAnsi="宋体"/>
          <w:color w:val="000000" w:themeColor="text1"/>
          <w:spacing w:val="-2"/>
          <w:sz w:val="24"/>
          <w14:textFill>
            <w14:solidFill>
              <w14:schemeClr w14:val="tx1"/>
            </w14:solidFill>
          </w14:textFill>
        </w:rPr>
      </w:pPr>
      <w:r>
        <w:rPr>
          <w:rFonts w:hint="eastAsia" w:ascii="宋体" w:hAnsi="宋体"/>
          <w:color w:val="000000" w:themeColor="text1"/>
          <w:spacing w:val="-2"/>
          <w:sz w:val="24"/>
          <w14:textFill>
            <w14:solidFill>
              <w14:schemeClr w14:val="tx1"/>
            </w14:solidFill>
          </w14:textFill>
        </w:rPr>
        <w:t>5、验收</w:t>
      </w:r>
    </w:p>
    <w:p>
      <w:pPr>
        <w:widowControl/>
        <w:spacing w:line="360" w:lineRule="auto"/>
        <w:ind w:firstLine="462"/>
        <w:jc w:val="left"/>
        <w:rPr>
          <w:rFonts w:ascii="宋体" w:hAnsi="宋体"/>
          <w:sz w:val="24"/>
        </w:rPr>
      </w:pPr>
      <w:r>
        <w:rPr>
          <w:rFonts w:hint="eastAsia" w:ascii="宋体" w:hAnsi="宋体"/>
          <w:color w:val="000000" w:themeColor="text1"/>
          <w:spacing w:val="-2"/>
          <w:sz w:val="24"/>
          <w14:textFill>
            <w14:solidFill>
              <w14:schemeClr w14:val="tx1"/>
            </w14:solidFill>
          </w14:textFill>
        </w:rPr>
        <w:t>严格按照政府采购相关法律法规以及《财政部关于进一步加强政府采购需求和履约验收管理的指导意见》（财库〔2016〕205 号）的要求、采购文件的质量要求和技术指标、中标供应商的响应文件及承诺以及合同约定标准进行验收。供应商</w:t>
      </w:r>
      <w:r>
        <w:rPr>
          <w:rFonts w:ascii="宋体" w:hAnsi="宋体"/>
          <w:color w:val="000000" w:themeColor="text1"/>
          <w:spacing w:val="-2"/>
          <w:sz w:val="24"/>
          <w14:textFill>
            <w14:solidFill>
              <w14:schemeClr w14:val="tx1"/>
            </w14:solidFill>
          </w14:textFill>
        </w:rPr>
        <w:t>须承诺</w:t>
      </w:r>
      <w:r>
        <w:rPr>
          <w:rFonts w:hint="eastAsia" w:ascii="宋体" w:hAnsi="宋体"/>
          <w:color w:val="000000" w:themeColor="text1"/>
          <w:spacing w:val="-2"/>
          <w:sz w:val="24"/>
          <w14:textFill>
            <w14:solidFill>
              <w14:schemeClr w14:val="tx1"/>
            </w14:solidFill>
          </w14:textFill>
        </w:rPr>
        <w:t>，</w:t>
      </w:r>
      <w:r>
        <w:rPr>
          <w:rFonts w:hint="eastAsia" w:ascii="宋体" w:hAnsi="宋体"/>
          <w:sz w:val="24"/>
        </w:rPr>
        <w:t>本项目施工图除了按正常工程图进行审查之外，必须通过四川省科技厅组织专家对施工图进行审查，达到屏障环境实验动物设施要求；本项目除了按正常工程进行竣工验收之外，必须通过四川省科技厅组织专家对实验动物环境设施验收，并取得屏障环境实验动物使用许可证。</w:t>
      </w:r>
    </w:p>
    <w:p>
      <w:pP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br w:type="page"/>
      </w:r>
    </w:p>
    <w:p>
      <w:pPr>
        <w:rPr>
          <w:rFonts w:ascii="宋体" w:hAnsi="宋体"/>
          <w:color w:val="000000" w:themeColor="text1"/>
          <w:szCs w:val="21"/>
          <w14:textFill>
            <w14:solidFill>
              <w14:schemeClr w14:val="tx1"/>
            </w14:solidFill>
          </w14:textFill>
        </w:rPr>
      </w:pPr>
    </w:p>
    <w:p>
      <w:pPr>
        <w:rPr>
          <w:rFonts w:ascii="宋体" w:hAnsi="宋体"/>
          <w:color w:val="000000" w:themeColor="text1"/>
          <w:sz w:val="24"/>
          <w14:textFill>
            <w14:solidFill>
              <w14:schemeClr w14:val="tx1"/>
            </w14:solidFill>
          </w14:textFill>
        </w:rPr>
      </w:pPr>
    </w:p>
    <w:p>
      <w:pPr>
        <w:pStyle w:val="37"/>
        <w:rPr>
          <w:rFonts w:ascii="宋体" w:hAnsi="宋体" w:eastAsia="宋体"/>
        </w:rPr>
      </w:pPr>
      <w:r>
        <w:rPr>
          <w:rFonts w:hint="eastAsia" w:ascii="宋体" w:hAnsi="宋体" w:eastAsia="宋体"/>
        </w:rPr>
        <w:t>第六章  磋商内容、磋商过程中可实质性变动的内容</w:t>
      </w:r>
      <w:bookmarkEnd w:id="80"/>
      <w:bookmarkEnd w:id="81"/>
    </w:p>
    <w:p>
      <w:pPr>
        <w:tabs>
          <w:tab w:val="left" w:pos="7665"/>
        </w:tabs>
        <w:spacing w:line="360" w:lineRule="auto"/>
        <w:ind w:firstLine="480"/>
        <w:rPr>
          <w:rFonts w:ascii="宋体" w:hAnsi="宋体"/>
          <w:sz w:val="24"/>
        </w:rPr>
      </w:pPr>
    </w:p>
    <w:p>
      <w:pPr>
        <w:tabs>
          <w:tab w:val="left" w:pos="7665"/>
        </w:tabs>
        <w:spacing w:line="360" w:lineRule="auto"/>
        <w:ind w:firstLine="480"/>
        <w:rPr>
          <w:rFonts w:ascii="宋体" w:hAnsi="宋体"/>
          <w:bCs/>
          <w:sz w:val="24"/>
        </w:rPr>
      </w:pPr>
    </w:p>
    <w:p>
      <w:pPr>
        <w:tabs>
          <w:tab w:val="left" w:pos="7665"/>
        </w:tabs>
        <w:spacing w:line="360" w:lineRule="auto"/>
        <w:ind w:firstLine="480"/>
        <w:rPr>
          <w:rFonts w:ascii="宋体" w:hAnsi="宋体"/>
          <w:bCs/>
          <w:sz w:val="24"/>
        </w:rPr>
      </w:pPr>
      <w:r>
        <w:rPr>
          <w:rFonts w:ascii="宋体" w:hAnsi="宋体"/>
          <w:sz w:val="24"/>
        </w:rPr>
        <w:t>针对</w:t>
      </w:r>
      <w:r>
        <w:rPr>
          <w:rFonts w:hint="eastAsia" w:ascii="宋体" w:hAnsi="宋体"/>
          <w:sz w:val="24"/>
        </w:rPr>
        <w:t>第五章、第九章</w:t>
      </w:r>
      <w:r>
        <w:rPr>
          <w:rFonts w:ascii="宋体" w:hAnsi="宋体"/>
          <w:sz w:val="24"/>
        </w:rPr>
        <w:t>所包含的</w:t>
      </w:r>
      <w:r>
        <w:rPr>
          <w:rFonts w:hint="eastAsia" w:ascii="宋体" w:hAnsi="宋体"/>
          <w:sz w:val="24"/>
        </w:rPr>
        <w:t>技术、服务要求以及合同草案条款</w:t>
      </w:r>
      <w:r>
        <w:rPr>
          <w:rFonts w:ascii="宋体" w:hAnsi="宋体"/>
          <w:sz w:val="24"/>
        </w:rPr>
        <w:t>，在磋商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pPr>
        <w:tabs>
          <w:tab w:val="left" w:pos="7665"/>
        </w:tabs>
        <w:spacing w:line="360" w:lineRule="auto"/>
        <w:ind w:firstLine="480"/>
        <w:rPr>
          <w:rFonts w:ascii="宋体" w:hAnsi="宋体"/>
          <w:bCs/>
          <w:sz w:val="24"/>
        </w:rPr>
      </w:pPr>
    </w:p>
    <w:p>
      <w:pPr>
        <w:tabs>
          <w:tab w:val="left" w:pos="7665"/>
        </w:tabs>
        <w:spacing w:line="360" w:lineRule="auto"/>
        <w:ind w:firstLine="480"/>
        <w:rPr>
          <w:rFonts w:ascii="宋体" w:hAnsi="宋体"/>
          <w:bCs/>
          <w:sz w:val="24"/>
        </w:rPr>
      </w:pPr>
    </w:p>
    <w:p>
      <w:pPr>
        <w:tabs>
          <w:tab w:val="left" w:pos="7665"/>
        </w:tabs>
        <w:spacing w:line="360" w:lineRule="auto"/>
        <w:ind w:firstLine="480"/>
        <w:rPr>
          <w:rFonts w:ascii="宋体" w:hAnsi="宋体"/>
          <w:bCs/>
          <w:sz w:val="24"/>
        </w:rPr>
      </w:pPr>
    </w:p>
    <w:p>
      <w:pPr>
        <w:tabs>
          <w:tab w:val="left" w:pos="7665"/>
        </w:tabs>
        <w:spacing w:line="360" w:lineRule="auto"/>
        <w:ind w:firstLine="480"/>
        <w:jc w:val="center"/>
        <w:rPr>
          <w:rFonts w:ascii="宋体" w:hAnsi="宋体"/>
          <w:b/>
          <w:bCs/>
          <w:sz w:val="32"/>
          <w:szCs w:val="32"/>
        </w:rPr>
      </w:pPr>
    </w:p>
    <w:p>
      <w:pPr>
        <w:tabs>
          <w:tab w:val="left" w:pos="7665"/>
        </w:tabs>
        <w:spacing w:line="360" w:lineRule="auto"/>
        <w:ind w:firstLine="480"/>
        <w:jc w:val="center"/>
        <w:rPr>
          <w:rFonts w:ascii="宋体" w:hAnsi="宋体"/>
          <w:b/>
          <w:bCs/>
          <w:sz w:val="32"/>
          <w:szCs w:val="32"/>
        </w:rPr>
      </w:pPr>
    </w:p>
    <w:p>
      <w:pPr>
        <w:tabs>
          <w:tab w:val="left" w:pos="7665"/>
        </w:tabs>
        <w:spacing w:line="360" w:lineRule="auto"/>
        <w:ind w:firstLine="480"/>
        <w:jc w:val="center"/>
        <w:rPr>
          <w:rFonts w:ascii="宋体" w:hAnsi="宋体"/>
          <w:b/>
          <w:bCs/>
          <w:sz w:val="32"/>
          <w:szCs w:val="32"/>
        </w:rPr>
      </w:pPr>
    </w:p>
    <w:p>
      <w:pPr>
        <w:tabs>
          <w:tab w:val="left" w:pos="7665"/>
        </w:tabs>
        <w:spacing w:line="360" w:lineRule="auto"/>
        <w:ind w:firstLine="480"/>
        <w:rPr>
          <w:rFonts w:ascii="宋体" w:hAnsi="宋体"/>
          <w:bCs/>
          <w:sz w:val="24"/>
        </w:rPr>
      </w:pPr>
    </w:p>
    <w:p>
      <w:pPr>
        <w:tabs>
          <w:tab w:val="left" w:pos="7665"/>
        </w:tabs>
        <w:spacing w:line="360" w:lineRule="auto"/>
        <w:ind w:firstLine="480"/>
        <w:rPr>
          <w:rFonts w:ascii="宋体" w:hAnsi="宋体"/>
          <w:b/>
          <w:bCs/>
          <w:sz w:val="32"/>
          <w:szCs w:val="32"/>
        </w:rPr>
      </w:pPr>
    </w:p>
    <w:p>
      <w:pPr>
        <w:tabs>
          <w:tab w:val="left" w:pos="7665"/>
        </w:tabs>
        <w:spacing w:line="360" w:lineRule="auto"/>
        <w:ind w:firstLine="480"/>
        <w:rPr>
          <w:rFonts w:ascii="宋体" w:hAnsi="宋体"/>
          <w:b/>
          <w:bCs/>
          <w:sz w:val="32"/>
          <w:szCs w:val="32"/>
        </w:rPr>
      </w:pPr>
    </w:p>
    <w:p>
      <w:pPr>
        <w:pStyle w:val="37"/>
        <w:rPr>
          <w:rFonts w:ascii="宋体" w:hAnsi="宋体" w:eastAsia="宋体"/>
        </w:rPr>
      </w:pPr>
      <w:r>
        <w:rPr>
          <w:rFonts w:ascii="宋体" w:hAnsi="宋体" w:eastAsia="宋体"/>
        </w:rPr>
        <w:br w:type="page"/>
      </w:r>
      <w:bookmarkStart w:id="85" w:name="_Toc511289486"/>
      <w:bookmarkStart w:id="86" w:name="_Toc509579146"/>
      <w:r>
        <w:rPr>
          <w:rFonts w:hint="eastAsia" w:ascii="宋体" w:hAnsi="宋体" w:eastAsia="宋体"/>
        </w:rPr>
        <w:t>第七章  响应文件格式</w:t>
      </w:r>
      <w:bookmarkEnd w:id="85"/>
      <w:bookmarkEnd w:id="86"/>
    </w:p>
    <w:p>
      <w:pPr>
        <w:tabs>
          <w:tab w:val="left" w:pos="7665"/>
        </w:tabs>
        <w:spacing w:line="360" w:lineRule="auto"/>
        <w:ind w:firstLine="480"/>
        <w:rPr>
          <w:rFonts w:ascii="宋体" w:hAnsi="宋体"/>
          <w:bCs/>
          <w:sz w:val="24"/>
        </w:rPr>
      </w:pPr>
    </w:p>
    <w:p>
      <w:pPr>
        <w:tabs>
          <w:tab w:val="left" w:pos="7665"/>
        </w:tabs>
        <w:spacing w:line="360" w:lineRule="auto"/>
        <w:ind w:firstLine="480"/>
        <w:rPr>
          <w:rFonts w:ascii="宋体" w:hAnsi="宋体"/>
          <w:bCs/>
          <w:sz w:val="24"/>
        </w:rPr>
      </w:pPr>
    </w:p>
    <w:p>
      <w:pPr>
        <w:spacing w:line="360" w:lineRule="auto"/>
        <w:rPr>
          <w:rFonts w:ascii="宋体" w:hAnsi="宋体"/>
          <w:sz w:val="24"/>
        </w:rPr>
      </w:pPr>
      <w:r>
        <w:rPr>
          <w:rFonts w:hint="eastAsia" w:ascii="宋体" w:hAnsi="宋体"/>
          <w:sz w:val="24"/>
        </w:rPr>
        <w:t xml:space="preserve">    一、本章所制响应文件格式，除格式中明确将该格式作为实质性要求的，一律不具有强制性。</w:t>
      </w:r>
    </w:p>
    <w:p>
      <w:pPr>
        <w:spacing w:line="360" w:lineRule="auto"/>
        <w:rPr>
          <w:rFonts w:ascii="宋体" w:hAnsi="宋体"/>
          <w:sz w:val="24"/>
        </w:rPr>
      </w:pPr>
      <w:r>
        <w:rPr>
          <w:rFonts w:hint="eastAsia" w:ascii="宋体" w:hAnsi="宋体"/>
          <w:sz w:val="24"/>
        </w:rPr>
        <w:t xml:space="preserve">    二、本章所制响应文件格式有关表格中的备注栏，由供应商根据自身响应情况作解释性说明，不作为必填项。</w:t>
      </w:r>
    </w:p>
    <w:p>
      <w:pPr>
        <w:spacing w:line="360" w:lineRule="auto"/>
        <w:ind w:firstLine="480" w:firstLineChars="200"/>
        <w:rPr>
          <w:rFonts w:ascii="宋体" w:hAnsi="宋体"/>
          <w:sz w:val="24"/>
        </w:rPr>
      </w:pPr>
      <w:r>
        <w:rPr>
          <w:rFonts w:hint="eastAsia" w:ascii="宋体" w:hAnsi="宋体"/>
          <w:sz w:val="24"/>
        </w:rPr>
        <w:t>三、本章所制响应文件格式中需要填写的相关内容事项，可能会与本采购项目无关，在不改变响应文件原义、不影响本项目采购需求的情况下，供应商可以不予填写，但应当注明。</w:t>
      </w:r>
    </w:p>
    <w:p>
      <w:pPr>
        <w:spacing w:line="360" w:lineRule="auto"/>
        <w:ind w:firstLine="480" w:firstLineChars="200"/>
        <w:rPr>
          <w:rFonts w:ascii="宋体" w:hAnsi="宋体"/>
          <w:sz w:val="24"/>
        </w:rPr>
      </w:pPr>
      <w:r>
        <w:rPr>
          <w:rFonts w:hint="eastAsia" w:ascii="宋体" w:hAnsi="宋体"/>
          <w:sz w:val="24"/>
        </w:rPr>
        <w:t>四</w:t>
      </w:r>
      <w:r>
        <w:rPr>
          <w:rFonts w:ascii="宋体" w:hAnsi="宋体"/>
          <w:sz w:val="24"/>
        </w:rPr>
        <w:t>、</w:t>
      </w:r>
      <w:r>
        <w:rPr>
          <w:rFonts w:hint="eastAsia" w:ascii="宋体" w:hAnsi="宋体"/>
          <w:sz w:val="24"/>
        </w:rPr>
        <w:t>联合体参加投标的，响应文件格式中投标人填写为联合体牵头方即可，格式中未明确的都由联合体牵头方完成签字和盖章。</w:t>
      </w:r>
    </w:p>
    <w:p>
      <w:pPr>
        <w:spacing w:line="360" w:lineRule="auto"/>
        <w:jc w:val="center"/>
        <w:rPr>
          <w:rFonts w:ascii="宋体" w:hAnsi="宋体"/>
          <w:b/>
          <w:sz w:val="32"/>
          <w:szCs w:val="32"/>
        </w:rPr>
      </w:pPr>
    </w:p>
    <w:p>
      <w:pPr>
        <w:spacing w:line="360" w:lineRule="auto"/>
        <w:jc w:val="center"/>
        <w:rPr>
          <w:rFonts w:ascii="宋体" w:hAnsi="宋体"/>
          <w:b/>
          <w:sz w:val="32"/>
          <w:szCs w:val="32"/>
        </w:rPr>
      </w:pPr>
      <w:r>
        <w:rPr>
          <w:rFonts w:ascii="宋体" w:hAnsi="宋体"/>
          <w:b/>
          <w:sz w:val="32"/>
          <w:szCs w:val="32"/>
        </w:rPr>
        <w:br w:type="page"/>
      </w:r>
      <w:r>
        <w:rPr>
          <w:rFonts w:ascii="宋体" w:hAnsi="宋体"/>
          <w:b/>
          <w:sz w:val="32"/>
        </w:rPr>
        <w:t xml:space="preserve">第一部分     </w:t>
      </w:r>
      <w:r>
        <w:rPr>
          <w:rFonts w:hint="eastAsia" w:ascii="宋体" w:hAnsi="宋体"/>
          <w:b/>
          <w:sz w:val="32"/>
        </w:rPr>
        <w:t>“</w:t>
      </w:r>
      <w:r>
        <w:rPr>
          <w:rFonts w:ascii="宋体" w:hAnsi="宋体"/>
          <w:b/>
          <w:sz w:val="32"/>
        </w:rPr>
        <w:t>资格性</w:t>
      </w:r>
      <w:r>
        <w:rPr>
          <w:rFonts w:hint="eastAsia" w:ascii="宋体" w:hAnsi="宋体"/>
          <w:b/>
          <w:sz w:val="32"/>
        </w:rPr>
        <w:t>响应</w:t>
      </w:r>
      <w:r>
        <w:rPr>
          <w:rFonts w:ascii="宋体" w:hAnsi="宋体"/>
          <w:b/>
          <w:sz w:val="32"/>
        </w:rPr>
        <w:t>文件</w:t>
      </w:r>
      <w:r>
        <w:rPr>
          <w:rFonts w:hint="eastAsia" w:ascii="宋体" w:hAnsi="宋体"/>
          <w:b/>
          <w:sz w:val="32"/>
        </w:rPr>
        <w:t>”</w:t>
      </w:r>
      <w:r>
        <w:rPr>
          <w:rFonts w:ascii="宋体" w:hAnsi="宋体"/>
          <w:b/>
          <w:sz w:val="32"/>
        </w:rPr>
        <w:t>格式</w:t>
      </w:r>
    </w:p>
    <w:p>
      <w:pPr>
        <w:spacing w:line="360" w:lineRule="auto"/>
        <w:rPr>
          <w:rFonts w:ascii="宋体" w:hAnsi="宋体"/>
          <w:b/>
          <w:sz w:val="28"/>
          <w:szCs w:val="28"/>
        </w:rPr>
      </w:pPr>
      <w:r>
        <w:rPr>
          <w:rFonts w:hint="eastAsia" w:ascii="宋体" w:hAnsi="宋体"/>
          <w:b/>
          <w:sz w:val="28"/>
          <w:szCs w:val="28"/>
        </w:rPr>
        <w:t>格式1-1</w:t>
      </w:r>
    </w:p>
    <w:p>
      <w:pPr>
        <w:spacing w:line="360" w:lineRule="auto"/>
        <w:jc w:val="center"/>
        <w:rPr>
          <w:rFonts w:ascii="宋体" w:hAnsi="宋体"/>
          <w:b/>
          <w:sz w:val="32"/>
          <w:szCs w:val="32"/>
        </w:rPr>
      </w:pPr>
    </w:p>
    <w:p>
      <w:pPr>
        <w:spacing w:line="360" w:lineRule="auto"/>
        <w:jc w:val="right"/>
        <w:rPr>
          <w:rFonts w:ascii="宋体" w:hAnsi="宋体"/>
          <w:b/>
          <w:sz w:val="36"/>
        </w:rPr>
      </w:pPr>
      <w:r>
        <w:rPr>
          <w:rFonts w:ascii="宋体" w:hAnsi="宋体"/>
          <w:b/>
          <w:sz w:val="36"/>
        </w:rPr>
        <w:t>（正本/副本）</w:t>
      </w:r>
    </w:p>
    <w:p>
      <w:pPr>
        <w:spacing w:line="360" w:lineRule="auto"/>
        <w:jc w:val="center"/>
        <w:rPr>
          <w:rFonts w:ascii="宋体" w:hAnsi="宋体"/>
          <w:b/>
          <w:sz w:val="72"/>
        </w:rPr>
      </w:pPr>
      <w:r>
        <w:rPr>
          <w:rFonts w:hint="eastAsia" w:ascii="宋体" w:hAnsi="宋体"/>
          <w:b/>
          <w:sz w:val="40"/>
          <w:szCs w:val="48"/>
          <w:u w:val="single"/>
        </w:rPr>
        <w:t>XX</w:t>
      </w:r>
      <w:r>
        <w:rPr>
          <w:rFonts w:hint="eastAsia" w:ascii="宋体" w:hAnsi="宋体"/>
          <w:b/>
          <w:sz w:val="40"/>
          <w:szCs w:val="48"/>
        </w:rPr>
        <w:t>项目</w:t>
      </w:r>
    </w:p>
    <w:p>
      <w:pPr>
        <w:spacing w:line="360" w:lineRule="auto"/>
        <w:rPr>
          <w:rFonts w:ascii="宋体" w:hAnsi="宋体"/>
          <w:b/>
          <w:sz w:val="52"/>
          <w:szCs w:val="52"/>
        </w:rPr>
      </w:pPr>
    </w:p>
    <w:p>
      <w:pPr>
        <w:spacing w:line="360" w:lineRule="auto"/>
        <w:jc w:val="center"/>
        <w:rPr>
          <w:rFonts w:ascii="宋体" w:hAnsi="宋体"/>
          <w:b/>
          <w:sz w:val="32"/>
          <w:szCs w:val="32"/>
        </w:rPr>
      </w:pPr>
      <w:r>
        <w:rPr>
          <w:rFonts w:hint="eastAsia" w:ascii="宋体" w:hAnsi="宋体"/>
          <w:b/>
          <w:sz w:val="52"/>
          <w:szCs w:val="52"/>
        </w:rPr>
        <w:t>资格性响应文件</w:t>
      </w:r>
    </w:p>
    <w:p>
      <w:pPr>
        <w:spacing w:line="360" w:lineRule="auto"/>
        <w:rPr>
          <w:rFonts w:ascii="宋体" w:hAnsi="宋体"/>
          <w:b/>
          <w:sz w:val="36"/>
        </w:rPr>
      </w:pPr>
    </w:p>
    <w:p>
      <w:pPr>
        <w:spacing w:line="360" w:lineRule="auto"/>
        <w:rPr>
          <w:rFonts w:ascii="宋体" w:hAnsi="宋体"/>
          <w:b/>
          <w:sz w:val="36"/>
        </w:rPr>
      </w:pPr>
    </w:p>
    <w:p>
      <w:pPr>
        <w:spacing w:line="360" w:lineRule="auto"/>
        <w:ind w:firstLine="643" w:firstLineChars="200"/>
        <w:jc w:val="left"/>
        <w:rPr>
          <w:rFonts w:ascii="宋体" w:hAnsi="宋体"/>
          <w:b/>
          <w:sz w:val="32"/>
          <w:u w:val="single"/>
        </w:rPr>
      </w:pPr>
      <w:r>
        <w:rPr>
          <w:rFonts w:hint="eastAsia" w:ascii="宋体" w:hAnsi="宋体"/>
          <w:b/>
          <w:sz w:val="32"/>
        </w:rPr>
        <w:t>供 应 商</w:t>
      </w:r>
      <w:r>
        <w:rPr>
          <w:rFonts w:ascii="宋体" w:hAnsi="宋体"/>
          <w:b/>
          <w:sz w:val="32"/>
        </w:rPr>
        <w:t>名称：</w:t>
      </w:r>
    </w:p>
    <w:p>
      <w:pPr>
        <w:spacing w:line="360" w:lineRule="auto"/>
        <w:ind w:firstLine="643" w:firstLineChars="200"/>
        <w:jc w:val="left"/>
        <w:rPr>
          <w:rFonts w:ascii="宋体" w:hAnsi="宋体"/>
          <w:b/>
          <w:sz w:val="32"/>
          <w:u w:val="single"/>
        </w:rPr>
      </w:pPr>
      <w:r>
        <w:rPr>
          <w:rFonts w:hint="eastAsia" w:ascii="宋体" w:hAnsi="宋体"/>
          <w:b/>
          <w:sz w:val="32"/>
        </w:rPr>
        <w:t>采购项目</w:t>
      </w:r>
      <w:r>
        <w:rPr>
          <w:rFonts w:ascii="宋体" w:hAnsi="宋体"/>
          <w:b/>
          <w:sz w:val="32"/>
        </w:rPr>
        <w:t>编号：</w:t>
      </w:r>
    </w:p>
    <w:p>
      <w:pPr>
        <w:spacing w:line="360" w:lineRule="auto"/>
        <w:ind w:firstLine="643" w:firstLineChars="200"/>
        <w:jc w:val="left"/>
        <w:rPr>
          <w:rFonts w:ascii="宋体" w:hAnsi="宋体"/>
          <w:b/>
          <w:sz w:val="36"/>
        </w:rPr>
      </w:pPr>
      <w:r>
        <w:rPr>
          <w:rFonts w:hint="eastAsia" w:ascii="宋体" w:hAnsi="宋体"/>
          <w:b/>
          <w:sz w:val="32"/>
        </w:rPr>
        <w:t xml:space="preserve"> </w:t>
      </w:r>
    </w:p>
    <w:p>
      <w:pPr>
        <w:spacing w:line="360" w:lineRule="auto"/>
        <w:jc w:val="center"/>
        <w:rPr>
          <w:rFonts w:ascii="宋体" w:hAnsi="宋体"/>
          <w:b/>
          <w:sz w:val="36"/>
        </w:rPr>
      </w:pPr>
    </w:p>
    <w:p>
      <w:pPr>
        <w:spacing w:line="360" w:lineRule="auto"/>
        <w:jc w:val="center"/>
        <w:rPr>
          <w:rFonts w:ascii="宋体" w:hAnsi="宋体"/>
          <w:b/>
          <w:sz w:val="36"/>
        </w:rPr>
      </w:pPr>
    </w:p>
    <w:p>
      <w:pPr>
        <w:spacing w:line="360" w:lineRule="auto"/>
        <w:jc w:val="center"/>
        <w:rPr>
          <w:rFonts w:ascii="宋体" w:hAnsi="宋体" w:cs="Arial"/>
          <w:b/>
          <w:bCs/>
          <w:sz w:val="32"/>
          <w:szCs w:val="32"/>
        </w:rPr>
      </w:pPr>
      <w:r>
        <w:rPr>
          <w:rFonts w:hint="eastAsia" w:ascii="宋体" w:hAnsi="宋体"/>
          <w:b/>
          <w:sz w:val="32"/>
        </w:rPr>
        <w:t>XX年XX</w:t>
      </w:r>
      <w:r>
        <w:rPr>
          <w:rFonts w:ascii="宋体" w:hAnsi="宋体"/>
          <w:b/>
          <w:sz w:val="32"/>
        </w:rPr>
        <w:t>月</w:t>
      </w:r>
      <w:r>
        <w:rPr>
          <w:rFonts w:hint="eastAsia" w:ascii="宋体" w:hAnsi="宋体"/>
          <w:b/>
          <w:sz w:val="32"/>
        </w:rPr>
        <w:t>XX</w:t>
      </w:r>
      <w:r>
        <w:rPr>
          <w:rFonts w:ascii="宋体" w:hAnsi="宋体"/>
          <w:b/>
          <w:sz w:val="32"/>
        </w:rPr>
        <w:t>日</w:t>
      </w:r>
    </w:p>
    <w:p>
      <w:pPr>
        <w:widowControl/>
        <w:jc w:val="left"/>
        <w:rPr>
          <w:rFonts w:ascii="宋体" w:hAnsi="宋体"/>
          <w:b/>
          <w:sz w:val="32"/>
          <w:szCs w:val="32"/>
        </w:rPr>
      </w:pPr>
      <w:r>
        <w:rPr>
          <w:rFonts w:ascii="宋体" w:hAnsi="宋体"/>
          <w:b/>
          <w:sz w:val="32"/>
          <w:szCs w:val="32"/>
        </w:rPr>
        <w:br w:type="page"/>
      </w:r>
    </w:p>
    <w:p>
      <w:pPr>
        <w:spacing w:line="360" w:lineRule="auto"/>
        <w:rPr>
          <w:rFonts w:ascii="宋体" w:hAnsi="宋体"/>
          <w:b/>
          <w:sz w:val="28"/>
          <w:szCs w:val="28"/>
        </w:rPr>
      </w:pPr>
      <w:r>
        <w:rPr>
          <w:rFonts w:hint="eastAsia" w:ascii="宋体" w:hAnsi="宋体"/>
          <w:b/>
          <w:sz w:val="28"/>
          <w:szCs w:val="28"/>
        </w:rPr>
        <w:t>格式1-2</w:t>
      </w:r>
    </w:p>
    <w:p>
      <w:pPr>
        <w:spacing w:line="360" w:lineRule="auto"/>
        <w:jc w:val="center"/>
        <w:rPr>
          <w:rFonts w:ascii="宋体" w:hAnsi="宋体" w:cs="Arial"/>
          <w:b/>
          <w:bCs/>
          <w:sz w:val="32"/>
          <w:szCs w:val="32"/>
        </w:rPr>
      </w:pPr>
      <w:r>
        <w:rPr>
          <w:rFonts w:hint="eastAsia" w:ascii="宋体" w:hAnsi="宋体" w:cs="Arial"/>
          <w:b/>
          <w:bCs/>
          <w:sz w:val="32"/>
          <w:szCs w:val="32"/>
        </w:rPr>
        <w:t>一、法定代表人/单位负责人授权书</w:t>
      </w:r>
    </w:p>
    <w:p>
      <w:pPr>
        <w:widowControl/>
        <w:spacing w:line="360" w:lineRule="auto"/>
        <w:ind w:firstLine="411" w:firstLineChars="196"/>
        <w:jc w:val="center"/>
        <w:outlineLvl w:val="1"/>
        <w:rPr>
          <w:rFonts w:ascii="宋体" w:hAnsi="宋体"/>
          <w:b/>
          <w:sz w:val="24"/>
        </w:rPr>
      </w:pPr>
      <w:r>
        <w:rPr>
          <w:rFonts w:ascii="宋体" w:hAnsi="宋体"/>
        </w:rPr>
        <w:t>（非联合体</w:t>
      </w:r>
      <w:r>
        <w:rPr>
          <w:rFonts w:hint="eastAsia" w:ascii="宋体" w:hAnsi="宋体"/>
        </w:rPr>
        <w:t>参与</w:t>
      </w:r>
      <w:r>
        <w:rPr>
          <w:rFonts w:ascii="宋体" w:hAnsi="宋体"/>
        </w:rPr>
        <w:t>适用）</w:t>
      </w:r>
    </w:p>
    <w:p>
      <w:pPr>
        <w:spacing w:line="360" w:lineRule="auto"/>
        <w:ind w:firstLine="480" w:firstLineChars="200"/>
        <w:rPr>
          <w:rFonts w:ascii="宋体" w:hAnsi="宋体"/>
          <w:sz w:val="24"/>
        </w:rPr>
      </w:pPr>
    </w:p>
    <w:p>
      <w:pPr>
        <w:spacing w:line="360" w:lineRule="auto"/>
        <w:rPr>
          <w:rFonts w:ascii="宋体" w:hAnsi="宋体"/>
          <w:sz w:val="24"/>
        </w:rPr>
      </w:pPr>
      <w:r>
        <w:rPr>
          <w:rFonts w:hint="eastAsia" w:ascii="宋体" w:hAnsi="宋体"/>
          <w:sz w:val="24"/>
        </w:rPr>
        <w:t>XXXXXXXX（采购代理机构名称）：</w:t>
      </w:r>
    </w:p>
    <w:p>
      <w:pPr>
        <w:spacing w:line="360" w:lineRule="auto"/>
        <w:ind w:firstLine="480" w:firstLineChars="200"/>
        <w:rPr>
          <w:rFonts w:ascii="宋体" w:hAnsi="宋体"/>
          <w:sz w:val="24"/>
        </w:rPr>
      </w:pPr>
      <w:r>
        <w:rPr>
          <w:rFonts w:hint="eastAsia" w:ascii="宋体" w:hAnsi="宋体"/>
          <w:sz w:val="24"/>
        </w:rPr>
        <w:t>本授权声明： XXXX（供应商名称）XXXX（法定代表人/单位负责人姓名、职务）授权XXXX（被授权人姓名、职务）为我方 “XXXXXXXX” 项目（项目编号：XXXX）磋商采购活动的合法代表，以我方名义全权处理该项目有关磋商采购、签订合同以及执行合同等一切事宜。</w:t>
      </w:r>
    </w:p>
    <w:p>
      <w:pPr>
        <w:spacing w:line="360" w:lineRule="auto"/>
        <w:ind w:firstLine="480" w:firstLineChars="200"/>
        <w:rPr>
          <w:rFonts w:ascii="宋体" w:hAnsi="宋体"/>
          <w:sz w:val="24"/>
        </w:rPr>
      </w:pPr>
      <w:r>
        <w:rPr>
          <w:rFonts w:hint="eastAsia" w:ascii="宋体" w:hAnsi="宋体"/>
          <w:sz w:val="24"/>
        </w:rPr>
        <w:t>特此声明。</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法定代表人/单位负责人（委托人）签字或加盖个人印章：XXXX。</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授权代表（被授权人）签字：XXXX。</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供应商名称：XXXX（单位盖章）。</w:t>
      </w:r>
    </w:p>
    <w:p>
      <w:pPr>
        <w:spacing w:line="360" w:lineRule="auto"/>
        <w:ind w:firstLine="480" w:firstLineChars="200"/>
        <w:rPr>
          <w:rFonts w:ascii="宋体" w:hAnsi="宋体"/>
          <w:sz w:val="24"/>
        </w:rPr>
      </w:pPr>
      <w:r>
        <w:rPr>
          <w:rFonts w:hint="eastAsia" w:ascii="宋体" w:hAnsi="宋体"/>
          <w:sz w:val="24"/>
        </w:rPr>
        <w:t>日    期：XXXX。</w:t>
      </w:r>
    </w:p>
    <w:p>
      <w:pPr>
        <w:spacing w:line="360" w:lineRule="auto"/>
        <w:ind w:firstLine="480" w:firstLineChars="200"/>
        <w:rPr>
          <w:rFonts w:ascii="宋体" w:hAnsi="宋体"/>
          <w:sz w:val="24"/>
        </w:rPr>
      </w:pPr>
      <w:bookmarkStart w:id="87" w:name="_Toc217446084"/>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r>
        <w:rPr>
          <w:rFonts w:hint="eastAsia" w:ascii="宋体" w:hAnsi="宋体"/>
          <w:sz w:val="24"/>
        </w:rPr>
        <w:t>注：</w:t>
      </w:r>
    </w:p>
    <w:p>
      <w:pPr>
        <w:spacing w:line="360" w:lineRule="auto"/>
        <w:ind w:firstLine="480" w:firstLineChars="200"/>
        <w:rPr>
          <w:rFonts w:ascii="宋体" w:hAnsi="宋体"/>
          <w:sz w:val="24"/>
        </w:rPr>
      </w:pPr>
      <w:r>
        <w:rPr>
          <w:rFonts w:hint="eastAsia" w:ascii="宋体" w:hAnsi="宋体"/>
          <w:sz w:val="24"/>
        </w:rPr>
        <w:t>1、供应商为法人单位时提供“法定代表人授权书”，供应商为其他组织时提供“单位负责人授权书”，供应商为自然人时提供“自然人身份证明材料”。</w:t>
      </w:r>
    </w:p>
    <w:p>
      <w:pPr>
        <w:spacing w:line="360" w:lineRule="auto"/>
        <w:ind w:firstLine="480" w:firstLineChars="200"/>
        <w:rPr>
          <w:rFonts w:ascii="宋体" w:hAnsi="宋体"/>
          <w:sz w:val="24"/>
        </w:rPr>
      </w:pPr>
      <w:r>
        <w:rPr>
          <w:rFonts w:hint="eastAsia" w:ascii="宋体" w:hAnsi="宋体"/>
          <w:sz w:val="24"/>
        </w:rPr>
        <w:t>2、应附法定代表人/单位负责人身份证明材料复印件和授权代表身份证明材料复印件。</w:t>
      </w:r>
    </w:p>
    <w:p>
      <w:pPr>
        <w:spacing w:line="360" w:lineRule="auto"/>
        <w:ind w:firstLine="480" w:firstLineChars="200"/>
        <w:rPr>
          <w:rFonts w:ascii="宋体" w:hAnsi="宋体"/>
          <w:sz w:val="24"/>
        </w:rPr>
      </w:pPr>
      <w:r>
        <w:rPr>
          <w:rFonts w:hint="eastAsia" w:ascii="宋体" w:hAnsi="宋体"/>
          <w:sz w:val="24"/>
        </w:rPr>
        <w:t>3、身份证明材料包括居民身份证或户口本或军官证或护照等。</w:t>
      </w:r>
    </w:p>
    <w:p>
      <w:pPr>
        <w:spacing w:line="360" w:lineRule="auto"/>
        <w:ind w:firstLine="480" w:firstLineChars="200"/>
        <w:rPr>
          <w:rFonts w:ascii="宋体" w:hAnsi="宋体"/>
          <w:sz w:val="24"/>
        </w:rPr>
      </w:pPr>
      <w:r>
        <w:rPr>
          <w:rFonts w:hint="eastAsia" w:ascii="宋体" w:hAnsi="宋体"/>
          <w:sz w:val="24"/>
        </w:rPr>
        <w:t>4、身份证明材料应同时提供其在有效期的材料，如居民身份证正、反面复印件。</w:t>
      </w: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p>
    <w:p>
      <w:pPr>
        <w:spacing w:line="360" w:lineRule="auto"/>
        <w:ind w:firstLine="480" w:firstLineChars="200"/>
        <w:rPr>
          <w:rFonts w:ascii="宋体" w:hAnsi="宋体"/>
          <w:sz w:val="24"/>
        </w:rPr>
      </w:pPr>
    </w:p>
    <w:p>
      <w:pPr>
        <w:spacing w:line="360" w:lineRule="auto"/>
        <w:jc w:val="center"/>
        <w:rPr>
          <w:rFonts w:ascii="宋体" w:hAnsi="宋体" w:cs="Arial"/>
          <w:b/>
          <w:bCs/>
          <w:sz w:val="32"/>
          <w:szCs w:val="32"/>
        </w:rPr>
      </w:pPr>
      <w:r>
        <w:rPr>
          <w:rFonts w:hint="eastAsia" w:ascii="宋体" w:hAnsi="宋体" w:cs="Arial"/>
          <w:b/>
          <w:bCs/>
          <w:sz w:val="32"/>
          <w:szCs w:val="32"/>
        </w:rPr>
        <w:t>一、法定代表人/单位负责人授权书</w:t>
      </w:r>
    </w:p>
    <w:p>
      <w:pPr>
        <w:spacing w:before="70"/>
        <w:ind w:left="680"/>
        <w:jc w:val="center"/>
        <w:rPr>
          <w:rFonts w:ascii="宋体" w:hAnsi="宋体"/>
          <w:u w:val="single" w:color="FF0000"/>
        </w:rPr>
      </w:pPr>
      <w:r>
        <w:rPr>
          <w:rFonts w:ascii="宋体" w:hAnsi="宋体"/>
        </w:rPr>
        <w:t>（联合体</w:t>
      </w:r>
      <w:r>
        <w:rPr>
          <w:rFonts w:hint="eastAsia" w:ascii="宋体" w:hAnsi="宋体"/>
        </w:rPr>
        <w:t>参与</w:t>
      </w:r>
      <w:r>
        <w:rPr>
          <w:rFonts w:ascii="宋体" w:hAnsi="宋体"/>
        </w:rPr>
        <w:t>适用）</w:t>
      </w:r>
    </w:p>
    <w:p>
      <w:pPr>
        <w:spacing w:before="70" w:line="360" w:lineRule="auto"/>
        <w:ind w:left="680"/>
        <w:rPr>
          <w:rFonts w:ascii="宋体" w:hAnsi="宋体"/>
          <w:sz w:val="24"/>
        </w:rPr>
      </w:pPr>
      <w:r>
        <w:rPr>
          <w:rFonts w:ascii="宋体" w:hAnsi="宋体"/>
          <w:sz w:val="24"/>
        </w:rPr>
        <w:t>XXXX （采购代理机构名称）：</w:t>
      </w:r>
    </w:p>
    <w:p>
      <w:pPr>
        <w:spacing w:before="43" w:line="360" w:lineRule="auto"/>
        <w:ind w:left="1100" w:firstLine="480" w:firstLineChars="200"/>
        <w:rPr>
          <w:rFonts w:ascii="宋体" w:hAnsi="宋体"/>
          <w:sz w:val="24"/>
        </w:rPr>
      </w:pPr>
      <w:r>
        <w:rPr>
          <w:rFonts w:ascii="宋体" w:hAnsi="宋体"/>
          <w:sz w:val="24"/>
        </w:rPr>
        <w:t>本授权声明：我 XXXX（姓名）系 XXXX（联合体牵头方）的法定代表人，我 XXX（姓名）系 XXXX（联合体成员名称）的法定代表人，现共同授权委托 XXXX（联合体牵头方）的 XXXX（被授权人姓名）为我们所组成联合体参加 “XXXX” 项目（</w:t>
      </w:r>
      <w:r>
        <w:rPr>
          <w:rFonts w:hint="eastAsia" w:ascii="宋体" w:hAnsi="宋体"/>
          <w:sz w:val="24"/>
        </w:rPr>
        <w:t>项目</w:t>
      </w:r>
      <w:r>
        <w:rPr>
          <w:rFonts w:ascii="宋体" w:hAnsi="宋体"/>
          <w:sz w:val="24"/>
        </w:rPr>
        <w:t>编号：XXXX）</w:t>
      </w:r>
      <w:r>
        <w:rPr>
          <w:rFonts w:hint="eastAsia" w:ascii="宋体" w:hAnsi="宋体"/>
          <w:sz w:val="24"/>
        </w:rPr>
        <w:t>采购</w:t>
      </w:r>
      <w:r>
        <w:rPr>
          <w:rFonts w:ascii="宋体" w:hAnsi="宋体"/>
          <w:sz w:val="24"/>
        </w:rPr>
        <w:t>活动的合法代表，以联合体名义全权处理</w:t>
      </w:r>
      <w:r>
        <w:rPr>
          <w:rFonts w:hint="eastAsia" w:ascii="宋体" w:hAnsi="宋体"/>
          <w:sz w:val="24"/>
        </w:rPr>
        <w:t>该项目有关磋商采购、签订合同以及执行合同等一切事宜</w:t>
      </w:r>
      <w:r>
        <w:rPr>
          <w:rFonts w:ascii="宋体" w:hAnsi="宋体"/>
          <w:sz w:val="24"/>
        </w:rPr>
        <w:t>。</w:t>
      </w:r>
    </w:p>
    <w:p>
      <w:pPr>
        <w:spacing w:line="360" w:lineRule="auto"/>
        <w:ind w:left="1100"/>
        <w:rPr>
          <w:rFonts w:ascii="宋体" w:hAnsi="宋体"/>
          <w:sz w:val="24"/>
        </w:rPr>
      </w:pPr>
      <w:r>
        <w:rPr>
          <w:rFonts w:ascii="宋体" w:hAnsi="宋体"/>
          <w:sz w:val="24"/>
        </w:rPr>
        <w:t>特此声明。</w:t>
      </w:r>
    </w:p>
    <w:p>
      <w:pPr>
        <w:pStyle w:val="16"/>
        <w:spacing w:line="343" w:lineRule="auto"/>
        <w:ind w:left="1160" w:right="3814"/>
        <w:rPr>
          <w:rFonts w:ascii="宋体" w:hAnsi="宋体"/>
          <w:sz w:val="24"/>
        </w:rPr>
      </w:pPr>
    </w:p>
    <w:p>
      <w:pPr>
        <w:pStyle w:val="16"/>
        <w:spacing w:line="343" w:lineRule="auto"/>
        <w:ind w:left="1160" w:right="3814"/>
        <w:rPr>
          <w:rFonts w:ascii="宋体" w:hAnsi="宋体"/>
          <w:sz w:val="24"/>
        </w:rPr>
      </w:pPr>
      <w:r>
        <w:rPr>
          <w:rFonts w:ascii="宋体" w:hAnsi="宋体"/>
          <w:sz w:val="24"/>
        </w:rPr>
        <w:t>联合体牵头方名称：XXXX（单位盖章）。</w:t>
      </w:r>
    </w:p>
    <w:p>
      <w:pPr>
        <w:pStyle w:val="16"/>
        <w:spacing w:line="343" w:lineRule="auto"/>
        <w:ind w:left="1160" w:right="3814"/>
        <w:rPr>
          <w:rFonts w:ascii="宋体" w:hAnsi="宋体"/>
          <w:sz w:val="24"/>
        </w:rPr>
      </w:pPr>
      <w:r>
        <w:rPr>
          <w:rFonts w:ascii="宋体" w:hAnsi="宋体"/>
          <w:sz w:val="24"/>
        </w:rPr>
        <w:t>法定代表人签字或者加盖个人名章：XXXX。</w:t>
      </w:r>
    </w:p>
    <w:p>
      <w:pPr>
        <w:pStyle w:val="16"/>
        <w:spacing w:before="4"/>
        <w:rPr>
          <w:rFonts w:ascii="宋体" w:hAnsi="宋体"/>
          <w:sz w:val="24"/>
        </w:rPr>
      </w:pPr>
    </w:p>
    <w:p>
      <w:pPr>
        <w:pStyle w:val="16"/>
        <w:spacing w:before="1"/>
        <w:ind w:left="1160"/>
        <w:rPr>
          <w:rFonts w:ascii="宋体" w:hAnsi="宋体"/>
          <w:sz w:val="24"/>
        </w:rPr>
      </w:pPr>
      <w:r>
        <w:rPr>
          <w:rFonts w:ascii="宋体" w:hAnsi="宋体"/>
          <w:sz w:val="24"/>
        </w:rPr>
        <w:t>联合体成员名称：XXXX（单位盖章）。</w:t>
      </w:r>
    </w:p>
    <w:p>
      <w:pPr>
        <w:pStyle w:val="16"/>
        <w:spacing w:before="175"/>
        <w:ind w:left="1160"/>
        <w:rPr>
          <w:rFonts w:ascii="宋体" w:hAnsi="宋体"/>
          <w:sz w:val="24"/>
        </w:rPr>
      </w:pPr>
      <w:r>
        <w:rPr>
          <w:rFonts w:ascii="宋体" w:hAnsi="宋体"/>
          <w:sz w:val="24"/>
        </w:rPr>
        <w:t>法定代表人签字或者加盖个人名章：XXXX。</w:t>
      </w:r>
    </w:p>
    <w:p>
      <w:pPr>
        <w:pStyle w:val="16"/>
        <w:rPr>
          <w:rFonts w:ascii="宋体" w:hAnsi="宋体"/>
          <w:sz w:val="24"/>
        </w:rPr>
      </w:pPr>
    </w:p>
    <w:p>
      <w:pPr>
        <w:pStyle w:val="16"/>
        <w:spacing w:before="10"/>
        <w:rPr>
          <w:rFonts w:ascii="宋体" w:hAnsi="宋体"/>
          <w:sz w:val="24"/>
        </w:rPr>
      </w:pPr>
    </w:p>
    <w:p>
      <w:pPr>
        <w:ind w:left="1100"/>
        <w:rPr>
          <w:rFonts w:ascii="宋体" w:hAnsi="宋体"/>
          <w:sz w:val="24"/>
        </w:rPr>
      </w:pPr>
      <w:r>
        <w:rPr>
          <w:rFonts w:ascii="宋体" w:hAnsi="宋体"/>
          <w:sz w:val="24"/>
        </w:rPr>
        <w:t>授权代表签字：XXXX。</w:t>
      </w:r>
    </w:p>
    <w:p>
      <w:pPr>
        <w:pStyle w:val="16"/>
        <w:tabs>
          <w:tab w:val="left" w:pos="1879"/>
        </w:tabs>
        <w:spacing w:before="131"/>
        <w:ind w:firstLine="1080" w:firstLineChars="450"/>
        <w:rPr>
          <w:rFonts w:ascii="宋体" w:hAnsi="宋体"/>
          <w:sz w:val="24"/>
        </w:rPr>
      </w:pPr>
      <w:r>
        <w:rPr>
          <w:rFonts w:ascii="宋体" w:hAnsi="宋体"/>
          <w:sz w:val="24"/>
        </w:rPr>
        <w:t>日</w:t>
      </w:r>
      <w:r>
        <w:rPr>
          <w:rFonts w:ascii="宋体" w:hAnsi="宋体"/>
          <w:sz w:val="24"/>
        </w:rPr>
        <w:tab/>
      </w:r>
      <w:r>
        <w:rPr>
          <w:rFonts w:ascii="宋体" w:hAnsi="宋体"/>
          <w:sz w:val="24"/>
        </w:rPr>
        <w:t>期：XXXX年XX月XX日</w:t>
      </w:r>
    </w:p>
    <w:p>
      <w:pPr>
        <w:pStyle w:val="16"/>
        <w:spacing w:before="3"/>
        <w:rPr>
          <w:rFonts w:ascii="宋体" w:hAnsi="宋体"/>
          <w:sz w:val="24"/>
        </w:rPr>
      </w:pPr>
    </w:p>
    <w:p>
      <w:pPr>
        <w:spacing w:before="1" w:line="278" w:lineRule="auto"/>
        <w:ind w:left="1100" w:right="1420"/>
        <w:rPr>
          <w:rFonts w:ascii="宋体" w:hAnsi="宋体"/>
          <w:sz w:val="24"/>
        </w:rPr>
      </w:pPr>
      <w:r>
        <w:rPr>
          <w:rFonts w:hint="eastAsia" w:ascii="宋体" w:hAnsi="宋体"/>
          <w:sz w:val="24"/>
        </w:rPr>
        <w:t>注：</w:t>
      </w:r>
    </w:p>
    <w:p>
      <w:pPr>
        <w:spacing w:before="1" w:line="278" w:lineRule="auto"/>
        <w:ind w:left="1100" w:right="1420"/>
        <w:rPr>
          <w:rFonts w:ascii="宋体" w:hAnsi="宋体"/>
          <w:sz w:val="24"/>
        </w:rPr>
      </w:pPr>
      <w:r>
        <w:rPr>
          <w:rFonts w:hint="eastAsia" w:ascii="宋体" w:hAnsi="宋体"/>
          <w:sz w:val="24"/>
        </w:rPr>
        <w:t>1、供应商为法人单位时提供“法定代表人授权书”，供应商为其他组织时提供“单位负责人授权书”，供应商为自然人时提供“自然人身份证明材料”。</w:t>
      </w:r>
    </w:p>
    <w:p>
      <w:pPr>
        <w:spacing w:before="1" w:line="278" w:lineRule="auto"/>
        <w:ind w:left="1100" w:right="1420"/>
        <w:rPr>
          <w:rFonts w:ascii="宋体" w:hAnsi="宋体"/>
          <w:sz w:val="24"/>
        </w:rPr>
      </w:pPr>
      <w:r>
        <w:rPr>
          <w:rFonts w:hint="eastAsia" w:ascii="宋体" w:hAnsi="宋体"/>
          <w:sz w:val="24"/>
        </w:rPr>
        <w:t>2、应附法定代表人/单位负责人身份证明材料复印件和授权代表身份证明材料复印件。</w:t>
      </w:r>
    </w:p>
    <w:p>
      <w:pPr>
        <w:spacing w:before="1" w:line="278" w:lineRule="auto"/>
        <w:ind w:left="1100" w:right="1420"/>
        <w:rPr>
          <w:rFonts w:ascii="宋体" w:hAnsi="宋体"/>
          <w:sz w:val="24"/>
        </w:rPr>
      </w:pPr>
      <w:r>
        <w:rPr>
          <w:rFonts w:hint="eastAsia" w:ascii="宋体" w:hAnsi="宋体"/>
          <w:sz w:val="24"/>
        </w:rPr>
        <w:t>3、身份证明材料包括居民身份证或户口本或军官证或护照等。</w:t>
      </w:r>
    </w:p>
    <w:p>
      <w:pPr>
        <w:spacing w:before="1" w:line="278" w:lineRule="auto"/>
        <w:ind w:left="1100" w:right="1420"/>
        <w:rPr>
          <w:rFonts w:ascii="宋体" w:hAnsi="宋体"/>
          <w:sz w:val="24"/>
        </w:rPr>
      </w:pPr>
      <w:r>
        <w:rPr>
          <w:rFonts w:hint="eastAsia" w:ascii="宋体" w:hAnsi="宋体"/>
          <w:sz w:val="24"/>
        </w:rPr>
        <w:t>4、身份证明材料应同时提供其在有效期的材料，如居民身份证正、反面复印件。</w:t>
      </w:r>
    </w:p>
    <w:p>
      <w:pPr>
        <w:spacing w:line="278" w:lineRule="auto"/>
        <w:rPr>
          <w:rFonts w:ascii="宋体" w:hAnsi="宋体"/>
          <w:sz w:val="24"/>
        </w:rPr>
        <w:sectPr>
          <w:headerReference r:id="rId5" w:type="default"/>
          <w:type w:val="continuous"/>
          <w:pgSz w:w="11850" w:h="16790"/>
          <w:pgMar w:top="1440" w:right="1080" w:bottom="1440" w:left="1080" w:header="1492" w:footer="994" w:gutter="0"/>
          <w:cols w:space="720" w:num="1"/>
        </w:sectPr>
      </w:pPr>
    </w:p>
    <w:p>
      <w:pPr>
        <w:spacing w:line="259" w:lineRule="exact"/>
        <w:ind w:right="2"/>
        <w:jc w:val="center"/>
        <w:rPr>
          <w:rFonts w:ascii="宋体" w:hAnsi="宋体"/>
          <w:b/>
          <w:sz w:val="24"/>
        </w:rPr>
      </w:pPr>
      <w:r>
        <w:rPr>
          <w:rFonts w:ascii="宋体" w:hAnsi="宋体"/>
          <w:b/>
          <w:sz w:val="24"/>
        </w:rPr>
        <w:t>联合体协议书</w:t>
      </w:r>
    </w:p>
    <w:p>
      <w:pPr>
        <w:spacing w:before="91" w:line="259" w:lineRule="exact"/>
        <w:jc w:val="center"/>
        <w:rPr>
          <w:rFonts w:ascii="宋体" w:hAnsi="宋体"/>
          <w:b/>
          <w:sz w:val="24"/>
        </w:rPr>
      </w:pPr>
      <w:r>
        <w:rPr>
          <w:rFonts w:ascii="宋体" w:hAnsi="宋体"/>
          <w:b/>
          <w:sz w:val="24"/>
        </w:rPr>
        <w:t>（联合体</w:t>
      </w:r>
      <w:r>
        <w:rPr>
          <w:rFonts w:hint="eastAsia" w:ascii="宋体" w:hAnsi="宋体"/>
          <w:b/>
          <w:sz w:val="24"/>
        </w:rPr>
        <w:t>参与</w:t>
      </w:r>
      <w:r>
        <w:rPr>
          <w:rFonts w:ascii="宋体" w:hAnsi="宋体"/>
          <w:b/>
          <w:sz w:val="24"/>
        </w:rPr>
        <w:t>适用）</w:t>
      </w:r>
    </w:p>
    <w:p>
      <w:pPr>
        <w:spacing w:before="91" w:line="259" w:lineRule="exact"/>
        <w:jc w:val="center"/>
        <w:rPr>
          <w:rFonts w:ascii="宋体" w:hAnsi="宋体"/>
          <w:b/>
          <w:sz w:val="24"/>
        </w:rPr>
      </w:pPr>
    </w:p>
    <w:p>
      <w:pPr>
        <w:spacing w:before="120" w:line="360" w:lineRule="auto"/>
        <w:ind w:left="680" w:right="952" w:firstLine="420"/>
        <w:rPr>
          <w:rFonts w:ascii="宋体" w:hAnsi="宋体"/>
          <w:sz w:val="24"/>
        </w:rPr>
      </w:pPr>
      <w:r>
        <w:rPr>
          <w:rFonts w:ascii="宋体" w:hAnsi="宋体"/>
          <w:sz w:val="24"/>
          <w:u w:val="single" w:color="FF0000"/>
        </w:rPr>
        <w:t>XXX</w:t>
      </w:r>
      <w:r>
        <w:rPr>
          <w:rFonts w:ascii="宋体" w:hAnsi="宋体"/>
          <w:spacing w:val="-8"/>
          <w:sz w:val="24"/>
          <w:u w:val="single" w:color="FF0000"/>
        </w:rPr>
        <w:t>、</w:t>
      </w:r>
      <w:r>
        <w:rPr>
          <w:rFonts w:ascii="宋体" w:hAnsi="宋体"/>
          <w:sz w:val="24"/>
          <w:u w:val="single" w:color="FF0000"/>
        </w:rPr>
        <w:t>XXX</w:t>
      </w:r>
      <w:r>
        <w:rPr>
          <w:rFonts w:ascii="宋体" w:hAnsi="宋体"/>
          <w:sz w:val="24"/>
        </w:rPr>
        <w:t>（所有成员单位名称</w:t>
      </w:r>
      <w:r>
        <w:rPr>
          <w:rFonts w:ascii="宋体" w:hAnsi="宋体"/>
          <w:spacing w:val="-8"/>
          <w:sz w:val="24"/>
        </w:rPr>
        <w:t>）</w:t>
      </w:r>
      <w:r>
        <w:rPr>
          <w:rFonts w:ascii="宋体" w:hAnsi="宋体"/>
          <w:spacing w:val="-2"/>
          <w:sz w:val="24"/>
        </w:rPr>
        <w:t>自愿组成联合体，共同参加“</w:t>
      </w:r>
      <w:r>
        <w:rPr>
          <w:rFonts w:ascii="宋体" w:hAnsi="宋体"/>
          <w:sz w:val="24"/>
        </w:rPr>
        <w:t>XXXX</w:t>
      </w:r>
      <w:r>
        <w:rPr>
          <w:rFonts w:ascii="宋体" w:hAnsi="宋体"/>
          <w:spacing w:val="-11"/>
          <w:sz w:val="24"/>
        </w:rPr>
        <w:t>” 项目</w:t>
      </w:r>
      <w:r>
        <w:rPr>
          <w:rFonts w:ascii="宋体" w:hAnsi="宋体"/>
          <w:sz w:val="24"/>
        </w:rPr>
        <w:t>（</w:t>
      </w:r>
      <w:r>
        <w:rPr>
          <w:rFonts w:hint="eastAsia" w:ascii="宋体" w:hAnsi="宋体"/>
          <w:sz w:val="24"/>
        </w:rPr>
        <w:t>项目</w:t>
      </w:r>
      <w:r>
        <w:rPr>
          <w:rFonts w:ascii="宋体" w:hAnsi="宋体"/>
          <w:sz w:val="24"/>
        </w:rPr>
        <w:t xml:space="preserve">编号：XXXX） </w:t>
      </w:r>
      <w:r>
        <w:rPr>
          <w:rFonts w:hint="eastAsia" w:ascii="宋体" w:hAnsi="宋体"/>
          <w:sz w:val="24"/>
        </w:rPr>
        <w:t>磋商采购</w:t>
      </w:r>
      <w:r>
        <w:rPr>
          <w:rFonts w:ascii="宋体" w:hAnsi="宋体"/>
          <w:sz w:val="24"/>
        </w:rPr>
        <w:t>。现就联合体投标事宜订立如下协议。</w:t>
      </w:r>
    </w:p>
    <w:p>
      <w:pPr>
        <w:spacing w:line="360" w:lineRule="auto"/>
        <w:ind w:left="1100"/>
        <w:rPr>
          <w:rFonts w:ascii="宋体" w:hAnsi="宋体"/>
          <w:sz w:val="24"/>
        </w:rPr>
      </w:pPr>
      <w:r>
        <w:rPr>
          <w:rFonts w:ascii="宋体" w:hAnsi="宋体"/>
          <w:sz w:val="24"/>
        </w:rPr>
        <w:t xml:space="preserve">1、 </w:t>
      </w:r>
      <w:r>
        <w:rPr>
          <w:rFonts w:ascii="宋体" w:hAnsi="宋体"/>
          <w:sz w:val="24"/>
          <w:u w:val="single" w:color="FF0000"/>
        </w:rPr>
        <w:t>XXXX（单位名称）</w:t>
      </w:r>
      <w:r>
        <w:rPr>
          <w:rFonts w:ascii="宋体" w:hAnsi="宋体"/>
          <w:sz w:val="24"/>
        </w:rPr>
        <w:t>为本联合体的牵头方。</w:t>
      </w:r>
    </w:p>
    <w:p>
      <w:pPr>
        <w:spacing w:before="91" w:line="360" w:lineRule="auto"/>
        <w:ind w:left="680" w:right="1059" w:firstLine="420"/>
        <w:rPr>
          <w:rFonts w:ascii="宋体" w:hAnsi="宋体"/>
          <w:sz w:val="24"/>
        </w:rPr>
      </w:pPr>
      <w:r>
        <w:rPr>
          <w:rFonts w:ascii="宋体" w:hAnsi="宋体"/>
          <w:sz w:val="24"/>
        </w:rPr>
        <w:t>2、联合体牵头方合法代表联合体各成员处理该项目有关</w:t>
      </w:r>
      <w:r>
        <w:rPr>
          <w:rFonts w:hint="eastAsia" w:ascii="宋体" w:hAnsi="宋体"/>
          <w:sz w:val="24"/>
        </w:rPr>
        <w:t>：</w:t>
      </w:r>
      <w:r>
        <w:rPr>
          <w:rFonts w:ascii="宋体" w:hAnsi="宋体"/>
          <w:sz w:val="24"/>
        </w:rPr>
        <w:t>签署、澄清、说明、补正、递交、撤回、修改</w:t>
      </w:r>
      <w:r>
        <w:rPr>
          <w:rFonts w:hint="eastAsia" w:ascii="宋体" w:hAnsi="宋体"/>
          <w:sz w:val="24"/>
        </w:rPr>
        <w:t>响应</w:t>
      </w:r>
      <w:r>
        <w:rPr>
          <w:rFonts w:ascii="宋体" w:hAnsi="宋体"/>
          <w:sz w:val="24"/>
        </w:rPr>
        <w:t>文件和处理有关事宜，联合体各方共同与采购人签订采购合同，就采购合同约定的事项对采购人承担连带责任。</w:t>
      </w:r>
    </w:p>
    <w:p>
      <w:pPr>
        <w:spacing w:line="360" w:lineRule="auto"/>
        <w:ind w:left="680" w:right="1059" w:firstLine="420"/>
        <w:rPr>
          <w:rFonts w:ascii="宋体" w:hAnsi="宋体"/>
          <w:sz w:val="24"/>
        </w:rPr>
      </w:pPr>
      <w:r>
        <w:rPr>
          <w:rFonts w:ascii="宋体" w:hAnsi="宋体"/>
          <w:sz w:val="24"/>
        </w:rPr>
        <w:t>3、联合体各方承诺将严格按照</w:t>
      </w:r>
      <w:r>
        <w:rPr>
          <w:rFonts w:hint="eastAsia" w:ascii="宋体" w:hAnsi="宋体"/>
          <w:sz w:val="24"/>
        </w:rPr>
        <w:t>采购</w:t>
      </w:r>
      <w:r>
        <w:rPr>
          <w:rFonts w:ascii="宋体" w:hAnsi="宋体"/>
          <w:sz w:val="24"/>
        </w:rPr>
        <w:t>文件、</w:t>
      </w:r>
      <w:r>
        <w:rPr>
          <w:rFonts w:hint="eastAsia" w:ascii="宋体" w:hAnsi="宋体"/>
          <w:sz w:val="24"/>
        </w:rPr>
        <w:t>响应</w:t>
      </w:r>
      <w:r>
        <w:rPr>
          <w:rFonts w:ascii="宋体" w:hAnsi="宋体"/>
          <w:sz w:val="24"/>
        </w:rPr>
        <w:t>文件、项目合同（含各附件）等的约定承担相应的责任及义务，并对外承担连带责任。</w:t>
      </w:r>
    </w:p>
    <w:p>
      <w:pPr>
        <w:spacing w:line="360" w:lineRule="auto"/>
        <w:ind w:left="680" w:right="1059" w:firstLine="420"/>
        <w:rPr>
          <w:rFonts w:ascii="宋体" w:hAnsi="宋体"/>
          <w:sz w:val="24"/>
        </w:rPr>
      </w:pPr>
      <w:r>
        <w:rPr>
          <w:rFonts w:ascii="宋体" w:hAnsi="宋体"/>
          <w:sz w:val="24"/>
        </w:rPr>
        <w:t xml:space="preserve">4、联合体各方承担的工作和相应的责任如下： </w:t>
      </w:r>
    </w:p>
    <w:p>
      <w:pPr>
        <w:spacing w:line="360" w:lineRule="auto"/>
        <w:ind w:left="680" w:right="1059" w:firstLine="420"/>
        <w:rPr>
          <w:rFonts w:ascii="宋体" w:hAnsi="宋体"/>
          <w:sz w:val="24"/>
        </w:rPr>
      </w:pPr>
      <w:r>
        <w:rPr>
          <w:rFonts w:ascii="宋体" w:hAnsi="宋体"/>
          <w:sz w:val="24"/>
        </w:rPr>
        <w:t>XXXX；</w:t>
      </w:r>
    </w:p>
    <w:p>
      <w:pPr>
        <w:spacing w:before="88" w:line="360" w:lineRule="auto"/>
        <w:ind w:left="1100"/>
        <w:rPr>
          <w:rFonts w:ascii="宋体" w:hAnsi="宋体"/>
          <w:sz w:val="24"/>
        </w:rPr>
      </w:pPr>
      <w:r>
        <w:rPr>
          <w:rFonts w:ascii="宋体" w:hAnsi="宋体"/>
          <w:sz w:val="24"/>
        </w:rPr>
        <w:t>同一单位同时承担多项分工工作的，应分别在对应分工工作中反映。</w:t>
      </w:r>
    </w:p>
    <w:p>
      <w:pPr>
        <w:spacing w:line="360" w:lineRule="auto"/>
        <w:ind w:left="680" w:right="1059" w:firstLine="420"/>
        <w:rPr>
          <w:rFonts w:ascii="宋体" w:hAnsi="宋体"/>
          <w:sz w:val="24"/>
        </w:rPr>
      </w:pPr>
      <w:r>
        <w:rPr>
          <w:rFonts w:ascii="宋体" w:hAnsi="宋体"/>
          <w:sz w:val="24"/>
        </w:rPr>
        <w:t xml:space="preserve">5、联合体各方协议投标报价金额： </w:t>
      </w:r>
    </w:p>
    <w:p>
      <w:pPr>
        <w:spacing w:line="360" w:lineRule="auto"/>
        <w:ind w:left="680" w:right="1059" w:firstLine="420"/>
        <w:rPr>
          <w:rFonts w:ascii="宋体" w:hAnsi="宋体"/>
          <w:sz w:val="24"/>
        </w:rPr>
      </w:pPr>
      <w:r>
        <w:rPr>
          <w:rFonts w:ascii="宋体" w:hAnsi="宋体"/>
          <w:sz w:val="24"/>
        </w:rPr>
        <w:t>XXXX；</w:t>
      </w:r>
    </w:p>
    <w:p>
      <w:pPr>
        <w:spacing w:before="90" w:line="360" w:lineRule="auto"/>
        <w:ind w:left="680" w:right="1059" w:firstLine="420"/>
        <w:rPr>
          <w:rFonts w:ascii="宋体" w:hAnsi="宋体"/>
          <w:sz w:val="24"/>
        </w:rPr>
      </w:pPr>
      <w:r>
        <w:rPr>
          <w:rFonts w:ascii="宋体" w:hAnsi="宋体"/>
          <w:sz w:val="24"/>
        </w:rPr>
        <w:t>6、若联合体各方因自身原因在项目进行过程中产生纠纷，由联合体各方协商解决，招标人对此不承担任何责任。</w:t>
      </w:r>
    </w:p>
    <w:p>
      <w:pPr>
        <w:spacing w:line="360" w:lineRule="auto"/>
        <w:ind w:left="1100"/>
        <w:rPr>
          <w:rFonts w:ascii="宋体" w:hAnsi="宋体"/>
          <w:sz w:val="24"/>
        </w:rPr>
      </w:pPr>
      <w:r>
        <w:rPr>
          <w:rFonts w:ascii="宋体" w:hAnsi="宋体"/>
          <w:sz w:val="24"/>
        </w:rPr>
        <w:t>7、本协议书自签署之日起生效。</w:t>
      </w:r>
    </w:p>
    <w:p>
      <w:pPr>
        <w:tabs>
          <w:tab w:val="left" w:pos="2988"/>
        </w:tabs>
        <w:spacing w:before="91" w:line="360" w:lineRule="auto"/>
        <w:ind w:left="1100"/>
        <w:rPr>
          <w:rFonts w:ascii="宋体" w:hAnsi="宋体"/>
          <w:sz w:val="24"/>
        </w:rPr>
      </w:pPr>
      <w:r>
        <w:rPr>
          <w:rFonts w:ascii="宋体" w:hAnsi="宋体"/>
          <w:sz w:val="24"/>
        </w:rPr>
        <w:t>8、本协议书一式</w:t>
      </w:r>
      <w:r>
        <w:rPr>
          <w:rFonts w:ascii="宋体" w:hAnsi="宋体"/>
          <w:sz w:val="24"/>
          <w:u w:val="single" w:color="FF0000"/>
        </w:rPr>
        <w:t xml:space="preserve"> </w:t>
      </w:r>
      <w:r>
        <w:rPr>
          <w:rFonts w:ascii="宋体" w:hAnsi="宋体"/>
          <w:sz w:val="24"/>
          <w:u w:val="single" w:color="FF0000"/>
        </w:rPr>
        <w:tab/>
      </w:r>
      <w:r>
        <w:rPr>
          <w:rFonts w:ascii="宋体" w:hAnsi="宋体"/>
          <w:sz w:val="24"/>
        </w:rPr>
        <w:t>份，随</w:t>
      </w:r>
      <w:r>
        <w:rPr>
          <w:rFonts w:hint="eastAsia" w:ascii="宋体" w:hAnsi="宋体"/>
          <w:sz w:val="24"/>
        </w:rPr>
        <w:t>响应</w:t>
      </w:r>
      <w:r>
        <w:rPr>
          <w:rFonts w:ascii="宋体" w:hAnsi="宋体"/>
          <w:sz w:val="24"/>
        </w:rPr>
        <w:t>文件装订一份，签订合同时附一份，联合体各成员各执一份。</w:t>
      </w:r>
    </w:p>
    <w:p>
      <w:pPr>
        <w:pStyle w:val="16"/>
        <w:spacing w:line="360" w:lineRule="auto"/>
        <w:rPr>
          <w:rFonts w:ascii="宋体" w:hAnsi="宋体"/>
          <w:sz w:val="24"/>
        </w:rPr>
      </w:pPr>
    </w:p>
    <w:p>
      <w:pPr>
        <w:pStyle w:val="16"/>
        <w:spacing w:line="360" w:lineRule="auto"/>
        <w:ind w:right="3814"/>
        <w:rPr>
          <w:rFonts w:ascii="宋体" w:hAnsi="宋体"/>
          <w:sz w:val="24"/>
        </w:rPr>
      </w:pPr>
      <w:r>
        <w:rPr>
          <w:rFonts w:ascii="宋体" w:hAnsi="宋体"/>
          <w:sz w:val="24"/>
        </w:rPr>
        <w:t>联合体牵头方名称：XXXX（单位盖章）。</w:t>
      </w:r>
    </w:p>
    <w:p>
      <w:pPr>
        <w:pStyle w:val="16"/>
        <w:spacing w:line="360" w:lineRule="auto"/>
        <w:ind w:right="3814"/>
        <w:rPr>
          <w:rFonts w:ascii="宋体" w:hAnsi="宋体"/>
          <w:sz w:val="24"/>
        </w:rPr>
      </w:pPr>
      <w:r>
        <w:rPr>
          <w:rFonts w:ascii="宋体" w:hAnsi="宋体"/>
          <w:sz w:val="24"/>
        </w:rPr>
        <w:t>法定代表人签字或加盖个人名章：XXXX。</w:t>
      </w:r>
    </w:p>
    <w:p>
      <w:pPr>
        <w:pStyle w:val="16"/>
        <w:spacing w:line="360" w:lineRule="auto"/>
        <w:ind w:right="3814"/>
        <w:rPr>
          <w:rFonts w:ascii="宋体" w:hAnsi="宋体"/>
          <w:sz w:val="24"/>
        </w:rPr>
      </w:pPr>
      <w:r>
        <w:rPr>
          <w:rFonts w:ascii="宋体" w:hAnsi="宋体"/>
          <w:sz w:val="24"/>
        </w:rPr>
        <w:t>联合体成员名称：XXXX（单位盖章）。</w:t>
      </w:r>
    </w:p>
    <w:p>
      <w:pPr>
        <w:pStyle w:val="16"/>
        <w:spacing w:line="360" w:lineRule="auto"/>
        <w:ind w:right="3814"/>
        <w:rPr>
          <w:rFonts w:ascii="宋体" w:hAnsi="宋体"/>
          <w:sz w:val="24"/>
        </w:rPr>
      </w:pPr>
      <w:r>
        <w:rPr>
          <w:rFonts w:ascii="宋体" w:hAnsi="宋体"/>
          <w:sz w:val="24"/>
        </w:rPr>
        <w:t>法定代表人签字或加盖个人名章：XXXX。</w:t>
      </w:r>
    </w:p>
    <w:p>
      <w:pPr>
        <w:spacing w:line="360" w:lineRule="auto"/>
        <w:rPr>
          <w:rFonts w:ascii="宋体" w:hAnsi="宋体"/>
          <w:sz w:val="24"/>
        </w:rPr>
      </w:pPr>
      <w:r>
        <w:rPr>
          <w:rFonts w:ascii="宋体" w:hAnsi="宋体"/>
          <w:sz w:val="24"/>
        </w:rPr>
        <w:t>授权代表签字：XXXX。</w:t>
      </w:r>
    </w:p>
    <w:p>
      <w:pPr>
        <w:spacing w:before="91" w:line="360" w:lineRule="auto"/>
        <w:rPr>
          <w:rFonts w:ascii="宋体" w:hAnsi="宋体"/>
          <w:sz w:val="24"/>
        </w:rPr>
      </w:pPr>
      <w:r>
        <w:rPr>
          <w:rFonts w:ascii="宋体" w:hAnsi="宋体"/>
          <w:sz w:val="24"/>
        </w:rPr>
        <w:t>日</w:t>
      </w:r>
      <w:r>
        <w:rPr>
          <w:rFonts w:ascii="宋体" w:hAnsi="宋体"/>
          <w:sz w:val="24"/>
        </w:rPr>
        <w:tab/>
      </w:r>
      <w:r>
        <w:rPr>
          <w:rFonts w:ascii="宋体" w:hAnsi="宋体"/>
          <w:sz w:val="24"/>
        </w:rPr>
        <w:t>期：XXXX年XX月XX日</w:t>
      </w:r>
    </w:p>
    <w:bookmarkEnd w:id="87"/>
    <w:p>
      <w:pPr>
        <w:spacing w:line="360" w:lineRule="auto"/>
        <w:rPr>
          <w:rFonts w:ascii="宋体" w:hAnsi="宋体"/>
          <w:b/>
          <w:sz w:val="32"/>
          <w:szCs w:val="32"/>
        </w:rPr>
      </w:pPr>
      <w:r>
        <w:rPr>
          <w:rFonts w:hint="eastAsia" w:ascii="宋体" w:hAnsi="宋体"/>
          <w:b/>
          <w:sz w:val="24"/>
        </w:rPr>
        <w:br w:type="page"/>
      </w:r>
      <w:r>
        <w:rPr>
          <w:rFonts w:hint="eastAsia" w:ascii="宋体" w:hAnsi="宋体"/>
          <w:b/>
          <w:sz w:val="28"/>
          <w:szCs w:val="28"/>
        </w:rPr>
        <w:t>格式1-3</w:t>
      </w:r>
    </w:p>
    <w:p>
      <w:pPr>
        <w:spacing w:line="360" w:lineRule="auto"/>
        <w:jc w:val="center"/>
        <w:rPr>
          <w:rFonts w:ascii="宋体" w:hAnsi="宋体" w:cs="Arial"/>
          <w:b/>
          <w:bCs/>
          <w:sz w:val="32"/>
          <w:szCs w:val="32"/>
        </w:rPr>
      </w:pPr>
      <w:r>
        <w:rPr>
          <w:rFonts w:hint="eastAsia" w:ascii="宋体" w:hAnsi="宋体" w:cs="Arial"/>
          <w:b/>
          <w:bCs/>
          <w:sz w:val="32"/>
          <w:szCs w:val="32"/>
        </w:rPr>
        <w:t>二、承诺函</w:t>
      </w:r>
    </w:p>
    <w:p>
      <w:pPr>
        <w:widowControl/>
        <w:spacing w:line="360" w:lineRule="auto"/>
        <w:jc w:val="center"/>
        <w:outlineLvl w:val="1"/>
        <w:rPr>
          <w:rFonts w:ascii="宋体" w:hAnsi="宋体"/>
          <w:b/>
          <w:sz w:val="24"/>
        </w:rPr>
      </w:pPr>
    </w:p>
    <w:p>
      <w:pPr>
        <w:widowControl/>
        <w:spacing w:line="360" w:lineRule="auto"/>
        <w:jc w:val="left"/>
        <w:outlineLvl w:val="1"/>
        <w:rPr>
          <w:rFonts w:ascii="宋体" w:hAnsi="宋体"/>
          <w:sz w:val="24"/>
        </w:rPr>
      </w:pPr>
      <w:r>
        <w:rPr>
          <w:rFonts w:hint="eastAsia" w:ascii="宋体" w:hAnsi="宋体"/>
          <w:sz w:val="24"/>
        </w:rPr>
        <w:t>XXXX（采购代理机构名称）：</w:t>
      </w:r>
    </w:p>
    <w:p>
      <w:pPr>
        <w:widowControl/>
        <w:spacing w:line="360" w:lineRule="auto"/>
        <w:ind w:firstLine="480" w:firstLineChars="200"/>
        <w:jc w:val="left"/>
        <w:outlineLvl w:val="1"/>
        <w:rPr>
          <w:rFonts w:ascii="宋体" w:hAnsi="宋体"/>
          <w:sz w:val="24"/>
        </w:rPr>
      </w:pPr>
      <w:r>
        <w:rPr>
          <w:rFonts w:hint="eastAsia" w:ascii="宋体" w:hAnsi="宋体"/>
          <w:sz w:val="24"/>
        </w:rPr>
        <w:t>我单位作为本次采购项目的供应商，根据磋商文件要求，现郑重承诺如下：</w:t>
      </w:r>
    </w:p>
    <w:p>
      <w:pPr>
        <w:widowControl/>
        <w:spacing w:line="360" w:lineRule="auto"/>
        <w:ind w:firstLine="480" w:firstLineChars="200"/>
        <w:jc w:val="left"/>
        <w:outlineLvl w:val="1"/>
        <w:rPr>
          <w:rFonts w:ascii="宋体" w:hAnsi="宋体"/>
          <w:sz w:val="24"/>
        </w:rPr>
      </w:pPr>
      <w:r>
        <w:rPr>
          <w:rFonts w:hint="eastAsia" w:ascii="宋体" w:hAnsi="宋体"/>
          <w:sz w:val="24"/>
        </w:rPr>
        <w:t>一、具备《中华人民共和国政府采购法》第二十二条第一款和本项目规定的条件：</w:t>
      </w:r>
    </w:p>
    <w:p>
      <w:pPr>
        <w:widowControl/>
        <w:spacing w:line="360" w:lineRule="auto"/>
        <w:ind w:firstLine="480" w:firstLineChars="200"/>
        <w:jc w:val="left"/>
        <w:outlineLvl w:val="1"/>
        <w:rPr>
          <w:rFonts w:ascii="宋体" w:hAnsi="宋体"/>
          <w:sz w:val="24"/>
        </w:rPr>
      </w:pPr>
      <w:r>
        <w:rPr>
          <w:rFonts w:hint="eastAsia" w:ascii="宋体" w:hAnsi="宋体"/>
          <w:sz w:val="24"/>
        </w:rPr>
        <w:t>（一）具有独立承担民事责任的能力；</w:t>
      </w:r>
    </w:p>
    <w:p>
      <w:pPr>
        <w:widowControl/>
        <w:spacing w:line="360" w:lineRule="auto"/>
        <w:ind w:firstLine="480" w:firstLineChars="200"/>
        <w:jc w:val="left"/>
        <w:outlineLvl w:val="1"/>
        <w:rPr>
          <w:rFonts w:ascii="宋体" w:hAnsi="宋体"/>
          <w:sz w:val="24"/>
        </w:rPr>
      </w:pPr>
      <w:r>
        <w:rPr>
          <w:rFonts w:hint="eastAsia" w:ascii="宋体" w:hAnsi="宋体"/>
          <w:sz w:val="24"/>
        </w:rPr>
        <w:t>（二）具有良好的商业信誉和健全的财务会计制度；</w:t>
      </w:r>
    </w:p>
    <w:p>
      <w:pPr>
        <w:widowControl/>
        <w:spacing w:line="360" w:lineRule="auto"/>
        <w:ind w:firstLine="480" w:firstLineChars="200"/>
        <w:jc w:val="left"/>
        <w:outlineLvl w:val="1"/>
        <w:rPr>
          <w:rFonts w:ascii="宋体" w:hAnsi="宋体"/>
          <w:sz w:val="24"/>
        </w:rPr>
      </w:pPr>
      <w:r>
        <w:rPr>
          <w:rFonts w:hint="eastAsia" w:ascii="宋体" w:hAnsi="宋体"/>
          <w:sz w:val="24"/>
        </w:rPr>
        <w:t>（三）具有履行合同所必需的设备和专业技术能力；</w:t>
      </w:r>
    </w:p>
    <w:p>
      <w:pPr>
        <w:widowControl/>
        <w:spacing w:line="360" w:lineRule="auto"/>
        <w:ind w:firstLine="480" w:firstLineChars="200"/>
        <w:jc w:val="left"/>
        <w:outlineLvl w:val="1"/>
        <w:rPr>
          <w:rFonts w:ascii="宋体" w:hAnsi="宋体"/>
          <w:sz w:val="24"/>
        </w:rPr>
      </w:pPr>
      <w:r>
        <w:rPr>
          <w:rFonts w:hint="eastAsia" w:ascii="宋体" w:hAnsi="宋体"/>
          <w:sz w:val="24"/>
        </w:rPr>
        <w:t>（四）有依法缴纳税收和社会保障资金的良好记录；</w:t>
      </w:r>
    </w:p>
    <w:p>
      <w:pPr>
        <w:widowControl/>
        <w:spacing w:line="360" w:lineRule="auto"/>
        <w:ind w:firstLine="480" w:firstLineChars="200"/>
        <w:jc w:val="left"/>
        <w:outlineLvl w:val="1"/>
        <w:rPr>
          <w:rFonts w:ascii="宋体" w:hAnsi="宋体"/>
          <w:sz w:val="24"/>
        </w:rPr>
      </w:pPr>
      <w:r>
        <w:rPr>
          <w:rFonts w:hint="eastAsia" w:ascii="宋体" w:hAnsi="宋体"/>
          <w:sz w:val="24"/>
        </w:rPr>
        <w:t>（五）参加政府采购活动前三年内，在经营活动中没有重大违法记录；</w:t>
      </w:r>
    </w:p>
    <w:p>
      <w:pPr>
        <w:widowControl/>
        <w:spacing w:line="360" w:lineRule="auto"/>
        <w:ind w:firstLine="480" w:firstLineChars="200"/>
        <w:jc w:val="left"/>
        <w:outlineLvl w:val="1"/>
        <w:rPr>
          <w:rFonts w:ascii="宋体" w:hAnsi="宋体"/>
          <w:sz w:val="24"/>
        </w:rPr>
      </w:pPr>
      <w:r>
        <w:rPr>
          <w:rFonts w:hint="eastAsia" w:ascii="宋体" w:hAnsi="宋体"/>
          <w:sz w:val="24"/>
        </w:rPr>
        <w:t>（六）法律、行政法规规定的其他条件；</w:t>
      </w:r>
    </w:p>
    <w:p>
      <w:pPr>
        <w:widowControl/>
        <w:spacing w:line="360" w:lineRule="auto"/>
        <w:ind w:firstLine="480" w:firstLineChars="200"/>
        <w:jc w:val="left"/>
        <w:outlineLvl w:val="1"/>
        <w:rPr>
          <w:rFonts w:ascii="宋体" w:hAnsi="宋体"/>
          <w:sz w:val="24"/>
        </w:rPr>
      </w:pPr>
      <w:r>
        <w:rPr>
          <w:rFonts w:hint="eastAsia" w:ascii="宋体" w:hAnsi="宋体"/>
          <w:sz w:val="24"/>
        </w:rPr>
        <w:t>（七）根据采购项目提出的特殊条件</w:t>
      </w:r>
      <w:r>
        <w:rPr>
          <w:rFonts w:ascii="宋体" w:hAnsi="宋体"/>
          <w:sz w:val="24"/>
        </w:rPr>
        <w:t>。</w:t>
      </w:r>
    </w:p>
    <w:p>
      <w:pPr>
        <w:widowControl/>
        <w:spacing w:line="360" w:lineRule="auto"/>
        <w:ind w:firstLine="480" w:firstLineChars="200"/>
        <w:jc w:val="left"/>
        <w:outlineLvl w:val="1"/>
        <w:rPr>
          <w:rFonts w:ascii="宋体" w:hAnsi="宋体"/>
          <w:sz w:val="24"/>
        </w:rPr>
      </w:pPr>
      <w:r>
        <w:rPr>
          <w:rFonts w:hint="eastAsia" w:ascii="宋体" w:hAnsi="宋体"/>
          <w:sz w:val="24"/>
        </w:rPr>
        <w:t>二、截至响应文件递交截止日未被列入失信被执行人、税收违法黑名单、政府采购严重违法失信行为记录名单。</w:t>
      </w:r>
    </w:p>
    <w:p>
      <w:pPr>
        <w:widowControl/>
        <w:spacing w:line="360" w:lineRule="auto"/>
        <w:ind w:firstLine="480" w:firstLineChars="200"/>
        <w:jc w:val="left"/>
        <w:outlineLvl w:val="1"/>
        <w:rPr>
          <w:rFonts w:ascii="宋体" w:hAnsi="宋体"/>
          <w:sz w:val="24"/>
        </w:rPr>
      </w:pPr>
      <w:r>
        <w:rPr>
          <w:rFonts w:hint="eastAsia" w:ascii="宋体" w:hAnsi="宋体"/>
          <w:sz w:val="24"/>
        </w:rPr>
        <w:t>本单位对上述承诺的内容事项真实性负责。如经查实上述承诺的内容事项存在虚假，我单位愿意接受以提供虚假材料谋取成交追究法律责任。</w:t>
      </w:r>
    </w:p>
    <w:p>
      <w:pPr>
        <w:widowControl/>
        <w:spacing w:line="360" w:lineRule="auto"/>
        <w:ind w:firstLine="470" w:firstLineChars="196"/>
        <w:jc w:val="left"/>
        <w:outlineLvl w:val="1"/>
        <w:rPr>
          <w:rFonts w:ascii="宋体" w:hAnsi="宋体"/>
          <w:sz w:val="24"/>
        </w:rPr>
      </w:pPr>
    </w:p>
    <w:p>
      <w:pPr>
        <w:widowControl/>
        <w:spacing w:line="360" w:lineRule="auto"/>
        <w:ind w:firstLine="470" w:firstLineChars="196"/>
        <w:jc w:val="left"/>
        <w:outlineLvl w:val="1"/>
        <w:rPr>
          <w:rFonts w:ascii="宋体" w:hAnsi="宋体"/>
          <w:sz w:val="24"/>
        </w:rPr>
      </w:pPr>
      <w:r>
        <w:rPr>
          <w:rFonts w:hint="eastAsia" w:ascii="宋体" w:hAnsi="宋体"/>
          <w:sz w:val="24"/>
        </w:rPr>
        <w:t>供应商名称：XXXX（单位公章）。</w:t>
      </w:r>
    </w:p>
    <w:p>
      <w:pPr>
        <w:widowControl/>
        <w:spacing w:line="360" w:lineRule="auto"/>
        <w:ind w:firstLine="470" w:firstLineChars="196"/>
        <w:jc w:val="left"/>
        <w:outlineLvl w:val="1"/>
        <w:rPr>
          <w:rFonts w:ascii="宋体" w:hAnsi="宋体"/>
          <w:sz w:val="24"/>
        </w:rPr>
      </w:pPr>
      <w:r>
        <w:rPr>
          <w:rFonts w:hint="eastAsia" w:ascii="宋体" w:hAnsi="宋体"/>
          <w:sz w:val="24"/>
        </w:rPr>
        <w:t>法定代表人/单位负责人或授权代表（签字或加盖个人印章）：XXXX。</w:t>
      </w:r>
    </w:p>
    <w:p>
      <w:pPr>
        <w:widowControl/>
        <w:spacing w:line="360" w:lineRule="auto"/>
        <w:ind w:firstLine="470" w:firstLineChars="196"/>
        <w:jc w:val="left"/>
        <w:outlineLvl w:val="1"/>
        <w:rPr>
          <w:rFonts w:ascii="宋体" w:hAnsi="宋体"/>
          <w:sz w:val="24"/>
        </w:rPr>
      </w:pPr>
      <w:r>
        <w:rPr>
          <w:rFonts w:hint="eastAsia" w:ascii="宋体" w:hAnsi="宋体"/>
          <w:sz w:val="24"/>
        </w:rPr>
        <w:t>日    期：XXXX。</w:t>
      </w:r>
    </w:p>
    <w:p>
      <w:pPr>
        <w:spacing w:line="360" w:lineRule="auto"/>
        <w:rPr>
          <w:rFonts w:ascii="宋体" w:hAnsi="宋体" w:cs="宋体"/>
          <w:bCs/>
          <w:sz w:val="24"/>
        </w:rPr>
      </w:pPr>
      <w:r>
        <w:rPr>
          <w:rFonts w:hint="eastAsia" w:ascii="宋体" w:hAnsi="宋体"/>
          <w:sz w:val="24"/>
        </w:rPr>
        <w:br w:type="page"/>
      </w:r>
    </w:p>
    <w:p>
      <w:pPr>
        <w:spacing w:line="360" w:lineRule="auto"/>
        <w:rPr>
          <w:rFonts w:ascii="宋体" w:hAnsi="宋体"/>
          <w:b/>
          <w:bCs/>
          <w:sz w:val="32"/>
          <w:szCs w:val="32"/>
        </w:rPr>
      </w:pPr>
      <w:r>
        <w:rPr>
          <w:rFonts w:hint="eastAsia" w:ascii="宋体" w:hAnsi="宋体"/>
          <w:b/>
          <w:sz w:val="28"/>
          <w:szCs w:val="28"/>
        </w:rPr>
        <w:t>格式1-</w:t>
      </w:r>
      <w:r>
        <w:rPr>
          <w:rFonts w:ascii="宋体" w:hAnsi="宋体"/>
          <w:b/>
          <w:sz w:val="28"/>
          <w:szCs w:val="28"/>
        </w:rPr>
        <w:t xml:space="preserve">4               </w:t>
      </w:r>
      <w:r>
        <w:rPr>
          <w:rFonts w:hint="eastAsia" w:ascii="宋体" w:hAnsi="宋体"/>
          <w:b/>
          <w:sz w:val="28"/>
          <w:szCs w:val="28"/>
        </w:rPr>
        <w:t>三</w:t>
      </w:r>
      <w:r>
        <w:rPr>
          <w:rFonts w:ascii="宋体" w:hAnsi="宋体"/>
          <w:b/>
          <w:sz w:val="28"/>
          <w:szCs w:val="28"/>
        </w:rPr>
        <w:t xml:space="preserve"> </w:t>
      </w:r>
      <w:r>
        <w:rPr>
          <w:rFonts w:hint="eastAsia" w:ascii="宋体" w:hAnsi="宋体"/>
          <w:b/>
          <w:sz w:val="28"/>
          <w:szCs w:val="28"/>
        </w:rPr>
        <w:t>、</w:t>
      </w:r>
      <w:r>
        <w:rPr>
          <w:rFonts w:ascii="宋体" w:hAnsi="宋体"/>
          <w:b/>
          <w:sz w:val="28"/>
          <w:szCs w:val="28"/>
        </w:rPr>
        <w:t xml:space="preserve"> </w:t>
      </w:r>
      <w:r>
        <w:rPr>
          <w:rFonts w:hint="eastAsia" w:ascii="宋体" w:hAnsi="宋体"/>
          <w:b/>
          <w:bCs/>
          <w:sz w:val="32"/>
          <w:szCs w:val="32"/>
        </w:rPr>
        <w:t>中小企业声明函</w:t>
      </w:r>
    </w:p>
    <w:p>
      <w:pPr>
        <w:spacing w:line="360" w:lineRule="auto"/>
        <w:ind w:firstLine="480" w:firstLineChars="200"/>
        <w:jc w:val="left"/>
        <w:rPr>
          <w:rFonts w:ascii="宋体" w:hAnsi="宋体"/>
          <w:sz w:val="24"/>
        </w:rPr>
      </w:pPr>
      <w:r>
        <w:rPr>
          <w:rFonts w:hint="eastAsia" w:ascii="宋体" w:hAnsi="宋体"/>
          <w:sz w:val="24"/>
        </w:rPr>
        <w:t>本公司郑重声明，根据《政府采购促进中小企业发展管理办法》（财库〔2020</w:t>
      </w:r>
      <w:r>
        <w:rPr>
          <w:rFonts w:ascii="宋体" w:hAnsi="宋体"/>
          <w:sz w:val="24"/>
        </w:rPr>
        <w:t>〕</w:t>
      </w:r>
      <w:r>
        <w:rPr>
          <w:rFonts w:hint="eastAsia" w:ascii="宋体" w:hAnsi="宋体"/>
          <w:sz w:val="24"/>
        </w:rPr>
        <w:t>46 号）</w:t>
      </w:r>
      <w:r>
        <w:rPr>
          <w:rFonts w:ascii="宋体" w:hAnsi="宋体"/>
          <w:sz w:val="24"/>
        </w:rPr>
        <w:t>的规定，</w:t>
      </w:r>
      <w:r>
        <w:rPr>
          <w:rFonts w:hint="eastAsia" w:ascii="宋体" w:hAnsi="宋体"/>
          <w:sz w:val="24"/>
        </w:rPr>
        <w:t xml:space="preserve">本公司（联合体）参加 </w:t>
      </w:r>
      <w:r>
        <w:rPr>
          <w:rFonts w:hint="eastAsia" w:ascii="宋体" w:hAnsi="宋体"/>
          <w:sz w:val="24"/>
          <w:u w:val="single"/>
        </w:rPr>
        <w:t xml:space="preserve">（采购单位名称） </w:t>
      </w:r>
      <w:r>
        <w:rPr>
          <w:rFonts w:hint="eastAsia" w:ascii="宋体" w:hAnsi="宋体"/>
          <w:sz w:val="24"/>
        </w:rPr>
        <w:t xml:space="preserve">的 </w:t>
      </w:r>
      <w:r>
        <w:rPr>
          <w:rFonts w:hint="eastAsia" w:ascii="宋体" w:hAnsi="宋体"/>
          <w:sz w:val="24"/>
          <w:u w:val="single"/>
        </w:rPr>
        <w:t xml:space="preserve">（项目名称） </w:t>
      </w:r>
      <w:r>
        <w:rPr>
          <w:rFonts w:hint="eastAsia" w:ascii="宋体" w:hAnsi="宋体"/>
          <w:sz w:val="24"/>
        </w:rPr>
        <w:t>采购活动，工程的施工单位全部为符合政策要求的中小企业。相关企业（含联合体中的中小企业、签订分包意向协议的中小企业）的具体情况如下：</w:t>
      </w:r>
      <w:r>
        <w:rPr>
          <w:rFonts w:ascii="宋体" w:hAnsi="宋体"/>
          <w:sz w:val="24"/>
        </w:rPr>
        <w:br w:type="textWrapping"/>
      </w:r>
      <w:r>
        <w:rPr>
          <w:rFonts w:hint="eastAsia" w:ascii="宋体" w:hAnsi="宋体"/>
          <w:sz w:val="24"/>
        </w:rPr>
        <w:t xml:space="preserve">　　1. </w:t>
      </w:r>
      <w:r>
        <w:rPr>
          <w:rFonts w:hint="eastAsia" w:ascii="宋体" w:hAnsi="宋体"/>
          <w:sz w:val="24"/>
          <w:u w:val="single"/>
        </w:rPr>
        <w:t xml:space="preserve">（标的名称） </w:t>
      </w:r>
      <w:r>
        <w:rPr>
          <w:rFonts w:hint="eastAsia" w:ascii="宋体" w:hAnsi="宋体"/>
          <w:sz w:val="24"/>
        </w:rPr>
        <w:t>，属于</w:t>
      </w:r>
      <w:r>
        <w:rPr>
          <w:rFonts w:hint="eastAsia" w:ascii="宋体" w:hAnsi="宋体"/>
          <w:sz w:val="24"/>
          <w:u w:val="single"/>
        </w:rPr>
        <w:t xml:space="preserve"> 建筑业 </w:t>
      </w:r>
      <w:r>
        <w:rPr>
          <w:rFonts w:hint="eastAsia" w:ascii="宋体" w:hAnsi="宋体"/>
          <w:sz w:val="24"/>
        </w:rPr>
        <w:t>；承建企业为</w:t>
      </w:r>
      <w:r>
        <w:rPr>
          <w:rFonts w:hint="eastAsia" w:ascii="宋体" w:hAnsi="宋体"/>
          <w:sz w:val="24"/>
          <w:u w:val="single"/>
        </w:rPr>
        <w:t xml:space="preserve"> （企业名称） </w:t>
      </w:r>
      <w:r>
        <w:rPr>
          <w:rFonts w:hint="eastAsia" w:ascii="宋体" w:hAnsi="宋体"/>
          <w:sz w:val="24"/>
        </w:rPr>
        <w:t>，从业人员</w:t>
      </w:r>
      <w:r>
        <w:rPr>
          <w:rFonts w:ascii="宋体" w:hAnsi="宋体"/>
          <w:sz w:val="24"/>
          <w:u w:val="single"/>
        </w:rPr>
        <w:t xml:space="preserve">   </w:t>
      </w:r>
      <w:r>
        <w:rPr>
          <w:rFonts w:hint="eastAsia" w:ascii="宋体" w:hAnsi="宋体"/>
          <w:sz w:val="24"/>
        </w:rPr>
        <w:t>人，营业收入为</w:t>
      </w:r>
      <w:r>
        <w:rPr>
          <w:rFonts w:ascii="宋体" w:hAnsi="宋体"/>
          <w:sz w:val="24"/>
          <w:u w:val="single"/>
        </w:rPr>
        <w:t xml:space="preserve">    </w:t>
      </w:r>
      <w:r>
        <w:rPr>
          <w:rFonts w:hint="eastAsia" w:ascii="宋体" w:hAnsi="宋体"/>
          <w:sz w:val="24"/>
        </w:rPr>
        <w:t>万元，资产总额为</w:t>
      </w:r>
      <w:r>
        <w:rPr>
          <w:rFonts w:ascii="宋体" w:hAnsi="宋体"/>
          <w:sz w:val="24"/>
          <w:u w:val="single"/>
        </w:rPr>
        <w:t xml:space="preserve">   </w:t>
      </w:r>
      <w:r>
        <w:rPr>
          <w:rFonts w:hint="eastAsia" w:ascii="宋体" w:hAnsi="宋体"/>
          <w:sz w:val="24"/>
        </w:rPr>
        <w:t>万元，属于</w:t>
      </w:r>
      <w:r>
        <w:rPr>
          <w:rFonts w:hint="eastAsia" w:ascii="宋体" w:hAnsi="宋体"/>
          <w:sz w:val="24"/>
          <w:u w:val="single"/>
        </w:rPr>
        <w:t xml:space="preserve"> （中型企业、小型企业、微型企业） </w:t>
      </w:r>
      <w:r>
        <w:rPr>
          <w:rFonts w:hint="eastAsia" w:ascii="宋体" w:hAnsi="宋体"/>
          <w:sz w:val="24"/>
        </w:rPr>
        <w:t>；</w:t>
      </w:r>
    </w:p>
    <w:p>
      <w:pPr>
        <w:spacing w:line="360" w:lineRule="auto"/>
        <w:ind w:firstLine="600" w:firstLineChars="250"/>
        <w:jc w:val="left"/>
        <w:rPr>
          <w:rFonts w:ascii="宋体" w:hAnsi="宋体"/>
          <w:sz w:val="24"/>
        </w:rPr>
      </w:pPr>
      <w:r>
        <w:rPr>
          <w:rFonts w:hint="eastAsia" w:ascii="宋体" w:hAnsi="宋体"/>
          <w:sz w:val="24"/>
        </w:rPr>
        <w:t>2.</w:t>
      </w:r>
      <w:r>
        <w:rPr>
          <w:rFonts w:hint="eastAsia" w:ascii="宋体" w:hAnsi="宋体"/>
          <w:sz w:val="24"/>
          <w:u w:val="single"/>
        </w:rPr>
        <w:t xml:space="preserve"> （标的名称） </w:t>
      </w:r>
      <w:r>
        <w:rPr>
          <w:rFonts w:hint="eastAsia" w:ascii="宋体" w:hAnsi="宋体"/>
          <w:sz w:val="24"/>
        </w:rPr>
        <w:t>，属于</w:t>
      </w:r>
      <w:r>
        <w:rPr>
          <w:rFonts w:hint="eastAsia" w:ascii="宋体" w:hAnsi="宋体"/>
          <w:sz w:val="24"/>
          <w:u w:val="single"/>
        </w:rPr>
        <w:t xml:space="preserve"> （采购文件中明确的所属行业） </w:t>
      </w:r>
      <w:r>
        <w:rPr>
          <w:rFonts w:hint="eastAsia" w:ascii="宋体" w:hAnsi="宋体"/>
          <w:sz w:val="24"/>
        </w:rPr>
        <w:t>；承建企业为</w:t>
      </w:r>
      <w:r>
        <w:rPr>
          <w:rFonts w:hint="eastAsia" w:ascii="宋体" w:hAnsi="宋体"/>
          <w:sz w:val="24"/>
          <w:u w:val="single"/>
        </w:rPr>
        <w:t xml:space="preserve"> （企业名称） </w:t>
      </w:r>
      <w:r>
        <w:rPr>
          <w:rFonts w:hint="eastAsia" w:ascii="宋体" w:hAnsi="宋体"/>
          <w:sz w:val="24"/>
        </w:rPr>
        <w:t>，从业人员</w:t>
      </w:r>
      <w:r>
        <w:rPr>
          <w:rFonts w:ascii="宋体" w:hAnsi="宋体"/>
          <w:sz w:val="24"/>
          <w:u w:val="single"/>
        </w:rPr>
        <w:t xml:space="preserve">   </w:t>
      </w:r>
      <w:r>
        <w:rPr>
          <w:rFonts w:hint="eastAsia" w:ascii="宋体" w:hAnsi="宋体"/>
          <w:sz w:val="24"/>
        </w:rPr>
        <w:t>人，营业收入为</w:t>
      </w:r>
      <w:r>
        <w:rPr>
          <w:rFonts w:ascii="宋体" w:hAnsi="宋体"/>
          <w:sz w:val="24"/>
          <w:u w:val="single"/>
        </w:rPr>
        <w:t xml:space="preserve">    </w:t>
      </w:r>
      <w:r>
        <w:rPr>
          <w:rFonts w:hint="eastAsia" w:ascii="宋体" w:hAnsi="宋体"/>
          <w:sz w:val="24"/>
        </w:rPr>
        <w:t>万元，资产总额为</w:t>
      </w:r>
      <w:r>
        <w:rPr>
          <w:rFonts w:ascii="宋体" w:hAnsi="宋体"/>
          <w:sz w:val="24"/>
          <w:u w:val="single"/>
        </w:rPr>
        <w:t xml:space="preserve">   </w:t>
      </w:r>
      <w:r>
        <w:rPr>
          <w:rFonts w:hint="eastAsia" w:ascii="宋体" w:hAnsi="宋体"/>
          <w:sz w:val="24"/>
        </w:rPr>
        <w:t>万元，属于</w:t>
      </w:r>
      <w:r>
        <w:rPr>
          <w:rFonts w:hint="eastAsia" w:ascii="宋体" w:hAnsi="宋体"/>
          <w:sz w:val="24"/>
          <w:u w:val="single"/>
        </w:rPr>
        <w:t xml:space="preserve"> （中型企业、小型企业、微型企业） </w:t>
      </w:r>
      <w:r>
        <w:rPr>
          <w:rFonts w:hint="eastAsia" w:ascii="宋体" w:hAnsi="宋体"/>
          <w:sz w:val="24"/>
        </w:rPr>
        <w:t>；</w:t>
      </w:r>
    </w:p>
    <w:p>
      <w:pPr>
        <w:spacing w:line="360" w:lineRule="auto"/>
        <w:ind w:firstLine="600" w:firstLineChars="250"/>
        <w:jc w:val="left"/>
        <w:rPr>
          <w:rFonts w:ascii="宋体" w:hAnsi="宋体"/>
          <w:sz w:val="24"/>
        </w:rPr>
      </w:pPr>
      <w:r>
        <w:rPr>
          <w:rFonts w:hint="eastAsia" w:ascii="宋体" w:hAnsi="宋体"/>
          <w:sz w:val="24"/>
        </w:rPr>
        <w:t>……</w:t>
      </w:r>
    </w:p>
    <w:p>
      <w:pPr>
        <w:spacing w:line="360" w:lineRule="auto"/>
        <w:ind w:firstLine="600" w:firstLineChars="250"/>
        <w:jc w:val="left"/>
        <w:rPr>
          <w:rFonts w:ascii="宋体" w:hAnsi="宋体"/>
          <w:sz w:val="24"/>
        </w:rPr>
      </w:pPr>
      <w:r>
        <w:rPr>
          <w:rFonts w:hint="eastAsia" w:ascii="宋体" w:hAnsi="宋体"/>
          <w:sz w:val="24"/>
        </w:rPr>
        <w:t>以上企业，不属于大企业的分支机构，不存在控股股东为大企业的情形，也不存在与大企业的负责人为同一人的情形。</w:t>
      </w:r>
    </w:p>
    <w:p>
      <w:pPr>
        <w:spacing w:line="360" w:lineRule="auto"/>
        <w:ind w:firstLine="600" w:firstLineChars="250"/>
        <w:jc w:val="left"/>
        <w:rPr>
          <w:rFonts w:ascii="宋体" w:hAnsi="宋体"/>
          <w:sz w:val="24"/>
        </w:rPr>
      </w:pPr>
      <w:r>
        <w:rPr>
          <w:rFonts w:hint="eastAsia" w:ascii="宋体" w:hAnsi="宋体"/>
          <w:sz w:val="24"/>
        </w:rPr>
        <w:t>本企业对上述声明内容的真实性负责。如有虚假，将依法承担相应责任。</w:t>
      </w:r>
    </w:p>
    <w:p>
      <w:pPr>
        <w:spacing w:line="360" w:lineRule="auto"/>
        <w:jc w:val="center"/>
        <w:rPr>
          <w:rFonts w:ascii="宋体" w:hAnsi="宋体"/>
          <w:sz w:val="24"/>
        </w:rPr>
      </w:pPr>
      <w:r>
        <w:rPr>
          <w:rFonts w:hint="eastAsia" w:ascii="宋体" w:hAnsi="宋体"/>
          <w:sz w:val="24"/>
        </w:rPr>
        <w:t xml:space="preserve">                               </w:t>
      </w:r>
    </w:p>
    <w:p>
      <w:pPr>
        <w:spacing w:line="360" w:lineRule="auto"/>
        <w:jc w:val="center"/>
        <w:rPr>
          <w:rFonts w:ascii="宋体" w:hAnsi="宋体"/>
          <w:sz w:val="24"/>
        </w:rPr>
      </w:pPr>
      <w:r>
        <w:rPr>
          <w:rFonts w:hint="eastAsia" w:ascii="宋体" w:hAnsi="宋体"/>
          <w:sz w:val="24"/>
        </w:rPr>
        <w:t xml:space="preserve">  企业名称（盖章）：</w:t>
      </w:r>
    </w:p>
    <w:p>
      <w:pPr>
        <w:spacing w:line="360" w:lineRule="auto"/>
        <w:jc w:val="center"/>
        <w:rPr>
          <w:rFonts w:ascii="宋体" w:hAnsi="宋体"/>
          <w:sz w:val="24"/>
        </w:rPr>
      </w:pPr>
      <w:r>
        <w:rPr>
          <w:rFonts w:hint="eastAsia" w:ascii="宋体" w:hAnsi="宋体"/>
          <w:sz w:val="24"/>
        </w:rPr>
        <w:t xml:space="preserve">                </w:t>
      </w:r>
    </w:p>
    <w:p>
      <w:pPr>
        <w:spacing w:line="360" w:lineRule="auto"/>
        <w:ind w:firstLine="3840" w:firstLineChars="1600"/>
        <w:rPr>
          <w:rFonts w:ascii="宋体" w:hAnsi="宋体"/>
          <w:sz w:val="24"/>
        </w:rPr>
      </w:pPr>
      <w:r>
        <w:rPr>
          <w:rFonts w:hint="eastAsia" w:ascii="宋体" w:hAnsi="宋体"/>
          <w:sz w:val="24"/>
        </w:rPr>
        <w:t xml:space="preserve"> 日 期：</w:t>
      </w:r>
    </w:p>
    <w:p>
      <w:pPr>
        <w:spacing w:line="360" w:lineRule="auto"/>
        <w:jc w:val="left"/>
        <w:rPr>
          <w:rFonts w:ascii="宋体" w:hAnsi="宋体" w:cs="宋体"/>
          <w:sz w:val="24"/>
        </w:rPr>
      </w:pPr>
      <w:r>
        <w:rPr>
          <w:rFonts w:hint="eastAsia" w:ascii="宋体" w:hAnsi="宋体" w:cs="宋体"/>
          <w:sz w:val="24"/>
        </w:rPr>
        <w:t>注：</w:t>
      </w:r>
    </w:p>
    <w:p>
      <w:pPr>
        <w:spacing w:line="360" w:lineRule="auto"/>
        <w:rPr>
          <w:rFonts w:ascii="宋体" w:hAnsi="宋体" w:cs="宋体"/>
          <w:sz w:val="24"/>
        </w:rPr>
      </w:pPr>
      <w:r>
        <w:rPr>
          <w:rFonts w:ascii="宋体" w:hAnsi="宋体" w:cs="宋体"/>
          <w:sz w:val="24"/>
        </w:rPr>
        <w:t>1、</w:t>
      </w:r>
      <w:r>
        <w:rPr>
          <w:rFonts w:hint="eastAsia" w:ascii="宋体" w:hAnsi="宋体" w:cs="宋体"/>
          <w:sz w:val="24"/>
        </w:rPr>
        <w:t>从业人员、营业收入、资产总额填报上一年度数据，无上一年度数据的新成立企业可不填报。</w:t>
      </w:r>
    </w:p>
    <w:p>
      <w:pPr>
        <w:adjustRightInd w:val="0"/>
        <w:spacing w:line="360" w:lineRule="auto"/>
        <w:jc w:val="left"/>
        <w:rPr>
          <w:rFonts w:ascii="宋体" w:hAnsi="宋体"/>
          <w:sz w:val="24"/>
        </w:rPr>
      </w:pPr>
    </w:p>
    <w:p>
      <w:pPr>
        <w:adjustRightInd w:val="0"/>
        <w:spacing w:line="360" w:lineRule="auto"/>
        <w:jc w:val="left"/>
        <w:rPr>
          <w:rFonts w:ascii="宋体" w:hAnsi="宋体"/>
          <w:sz w:val="24"/>
        </w:rPr>
      </w:pPr>
    </w:p>
    <w:p>
      <w:pPr>
        <w:adjustRightInd w:val="0"/>
        <w:spacing w:line="360" w:lineRule="auto"/>
        <w:jc w:val="left"/>
        <w:rPr>
          <w:rFonts w:ascii="宋体" w:hAnsi="宋体"/>
          <w:sz w:val="24"/>
        </w:rPr>
      </w:pPr>
      <w:r>
        <w:rPr>
          <w:rFonts w:hint="eastAsia" w:ascii="宋体" w:hAnsi="宋体"/>
          <w:sz w:val="24"/>
        </w:rPr>
        <w:t>注</w:t>
      </w:r>
      <w:r>
        <w:rPr>
          <w:rFonts w:ascii="宋体" w:hAnsi="宋体"/>
          <w:sz w:val="24"/>
        </w:rPr>
        <w:t>：联合体投标的</w:t>
      </w:r>
      <w:r>
        <w:rPr>
          <w:rFonts w:hint="eastAsia" w:ascii="宋体" w:hAnsi="宋体"/>
          <w:sz w:val="24"/>
        </w:rPr>
        <w:t>各方</w:t>
      </w:r>
      <w:r>
        <w:rPr>
          <w:rFonts w:ascii="宋体" w:hAnsi="宋体"/>
          <w:sz w:val="24"/>
        </w:rPr>
        <w:t>均需提供</w:t>
      </w:r>
      <w:r>
        <w:rPr>
          <w:rFonts w:hint="eastAsia" w:ascii="宋体" w:hAnsi="宋体"/>
          <w:sz w:val="24"/>
        </w:rPr>
        <w:t>。</w:t>
      </w:r>
    </w:p>
    <w:p>
      <w:pPr>
        <w:spacing w:line="360" w:lineRule="auto"/>
        <w:rPr>
          <w:rFonts w:ascii="宋体" w:hAnsi="宋体" w:cs="宋体"/>
          <w:sz w:val="24"/>
        </w:rPr>
      </w:pPr>
    </w:p>
    <w:p>
      <w:pPr>
        <w:spacing w:line="360" w:lineRule="auto"/>
        <w:rPr>
          <w:rFonts w:ascii="宋体" w:hAnsi="宋体"/>
          <w:b/>
          <w:sz w:val="32"/>
          <w:szCs w:val="32"/>
        </w:rPr>
      </w:pPr>
      <w:r>
        <w:rPr>
          <w:rFonts w:hint="eastAsia" w:ascii="宋体" w:hAnsi="宋体" w:cs="宋体"/>
          <w:sz w:val="24"/>
        </w:rPr>
        <w:br w:type="page"/>
      </w:r>
      <w:r>
        <w:rPr>
          <w:rFonts w:hint="eastAsia" w:ascii="宋体" w:hAnsi="宋体"/>
          <w:b/>
          <w:sz w:val="28"/>
          <w:szCs w:val="28"/>
        </w:rPr>
        <w:t>格式</w:t>
      </w:r>
      <w:r>
        <w:rPr>
          <w:rFonts w:ascii="宋体" w:hAnsi="宋体"/>
          <w:b/>
          <w:sz w:val="28"/>
          <w:szCs w:val="28"/>
        </w:rPr>
        <w:t>1</w:t>
      </w:r>
      <w:r>
        <w:rPr>
          <w:rFonts w:hint="eastAsia" w:ascii="宋体" w:hAnsi="宋体"/>
          <w:b/>
          <w:sz w:val="28"/>
          <w:szCs w:val="28"/>
        </w:rPr>
        <w:t>-</w:t>
      </w:r>
      <w:r>
        <w:rPr>
          <w:rFonts w:ascii="宋体" w:hAnsi="宋体"/>
          <w:b/>
          <w:sz w:val="28"/>
          <w:szCs w:val="28"/>
        </w:rPr>
        <w:t>5</w:t>
      </w:r>
    </w:p>
    <w:p>
      <w:pPr>
        <w:spacing w:line="360" w:lineRule="auto"/>
        <w:jc w:val="center"/>
        <w:rPr>
          <w:rFonts w:ascii="宋体" w:hAnsi="宋体"/>
          <w:b/>
          <w:bCs/>
          <w:sz w:val="32"/>
          <w:szCs w:val="32"/>
        </w:rPr>
      </w:pPr>
      <w:r>
        <w:rPr>
          <w:rFonts w:hint="eastAsia" w:ascii="宋体" w:hAnsi="宋体"/>
          <w:b/>
          <w:bCs/>
          <w:sz w:val="32"/>
          <w:szCs w:val="32"/>
        </w:rPr>
        <w:t>四</w:t>
      </w:r>
      <w:r>
        <w:rPr>
          <w:rFonts w:ascii="宋体" w:hAnsi="宋体"/>
          <w:b/>
          <w:bCs/>
          <w:sz w:val="32"/>
          <w:szCs w:val="32"/>
        </w:rPr>
        <w:t>、</w:t>
      </w:r>
      <w:r>
        <w:rPr>
          <w:rFonts w:hint="eastAsia" w:ascii="宋体" w:hAnsi="宋体"/>
          <w:b/>
          <w:bCs/>
          <w:sz w:val="32"/>
          <w:szCs w:val="32"/>
        </w:rPr>
        <w:t>残疾人福利性单位声明函</w:t>
      </w:r>
    </w:p>
    <w:p>
      <w:pPr>
        <w:spacing w:line="360" w:lineRule="auto"/>
        <w:rPr>
          <w:rFonts w:ascii="宋体" w:hAnsi="宋体" w:cs="宋体"/>
          <w:b/>
          <w:spacing w:val="6"/>
          <w:sz w:val="24"/>
        </w:rPr>
      </w:pPr>
    </w:p>
    <w:p>
      <w:pPr>
        <w:spacing w:line="360" w:lineRule="auto"/>
        <w:ind w:firstLine="504" w:firstLineChars="200"/>
        <w:rPr>
          <w:rFonts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w:t>
      </w:r>
      <w:r>
        <w:rPr>
          <w:rFonts w:hint="eastAsia" w:ascii="宋体" w:hAnsi="宋体" w:cs="宋体"/>
          <w:sz w:val="24"/>
        </w:rPr>
        <w:t>〔2017〕 141</w:t>
      </w:r>
      <w:r>
        <w:rPr>
          <w:rFonts w:hint="eastAsia" w:ascii="宋体" w:hAnsi="宋体" w:cs="宋体"/>
          <w:spacing w:val="6"/>
          <w:sz w:val="24"/>
        </w:rPr>
        <w:t>号）的规定，本单位为符合条件的残疾人福利性单位，且本单位参加</w:t>
      </w:r>
      <w:r>
        <w:rPr>
          <w:rFonts w:hint="eastAsia" w:ascii="宋体" w:hAnsi="宋体"/>
          <w:sz w:val="24"/>
          <w:u w:val="single"/>
        </w:rPr>
        <w:t>XXXX</w:t>
      </w:r>
      <w:r>
        <w:rPr>
          <w:rFonts w:hint="eastAsia" w:ascii="宋体" w:hAnsi="宋体" w:cs="宋体"/>
          <w:spacing w:val="6"/>
          <w:sz w:val="24"/>
        </w:rPr>
        <w:t>单位的</w:t>
      </w:r>
      <w:r>
        <w:rPr>
          <w:rFonts w:hint="eastAsia" w:ascii="宋体" w:hAnsi="宋体"/>
          <w:sz w:val="24"/>
          <w:u w:val="single"/>
        </w:rPr>
        <w:t>XXXX</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pPr>
        <w:spacing w:line="360" w:lineRule="auto"/>
        <w:rPr>
          <w:rFonts w:ascii="宋体" w:hAnsi="宋体" w:cs="宋体"/>
          <w:spacing w:val="6"/>
          <w:sz w:val="24"/>
        </w:rPr>
      </w:pPr>
    </w:p>
    <w:p>
      <w:pPr>
        <w:spacing w:line="360" w:lineRule="auto"/>
        <w:rPr>
          <w:rFonts w:ascii="宋体" w:hAnsi="宋体" w:cs="宋体"/>
          <w:spacing w:val="6"/>
          <w:sz w:val="24"/>
        </w:rPr>
      </w:pPr>
    </w:p>
    <w:p>
      <w:pPr>
        <w:spacing w:line="360" w:lineRule="auto"/>
        <w:ind w:firstLine="480" w:firstLineChars="200"/>
        <w:jc w:val="left"/>
        <w:rPr>
          <w:rFonts w:ascii="宋体" w:hAnsi="宋体"/>
          <w:sz w:val="24"/>
        </w:rPr>
      </w:pPr>
      <w:r>
        <w:rPr>
          <w:rFonts w:hint="eastAsia" w:ascii="宋体" w:hAnsi="宋体"/>
          <w:sz w:val="24"/>
        </w:rPr>
        <w:t>单位名称：XXXX（盖单位公章）</w:t>
      </w:r>
    </w:p>
    <w:p>
      <w:pPr>
        <w:spacing w:line="360" w:lineRule="auto"/>
        <w:ind w:firstLine="480" w:firstLineChars="200"/>
        <w:jc w:val="left"/>
        <w:rPr>
          <w:rFonts w:ascii="宋体" w:hAnsi="宋体"/>
          <w:sz w:val="24"/>
        </w:rPr>
      </w:pPr>
      <w:r>
        <w:rPr>
          <w:rFonts w:hint="eastAsia" w:ascii="宋体" w:hAnsi="宋体"/>
          <w:sz w:val="24"/>
        </w:rPr>
        <w:t>法定代表人/单位负责人或授权代表（签字或加盖个人印章）：XXXX</w:t>
      </w:r>
    </w:p>
    <w:p>
      <w:pPr>
        <w:spacing w:line="360" w:lineRule="auto"/>
        <w:ind w:firstLine="480" w:firstLineChars="200"/>
        <w:jc w:val="left"/>
        <w:rPr>
          <w:rFonts w:ascii="宋体" w:hAnsi="宋体"/>
          <w:sz w:val="24"/>
        </w:rPr>
      </w:pPr>
      <w:r>
        <w:rPr>
          <w:rFonts w:hint="eastAsia" w:ascii="宋体" w:hAnsi="宋体"/>
          <w:sz w:val="24"/>
        </w:rPr>
        <w:t>日期：XXXX</w:t>
      </w:r>
    </w:p>
    <w:p>
      <w:pPr>
        <w:spacing w:line="360" w:lineRule="auto"/>
        <w:rPr>
          <w:rFonts w:ascii="宋体" w:hAnsi="宋体" w:cs="宋体"/>
          <w:sz w:val="24"/>
        </w:rPr>
      </w:pPr>
    </w:p>
    <w:p>
      <w:pPr>
        <w:spacing w:line="360" w:lineRule="auto"/>
        <w:rPr>
          <w:rFonts w:ascii="宋体" w:hAnsi="宋体" w:cs="宋体"/>
          <w:sz w:val="24"/>
        </w:rPr>
      </w:pPr>
      <w:r>
        <w:rPr>
          <w:rFonts w:hint="eastAsia" w:ascii="宋体" w:hAnsi="宋体" w:cs="宋体"/>
          <w:sz w:val="24"/>
        </w:rPr>
        <w:t>注：</w:t>
      </w:r>
    </w:p>
    <w:p>
      <w:pPr>
        <w:numPr>
          <w:ilvl w:val="0"/>
          <w:numId w:val="3"/>
        </w:numPr>
        <w:spacing w:after="160" w:line="360" w:lineRule="auto"/>
        <w:rPr>
          <w:rFonts w:ascii="宋体" w:hAnsi="宋体" w:cs="宋体"/>
          <w:sz w:val="24"/>
        </w:rPr>
      </w:pPr>
      <w:r>
        <w:rPr>
          <w:rFonts w:hint="eastAsia" w:ascii="宋体" w:hAnsi="宋体" w:cs="宋体"/>
          <w:sz w:val="24"/>
        </w:rPr>
        <w:t>残疾人福利性单位视同小型、微型企业，享受预留份额、评审中价格扣除等促进中小企业发展的政府采购政策。残疾人福利性单位属于小型、微型企业的，不重复享受政策。</w:t>
      </w:r>
    </w:p>
    <w:p>
      <w:pPr>
        <w:numPr>
          <w:ilvl w:val="0"/>
          <w:numId w:val="3"/>
        </w:numPr>
        <w:spacing w:after="160" w:line="360" w:lineRule="auto"/>
        <w:rPr>
          <w:rFonts w:ascii="宋体" w:hAnsi="宋体" w:cs="宋体"/>
          <w:sz w:val="24"/>
        </w:rPr>
      </w:pPr>
      <w:r>
        <w:rPr>
          <w:rFonts w:hint="eastAsia" w:ascii="宋体" w:hAnsi="宋体" w:cs="宋体"/>
          <w:sz w:val="24"/>
        </w:rPr>
        <w:t>供应商为非残疾人福利性单位的，可不提供此声明。</w:t>
      </w:r>
    </w:p>
    <w:p>
      <w:pPr>
        <w:widowControl/>
        <w:jc w:val="left"/>
        <w:rPr>
          <w:rFonts w:ascii="宋体" w:hAnsi="宋体"/>
          <w:sz w:val="24"/>
        </w:rPr>
      </w:pPr>
      <w:r>
        <w:rPr>
          <w:rFonts w:ascii="宋体" w:hAnsi="宋体"/>
          <w:sz w:val="24"/>
        </w:rPr>
        <w:br w:type="page"/>
      </w:r>
    </w:p>
    <w:p>
      <w:pPr>
        <w:spacing w:line="360" w:lineRule="auto"/>
        <w:rPr>
          <w:rFonts w:ascii="宋体" w:hAnsi="宋体"/>
          <w:b/>
          <w:sz w:val="32"/>
          <w:szCs w:val="32"/>
        </w:rPr>
      </w:pPr>
      <w:r>
        <w:rPr>
          <w:rFonts w:hint="eastAsia" w:ascii="宋体" w:hAnsi="宋体"/>
          <w:b/>
          <w:sz w:val="28"/>
          <w:szCs w:val="28"/>
        </w:rPr>
        <w:t>格式</w:t>
      </w:r>
      <w:r>
        <w:rPr>
          <w:rFonts w:ascii="宋体" w:hAnsi="宋体"/>
          <w:b/>
          <w:sz w:val="28"/>
          <w:szCs w:val="28"/>
        </w:rPr>
        <w:t>1</w:t>
      </w:r>
      <w:r>
        <w:rPr>
          <w:rFonts w:hint="eastAsia" w:ascii="宋体" w:hAnsi="宋体"/>
          <w:b/>
          <w:sz w:val="28"/>
          <w:szCs w:val="28"/>
        </w:rPr>
        <w:t>-</w:t>
      </w:r>
      <w:r>
        <w:rPr>
          <w:rFonts w:ascii="宋体" w:hAnsi="宋体"/>
          <w:b/>
          <w:sz w:val="28"/>
          <w:szCs w:val="28"/>
        </w:rPr>
        <w:t>6</w:t>
      </w:r>
    </w:p>
    <w:p>
      <w:pPr>
        <w:spacing w:line="360" w:lineRule="auto"/>
        <w:jc w:val="center"/>
        <w:rPr>
          <w:rFonts w:ascii="宋体" w:hAnsi="宋体"/>
          <w:b/>
          <w:bCs/>
          <w:sz w:val="32"/>
          <w:szCs w:val="32"/>
        </w:rPr>
      </w:pPr>
      <w:r>
        <w:rPr>
          <w:rFonts w:hint="eastAsia" w:ascii="宋体" w:hAnsi="宋体"/>
          <w:b/>
          <w:sz w:val="32"/>
          <w:szCs w:val="32"/>
        </w:rPr>
        <w:t>五</w:t>
      </w:r>
      <w:r>
        <w:rPr>
          <w:rFonts w:ascii="宋体" w:hAnsi="宋体"/>
          <w:b/>
          <w:sz w:val="32"/>
          <w:szCs w:val="32"/>
        </w:rPr>
        <w:t>、</w:t>
      </w:r>
      <w:r>
        <w:rPr>
          <w:rFonts w:hint="eastAsia" w:ascii="宋体" w:hAnsi="宋体"/>
          <w:b/>
          <w:sz w:val="32"/>
          <w:szCs w:val="32"/>
        </w:rPr>
        <w:t>监狱企业</w:t>
      </w:r>
    </w:p>
    <w:p>
      <w:pPr>
        <w:spacing w:line="360" w:lineRule="auto"/>
        <w:rPr>
          <w:rFonts w:ascii="宋体" w:hAnsi="宋体" w:cs="宋体"/>
          <w:b/>
          <w:spacing w:val="6"/>
          <w:sz w:val="24"/>
        </w:rPr>
      </w:pPr>
    </w:p>
    <w:p>
      <w:pPr>
        <w:spacing w:line="360" w:lineRule="auto"/>
        <w:ind w:firstLine="480" w:firstLineChars="200"/>
        <w:jc w:val="left"/>
        <w:rPr>
          <w:rFonts w:ascii="宋体" w:hAnsi="宋体"/>
          <w:sz w:val="24"/>
        </w:rPr>
      </w:pPr>
      <w:r>
        <w:rPr>
          <w:rFonts w:hint="eastAsia" w:ascii="宋体" w:hAnsi="宋体"/>
          <w:sz w:val="24"/>
        </w:rPr>
        <w:t>根据</w:t>
      </w:r>
      <w:r>
        <w:rPr>
          <w:rFonts w:hint="eastAsia" w:ascii="宋体" w:hAnsi="宋体" w:cs="仿宋"/>
          <w:sz w:val="24"/>
        </w:rPr>
        <w:t>《政府采购支持监狱企业发展有关问题的通知》</w:t>
      </w:r>
      <w:r>
        <w:rPr>
          <w:rFonts w:hint="eastAsia" w:ascii="宋体" w:hAnsi="宋体"/>
          <w:sz w:val="24"/>
        </w:rPr>
        <w:t>（财库〔</w:t>
      </w:r>
      <w:r>
        <w:rPr>
          <w:rFonts w:ascii="宋体" w:hAnsi="宋体"/>
          <w:sz w:val="24"/>
        </w:rPr>
        <w:t>2014〕68号）的规定</w:t>
      </w:r>
      <w:r>
        <w:rPr>
          <w:rFonts w:hint="eastAsia" w:ascii="宋体" w:hAnsi="宋体"/>
          <w:sz w:val="24"/>
        </w:rPr>
        <w:t>监狱企业参加采购活动的，应</w:t>
      </w:r>
      <w:r>
        <w:rPr>
          <w:rFonts w:hint="eastAsia" w:ascii="宋体" w:hAnsi="宋体" w:cs="宋体"/>
          <w:sz w:val="24"/>
        </w:rPr>
        <w:t>提供由省级以上监狱管理局、戒毒管理局</w:t>
      </w:r>
      <w:r>
        <w:rPr>
          <w:rFonts w:ascii="宋体" w:hAnsi="宋体" w:cs="宋体"/>
          <w:sz w:val="24"/>
        </w:rPr>
        <w:t>(含新疆生产建设兵团)出具的属于监狱企业的证明文件。</w:t>
      </w:r>
    </w:p>
    <w:p>
      <w:pPr>
        <w:spacing w:line="360" w:lineRule="auto"/>
        <w:jc w:val="left"/>
        <w:rPr>
          <w:rFonts w:ascii="宋体" w:hAnsi="宋体" w:cs="宋体"/>
          <w:sz w:val="24"/>
        </w:rPr>
      </w:pPr>
      <w:r>
        <w:rPr>
          <w:rFonts w:hint="eastAsia" w:ascii="宋体" w:hAnsi="宋体" w:cs="宋体"/>
          <w:sz w:val="24"/>
        </w:rPr>
        <w:t>注：</w:t>
      </w:r>
    </w:p>
    <w:p>
      <w:pPr>
        <w:spacing w:line="360" w:lineRule="auto"/>
        <w:rPr>
          <w:rFonts w:ascii="宋体" w:hAnsi="宋体" w:cs="宋体"/>
          <w:sz w:val="24"/>
        </w:rPr>
      </w:pPr>
      <w:r>
        <w:rPr>
          <w:rFonts w:ascii="宋体" w:hAnsi="宋体" w:cs="宋体"/>
          <w:sz w:val="24"/>
        </w:rPr>
        <w:t>1、</w:t>
      </w:r>
      <w:r>
        <w:rPr>
          <w:rFonts w:hint="eastAsia" w:ascii="宋体" w:hAnsi="宋体" w:cs="宋体"/>
          <w:sz w:val="24"/>
        </w:rPr>
        <w:t>供应商</w:t>
      </w:r>
      <w:r>
        <w:rPr>
          <w:rFonts w:ascii="宋体" w:hAnsi="宋体" w:cs="宋体"/>
          <w:sz w:val="24"/>
        </w:rPr>
        <w:t>符合《政府采购支持监狱企业发展有关问题的通知》（财库〔2014〕68号）规定的划分标准为监狱企业适用。</w:t>
      </w:r>
    </w:p>
    <w:p>
      <w:pPr>
        <w:spacing w:line="360" w:lineRule="auto"/>
        <w:rPr>
          <w:rFonts w:ascii="宋体" w:hAnsi="宋体" w:cs="宋体"/>
          <w:sz w:val="24"/>
        </w:rPr>
      </w:pPr>
      <w:r>
        <w:rPr>
          <w:rFonts w:ascii="宋体" w:hAnsi="宋体" w:cs="宋体"/>
          <w:sz w:val="24"/>
        </w:rPr>
        <w:t>2、在政府采购活动中，监狱企业视同小型、微型企业，享受预留份额、评审中</w:t>
      </w:r>
      <w:r>
        <w:rPr>
          <w:rFonts w:hint="eastAsia" w:ascii="宋体" w:hAnsi="宋体" w:cs="宋体"/>
          <w:sz w:val="24"/>
        </w:rPr>
        <w:t>价格扣除等政府采购促进中小企业发展的政府采购政策。</w:t>
      </w:r>
    </w:p>
    <w:p>
      <w:pPr>
        <w:widowControl/>
        <w:jc w:val="left"/>
        <w:rPr>
          <w:rFonts w:ascii="宋体" w:hAnsi="宋体"/>
          <w:b/>
          <w:sz w:val="28"/>
          <w:szCs w:val="28"/>
        </w:rPr>
      </w:pPr>
      <w:r>
        <w:rPr>
          <w:rFonts w:ascii="宋体" w:hAnsi="宋体"/>
          <w:b/>
          <w:sz w:val="28"/>
          <w:szCs w:val="28"/>
        </w:rPr>
        <w:br w:type="page"/>
      </w:r>
    </w:p>
    <w:p>
      <w:pPr>
        <w:spacing w:line="360" w:lineRule="auto"/>
        <w:rPr>
          <w:rFonts w:ascii="宋体" w:hAnsi="宋体"/>
          <w:b/>
          <w:sz w:val="28"/>
          <w:szCs w:val="28"/>
        </w:rPr>
      </w:pPr>
      <w:r>
        <w:rPr>
          <w:rFonts w:hint="eastAsia" w:ascii="宋体" w:hAnsi="宋体"/>
          <w:b/>
          <w:sz w:val="28"/>
          <w:szCs w:val="28"/>
        </w:rPr>
        <w:t>格式1-</w:t>
      </w:r>
      <w:r>
        <w:rPr>
          <w:rFonts w:ascii="宋体" w:hAnsi="宋体"/>
          <w:b/>
          <w:sz w:val="28"/>
          <w:szCs w:val="28"/>
        </w:rPr>
        <w:t>7</w:t>
      </w:r>
    </w:p>
    <w:p>
      <w:pPr>
        <w:spacing w:line="360" w:lineRule="auto"/>
        <w:jc w:val="center"/>
        <w:rPr>
          <w:rFonts w:ascii="宋体" w:hAnsi="宋体" w:cs="Arial"/>
          <w:b/>
          <w:bCs/>
          <w:sz w:val="32"/>
          <w:szCs w:val="32"/>
        </w:rPr>
      </w:pPr>
      <w:r>
        <w:rPr>
          <w:rFonts w:hint="eastAsia" w:ascii="宋体" w:hAnsi="宋体" w:cs="Arial"/>
          <w:b/>
          <w:bCs/>
          <w:sz w:val="32"/>
          <w:szCs w:val="32"/>
        </w:rPr>
        <w:t>六</w:t>
      </w:r>
      <w:r>
        <w:rPr>
          <w:rFonts w:ascii="宋体" w:hAnsi="宋体" w:cs="Arial"/>
          <w:b/>
          <w:bCs/>
          <w:sz w:val="32"/>
          <w:szCs w:val="32"/>
        </w:rPr>
        <w:t>、</w:t>
      </w:r>
      <w:r>
        <w:rPr>
          <w:rFonts w:hint="eastAsia" w:ascii="宋体" w:hAnsi="宋体" w:cs="Arial"/>
          <w:b/>
          <w:bCs/>
          <w:sz w:val="32"/>
          <w:szCs w:val="32"/>
        </w:rPr>
        <w:t>承诺函（如涉及）</w:t>
      </w:r>
    </w:p>
    <w:p>
      <w:pPr>
        <w:widowControl/>
        <w:spacing w:line="360" w:lineRule="auto"/>
        <w:jc w:val="center"/>
        <w:outlineLvl w:val="1"/>
        <w:rPr>
          <w:rFonts w:ascii="宋体" w:hAnsi="宋体"/>
          <w:b/>
          <w:sz w:val="24"/>
        </w:rPr>
      </w:pPr>
    </w:p>
    <w:p>
      <w:pPr>
        <w:spacing w:line="360" w:lineRule="auto"/>
        <w:rPr>
          <w:rFonts w:ascii="宋体" w:hAnsi="宋体" w:cs="宋体"/>
          <w:bCs/>
          <w:sz w:val="24"/>
        </w:rPr>
      </w:pPr>
      <w:r>
        <w:rPr>
          <w:rFonts w:hint="eastAsia" w:ascii="宋体" w:hAnsi="宋体" w:cs="宋体"/>
          <w:bCs/>
          <w:sz w:val="24"/>
        </w:rPr>
        <w:t>XXXX（采购代理机构名称）：</w:t>
      </w:r>
    </w:p>
    <w:p>
      <w:pPr>
        <w:spacing w:line="360" w:lineRule="auto"/>
        <w:rPr>
          <w:rFonts w:ascii="宋体" w:hAnsi="宋体" w:cs="宋体"/>
          <w:bCs/>
          <w:sz w:val="24"/>
        </w:rPr>
      </w:pPr>
      <w:r>
        <w:rPr>
          <w:rFonts w:hint="eastAsia" w:ascii="宋体" w:hAnsi="宋体" w:cs="宋体"/>
          <w:bCs/>
          <w:sz w:val="24"/>
        </w:rPr>
        <w:t>我单位作为本次采购项目的供应商，现郑重承诺如下：</w:t>
      </w:r>
    </w:p>
    <w:p>
      <w:pPr>
        <w:spacing w:line="360" w:lineRule="auto"/>
        <w:rPr>
          <w:rFonts w:ascii="宋体" w:hAnsi="宋体" w:cs="宋体"/>
          <w:bCs/>
          <w:sz w:val="24"/>
        </w:rPr>
      </w:pPr>
      <w:r>
        <w:rPr>
          <w:rFonts w:hint="eastAsia" w:ascii="宋体" w:hAnsi="宋体" w:cs="宋体"/>
          <w:bCs/>
          <w:sz w:val="24"/>
        </w:rPr>
        <w:t>根据本项目磋商文件</w:t>
      </w:r>
      <w:r>
        <w:rPr>
          <w:rFonts w:ascii="宋体" w:hAnsi="宋体" w:cs="宋体"/>
          <w:bCs/>
          <w:sz w:val="24"/>
        </w:rPr>
        <w:t>第四章资格证明要求中第</w:t>
      </w:r>
      <w:r>
        <w:rPr>
          <w:rFonts w:hint="eastAsia" w:ascii="宋体" w:hAnsi="宋体" w:cs="宋体"/>
          <w:bCs/>
          <w:sz w:val="24"/>
          <w:u w:val="single"/>
        </w:rPr>
        <w:t xml:space="preserve">  </w:t>
      </w:r>
      <w:r>
        <w:rPr>
          <w:rFonts w:hint="eastAsia" w:ascii="宋体" w:hAnsi="宋体" w:cs="宋体"/>
          <w:bCs/>
          <w:sz w:val="24"/>
        </w:rPr>
        <w:t>项，</w:t>
      </w:r>
      <w:r>
        <w:rPr>
          <w:rFonts w:ascii="宋体" w:hAnsi="宋体" w:cs="宋体"/>
          <w:bCs/>
          <w:sz w:val="24"/>
        </w:rPr>
        <w:t>我</w:t>
      </w:r>
      <w:r>
        <w:rPr>
          <w:rFonts w:hint="eastAsia" w:ascii="宋体" w:hAnsi="宋体" w:cs="宋体"/>
          <w:bCs/>
          <w:sz w:val="24"/>
        </w:rPr>
        <w:t>单位</w:t>
      </w:r>
      <w:r>
        <w:rPr>
          <w:rFonts w:ascii="宋体" w:hAnsi="宋体" w:cs="宋体"/>
          <w:bCs/>
          <w:sz w:val="24"/>
        </w:rPr>
        <w:t>应具备</w:t>
      </w:r>
      <w:r>
        <w:rPr>
          <w:rFonts w:hint="eastAsia" w:ascii="宋体" w:hAnsi="宋体" w:cs="宋体"/>
          <w:bCs/>
          <w:sz w:val="24"/>
          <w:u w:val="single"/>
        </w:rPr>
        <w:t xml:space="preserve">        </w:t>
      </w:r>
      <w:r>
        <w:rPr>
          <w:rFonts w:hint="eastAsia" w:ascii="宋体" w:hAnsi="宋体" w:cs="宋体"/>
          <w:bCs/>
          <w:sz w:val="24"/>
        </w:rPr>
        <w:t>（备案</w:t>
      </w:r>
      <w:r>
        <w:rPr>
          <w:rFonts w:ascii="宋体" w:hAnsi="宋体" w:cs="宋体"/>
          <w:bCs/>
          <w:sz w:val="24"/>
        </w:rPr>
        <w:t>、登记、其他证照</w:t>
      </w:r>
      <w:r>
        <w:rPr>
          <w:rFonts w:hint="eastAsia" w:ascii="宋体" w:hAnsi="宋体" w:cs="宋体"/>
          <w:bCs/>
          <w:sz w:val="24"/>
        </w:rPr>
        <w:t>）。但因</w:t>
      </w:r>
      <w:r>
        <w:rPr>
          <w:rFonts w:ascii="宋体" w:hAnsi="宋体" w:cs="宋体"/>
          <w:bCs/>
          <w:sz w:val="24"/>
        </w:rPr>
        <w:t>我单位所在地</w:t>
      </w:r>
      <w:r>
        <w:rPr>
          <w:rFonts w:hint="eastAsia" w:ascii="宋体" w:hAnsi="宋体" w:cs="宋体"/>
          <w:bCs/>
          <w:sz w:val="24"/>
        </w:rPr>
        <w:t>已对</w:t>
      </w:r>
      <w:r>
        <w:rPr>
          <w:rFonts w:ascii="宋体" w:hAnsi="宋体" w:cs="宋体"/>
          <w:bCs/>
          <w:sz w:val="24"/>
        </w:rPr>
        <w:t>上述</w:t>
      </w:r>
      <w:r>
        <w:rPr>
          <w:rFonts w:hint="eastAsia" w:ascii="宋体" w:hAnsi="宋体" w:cs="宋体"/>
          <w:bCs/>
          <w:sz w:val="24"/>
        </w:rPr>
        <w:t>备案</w:t>
      </w:r>
      <w:r>
        <w:rPr>
          <w:rFonts w:ascii="宋体" w:hAnsi="宋体" w:cs="宋体"/>
          <w:bCs/>
          <w:sz w:val="24"/>
        </w:rPr>
        <w:t>、登记、其他证照</w:t>
      </w:r>
      <w:r>
        <w:rPr>
          <w:rFonts w:hint="eastAsia" w:ascii="宋体" w:hAnsi="宋体" w:cs="宋体"/>
          <w:bCs/>
          <w:sz w:val="24"/>
        </w:rPr>
        <w:t>实行</w:t>
      </w:r>
      <w:r>
        <w:rPr>
          <w:rFonts w:ascii="宋体" w:hAnsi="宋体" w:cs="宋体"/>
          <w:bCs/>
          <w:sz w:val="24"/>
        </w:rPr>
        <w:t>“</w:t>
      </w:r>
      <w:r>
        <w:rPr>
          <w:rFonts w:hint="eastAsia" w:ascii="宋体" w:hAnsi="宋体" w:cs="宋体"/>
          <w:bCs/>
          <w:sz w:val="24"/>
        </w:rPr>
        <w:t>多证合一</w:t>
      </w:r>
      <w:r>
        <w:rPr>
          <w:rFonts w:ascii="宋体" w:hAnsi="宋体" w:cs="宋体"/>
          <w:bCs/>
          <w:sz w:val="24"/>
        </w:rPr>
        <w:t>”</w:t>
      </w:r>
      <w:r>
        <w:rPr>
          <w:rFonts w:hint="eastAsia" w:ascii="宋体" w:hAnsi="宋体" w:cs="宋体"/>
          <w:bCs/>
          <w:sz w:val="24"/>
        </w:rPr>
        <w:t>，</w:t>
      </w:r>
      <w:r>
        <w:rPr>
          <w:rFonts w:ascii="宋体" w:hAnsi="宋体" w:cs="宋体"/>
          <w:bCs/>
          <w:sz w:val="24"/>
        </w:rPr>
        <w:t>故在此次采购活动</w:t>
      </w:r>
      <w:r>
        <w:rPr>
          <w:rFonts w:hint="eastAsia" w:ascii="宋体" w:hAnsi="宋体" w:cs="宋体"/>
          <w:bCs/>
          <w:sz w:val="24"/>
        </w:rPr>
        <w:t>中</w:t>
      </w:r>
      <w:r>
        <w:rPr>
          <w:rFonts w:ascii="宋体" w:hAnsi="宋体" w:cs="宋体"/>
          <w:bCs/>
          <w:sz w:val="24"/>
        </w:rPr>
        <w:t>提供</w:t>
      </w:r>
      <w:r>
        <w:rPr>
          <w:rFonts w:hint="eastAsia" w:ascii="宋体" w:hAnsi="宋体" w:cs="宋体"/>
          <w:bCs/>
          <w:sz w:val="24"/>
        </w:rPr>
        <w:t>满足</w:t>
      </w:r>
      <w:r>
        <w:rPr>
          <w:rFonts w:ascii="宋体" w:hAnsi="宋体" w:cs="宋体"/>
          <w:bCs/>
          <w:sz w:val="24"/>
        </w:rPr>
        <w:t>资格要求</w:t>
      </w:r>
      <w:r>
        <w:rPr>
          <w:rFonts w:hint="eastAsia" w:ascii="宋体" w:hAnsi="宋体" w:cs="宋体"/>
          <w:bCs/>
          <w:sz w:val="24"/>
        </w:rPr>
        <w:t>：</w:t>
      </w:r>
      <w:r>
        <w:rPr>
          <w:rFonts w:hint="eastAsia" w:ascii="宋体" w:hAnsi="宋体" w:cs="宋体"/>
          <w:bCs/>
          <w:sz w:val="24"/>
          <w:u w:val="single"/>
        </w:rPr>
        <w:t xml:space="preserve">       </w:t>
      </w:r>
      <w:r>
        <w:rPr>
          <w:rFonts w:hint="eastAsia" w:ascii="宋体" w:hAnsi="宋体" w:cs="宋体"/>
          <w:bCs/>
          <w:sz w:val="24"/>
        </w:rPr>
        <w:t>（营业执照</w:t>
      </w:r>
      <w:r>
        <w:rPr>
          <w:rFonts w:ascii="宋体" w:hAnsi="宋体" w:cs="宋体"/>
          <w:bCs/>
          <w:sz w:val="24"/>
        </w:rPr>
        <w:t>中对</w:t>
      </w:r>
      <w:r>
        <w:rPr>
          <w:rFonts w:hint="eastAsia" w:ascii="宋体" w:hAnsi="宋体" w:cs="宋体"/>
          <w:bCs/>
          <w:sz w:val="24"/>
        </w:rPr>
        <w:t>该备案</w:t>
      </w:r>
      <w:r>
        <w:rPr>
          <w:rFonts w:ascii="宋体" w:hAnsi="宋体" w:cs="宋体"/>
          <w:bCs/>
          <w:sz w:val="24"/>
        </w:rPr>
        <w:t>、登记、其他证照</w:t>
      </w:r>
      <w:r>
        <w:rPr>
          <w:rFonts w:hint="eastAsia" w:ascii="宋体" w:hAnsi="宋体" w:cs="宋体"/>
          <w:bCs/>
          <w:sz w:val="24"/>
        </w:rPr>
        <w:t>的</w:t>
      </w:r>
      <w:r>
        <w:rPr>
          <w:rFonts w:ascii="宋体" w:hAnsi="宋体" w:cs="宋体"/>
          <w:bCs/>
          <w:sz w:val="24"/>
        </w:rPr>
        <w:t>描述</w:t>
      </w:r>
      <w:r>
        <w:rPr>
          <w:rFonts w:hint="eastAsia" w:ascii="宋体" w:hAnsi="宋体" w:cs="宋体"/>
          <w:bCs/>
          <w:sz w:val="24"/>
        </w:rPr>
        <w:t>）的</w:t>
      </w:r>
      <w:r>
        <w:rPr>
          <w:rFonts w:ascii="宋体" w:hAnsi="宋体" w:cs="宋体"/>
          <w:bCs/>
          <w:sz w:val="24"/>
        </w:rPr>
        <w:t>“</w:t>
      </w:r>
      <w:r>
        <w:rPr>
          <w:rFonts w:hint="eastAsia" w:ascii="宋体" w:hAnsi="宋体" w:cs="宋体"/>
          <w:bCs/>
          <w:sz w:val="24"/>
        </w:rPr>
        <w:t>多证合一</w:t>
      </w:r>
      <w:r>
        <w:rPr>
          <w:rFonts w:ascii="宋体" w:hAnsi="宋体" w:cs="宋体"/>
          <w:bCs/>
          <w:sz w:val="24"/>
        </w:rPr>
        <w:t>”</w:t>
      </w:r>
      <w:r>
        <w:rPr>
          <w:rFonts w:hint="eastAsia" w:ascii="宋体" w:hAnsi="宋体" w:cs="宋体"/>
          <w:bCs/>
          <w:sz w:val="24"/>
        </w:rPr>
        <w:t>营业执照</w:t>
      </w:r>
      <w:r>
        <w:rPr>
          <w:rFonts w:ascii="宋体" w:hAnsi="宋体" w:cs="宋体"/>
          <w:bCs/>
          <w:sz w:val="24"/>
        </w:rPr>
        <w:t>。</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我单位对上述承诺的内容事项真实性负责。如经查实上述承诺内容存在虚假，我单位愿意接受以提供虚假材料谋取成交追究法律责任。</w:t>
      </w:r>
    </w:p>
    <w:p>
      <w:pPr>
        <w:spacing w:line="360" w:lineRule="auto"/>
        <w:rPr>
          <w:rFonts w:ascii="宋体" w:hAnsi="宋体" w:cs="宋体"/>
          <w:bCs/>
          <w:sz w:val="24"/>
        </w:rPr>
      </w:pPr>
    </w:p>
    <w:p>
      <w:pPr>
        <w:spacing w:line="360" w:lineRule="auto"/>
        <w:rPr>
          <w:rFonts w:ascii="宋体" w:hAnsi="宋体" w:cs="宋体"/>
          <w:bCs/>
          <w:sz w:val="24"/>
        </w:rPr>
      </w:pPr>
      <w:r>
        <w:rPr>
          <w:rFonts w:hint="eastAsia" w:ascii="宋体" w:hAnsi="宋体" w:cs="宋体"/>
          <w:bCs/>
          <w:sz w:val="24"/>
        </w:rPr>
        <w:t>供应商名称：XXXX（单位公章）。</w:t>
      </w:r>
    </w:p>
    <w:p>
      <w:pPr>
        <w:spacing w:line="360" w:lineRule="auto"/>
        <w:rPr>
          <w:rFonts w:ascii="宋体" w:hAnsi="宋体" w:cs="宋体"/>
          <w:bCs/>
          <w:sz w:val="24"/>
        </w:rPr>
      </w:pPr>
      <w:r>
        <w:rPr>
          <w:rFonts w:hint="eastAsia" w:ascii="宋体" w:hAnsi="宋体" w:cs="宋体"/>
          <w:bCs/>
          <w:sz w:val="24"/>
        </w:rPr>
        <w:t>法定代表人/单位负责人或授权代表（签字或加盖个人印章）：XXXX。</w:t>
      </w:r>
    </w:p>
    <w:p>
      <w:pPr>
        <w:spacing w:line="360" w:lineRule="auto"/>
        <w:rPr>
          <w:rFonts w:ascii="宋体" w:hAnsi="宋体" w:cs="宋体"/>
          <w:bCs/>
          <w:sz w:val="24"/>
        </w:rPr>
      </w:pPr>
      <w:r>
        <w:rPr>
          <w:rFonts w:hint="eastAsia" w:ascii="宋体" w:hAnsi="宋体" w:cs="宋体"/>
          <w:bCs/>
          <w:sz w:val="24"/>
        </w:rPr>
        <w:t>日    期：XXXX。</w:t>
      </w:r>
    </w:p>
    <w:p>
      <w:pPr>
        <w:spacing w:line="360" w:lineRule="auto"/>
        <w:rPr>
          <w:rFonts w:ascii="宋体" w:hAnsi="宋体" w:cs="宋体"/>
          <w:bCs/>
          <w:sz w:val="24"/>
        </w:rPr>
      </w:pPr>
      <w:r>
        <w:rPr>
          <w:rFonts w:hint="eastAsia" w:ascii="宋体" w:hAnsi="宋体" w:cs="宋体"/>
          <w:bCs/>
          <w:sz w:val="24"/>
        </w:rPr>
        <w:t>注：1.</w:t>
      </w:r>
      <w:r>
        <w:rPr>
          <w:rFonts w:ascii="宋体" w:hAnsi="宋体" w:cs="宋体"/>
          <w:bCs/>
          <w:sz w:val="24"/>
        </w:rPr>
        <w:t>根据国务院办公厅关于加快推进“多证合一”改革的指导意见（国办发【2017】41号）等政策要求，</w:t>
      </w:r>
      <w:r>
        <w:rPr>
          <w:rFonts w:ascii="宋体" w:hAnsi="宋体" w:cs="宋体"/>
          <w:b/>
          <w:bCs/>
          <w:sz w:val="24"/>
        </w:rPr>
        <w:t>若资格要求涉及的登记、备案等有关事项和各类证照已实行多证合一导致供应商无法提供该类证明材料的</w:t>
      </w:r>
      <w:r>
        <w:rPr>
          <w:rFonts w:ascii="宋体" w:hAnsi="宋体" w:cs="宋体"/>
          <w:bCs/>
          <w:sz w:val="24"/>
        </w:rPr>
        <w:t>，供应商须提供</w:t>
      </w:r>
      <w:r>
        <w:rPr>
          <w:rFonts w:hint="eastAsia" w:ascii="宋体" w:hAnsi="宋体" w:cs="宋体"/>
          <w:bCs/>
          <w:sz w:val="24"/>
        </w:rPr>
        <w:t>该</w:t>
      </w:r>
      <w:r>
        <w:rPr>
          <w:rFonts w:ascii="宋体" w:hAnsi="宋体" w:cs="宋体"/>
          <w:bCs/>
          <w:sz w:val="24"/>
        </w:rPr>
        <w:t>承诺。</w:t>
      </w:r>
    </w:p>
    <w:p>
      <w:pPr>
        <w:spacing w:line="360" w:lineRule="auto"/>
        <w:ind w:firstLine="360" w:firstLineChars="150"/>
        <w:rPr>
          <w:rFonts w:ascii="宋体" w:hAnsi="宋体" w:cs="宋体"/>
          <w:bCs/>
          <w:sz w:val="24"/>
        </w:rPr>
      </w:pPr>
      <w:r>
        <w:rPr>
          <w:rFonts w:hint="eastAsia" w:ascii="宋体" w:hAnsi="宋体" w:cs="宋体"/>
          <w:bCs/>
          <w:sz w:val="24"/>
        </w:rPr>
        <w:t>2.若已提供</w:t>
      </w:r>
      <w:r>
        <w:rPr>
          <w:rFonts w:ascii="宋体" w:hAnsi="宋体" w:cs="宋体"/>
          <w:bCs/>
          <w:sz w:val="24"/>
        </w:rPr>
        <w:t>资格要求涉及的登记、备案等有关事项和各类证照</w:t>
      </w:r>
      <w:r>
        <w:rPr>
          <w:rFonts w:hint="eastAsia" w:ascii="宋体" w:hAnsi="宋体" w:cs="宋体"/>
          <w:bCs/>
          <w:sz w:val="24"/>
        </w:rPr>
        <w:t>的证明材料，无需提供该承诺。</w:t>
      </w:r>
    </w:p>
    <w:p>
      <w:pPr>
        <w:widowControl/>
        <w:spacing w:line="360" w:lineRule="auto"/>
        <w:ind w:firstLine="360" w:firstLineChars="150"/>
        <w:jc w:val="left"/>
        <w:rPr>
          <w:rFonts w:ascii="宋体" w:hAnsi="宋体" w:cs="宋体"/>
          <w:bCs/>
          <w:sz w:val="24"/>
        </w:rPr>
      </w:pPr>
      <w:r>
        <w:rPr>
          <w:rFonts w:hint="eastAsia" w:ascii="宋体" w:hAnsi="宋体" w:cs="宋体"/>
          <w:bCs/>
          <w:sz w:val="24"/>
        </w:rPr>
        <w:t>3.若本项目资格要求不涉及，无需提供该承诺。</w:t>
      </w:r>
    </w:p>
    <w:p>
      <w:pPr>
        <w:widowControl/>
        <w:jc w:val="left"/>
        <w:rPr>
          <w:rFonts w:ascii="宋体" w:hAnsi="宋体" w:cs="宋体"/>
          <w:bCs/>
          <w:sz w:val="24"/>
        </w:rPr>
      </w:pPr>
      <w:r>
        <w:rPr>
          <w:rFonts w:ascii="宋体" w:hAnsi="宋体" w:cs="宋体"/>
          <w:bCs/>
          <w:sz w:val="24"/>
        </w:rPr>
        <w:br w:type="page"/>
      </w:r>
    </w:p>
    <w:p>
      <w:pPr>
        <w:spacing w:line="360" w:lineRule="auto"/>
        <w:rPr>
          <w:rFonts w:ascii="宋体" w:hAnsi="宋体"/>
          <w:b/>
          <w:sz w:val="28"/>
          <w:szCs w:val="28"/>
        </w:rPr>
      </w:pPr>
      <w:r>
        <w:rPr>
          <w:rFonts w:hint="eastAsia" w:ascii="宋体" w:hAnsi="宋体"/>
          <w:b/>
          <w:sz w:val="28"/>
          <w:szCs w:val="28"/>
        </w:rPr>
        <w:t>格式1-</w:t>
      </w:r>
      <w:r>
        <w:rPr>
          <w:rFonts w:ascii="宋体" w:hAnsi="宋体"/>
          <w:b/>
          <w:sz w:val="28"/>
          <w:szCs w:val="28"/>
        </w:rPr>
        <w:t>8</w:t>
      </w:r>
    </w:p>
    <w:p>
      <w:pPr>
        <w:spacing w:line="360" w:lineRule="auto"/>
        <w:ind w:firstLine="643" w:firstLineChars="200"/>
        <w:jc w:val="center"/>
        <w:rPr>
          <w:rFonts w:ascii="宋体" w:hAnsi="宋体" w:cs="仿宋"/>
          <w:b/>
          <w:bCs/>
          <w:sz w:val="32"/>
          <w:szCs w:val="32"/>
        </w:rPr>
      </w:pPr>
      <w:r>
        <w:rPr>
          <w:rFonts w:hint="eastAsia" w:ascii="宋体" w:hAnsi="宋体" w:cs="仿宋"/>
          <w:b/>
          <w:bCs/>
          <w:sz w:val="32"/>
          <w:szCs w:val="32"/>
        </w:rPr>
        <w:t>七、磋商保证金缴纳凭证</w:t>
      </w:r>
    </w:p>
    <w:p>
      <w:pPr>
        <w:spacing w:line="360" w:lineRule="auto"/>
        <w:ind w:right="560"/>
        <w:jc w:val="left"/>
        <w:rPr>
          <w:rFonts w:ascii="宋体" w:hAnsi="宋体"/>
        </w:rPr>
      </w:pPr>
    </w:p>
    <w:p>
      <w:pPr>
        <w:spacing w:line="360" w:lineRule="auto"/>
        <w:ind w:right="560"/>
        <w:jc w:val="left"/>
        <w:rPr>
          <w:rFonts w:ascii="宋体" w:hAnsi="宋体"/>
        </w:rPr>
      </w:pPr>
    </w:p>
    <w:p>
      <w:pPr>
        <w:spacing w:line="360" w:lineRule="auto"/>
        <w:ind w:right="560"/>
        <w:jc w:val="left"/>
        <w:rPr>
          <w:rFonts w:ascii="宋体" w:hAnsi="宋体"/>
        </w:rPr>
      </w:pPr>
    </w:p>
    <w:p>
      <w:pPr>
        <w:spacing w:line="360" w:lineRule="auto"/>
        <w:ind w:right="560"/>
        <w:jc w:val="left"/>
        <w:rPr>
          <w:rFonts w:ascii="宋体" w:hAnsi="宋体"/>
          <w:sz w:val="24"/>
        </w:rPr>
      </w:pPr>
      <w:r>
        <w:rPr>
          <w:rFonts w:hint="eastAsia" w:ascii="宋体" w:hAnsi="宋体"/>
          <w:sz w:val="24"/>
        </w:rPr>
        <w:t>注：</w:t>
      </w:r>
    </w:p>
    <w:p>
      <w:pPr>
        <w:spacing w:line="360" w:lineRule="auto"/>
        <w:ind w:right="560"/>
        <w:jc w:val="left"/>
        <w:rPr>
          <w:rFonts w:ascii="宋体" w:hAnsi="宋体"/>
          <w:sz w:val="24"/>
        </w:rPr>
      </w:pPr>
      <w:r>
        <w:rPr>
          <w:rFonts w:hint="eastAsia" w:ascii="宋体" w:hAnsi="宋体"/>
          <w:sz w:val="24"/>
        </w:rPr>
        <w:t>1. 提供磋商保证金缴纳凭证复印件或</w:t>
      </w:r>
      <w:r>
        <w:rPr>
          <w:rFonts w:ascii="宋体" w:hAnsi="宋体"/>
          <w:sz w:val="24"/>
        </w:rPr>
        <w:t>扫描件</w:t>
      </w:r>
      <w:r>
        <w:rPr>
          <w:rFonts w:hint="eastAsia" w:ascii="宋体" w:hAnsi="宋体"/>
          <w:sz w:val="24"/>
        </w:rPr>
        <w:t>；</w:t>
      </w:r>
    </w:p>
    <w:p>
      <w:pPr>
        <w:spacing w:line="360" w:lineRule="auto"/>
        <w:ind w:right="560"/>
        <w:jc w:val="left"/>
        <w:rPr>
          <w:rFonts w:ascii="宋体" w:hAnsi="宋体"/>
          <w:sz w:val="24"/>
        </w:rPr>
      </w:pPr>
      <w:r>
        <w:rPr>
          <w:rFonts w:hint="eastAsia" w:ascii="宋体" w:hAnsi="宋体"/>
          <w:sz w:val="24"/>
        </w:rPr>
        <w:t>2. 以保函形式缴纳保证金的，附保函复印件或</w:t>
      </w:r>
      <w:r>
        <w:rPr>
          <w:rFonts w:ascii="宋体" w:hAnsi="宋体"/>
          <w:sz w:val="24"/>
        </w:rPr>
        <w:t>扫描件</w:t>
      </w:r>
      <w:r>
        <w:rPr>
          <w:rFonts w:hint="eastAsia" w:ascii="宋体" w:hAnsi="宋体"/>
          <w:sz w:val="24"/>
        </w:rPr>
        <w:t>，保函内容应满足须知前附表要求。原件于递交响应文件现场递交。</w:t>
      </w:r>
    </w:p>
    <w:p>
      <w:pPr>
        <w:spacing w:line="360" w:lineRule="auto"/>
        <w:rPr>
          <w:rFonts w:ascii="宋体" w:hAnsi="宋体"/>
          <w:b/>
          <w:sz w:val="28"/>
          <w:szCs w:val="28"/>
        </w:rPr>
      </w:pPr>
    </w:p>
    <w:p>
      <w:pPr>
        <w:widowControl/>
        <w:jc w:val="left"/>
        <w:rPr>
          <w:rFonts w:ascii="宋体" w:hAnsi="宋体"/>
          <w:b/>
          <w:sz w:val="28"/>
          <w:szCs w:val="28"/>
        </w:rPr>
      </w:pPr>
      <w:r>
        <w:rPr>
          <w:rFonts w:ascii="宋体" w:hAnsi="宋体"/>
          <w:b/>
          <w:sz w:val="28"/>
          <w:szCs w:val="28"/>
        </w:rPr>
        <w:br w:type="page"/>
      </w:r>
    </w:p>
    <w:p>
      <w:pPr>
        <w:spacing w:line="360" w:lineRule="auto"/>
        <w:rPr>
          <w:rFonts w:ascii="宋体" w:hAnsi="宋体"/>
          <w:b/>
          <w:sz w:val="28"/>
          <w:szCs w:val="28"/>
        </w:rPr>
      </w:pPr>
      <w:r>
        <w:rPr>
          <w:rFonts w:hint="eastAsia" w:ascii="宋体" w:hAnsi="宋体"/>
          <w:b/>
          <w:sz w:val="28"/>
          <w:szCs w:val="28"/>
        </w:rPr>
        <w:t>格式1-</w:t>
      </w:r>
      <w:r>
        <w:rPr>
          <w:rFonts w:ascii="宋体" w:hAnsi="宋体"/>
          <w:b/>
          <w:sz w:val="28"/>
          <w:szCs w:val="28"/>
        </w:rPr>
        <w:t>9</w:t>
      </w:r>
    </w:p>
    <w:p>
      <w:pPr>
        <w:spacing w:line="360" w:lineRule="auto"/>
        <w:jc w:val="center"/>
        <w:rPr>
          <w:rFonts w:ascii="宋体" w:hAnsi="宋体" w:cs="Arial"/>
          <w:b/>
          <w:bCs/>
          <w:sz w:val="32"/>
          <w:szCs w:val="32"/>
        </w:rPr>
      </w:pPr>
      <w:r>
        <w:rPr>
          <w:rFonts w:hint="eastAsia" w:ascii="宋体" w:hAnsi="宋体" w:cs="Arial"/>
          <w:b/>
          <w:bCs/>
          <w:sz w:val="32"/>
          <w:szCs w:val="32"/>
        </w:rPr>
        <w:t>供应商其他资格、资质性及其他类似效力要求的相关证明材料</w:t>
      </w:r>
    </w:p>
    <w:p>
      <w:pPr>
        <w:spacing w:line="360" w:lineRule="auto"/>
        <w:rPr>
          <w:rFonts w:ascii="宋体" w:hAnsi="宋体" w:cs="宋体"/>
          <w:bCs/>
          <w:sz w:val="24"/>
        </w:rPr>
      </w:pPr>
      <w:r>
        <w:rPr>
          <w:rFonts w:hint="eastAsia" w:ascii="宋体" w:hAnsi="宋体" w:cs="宋体"/>
          <w:bCs/>
          <w:sz w:val="24"/>
        </w:rPr>
        <w:t>注：供应商应按磋商文件第四章相关要求提供佐证材料，有格式要求的从其要求，无格式要求的格式自拟。</w:t>
      </w:r>
    </w:p>
    <w:p>
      <w:pPr>
        <w:widowControl/>
        <w:spacing w:line="360" w:lineRule="auto"/>
        <w:ind w:firstLine="360" w:firstLineChars="150"/>
        <w:jc w:val="left"/>
        <w:rPr>
          <w:rFonts w:ascii="宋体" w:hAnsi="宋体" w:cs="宋体"/>
          <w:bCs/>
          <w:sz w:val="24"/>
        </w:rPr>
      </w:pPr>
    </w:p>
    <w:p>
      <w:pPr>
        <w:spacing w:line="360" w:lineRule="auto"/>
        <w:rPr>
          <w:rFonts w:ascii="宋体" w:hAnsi="宋体" w:cs="宋体"/>
          <w:bCs/>
          <w:sz w:val="24"/>
        </w:rPr>
      </w:pPr>
    </w:p>
    <w:p>
      <w:pPr>
        <w:tabs>
          <w:tab w:val="left" w:pos="900"/>
        </w:tabs>
        <w:spacing w:line="360" w:lineRule="auto"/>
        <w:jc w:val="center"/>
        <w:rPr>
          <w:rFonts w:ascii="宋体" w:hAnsi="宋体"/>
          <w:b/>
          <w:sz w:val="32"/>
        </w:rPr>
      </w:pPr>
      <w:r>
        <w:rPr>
          <w:rFonts w:hint="eastAsia" w:ascii="宋体" w:hAnsi="宋体"/>
          <w:b/>
          <w:sz w:val="32"/>
          <w:szCs w:val="32"/>
        </w:rPr>
        <w:br w:type="page"/>
      </w:r>
      <w:r>
        <w:rPr>
          <w:rFonts w:ascii="宋体" w:hAnsi="宋体"/>
          <w:b/>
          <w:sz w:val="32"/>
        </w:rPr>
        <w:t>第</w:t>
      </w:r>
      <w:r>
        <w:rPr>
          <w:rFonts w:hint="eastAsia" w:ascii="宋体" w:hAnsi="宋体"/>
          <w:b/>
          <w:sz w:val="32"/>
        </w:rPr>
        <w:t>二</w:t>
      </w:r>
      <w:r>
        <w:rPr>
          <w:rFonts w:ascii="宋体" w:hAnsi="宋体"/>
          <w:b/>
          <w:sz w:val="32"/>
        </w:rPr>
        <w:t xml:space="preserve">部分     </w:t>
      </w:r>
      <w:r>
        <w:rPr>
          <w:rFonts w:hint="eastAsia" w:ascii="宋体" w:hAnsi="宋体"/>
          <w:b/>
          <w:sz w:val="32"/>
        </w:rPr>
        <w:t>“其他响应</w:t>
      </w:r>
      <w:r>
        <w:rPr>
          <w:rFonts w:ascii="宋体" w:hAnsi="宋体"/>
          <w:b/>
          <w:sz w:val="32"/>
        </w:rPr>
        <w:t>文件</w:t>
      </w:r>
      <w:r>
        <w:rPr>
          <w:rFonts w:hint="eastAsia" w:ascii="宋体" w:hAnsi="宋体"/>
          <w:b/>
          <w:sz w:val="32"/>
        </w:rPr>
        <w:t>”</w:t>
      </w:r>
      <w:r>
        <w:rPr>
          <w:rFonts w:ascii="宋体" w:hAnsi="宋体"/>
          <w:b/>
          <w:sz w:val="32"/>
        </w:rPr>
        <w:t>格式</w:t>
      </w:r>
    </w:p>
    <w:p>
      <w:pPr>
        <w:spacing w:line="360" w:lineRule="auto"/>
        <w:rPr>
          <w:rFonts w:ascii="宋体" w:hAnsi="宋体"/>
          <w:b/>
          <w:sz w:val="28"/>
          <w:szCs w:val="28"/>
        </w:rPr>
      </w:pPr>
      <w:r>
        <w:rPr>
          <w:rFonts w:hint="eastAsia" w:ascii="宋体" w:hAnsi="宋体"/>
          <w:b/>
          <w:sz w:val="28"/>
          <w:szCs w:val="28"/>
        </w:rPr>
        <w:t>格式2-1</w:t>
      </w:r>
    </w:p>
    <w:p>
      <w:pPr>
        <w:spacing w:line="360" w:lineRule="auto"/>
        <w:rPr>
          <w:rFonts w:ascii="宋体" w:hAnsi="宋体"/>
          <w:b/>
          <w:sz w:val="32"/>
          <w:szCs w:val="32"/>
        </w:rPr>
      </w:pPr>
      <w:r>
        <w:rPr>
          <w:rFonts w:hint="eastAsia" w:ascii="宋体" w:hAnsi="宋体"/>
          <w:b/>
          <w:sz w:val="32"/>
          <w:szCs w:val="32"/>
        </w:rPr>
        <w:t>封面：</w:t>
      </w:r>
    </w:p>
    <w:p>
      <w:pPr>
        <w:spacing w:line="360" w:lineRule="auto"/>
        <w:jc w:val="right"/>
        <w:rPr>
          <w:rFonts w:ascii="宋体" w:hAnsi="宋体"/>
          <w:b/>
          <w:sz w:val="36"/>
        </w:rPr>
      </w:pPr>
      <w:r>
        <w:rPr>
          <w:rFonts w:ascii="宋体" w:hAnsi="宋体"/>
          <w:b/>
          <w:sz w:val="36"/>
        </w:rPr>
        <w:t>（正本/副本）</w:t>
      </w:r>
    </w:p>
    <w:p>
      <w:pPr>
        <w:spacing w:line="360" w:lineRule="auto"/>
        <w:rPr>
          <w:rFonts w:ascii="宋体" w:hAnsi="宋体"/>
          <w:b/>
          <w:sz w:val="32"/>
          <w:szCs w:val="32"/>
        </w:rPr>
      </w:pPr>
    </w:p>
    <w:p>
      <w:pPr>
        <w:spacing w:line="360" w:lineRule="auto"/>
        <w:jc w:val="center"/>
        <w:rPr>
          <w:rFonts w:ascii="宋体" w:hAnsi="宋体"/>
          <w:b/>
          <w:sz w:val="72"/>
        </w:rPr>
      </w:pPr>
      <w:r>
        <w:rPr>
          <w:rFonts w:hint="eastAsia" w:ascii="宋体" w:hAnsi="宋体"/>
          <w:b/>
          <w:sz w:val="40"/>
          <w:szCs w:val="48"/>
        </w:rPr>
        <w:t>XX项目</w:t>
      </w:r>
    </w:p>
    <w:p>
      <w:pPr>
        <w:spacing w:line="360" w:lineRule="auto"/>
        <w:rPr>
          <w:rFonts w:ascii="宋体" w:hAnsi="宋体"/>
          <w:b/>
          <w:sz w:val="52"/>
          <w:szCs w:val="52"/>
        </w:rPr>
      </w:pPr>
    </w:p>
    <w:p>
      <w:pPr>
        <w:spacing w:line="360" w:lineRule="auto"/>
        <w:jc w:val="center"/>
        <w:rPr>
          <w:rFonts w:ascii="宋体" w:hAnsi="宋体"/>
          <w:b/>
          <w:sz w:val="32"/>
          <w:szCs w:val="32"/>
        </w:rPr>
      </w:pPr>
      <w:r>
        <w:rPr>
          <w:rFonts w:hint="eastAsia" w:ascii="宋体" w:hAnsi="宋体"/>
          <w:b/>
          <w:sz w:val="52"/>
          <w:szCs w:val="52"/>
        </w:rPr>
        <w:t>其他响应文件</w:t>
      </w:r>
    </w:p>
    <w:p>
      <w:pPr>
        <w:spacing w:line="360" w:lineRule="auto"/>
        <w:rPr>
          <w:rFonts w:ascii="宋体" w:hAnsi="宋体"/>
          <w:b/>
          <w:sz w:val="36"/>
        </w:rPr>
      </w:pPr>
    </w:p>
    <w:p>
      <w:pPr>
        <w:spacing w:line="360" w:lineRule="auto"/>
        <w:rPr>
          <w:rFonts w:ascii="宋体" w:hAnsi="宋体"/>
          <w:b/>
          <w:sz w:val="36"/>
        </w:rPr>
      </w:pPr>
    </w:p>
    <w:p>
      <w:pPr>
        <w:spacing w:line="360" w:lineRule="auto"/>
        <w:ind w:firstLine="643" w:firstLineChars="200"/>
        <w:jc w:val="left"/>
        <w:rPr>
          <w:rFonts w:ascii="宋体" w:hAnsi="宋体"/>
          <w:b/>
          <w:sz w:val="32"/>
          <w:u w:val="single"/>
        </w:rPr>
      </w:pPr>
      <w:r>
        <w:rPr>
          <w:rFonts w:hint="eastAsia" w:ascii="宋体" w:hAnsi="宋体"/>
          <w:b/>
          <w:sz w:val="32"/>
        </w:rPr>
        <w:t>供 应 商</w:t>
      </w:r>
      <w:r>
        <w:rPr>
          <w:rFonts w:ascii="宋体" w:hAnsi="宋体"/>
          <w:b/>
          <w:sz w:val="32"/>
        </w:rPr>
        <w:t>名称：</w:t>
      </w:r>
    </w:p>
    <w:p>
      <w:pPr>
        <w:spacing w:line="360" w:lineRule="auto"/>
        <w:ind w:firstLine="643" w:firstLineChars="200"/>
        <w:jc w:val="left"/>
        <w:rPr>
          <w:rFonts w:ascii="宋体" w:hAnsi="宋体"/>
          <w:b/>
          <w:sz w:val="32"/>
          <w:u w:val="single"/>
        </w:rPr>
      </w:pPr>
      <w:r>
        <w:rPr>
          <w:rFonts w:hint="eastAsia" w:ascii="宋体" w:hAnsi="宋体"/>
          <w:b/>
          <w:sz w:val="32"/>
        </w:rPr>
        <w:t>采购项目</w:t>
      </w:r>
      <w:r>
        <w:rPr>
          <w:rFonts w:ascii="宋体" w:hAnsi="宋体"/>
          <w:b/>
          <w:sz w:val="32"/>
        </w:rPr>
        <w:t>编号：</w:t>
      </w:r>
    </w:p>
    <w:p>
      <w:pPr>
        <w:spacing w:line="360" w:lineRule="auto"/>
        <w:ind w:firstLine="790" w:firstLineChars="246"/>
        <w:jc w:val="center"/>
        <w:rPr>
          <w:rFonts w:ascii="宋体" w:hAnsi="宋体"/>
          <w:b/>
          <w:sz w:val="32"/>
        </w:rPr>
      </w:pPr>
    </w:p>
    <w:p>
      <w:pPr>
        <w:spacing w:line="360" w:lineRule="auto"/>
        <w:ind w:firstLine="790" w:firstLineChars="246"/>
        <w:jc w:val="center"/>
        <w:rPr>
          <w:rFonts w:ascii="宋体" w:hAnsi="宋体"/>
          <w:b/>
          <w:sz w:val="32"/>
        </w:rPr>
      </w:pPr>
      <w:r>
        <w:rPr>
          <w:rFonts w:hint="eastAsia" w:ascii="宋体" w:hAnsi="宋体"/>
          <w:b/>
          <w:sz w:val="32"/>
        </w:rPr>
        <w:t>XX年XX</w:t>
      </w:r>
      <w:r>
        <w:rPr>
          <w:rFonts w:ascii="宋体" w:hAnsi="宋体"/>
          <w:b/>
          <w:sz w:val="32"/>
        </w:rPr>
        <w:t>月</w:t>
      </w:r>
      <w:r>
        <w:rPr>
          <w:rFonts w:hint="eastAsia" w:ascii="宋体" w:hAnsi="宋体"/>
          <w:b/>
          <w:sz w:val="32"/>
        </w:rPr>
        <w:t>XX</w:t>
      </w:r>
      <w:r>
        <w:rPr>
          <w:rFonts w:ascii="宋体" w:hAnsi="宋体"/>
          <w:b/>
          <w:sz w:val="32"/>
        </w:rPr>
        <w:t>日</w:t>
      </w:r>
    </w:p>
    <w:p>
      <w:pPr>
        <w:spacing w:line="360" w:lineRule="auto"/>
        <w:rPr>
          <w:rFonts w:ascii="宋体" w:hAnsi="宋体"/>
          <w:b/>
          <w:sz w:val="32"/>
          <w:szCs w:val="32"/>
        </w:rPr>
      </w:pPr>
      <w:r>
        <w:rPr>
          <w:rFonts w:ascii="宋体" w:hAnsi="宋体"/>
          <w:b/>
          <w:sz w:val="32"/>
        </w:rPr>
        <w:br w:type="page"/>
      </w:r>
      <w:r>
        <w:rPr>
          <w:rFonts w:hint="eastAsia" w:ascii="宋体" w:hAnsi="宋体"/>
          <w:b/>
          <w:sz w:val="28"/>
          <w:szCs w:val="28"/>
        </w:rPr>
        <w:t>格式2-2</w:t>
      </w:r>
    </w:p>
    <w:p>
      <w:pPr>
        <w:spacing w:line="360" w:lineRule="auto"/>
        <w:jc w:val="center"/>
        <w:rPr>
          <w:rFonts w:ascii="宋体" w:hAnsi="宋体" w:cs="Arial"/>
          <w:b/>
          <w:bCs/>
          <w:sz w:val="32"/>
          <w:szCs w:val="32"/>
        </w:rPr>
      </w:pPr>
      <w:bookmarkStart w:id="88" w:name="_Toc308164824"/>
      <w:r>
        <w:rPr>
          <w:rFonts w:hint="eastAsia" w:ascii="宋体" w:hAnsi="宋体" w:cs="Arial"/>
          <w:b/>
          <w:bCs/>
          <w:sz w:val="32"/>
          <w:szCs w:val="32"/>
        </w:rPr>
        <w:t>一、报价函</w:t>
      </w:r>
    </w:p>
    <w:p>
      <w:pPr>
        <w:spacing w:line="360" w:lineRule="auto"/>
        <w:rPr>
          <w:rFonts w:ascii="宋体" w:hAnsi="宋体"/>
          <w:sz w:val="24"/>
        </w:rPr>
      </w:pPr>
      <w:r>
        <w:rPr>
          <w:rFonts w:hint="eastAsia" w:ascii="宋体" w:hAnsi="宋体"/>
          <w:sz w:val="24"/>
          <w:u w:val="single"/>
        </w:rPr>
        <w:t>XXXXXXX</w:t>
      </w:r>
      <w:r>
        <w:rPr>
          <w:rFonts w:hint="eastAsia" w:ascii="宋体" w:hAnsi="宋体"/>
          <w:sz w:val="24"/>
        </w:rPr>
        <w:t xml:space="preserve">（采购代理机构名称）: </w:t>
      </w:r>
    </w:p>
    <w:p>
      <w:pPr>
        <w:spacing w:line="360" w:lineRule="auto"/>
        <w:rPr>
          <w:rFonts w:ascii="宋体" w:hAnsi="宋体"/>
          <w:sz w:val="24"/>
        </w:rPr>
      </w:pPr>
      <w:r>
        <w:rPr>
          <w:rFonts w:hint="eastAsia" w:ascii="宋体" w:hAnsi="宋体"/>
          <w:sz w:val="24"/>
        </w:rPr>
        <w:t>1．我方己仔细研究了</w:t>
      </w:r>
      <w:r>
        <w:rPr>
          <w:rFonts w:hint="eastAsia" w:ascii="宋体" w:hAnsi="宋体"/>
          <w:sz w:val="24"/>
          <w:u w:val="single"/>
        </w:rPr>
        <w:t xml:space="preserve">   XXXX     </w:t>
      </w:r>
      <w:r>
        <w:rPr>
          <w:rFonts w:hint="eastAsia" w:ascii="宋体" w:hAnsi="宋体"/>
          <w:sz w:val="24"/>
        </w:rPr>
        <w:t>（项目名称）磋商文件的全部内容，愿意以设计费按磋商文件</w:t>
      </w:r>
      <w:r>
        <w:rPr>
          <w:rFonts w:ascii="宋体" w:hAnsi="宋体"/>
          <w:sz w:val="24"/>
        </w:rPr>
        <w:t>最高限价的要求下浮</w:t>
      </w:r>
      <w:r>
        <w:rPr>
          <w:rFonts w:hint="eastAsia" w:ascii="宋体" w:hAnsi="宋体"/>
          <w:sz w:val="24"/>
          <w:u w:val="single"/>
        </w:rPr>
        <w:t>XXXX</w:t>
      </w:r>
      <w:r>
        <w:rPr>
          <w:rFonts w:ascii="宋体" w:hAnsi="宋体"/>
          <w:sz w:val="24"/>
          <w:u w:val="single"/>
        </w:rPr>
        <w:t xml:space="preserve"> </w:t>
      </w:r>
      <w:r>
        <w:rPr>
          <w:rFonts w:ascii="宋体" w:hAnsi="宋体"/>
          <w:sz w:val="24"/>
        </w:rPr>
        <w:t>%</w:t>
      </w:r>
      <w:r>
        <w:rPr>
          <w:rFonts w:hint="eastAsia" w:ascii="宋体" w:hAnsi="宋体"/>
          <w:sz w:val="24"/>
        </w:rPr>
        <w:t>（报价人民币</w:t>
      </w:r>
      <w:r>
        <w:rPr>
          <w:rFonts w:ascii="宋体" w:hAnsi="宋体"/>
          <w:sz w:val="24"/>
        </w:rPr>
        <w:t>：</w:t>
      </w:r>
      <w:r>
        <w:rPr>
          <w:rFonts w:hint="eastAsia" w:ascii="宋体" w:hAnsi="宋体"/>
          <w:sz w:val="24"/>
          <w:u w:val="single"/>
        </w:rPr>
        <w:t xml:space="preserve">            </w:t>
      </w:r>
      <w:r>
        <w:rPr>
          <w:rFonts w:hint="eastAsia" w:ascii="宋体" w:hAnsi="宋体"/>
          <w:sz w:val="24"/>
        </w:rPr>
        <w:t>），施工费按磋商文件</w:t>
      </w:r>
      <w:r>
        <w:rPr>
          <w:rFonts w:ascii="宋体" w:hAnsi="宋体"/>
          <w:sz w:val="24"/>
        </w:rPr>
        <w:t>最高限价的要求下浮</w:t>
      </w:r>
      <w:r>
        <w:rPr>
          <w:rFonts w:hint="eastAsia" w:ascii="宋体" w:hAnsi="宋体"/>
          <w:sz w:val="24"/>
          <w:u w:val="single"/>
        </w:rPr>
        <w:t>XXXX</w:t>
      </w:r>
      <w:r>
        <w:rPr>
          <w:rFonts w:ascii="宋体" w:hAnsi="宋体"/>
          <w:sz w:val="24"/>
          <w:u w:val="single"/>
        </w:rPr>
        <w:t xml:space="preserve"> </w:t>
      </w:r>
      <w:r>
        <w:rPr>
          <w:rFonts w:ascii="宋体" w:hAnsi="宋体"/>
          <w:sz w:val="24"/>
        </w:rPr>
        <w:t>%</w:t>
      </w:r>
      <w:r>
        <w:rPr>
          <w:rFonts w:hint="eastAsia" w:ascii="宋体" w:hAnsi="宋体"/>
          <w:sz w:val="24"/>
        </w:rPr>
        <w:t>（报价人民币：</w:t>
      </w:r>
      <w:r>
        <w:rPr>
          <w:rFonts w:hint="eastAsia" w:ascii="宋体" w:hAnsi="宋体"/>
          <w:sz w:val="24"/>
          <w:u w:val="single"/>
        </w:rPr>
        <w:t xml:space="preserve">            </w:t>
      </w:r>
      <w:r>
        <w:rPr>
          <w:rFonts w:hint="eastAsia" w:ascii="宋体" w:hAnsi="宋体"/>
          <w:sz w:val="24"/>
        </w:rPr>
        <w:t>），工期</w:t>
      </w:r>
      <w:r>
        <w:rPr>
          <w:rFonts w:hint="eastAsia" w:ascii="宋体" w:hAnsi="宋体"/>
          <w:sz w:val="24"/>
          <w:u w:val="single"/>
        </w:rPr>
        <w:t xml:space="preserve">   XXXX  </w:t>
      </w:r>
      <w:r>
        <w:rPr>
          <w:rFonts w:hint="eastAsia" w:ascii="宋体" w:hAnsi="宋体"/>
          <w:sz w:val="24"/>
        </w:rPr>
        <w:t>日历天（其中</w:t>
      </w:r>
      <w:r>
        <w:rPr>
          <w:rFonts w:ascii="宋体" w:hAnsi="宋体"/>
          <w:sz w:val="24"/>
        </w:rPr>
        <w:t>：</w:t>
      </w:r>
      <w:r>
        <w:rPr>
          <w:rFonts w:hint="eastAsia" w:ascii="宋体" w:hAnsi="宋体"/>
          <w:sz w:val="24"/>
        </w:rPr>
        <w:t xml:space="preserve">设计工期 </w:t>
      </w:r>
      <w:r>
        <w:rPr>
          <w:rFonts w:hint="eastAsia" w:ascii="宋体" w:hAnsi="宋体"/>
          <w:sz w:val="24"/>
          <w:u w:val="single"/>
        </w:rPr>
        <w:t>XXXX</w:t>
      </w:r>
      <w:r>
        <w:rPr>
          <w:rFonts w:hint="eastAsia" w:ascii="宋体" w:hAnsi="宋体"/>
          <w:sz w:val="24"/>
        </w:rPr>
        <w:t xml:space="preserve"> 天，施工工期</w:t>
      </w:r>
      <w:r>
        <w:rPr>
          <w:rFonts w:hint="eastAsia" w:ascii="宋体" w:hAnsi="宋体"/>
          <w:sz w:val="24"/>
          <w:u w:val="single"/>
        </w:rPr>
        <w:t>XXXX</w:t>
      </w:r>
      <w:r>
        <w:rPr>
          <w:rFonts w:hint="eastAsia" w:ascii="宋体" w:hAnsi="宋体"/>
          <w:sz w:val="24"/>
        </w:rPr>
        <w:t>天），按合同约定实施和完成承包工程，修补工程中的任何缺陷，工程质量达到</w:t>
      </w:r>
      <w:r>
        <w:rPr>
          <w:rFonts w:hint="eastAsia" w:ascii="宋体" w:hAnsi="宋体"/>
          <w:sz w:val="24"/>
          <w:u w:val="single"/>
        </w:rPr>
        <w:t xml:space="preserve">    XXXX  </w:t>
      </w:r>
      <w:r>
        <w:rPr>
          <w:rFonts w:hint="eastAsia" w:ascii="宋体" w:hAnsi="宋体"/>
          <w:sz w:val="24"/>
        </w:rPr>
        <w:t>。</w:t>
      </w:r>
    </w:p>
    <w:p>
      <w:pPr>
        <w:spacing w:line="360" w:lineRule="auto"/>
        <w:rPr>
          <w:rFonts w:ascii="宋体" w:hAnsi="宋体"/>
          <w:sz w:val="24"/>
        </w:rPr>
      </w:pPr>
      <w:r>
        <w:rPr>
          <w:rFonts w:hint="eastAsia" w:ascii="宋体" w:hAnsi="宋体"/>
          <w:sz w:val="24"/>
        </w:rPr>
        <w:t>2．我方承诺在响应文件有效期</w:t>
      </w:r>
      <w:r>
        <w:rPr>
          <w:rFonts w:hint="eastAsia" w:ascii="宋体" w:hAnsi="宋体"/>
          <w:sz w:val="24"/>
          <w:u w:val="single"/>
        </w:rPr>
        <w:t>XXXX</w:t>
      </w:r>
      <w:r>
        <w:rPr>
          <w:rFonts w:hint="eastAsia" w:ascii="宋体" w:hAnsi="宋体"/>
          <w:sz w:val="24"/>
        </w:rPr>
        <w:t>天内不修改、撤销响应文件。</w:t>
      </w:r>
    </w:p>
    <w:p>
      <w:pPr>
        <w:spacing w:line="360" w:lineRule="auto"/>
        <w:rPr>
          <w:rFonts w:ascii="宋体" w:hAnsi="宋体"/>
          <w:sz w:val="24"/>
        </w:rPr>
      </w:pPr>
      <w:r>
        <w:rPr>
          <w:rFonts w:hint="eastAsia" w:ascii="宋体" w:hAnsi="宋体"/>
          <w:sz w:val="24"/>
        </w:rPr>
        <w:t>3．如我方成交：</w:t>
      </w:r>
    </w:p>
    <w:p>
      <w:pPr>
        <w:spacing w:line="360" w:lineRule="auto"/>
        <w:ind w:firstLine="120" w:firstLineChars="50"/>
        <w:rPr>
          <w:rFonts w:ascii="宋体" w:hAnsi="宋体"/>
          <w:sz w:val="24"/>
        </w:rPr>
      </w:pPr>
      <w:r>
        <w:rPr>
          <w:rFonts w:hint="eastAsia" w:ascii="宋体" w:hAnsi="宋体"/>
          <w:sz w:val="24"/>
        </w:rPr>
        <w:t>(l）我方承诺在收到成交通知书后，在规定的期限内与采购</w:t>
      </w:r>
      <w:r>
        <w:rPr>
          <w:rFonts w:ascii="宋体" w:hAnsi="宋体"/>
          <w:sz w:val="24"/>
        </w:rPr>
        <w:t>人</w:t>
      </w:r>
      <w:r>
        <w:rPr>
          <w:rFonts w:hint="eastAsia" w:ascii="宋体" w:hAnsi="宋体"/>
          <w:sz w:val="24"/>
        </w:rPr>
        <w:t>签订合同。</w:t>
      </w:r>
    </w:p>
    <w:p>
      <w:pPr>
        <w:spacing w:line="360" w:lineRule="auto"/>
        <w:rPr>
          <w:rFonts w:ascii="宋体" w:hAnsi="宋体"/>
          <w:sz w:val="24"/>
        </w:rPr>
      </w:pPr>
      <w:r>
        <w:rPr>
          <w:rFonts w:hint="eastAsia" w:ascii="宋体" w:hAnsi="宋体"/>
          <w:sz w:val="24"/>
        </w:rPr>
        <w:t>（2）我方承诺按照磋商文件规定向采购</w:t>
      </w:r>
      <w:r>
        <w:rPr>
          <w:rFonts w:ascii="宋体" w:hAnsi="宋体"/>
          <w:sz w:val="24"/>
        </w:rPr>
        <w:t>人</w:t>
      </w:r>
      <w:r>
        <w:rPr>
          <w:rFonts w:hint="eastAsia" w:ascii="宋体" w:hAnsi="宋体"/>
          <w:sz w:val="24"/>
        </w:rPr>
        <w:t>递交履约担保。</w:t>
      </w:r>
    </w:p>
    <w:p>
      <w:pPr>
        <w:spacing w:line="360" w:lineRule="auto"/>
        <w:rPr>
          <w:rFonts w:ascii="宋体" w:hAnsi="宋体"/>
          <w:sz w:val="24"/>
        </w:rPr>
      </w:pPr>
      <w:r>
        <w:rPr>
          <w:rFonts w:hint="eastAsia" w:ascii="宋体" w:hAnsi="宋体"/>
          <w:sz w:val="24"/>
        </w:rPr>
        <w:t>（3）我方将严格履行政府采购合同规定的责任和义务。</w:t>
      </w:r>
    </w:p>
    <w:p>
      <w:pPr>
        <w:spacing w:line="360" w:lineRule="auto"/>
        <w:rPr>
          <w:rFonts w:ascii="宋体" w:hAnsi="宋体"/>
          <w:sz w:val="24"/>
        </w:rPr>
      </w:pPr>
      <w:r>
        <w:rPr>
          <w:rFonts w:hint="eastAsia" w:ascii="宋体" w:hAnsi="宋体"/>
          <w:sz w:val="24"/>
        </w:rPr>
        <w:t>（</w:t>
      </w:r>
      <w:r>
        <w:rPr>
          <w:rFonts w:ascii="宋体" w:hAnsi="宋体"/>
          <w:sz w:val="24"/>
        </w:rPr>
        <w:t>4</w:t>
      </w:r>
      <w:r>
        <w:rPr>
          <w:rFonts w:hint="eastAsia" w:ascii="宋体" w:hAnsi="宋体"/>
          <w:sz w:val="24"/>
        </w:rPr>
        <w:t>）我方愿意提供贵单位可能另外要求的，与磋商报价有关的文件资料，并保证我方已提供和将要提供的文件资料是真实、准确的。</w:t>
      </w:r>
    </w:p>
    <w:p>
      <w:pPr>
        <w:spacing w:line="360" w:lineRule="auto"/>
        <w:rPr>
          <w:rFonts w:ascii="宋体" w:hAnsi="宋体"/>
          <w:sz w:val="24"/>
        </w:rPr>
      </w:pPr>
      <w:r>
        <w:rPr>
          <w:rFonts w:hint="eastAsia" w:ascii="宋体" w:hAnsi="宋体"/>
          <w:sz w:val="24"/>
        </w:rPr>
        <w:t>（</w:t>
      </w:r>
      <w:r>
        <w:rPr>
          <w:rFonts w:ascii="宋体" w:hAnsi="宋体"/>
          <w:sz w:val="24"/>
        </w:rPr>
        <w:t>5</w:t>
      </w:r>
      <w:r>
        <w:rPr>
          <w:rFonts w:hint="eastAsia" w:ascii="宋体" w:hAnsi="宋体"/>
          <w:sz w:val="24"/>
        </w:rPr>
        <w:t>）</w:t>
      </w:r>
      <w:r>
        <w:rPr>
          <w:rFonts w:hint="eastAsia" w:ascii="宋体" w:hAnsi="宋体"/>
          <w:sz w:val="24"/>
          <w:u w:val="single"/>
        </w:rPr>
        <w:t xml:space="preserve">                           </w:t>
      </w:r>
      <w:r>
        <w:rPr>
          <w:rFonts w:hint="eastAsia" w:ascii="宋体" w:hAnsi="宋体"/>
          <w:sz w:val="24"/>
        </w:rPr>
        <w:t>（其他补充说明）。</w:t>
      </w:r>
    </w:p>
    <w:p>
      <w:pPr>
        <w:adjustRightInd w:val="0"/>
        <w:spacing w:line="360" w:lineRule="auto"/>
        <w:ind w:firstLine="480" w:firstLineChars="200"/>
        <w:jc w:val="left"/>
        <w:rPr>
          <w:rFonts w:ascii="宋体" w:hAnsi="宋体"/>
          <w:sz w:val="24"/>
        </w:rPr>
      </w:pPr>
    </w:p>
    <w:p>
      <w:pPr>
        <w:adjustRightInd w:val="0"/>
        <w:spacing w:line="360" w:lineRule="auto"/>
        <w:ind w:firstLine="480" w:firstLineChars="200"/>
        <w:jc w:val="left"/>
        <w:rPr>
          <w:rFonts w:ascii="宋体" w:hAnsi="宋体"/>
          <w:sz w:val="24"/>
        </w:rPr>
      </w:pPr>
      <w:r>
        <w:rPr>
          <w:rFonts w:hint="eastAsia" w:ascii="宋体" w:hAnsi="宋体"/>
          <w:sz w:val="24"/>
        </w:rPr>
        <w:t>供应商名称：XXX（盖单位公章）</w:t>
      </w:r>
    </w:p>
    <w:p>
      <w:pPr>
        <w:spacing w:line="360" w:lineRule="auto"/>
        <w:ind w:firstLine="470" w:firstLineChars="196"/>
        <w:rPr>
          <w:rFonts w:ascii="宋体" w:hAnsi="宋体"/>
          <w:sz w:val="24"/>
        </w:rPr>
      </w:pPr>
      <w:r>
        <w:rPr>
          <w:rFonts w:hint="eastAsia" w:ascii="宋体" w:hAnsi="宋体"/>
          <w:sz w:val="24"/>
        </w:rPr>
        <w:t>法定代表人/单位负责人或授权代表（签字或加盖个人印章）：XXX</w:t>
      </w:r>
    </w:p>
    <w:p>
      <w:pPr>
        <w:spacing w:line="360" w:lineRule="auto"/>
        <w:ind w:firstLine="470" w:firstLineChars="196"/>
        <w:rPr>
          <w:rFonts w:ascii="宋体" w:hAnsi="宋体"/>
          <w:sz w:val="24"/>
        </w:rPr>
      </w:pPr>
      <w:r>
        <w:rPr>
          <w:rFonts w:hint="eastAsia" w:ascii="宋体" w:hAnsi="宋体"/>
          <w:sz w:val="24"/>
        </w:rPr>
        <w:t>通讯地址：XXX</w:t>
      </w:r>
    </w:p>
    <w:p>
      <w:pPr>
        <w:spacing w:line="360" w:lineRule="auto"/>
        <w:ind w:firstLine="470" w:firstLineChars="196"/>
        <w:rPr>
          <w:rFonts w:ascii="宋体" w:hAnsi="宋体"/>
          <w:sz w:val="24"/>
        </w:rPr>
      </w:pPr>
      <w:r>
        <w:rPr>
          <w:rFonts w:hint="eastAsia" w:ascii="宋体" w:hAnsi="宋体"/>
          <w:sz w:val="24"/>
        </w:rPr>
        <w:t>邮政编码：XXX</w:t>
      </w:r>
    </w:p>
    <w:p>
      <w:pPr>
        <w:spacing w:line="360" w:lineRule="auto"/>
        <w:ind w:firstLine="470" w:firstLineChars="196"/>
        <w:rPr>
          <w:rFonts w:ascii="宋体" w:hAnsi="宋体"/>
          <w:sz w:val="24"/>
        </w:rPr>
      </w:pPr>
      <w:r>
        <w:rPr>
          <w:rFonts w:hint="eastAsia" w:ascii="宋体" w:hAnsi="宋体"/>
          <w:sz w:val="24"/>
        </w:rPr>
        <w:t>联系电话：XXX</w:t>
      </w:r>
    </w:p>
    <w:p>
      <w:pPr>
        <w:spacing w:line="360" w:lineRule="auto"/>
        <w:ind w:firstLine="470" w:firstLineChars="196"/>
        <w:rPr>
          <w:rFonts w:ascii="宋体" w:hAnsi="宋体"/>
          <w:sz w:val="24"/>
        </w:rPr>
      </w:pPr>
      <w:r>
        <w:rPr>
          <w:rFonts w:hint="eastAsia" w:ascii="宋体" w:hAnsi="宋体"/>
          <w:sz w:val="24"/>
        </w:rPr>
        <w:t>传    真：XXX</w:t>
      </w:r>
    </w:p>
    <w:p>
      <w:pPr>
        <w:ind w:firstLine="480" w:firstLineChars="200"/>
        <w:rPr>
          <w:rFonts w:ascii="宋体" w:hAnsi="宋体"/>
          <w:b/>
          <w:sz w:val="32"/>
          <w:szCs w:val="32"/>
        </w:rPr>
      </w:pPr>
      <w:r>
        <w:rPr>
          <w:rFonts w:hint="eastAsia" w:ascii="宋体" w:hAnsi="宋体"/>
          <w:sz w:val="24"/>
        </w:rPr>
        <w:t>日    期：XXX年XXX月XXX日</w:t>
      </w:r>
      <w:r>
        <w:rPr>
          <w:rFonts w:hint="eastAsia" w:ascii="宋体" w:hAnsi="宋体"/>
          <w:b/>
          <w:sz w:val="32"/>
          <w:szCs w:val="32"/>
        </w:rPr>
        <w:br w:type="page"/>
      </w:r>
      <w:r>
        <w:rPr>
          <w:rFonts w:hint="eastAsia" w:ascii="宋体" w:hAnsi="宋体"/>
          <w:b/>
          <w:sz w:val="32"/>
          <w:szCs w:val="32"/>
        </w:rPr>
        <w:t>格式2-3</w:t>
      </w:r>
    </w:p>
    <w:p>
      <w:pPr>
        <w:widowControl/>
        <w:jc w:val="center"/>
        <w:outlineLvl w:val="1"/>
        <w:rPr>
          <w:rFonts w:ascii="宋体" w:hAnsi="宋体"/>
          <w:b/>
          <w:sz w:val="32"/>
          <w:szCs w:val="32"/>
        </w:rPr>
      </w:pPr>
      <w:r>
        <w:rPr>
          <w:rFonts w:hint="eastAsia" w:ascii="宋体" w:hAnsi="宋体"/>
          <w:b/>
          <w:sz w:val="32"/>
          <w:szCs w:val="32"/>
        </w:rPr>
        <w:t>二</w:t>
      </w:r>
      <w:r>
        <w:rPr>
          <w:rFonts w:ascii="宋体" w:hAnsi="宋体"/>
          <w:b/>
          <w:sz w:val="32"/>
          <w:szCs w:val="32"/>
        </w:rPr>
        <w:t>、</w:t>
      </w:r>
      <w:r>
        <w:rPr>
          <w:rFonts w:hint="eastAsia" w:ascii="宋体" w:hAnsi="宋体"/>
          <w:b/>
          <w:sz w:val="32"/>
          <w:szCs w:val="32"/>
        </w:rPr>
        <w:t xml:space="preserve"> 承诺函（实质性要求）</w:t>
      </w:r>
    </w:p>
    <w:p>
      <w:pPr>
        <w:widowControl/>
        <w:jc w:val="center"/>
        <w:outlineLvl w:val="1"/>
        <w:rPr>
          <w:rFonts w:ascii="宋体" w:hAnsi="宋体"/>
          <w:b/>
          <w:sz w:val="24"/>
        </w:rPr>
      </w:pPr>
    </w:p>
    <w:p>
      <w:pPr>
        <w:spacing w:line="360" w:lineRule="auto"/>
        <w:rPr>
          <w:rFonts w:ascii="宋体" w:hAnsi="宋体"/>
          <w:sz w:val="24"/>
        </w:rPr>
      </w:pPr>
      <w:r>
        <w:rPr>
          <w:rFonts w:hint="eastAsia" w:ascii="宋体" w:hAnsi="宋体"/>
          <w:sz w:val="24"/>
        </w:rPr>
        <w:t>XXX（采购代理机构名称）：</w:t>
      </w:r>
    </w:p>
    <w:p>
      <w:pPr>
        <w:spacing w:line="360" w:lineRule="auto"/>
        <w:ind w:firstLine="480" w:firstLineChars="200"/>
        <w:rPr>
          <w:rFonts w:ascii="宋体" w:hAnsi="宋体"/>
          <w:sz w:val="24"/>
        </w:rPr>
      </w:pPr>
      <w:r>
        <w:rPr>
          <w:rFonts w:hint="eastAsia" w:ascii="宋体" w:hAnsi="宋体"/>
          <w:sz w:val="24"/>
        </w:rPr>
        <w:t>我方作为本次采购项目的供应商，根据磋商文件要求，现郑重承诺如下：</w:t>
      </w:r>
    </w:p>
    <w:p>
      <w:pPr>
        <w:widowControl/>
        <w:spacing w:line="360" w:lineRule="auto"/>
        <w:ind w:firstLine="480" w:firstLineChars="200"/>
        <w:jc w:val="left"/>
        <w:outlineLvl w:val="1"/>
        <w:rPr>
          <w:rFonts w:ascii="宋体" w:hAnsi="宋体"/>
          <w:sz w:val="24"/>
        </w:rPr>
      </w:pPr>
      <w:r>
        <w:rPr>
          <w:rFonts w:hint="eastAsia" w:ascii="宋体" w:hAnsi="宋体"/>
          <w:sz w:val="24"/>
        </w:rPr>
        <w:t>一、我方已认真阅读并接受本项目</w:t>
      </w:r>
      <w:r>
        <w:rPr>
          <w:rFonts w:ascii="宋体" w:hAnsi="宋体"/>
          <w:sz w:val="24"/>
        </w:rPr>
        <w:t>磋商</w:t>
      </w:r>
      <w:r>
        <w:rPr>
          <w:rFonts w:hint="eastAsia" w:ascii="宋体" w:hAnsi="宋体"/>
          <w:sz w:val="24"/>
        </w:rPr>
        <w:t>文件第二章的全部实质性要求（含国家规定的强制采购范围）</w:t>
      </w:r>
      <w:r>
        <w:rPr>
          <w:rFonts w:ascii="宋体" w:hAnsi="宋体"/>
          <w:sz w:val="24"/>
        </w:rPr>
        <w:t>，如对磋商</w:t>
      </w:r>
      <w:r>
        <w:rPr>
          <w:rFonts w:hint="eastAsia" w:ascii="宋体" w:hAnsi="宋体"/>
          <w:sz w:val="24"/>
        </w:rPr>
        <w:t>文件</w:t>
      </w:r>
      <w:r>
        <w:rPr>
          <w:rFonts w:ascii="宋体" w:hAnsi="宋体"/>
          <w:sz w:val="24"/>
        </w:rPr>
        <w:t>有异议，</w:t>
      </w:r>
      <w:r>
        <w:rPr>
          <w:rFonts w:hint="eastAsia" w:ascii="宋体" w:hAnsi="宋体"/>
          <w:sz w:val="24"/>
        </w:rPr>
        <w:t>已</w:t>
      </w:r>
      <w:r>
        <w:rPr>
          <w:rFonts w:ascii="宋体" w:hAnsi="宋体"/>
          <w:sz w:val="24"/>
        </w:rPr>
        <w:t>依法进行维权救济，不存在对磋商</w:t>
      </w:r>
      <w:r>
        <w:rPr>
          <w:rFonts w:hint="eastAsia" w:ascii="宋体" w:hAnsi="宋体"/>
          <w:sz w:val="24"/>
        </w:rPr>
        <w:t>文件</w:t>
      </w:r>
      <w:r>
        <w:rPr>
          <w:rFonts w:ascii="宋体" w:hAnsi="宋体"/>
          <w:sz w:val="24"/>
        </w:rPr>
        <w:t>有异议的同时又参加</w:t>
      </w:r>
      <w:r>
        <w:rPr>
          <w:rFonts w:hint="eastAsia" w:ascii="宋体" w:hAnsi="宋体"/>
          <w:sz w:val="24"/>
        </w:rPr>
        <w:t>磋商</w:t>
      </w:r>
      <w:r>
        <w:rPr>
          <w:rFonts w:ascii="宋体" w:hAnsi="宋体"/>
          <w:sz w:val="24"/>
        </w:rPr>
        <w:t>以求侥幸</w:t>
      </w:r>
      <w:r>
        <w:rPr>
          <w:rFonts w:hint="eastAsia" w:ascii="宋体" w:hAnsi="宋体"/>
          <w:sz w:val="24"/>
        </w:rPr>
        <w:t>成交</w:t>
      </w:r>
      <w:r>
        <w:rPr>
          <w:rFonts w:ascii="宋体" w:hAnsi="宋体"/>
          <w:sz w:val="24"/>
        </w:rPr>
        <w:t>或者为实现其他非法目的的行为。</w:t>
      </w:r>
    </w:p>
    <w:p>
      <w:pPr>
        <w:spacing w:line="360" w:lineRule="auto"/>
        <w:ind w:firstLine="480" w:firstLineChars="200"/>
        <w:rPr>
          <w:rFonts w:ascii="宋体" w:hAnsi="宋体"/>
          <w:sz w:val="24"/>
        </w:rPr>
      </w:pPr>
      <w:r>
        <w:rPr>
          <w:rFonts w:hint="eastAsia" w:ascii="宋体" w:hAnsi="宋体"/>
          <w:sz w:val="24"/>
        </w:rPr>
        <w:t>二、在参加本次采购活动中，不存在与单位负责人为同一人或者存在直接控股、管理关系的其他供应商参与同一合同项下的政府采购活动的行为。</w:t>
      </w:r>
    </w:p>
    <w:p>
      <w:pPr>
        <w:widowControl/>
        <w:spacing w:line="360" w:lineRule="auto"/>
        <w:ind w:firstLine="480" w:firstLineChars="200"/>
        <w:jc w:val="left"/>
        <w:outlineLvl w:val="1"/>
        <w:rPr>
          <w:rFonts w:ascii="宋体" w:hAnsi="宋体"/>
          <w:sz w:val="24"/>
        </w:rPr>
      </w:pPr>
      <w:r>
        <w:rPr>
          <w:rFonts w:hint="eastAsia" w:ascii="宋体" w:hAnsi="宋体"/>
          <w:sz w:val="24"/>
        </w:rPr>
        <w:t>三、为采购项目提供整体设计、规范编制或者项目管理、监理、检测等服务的供应商，不得再参加该采购项目的其他采购活动，我方承诺不属于此类禁止参加本项目的供应商。</w:t>
      </w:r>
    </w:p>
    <w:p>
      <w:pPr>
        <w:spacing w:line="360" w:lineRule="auto"/>
        <w:ind w:firstLine="480" w:firstLineChars="200"/>
        <w:rPr>
          <w:rFonts w:ascii="宋体" w:hAnsi="宋体"/>
          <w:sz w:val="24"/>
        </w:rPr>
      </w:pPr>
      <w:r>
        <w:rPr>
          <w:rFonts w:hint="eastAsia" w:ascii="宋体" w:hAnsi="宋体"/>
          <w:sz w:val="24"/>
        </w:rPr>
        <w:t>四、响应文件中提供的任何资料和技术、服务、商务等响应承诺情况都是真实的、有效的、合法的。</w:t>
      </w:r>
    </w:p>
    <w:p>
      <w:pPr>
        <w:spacing w:line="360" w:lineRule="auto"/>
        <w:ind w:firstLine="480" w:firstLineChars="200"/>
        <w:rPr>
          <w:rFonts w:ascii="宋体" w:hAnsi="宋体"/>
          <w:sz w:val="24"/>
        </w:rPr>
      </w:pPr>
      <w:r>
        <w:rPr>
          <w:rFonts w:hint="eastAsia" w:ascii="宋体" w:hAnsi="宋体"/>
          <w:sz w:val="24"/>
        </w:rPr>
        <w:t>五、如本项目磋商采购过程中需要提供样品，则我方提供的样品即为成交后将要提供的成交产品，我方对提供样品的性能和质量负责，因样品存在缺陷或者不符合磋商文件要求导致未能成交的，我方愿意承担相应不利后果。</w:t>
      </w:r>
    </w:p>
    <w:p>
      <w:pPr>
        <w:widowControl/>
        <w:spacing w:line="360" w:lineRule="auto"/>
        <w:ind w:firstLine="480" w:firstLineChars="200"/>
        <w:jc w:val="left"/>
        <w:outlineLvl w:val="1"/>
        <w:rPr>
          <w:rFonts w:ascii="宋体" w:hAnsi="宋体"/>
          <w:sz w:val="24"/>
        </w:rPr>
      </w:pPr>
      <w:r>
        <w:rPr>
          <w:rFonts w:hint="eastAsia" w:ascii="宋体" w:hAnsi="宋体"/>
          <w:sz w:val="24"/>
        </w:rPr>
        <w:t>六、国家或行业主管部门对采购产品的技术标准、质量标准和资格资质条件等有强制性规定的，我方</w:t>
      </w:r>
      <w:r>
        <w:rPr>
          <w:rFonts w:ascii="宋体" w:hAnsi="宋体"/>
          <w:sz w:val="24"/>
        </w:rPr>
        <w:t>承诺符合其要求。</w:t>
      </w:r>
    </w:p>
    <w:p>
      <w:pPr>
        <w:widowControl/>
        <w:spacing w:line="360" w:lineRule="auto"/>
        <w:ind w:firstLine="480" w:firstLineChars="200"/>
        <w:jc w:val="left"/>
        <w:outlineLvl w:val="1"/>
        <w:rPr>
          <w:rFonts w:ascii="宋体" w:hAnsi="宋体"/>
          <w:sz w:val="24"/>
        </w:rPr>
      </w:pPr>
      <w:r>
        <w:rPr>
          <w:rFonts w:hint="eastAsia" w:ascii="宋体" w:hAnsi="宋体"/>
          <w:sz w:val="24"/>
        </w:rPr>
        <w:t>七、参加本次采购活动，我方完全同意磋商</w:t>
      </w:r>
      <w:r>
        <w:rPr>
          <w:rFonts w:ascii="宋体" w:hAnsi="宋体"/>
          <w:sz w:val="24"/>
        </w:rPr>
        <w:t>文件第二章关于</w:t>
      </w:r>
      <w:r>
        <w:rPr>
          <w:rFonts w:hint="eastAsia" w:ascii="宋体" w:hAnsi="宋体"/>
          <w:sz w:val="24"/>
        </w:rPr>
        <w:t>“磋商费用”、“合同</w:t>
      </w:r>
      <w:r>
        <w:rPr>
          <w:rFonts w:ascii="宋体" w:hAnsi="宋体"/>
          <w:sz w:val="24"/>
        </w:rPr>
        <w:t>分包</w:t>
      </w:r>
      <w:r>
        <w:rPr>
          <w:rFonts w:hint="eastAsia" w:ascii="宋体" w:hAnsi="宋体"/>
          <w:sz w:val="24"/>
        </w:rPr>
        <w:t>”、</w:t>
      </w:r>
      <w:r>
        <w:rPr>
          <w:rFonts w:ascii="宋体" w:hAnsi="宋体"/>
          <w:sz w:val="24"/>
        </w:rPr>
        <w:t>“</w:t>
      </w:r>
      <w:r>
        <w:rPr>
          <w:rFonts w:hint="eastAsia" w:ascii="宋体" w:hAnsi="宋体"/>
          <w:sz w:val="24"/>
        </w:rPr>
        <w:t>合同</w:t>
      </w:r>
      <w:r>
        <w:rPr>
          <w:rFonts w:ascii="宋体" w:hAnsi="宋体"/>
          <w:sz w:val="24"/>
        </w:rPr>
        <w:t>转包”</w:t>
      </w:r>
      <w:r>
        <w:rPr>
          <w:rFonts w:hint="eastAsia" w:ascii="宋体" w:hAnsi="宋体"/>
          <w:sz w:val="24"/>
        </w:rPr>
        <w:t>、</w:t>
      </w:r>
      <w:r>
        <w:rPr>
          <w:rFonts w:ascii="宋体" w:hAnsi="宋体"/>
          <w:sz w:val="24"/>
        </w:rPr>
        <w:t>“</w:t>
      </w:r>
      <w:r>
        <w:rPr>
          <w:rFonts w:hint="eastAsia" w:ascii="宋体" w:hAnsi="宋体"/>
          <w:sz w:val="24"/>
        </w:rPr>
        <w:t>履约</w:t>
      </w:r>
      <w:r>
        <w:rPr>
          <w:rFonts w:ascii="宋体" w:hAnsi="宋体"/>
          <w:sz w:val="24"/>
        </w:rPr>
        <w:t>保证金”</w:t>
      </w:r>
      <w:r>
        <w:rPr>
          <w:rFonts w:hint="eastAsia" w:ascii="宋体" w:hAnsi="宋体"/>
          <w:sz w:val="24"/>
        </w:rPr>
        <w:t>、“国家规定的强制采购范围”的</w:t>
      </w:r>
      <w:r>
        <w:rPr>
          <w:rFonts w:ascii="宋体" w:hAnsi="宋体"/>
          <w:sz w:val="24"/>
        </w:rPr>
        <w:t>实质性要求</w:t>
      </w:r>
      <w:r>
        <w:rPr>
          <w:rFonts w:hint="eastAsia" w:ascii="宋体" w:hAnsi="宋体"/>
          <w:sz w:val="24"/>
        </w:rPr>
        <w:t>，</w:t>
      </w:r>
      <w:r>
        <w:rPr>
          <w:rFonts w:ascii="宋体" w:hAnsi="宋体"/>
          <w:sz w:val="24"/>
        </w:rPr>
        <w:t>并承诺严格按照</w:t>
      </w:r>
      <w:r>
        <w:rPr>
          <w:rFonts w:hint="eastAsia" w:ascii="宋体" w:hAnsi="宋体"/>
          <w:sz w:val="24"/>
        </w:rPr>
        <w:t>磋商</w:t>
      </w:r>
      <w:r>
        <w:rPr>
          <w:rFonts w:ascii="宋体" w:hAnsi="宋体"/>
          <w:sz w:val="24"/>
        </w:rPr>
        <w:t>文件要求</w:t>
      </w:r>
      <w:r>
        <w:rPr>
          <w:rFonts w:hint="eastAsia" w:ascii="宋体" w:hAnsi="宋体"/>
          <w:sz w:val="24"/>
        </w:rPr>
        <w:t>履行</w:t>
      </w:r>
      <w:r>
        <w:rPr>
          <w:rFonts w:ascii="宋体" w:hAnsi="宋体"/>
          <w:sz w:val="24"/>
        </w:rPr>
        <w:t>。</w:t>
      </w:r>
    </w:p>
    <w:p>
      <w:pPr>
        <w:widowControl/>
        <w:spacing w:line="360" w:lineRule="auto"/>
        <w:ind w:firstLine="480" w:firstLineChars="200"/>
        <w:jc w:val="left"/>
        <w:outlineLvl w:val="1"/>
        <w:rPr>
          <w:rFonts w:ascii="宋体" w:hAnsi="宋体"/>
          <w:sz w:val="24"/>
        </w:rPr>
      </w:pPr>
      <w:r>
        <w:rPr>
          <w:rFonts w:hint="eastAsia" w:ascii="宋体" w:hAnsi="宋体"/>
          <w:sz w:val="24"/>
        </w:rPr>
        <w:t>八</w:t>
      </w:r>
      <w:r>
        <w:rPr>
          <w:rFonts w:ascii="宋体" w:hAnsi="宋体"/>
          <w:sz w:val="24"/>
        </w:rPr>
        <w:t>、</w:t>
      </w:r>
      <w:r>
        <w:rPr>
          <w:rFonts w:hint="eastAsia" w:ascii="宋体" w:hAnsi="宋体"/>
          <w:sz w:val="24"/>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磋商文件特别规定，采购人享有本项目实施过程中产生的知识成果及知识产权。如我方在采购项目实施过程中采用自有或者第三方知识成果的，使用该知识成果后，我方</w:t>
      </w:r>
      <w:r>
        <w:rPr>
          <w:rFonts w:ascii="宋体" w:hAnsi="宋体"/>
          <w:sz w:val="24"/>
        </w:rPr>
        <w:t>承诺</w:t>
      </w:r>
      <w:r>
        <w:rPr>
          <w:rFonts w:hint="eastAsia" w:ascii="宋体" w:hAnsi="宋体"/>
          <w:sz w:val="24"/>
        </w:rPr>
        <w:t>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360" w:lineRule="auto"/>
        <w:ind w:firstLine="480" w:firstLineChars="200"/>
        <w:rPr>
          <w:rFonts w:ascii="宋体" w:hAnsi="宋体"/>
          <w:sz w:val="24"/>
        </w:rPr>
      </w:pPr>
      <w:r>
        <w:rPr>
          <w:rFonts w:hint="eastAsia" w:ascii="宋体" w:hAnsi="宋体"/>
          <w:sz w:val="24"/>
        </w:rPr>
        <w:t>我方对上述承诺的内容事项真实性负责。如经查实上述承诺的内容事项存在虚假，我方愿意接受以提供虚假材料谋取成交的法律责任。</w:t>
      </w:r>
    </w:p>
    <w:p>
      <w:pPr>
        <w:spacing w:line="360" w:lineRule="auto"/>
        <w:rPr>
          <w:rFonts w:ascii="宋体" w:hAnsi="宋体"/>
          <w:sz w:val="24"/>
        </w:rPr>
      </w:pP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法定代表人/单位负责人或授权代表（签字或加盖个人印章）：XXX</w:t>
      </w:r>
    </w:p>
    <w:p>
      <w:pPr>
        <w:spacing w:line="360" w:lineRule="auto"/>
        <w:ind w:firstLine="480" w:firstLineChars="200"/>
        <w:rPr>
          <w:rFonts w:ascii="宋体" w:hAnsi="宋体"/>
          <w:sz w:val="24"/>
        </w:rPr>
      </w:pPr>
      <w:r>
        <w:rPr>
          <w:rFonts w:hint="eastAsia" w:ascii="宋体" w:hAnsi="宋体"/>
          <w:sz w:val="24"/>
        </w:rPr>
        <w:t>供应商名称：XXXX（盖章）</w:t>
      </w:r>
    </w:p>
    <w:p>
      <w:pPr>
        <w:spacing w:line="360" w:lineRule="auto"/>
        <w:ind w:firstLine="480" w:firstLineChars="200"/>
        <w:rPr>
          <w:rFonts w:ascii="宋体" w:hAnsi="宋体"/>
          <w:bCs/>
          <w:sz w:val="24"/>
          <w:szCs w:val="30"/>
        </w:rPr>
      </w:pPr>
      <w:r>
        <w:rPr>
          <w:rFonts w:hint="eastAsia" w:ascii="宋体" w:hAnsi="宋体"/>
          <w:sz w:val="24"/>
        </w:rPr>
        <w:t>日    期：XXX年XXX月XXX日</w:t>
      </w:r>
    </w:p>
    <w:p>
      <w:pPr>
        <w:spacing w:line="360" w:lineRule="auto"/>
        <w:ind w:firstLine="480" w:firstLineChars="200"/>
        <w:rPr>
          <w:rFonts w:ascii="宋体" w:hAnsi="宋体"/>
          <w:sz w:val="24"/>
        </w:rPr>
      </w:pPr>
    </w:p>
    <w:p>
      <w:pPr>
        <w:spacing w:line="360" w:lineRule="auto"/>
        <w:rPr>
          <w:rFonts w:ascii="宋体" w:hAnsi="宋体"/>
          <w:b/>
          <w:sz w:val="32"/>
          <w:szCs w:val="32"/>
        </w:rPr>
      </w:pPr>
      <w:r>
        <w:rPr>
          <w:rFonts w:hint="eastAsia" w:ascii="宋体" w:hAnsi="宋体"/>
          <w:b/>
          <w:sz w:val="32"/>
          <w:szCs w:val="32"/>
        </w:rPr>
        <w:br w:type="page"/>
      </w:r>
      <w:bookmarkEnd w:id="88"/>
      <w:bookmarkStart w:id="89" w:name="_Toc217446087"/>
      <w:r>
        <w:rPr>
          <w:rFonts w:hint="eastAsia" w:ascii="宋体" w:hAnsi="宋体"/>
          <w:b/>
          <w:sz w:val="28"/>
          <w:szCs w:val="28"/>
        </w:rPr>
        <w:t>格式2-4</w:t>
      </w:r>
    </w:p>
    <w:p>
      <w:pPr>
        <w:widowControl/>
        <w:spacing w:line="360" w:lineRule="auto"/>
        <w:jc w:val="center"/>
        <w:outlineLvl w:val="1"/>
        <w:rPr>
          <w:rFonts w:ascii="宋体" w:hAnsi="宋体"/>
          <w:b/>
          <w:sz w:val="32"/>
          <w:szCs w:val="32"/>
        </w:rPr>
      </w:pPr>
    </w:p>
    <w:p>
      <w:pPr>
        <w:spacing w:line="360" w:lineRule="auto"/>
        <w:jc w:val="center"/>
        <w:rPr>
          <w:rFonts w:ascii="宋体" w:hAnsi="宋体" w:cs="Arial"/>
          <w:b/>
          <w:bCs/>
          <w:sz w:val="32"/>
          <w:szCs w:val="32"/>
        </w:rPr>
      </w:pPr>
      <w:r>
        <w:rPr>
          <w:rFonts w:hint="eastAsia" w:ascii="宋体" w:hAnsi="宋体" w:cs="Arial"/>
          <w:b/>
          <w:bCs/>
          <w:sz w:val="32"/>
          <w:szCs w:val="32"/>
        </w:rPr>
        <w:t>三、设计方案、施工</w:t>
      </w:r>
      <w:r>
        <w:rPr>
          <w:rFonts w:ascii="宋体" w:hAnsi="宋体" w:cs="Arial"/>
          <w:b/>
          <w:bCs/>
          <w:sz w:val="32"/>
          <w:szCs w:val="32"/>
        </w:rPr>
        <w:t>组织设计（</w:t>
      </w:r>
      <w:r>
        <w:rPr>
          <w:rFonts w:hint="eastAsia" w:ascii="宋体" w:hAnsi="宋体" w:cs="Arial"/>
          <w:b/>
          <w:bCs/>
          <w:sz w:val="32"/>
          <w:szCs w:val="32"/>
        </w:rPr>
        <w:t>实施</w:t>
      </w:r>
      <w:r>
        <w:rPr>
          <w:rFonts w:ascii="宋体" w:hAnsi="宋体" w:cs="Arial"/>
          <w:b/>
          <w:bCs/>
          <w:sz w:val="32"/>
          <w:szCs w:val="32"/>
        </w:rPr>
        <w:t>方案）</w:t>
      </w:r>
    </w:p>
    <w:p>
      <w:pPr>
        <w:widowControl/>
        <w:spacing w:line="360" w:lineRule="auto"/>
        <w:jc w:val="center"/>
        <w:outlineLvl w:val="1"/>
        <w:rPr>
          <w:rFonts w:ascii="宋体" w:hAnsi="宋体"/>
          <w:b/>
          <w:sz w:val="32"/>
          <w:szCs w:val="32"/>
        </w:rPr>
      </w:pPr>
    </w:p>
    <w:p>
      <w:pPr>
        <w:widowControl/>
        <w:spacing w:line="360" w:lineRule="auto"/>
        <w:outlineLvl w:val="1"/>
        <w:rPr>
          <w:rFonts w:ascii="宋体" w:hAnsi="宋体"/>
          <w:sz w:val="24"/>
        </w:rPr>
      </w:pPr>
      <w:r>
        <w:rPr>
          <w:rFonts w:hint="eastAsia" w:ascii="宋体" w:hAnsi="宋体"/>
          <w:sz w:val="24"/>
        </w:rPr>
        <w:t>格式及内容自拟。</w:t>
      </w:r>
    </w:p>
    <w:p>
      <w:pPr>
        <w:widowControl/>
        <w:spacing w:line="360" w:lineRule="auto"/>
        <w:outlineLvl w:val="1"/>
        <w:rPr>
          <w:rFonts w:ascii="宋体" w:hAnsi="宋体"/>
          <w:sz w:val="24"/>
        </w:rPr>
      </w:pPr>
      <w:r>
        <w:rPr>
          <w:rFonts w:hint="eastAsia" w:ascii="宋体" w:hAnsi="宋体"/>
          <w:sz w:val="24"/>
        </w:rPr>
        <w:br w:type="page"/>
      </w:r>
      <w:r>
        <w:rPr>
          <w:rFonts w:hint="eastAsia" w:ascii="宋体" w:hAnsi="宋体"/>
          <w:b/>
          <w:sz w:val="28"/>
          <w:szCs w:val="28"/>
        </w:rPr>
        <w:t>格式2-5</w:t>
      </w:r>
    </w:p>
    <w:p>
      <w:pPr>
        <w:spacing w:line="360" w:lineRule="auto"/>
        <w:jc w:val="center"/>
        <w:rPr>
          <w:rFonts w:ascii="宋体" w:hAnsi="宋体" w:cs="Arial"/>
          <w:b/>
          <w:bCs/>
          <w:sz w:val="32"/>
          <w:szCs w:val="32"/>
        </w:rPr>
      </w:pPr>
      <w:r>
        <w:rPr>
          <w:rFonts w:hint="eastAsia" w:ascii="宋体" w:hAnsi="宋体" w:cs="Arial"/>
          <w:b/>
          <w:bCs/>
          <w:sz w:val="32"/>
          <w:szCs w:val="32"/>
        </w:rPr>
        <w:t>四、供应商基本情况表</w:t>
      </w:r>
    </w:p>
    <w:p>
      <w:pPr>
        <w:spacing w:line="360" w:lineRule="auto"/>
        <w:jc w:val="center"/>
        <w:rPr>
          <w:rFonts w:ascii="宋体" w:hAnsi="宋体" w:cs="Arial"/>
          <w:b/>
          <w:bCs/>
          <w:sz w:val="32"/>
          <w:szCs w:val="32"/>
        </w:rPr>
      </w:pPr>
    </w:p>
    <w:tbl>
      <w:tblPr>
        <w:tblStyle w:val="39"/>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1080"/>
        <w:gridCol w:w="180"/>
        <w:gridCol w:w="1260"/>
        <w:gridCol w:w="1260"/>
        <w:gridCol w:w="420"/>
        <w:gridCol w:w="480"/>
        <w:gridCol w:w="360"/>
        <w:gridCol w:w="840"/>
        <w:gridCol w:w="60"/>
        <w:gridCol w:w="3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供应商名称</w:t>
            </w:r>
          </w:p>
        </w:tc>
        <w:tc>
          <w:tcPr>
            <w:tcW w:w="7560" w:type="dxa"/>
            <w:gridSpan w:val="11"/>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注册地址</w:t>
            </w:r>
          </w:p>
        </w:tc>
        <w:tc>
          <w:tcPr>
            <w:tcW w:w="4680" w:type="dxa"/>
            <w:gridSpan w:val="6"/>
            <w:shd w:val="clear" w:color="auto" w:fill="auto"/>
            <w:vAlign w:val="center"/>
          </w:tcPr>
          <w:p>
            <w:pPr>
              <w:spacing w:line="360" w:lineRule="auto"/>
              <w:jc w:val="center"/>
              <w:rPr>
                <w:rFonts w:ascii="宋体" w:hAnsi="宋体" w:cs="Arial"/>
                <w:bCs/>
                <w:szCs w:val="21"/>
              </w:rPr>
            </w:pPr>
          </w:p>
        </w:tc>
        <w:tc>
          <w:tcPr>
            <w:tcW w:w="126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邮政编码</w:t>
            </w:r>
          </w:p>
        </w:tc>
        <w:tc>
          <w:tcPr>
            <w:tcW w:w="1620" w:type="dxa"/>
            <w:gridSpan w:val="2"/>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620" w:type="dxa"/>
            <w:vMerge w:val="restart"/>
            <w:vAlign w:val="center"/>
          </w:tcPr>
          <w:p>
            <w:pPr>
              <w:spacing w:line="360" w:lineRule="auto"/>
              <w:jc w:val="center"/>
              <w:rPr>
                <w:rFonts w:ascii="宋体" w:hAnsi="宋体" w:cs="Arial"/>
                <w:bCs/>
                <w:szCs w:val="21"/>
              </w:rPr>
            </w:pPr>
            <w:r>
              <w:rPr>
                <w:rFonts w:hint="eastAsia" w:ascii="宋体" w:hAnsi="宋体" w:cs="Arial"/>
                <w:bCs/>
                <w:szCs w:val="21"/>
              </w:rPr>
              <w:t>联系方式</w:t>
            </w:r>
          </w:p>
        </w:tc>
        <w:tc>
          <w:tcPr>
            <w:tcW w:w="1080" w:type="dxa"/>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联系人</w:t>
            </w:r>
          </w:p>
        </w:tc>
        <w:tc>
          <w:tcPr>
            <w:tcW w:w="3600" w:type="dxa"/>
            <w:gridSpan w:val="5"/>
            <w:shd w:val="clear" w:color="auto" w:fill="auto"/>
            <w:vAlign w:val="center"/>
          </w:tcPr>
          <w:p>
            <w:pPr>
              <w:spacing w:line="360" w:lineRule="auto"/>
              <w:jc w:val="center"/>
              <w:rPr>
                <w:rFonts w:ascii="宋体" w:hAnsi="宋体" w:cs="Arial"/>
                <w:bCs/>
                <w:szCs w:val="21"/>
              </w:rPr>
            </w:pPr>
          </w:p>
        </w:tc>
        <w:tc>
          <w:tcPr>
            <w:tcW w:w="126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联系电话</w:t>
            </w:r>
          </w:p>
        </w:tc>
        <w:tc>
          <w:tcPr>
            <w:tcW w:w="1620" w:type="dxa"/>
            <w:gridSpan w:val="2"/>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620" w:type="dxa"/>
            <w:vMerge w:val="continue"/>
            <w:vAlign w:val="center"/>
          </w:tcPr>
          <w:p>
            <w:pPr>
              <w:spacing w:line="360" w:lineRule="auto"/>
              <w:jc w:val="center"/>
              <w:rPr>
                <w:rFonts w:ascii="宋体" w:hAnsi="宋体" w:cs="Arial"/>
                <w:bCs/>
                <w:szCs w:val="21"/>
              </w:rPr>
            </w:pPr>
          </w:p>
        </w:tc>
        <w:tc>
          <w:tcPr>
            <w:tcW w:w="1080" w:type="dxa"/>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传真</w:t>
            </w:r>
          </w:p>
        </w:tc>
        <w:tc>
          <w:tcPr>
            <w:tcW w:w="3600" w:type="dxa"/>
            <w:gridSpan w:val="5"/>
            <w:shd w:val="clear" w:color="auto" w:fill="auto"/>
            <w:vAlign w:val="center"/>
          </w:tcPr>
          <w:p>
            <w:pPr>
              <w:spacing w:line="360" w:lineRule="auto"/>
              <w:jc w:val="center"/>
              <w:rPr>
                <w:rFonts w:ascii="宋体" w:hAnsi="宋体" w:cs="Arial"/>
                <w:bCs/>
                <w:szCs w:val="21"/>
              </w:rPr>
            </w:pPr>
          </w:p>
        </w:tc>
        <w:tc>
          <w:tcPr>
            <w:tcW w:w="126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网址</w:t>
            </w:r>
          </w:p>
        </w:tc>
        <w:tc>
          <w:tcPr>
            <w:tcW w:w="1620" w:type="dxa"/>
            <w:gridSpan w:val="2"/>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组织结构</w:t>
            </w:r>
          </w:p>
        </w:tc>
        <w:tc>
          <w:tcPr>
            <w:tcW w:w="7560" w:type="dxa"/>
            <w:gridSpan w:val="11"/>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法定代表人/单位负责人</w:t>
            </w:r>
          </w:p>
        </w:tc>
        <w:tc>
          <w:tcPr>
            <w:tcW w:w="1260" w:type="dxa"/>
            <w:gridSpan w:val="2"/>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姓名</w:t>
            </w:r>
          </w:p>
        </w:tc>
        <w:tc>
          <w:tcPr>
            <w:tcW w:w="1260" w:type="dxa"/>
            <w:shd w:val="clear" w:color="auto" w:fill="auto"/>
            <w:vAlign w:val="center"/>
          </w:tcPr>
          <w:p>
            <w:pPr>
              <w:spacing w:line="360" w:lineRule="auto"/>
              <w:jc w:val="center"/>
              <w:rPr>
                <w:rFonts w:ascii="宋体" w:hAnsi="宋体" w:cs="Arial"/>
                <w:bCs/>
                <w:szCs w:val="21"/>
              </w:rPr>
            </w:pPr>
          </w:p>
        </w:tc>
        <w:tc>
          <w:tcPr>
            <w:tcW w:w="1260" w:type="dxa"/>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技术职称</w:t>
            </w:r>
          </w:p>
        </w:tc>
        <w:tc>
          <w:tcPr>
            <w:tcW w:w="1260" w:type="dxa"/>
            <w:gridSpan w:val="3"/>
            <w:shd w:val="clear" w:color="auto" w:fill="auto"/>
            <w:vAlign w:val="center"/>
          </w:tcPr>
          <w:p>
            <w:pPr>
              <w:spacing w:line="360" w:lineRule="auto"/>
              <w:jc w:val="center"/>
              <w:rPr>
                <w:rFonts w:ascii="宋体" w:hAnsi="宋体" w:cs="Arial"/>
                <w:bCs/>
                <w:szCs w:val="21"/>
              </w:rPr>
            </w:pPr>
          </w:p>
        </w:tc>
        <w:tc>
          <w:tcPr>
            <w:tcW w:w="126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联系电话</w:t>
            </w:r>
          </w:p>
        </w:tc>
        <w:tc>
          <w:tcPr>
            <w:tcW w:w="1260" w:type="dxa"/>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技术负责人</w:t>
            </w:r>
          </w:p>
        </w:tc>
        <w:tc>
          <w:tcPr>
            <w:tcW w:w="1260" w:type="dxa"/>
            <w:gridSpan w:val="2"/>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姓名</w:t>
            </w:r>
          </w:p>
        </w:tc>
        <w:tc>
          <w:tcPr>
            <w:tcW w:w="1260" w:type="dxa"/>
            <w:shd w:val="clear" w:color="auto" w:fill="auto"/>
            <w:vAlign w:val="center"/>
          </w:tcPr>
          <w:p>
            <w:pPr>
              <w:spacing w:line="360" w:lineRule="auto"/>
              <w:jc w:val="center"/>
              <w:rPr>
                <w:rFonts w:ascii="宋体" w:hAnsi="宋体" w:cs="Arial"/>
                <w:bCs/>
                <w:szCs w:val="21"/>
              </w:rPr>
            </w:pPr>
          </w:p>
        </w:tc>
        <w:tc>
          <w:tcPr>
            <w:tcW w:w="1260" w:type="dxa"/>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技术职称</w:t>
            </w:r>
          </w:p>
        </w:tc>
        <w:tc>
          <w:tcPr>
            <w:tcW w:w="1260" w:type="dxa"/>
            <w:gridSpan w:val="3"/>
            <w:shd w:val="clear" w:color="auto" w:fill="auto"/>
            <w:vAlign w:val="center"/>
          </w:tcPr>
          <w:p>
            <w:pPr>
              <w:spacing w:line="360" w:lineRule="auto"/>
              <w:jc w:val="center"/>
              <w:rPr>
                <w:rFonts w:ascii="宋体" w:hAnsi="宋体" w:cs="Arial"/>
                <w:bCs/>
                <w:szCs w:val="21"/>
              </w:rPr>
            </w:pPr>
          </w:p>
        </w:tc>
        <w:tc>
          <w:tcPr>
            <w:tcW w:w="126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联系电话</w:t>
            </w:r>
          </w:p>
        </w:tc>
        <w:tc>
          <w:tcPr>
            <w:tcW w:w="1260" w:type="dxa"/>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成立时间</w:t>
            </w:r>
          </w:p>
        </w:tc>
        <w:tc>
          <w:tcPr>
            <w:tcW w:w="2520" w:type="dxa"/>
            <w:gridSpan w:val="3"/>
            <w:vAlign w:val="center"/>
          </w:tcPr>
          <w:p>
            <w:pPr>
              <w:spacing w:line="360" w:lineRule="auto"/>
              <w:jc w:val="center"/>
              <w:rPr>
                <w:rFonts w:ascii="宋体" w:hAnsi="宋体" w:cs="Arial"/>
                <w:bCs/>
                <w:szCs w:val="21"/>
              </w:rPr>
            </w:pPr>
          </w:p>
        </w:tc>
        <w:tc>
          <w:tcPr>
            <w:tcW w:w="5040" w:type="dxa"/>
            <w:gridSpan w:val="8"/>
            <w:vAlign w:val="center"/>
          </w:tcPr>
          <w:p>
            <w:pPr>
              <w:spacing w:line="360" w:lineRule="auto"/>
              <w:jc w:val="center"/>
              <w:rPr>
                <w:rFonts w:ascii="宋体" w:hAnsi="宋体" w:cs="Arial"/>
                <w:bCs/>
                <w:szCs w:val="21"/>
              </w:rPr>
            </w:pPr>
            <w:r>
              <w:rPr>
                <w:rFonts w:hint="eastAsia" w:ascii="宋体" w:hAnsi="宋体" w:cs="Arial"/>
                <w:bCs/>
                <w:szCs w:val="21"/>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企业资质等级</w:t>
            </w:r>
          </w:p>
        </w:tc>
        <w:tc>
          <w:tcPr>
            <w:tcW w:w="2520" w:type="dxa"/>
            <w:gridSpan w:val="3"/>
            <w:shd w:val="clear" w:color="auto" w:fill="auto"/>
            <w:vAlign w:val="center"/>
          </w:tcPr>
          <w:p>
            <w:pPr>
              <w:spacing w:line="360" w:lineRule="auto"/>
              <w:jc w:val="center"/>
              <w:rPr>
                <w:rFonts w:ascii="宋体" w:hAnsi="宋体" w:cs="Arial"/>
                <w:bCs/>
                <w:szCs w:val="21"/>
              </w:rPr>
            </w:pPr>
          </w:p>
        </w:tc>
        <w:tc>
          <w:tcPr>
            <w:tcW w:w="1680" w:type="dxa"/>
            <w:gridSpan w:val="2"/>
            <w:vMerge w:val="restart"/>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其中</w:t>
            </w:r>
          </w:p>
        </w:tc>
        <w:tc>
          <w:tcPr>
            <w:tcW w:w="168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项目经理</w:t>
            </w:r>
          </w:p>
        </w:tc>
        <w:tc>
          <w:tcPr>
            <w:tcW w:w="1680" w:type="dxa"/>
            <w:gridSpan w:val="3"/>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营业执照</w:t>
            </w:r>
            <w:r>
              <w:rPr>
                <w:rFonts w:hint="eastAsia" w:ascii="宋体" w:hAnsi="宋体"/>
              </w:rPr>
              <w:t>号</w:t>
            </w:r>
          </w:p>
        </w:tc>
        <w:tc>
          <w:tcPr>
            <w:tcW w:w="2520" w:type="dxa"/>
            <w:gridSpan w:val="3"/>
            <w:shd w:val="clear" w:color="auto" w:fill="auto"/>
            <w:vAlign w:val="center"/>
          </w:tcPr>
          <w:p>
            <w:pPr>
              <w:spacing w:line="360" w:lineRule="auto"/>
              <w:jc w:val="center"/>
              <w:rPr>
                <w:rFonts w:ascii="宋体" w:hAnsi="宋体" w:cs="Arial"/>
                <w:bCs/>
                <w:szCs w:val="21"/>
              </w:rPr>
            </w:pPr>
          </w:p>
        </w:tc>
        <w:tc>
          <w:tcPr>
            <w:tcW w:w="1680" w:type="dxa"/>
            <w:gridSpan w:val="2"/>
            <w:vMerge w:val="continue"/>
            <w:shd w:val="clear" w:color="auto" w:fill="auto"/>
            <w:vAlign w:val="center"/>
          </w:tcPr>
          <w:p>
            <w:pPr>
              <w:spacing w:line="360" w:lineRule="auto"/>
              <w:jc w:val="center"/>
              <w:rPr>
                <w:rFonts w:ascii="宋体" w:hAnsi="宋体" w:cs="Arial"/>
                <w:bCs/>
                <w:szCs w:val="21"/>
              </w:rPr>
            </w:pPr>
          </w:p>
        </w:tc>
        <w:tc>
          <w:tcPr>
            <w:tcW w:w="168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高级职称人员</w:t>
            </w:r>
          </w:p>
        </w:tc>
        <w:tc>
          <w:tcPr>
            <w:tcW w:w="1680" w:type="dxa"/>
            <w:gridSpan w:val="3"/>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注册资金</w:t>
            </w:r>
          </w:p>
        </w:tc>
        <w:tc>
          <w:tcPr>
            <w:tcW w:w="2520" w:type="dxa"/>
            <w:gridSpan w:val="3"/>
            <w:shd w:val="clear" w:color="auto" w:fill="auto"/>
            <w:vAlign w:val="center"/>
          </w:tcPr>
          <w:p>
            <w:pPr>
              <w:spacing w:line="360" w:lineRule="auto"/>
              <w:jc w:val="center"/>
              <w:rPr>
                <w:rFonts w:ascii="宋体" w:hAnsi="宋体" w:cs="Arial"/>
                <w:bCs/>
                <w:szCs w:val="21"/>
              </w:rPr>
            </w:pPr>
          </w:p>
        </w:tc>
        <w:tc>
          <w:tcPr>
            <w:tcW w:w="1680" w:type="dxa"/>
            <w:gridSpan w:val="2"/>
            <w:vMerge w:val="continue"/>
            <w:shd w:val="clear" w:color="auto" w:fill="auto"/>
            <w:vAlign w:val="center"/>
          </w:tcPr>
          <w:p>
            <w:pPr>
              <w:spacing w:line="360" w:lineRule="auto"/>
              <w:jc w:val="center"/>
              <w:rPr>
                <w:rFonts w:ascii="宋体" w:hAnsi="宋体" w:cs="Arial"/>
                <w:bCs/>
                <w:szCs w:val="21"/>
              </w:rPr>
            </w:pPr>
          </w:p>
        </w:tc>
        <w:tc>
          <w:tcPr>
            <w:tcW w:w="168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中级职称人员</w:t>
            </w:r>
          </w:p>
        </w:tc>
        <w:tc>
          <w:tcPr>
            <w:tcW w:w="1680" w:type="dxa"/>
            <w:gridSpan w:val="3"/>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开户银行</w:t>
            </w:r>
          </w:p>
        </w:tc>
        <w:tc>
          <w:tcPr>
            <w:tcW w:w="2520" w:type="dxa"/>
            <w:gridSpan w:val="3"/>
            <w:shd w:val="clear" w:color="auto" w:fill="auto"/>
            <w:vAlign w:val="center"/>
          </w:tcPr>
          <w:p>
            <w:pPr>
              <w:spacing w:line="360" w:lineRule="auto"/>
              <w:jc w:val="center"/>
              <w:rPr>
                <w:rFonts w:ascii="宋体" w:hAnsi="宋体" w:cs="Arial"/>
                <w:bCs/>
                <w:szCs w:val="21"/>
              </w:rPr>
            </w:pPr>
          </w:p>
        </w:tc>
        <w:tc>
          <w:tcPr>
            <w:tcW w:w="1680" w:type="dxa"/>
            <w:gridSpan w:val="2"/>
            <w:vMerge w:val="continue"/>
            <w:shd w:val="clear" w:color="auto" w:fill="auto"/>
            <w:vAlign w:val="center"/>
          </w:tcPr>
          <w:p>
            <w:pPr>
              <w:spacing w:line="360" w:lineRule="auto"/>
              <w:jc w:val="center"/>
              <w:rPr>
                <w:rFonts w:ascii="宋体" w:hAnsi="宋体" w:cs="Arial"/>
                <w:bCs/>
                <w:szCs w:val="21"/>
              </w:rPr>
            </w:pPr>
          </w:p>
        </w:tc>
        <w:tc>
          <w:tcPr>
            <w:tcW w:w="168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初级职称人员</w:t>
            </w:r>
          </w:p>
        </w:tc>
        <w:tc>
          <w:tcPr>
            <w:tcW w:w="1680" w:type="dxa"/>
            <w:gridSpan w:val="3"/>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账号</w:t>
            </w:r>
          </w:p>
        </w:tc>
        <w:tc>
          <w:tcPr>
            <w:tcW w:w="2520" w:type="dxa"/>
            <w:gridSpan w:val="3"/>
            <w:shd w:val="clear" w:color="auto" w:fill="auto"/>
            <w:vAlign w:val="center"/>
          </w:tcPr>
          <w:p>
            <w:pPr>
              <w:spacing w:line="360" w:lineRule="auto"/>
              <w:jc w:val="center"/>
              <w:rPr>
                <w:rFonts w:ascii="宋体" w:hAnsi="宋体" w:cs="Arial"/>
                <w:bCs/>
                <w:szCs w:val="21"/>
              </w:rPr>
            </w:pPr>
          </w:p>
        </w:tc>
        <w:tc>
          <w:tcPr>
            <w:tcW w:w="1680" w:type="dxa"/>
            <w:gridSpan w:val="2"/>
            <w:vMerge w:val="continue"/>
            <w:shd w:val="clear" w:color="auto" w:fill="auto"/>
            <w:vAlign w:val="center"/>
          </w:tcPr>
          <w:p>
            <w:pPr>
              <w:spacing w:line="360" w:lineRule="auto"/>
              <w:jc w:val="center"/>
              <w:rPr>
                <w:rFonts w:ascii="宋体" w:hAnsi="宋体" w:cs="Arial"/>
                <w:bCs/>
                <w:szCs w:val="21"/>
              </w:rPr>
            </w:pPr>
          </w:p>
        </w:tc>
        <w:tc>
          <w:tcPr>
            <w:tcW w:w="1680" w:type="dxa"/>
            <w:gridSpan w:val="3"/>
            <w:shd w:val="clear" w:color="auto" w:fill="auto"/>
            <w:vAlign w:val="center"/>
          </w:tcPr>
          <w:p>
            <w:pPr>
              <w:spacing w:line="360" w:lineRule="auto"/>
              <w:jc w:val="center"/>
              <w:rPr>
                <w:rFonts w:ascii="宋体" w:hAnsi="宋体" w:cs="Arial"/>
                <w:bCs/>
                <w:szCs w:val="21"/>
              </w:rPr>
            </w:pPr>
            <w:r>
              <w:rPr>
                <w:rFonts w:hint="eastAsia" w:ascii="宋体" w:hAnsi="宋体" w:cs="Arial"/>
                <w:bCs/>
                <w:szCs w:val="21"/>
              </w:rPr>
              <w:t>技工</w:t>
            </w:r>
          </w:p>
        </w:tc>
        <w:tc>
          <w:tcPr>
            <w:tcW w:w="1680" w:type="dxa"/>
            <w:gridSpan w:val="3"/>
            <w:shd w:val="clear" w:color="auto" w:fill="auto"/>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4"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经营范围</w:t>
            </w:r>
          </w:p>
        </w:tc>
        <w:tc>
          <w:tcPr>
            <w:tcW w:w="7560" w:type="dxa"/>
            <w:gridSpan w:val="11"/>
            <w:vAlign w:val="center"/>
          </w:tcPr>
          <w:p>
            <w:pPr>
              <w:spacing w:line="360" w:lineRule="auto"/>
              <w:jc w:val="center"/>
              <w:rPr>
                <w:rFonts w:ascii="宋体" w:hAnsi="宋体" w:cs="Arial"/>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620" w:type="dxa"/>
            <w:vAlign w:val="center"/>
          </w:tcPr>
          <w:p>
            <w:pPr>
              <w:spacing w:line="360" w:lineRule="auto"/>
              <w:jc w:val="center"/>
              <w:rPr>
                <w:rFonts w:ascii="宋体" w:hAnsi="宋体" w:cs="Arial"/>
                <w:bCs/>
                <w:szCs w:val="21"/>
              </w:rPr>
            </w:pPr>
            <w:r>
              <w:rPr>
                <w:rFonts w:hint="eastAsia" w:ascii="宋体" w:hAnsi="宋体" w:cs="Arial"/>
                <w:bCs/>
                <w:szCs w:val="21"/>
              </w:rPr>
              <w:t>备注</w:t>
            </w:r>
          </w:p>
        </w:tc>
        <w:tc>
          <w:tcPr>
            <w:tcW w:w="7560" w:type="dxa"/>
            <w:gridSpan w:val="11"/>
            <w:vAlign w:val="center"/>
          </w:tcPr>
          <w:p>
            <w:pPr>
              <w:spacing w:line="360" w:lineRule="auto"/>
              <w:jc w:val="center"/>
              <w:rPr>
                <w:rFonts w:ascii="宋体" w:hAnsi="宋体" w:cs="Arial"/>
                <w:bCs/>
                <w:szCs w:val="21"/>
              </w:rPr>
            </w:pPr>
          </w:p>
        </w:tc>
      </w:tr>
    </w:tbl>
    <w:p>
      <w:pPr>
        <w:adjustRightInd w:val="0"/>
        <w:spacing w:line="360" w:lineRule="auto"/>
        <w:jc w:val="left"/>
        <w:rPr>
          <w:rFonts w:ascii="宋体" w:hAnsi="宋体"/>
          <w:sz w:val="24"/>
        </w:rPr>
      </w:pPr>
      <w:r>
        <w:rPr>
          <w:rFonts w:hint="eastAsia" w:ascii="宋体" w:hAnsi="宋体"/>
          <w:sz w:val="24"/>
        </w:rPr>
        <w:t>供应商名称：XXX（盖单位公章）</w:t>
      </w:r>
    </w:p>
    <w:p>
      <w:pPr>
        <w:adjustRightInd w:val="0"/>
        <w:spacing w:line="360" w:lineRule="auto"/>
        <w:jc w:val="left"/>
        <w:rPr>
          <w:rFonts w:ascii="宋体" w:hAnsi="宋体"/>
          <w:bCs/>
          <w:sz w:val="24"/>
        </w:rPr>
      </w:pPr>
      <w:r>
        <w:rPr>
          <w:rFonts w:hint="eastAsia" w:ascii="宋体" w:hAnsi="宋体"/>
          <w:bCs/>
          <w:sz w:val="24"/>
        </w:rPr>
        <w:t>法定代表人/单位负责人或授权代表</w:t>
      </w:r>
      <w:r>
        <w:rPr>
          <w:rFonts w:hint="eastAsia" w:ascii="宋体" w:hAnsi="宋体"/>
          <w:sz w:val="24"/>
        </w:rPr>
        <w:t>（签字或加盖个人印章）</w:t>
      </w:r>
      <w:r>
        <w:rPr>
          <w:rFonts w:hint="eastAsia" w:ascii="宋体" w:hAnsi="宋体"/>
          <w:bCs/>
          <w:sz w:val="24"/>
        </w:rPr>
        <w:t>：XXX</w:t>
      </w:r>
    </w:p>
    <w:p>
      <w:pPr>
        <w:adjustRightInd w:val="0"/>
        <w:spacing w:line="360" w:lineRule="auto"/>
        <w:jc w:val="left"/>
        <w:rPr>
          <w:rFonts w:ascii="宋体" w:hAnsi="宋体"/>
          <w:bCs/>
          <w:sz w:val="24"/>
        </w:rPr>
      </w:pPr>
      <w:r>
        <w:rPr>
          <w:rFonts w:hint="eastAsia" w:ascii="宋体" w:hAnsi="宋体"/>
          <w:bCs/>
          <w:sz w:val="24"/>
        </w:rPr>
        <w:t>日  期：XXX年XXX月XXX日</w:t>
      </w:r>
    </w:p>
    <w:p>
      <w:pPr>
        <w:widowControl/>
        <w:jc w:val="left"/>
        <w:rPr>
          <w:rFonts w:ascii="宋体" w:hAnsi="宋体"/>
          <w:b/>
          <w:sz w:val="28"/>
          <w:szCs w:val="28"/>
        </w:rPr>
      </w:pPr>
    </w:p>
    <w:p>
      <w:pPr>
        <w:adjustRightInd w:val="0"/>
        <w:spacing w:line="360" w:lineRule="auto"/>
        <w:jc w:val="left"/>
        <w:rPr>
          <w:rFonts w:ascii="宋体" w:hAnsi="宋体"/>
          <w:sz w:val="24"/>
        </w:rPr>
      </w:pPr>
      <w:r>
        <w:rPr>
          <w:rFonts w:hint="eastAsia" w:ascii="宋体" w:hAnsi="宋体"/>
          <w:sz w:val="24"/>
        </w:rPr>
        <w:t>注</w:t>
      </w:r>
      <w:r>
        <w:rPr>
          <w:rFonts w:ascii="宋体" w:hAnsi="宋体"/>
          <w:sz w:val="24"/>
        </w:rPr>
        <w:t>：联合体投标的</w:t>
      </w:r>
      <w:r>
        <w:rPr>
          <w:rFonts w:hint="eastAsia" w:ascii="宋体" w:hAnsi="宋体"/>
          <w:sz w:val="24"/>
        </w:rPr>
        <w:t>各方</w:t>
      </w:r>
      <w:r>
        <w:rPr>
          <w:rFonts w:ascii="宋体" w:hAnsi="宋体"/>
          <w:sz w:val="24"/>
        </w:rPr>
        <w:t>均需提供</w:t>
      </w:r>
      <w:r>
        <w:rPr>
          <w:rFonts w:hint="eastAsia" w:ascii="宋体" w:hAnsi="宋体"/>
          <w:sz w:val="24"/>
        </w:rPr>
        <w:t>。</w:t>
      </w:r>
    </w:p>
    <w:p>
      <w:pPr>
        <w:widowControl/>
        <w:jc w:val="left"/>
        <w:rPr>
          <w:rFonts w:ascii="宋体" w:hAnsi="宋体"/>
          <w:b/>
          <w:sz w:val="28"/>
          <w:szCs w:val="28"/>
        </w:rPr>
      </w:pPr>
    </w:p>
    <w:p>
      <w:pPr>
        <w:spacing w:line="360" w:lineRule="auto"/>
        <w:rPr>
          <w:rFonts w:ascii="宋体" w:hAnsi="宋体"/>
          <w:b/>
          <w:sz w:val="28"/>
          <w:szCs w:val="28"/>
        </w:rPr>
      </w:pPr>
      <w:r>
        <w:rPr>
          <w:rFonts w:hint="eastAsia" w:ascii="宋体" w:hAnsi="宋体"/>
          <w:b/>
          <w:sz w:val="28"/>
          <w:szCs w:val="28"/>
        </w:rPr>
        <w:t>格式2-</w:t>
      </w:r>
      <w:r>
        <w:rPr>
          <w:rFonts w:ascii="宋体" w:hAnsi="宋体"/>
          <w:b/>
          <w:sz w:val="28"/>
          <w:szCs w:val="28"/>
        </w:rPr>
        <w:t>6</w:t>
      </w:r>
    </w:p>
    <w:p>
      <w:pPr>
        <w:spacing w:line="360" w:lineRule="auto"/>
        <w:jc w:val="center"/>
        <w:rPr>
          <w:rFonts w:ascii="宋体" w:hAnsi="宋体"/>
          <w:b/>
          <w:bCs/>
          <w:sz w:val="32"/>
          <w:szCs w:val="32"/>
        </w:rPr>
      </w:pPr>
      <w:r>
        <w:rPr>
          <w:rFonts w:hint="eastAsia" w:ascii="宋体" w:hAnsi="宋体"/>
          <w:b/>
          <w:bCs/>
          <w:sz w:val="32"/>
          <w:szCs w:val="32"/>
        </w:rPr>
        <w:t>五、商务要求应答表</w:t>
      </w:r>
    </w:p>
    <w:tbl>
      <w:tblPr>
        <w:tblStyle w:val="39"/>
        <w:tblW w:w="8925" w:type="dxa"/>
        <w:tblInd w:w="0" w:type="dxa"/>
        <w:tblLayout w:type="fixed"/>
        <w:tblCellMar>
          <w:top w:w="0" w:type="dxa"/>
          <w:left w:w="108" w:type="dxa"/>
          <w:bottom w:w="0" w:type="dxa"/>
          <w:right w:w="108" w:type="dxa"/>
        </w:tblCellMar>
      </w:tblPr>
      <w:tblGrid>
        <w:gridCol w:w="876"/>
        <w:gridCol w:w="2990"/>
        <w:gridCol w:w="3641"/>
        <w:gridCol w:w="1418"/>
      </w:tblGrid>
      <w:tr>
        <w:tblPrEx>
          <w:tblCellMar>
            <w:top w:w="0" w:type="dxa"/>
            <w:left w:w="108" w:type="dxa"/>
            <w:bottom w:w="0" w:type="dxa"/>
            <w:right w:w="108" w:type="dxa"/>
          </w:tblCellMar>
        </w:tblPrEx>
        <w:trPr>
          <w:trHeight w:val="664"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序号</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项目</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响应内容</w:t>
            </w: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备注</w:t>
            </w:r>
          </w:p>
        </w:tc>
      </w:tr>
      <w:tr>
        <w:tblPrEx>
          <w:tblCellMar>
            <w:top w:w="0" w:type="dxa"/>
            <w:left w:w="108" w:type="dxa"/>
            <w:bottom w:w="0" w:type="dxa"/>
            <w:right w:w="108" w:type="dxa"/>
          </w:tblCellMar>
        </w:tblPrEx>
        <w:trPr>
          <w:trHeight w:val="655"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1</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项目负责人（项目经理）</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Arial"/>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551"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2</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设计负责人</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86"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3</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施工技术负责人</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82" w:rightChars="-39"/>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677"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4</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工期</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5</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缺陷责任期</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6</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交货时间及地点</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7</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r>
              <w:rPr>
                <w:rFonts w:hint="eastAsia" w:ascii="宋体" w:hAnsi="宋体" w:cs="MingLiU"/>
                <w:kern w:val="0"/>
              </w:rPr>
              <w:t>付款方式</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622"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8</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r>
              <w:rPr>
                <w:rFonts w:hint="eastAsia" w:ascii="宋体" w:hAnsi="宋体" w:cs="MingLiU"/>
                <w:kern w:val="0"/>
              </w:rPr>
              <w:t>安装调试及培训</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02"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9</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r>
              <w:rPr>
                <w:rFonts w:hint="eastAsia" w:ascii="宋体" w:hAnsi="宋体" w:cs="MingLiU"/>
                <w:kern w:val="0"/>
              </w:rPr>
              <w:t>售后</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02"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10</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r>
              <w:rPr>
                <w:rFonts w:hint="eastAsia" w:ascii="宋体" w:hAnsi="宋体" w:cs="MingLiU"/>
                <w:kern w:val="0"/>
              </w:rPr>
              <w:t>验收</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02" w:hRule="atLeast"/>
        </w:trPr>
        <w:tc>
          <w:tcPr>
            <w:tcW w:w="876"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11</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r>
              <w:rPr>
                <w:rFonts w:ascii="宋体" w:hAnsi="宋体" w:cs="MingLiU"/>
                <w:kern w:val="0"/>
              </w:rPr>
              <w:t>………</w:t>
            </w: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1418"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bl>
    <w:p>
      <w:pPr>
        <w:spacing w:line="360" w:lineRule="auto"/>
        <w:ind w:firstLine="482" w:firstLineChars="200"/>
        <w:rPr>
          <w:rFonts w:ascii="宋体" w:hAnsi="宋体"/>
          <w:b/>
          <w:sz w:val="24"/>
        </w:rPr>
      </w:pPr>
    </w:p>
    <w:p>
      <w:pPr>
        <w:spacing w:line="360" w:lineRule="auto"/>
        <w:ind w:firstLine="480" w:firstLineChars="200"/>
        <w:rPr>
          <w:rFonts w:ascii="宋体" w:hAnsi="宋体"/>
          <w:b/>
          <w:sz w:val="24"/>
        </w:rPr>
      </w:pPr>
      <w:r>
        <w:rPr>
          <w:rFonts w:hint="eastAsia" w:ascii="宋体" w:hAnsi="宋体"/>
          <w:sz w:val="24"/>
        </w:rPr>
        <w:t>注：供应商必须根据磋商文件要求据实逐条填写，不得虚假响应，虚假响应的，其响应文件无效并按规定追究其相关责任。</w:t>
      </w:r>
    </w:p>
    <w:p>
      <w:pPr>
        <w:adjustRightInd w:val="0"/>
        <w:spacing w:line="360" w:lineRule="auto"/>
        <w:ind w:firstLine="480" w:firstLineChars="200"/>
        <w:jc w:val="left"/>
        <w:rPr>
          <w:rFonts w:ascii="宋体" w:hAnsi="宋体"/>
          <w:sz w:val="24"/>
        </w:rPr>
      </w:pPr>
    </w:p>
    <w:p>
      <w:pPr>
        <w:adjustRightInd w:val="0"/>
        <w:spacing w:line="360" w:lineRule="auto"/>
        <w:ind w:firstLine="480" w:firstLineChars="200"/>
        <w:jc w:val="left"/>
        <w:rPr>
          <w:rFonts w:ascii="宋体" w:hAnsi="宋体"/>
          <w:sz w:val="24"/>
        </w:rPr>
      </w:pPr>
      <w:r>
        <w:rPr>
          <w:rFonts w:hint="eastAsia" w:ascii="宋体" w:hAnsi="宋体"/>
          <w:sz w:val="24"/>
        </w:rPr>
        <w:t>供应商名称：XXX（盖单位公章）</w:t>
      </w:r>
    </w:p>
    <w:p>
      <w:pPr>
        <w:adjustRightInd w:val="0"/>
        <w:spacing w:line="360" w:lineRule="auto"/>
        <w:ind w:firstLine="480" w:firstLineChars="200"/>
        <w:jc w:val="left"/>
        <w:rPr>
          <w:rFonts w:ascii="宋体" w:hAnsi="宋体"/>
          <w:bCs/>
          <w:sz w:val="24"/>
        </w:rPr>
      </w:pPr>
      <w:r>
        <w:rPr>
          <w:rFonts w:hint="eastAsia" w:ascii="宋体" w:hAnsi="宋体"/>
          <w:bCs/>
          <w:sz w:val="24"/>
        </w:rPr>
        <w:t>法定代表人/单位负责人或授权代表</w:t>
      </w:r>
      <w:r>
        <w:rPr>
          <w:rFonts w:hint="eastAsia" w:ascii="宋体" w:hAnsi="宋体"/>
          <w:sz w:val="24"/>
        </w:rPr>
        <w:t>（签字或加盖个人印章）</w:t>
      </w:r>
      <w:r>
        <w:rPr>
          <w:rFonts w:hint="eastAsia" w:ascii="宋体" w:hAnsi="宋体"/>
          <w:bCs/>
          <w:sz w:val="24"/>
        </w:rPr>
        <w:t>：XXX</w:t>
      </w:r>
    </w:p>
    <w:p>
      <w:pPr>
        <w:adjustRightInd w:val="0"/>
        <w:spacing w:line="360" w:lineRule="auto"/>
        <w:ind w:firstLine="540" w:firstLineChars="225"/>
        <w:jc w:val="left"/>
        <w:rPr>
          <w:rFonts w:ascii="宋体" w:hAnsi="宋体"/>
          <w:bCs/>
          <w:sz w:val="24"/>
        </w:rPr>
      </w:pPr>
      <w:r>
        <w:rPr>
          <w:rFonts w:hint="eastAsia" w:ascii="宋体" w:hAnsi="宋体"/>
          <w:bCs/>
          <w:sz w:val="24"/>
        </w:rPr>
        <w:t>日  期</w:t>
      </w:r>
      <w:r>
        <w:rPr>
          <w:rFonts w:hint="eastAsia" w:ascii="宋体" w:hAnsi="宋体"/>
          <w:sz w:val="24"/>
        </w:rPr>
        <w:t>：</w:t>
      </w:r>
      <w:r>
        <w:rPr>
          <w:rFonts w:hint="eastAsia" w:ascii="宋体" w:hAnsi="宋体"/>
          <w:bCs/>
          <w:sz w:val="24"/>
        </w:rPr>
        <w:t>XXX年XXX月XXX日</w:t>
      </w:r>
    </w:p>
    <w:p>
      <w:pPr>
        <w:spacing w:line="360" w:lineRule="auto"/>
        <w:rPr>
          <w:rFonts w:ascii="宋体" w:hAnsi="宋体"/>
        </w:rPr>
      </w:pPr>
    </w:p>
    <w:p>
      <w:pPr>
        <w:widowControl/>
        <w:jc w:val="left"/>
        <w:rPr>
          <w:rFonts w:ascii="宋体" w:hAnsi="宋体"/>
        </w:rPr>
      </w:pPr>
      <w:r>
        <w:rPr>
          <w:rFonts w:ascii="宋体" w:hAnsi="宋体"/>
        </w:rPr>
        <w:br w:type="page"/>
      </w:r>
    </w:p>
    <w:p>
      <w:pPr>
        <w:rPr>
          <w:rFonts w:ascii="宋体" w:hAnsi="宋体"/>
          <w:b/>
          <w:sz w:val="28"/>
          <w:szCs w:val="28"/>
        </w:rPr>
      </w:pPr>
      <w:r>
        <w:rPr>
          <w:rFonts w:hint="eastAsia" w:ascii="宋体" w:hAnsi="宋体"/>
          <w:b/>
          <w:sz w:val="28"/>
          <w:szCs w:val="28"/>
        </w:rPr>
        <w:t>格式2-</w:t>
      </w:r>
      <w:r>
        <w:rPr>
          <w:rFonts w:ascii="宋体" w:hAnsi="宋体"/>
          <w:b/>
          <w:sz w:val="28"/>
          <w:szCs w:val="28"/>
        </w:rPr>
        <w:t>7</w:t>
      </w:r>
    </w:p>
    <w:p>
      <w:pPr>
        <w:spacing w:line="360" w:lineRule="auto"/>
        <w:jc w:val="center"/>
        <w:rPr>
          <w:rFonts w:ascii="宋体" w:hAnsi="宋体"/>
          <w:b/>
          <w:bCs/>
          <w:sz w:val="32"/>
          <w:szCs w:val="32"/>
        </w:rPr>
      </w:pPr>
    </w:p>
    <w:p>
      <w:pPr>
        <w:spacing w:line="360" w:lineRule="auto"/>
        <w:jc w:val="center"/>
        <w:rPr>
          <w:rFonts w:ascii="宋体" w:hAnsi="宋体"/>
          <w:b/>
          <w:bCs/>
          <w:sz w:val="32"/>
          <w:szCs w:val="32"/>
        </w:rPr>
      </w:pPr>
      <w:r>
        <w:rPr>
          <w:rFonts w:hint="eastAsia" w:ascii="宋体" w:hAnsi="宋体"/>
          <w:b/>
          <w:bCs/>
          <w:sz w:val="32"/>
          <w:szCs w:val="32"/>
        </w:rPr>
        <w:t>六、技术应答表</w:t>
      </w:r>
    </w:p>
    <w:tbl>
      <w:tblPr>
        <w:tblStyle w:val="39"/>
        <w:tblW w:w="9801" w:type="dxa"/>
        <w:tblInd w:w="0" w:type="dxa"/>
        <w:tblLayout w:type="fixed"/>
        <w:tblCellMar>
          <w:top w:w="0" w:type="dxa"/>
          <w:left w:w="108" w:type="dxa"/>
          <w:bottom w:w="0" w:type="dxa"/>
          <w:right w:w="108" w:type="dxa"/>
        </w:tblCellMar>
      </w:tblPr>
      <w:tblGrid>
        <w:gridCol w:w="877"/>
        <w:gridCol w:w="2990"/>
        <w:gridCol w:w="3641"/>
        <w:gridCol w:w="2293"/>
      </w:tblGrid>
      <w:tr>
        <w:tblPrEx>
          <w:tblCellMar>
            <w:top w:w="0" w:type="dxa"/>
            <w:left w:w="108" w:type="dxa"/>
            <w:bottom w:w="0" w:type="dxa"/>
            <w:right w:w="108" w:type="dxa"/>
          </w:tblCellMar>
        </w:tblPrEx>
        <w:trPr>
          <w:trHeight w:val="664"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序号</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招标文件</w:t>
            </w:r>
            <w:r>
              <w:rPr>
                <w:rFonts w:ascii="宋体" w:hAnsi="宋体"/>
              </w:rPr>
              <w:t>要求</w:t>
            </w: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响应内容</w:t>
            </w: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是否偏离</w:t>
            </w:r>
          </w:p>
        </w:tc>
      </w:tr>
      <w:tr>
        <w:tblPrEx>
          <w:tblCellMar>
            <w:top w:w="0" w:type="dxa"/>
            <w:left w:w="108" w:type="dxa"/>
            <w:bottom w:w="0" w:type="dxa"/>
            <w:right w:w="108" w:type="dxa"/>
          </w:tblCellMar>
        </w:tblPrEx>
        <w:trPr>
          <w:trHeight w:val="655"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1</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cs="Arial"/>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551"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2</w:t>
            </w:r>
          </w:p>
        </w:tc>
        <w:tc>
          <w:tcPr>
            <w:tcW w:w="299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left"/>
              <w:rPr>
                <w:rFonts w:ascii="宋体" w:hAnsi="宋体"/>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86"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3</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ind w:right="-82" w:rightChars="-39"/>
              <w:rPr>
                <w:rFonts w:ascii="宋体" w:hAnsi="宋体"/>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677"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4</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5</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6</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808"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cs="Arial"/>
              </w:rPr>
            </w:pPr>
            <w:r>
              <w:rPr>
                <w:rFonts w:hint="eastAsia" w:ascii="宋体" w:hAnsi="宋体"/>
              </w:rPr>
              <w:t>7</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622"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8</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r>
        <w:tblPrEx>
          <w:tblCellMar>
            <w:top w:w="0" w:type="dxa"/>
            <w:left w:w="108" w:type="dxa"/>
            <w:bottom w:w="0" w:type="dxa"/>
            <w:right w:w="108" w:type="dxa"/>
          </w:tblCellMar>
        </w:tblPrEx>
        <w:trPr>
          <w:trHeight w:val="702" w:hRule="atLeast"/>
        </w:trPr>
        <w:tc>
          <w:tcPr>
            <w:tcW w:w="877" w:type="dxa"/>
            <w:tcBorders>
              <w:top w:val="single" w:color="auto" w:sz="4" w:space="0"/>
              <w:left w:val="single" w:color="auto" w:sz="4" w:space="0"/>
              <w:bottom w:val="single" w:color="auto" w:sz="4" w:space="0"/>
              <w:right w:val="single" w:color="auto" w:sz="4" w:space="0"/>
            </w:tcBorders>
            <w:vAlign w:val="center"/>
          </w:tcPr>
          <w:p>
            <w:pPr>
              <w:spacing w:line="360" w:lineRule="auto"/>
              <w:ind w:right="21" w:rightChars="10"/>
              <w:jc w:val="center"/>
              <w:rPr>
                <w:rFonts w:ascii="宋体" w:hAnsi="宋体"/>
              </w:rPr>
            </w:pPr>
            <w:r>
              <w:rPr>
                <w:rFonts w:hint="eastAsia" w:ascii="宋体" w:hAnsi="宋体"/>
              </w:rPr>
              <w:t>9</w:t>
            </w:r>
          </w:p>
        </w:tc>
        <w:tc>
          <w:tcPr>
            <w:tcW w:w="2990"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MingLiU"/>
                <w:kern w:val="0"/>
              </w:rPr>
            </w:pPr>
          </w:p>
        </w:tc>
        <w:tc>
          <w:tcPr>
            <w:tcW w:w="364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p>
        </w:tc>
        <w:tc>
          <w:tcPr>
            <w:tcW w:w="2293" w:type="dxa"/>
            <w:tcBorders>
              <w:top w:val="single" w:color="auto" w:sz="4" w:space="0"/>
              <w:left w:val="nil"/>
              <w:bottom w:val="single" w:color="auto" w:sz="4" w:space="0"/>
              <w:right w:val="single" w:color="auto" w:sz="4" w:space="0"/>
            </w:tcBorders>
            <w:vAlign w:val="center"/>
          </w:tcPr>
          <w:p>
            <w:pPr>
              <w:spacing w:line="360" w:lineRule="auto"/>
              <w:ind w:right="21" w:rightChars="10"/>
              <w:jc w:val="center"/>
              <w:rPr>
                <w:rFonts w:ascii="宋体" w:hAnsi="宋体" w:cs="Arial"/>
              </w:rPr>
            </w:pPr>
          </w:p>
        </w:tc>
      </w:tr>
    </w:tbl>
    <w:p>
      <w:pPr>
        <w:spacing w:line="360" w:lineRule="auto"/>
        <w:ind w:firstLine="482" w:firstLineChars="200"/>
        <w:rPr>
          <w:rFonts w:ascii="宋体" w:hAnsi="宋体"/>
          <w:b/>
          <w:sz w:val="24"/>
        </w:rPr>
      </w:pPr>
    </w:p>
    <w:p>
      <w:pPr>
        <w:spacing w:line="360" w:lineRule="auto"/>
        <w:ind w:firstLine="480" w:firstLineChars="200"/>
        <w:rPr>
          <w:rFonts w:ascii="宋体" w:hAnsi="宋体"/>
          <w:b/>
          <w:sz w:val="24"/>
        </w:rPr>
      </w:pPr>
      <w:r>
        <w:rPr>
          <w:rFonts w:hint="eastAsia" w:ascii="宋体" w:hAnsi="宋体"/>
          <w:sz w:val="24"/>
        </w:rPr>
        <w:t>注：供应商必须根据磋商文件要求据实逐条填写，不得虚假响应，虚假响应的，其响应文件无效并按规定追究其相关责任。</w:t>
      </w:r>
    </w:p>
    <w:p>
      <w:pPr>
        <w:adjustRightInd w:val="0"/>
        <w:spacing w:line="360" w:lineRule="auto"/>
        <w:ind w:firstLine="480" w:firstLineChars="200"/>
        <w:jc w:val="left"/>
        <w:rPr>
          <w:rFonts w:ascii="宋体" w:hAnsi="宋体"/>
          <w:sz w:val="24"/>
        </w:rPr>
      </w:pPr>
    </w:p>
    <w:p>
      <w:pPr>
        <w:adjustRightInd w:val="0"/>
        <w:spacing w:line="360" w:lineRule="auto"/>
        <w:ind w:firstLine="480" w:firstLineChars="200"/>
        <w:jc w:val="left"/>
        <w:rPr>
          <w:rFonts w:ascii="宋体" w:hAnsi="宋体"/>
          <w:sz w:val="24"/>
        </w:rPr>
      </w:pPr>
      <w:r>
        <w:rPr>
          <w:rFonts w:hint="eastAsia" w:ascii="宋体" w:hAnsi="宋体"/>
          <w:sz w:val="24"/>
        </w:rPr>
        <w:t>供应商名称：XXX（盖单位公章）</w:t>
      </w:r>
    </w:p>
    <w:p>
      <w:pPr>
        <w:adjustRightInd w:val="0"/>
        <w:spacing w:line="360" w:lineRule="auto"/>
        <w:ind w:firstLine="480" w:firstLineChars="200"/>
        <w:jc w:val="left"/>
        <w:rPr>
          <w:rFonts w:ascii="宋体" w:hAnsi="宋体"/>
          <w:bCs/>
          <w:sz w:val="24"/>
        </w:rPr>
      </w:pPr>
      <w:r>
        <w:rPr>
          <w:rFonts w:hint="eastAsia" w:ascii="宋体" w:hAnsi="宋体"/>
          <w:bCs/>
          <w:sz w:val="24"/>
        </w:rPr>
        <w:t>法定代表人/单位负责人或授权代表</w:t>
      </w:r>
      <w:r>
        <w:rPr>
          <w:rFonts w:hint="eastAsia" w:ascii="宋体" w:hAnsi="宋体"/>
          <w:sz w:val="24"/>
        </w:rPr>
        <w:t>（签字或加盖个人印章）</w:t>
      </w:r>
      <w:r>
        <w:rPr>
          <w:rFonts w:hint="eastAsia" w:ascii="宋体" w:hAnsi="宋体"/>
          <w:bCs/>
          <w:sz w:val="24"/>
        </w:rPr>
        <w:t>：XXX</w:t>
      </w:r>
    </w:p>
    <w:p>
      <w:pPr>
        <w:adjustRightInd w:val="0"/>
        <w:spacing w:line="360" w:lineRule="auto"/>
        <w:ind w:firstLine="540" w:firstLineChars="225"/>
        <w:jc w:val="left"/>
        <w:rPr>
          <w:rFonts w:ascii="宋体" w:hAnsi="宋体"/>
          <w:bCs/>
          <w:sz w:val="24"/>
        </w:rPr>
      </w:pPr>
      <w:r>
        <w:rPr>
          <w:rFonts w:hint="eastAsia" w:ascii="宋体" w:hAnsi="宋体"/>
          <w:bCs/>
          <w:sz w:val="24"/>
        </w:rPr>
        <w:t>日  期</w:t>
      </w:r>
      <w:r>
        <w:rPr>
          <w:rFonts w:hint="eastAsia" w:ascii="宋体" w:hAnsi="宋体"/>
          <w:sz w:val="24"/>
        </w:rPr>
        <w:t>：</w:t>
      </w:r>
      <w:r>
        <w:rPr>
          <w:rFonts w:hint="eastAsia" w:ascii="宋体" w:hAnsi="宋体"/>
          <w:bCs/>
          <w:sz w:val="24"/>
        </w:rPr>
        <w:t>XXX年XXX月XXX日</w:t>
      </w:r>
    </w:p>
    <w:p>
      <w:pPr>
        <w:spacing w:line="360" w:lineRule="auto"/>
        <w:rPr>
          <w:rFonts w:ascii="宋体" w:hAnsi="宋体"/>
        </w:rPr>
      </w:pPr>
    </w:p>
    <w:p>
      <w:pPr>
        <w:pStyle w:val="24"/>
        <w:tabs>
          <w:tab w:val="left" w:pos="0"/>
        </w:tabs>
        <w:spacing w:line="360" w:lineRule="auto"/>
        <w:ind w:left="0" w:leftChars="0"/>
        <w:rPr>
          <w:rFonts w:ascii="宋体" w:hAnsi="宋体"/>
        </w:rPr>
      </w:pPr>
    </w:p>
    <w:p>
      <w:pPr>
        <w:widowControl/>
        <w:jc w:val="left"/>
        <w:rPr>
          <w:rFonts w:ascii="宋体" w:hAnsi="宋体"/>
          <w:b/>
          <w:sz w:val="28"/>
          <w:szCs w:val="28"/>
        </w:rPr>
      </w:pPr>
      <w:r>
        <w:rPr>
          <w:rFonts w:ascii="宋体" w:hAnsi="宋体"/>
          <w:b/>
          <w:sz w:val="28"/>
          <w:szCs w:val="28"/>
        </w:rPr>
        <w:br w:type="page"/>
      </w:r>
    </w:p>
    <w:p>
      <w:pPr>
        <w:rPr>
          <w:rFonts w:ascii="宋体" w:hAnsi="宋体"/>
          <w:b/>
          <w:sz w:val="28"/>
          <w:szCs w:val="28"/>
        </w:rPr>
      </w:pPr>
      <w:r>
        <w:rPr>
          <w:rFonts w:hint="eastAsia" w:ascii="宋体" w:hAnsi="宋体"/>
          <w:b/>
          <w:sz w:val="28"/>
          <w:szCs w:val="28"/>
        </w:rPr>
        <w:t>格式2-</w:t>
      </w:r>
      <w:r>
        <w:rPr>
          <w:rFonts w:ascii="宋体" w:hAnsi="宋体"/>
          <w:b/>
          <w:sz w:val="28"/>
          <w:szCs w:val="28"/>
        </w:rPr>
        <w:t>8</w:t>
      </w:r>
    </w:p>
    <w:p>
      <w:pPr>
        <w:spacing w:line="360" w:lineRule="auto"/>
        <w:jc w:val="center"/>
        <w:rPr>
          <w:rFonts w:ascii="宋体" w:hAnsi="宋体"/>
          <w:b/>
          <w:bCs/>
          <w:sz w:val="32"/>
          <w:szCs w:val="32"/>
        </w:rPr>
      </w:pPr>
      <w:r>
        <w:rPr>
          <w:rFonts w:hint="eastAsia" w:ascii="宋体" w:hAnsi="宋体"/>
          <w:b/>
          <w:bCs/>
          <w:sz w:val="32"/>
          <w:szCs w:val="32"/>
        </w:rPr>
        <w:t>七、供应商类似项目业绩一览表</w:t>
      </w:r>
    </w:p>
    <w:p>
      <w:pPr>
        <w:spacing w:line="360" w:lineRule="auto"/>
        <w:rPr>
          <w:rFonts w:ascii="宋体" w:hAnsi="宋体" w:cs="Arial"/>
          <w:sz w:val="24"/>
        </w:rPr>
      </w:pPr>
    </w:p>
    <w:tbl>
      <w:tblPr>
        <w:tblStyle w:val="39"/>
        <w:tblW w:w="10343" w:type="dxa"/>
        <w:jc w:val="center"/>
        <w:tblLayout w:type="fixed"/>
        <w:tblCellMar>
          <w:top w:w="0" w:type="dxa"/>
          <w:left w:w="108" w:type="dxa"/>
          <w:bottom w:w="0" w:type="dxa"/>
          <w:right w:w="108" w:type="dxa"/>
        </w:tblCellMar>
      </w:tblPr>
      <w:tblGrid>
        <w:gridCol w:w="658"/>
        <w:gridCol w:w="1417"/>
        <w:gridCol w:w="1559"/>
        <w:gridCol w:w="1276"/>
        <w:gridCol w:w="1418"/>
        <w:gridCol w:w="1134"/>
        <w:gridCol w:w="1038"/>
        <w:gridCol w:w="993"/>
        <w:gridCol w:w="850"/>
      </w:tblGrid>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Arial"/>
                <w:kern w:val="0"/>
              </w:rPr>
            </w:pPr>
            <w:r>
              <w:rPr>
                <w:rFonts w:ascii="宋体" w:hAnsi="宋体"/>
                <w:kern w:val="0"/>
              </w:rPr>
              <w:t>序号</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ind w:left="-69" w:leftChars="-33" w:right="-94" w:rightChars="-45"/>
              <w:jc w:val="center"/>
              <w:rPr>
                <w:rFonts w:ascii="宋体" w:hAnsi="宋体" w:cs="Arial"/>
                <w:kern w:val="0"/>
              </w:rPr>
            </w:pPr>
            <w:r>
              <w:rPr>
                <w:rFonts w:hint="eastAsia" w:ascii="宋体" w:hAnsi="宋体"/>
                <w:kern w:val="0"/>
              </w:rPr>
              <w:t>项目业主</w:t>
            </w: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kern w:val="0"/>
              </w:rPr>
              <w:t>项目名称</w:t>
            </w: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cs="Arial"/>
                <w:kern w:val="0"/>
              </w:rPr>
              <w:t>工程类别</w:t>
            </w: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kern w:val="0"/>
              </w:rPr>
              <w:t>开工日期</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kern w:val="0"/>
              </w:rPr>
            </w:pPr>
            <w:r>
              <w:rPr>
                <w:rFonts w:hint="eastAsia" w:ascii="宋体" w:hAnsi="宋体"/>
                <w:kern w:val="0"/>
              </w:rPr>
              <w:t>竣工日期</w:t>
            </w:r>
          </w:p>
        </w:tc>
        <w:tc>
          <w:tcPr>
            <w:tcW w:w="1038" w:type="dxa"/>
            <w:tcBorders>
              <w:top w:val="single" w:color="auto" w:sz="4" w:space="0"/>
              <w:left w:val="nil"/>
              <w:bottom w:val="single" w:color="auto" w:sz="4" w:space="0"/>
              <w:right w:val="single" w:color="auto" w:sz="4" w:space="0"/>
            </w:tcBorders>
            <w:vAlign w:val="center"/>
          </w:tcPr>
          <w:p>
            <w:pPr>
              <w:widowControl/>
              <w:spacing w:line="360" w:lineRule="auto"/>
              <w:ind w:left="13" w:leftChars="-44" w:right="-94" w:rightChars="-45" w:hanging="105" w:hangingChars="50"/>
              <w:jc w:val="center"/>
              <w:rPr>
                <w:rFonts w:ascii="宋体" w:hAnsi="宋体" w:cs="Arial"/>
                <w:kern w:val="0"/>
              </w:rPr>
            </w:pPr>
            <w:r>
              <w:rPr>
                <w:rFonts w:hint="eastAsia" w:ascii="宋体" w:hAnsi="宋体"/>
                <w:kern w:val="0"/>
              </w:rPr>
              <w:t>建设规模</w:t>
            </w:r>
          </w:p>
        </w:tc>
        <w:tc>
          <w:tcPr>
            <w:tcW w:w="993"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宋体" w:hAnsi="宋体" w:cs="Arial"/>
                <w:kern w:val="0"/>
              </w:rPr>
            </w:pPr>
            <w:r>
              <w:rPr>
                <w:rFonts w:hint="eastAsia" w:ascii="宋体" w:hAnsi="宋体"/>
                <w:kern w:val="0"/>
              </w:rPr>
              <w:t>合同价格（元）</w:t>
            </w:r>
          </w:p>
        </w:tc>
        <w:tc>
          <w:tcPr>
            <w:tcW w:w="850" w:type="dxa"/>
            <w:tcBorders>
              <w:top w:val="single" w:color="auto" w:sz="4" w:space="0"/>
              <w:left w:val="nil"/>
              <w:bottom w:val="single" w:color="auto" w:sz="4" w:space="0"/>
              <w:right w:val="single" w:color="auto" w:sz="4" w:space="0"/>
            </w:tcBorders>
            <w:vAlign w:val="center"/>
          </w:tcPr>
          <w:p>
            <w:pPr>
              <w:widowControl/>
              <w:spacing w:line="360" w:lineRule="auto"/>
              <w:ind w:right="-94" w:rightChars="-45"/>
              <w:jc w:val="center"/>
              <w:rPr>
                <w:rFonts w:ascii="宋体" w:hAnsi="宋体"/>
                <w:kern w:val="0"/>
              </w:rPr>
            </w:pPr>
            <w:r>
              <w:rPr>
                <w:rFonts w:hint="eastAsia" w:ascii="宋体" w:hAnsi="宋体"/>
                <w:kern w:val="0"/>
              </w:rPr>
              <w:t>备注</w:t>
            </w:r>
          </w:p>
        </w:tc>
      </w:tr>
      <w:tr>
        <w:tblPrEx>
          <w:tblCellMar>
            <w:top w:w="0" w:type="dxa"/>
            <w:left w:w="108" w:type="dxa"/>
            <w:bottom w:w="0" w:type="dxa"/>
            <w:right w:w="108" w:type="dxa"/>
          </w:tblCellMar>
        </w:tblPrEx>
        <w:trPr>
          <w:trHeight w:val="601"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kern w:val="0"/>
              </w:rPr>
              <w:t>1</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03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99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850"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Arial"/>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kern w:val="0"/>
              </w:rPr>
              <w:t>2</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03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99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850"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Arial"/>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Arial"/>
                <w:kern w:val="0"/>
              </w:rPr>
            </w:pPr>
            <w:r>
              <w:rPr>
                <w:rFonts w:hint="eastAsia" w:ascii="宋体" w:hAnsi="宋体"/>
                <w:kern w:val="0"/>
              </w:rPr>
              <w:t>3</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03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99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850"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Arial"/>
                <w:kern w:val="0"/>
              </w:rPr>
            </w:pPr>
          </w:p>
        </w:tc>
      </w:tr>
      <w:tr>
        <w:tblPrEx>
          <w:tblCellMar>
            <w:top w:w="0" w:type="dxa"/>
            <w:left w:w="108" w:type="dxa"/>
            <w:bottom w:w="0" w:type="dxa"/>
            <w:right w:w="108" w:type="dxa"/>
          </w:tblCellMar>
        </w:tblPrEx>
        <w:trPr>
          <w:trHeight w:val="53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center"/>
              <w:rPr>
                <w:rFonts w:ascii="宋体" w:hAnsi="宋体" w:cs="Arial"/>
                <w:kern w:val="0"/>
              </w:rPr>
            </w:pPr>
            <w:r>
              <w:rPr>
                <w:rFonts w:ascii="宋体" w:hAnsi="宋体"/>
                <w:kern w:val="0"/>
              </w:rPr>
              <w:t>…</w:t>
            </w:r>
          </w:p>
        </w:tc>
        <w:tc>
          <w:tcPr>
            <w:tcW w:w="1417"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559"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276"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41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134"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1038"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993" w:type="dxa"/>
            <w:tcBorders>
              <w:top w:val="single" w:color="auto" w:sz="4" w:space="0"/>
              <w:left w:val="nil"/>
              <w:bottom w:val="single" w:color="auto" w:sz="4" w:space="0"/>
              <w:right w:val="single" w:color="auto" w:sz="4" w:space="0"/>
            </w:tcBorders>
            <w:vAlign w:val="center"/>
          </w:tcPr>
          <w:p>
            <w:pPr>
              <w:widowControl/>
              <w:spacing w:line="360" w:lineRule="auto"/>
              <w:jc w:val="center"/>
              <w:rPr>
                <w:rFonts w:ascii="宋体" w:hAnsi="宋体" w:cs="Arial"/>
                <w:kern w:val="0"/>
              </w:rPr>
            </w:pPr>
          </w:p>
        </w:tc>
        <w:tc>
          <w:tcPr>
            <w:tcW w:w="850" w:type="dxa"/>
            <w:tcBorders>
              <w:top w:val="single" w:color="auto" w:sz="4" w:space="0"/>
              <w:left w:val="nil"/>
              <w:bottom w:val="single" w:color="auto" w:sz="4" w:space="0"/>
              <w:right w:val="single" w:color="auto" w:sz="4" w:space="0"/>
            </w:tcBorders>
          </w:tcPr>
          <w:p>
            <w:pPr>
              <w:widowControl/>
              <w:spacing w:line="360" w:lineRule="auto"/>
              <w:jc w:val="center"/>
              <w:rPr>
                <w:rFonts w:ascii="宋体" w:hAnsi="宋体" w:cs="Arial"/>
                <w:kern w:val="0"/>
              </w:rPr>
            </w:pPr>
          </w:p>
        </w:tc>
      </w:tr>
    </w:tbl>
    <w:p>
      <w:pPr>
        <w:spacing w:line="360" w:lineRule="auto"/>
        <w:rPr>
          <w:rFonts w:ascii="宋体" w:hAnsi="宋体" w:cs="Arial"/>
          <w:sz w:val="24"/>
        </w:rPr>
      </w:pPr>
    </w:p>
    <w:p>
      <w:pPr>
        <w:spacing w:line="360" w:lineRule="auto"/>
        <w:rPr>
          <w:rFonts w:ascii="宋体" w:hAnsi="宋体" w:cs="Arial"/>
          <w:sz w:val="24"/>
        </w:rPr>
      </w:pPr>
    </w:p>
    <w:p>
      <w:pPr>
        <w:spacing w:line="360" w:lineRule="auto"/>
        <w:rPr>
          <w:rFonts w:ascii="宋体" w:hAnsi="宋体" w:cs="Arial"/>
          <w:sz w:val="24"/>
        </w:rPr>
      </w:pPr>
    </w:p>
    <w:p>
      <w:pPr>
        <w:spacing w:line="360" w:lineRule="auto"/>
        <w:rPr>
          <w:rFonts w:ascii="宋体" w:hAnsi="宋体" w:cs="Arial"/>
          <w:sz w:val="24"/>
        </w:rPr>
      </w:pPr>
    </w:p>
    <w:p>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p>
    <w:p>
      <w:pPr>
        <w:spacing w:line="360" w:lineRule="auto"/>
        <w:ind w:left="360"/>
        <w:jc w:val="center"/>
        <w:rPr>
          <w:rFonts w:ascii="宋体" w:hAnsi="宋体" w:cs="Arial"/>
          <w:sz w:val="24"/>
        </w:rPr>
      </w:pPr>
    </w:p>
    <w:p>
      <w:pPr>
        <w:spacing w:line="360" w:lineRule="auto"/>
        <w:jc w:val="left"/>
        <w:rPr>
          <w:rFonts w:ascii="宋体" w:hAnsi="宋体" w:cs="Arial"/>
        </w:rPr>
      </w:pPr>
    </w:p>
    <w:p>
      <w:pPr>
        <w:spacing w:line="360" w:lineRule="auto"/>
        <w:ind w:firstLine="480" w:firstLineChars="200"/>
        <w:jc w:val="left"/>
        <w:rPr>
          <w:rFonts w:ascii="宋体" w:hAnsi="宋体"/>
          <w:sz w:val="24"/>
        </w:rPr>
      </w:pPr>
      <w:r>
        <w:rPr>
          <w:rFonts w:hint="eastAsia" w:ascii="宋体" w:hAnsi="宋体"/>
          <w:sz w:val="24"/>
        </w:rPr>
        <w:t>供应商名称：XXXX（盖单位公章）</w:t>
      </w:r>
    </w:p>
    <w:p>
      <w:pPr>
        <w:spacing w:line="360" w:lineRule="auto"/>
        <w:ind w:firstLine="480" w:firstLineChars="200"/>
        <w:jc w:val="left"/>
        <w:rPr>
          <w:rFonts w:ascii="宋体" w:hAnsi="宋体"/>
          <w:sz w:val="24"/>
        </w:rPr>
      </w:pPr>
      <w:r>
        <w:rPr>
          <w:rFonts w:hint="eastAsia" w:ascii="宋体" w:hAnsi="宋体"/>
          <w:sz w:val="24"/>
        </w:rPr>
        <w:t>法定代表人/单位负责人或授权代表（签字或加盖个人印章）：XXXX</w:t>
      </w:r>
    </w:p>
    <w:p>
      <w:pPr>
        <w:spacing w:line="360" w:lineRule="auto"/>
        <w:ind w:firstLine="480" w:firstLineChars="200"/>
        <w:jc w:val="left"/>
        <w:rPr>
          <w:rFonts w:ascii="宋体" w:hAnsi="宋体"/>
          <w:sz w:val="24"/>
        </w:rPr>
      </w:pPr>
      <w:r>
        <w:rPr>
          <w:rFonts w:hint="eastAsia" w:ascii="宋体" w:hAnsi="宋体"/>
          <w:sz w:val="24"/>
        </w:rPr>
        <w:t>日期: XXXX</w:t>
      </w:r>
    </w:p>
    <w:p>
      <w:pPr>
        <w:widowControl/>
        <w:jc w:val="left"/>
        <w:rPr>
          <w:rFonts w:ascii="宋体" w:hAnsi="宋体"/>
          <w:sz w:val="24"/>
        </w:rPr>
      </w:pPr>
      <w:r>
        <w:rPr>
          <w:rFonts w:ascii="宋体" w:hAnsi="宋体"/>
          <w:sz w:val="24"/>
        </w:rPr>
        <w:br w:type="page"/>
      </w:r>
    </w:p>
    <w:p>
      <w:pPr>
        <w:spacing w:line="360" w:lineRule="auto"/>
        <w:rPr>
          <w:rFonts w:ascii="宋体" w:hAnsi="宋体"/>
          <w:b/>
          <w:sz w:val="28"/>
          <w:szCs w:val="28"/>
        </w:rPr>
      </w:pPr>
      <w:r>
        <w:rPr>
          <w:rFonts w:hint="eastAsia" w:ascii="宋体" w:hAnsi="宋体"/>
          <w:b/>
          <w:sz w:val="28"/>
          <w:szCs w:val="28"/>
        </w:rPr>
        <w:t>格式2-</w:t>
      </w:r>
      <w:r>
        <w:rPr>
          <w:rFonts w:ascii="宋体" w:hAnsi="宋体"/>
          <w:b/>
          <w:sz w:val="28"/>
          <w:szCs w:val="28"/>
        </w:rPr>
        <w:t>9</w:t>
      </w:r>
    </w:p>
    <w:p>
      <w:pPr>
        <w:spacing w:line="360" w:lineRule="auto"/>
        <w:jc w:val="center"/>
        <w:rPr>
          <w:rFonts w:ascii="宋体" w:hAnsi="宋体" w:cs="Arial"/>
          <w:b/>
          <w:bCs/>
          <w:sz w:val="32"/>
          <w:szCs w:val="32"/>
        </w:rPr>
      </w:pPr>
      <w:r>
        <w:rPr>
          <w:rFonts w:hint="eastAsia" w:ascii="宋体" w:hAnsi="宋体" w:cs="Arial"/>
          <w:b/>
          <w:bCs/>
          <w:sz w:val="32"/>
          <w:szCs w:val="32"/>
        </w:rPr>
        <w:t>八、供应商类似项目业绩情况表</w:t>
      </w:r>
    </w:p>
    <w:p>
      <w:pPr>
        <w:spacing w:line="360" w:lineRule="auto"/>
        <w:rPr>
          <w:rFonts w:ascii="宋体" w:hAnsi="宋体"/>
          <w:sz w:val="24"/>
        </w:rPr>
      </w:pPr>
    </w:p>
    <w:tbl>
      <w:tblPr>
        <w:tblStyle w:val="39"/>
        <w:tblW w:w="9530" w:type="dxa"/>
        <w:jc w:val="center"/>
        <w:tblLayout w:type="fixed"/>
        <w:tblCellMar>
          <w:top w:w="0" w:type="dxa"/>
          <w:left w:w="108" w:type="dxa"/>
          <w:bottom w:w="0" w:type="dxa"/>
          <w:right w:w="108" w:type="dxa"/>
        </w:tblCellMar>
      </w:tblPr>
      <w:tblGrid>
        <w:gridCol w:w="677"/>
        <w:gridCol w:w="8853"/>
      </w:tblGrid>
      <w:tr>
        <w:tblPrEx>
          <w:tblCellMar>
            <w:top w:w="0" w:type="dxa"/>
            <w:left w:w="108" w:type="dxa"/>
            <w:bottom w:w="0" w:type="dxa"/>
            <w:right w:w="108" w:type="dxa"/>
          </w:tblCellMar>
        </w:tblPrEx>
        <w:trPr>
          <w:cantSplit/>
          <w:trHeight w:val="638" w:hRule="atLeast"/>
          <w:jc w:val="center"/>
        </w:trPr>
        <w:tc>
          <w:tcPr>
            <w:tcW w:w="677" w:type="dxa"/>
            <w:vMerge w:val="restart"/>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1</w:t>
            </w: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Arial"/>
              </w:rPr>
            </w:pPr>
            <w:r>
              <w:rPr>
                <w:rFonts w:hint="eastAsia" w:ascii="宋体" w:hAnsi="宋体"/>
              </w:rPr>
              <w:t>合同名称：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Arial"/>
              </w:rPr>
            </w:pPr>
            <w:r>
              <w:rPr>
                <w:rFonts w:hint="eastAsia" w:ascii="宋体" w:hAnsi="宋体"/>
              </w:rPr>
              <w:t>业主名称：</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rPr>
            </w:pPr>
          </w:p>
        </w:tc>
        <w:tc>
          <w:tcPr>
            <w:tcW w:w="8853" w:type="dxa"/>
            <w:tcBorders>
              <w:top w:val="single" w:color="auto" w:sz="4" w:space="0"/>
              <w:left w:val="nil"/>
              <w:bottom w:val="single" w:color="auto" w:sz="4" w:space="0"/>
              <w:right w:val="single" w:color="auto" w:sz="4" w:space="0"/>
            </w:tcBorders>
            <w:vAlign w:val="center"/>
          </w:tcPr>
          <w:p>
            <w:pPr>
              <w:spacing w:line="360" w:lineRule="auto"/>
              <w:rPr>
                <w:rFonts w:ascii="宋体" w:hAnsi="宋体" w:cs="Arial"/>
              </w:rPr>
            </w:pPr>
            <w:r>
              <w:rPr>
                <w:rFonts w:hint="eastAsia" w:ascii="宋体" w:hAnsi="宋体"/>
              </w:rPr>
              <w:t>合同价格：</w:t>
            </w:r>
          </w:p>
        </w:tc>
      </w:tr>
      <w:tr>
        <w:tblPrEx>
          <w:tblCellMar>
            <w:top w:w="0" w:type="dxa"/>
            <w:left w:w="108" w:type="dxa"/>
            <w:bottom w:w="0" w:type="dxa"/>
            <w:right w:w="108" w:type="dxa"/>
          </w:tblCellMar>
        </w:tblPrEx>
        <w:trPr>
          <w:cantSplit/>
          <w:trHeight w:val="638" w:hRule="atLeast"/>
          <w:jc w:val="center"/>
        </w:trPr>
        <w:tc>
          <w:tcPr>
            <w:tcW w:w="677"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宋体" w:hAnsi="宋体" w:cs="Arial"/>
              </w:rPr>
            </w:pP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cs="Arial"/>
              </w:rPr>
            </w:pPr>
            <w:r>
              <w:rPr>
                <w:rFonts w:hint="eastAsia" w:ascii="宋体" w:hAnsi="宋体"/>
              </w:rPr>
              <w:t>工程地址：</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2</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所承担合同的主要内容：</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3</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工程类别：</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4</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建设规模：</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5</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项目负责人：</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6</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开工日期：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7</w:t>
            </w:r>
          </w:p>
        </w:tc>
        <w:tc>
          <w:tcPr>
            <w:tcW w:w="8853" w:type="dxa"/>
            <w:tcBorders>
              <w:top w:val="single" w:color="auto" w:sz="4" w:space="0"/>
              <w:left w:val="nil"/>
              <w:bottom w:val="single" w:color="auto" w:sz="4" w:space="0"/>
              <w:right w:val="single" w:color="auto" w:sz="4" w:space="0"/>
            </w:tcBorders>
            <w:vAlign w:val="center"/>
          </w:tcPr>
          <w:p>
            <w:pPr>
              <w:pStyle w:val="79"/>
              <w:spacing w:line="360" w:lineRule="auto"/>
              <w:rPr>
                <w:rFonts w:hAnsi="宋体"/>
                <w:sz w:val="21"/>
                <w:szCs w:val="21"/>
              </w:rPr>
            </w:pPr>
            <w:r>
              <w:rPr>
                <w:rFonts w:hint="eastAsia" w:hAnsi="宋体"/>
                <w:sz w:val="21"/>
                <w:szCs w:val="21"/>
              </w:rPr>
              <w:t>竣工日期（或计划竣工日期）：</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8</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cs="Arial"/>
              </w:rPr>
            </w:pPr>
            <w:r>
              <w:rPr>
                <w:rFonts w:hint="eastAsia" w:ascii="宋体" w:hAnsi="宋体"/>
              </w:rPr>
              <w:t>项目描述：</w:t>
            </w:r>
          </w:p>
        </w:tc>
      </w:tr>
      <w:tr>
        <w:tblPrEx>
          <w:tblCellMar>
            <w:top w:w="0" w:type="dxa"/>
            <w:left w:w="108" w:type="dxa"/>
            <w:bottom w:w="0" w:type="dxa"/>
            <w:right w:w="108" w:type="dxa"/>
          </w:tblCellMar>
        </w:tblPrEx>
        <w:trPr>
          <w:trHeight w:val="638" w:hRule="atLeast"/>
          <w:jc w:val="center"/>
        </w:trPr>
        <w:tc>
          <w:tcPr>
            <w:tcW w:w="677" w:type="dxa"/>
            <w:tcBorders>
              <w:top w:val="single" w:color="auto" w:sz="4" w:space="0"/>
              <w:left w:val="single" w:color="auto" w:sz="4" w:space="0"/>
              <w:bottom w:val="single" w:color="auto" w:sz="4" w:space="0"/>
              <w:right w:val="single" w:color="auto" w:sz="4" w:space="0"/>
            </w:tcBorders>
            <w:vAlign w:val="center"/>
          </w:tcPr>
          <w:p>
            <w:pPr>
              <w:pStyle w:val="12"/>
              <w:spacing w:line="360" w:lineRule="auto"/>
              <w:ind w:firstLine="0" w:firstLineChars="0"/>
              <w:jc w:val="center"/>
              <w:rPr>
                <w:rFonts w:ascii="宋体" w:hAnsi="宋体"/>
              </w:rPr>
            </w:pPr>
            <w:r>
              <w:rPr>
                <w:rFonts w:hint="eastAsia" w:ascii="宋体" w:hAnsi="宋体"/>
              </w:rPr>
              <w:t>9</w:t>
            </w:r>
          </w:p>
        </w:tc>
        <w:tc>
          <w:tcPr>
            <w:tcW w:w="8853" w:type="dxa"/>
            <w:tcBorders>
              <w:top w:val="single" w:color="auto" w:sz="4" w:space="0"/>
              <w:left w:val="nil"/>
              <w:bottom w:val="single" w:color="auto" w:sz="4" w:space="0"/>
              <w:right w:val="single" w:color="auto" w:sz="4" w:space="0"/>
            </w:tcBorders>
            <w:vAlign w:val="center"/>
          </w:tcPr>
          <w:p>
            <w:pPr>
              <w:spacing w:line="360" w:lineRule="auto"/>
              <w:ind w:left="4" w:leftChars="-10" w:hanging="25" w:hangingChars="12"/>
              <w:rPr>
                <w:rFonts w:ascii="宋体" w:hAnsi="宋体"/>
              </w:rPr>
            </w:pPr>
            <w:r>
              <w:rPr>
                <w:rFonts w:hint="eastAsia" w:ascii="宋体" w:hAnsi="宋体"/>
              </w:rPr>
              <w:t>其他：</w:t>
            </w:r>
          </w:p>
        </w:tc>
      </w:tr>
    </w:tbl>
    <w:p>
      <w:pPr>
        <w:autoSpaceDE w:val="0"/>
        <w:autoSpaceDN w:val="0"/>
        <w:adjustRightInd w:val="0"/>
        <w:snapToGrid w:val="0"/>
        <w:spacing w:line="360" w:lineRule="auto"/>
        <w:jc w:val="left"/>
        <w:rPr>
          <w:rFonts w:ascii="宋体" w:hAnsi="宋体" w:cs="Arial"/>
          <w:sz w:val="24"/>
        </w:rPr>
      </w:pPr>
    </w:p>
    <w:p>
      <w:pPr>
        <w:autoSpaceDE w:val="0"/>
        <w:autoSpaceDN w:val="0"/>
        <w:adjustRightInd w:val="0"/>
        <w:snapToGrid w:val="0"/>
        <w:spacing w:line="360" w:lineRule="auto"/>
        <w:jc w:val="left"/>
        <w:rPr>
          <w:rFonts w:ascii="宋体" w:hAnsi="宋体"/>
          <w:sz w:val="24"/>
        </w:rPr>
      </w:pPr>
      <w:r>
        <w:rPr>
          <w:rFonts w:hint="eastAsia" w:ascii="宋体" w:hAnsi="宋体"/>
          <w:sz w:val="24"/>
        </w:rPr>
        <w:t xml:space="preserve">   注：1、每个业绩项目单独填表并编号，应按要求填报工程业绩表并附相关有效证明材料，盖章方式不作要求。</w:t>
      </w:r>
    </w:p>
    <w:p>
      <w:pPr>
        <w:spacing w:line="360" w:lineRule="auto"/>
        <w:ind w:firstLine="840" w:firstLineChars="350"/>
        <w:jc w:val="left"/>
        <w:rPr>
          <w:rFonts w:ascii="宋体" w:hAnsi="宋体"/>
          <w:sz w:val="24"/>
        </w:rPr>
      </w:pPr>
      <w:r>
        <w:rPr>
          <w:rFonts w:hint="eastAsia" w:ascii="宋体" w:hAnsi="宋体"/>
          <w:sz w:val="24"/>
        </w:rPr>
        <w:t>2、表中所有空格内容均须填写，如确实不须填写或无法填写，应在空格中填写“无”。</w:t>
      </w:r>
    </w:p>
    <w:p>
      <w:pPr>
        <w:spacing w:line="360" w:lineRule="auto"/>
        <w:ind w:firstLine="840" w:firstLineChars="350"/>
        <w:jc w:val="left"/>
        <w:rPr>
          <w:rFonts w:ascii="宋体" w:hAnsi="宋体"/>
          <w:sz w:val="24"/>
        </w:rPr>
      </w:pPr>
    </w:p>
    <w:p>
      <w:pPr>
        <w:spacing w:line="360" w:lineRule="auto"/>
        <w:ind w:firstLine="840" w:firstLineChars="350"/>
        <w:jc w:val="left"/>
        <w:rPr>
          <w:rFonts w:ascii="宋体" w:hAnsi="宋体"/>
          <w:sz w:val="24"/>
        </w:rPr>
      </w:pPr>
      <w:r>
        <w:rPr>
          <w:rFonts w:ascii="宋体" w:hAnsi="宋体"/>
          <w:sz w:val="24"/>
        </w:rPr>
        <w:br w:type="page"/>
      </w:r>
    </w:p>
    <w:p>
      <w:pPr>
        <w:spacing w:line="360" w:lineRule="auto"/>
        <w:rPr>
          <w:rFonts w:ascii="宋体" w:hAnsi="宋体"/>
          <w:b/>
          <w:sz w:val="28"/>
          <w:szCs w:val="28"/>
        </w:rPr>
      </w:pPr>
      <w:r>
        <w:rPr>
          <w:rFonts w:hint="eastAsia" w:ascii="宋体" w:hAnsi="宋体"/>
          <w:b/>
          <w:sz w:val="28"/>
          <w:szCs w:val="28"/>
        </w:rPr>
        <w:t>格式2-</w:t>
      </w:r>
      <w:r>
        <w:rPr>
          <w:rFonts w:ascii="宋体" w:hAnsi="宋体"/>
          <w:b/>
          <w:sz w:val="28"/>
          <w:szCs w:val="28"/>
        </w:rPr>
        <w:t>10</w:t>
      </w:r>
    </w:p>
    <w:p>
      <w:pPr>
        <w:spacing w:line="360" w:lineRule="auto"/>
        <w:jc w:val="center"/>
        <w:rPr>
          <w:rFonts w:ascii="宋体" w:hAnsi="宋体"/>
          <w:b/>
          <w:sz w:val="32"/>
          <w:szCs w:val="32"/>
        </w:rPr>
      </w:pPr>
      <w:r>
        <w:rPr>
          <w:rFonts w:hint="eastAsia" w:ascii="宋体" w:hAnsi="宋体"/>
          <w:b/>
          <w:sz w:val="32"/>
          <w:szCs w:val="32"/>
        </w:rPr>
        <w:t>八、项目管理机构</w:t>
      </w:r>
    </w:p>
    <w:p>
      <w:pPr>
        <w:spacing w:line="360" w:lineRule="auto"/>
        <w:rPr>
          <w:rFonts w:ascii="宋体" w:hAnsi="宋体"/>
          <w:sz w:val="32"/>
          <w:szCs w:val="32"/>
        </w:rPr>
      </w:pPr>
    </w:p>
    <w:p>
      <w:pPr>
        <w:spacing w:line="360" w:lineRule="auto"/>
        <w:jc w:val="center"/>
        <w:rPr>
          <w:rFonts w:ascii="宋体" w:hAnsi="宋体"/>
          <w:b/>
          <w:bCs/>
          <w:sz w:val="24"/>
        </w:rPr>
      </w:pPr>
      <w:r>
        <w:rPr>
          <w:rFonts w:hint="eastAsia" w:ascii="宋体" w:hAnsi="宋体"/>
          <w:b/>
          <w:bCs/>
          <w:sz w:val="24"/>
        </w:rPr>
        <w:t xml:space="preserve"> (一)项目管理机构组成表</w:t>
      </w:r>
    </w:p>
    <w:p>
      <w:pPr>
        <w:autoSpaceDE w:val="0"/>
        <w:autoSpaceDN w:val="0"/>
        <w:adjustRightInd w:val="0"/>
        <w:spacing w:line="360" w:lineRule="auto"/>
        <w:ind w:left="220" w:right="-20"/>
        <w:jc w:val="center"/>
        <w:rPr>
          <w:rFonts w:ascii="宋体" w:hAnsi="宋体"/>
          <w:b/>
          <w:bCs/>
        </w:rPr>
      </w:pPr>
      <w:r>
        <w:rPr>
          <w:rFonts w:hint="eastAsia" w:ascii="宋体" w:hAnsi="宋体"/>
          <w:b/>
          <w:bCs/>
        </w:rPr>
        <w:t xml:space="preserve"> </w:t>
      </w:r>
    </w:p>
    <w:tbl>
      <w:tblPr>
        <w:tblStyle w:val="39"/>
        <w:tblW w:w="9366" w:type="dxa"/>
        <w:jc w:val="center"/>
        <w:tblLayout w:type="fixed"/>
        <w:tblCellMar>
          <w:top w:w="0" w:type="dxa"/>
          <w:left w:w="0" w:type="dxa"/>
          <w:bottom w:w="0" w:type="dxa"/>
          <w:right w:w="0" w:type="dxa"/>
        </w:tblCellMar>
      </w:tblPr>
      <w:tblGrid>
        <w:gridCol w:w="857"/>
        <w:gridCol w:w="1695"/>
        <w:gridCol w:w="1423"/>
        <w:gridCol w:w="1276"/>
        <w:gridCol w:w="1301"/>
        <w:gridCol w:w="1134"/>
        <w:gridCol w:w="1680"/>
      </w:tblGrid>
      <w:tr>
        <w:tblPrEx>
          <w:tblCellMar>
            <w:top w:w="0" w:type="dxa"/>
            <w:left w:w="0" w:type="dxa"/>
            <w:bottom w:w="0" w:type="dxa"/>
            <w:right w:w="0" w:type="dxa"/>
          </w:tblCellMar>
        </w:tblPrEx>
        <w:trPr>
          <w:trHeight w:val="614" w:hRule="atLeast"/>
          <w:jc w:val="center"/>
        </w:trPr>
        <w:tc>
          <w:tcPr>
            <w:tcW w:w="857" w:type="dxa"/>
            <w:vMerge w:val="restart"/>
            <w:tcBorders>
              <w:top w:val="single" w:color="auto" w:sz="4" w:space="0"/>
              <w:left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序号</w:t>
            </w:r>
          </w:p>
        </w:tc>
        <w:tc>
          <w:tcPr>
            <w:tcW w:w="1695" w:type="dxa"/>
            <w:vMerge w:val="restart"/>
            <w:tcBorders>
              <w:top w:val="single" w:color="auto" w:sz="4" w:space="0"/>
              <w:left w:val="nil"/>
              <w:right w:val="single" w:color="auto" w:sz="4" w:space="0"/>
            </w:tcBorders>
            <w:vAlign w:val="center"/>
          </w:tcPr>
          <w:p>
            <w:pPr>
              <w:spacing w:line="360" w:lineRule="auto"/>
              <w:jc w:val="center"/>
              <w:rPr>
                <w:rFonts w:ascii="宋体" w:hAnsi="宋体" w:cs="Arial"/>
              </w:rPr>
            </w:pPr>
            <w:r>
              <w:rPr>
                <w:rFonts w:hint="eastAsia" w:ascii="宋体" w:hAnsi="宋体"/>
              </w:rPr>
              <w:t>职务</w:t>
            </w:r>
          </w:p>
        </w:tc>
        <w:tc>
          <w:tcPr>
            <w:tcW w:w="1423" w:type="dxa"/>
            <w:vMerge w:val="restart"/>
            <w:tcBorders>
              <w:top w:val="single" w:color="auto" w:sz="4" w:space="0"/>
              <w:left w:val="nil"/>
              <w:right w:val="single" w:color="auto" w:sz="4" w:space="0"/>
            </w:tcBorders>
            <w:vAlign w:val="center"/>
          </w:tcPr>
          <w:p>
            <w:pPr>
              <w:spacing w:line="360" w:lineRule="auto"/>
              <w:jc w:val="center"/>
              <w:rPr>
                <w:rFonts w:ascii="宋体" w:hAnsi="宋体" w:cs="Arial"/>
              </w:rPr>
            </w:pPr>
            <w:r>
              <w:rPr>
                <w:rFonts w:hint="eastAsia" w:ascii="宋体" w:hAnsi="宋体"/>
              </w:rPr>
              <w:t>姓名</w:t>
            </w:r>
          </w:p>
        </w:tc>
        <w:tc>
          <w:tcPr>
            <w:tcW w:w="2577"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执业或职业资格</w:t>
            </w:r>
          </w:p>
        </w:tc>
        <w:tc>
          <w:tcPr>
            <w:tcW w:w="2814" w:type="dxa"/>
            <w:gridSpan w:val="2"/>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职称</w:t>
            </w:r>
          </w:p>
        </w:tc>
      </w:tr>
      <w:tr>
        <w:tblPrEx>
          <w:tblCellMar>
            <w:top w:w="0" w:type="dxa"/>
            <w:left w:w="0" w:type="dxa"/>
            <w:bottom w:w="0" w:type="dxa"/>
            <w:right w:w="0" w:type="dxa"/>
          </w:tblCellMar>
        </w:tblPrEx>
        <w:trPr>
          <w:trHeight w:val="614" w:hRule="atLeast"/>
          <w:jc w:val="center"/>
        </w:trPr>
        <w:tc>
          <w:tcPr>
            <w:tcW w:w="857" w:type="dxa"/>
            <w:vMerge w:val="continue"/>
            <w:tcBorders>
              <w:left w:val="single" w:color="auto" w:sz="4" w:space="0"/>
              <w:bottom w:val="single" w:color="auto" w:sz="4" w:space="0"/>
              <w:right w:val="single" w:color="auto" w:sz="4" w:space="0"/>
            </w:tcBorders>
            <w:vAlign w:val="center"/>
          </w:tcPr>
          <w:p>
            <w:pPr>
              <w:spacing w:line="360" w:lineRule="auto"/>
              <w:jc w:val="center"/>
              <w:rPr>
                <w:rFonts w:ascii="宋体" w:hAnsi="宋体"/>
              </w:rPr>
            </w:pPr>
          </w:p>
        </w:tc>
        <w:tc>
          <w:tcPr>
            <w:tcW w:w="1695" w:type="dxa"/>
            <w:vMerge w:val="continue"/>
            <w:tcBorders>
              <w:left w:val="nil"/>
              <w:bottom w:val="single" w:color="auto" w:sz="4" w:space="0"/>
              <w:right w:val="single" w:color="auto" w:sz="4" w:space="0"/>
            </w:tcBorders>
            <w:vAlign w:val="center"/>
          </w:tcPr>
          <w:p>
            <w:pPr>
              <w:spacing w:line="360" w:lineRule="auto"/>
              <w:jc w:val="center"/>
              <w:rPr>
                <w:rFonts w:ascii="宋体" w:hAnsi="宋体"/>
              </w:rPr>
            </w:pPr>
          </w:p>
        </w:tc>
        <w:tc>
          <w:tcPr>
            <w:tcW w:w="1423" w:type="dxa"/>
            <w:vMerge w:val="continue"/>
            <w:tcBorders>
              <w:left w:val="nil"/>
              <w:bottom w:val="single" w:color="auto" w:sz="4" w:space="0"/>
              <w:right w:val="single" w:color="auto" w:sz="4" w:space="0"/>
            </w:tcBorders>
            <w:vAlign w:val="center"/>
          </w:tcPr>
          <w:p>
            <w:pPr>
              <w:spacing w:line="360" w:lineRule="auto"/>
              <w:jc w:val="center"/>
              <w:rPr>
                <w:rFonts w:ascii="宋体" w:hAnsi="宋体"/>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证书名称</w:t>
            </w: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证书编号</w:t>
            </w: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职称专业</w:t>
            </w:r>
          </w:p>
        </w:tc>
        <w:tc>
          <w:tcPr>
            <w:tcW w:w="1680"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级别</w:t>
            </w: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1.1</w:t>
            </w: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hint="eastAsia" w:ascii="宋体" w:hAnsi="宋体"/>
              </w:rPr>
              <w:t>项目负责人（项目经理）</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cs="Arial"/>
              </w:rPr>
              <w:t>1.2</w:t>
            </w:r>
          </w:p>
        </w:tc>
        <w:tc>
          <w:tcPr>
            <w:tcW w:w="1695" w:type="dxa"/>
            <w:tcBorders>
              <w:top w:val="single" w:color="auto" w:sz="4" w:space="0"/>
              <w:left w:val="nil"/>
              <w:bottom w:val="single" w:color="auto" w:sz="4" w:space="0"/>
              <w:right w:val="single" w:color="auto" w:sz="4" w:space="0"/>
            </w:tcBorders>
            <w:vAlign w:val="center"/>
          </w:tcPr>
          <w:p>
            <w:pPr>
              <w:spacing w:line="360" w:lineRule="auto"/>
              <w:jc w:val="left"/>
              <w:rPr>
                <w:rFonts w:ascii="宋体" w:hAnsi="宋体" w:cs="Arial"/>
              </w:rPr>
            </w:pPr>
            <w:r>
              <w:rPr>
                <w:rFonts w:hint="eastAsia" w:ascii="宋体" w:hAnsi="宋体"/>
              </w:rPr>
              <w:t>设计负责人</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cs="Arial"/>
              </w:rPr>
              <w:t>1.3</w:t>
            </w:r>
          </w:p>
        </w:tc>
        <w:tc>
          <w:tcPr>
            <w:tcW w:w="1695" w:type="dxa"/>
            <w:tcBorders>
              <w:top w:val="single" w:color="auto" w:sz="4" w:space="0"/>
              <w:left w:val="nil"/>
              <w:bottom w:val="single" w:color="auto" w:sz="4" w:space="0"/>
              <w:right w:val="single" w:color="auto" w:sz="4" w:space="0"/>
            </w:tcBorders>
            <w:vAlign w:val="center"/>
          </w:tcPr>
          <w:p>
            <w:pPr>
              <w:spacing w:line="360" w:lineRule="auto"/>
              <w:rPr>
                <w:rFonts w:ascii="宋体" w:hAnsi="宋体"/>
              </w:rPr>
            </w:pPr>
            <w:r>
              <w:rPr>
                <w:rFonts w:hint="eastAsia" w:ascii="宋体" w:hAnsi="宋体"/>
              </w:rPr>
              <w:t>施工技术负责人</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r>
        <w:tblPrEx>
          <w:tblCellMar>
            <w:top w:w="0" w:type="dxa"/>
            <w:left w:w="0" w:type="dxa"/>
            <w:bottom w:w="0" w:type="dxa"/>
            <w:right w:w="0" w:type="dxa"/>
          </w:tblCellMar>
        </w:tblPrEx>
        <w:trPr>
          <w:trHeight w:val="589" w:hRule="atLeast"/>
          <w:jc w:val="center"/>
        </w:trPr>
        <w:tc>
          <w:tcPr>
            <w:tcW w:w="85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p>
        </w:tc>
        <w:tc>
          <w:tcPr>
            <w:tcW w:w="1695"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rPr>
            </w:pPr>
            <w:r>
              <w:rPr>
                <w:rFonts w:ascii="宋体" w:hAnsi="宋体"/>
              </w:rPr>
              <w:t>……</w:t>
            </w:r>
          </w:p>
        </w:tc>
        <w:tc>
          <w:tcPr>
            <w:tcW w:w="142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276"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301"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680"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bl>
    <w:p>
      <w:pPr>
        <w:spacing w:line="360" w:lineRule="auto"/>
        <w:ind w:left="359" w:leftChars="171"/>
        <w:rPr>
          <w:rFonts w:ascii="宋体" w:hAnsi="宋体"/>
        </w:rPr>
      </w:pPr>
      <w:r>
        <w:rPr>
          <w:rFonts w:hint="eastAsia" w:ascii="宋体" w:hAnsi="宋体"/>
        </w:rPr>
        <w:t xml:space="preserve"> </w:t>
      </w:r>
    </w:p>
    <w:p>
      <w:pPr>
        <w:spacing w:line="360" w:lineRule="auto"/>
        <w:ind w:left="359" w:leftChars="171"/>
        <w:rPr>
          <w:rFonts w:ascii="宋体" w:hAnsi="宋体"/>
        </w:rPr>
      </w:pPr>
    </w:p>
    <w:p>
      <w:pPr>
        <w:spacing w:line="360" w:lineRule="auto"/>
        <w:ind w:left="359" w:leftChars="171"/>
        <w:rPr>
          <w:rFonts w:ascii="宋体" w:hAnsi="宋体" w:cs="Arial"/>
        </w:rPr>
      </w:pPr>
      <w:r>
        <w:rPr>
          <w:rFonts w:hint="eastAsia" w:ascii="宋体" w:hAnsi="宋体"/>
        </w:rPr>
        <w:t xml:space="preserve">  </w:t>
      </w:r>
    </w:p>
    <w:p>
      <w:pPr>
        <w:spacing w:line="360" w:lineRule="auto"/>
        <w:rPr>
          <w:rFonts w:ascii="宋体" w:hAnsi="宋体"/>
          <w:sz w:val="24"/>
        </w:rPr>
      </w:pPr>
      <w:r>
        <w:rPr>
          <w:rFonts w:hint="eastAsia" w:ascii="宋体" w:hAnsi="宋体"/>
          <w:sz w:val="24"/>
        </w:rPr>
        <w:t>供应商名称：XXX（盖单位公章）</w:t>
      </w:r>
    </w:p>
    <w:p>
      <w:pPr>
        <w:spacing w:line="360" w:lineRule="auto"/>
        <w:rPr>
          <w:rFonts w:ascii="宋体" w:hAnsi="宋体"/>
          <w:sz w:val="24"/>
        </w:rPr>
      </w:pPr>
      <w:r>
        <w:rPr>
          <w:rFonts w:hint="eastAsia" w:ascii="宋体" w:hAnsi="宋体"/>
          <w:sz w:val="24"/>
        </w:rPr>
        <w:t>法定代表人/单位负责人或授权代表（签字或加盖个人印章）：XXX</w:t>
      </w:r>
    </w:p>
    <w:p>
      <w:pPr>
        <w:spacing w:line="360" w:lineRule="auto"/>
        <w:rPr>
          <w:rFonts w:ascii="宋体" w:hAnsi="宋体"/>
          <w:sz w:val="24"/>
        </w:rPr>
      </w:pPr>
      <w:r>
        <w:rPr>
          <w:rFonts w:hint="eastAsia" w:ascii="宋体" w:hAnsi="宋体"/>
          <w:sz w:val="24"/>
        </w:rPr>
        <w:t>日      期：XXX</w:t>
      </w:r>
    </w:p>
    <w:p>
      <w:pPr>
        <w:spacing w:line="360" w:lineRule="auto"/>
        <w:rPr>
          <w:rFonts w:ascii="宋体" w:hAnsi="宋体"/>
        </w:rPr>
      </w:pPr>
      <w:r>
        <w:rPr>
          <w:rFonts w:hint="eastAsia" w:ascii="宋体" w:hAnsi="宋体"/>
        </w:rPr>
        <w:br w:type="page"/>
      </w:r>
    </w:p>
    <w:p>
      <w:pPr>
        <w:spacing w:line="360" w:lineRule="auto"/>
        <w:jc w:val="center"/>
        <w:rPr>
          <w:rFonts w:ascii="宋体" w:hAnsi="宋体"/>
        </w:rPr>
      </w:pPr>
    </w:p>
    <w:p>
      <w:pPr>
        <w:spacing w:line="360" w:lineRule="auto"/>
        <w:jc w:val="center"/>
        <w:rPr>
          <w:rFonts w:ascii="宋体" w:hAnsi="宋体"/>
          <w:b/>
          <w:bCs/>
          <w:sz w:val="24"/>
        </w:rPr>
      </w:pPr>
      <w:r>
        <w:rPr>
          <w:rFonts w:hint="eastAsia" w:ascii="宋体" w:hAnsi="宋体"/>
          <w:b/>
          <w:bCs/>
          <w:sz w:val="24"/>
        </w:rPr>
        <w:t>(二)主要人员简历表</w:t>
      </w:r>
    </w:p>
    <w:p>
      <w:pPr>
        <w:spacing w:line="360" w:lineRule="auto"/>
        <w:rPr>
          <w:rFonts w:ascii="宋体" w:hAnsi="宋体"/>
        </w:rPr>
      </w:pPr>
      <w:r>
        <w:rPr>
          <w:rFonts w:hint="eastAsia" w:ascii="宋体" w:hAnsi="宋体"/>
        </w:rPr>
        <w:t xml:space="preserve"> </w:t>
      </w:r>
    </w:p>
    <w:tbl>
      <w:tblPr>
        <w:tblStyle w:val="39"/>
        <w:tblW w:w="0" w:type="auto"/>
        <w:tblInd w:w="108" w:type="dxa"/>
        <w:tblLayout w:type="fixed"/>
        <w:tblCellMar>
          <w:top w:w="0" w:type="dxa"/>
          <w:left w:w="0" w:type="dxa"/>
          <w:bottom w:w="0" w:type="dxa"/>
          <w:right w:w="0" w:type="dxa"/>
        </w:tblCellMar>
      </w:tblPr>
      <w:tblGrid>
        <w:gridCol w:w="1595"/>
        <w:gridCol w:w="25"/>
        <w:gridCol w:w="1215"/>
        <w:gridCol w:w="1134"/>
        <w:gridCol w:w="1276"/>
        <w:gridCol w:w="1843"/>
        <w:gridCol w:w="2318"/>
      </w:tblGrid>
      <w:tr>
        <w:tblPrEx>
          <w:tblCellMar>
            <w:top w:w="0" w:type="dxa"/>
            <w:left w:w="0" w:type="dxa"/>
            <w:bottom w:w="0" w:type="dxa"/>
            <w:right w:w="0" w:type="dxa"/>
          </w:tblCellMar>
        </w:tblPrEx>
        <w:trPr>
          <w:trHeight w:val="463" w:hRule="atLeast"/>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姓名</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年龄</w:t>
            </w:r>
          </w:p>
        </w:tc>
        <w:tc>
          <w:tcPr>
            <w:tcW w:w="5437" w:type="dxa"/>
            <w:gridSpan w:val="3"/>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r>
        <w:tblPrEx>
          <w:tblCellMar>
            <w:top w:w="0" w:type="dxa"/>
            <w:left w:w="0" w:type="dxa"/>
            <w:bottom w:w="0" w:type="dxa"/>
            <w:right w:w="0" w:type="dxa"/>
          </w:tblCellMar>
        </w:tblPrEx>
        <w:trPr>
          <w:trHeight w:val="451" w:hRule="atLeast"/>
        </w:trPr>
        <w:tc>
          <w:tcPr>
            <w:tcW w:w="159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职称</w:t>
            </w:r>
          </w:p>
        </w:tc>
        <w:tc>
          <w:tcPr>
            <w:tcW w:w="1240" w:type="dxa"/>
            <w:gridSpan w:val="2"/>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c>
          <w:tcPr>
            <w:tcW w:w="1134"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职务</w:t>
            </w:r>
          </w:p>
        </w:tc>
        <w:tc>
          <w:tcPr>
            <w:tcW w:w="1276"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拟在本合同任职</w:t>
            </w:r>
          </w:p>
        </w:tc>
        <w:tc>
          <w:tcPr>
            <w:tcW w:w="2318" w:type="dxa"/>
            <w:tcBorders>
              <w:top w:val="single" w:color="auto" w:sz="4" w:space="0"/>
              <w:left w:val="nil"/>
              <w:bottom w:val="single" w:color="auto" w:sz="4" w:space="0"/>
              <w:right w:val="single" w:color="auto" w:sz="4" w:space="0"/>
            </w:tcBorders>
          </w:tcPr>
          <w:p>
            <w:pPr>
              <w:spacing w:line="360" w:lineRule="auto"/>
              <w:jc w:val="center"/>
              <w:rPr>
                <w:rFonts w:ascii="宋体" w:hAnsi="宋体" w:cs="Arial"/>
              </w:rPr>
            </w:pPr>
          </w:p>
        </w:tc>
      </w:tr>
      <w:tr>
        <w:trPr>
          <w:trHeight w:val="613" w:hRule="atLeast"/>
        </w:trPr>
        <w:tc>
          <w:tcPr>
            <w:tcW w:w="9406" w:type="dxa"/>
            <w:gridSpan w:val="7"/>
            <w:tcBorders>
              <w:top w:val="single" w:color="auto" w:sz="4" w:space="0"/>
              <w:left w:val="single" w:color="auto" w:sz="4" w:space="0"/>
              <w:bottom w:val="single" w:color="auto" w:sz="4" w:space="0"/>
              <w:right w:val="single" w:color="auto" w:sz="4" w:space="0"/>
            </w:tcBorders>
            <w:vAlign w:val="center"/>
          </w:tcPr>
          <w:p>
            <w:pPr>
              <w:spacing w:line="360" w:lineRule="auto"/>
              <w:ind w:firstLine="4200" w:firstLineChars="2000"/>
              <w:rPr>
                <w:rFonts w:ascii="宋体" w:hAnsi="宋体" w:cs="Arial"/>
              </w:rPr>
            </w:pPr>
            <w:r>
              <w:rPr>
                <w:rFonts w:hint="eastAsia" w:ascii="宋体" w:hAnsi="宋体"/>
              </w:rPr>
              <w:t>主要工作经历</w:t>
            </w: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时间</w:t>
            </w: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项目名称</w:t>
            </w: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担任职务</w:t>
            </w: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r>
              <w:rPr>
                <w:rFonts w:hint="eastAsia" w:ascii="宋体" w:hAnsi="宋体"/>
              </w:rPr>
              <w:t>发包人</w:t>
            </w: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r>
      <w:tr>
        <w:tblPrEx>
          <w:tblCellMar>
            <w:top w:w="0" w:type="dxa"/>
            <w:left w:w="0" w:type="dxa"/>
            <w:bottom w:w="0" w:type="dxa"/>
            <w:right w:w="0" w:type="dxa"/>
          </w:tblCellMar>
        </w:tblPrEx>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r>
      <w:tr>
        <w:trPr>
          <w:trHeight w:val="613" w:hRule="atLeast"/>
        </w:trPr>
        <w:tc>
          <w:tcPr>
            <w:tcW w:w="1620"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cs="Arial"/>
              </w:rPr>
            </w:pPr>
          </w:p>
        </w:tc>
        <w:tc>
          <w:tcPr>
            <w:tcW w:w="3625" w:type="dxa"/>
            <w:gridSpan w:val="3"/>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1843"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c>
          <w:tcPr>
            <w:tcW w:w="2318" w:type="dxa"/>
            <w:tcBorders>
              <w:top w:val="single" w:color="auto" w:sz="4" w:space="0"/>
              <w:left w:val="nil"/>
              <w:bottom w:val="single" w:color="auto" w:sz="4" w:space="0"/>
              <w:right w:val="single" w:color="auto" w:sz="4" w:space="0"/>
            </w:tcBorders>
            <w:vAlign w:val="center"/>
          </w:tcPr>
          <w:p>
            <w:pPr>
              <w:spacing w:line="360" w:lineRule="auto"/>
              <w:jc w:val="center"/>
              <w:rPr>
                <w:rFonts w:ascii="宋体" w:hAnsi="宋体" w:cs="Arial"/>
              </w:rPr>
            </w:pPr>
          </w:p>
        </w:tc>
      </w:tr>
    </w:tbl>
    <w:p>
      <w:pPr>
        <w:spacing w:line="360" w:lineRule="auto"/>
        <w:rPr>
          <w:rFonts w:ascii="宋体" w:hAnsi="宋体" w:cs="Arial"/>
        </w:rPr>
      </w:pPr>
      <w:r>
        <w:rPr>
          <w:rFonts w:hint="eastAsia" w:ascii="宋体" w:hAnsi="宋体"/>
        </w:rPr>
        <w:t xml:space="preserve"> </w:t>
      </w:r>
    </w:p>
    <w:p>
      <w:pPr>
        <w:spacing w:line="360" w:lineRule="auto"/>
        <w:ind w:left="105" w:hanging="105" w:hangingChars="50"/>
        <w:rPr>
          <w:rFonts w:ascii="宋体" w:hAnsi="宋体"/>
        </w:rPr>
      </w:pPr>
      <w:r>
        <w:rPr>
          <w:rFonts w:hint="eastAsia" w:ascii="宋体" w:hAnsi="宋体"/>
        </w:rPr>
        <w:t>注：</w:t>
      </w:r>
    </w:p>
    <w:p>
      <w:pPr>
        <w:spacing w:line="360" w:lineRule="auto"/>
        <w:ind w:left="105" w:hanging="105" w:hangingChars="50"/>
        <w:rPr>
          <w:rFonts w:ascii="宋体" w:hAnsi="宋体"/>
        </w:rPr>
      </w:pPr>
      <w:r>
        <w:rPr>
          <w:rFonts w:hint="eastAsia" w:ascii="宋体" w:hAnsi="宋体"/>
        </w:rPr>
        <w:t>1、人员应附身份证。</w:t>
      </w:r>
    </w:p>
    <w:p>
      <w:pPr>
        <w:spacing w:line="360" w:lineRule="auto"/>
        <w:ind w:left="105" w:hanging="105" w:hangingChars="50"/>
        <w:rPr>
          <w:rFonts w:ascii="宋体" w:hAnsi="宋体"/>
        </w:rPr>
      </w:pPr>
      <w:r>
        <w:rPr>
          <w:rFonts w:hint="eastAsia" w:ascii="宋体" w:hAnsi="宋体"/>
        </w:rPr>
        <w:t>2、人员应附执业或职业资格或上岗证或职称证。</w:t>
      </w:r>
    </w:p>
    <w:p>
      <w:pPr>
        <w:widowControl/>
        <w:jc w:val="left"/>
        <w:rPr>
          <w:rFonts w:ascii="宋体" w:hAnsi="宋体" w:eastAsia="黑体"/>
          <w:b/>
          <w:bCs/>
          <w:sz w:val="32"/>
          <w:szCs w:val="32"/>
        </w:rPr>
      </w:pPr>
      <w:r>
        <w:rPr>
          <w:rFonts w:ascii="宋体" w:hAnsi="宋体"/>
        </w:rPr>
        <w:br w:type="page"/>
      </w:r>
    </w:p>
    <w:p>
      <w:pPr>
        <w:spacing w:line="360" w:lineRule="auto"/>
        <w:jc w:val="center"/>
        <w:rPr>
          <w:rFonts w:ascii="宋体" w:hAnsi="宋体"/>
          <w:b/>
          <w:sz w:val="28"/>
          <w:szCs w:val="28"/>
        </w:rPr>
      </w:pPr>
      <w:r>
        <w:rPr>
          <w:rFonts w:hint="eastAsia" w:ascii="宋体" w:hAnsi="宋体"/>
          <w:b/>
          <w:sz w:val="28"/>
          <w:szCs w:val="28"/>
        </w:rPr>
        <w:t>九、强制采购产品承诺函</w:t>
      </w:r>
    </w:p>
    <w:p>
      <w:pPr>
        <w:adjustRightInd w:val="0"/>
        <w:snapToGrid w:val="0"/>
        <w:spacing w:line="360" w:lineRule="auto"/>
        <w:rPr>
          <w:rFonts w:ascii="仿宋_GB2312" w:hAnsi="仿宋_GB2312" w:eastAsia="仿宋_GB2312" w:cs="仿宋"/>
        </w:rPr>
      </w:pPr>
    </w:p>
    <w:p>
      <w:pPr>
        <w:adjustRightInd w:val="0"/>
        <w:snapToGrid w:val="0"/>
        <w:spacing w:line="360" w:lineRule="auto"/>
        <w:rPr>
          <w:rFonts w:ascii="宋体" w:hAnsi="宋体"/>
          <w:sz w:val="24"/>
        </w:rPr>
      </w:pPr>
      <w:r>
        <w:rPr>
          <w:rFonts w:ascii="宋体" w:hAnsi="宋体" w:cs="仿宋"/>
          <w:sz w:val="24"/>
        </w:rPr>
        <w:t>XXX</w:t>
      </w:r>
      <w:r>
        <w:rPr>
          <w:rFonts w:hint="eastAsia" w:ascii="宋体" w:hAnsi="宋体" w:cs="仿宋"/>
          <w:sz w:val="24"/>
        </w:rPr>
        <w:t>（采购人、采购代理机构名称）：</w:t>
      </w:r>
    </w:p>
    <w:p>
      <w:pPr>
        <w:adjustRightInd w:val="0"/>
        <w:snapToGrid w:val="0"/>
        <w:spacing w:line="360" w:lineRule="auto"/>
        <w:ind w:firstLine="480" w:firstLineChars="200"/>
        <w:rPr>
          <w:rFonts w:ascii="宋体" w:hAnsi="宋体" w:cs="仿宋"/>
          <w:sz w:val="24"/>
        </w:rPr>
      </w:pPr>
      <w:r>
        <w:rPr>
          <w:rFonts w:hint="eastAsia" w:ascii="宋体" w:hAnsi="宋体" w:cs="仿宋"/>
          <w:sz w:val="24"/>
        </w:rPr>
        <w:t>我方作为参与本次采购项目的供应商，根据磋商文件要求，现郑重承诺如下：</w:t>
      </w:r>
    </w:p>
    <w:p>
      <w:pPr>
        <w:adjustRightInd w:val="0"/>
        <w:snapToGrid w:val="0"/>
        <w:spacing w:line="360" w:lineRule="auto"/>
        <w:ind w:firstLine="480" w:firstLineChars="200"/>
        <w:rPr>
          <w:rFonts w:ascii="宋体" w:hAnsi="宋体" w:cs="仿宋"/>
          <w:sz w:val="24"/>
        </w:rPr>
      </w:pPr>
      <w:r>
        <w:rPr>
          <w:rFonts w:hint="eastAsia" w:ascii="宋体" w:hAnsi="宋体" w:cs="仿宋"/>
          <w:sz w:val="24"/>
        </w:rPr>
        <w:t>我方提供产品属于强制节能政府采购品目清单范围的产品，我方承诺在供货时提供认证结果信息发布平台公布的该产品认证信息截图，或者在有效期内的有强制节能产品认证证</w:t>
      </w:r>
      <w:r>
        <w:rPr>
          <w:rFonts w:hint="eastAsia" w:ascii="宋体" w:hAnsi="宋体" w:cs="仿宋"/>
          <w:sz w:val="24"/>
          <w:lang w:eastAsia="zh-CN"/>
        </w:rPr>
        <w:t>书</w:t>
      </w:r>
      <w:r>
        <w:rPr>
          <w:rFonts w:hint="eastAsia" w:ascii="宋体" w:hAnsi="宋体" w:cs="仿宋"/>
          <w:sz w:val="24"/>
        </w:rPr>
        <w:t>。</w:t>
      </w:r>
    </w:p>
    <w:p>
      <w:pPr>
        <w:adjustRightInd w:val="0"/>
        <w:snapToGrid w:val="0"/>
        <w:spacing w:line="360" w:lineRule="auto"/>
        <w:ind w:firstLine="480" w:firstLineChars="200"/>
        <w:rPr>
          <w:rFonts w:ascii="宋体" w:hAnsi="宋体" w:cs="仿宋"/>
          <w:sz w:val="24"/>
        </w:rPr>
      </w:pPr>
      <w:r>
        <w:rPr>
          <w:rFonts w:hint="eastAsia" w:ascii="宋体" w:hAnsi="宋体" w:cs="仿宋"/>
          <w:sz w:val="24"/>
        </w:rPr>
        <w:t>我方</w:t>
      </w:r>
      <w:r>
        <w:rPr>
          <w:rFonts w:ascii="宋体" w:hAnsi="宋体" w:cs="仿宋"/>
          <w:sz w:val="24"/>
        </w:rPr>
        <w:t>对上述承诺内容的真实性负责，如经查证承诺内容存在虚假，我</w:t>
      </w:r>
      <w:r>
        <w:rPr>
          <w:rFonts w:hint="eastAsia" w:ascii="宋体" w:hAnsi="宋体" w:cs="仿宋"/>
          <w:sz w:val="24"/>
        </w:rPr>
        <w:t>方</w:t>
      </w:r>
      <w:r>
        <w:rPr>
          <w:rFonts w:ascii="宋体" w:hAnsi="宋体" w:cs="仿宋"/>
          <w:sz w:val="24"/>
        </w:rPr>
        <w:t>愿意依法承担因提供虚假材料谋取成交的法律责任。</w:t>
      </w:r>
    </w:p>
    <w:p>
      <w:pPr>
        <w:spacing w:line="440" w:lineRule="exact"/>
        <w:ind w:firstLine="480" w:firstLineChars="200"/>
        <w:rPr>
          <w:rFonts w:ascii="宋体" w:hAnsi="宋体"/>
          <w:sz w:val="24"/>
        </w:rPr>
      </w:pPr>
    </w:p>
    <w:p>
      <w:pPr>
        <w:spacing w:line="440" w:lineRule="exact"/>
        <w:ind w:firstLine="480" w:firstLineChars="200"/>
        <w:rPr>
          <w:rFonts w:ascii="宋体" w:hAnsi="宋体"/>
          <w:sz w:val="24"/>
        </w:rPr>
      </w:pPr>
    </w:p>
    <w:p>
      <w:pPr>
        <w:spacing w:line="440" w:lineRule="exact"/>
        <w:rPr>
          <w:rFonts w:ascii="宋体" w:hAnsi="宋体"/>
          <w:sz w:val="24"/>
        </w:rPr>
      </w:pPr>
    </w:p>
    <w:p>
      <w:pPr>
        <w:spacing w:line="440" w:lineRule="exact"/>
        <w:ind w:firstLine="480" w:firstLineChars="200"/>
        <w:rPr>
          <w:rFonts w:ascii="宋体" w:hAnsi="宋体"/>
          <w:sz w:val="24"/>
        </w:rPr>
      </w:pPr>
      <w:r>
        <w:rPr>
          <w:rFonts w:hint="eastAsia" w:ascii="宋体" w:hAnsi="宋体" w:cs="仿宋"/>
          <w:sz w:val="24"/>
        </w:rPr>
        <w:t>供应商名称：</w:t>
      </w:r>
      <w:r>
        <w:rPr>
          <w:rFonts w:ascii="宋体" w:hAnsi="宋体" w:cs="仿宋"/>
          <w:sz w:val="24"/>
        </w:rPr>
        <w:t>XXXX</w:t>
      </w:r>
      <w:r>
        <w:rPr>
          <w:rFonts w:hint="eastAsia" w:ascii="宋体" w:hAnsi="宋体" w:cs="仿宋"/>
          <w:sz w:val="24"/>
        </w:rPr>
        <w:t>（加盖公章）</w:t>
      </w:r>
    </w:p>
    <w:p>
      <w:pPr>
        <w:spacing w:line="440" w:lineRule="exact"/>
        <w:ind w:firstLine="480" w:firstLineChars="200"/>
        <w:rPr>
          <w:rFonts w:ascii="宋体" w:hAnsi="宋体"/>
          <w:sz w:val="24"/>
        </w:rPr>
      </w:pPr>
      <w:r>
        <w:rPr>
          <w:rFonts w:hint="eastAsia" w:ascii="宋体" w:hAnsi="宋体" w:cs="仿宋"/>
          <w:sz w:val="24"/>
        </w:rPr>
        <w:t>日期：</w:t>
      </w:r>
      <w:r>
        <w:rPr>
          <w:rFonts w:ascii="宋体" w:hAnsi="宋体" w:cs="仿宋"/>
          <w:sz w:val="24"/>
        </w:rPr>
        <w:t>XXX</w:t>
      </w:r>
      <w:r>
        <w:rPr>
          <w:rFonts w:hint="eastAsia" w:ascii="宋体" w:hAnsi="宋体" w:cs="仿宋"/>
          <w:sz w:val="24"/>
        </w:rPr>
        <w:t>年</w:t>
      </w:r>
      <w:r>
        <w:rPr>
          <w:rFonts w:ascii="宋体" w:hAnsi="宋体" w:cs="仿宋"/>
          <w:sz w:val="24"/>
        </w:rPr>
        <w:t>XXX</w:t>
      </w:r>
      <w:r>
        <w:rPr>
          <w:rFonts w:hint="eastAsia" w:ascii="宋体" w:hAnsi="宋体" w:cs="仿宋"/>
          <w:sz w:val="24"/>
        </w:rPr>
        <w:t>月</w:t>
      </w:r>
      <w:r>
        <w:rPr>
          <w:rFonts w:ascii="宋体" w:hAnsi="宋体" w:cs="仿宋"/>
          <w:sz w:val="24"/>
        </w:rPr>
        <w:t>XXX</w:t>
      </w:r>
      <w:r>
        <w:rPr>
          <w:rFonts w:hint="eastAsia" w:ascii="宋体" w:hAnsi="宋体" w:cs="仿宋"/>
          <w:sz w:val="24"/>
        </w:rPr>
        <w:t>日</w:t>
      </w:r>
    </w:p>
    <w:p>
      <w:pPr>
        <w:rPr>
          <w:rFonts w:ascii="宋体" w:hAnsi="宋体" w:cs="仿宋"/>
          <w:sz w:val="24"/>
        </w:rPr>
      </w:pPr>
    </w:p>
    <w:p>
      <w:pPr>
        <w:widowControl/>
        <w:jc w:val="left"/>
        <w:rPr>
          <w:rFonts w:ascii="宋体" w:hAnsi="宋体"/>
          <w:sz w:val="24"/>
        </w:rPr>
      </w:pPr>
      <w:r>
        <w:rPr>
          <w:rFonts w:ascii="宋体" w:hAnsi="宋体"/>
          <w:sz w:val="24"/>
        </w:rPr>
        <w:br w:type="page"/>
      </w:r>
    </w:p>
    <w:p>
      <w:pPr>
        <w:spacing w:line="360" w:lineRule="auto"/>
        <w:jc w:val="center"/>
        <w:rPr>
          <w:rFonts w:ascii="宋体" w:hAnsi="宋体"/>
          <w:b/>
          <w:sz w:val="28"/>
          <w:szCs w:val="28"/>
        </w:rPr>
      </w:pPr>
      <w:r>
        <w:rPr>
          <w:rFonts w:hint="eastAsia" w:ascii="宋体" w:hAnsi="宋体"/>
          <w:b/>
          <w:sz w:val="28"/>
          <w:szCs w:val="28"/>
        </w:rPr>
        <w:t>十</w:t>
      </w:r>
      <w:r>
        <w:rPr>
          <w:rFonts w:ascii="宋体" w:hAnsi="宋体"/>
          <w:b/>
          <w:sz w:val="28"/>
          <w:szCs w:val="28"/>
        </w:rPr>
        <w:t>、其他资料（</w:t>
      </w:r>
      <w:r>
        <w:rPr>
          <w:rFonts w:hint="eastAsia" w:ascii="宋体" w:hAnsi="宋体"/>
          <w:b/>
          <w:sz w:val="28"/>
          <w:szCs w:val="28"/>
        </w:rPr>
        <w:t>如有</w:t>
      </w:r>
      <w:r>
        <w:rPr>
          <w:rFonts w:ascii="宋体" w:hAnsi="宋体"/>
          <w:b/>
          <w:sz w:val="28"/>
          <w:szCs w:val="28"/>
        </w:rPr>
        <w:t>）</w:t>
      </w:r>
    </w:p>
    <w:p>
      <w:pPr>
        <w:pStyle w:val="3"/>
        <w:tabs>
          <w:tab w:val="left" w:pos="426"/>
          <w:tab w:val="left" w:pos="567"/>
        </w:tabs>
        <w:spacing w:line="360" w:lineRule="auto"/>
        <w:jc w:val="center"/>
        <w:rPr>
          <w:rFonts w:ascii="宋体" w:hAnsi="宋体" w:eastAsia="宋体"/>
        </w:rPr>
      </w:pPr>
      <w:r>
        <w:rPr>
          <w:rFonts w:hint="eastAsia" w:ascii="宋体" w:hAnsi="宋体"/>
        </w:rPr>
        <w:br w:type="page"/>
      </w:r>
      <w:r>
        <w:rPr>
          <w:rFonts w:hint="eastAsia" w:ascii="宋体" w:hAnsi="宋体" w:eastAsia="宋体" w:cs="黑体"/>
        </w:rPr>
        <w:t>最后报价表</w:t>
      </w:r>
    </w:p>
    <w:p>
      <w:pPr>
        <w:spacing w:line="360" w:lineRule="auto"/>
        <w:rPr>
          <w:rFonts w:ascii="宋体" w:hAnsi="宋体"/>
          <w:sz w:val="24"/>
        </w:rPr>
      </w:pPr>
      <w:r>
        <w:rPr>
          <w:rFonts w:hint="eastAsia" w:ascii="宋体" w:hAnsi="宋体" w:cs="仿宋"/>
          <w:sz w:val="24"/>
        </w:rPr>
        <w:t>项目名称及项目编号：</w:t>
      </w:r>
    </w:p>
    <w:p>
      <w:pPr>
        <w:spacing w:line="360" w:lineRule="auto"/>
        <w:rPr>
          <w:rFonts w:ascii="宋体" w:hAnsi="宋体"/>
          <w:sz w:val="24"/>
        </w:rPr>
      </w:pPr>
      <w:r>
        <w:rPr>
          <w:rFonts w:ascii="宋体" w:hAnsi="宋体" w:cs="仿宋"/>
          <w:sz w:val="24"/>
        </w:rPr>
        <w:t xml:space="preserve">    </w:t>
      </w:r>
    </w:p>
    <w:tbl>
      <w:tblPr>
        <w:tblStyle w:val="39"/>
        <w:tblpPr w:leftFromText="180" w:rightFromText="180" w:vertAnchor="text" w:tblpXSpec="center" w:tblpY="128"/>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3828"/>
        <w:gridCol w:w="2551"/>
        <w:gridCol w:w="1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129" w:type="dxa"/>
            <w:vAlign w:val="center"/>
          </w:tcPr>
          <w:p>
            <w:pPr>
              <w:spacing w:line="360" w:lineRule="auto"/>
              <w:jc w:val="center"/>
              <w:rPr>
                <w:rFonts w:ascii="宋体" w:hAnsi="宋体"/>
                <w:sz w:val="24"/>
              </w:rPr>
            </w:pPr>
            <w:r>
              <w:rPr>
                <w:rFonts w:hint="eastAsia" w:ascii="宋体" w:hAnsi="宋体" w:cs="仿宋"/>
                <w:sz w:val="24"/>
              </w:rPr>
              <w:t>序号</w:t>
            </w:r>
          </w:p>
        </w:tc>
        <w:tc>
          <w:tcPr>
            <w:tcW w:w="3828" w:type="dxa"/>
            <w:vAlign w:val="center"/>
          </w:tcPr>
          <w:p>
            <w:pPr>
              <w:spacing w:line="360" w:lineRule="auto"/>
              <w:jc w:val="center"/>
              <w:rPr>
                <w:rFonts w:ascii="宋体" w:hAnsi="宋体"/>
                <w:sz w:val="24"/>
              </w:rPr>
            </w:pPr>
            <w:r>
              <w:rPr>
                <w:rFonts w:hint="eastAsia" w:ascii="宋体" w:hAnsi="宋体" w:cs="仿宋"/>
                <w:sz w:val="24"/>
              </w:rPr>
              <w:t>采购内容</w:t>
            </w:r>
          </w:p>
        </w:tc>
        <w:tc>
          <w:tcPr>
            <w:tcW w:w="2551" w:type="dxa"/>
            <w:vAlign w:val="center"/>
          </w:tcPr>
          <w:p>
            <w:pPr>
              <w:spacing w:line="360" w:lineRule="auto"/>
              <w:jc w:val="center"/>
              <w:rPr>
                <w:rFonts w:ascii="宋体" w:hAnsi="宋体"/>
                <w:sz w:val="24"/>
              </w:rPr>
            </w:pPr>
            <w:r>
              <w:rPr>
                <w:rFonts w:hint="eastAsia" w:ascii="宋体" w:hAnsi="宋体"/>
                <w:sz w:val="24"/>
              </w:rPr>
              <w:t>下浮</w:t>
            </w:r>
            <w:r>
              <w:rPr>
                <w:rFonts w:ascii="宋体" w:hAnsi="宋体"/>
                <w:sz w:val="24"/>
              </w:rPr>
              <w:t>比例</w:t>
            </w:r>
          </w:p>
        </w:tc>
        <w:tc>
          <w:tcPr>
            <w:tcW w:w="1985" w:type="dxa"/>
            <w:vAlign w:val="center"/>
          </w:tcPr>
          <w:p>
            <w:pPr>
              <w:spacing w:line="360" w:lineRule="auto"/>
              <w:jc w:val="center"/>
              <w:rPr>
                <w:rFonts w:ascii="宋体" w:hAnsi="宋体"/>
                <w:sz w:val="24"/>
              </w:rPr>
            </w:pPr>
            <w:r>
              <w:rPr>
                <w:rFonts w:hint="eastAsia" w:ascii="宋体" w:hAnsi="宋体" w:cs="仿宋"/>
                <w:sz w:val="24"/>
              </w:rPr>
              <w:t>最后报价（元）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1129" w:type="dxa"/>
            <w:vAlign w:val="center"/>
          </w:tcPr>
          <w:p>
            <w:pPr>
              <w:spacing w:line="360" w:lineRule="auto"/>
              <w:jc w:val="center"/>
              <w:rPr>
                <w:rFonts w:ascii="宋体" w:hAnsi="宋体" w:cs="仿宋"/>
                <w:sz w:val="24"/>
              </w:rPr>
            </w:pPr>
            <w:r>
              <w:rPr>
                <w:rFonts w:ascii="宋体" w:hAnsi="宋体" w:cs="仿宋"/>
                <w:sz w:val="24"/>
              </w:rPr>
              <w:t>1</w:t>
            </w:r>
          </w:p>
        </w:tc>
        <w:tc>
          <w:tcPr>
            <w:tcW w:w="3828" w:type="dxa"/>
            <w:vAlign w:val="center"/>
          </w:tcPr>
          <w:p>
            <w:pPr>
              <w:spacing w:line="360" w:lineRule="auto"/>
              <w:jc w:val="center"/>
              <w:rPr>
                <w:rFonts w:ascii="宋体" w:hAnsi="宋体" w:cs="仿宋"/>
                <w:sz w:val="24"/>
              </w:rPr>
            </w:pPr>
            <w:r>
              <w:rPr>
                <w:rFonts w:hint="eastAsia" w:ascii="宋体" w:hAnsi="宋体" w:cs="仿宋"/>
                <w:sz w:val="24"/>
              </w:rPr>
              <w:t>设计</w:t>
            </w:r>
            <w:r>
              <w:rPr>
                <w:rFonts w:ascii="宋体" w:hAnsi="宋体" w:cs="仿宋"/>
                <w:sz w:val="24"/>
              </w:rPr>
              <w:t xml:space="preserve">费 </w:t>
            </w:r>
          </w:p>
        </w:tc>
        <w:tc>
          <w:tcPr>
            <w:tcW w:w="2551" w:type="dxa"/>
            <w:vAlign w:val="center"/>
          </w:tcPr>
          <w:p>
            <w:pPr>
              <w:spacing w:line="360" w:lineRule="auto"/>
              <w:ind w:firstLine="1228" w:firstLineChars="512"/>
              <w:rPr>
                <w:rFonts w:ascii="宋体" w:hAnsi="宋体"/>
                <w:sz w:val="24"/>
              </w:rPr>
            </w:pPr>
          </w:p>
        </w:tc>
        <w:tc>
          <w:tcPr>
            <w:tcW w:w="1985"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129" w:type="dxa"/>
            <w:vAlign w:val="center"/>
          </w:tcPr>
          <w:p>
            <w:pPr>
              <w:spacing w:line="360" w:lineRule="auto"/>
              <w:jc w:val="center"/>
              <w:rPr>
                <w:rFonts w:ascii="宋体" w:hAnsi="宋体" w:cs="仿宋"/>
                <w:sz w:val="24"/>
              </w:rPr>
            </w:pPr>
            <w:r>
              <w:rPr>
                <w:rFonts w:hint="eastAsia" w:ascii="宋体" w:hAnsi="宋体" w:cs="仿宋"/>
                <w:sz w:val="24"/>
              </w:rPr>
              <w:t>2</w:t>
            </w:r>
          </w:p>
        </w:tc>
        <w:tc>
          <w:tcPr>
            <w:tcW w:w="3828" w:type="dxa"/>
            <w:vAlign w:val="center"/>
          </w:tcPr>
          <w:p>
            <w:pPr>
              <w:spacing w:line="360" w:lineRule="auto"/>
              <w:jc w:val="center"/>
              <w:rPr>
                <w:rFonts w:ascii="宋体" w:hAnsi="宋体" w:cs="仿宋"/>
                <w:sz w:val="24"/>
              </w:rPr>
            </w:pPr>
            <w:r>
              <w:rPr>
                <w:rFonts w:hint="eastAsia" w:ascii="宋体" w:hAnsi="宋体" w:cs="仿宋"/>
                <w:sz w:val="24"/>
              </w:rPr>
              <w:t>施工</w:t>
            </w:r>
            <w:r>
              <w:rPr>
                <w:rFonts w:ascii="宋体" w:hAnsi="宋体" w:cs="仿宋"/>
                <w:sz w:val="24"/>
              </w:rPr>
              <w:t>费</w:t>
            </w:r>
          </w:p>
        </w:tc>
        <w:tc>
          <w:tcPr>
            <w:tcW w:w="2551" w:type="dxa"/>
            <w:vAlign w:val="center"/>
          </w:tcPr>
          <w:p>
            <w:pPr>
              <w:spacing w:line="360" w:lineRule="auto"/>
              <w:ind w:firstLine="1228" w:firstLineChars="512"/>
              <w:rPr>
                <w:rFonts w:ascii="宋体" w:hAnsi="宋体" w:cs="仿宋"/>
                <w:sz w:val="24"/>
              </w:rPr>
            </w:pPr>
          </w:p>
        </w:tc>
        <w:tc>
          <w:tcPr>
            <w:tcW w:w="1985" w:type="dxa"/>
            <w:vAlign w:val="center"/>
          </w:tcPr>
          <w:p>
            <w:pPr>
              <w:spacing w:line="360" w:lineRule="auto"/>
              <w:rPr>
                <w:rFonts w:ascii="宋体" w:hAnsi="宋体"/>
                <w:sz w:val="24"/>
              </w:rPr>
            </w:pPr>
          </w:p>
        </w:tc>
      </w:tr>
    </w:tbl>
    <w:p>
      <w:pPr>
        <w:snapToGrid w:val="0"/>
        <w:spacing w:line="360" w:lineRule="auto"/>
        <w:ind w:right="-624" w:rightChars="-297"/>
        <w:rPr>
          <w:rFonts w:ascii="宋体" w:hAnsi="宋体"/>
          <w:sz w:val="24"/>
        </w:rPr>
      </w:pPr>
    </w:p>
    <w:p>
      <w:pPr>
        <w:pStyle w:val="158"/>
        <w:ind w:firstLine="0"/>
        <w:rPr>
          <w:rFonts w:ascii="宋体" w:hAnsi="宋体"/>
          <w:sz w:val="24"/>
          <w:szCs w:val="24"/>
        </w:rPr>
      </w:pPr>
    </w:p>
    <w:p>
      <w:pPr>
        <w:pStyle w:val="158"/>
        <w:ind w:firstLine="480" w:firstLineChars="200"/>
        <w:rPr>
          <w:rFonts w:ascii="宋体" w:hAnsi="宋体" w:cs="仿宋"/>
          <w:sz w:val="24"/>
          <w:szCs w:val="24"/>
        </w:rPr>
      </w:pPr>
      <w:r>
        <w:rPr>
          <w:rFonts w:hint="eastAsia" w:ascii="宋体" w:hAnsi="宋体" w:cs="仿宋"/>
          <w:sz w:val="24"/>
          <w:szCs w:val="24"/>
        </w:rPr>
        <w:t>供应商名称：</w:t>
      </w:r>
      <w:r>
        <w:rPr>
          <w:rFonts w:ascii="宋体" w:hAnsi="宋体" w:cs="仿宋"/>
          <w:sz w:val="24"/>
          <w:szCs w:val="24"/>
        </w:rPr>
        <w:t>XXXX</w:t>
      </w:r>
    </w:p>
    <w:p>
      <w:pPr>
        <w:pStyle w:val="158"/>
        <w:ind w:firstLine="480" w:firstLineChars="200"/>
        <w:rPr>
          <w:rFonts w:ascii="宋体" w:hAnsi="宋体"/>
          <w:sz w:val="24"/>
          <w:szCs w:val="24"/>
        </w:rPr>
      </w:pPr>
      <w:r>
        <w:rPr>
          <w:rFonts w:hint="eastAsia" w:ascii="宋体" w:hAnsi="宋体" w:cs="仿宋"/>
          <w:sz w:val="24"/>
          <w:szCs w:val="24"/>
        </w:rPr>
        <w:t>法定代表人或代理人：</w:t>
      </w:r>
      <w:r>
        <w:rPr>
          <w:rFonts w:ascii="宋体" w:hAnsi="宋体" w:cs="仿宋"/>
          <w:sz w:val="24"/>
          <w:szCs w:val="24"/>
        </w:rPr>
        <w:t>XXXX</w:t>
      </w:r>
      <w:r>
        <w:rPr>
          <w:rFonts w:hint="eastAsia" w:ascii="宋体" w:hAnsi="宋体" w:cs="仿宋"/>
          <w:sz w:val="24"/>
          <w:szCs w:val="24"/>
        </w:rPr>
        <w:t>（签字）</w:t>
      </w:r>
    </w:p>
    <w:p>
      <w:pPr>
        <w:pStyle w:val="158"/>
        <w:ind w:firstLine="480" w:firstLineChars="200"/>
        <w:rPr>
          <w:rFonts w:ascii="宋体" w:hAnsi="宋体"/>
          <w:sz w:val="24"/>
          <w:szCs w:val="24"/>
        </w:rPr>
      </w:pPr>
      <w:r>
        <w:rPr>
          <w:rFonts w:hint="eastAsia" w:ascii="宋体" w:hAnsi="宋体" w:cs="仿宋"/>
          <w:sz w:val="24"/>
          <w:szCs w:val="24"/>
        </w:rPr>
        <w:t>日期：</w:t>
      </w:r>
      <w:r>
        <w:rPr>
          <w:rFonts w:ascii="宋体" w:hAnsi="宋体" w:cs="仿宋"/>
          <w:sz w:val="24"/>
          <w:szCs w:val="24"/>
        </w:rPr>
        <w:t>XX</w:t>
      </w:r>
      <w:r>
        <w:rPr>
          <w:rFonts w:hint="eastAsia" w:ascii="宋体" w:hAnsi="宋体" w:cs="仿宋"/>
          <w:sz w:val="24"/>
          <w:szCs w:val="24"/>
        </w:rPr>
        <w:t>年</w:t>
      </w:r>
      <w:r>
        <w:rPr>
          <w:rFonts w:ascii="宋体" w:hAnsi="宋体" w:cs="仿宋"/>
          <w:sz w:val="24"/>
          <w:szCs w:val="24"/>
        </w:rPr>
        <w:t>XX</w:t>
      </w:r>
      <w:r>
        <w:rPr>
          <w:rFonts w:hint="eastAsia" w:ascii="宋体" w:hAnsi="宋体" w:cs="仿宋"/>
          <w:sz w:val="24"/>
          <w:szCs w:val="24"/>
        </w:rPr>
        <w:t>月</w:t>
      </w:r>
      <w:r>
        <w:rPr>
          <w:rFonts w:ascii="宋体" w:hAnsi="宋体" w:cs="仿宋"/>
          <w:sz w:val="24"/>
          <w:szCs w:val="24"/>
        </w:rPr>
        <w:t>XX</w:t>
      </w:r>
      <w:r>
        <w:rPr>
          <w:rFonts w:hint="eastAsia" w:ascii="宋体" w:hAnsi="宋体" w:cs="仿宋"/>
          <w:sz w:val="24"/>
          <w:szCs w:val="24"/>
        </w:rPr>
        <w:t>日</w:t>
      </w:r>
    </w:p>
    <w:p>
      <w:pPr>
        <w:pStyle w:val="158"/>
        <w:ind w:firstLine="551"/>
        <w:rPr>
          <w:rFonts w:ascii="宋体" w:hAnsi="宋体"/>
          <w:sz w:val="24"/>
          <w:szCs w:val="24"/>
        </w:rPr>
      </w:pPr>
      <w:r>
        <w:rPr>
          <w:rFonts w:hint="eastAsia" w:ascii="宋体" w:hAnsi="宋体" w:cs="仿宋"/>
          <w:sz w:val="24"/>
          <w:szCs w:val="24"/>
        </w:rPr>
        <w:t>说明：</w:t>
      </w:r>
      <w:r>
        <w:rPr>
          <w:rFonts w:ascii="宋体" w:hAnsi="宋体" w:cs="仿宋"/>
          <w:sz w:val="24"/>
          <w:szCs w:val="24"/>
        </w:rPr>
        <w:t>1</w:t>
      </w:r>
      <w:r>
        <w:rPr>
          <w:rFonts w:hint="eastAsia" w:ascii="宋体" w:hAnsi="宋体" w:cs="仿宋"/>
          <w:sz w:val="24"/>
          <w:szCs w:val="24"/>
        </w:rPr>
        <w:t>、供应商可不在响应文件中填写并提供此表。此表为磋商结束后，由供应商填写“最后报价”（表格由磋商小组提供），经供应商法定代表人或代理人签字后密封递交给采购代理机构工作人员，由其收集齐后集中递交磋商小组。供应商在响应文件中提交此表的，不影响其响应文件的有效性，其最后报价以磋商结束后提交的“最后报价”为准。</w:t>
      </w:r>
    </w:p>
    <w:p>
      <w:pPr>
        <w:pStyle w:val="158"/>
        <w:ind w:firstLine="551"/>
        <w:rPr>
          <w:rFonts w:ascii="宋体" w:hAnsi="宋体"/>
          <w:sz w:val="24"/>
          <w:szCs w:val="24"/>
        </w:rPr>
      </w:pPr>
      <w:r>
        <w:rPr>
          <w:rFonts w:ascii="宋体" w:hAnsi="宋体" w:cs="仿宋"/>
          <w:sz w:val="24"/>
          <w:szCs w:val="24"/>
        </w:rPr>
        <w:t>2</w:t>
      </w:r>
      <w:r>
        <w:rPr>
          <w:rFonts w:hint="eastAsia" w:ascii="宋体" w:hAnsi="宋体" w:cs="仿宋"/>
          <w:sz w:val="24"/>
          <w:szCs w:val="24"/>
        </w:rPr>
        <w:t>、报价应是包括磋商文件规定的全部相应内容的报价。</w:t>
      </w:r>
    </w:p>
    <w:p>
      <w:pPr>
        <w:spacing w:line="360" w:lineRule="auto"/>
        <w:rPr>
          <w:rFonts w:ascii="宋体" w:hAnsi="宋体"/>
        </w:rPr>
      </w:pPr>
    </w:p>
    <w:p>
      <w:pPr>
        <w:widowControl/>
        <w:jc w:val="left"/>
        <w:rPr>
          <w:rFonts w:ascii="宋体" w:hAnsi="宋体"/>
        </w:rPr>
      </w:pPr>
      <w:r>
        <w:rPr>
          <w:rFonts w:ascii="宋体" w:hAnsi="宋体"/>
          <w:sz w:val="24"/>
        </w:rPr>
        <w:br w:type="page"/>
      </w:r>
    </w:p>
    <w:p>
      <w:pPr>
        <w:spacing w:line="360" w:lineRule="auto"/>
        <w:rPr>
          <w:rFonts w:ascii="宋体" w:hAnsi="宋体"/>
          <w:sz w:val="32"/>
          <w:szCs w:val="32"/>
        </w:rPr>
      </w:pPr>
    </w:p>
    <w:bookmarkEnd w:id="89"/>
    <w:p>
      <w:pPr>
        <w:pStyle w:val="37"/>
        <w:rPr>
          <w:rFonts w:ascii="宋体" w:hAnsi="宋体" w:eastAsia="宋体"/>
        </w:rPr>
      </w:pPr>
      <w:bookmarkStart w:id="90" w:name="_Toc509579147"/>
      <w:bookmarkStart w:id="91" w:name="_Toc511289487"/>
      <w:r>
        <w:rPr>
          <w:rFonts w:hint="eastAsia" w:ascii="宋体" w:hAnsi="宋体" w:eastAsia="宋体"/>
        </w:rPr>
        <w:t>第八章  评审方法</w:t>
      </w:r>
      <w:bookmarkEnd w:id="90"/>
      <w:bookmarkEnd w:id="91"/>
    </w:p>
    <w:p>
      <w:pPr>
        <w:pStyle w:val="68"/>
        <w:ind w:firstLine="480"/>
        <w:rPr>
          <w:rFonts w:asciiTheme="minorEastAsia" w:hAnsiTheme="minorEastAsia" w:eastAsiaTheme="minorEastAsia"/>
        </w:rPr>
      </w:pPr>
      <w:bookmarkStart w:id="92" w:name="_Toc101174146"/>
      <w:bookmarkStart w:id="93" w:name="_Toc101250640"/>
      <w:bookmarkStart w:id="94" w:name="_Toc209847065"/>
      <w:bookmarkStart w:id="95" w:name="_Toc101338358"/>
      <w:bookmarkStart w:id="96" w:name="_Toc430773924"/>
    </w:p>
    <w:p>
      <w:pPr>
        <w:pStyle w:val="68"/>
        <w:ind w:firstLine="480"/>
        <w:rPr>
          <w:rFonts w:asciiTheme="minorEastAsia" w:hAnsiTheme="minorEastAsia" w:eastAsiaTheme="minorEastAsia"/>
        </w:rPr>
      </w:pPr>
      <w:r>
        <w:rPr>
          <w:rFonts w:hint="eastAsia" w:asciiTheme="minorEastAsia" w:hAnsiTheme="minorEastAsia" w:eastAsiaTheme="minorEastAsia"/>
        </w:rPr>
        <w:t>1.总则</w:t>
      </w:r>
    </w:p>
    <w:p>
      <w:pPr>
        <w:pStyle w:val="68"/>
        <w:ind w:firstLine="480"/>
        <w:rPr>
          <w:rFonts w:asciiTheme="minorEastAsia" w:hAnsiTheme="minorEastAsia" w:eastAsiaTheme="minorEastAsia"/>
          <w:b/>
        </w:rPr>
      </w:pPr>
      <w:r>
        <w:rPr>
          <w:rFonts w:hint="eastAsia" w:asciiTheme="minorEastAsia" w:hAnsiTheme="minorEastAsia" w:eastAsiaTheme="minorEastAsia"/>
        </w:rPr>
        <w:t>1.1 根据《中华人民共和国政府采购法》、《中华人民共和国政府采购法实施条例》、《政府采购竞争性磋商采购方式管理暂行办法》等法律制度，结合本采购项目特点制定本磋商方法。</w:t>
      </w:r>
    </w:p>
    <w:p>
      <w:pPr>
        <w:pStyle w:val="68"/>
        <w:ind w:firstLine="480"/>
        <w:rPr>
          <w:rFonts w:asciiTheme="minorEastAsia" w:hAnsiTheme="minorEastAsia" w:eastAsiaTheme="minorEastAsia"/>
          <w:b/>
        </w:rPr>
      </w:pPr>
      <w:r>
        <w:rPr>
          <w:rFonts w:hint="eastAsia" w:asciiTheme="minorEastAsia" w:hAnsiTheme="minorEastAsia" w:eastAsiaTheme="minorEastAsia"/>
        </w:rPr>
        <w:t>1.2 磋商工作由采购代理机构负责组织，具体磋商由采购代理机构依法组建的磋商小组负责。</w:t>
      </w:r>
    </w:p>
    <w:p>
      <w:pPr>
        <w:pStyle w:val="68"/>
        <w:ind w:firstLine="480"/>
        <w:rPr>
          <w:rFonts w:asciiTheme="minorEastAsia" w:hAnsiTheme="minorEastAsia" w:eastAsiaTheme="minorEastAsia"/>
          <w:b/>
        </w:rPr>
      </w:pPr>
      <w:r>
        <w:rPr>
          <w:rFonts w:hint="eastAsia" w:asciiTheme="minorEastAsia" w:hAnsiTheme="minorEastAsia" w:eastAsiaTheme="minorEastAsia"/>
        </w:rPr>
        <w:t>1.3 磋商工作应遵循公平、公正、科学及择优的原则，并以相同的磋商程序和标准对待所有的供应商。</w:t>
      </w:r>
    </w:p>
    <w:p>
      <w:pPr>
        <w:pStyle w:val="68"/>
        <w:ind w:firstLine="480"/>
        <w:rPr>
          <w:rFonts w:asciiTheme="minorEastAsia" w:hAnsiTheme="minorEastAsia" w:eastAsiaTheme="minorEastAsia"/>
          <w:b/>
        </w:rPr>
      </w:pPr>
      <w:r>
        <w:rPr>
          <w:rFonts w:hint="eastAsia" w:asciiTheme="minorEastAsia" w:hAnsiTheme="minorEastAsia" w:eastAsiaTheme="minorEastAsia"/>
        </w:rPr>
        <w:t>1.4 磋商小组按照磋商文件规定的磋商程序、评分方法和标准进行评审，并独立履行下列职责：</w:t>
      </w:r>
    </w:p>
    <w:p>
      <w:pPr>
        <w:pStyle w:val="68"/>
        <w:ind w:firstLine="480"/>
        <w:rPr>
          <w:rFonts w:asciiTheme="minorEastAsia" w:hAnsiTheme="minorEastAsia" w:eastAsiaTheme="minorEastAsia"/>
          <w:b/>
        </w:rPr>
      </w:pPr>
      <w:r>
        <w:rPr>
          <w:rFonts w:hint="eastAsia" w:asciiTheme="minorEastAsia" w:hAnsiTheme="minorEastAsia" w:eastAsiaTheme="minorEastAsia"/>
        </w:rPr>
        <w:t>（一）熟悉和理解磋商文件，确定磋商文件内容是否违反国家有关强制性规定或者磋商文件存在歧义、重大缺陷，根据需要书面要求采购人、采购代理机构对磋商文件作出解释；</w:t>
      </w:r>
    </w:p>
    <w:p>
      <w:pPr>
        <w:pStyle w:val="68"/>
        <w:ind w:firstLine="480"/>
        <w:rPr>
          <w:rFonts w:asciiTheme="minorEastAsia" w:hAnsiTheme="minorEastAsia" w:eastAsiaTheme="minorEastAsia"/>
          <w:b/>
        </w:rPr>
      </w:pPr>
      <w:r>
        <w:rPr>
          <w:rFonts w:hint="eastAsia" w:asciiTheme="minorEastAsia" w:hAnsiTheme="minorEastAsia" w:eastAsiaTheme="minorEastAsia"/>
        </w:rPr>
        <w:t>（二）审查供应商响应文件是否满足磋商文件要求，并作出公正评价；</w:t>
      </w:r>
    </w:p>
    <w:p>
      <w:pPr>
        <w:pStyle w:val="68"/>
        <w:ind w:firstLine="480"/>
        <w:rPr>
          <w:rFonts w:asciiTheme="minorEastAsia" w:hAnsiTheme="minorEastAsia" w:eastAsiaTheme="minorEastAsia"/>
          <w:b/>
        </w:rPr>
      </w:pPr>
      <w:r>
        <w:rPr>
          <w:rFonts w:hint="eastAsia" w:asciiTheme="minorEastAsia" w:hAnsiTheme="minorEastAsia" w:eastAsiaTheme="minorEastAsia"/>
        </w:rPr>
        <w:t>（三）根据需要要求供应商对响应文件中含义不明确、同类问题表述不一致或者有明显文字和计算错误的内容等作出必要的澄清、说明或者更正；</w:t>
      </w:r>
    </w:p>
    <w:p>
      <w:pPr>
        <w:pStyle w:val="68"/>
        <w:ind w:firstLine="480"/>
        <w:rPr>
          <w:rFonts w:asciiTheme="minorEastAsia" w:hAnsiTheme="minorEastAsia" w:eastAsiaTheme="minorEastAsia"/>
          <w:b/>
        </w:rPr>
      </w:pPr>
      <w:r>
        <w:rPr>
          <w:rFonts w:hint="eastAsia" w:asciiTheme="minorEastAsia" w:hAnsiTheme="minorEastAsia" w:eastAsiaTheme="minorEastAsia"/>
        </w:rPr>
        <w:t>（四）推荐成交供应商，或者受采购人委托确定成交供应商；</w:t>
      </w:r>
    </w:p>
    <w:p>
      <w:pPr>
        <w:pStyle w:val="68"/>
        <w:ind w:firstLine="480"/>
        <w:rPr>
          <w:rFonts w:asciiTheme="minorEastAsia" w:hAnsiTheme="minorEastAsia" w:eastAsiaTheme="minorEastAsia"/>
          <w:b/>
        </w:rPr>
      </w:pPr>
      <w:r>
        <w:rPr>
          <w:rFonts w:hint="eastAsia" w:asciiTheme="minorEastAsia" w:hAnsiTheme="minorEastAsia" w:eastAsiaTheme="minorEastAsia"/>
        </w:rPr>
        <w:t>（五）起草评审报告并进行签署；</w:t>
      </w:r>
    </w:p>
    <w:p>
      <w:pPr>
        <w:pStyle w:val="68"/>
        <w:ind w:firstLine="480"/>
        <w:rPr>
          <w:rFonts w:asciiTheme="minorEastAsia" w:hAnsiTheme="minorEastAsia" w:eastAsiaTheme="minorEastAsia"/>
          <w:b/>
        </w:rPr>
      </w:pPr>
      <w:r>
        <w:rPr>
          <w:rFonts w:hint="eastAsia" w:asciiTheme="minorEastAsia" w:hAnsiTheme="minorEastAsia" w:eastAsiaTheme="minorEastAsia"/>
        </w:rPr>
        <w:t>（六）向采购人/采购代理机构、财政部门或者其他监督部门报告非法干预评审工作的行为；</w:t>
      </w:r>
    </w:p>
    <w:p>
      <w:pPr>
        <w:pStyle w:val="68"/>
        <w:ind w:firstLine="480"/>
        <w:rPr>
          <w:rFonts w:asciiTheme="minorEastAsia" w:hAnsiTheme="minorEastAsia" w:eastAsiaTheme="minorEastAsia"/>
          <w:b/>
        </w:rPr>
      </w:pPr>
      <w:r>
        <w:rPr>
          <w:rFonts w:hint="eastAsia" w:asciiTheme="minorEastAsia" w:hAnsiTheme="minorEastAsia" w:eastAsiaTheme="minorEastAsia"/>
        </w:rPr>
        <w:t>（七）法律、法规和规章规定的其他职责。</w:t>
      </w:r>
    </w:p>
    <w:p>
      <w:pPr>
        <w:pStyle w:val="68"/>
        <w:ind w:firstLine="480"/>
        <w:rPr>
          <w:rFonts w:asciiTheme="minorEastAsia" w:hAnsiTheme="minorEastAsia" w:eastAsiaTheme="minorEastAsia"/>
          <w:b/>
        </w:rPr>
      </w:pPr>
      <w:r>
        <w:rPr>
          <w:rFonts w:hint="eastAsia" w:asciiTheme="minorEastAsia" w:hAnsiTheme="minorEastAsia" w:eastAsiaTheme="minorEastAsia"/>
        </w:rPr>
        <w:t>1.5磋商过程独立、保密。供应商非法干预磋商过程的，其响应文件作无效处理。</w:t>
      </w:r>
    </w:p>
    <w:p>
      <w:pPr>
        <w:pStyle w:val="68"/>
        <w:ind w:firstLine="480"/>
        <w:rPr>
          <w:rFonts w:asciiTheme="minorEastAsia" w:hAnsiTheme="minorEastAsia" w:eastAsiaTheme="minorEastAsia"/>
        </w:rPr>
      </w:pPr>
    </w:p>
    <w:p>
      <w:pPr>
        <w:pStyle w:val="68"/>
        <w:ind w:firstLine="480"/>
        <w:rPr>
          <w:rFonts w:asciiTheme="minorEastAsia" w:hAnsiTheme="minorEastAsia" w:eastAsiaTheme="minorEastAsia"/>
        </w:rPr>
      </w:pPr>
      <w:r>
        <w:rPr>
          <w:rFonts w:hint="eastAsia" w:asciiTheme="minorEastAsia" w:hAnsiTheme="minorEastAsia" w:eastAsiaTheme="minorEastAsia"/>
        </w:rPr>
        <w:t>2.磋商程序</w:t>
      </w:r>
    </w:p>
    <w:p>
      <w:pPr>
        <w:pStyle w:val="68"/>
        <w:ind w:firstLine="480"/>
        <w:rPr>
          <w:rFonts w:asciiTheme="minorEastAsia" w:hAnsiTheme="minorEastAsia" w:eastAsiaTheme="minorEastAsia"/>
          <w:b/>
        </w:rPr>
      </w:pPr>
      <w:r>
        <w:rPr>
          <w:rFonts w:hint="eastAsia" w:asciiTheme="minorEastAsia" w:hAnsiTheme="minorEastAsia" w:eastAsiaTheme="minorEastAsia"/>
        </w:rPr>
        <w:t>2.1审查磋商文件和停止评审。</w:t>
      </w:r>
    </w:p>
    <w:p>
      <w:pPr>
        <w:pStyle w:val="68"/>
        <w:ind w:firstLine="480"/>
        <w:rPr>
          <w:rFonts w:asciiTheme="minorEastAsia" w:hAnsiTheme="minorEastAsia" w:eastAsiaTheme="minorEastAsia"/>
          <w:b/>
        </w:rPr>
      </w:pPr>
      <w:r>
        <w:rPr>
          <w:rFonts w:hint="eastAsia" w:asciiTheme="minorEastAsia" w:hAnsiTheme="minorEastAsia" w:eastAsiaTheme="minorEastAsia"/>
        </w:rPr>
        <w:t>2.1.1 磋商小组正式评审前，应当对磋商文件进行熟悉和理解，内容主要包括磋商文件中供应商资格条件要求、采购项目技术、服务和商务要求、磋商办法和标准、政府采购政策要求以及政府采购合同主要条款等。</w:t>
      </w:r>
    </w:p>
    <w:p>
      <w:pPr>
        <w:pStyle w:val="68"/>
        <w:ind w:firstLine="480"/>
        <w:rPr>
          <w:rFonts w:asciiTheme="minorEastAsia" w:hAnsiTheme="minorEastAsia" w:eastAsiaTheme="minorEastAsia"/>
        </w:rPr>
      </w:pPr>
      <w:r>
        <w:rPr>
          <w:rFonts w:hint="eastAsia" w:asciiTheme="minorEastAsia" w:hAnsiTheme="minorEastAsia" w:eastAsiaTheme="minorEastAsia"/>
        </w:rPr>
        <w:t>2.1.2磋商小组熟悉和理解磋商文件以及评审过程中，发现磋商文件内容违反国家有关强制性规定或者磋商文件存在歧义、重大缺陷导致评审工作无法进行时,应当停止评审并向采购人或者采购代理机构书面说明情况。</w:t>
      </w:r>
    </w:p>
    <w:p>
      <w:pPr>
        <w:pStyle w:val="68"/>
        <w:ind w:firstLine="480"/>
        <w:rPr>
          <w:rFonts w:asciiTheme="minorEastAsia" w:hAnsiTheme="minorEastAsia" w:eastAsiaTheme="minorEastAsia"/>
        </w:rPr>
      </w:pPr>
      <w:r>
        <w:rPr>
          <w:rFonts w:hint="eastAsia" w:asciiTheme="minorEastAsia" w:hAnsiTheme="minorEastAsia" w:eastAsiaTheme="minorEastAsia"/>
        </w:rPr>
        <w:t>2.1.3除“2.1.2”规定的情形外，磋商小组成员不得以任何方式和理由停止评审。</w:t>
      </w:r>
    </w:p>
    <w:p>
      <w:pPr>
        <w:pStyle w:val="68"/>
        <w:ind w:firstLine="480"/>
        <w:rPr>
          <w:rFonts w:asciiTheme="minorEastAsia" w:hAnsiTheme="minorEastAsia" w:eastAsiaTheme="minorEastAsia"/>
          <w:b/>
        </w:rPr>
      </w:pPr>
      <w:r>
        <w:rPr>
          <w:rFonts w:hint="eastAsia" w:asciiTheme="minorEastAsia" w:hAnsiTheme="minorEastAsia" w:eastAsiaTheme="minorEastAsia"/>
        </w:rPr>
        <w:t>2.2资格性审查。</w:t>
      </w:r>
    </w:p>
    <w:p>
      <w:pPr>
        <w:pStyle w:val="68"/>
        <w:ind w:firstLine="480"/>
        <w:rPr>
          <w:rFonts w:asciiTheme="minorEastAsia" w:hAnsiTheme="minorEastAsia" w:eastAsiaTheme="minorEastAsia"/>
          <w:b/>
        </w:rPr>
      </w:pPr>
      <w:r>
        <w:rPr>
          <w:rFonts w:hint="eastAsia" w:asciiTheme="minorEastAsia" w:hAnsiTheme="minorEastAsia" w:eastAsiaTheme="minorEastAsia"/>
        </w:rPr>
        <w:t>2.2.1本项目需要磋商小组进行资格性检查。</w:t>
      </w:r>
    </w:p>
    <w:p>
      <w:pPr>
        <w:pStyle w:val="68"/>
        <w:ind w:firstLine="480"/>
        <w:rPr>
          <w:rFonts w:asciiTheme="minorEastAsia" w:hAnsiTheme="minorEastAsia" w:eastAsiaTheme="minorEastAsia"/>
          <w:b/>
        </w:rPr>
      </w:pPr>
      <w:r>
        <w:rPr>
          <w:rFonts w:hint="eastAsia" w:asciiTheme="minorEastAsia" w:hAnsiTheme="minorEastAsia" w:eastAsiaTheme="minorEastAsia"/>
        </w:rPr>
        <w:t>磋商小组应依据法律法规和磋商文件的规定，对响应文件是否按照规定要求提供资格性证明材料、是否属于禁止参加磋商的供应商等进行审查，以确定供应商是否具备磋商资格。</w:t>
      </w:r>
    </w:p>
    <w:p>
      <w:pPr>
        <w:pStyle w:val="68"/>
        <w:ind w:firstLine="480"/>
        <w:rPr>
          <w:rFonts w:asciiTheme="minorEastAsia" w:hAnsiTheme="minorEastAsia" w:eastAsiaTheme="minorEastAsia"/>
          <w:b/>
        </w:rPr>
      </w:pPr>
      <w:r>
        <w:rPr>
          <w:rFonts w:hint="eastAsia" w:asciiTheme="minorEastAsia" w:hAnsiTheme="minorEastAsia" w:eastAsiaTheme="minorEastAsia"/>
        </w:rPr>
        <w:t>2.2.2资格性审查结束后，磋商小组应当出具资格性审查报告，没有通过资格审查的供应商，磋商小组应当在资格审查报告中说明原因。</w:t>
      </w:r>
    </w:p>
    <w:p>
      <w:pPr>
        <w:pStyle w:val="68"/>
        <w:ind w:firstLine="480"/>
        <w:rPr>
          <w:rFonts w:asciiTheme="minorEastAsia" w:hAnsiTheme="minorEastAsia" w:eastAsiaTheme="minorEastAsia"/>
          <w:b/>
        </w:rPr>
      </w:pPr>
      <w:r>
        <w:rPr>
          <w:rFonts w:hint="eastAsia" w:asciiTheme="minorEastAsia" w:hAnsiTheme="minorEastAsia" w:eastAsiaTheme="minorEastAsia"/>
        </w:rPr>
        <w:t>2.2.3采购人或者采购代理机构宣布未通过资格性审查的供应商名单时，应当告知供应商未通过审查的原因。</w:t>
      </w:r>
    </w:p>
    <w:p>
      <w:pPr>
        <w:pStyle w:val="68"/>
        <w:ind w:firstLine="480"/>
        <w:rPr>
          <w:rFonts w:asciiTheme="minorEastAsia" w:hAnsiTheme="minorEastAsia" w:eastAsiaTheme="minorEastAsia"/>
          <w:b/>
        </w:rPr>
      </w:pPr>
      <w:r>
        <w:rPr>
          <w:rFonts w:hint="eastAsia" w:asciiTheme="minorEastAsia" w:hAnsiTheme="minorEastAsia" w:eastAsiaTheme="minorEastAsia"/>
        </w:rPr>
        <w:t>2.3 通过资格性审查的供应商不足3家的（本章2.3.1的情况除外），终止本次采购活动，并发布终止采购活动公告。</w:t>
      </w:r>
    </w:p>
    <w:p>
      <w:pPr>
        <w:pStyle w:val="68"/>
        <w:ind w:firstLine="480"/>
        <w:rPr>
          <w:rFonts w:asciiTheme="minorEastAsia" w:hAnsiTheme="minorEastAsia" w:eastAsiaTheme="minorEastAsia"/>
          <w:bCs/>
          <w:lang w:val="zh-CN"/>
        </w:rPr>
      </w:pPr>
      <w:r>
        <w:rPr>
          <w:rFonts w:hint="eastAsia" w:asciiTheme="minorEastAsia" w:hAnsiTheme="minorEastAsia" w:eastAsiaTheme="minorEastAsia"/>
          <w:bCs/>
        </w:rPr>
        <w:t>2.3.1</w:t>
      </w:r>
      <w:r>
        <w:rPr>
          <w:rFonts w:asciiTheme="minorEastAsia" w:hAnsiTheme="minorEastAsia" w:eastAsiaTheme="minorEastAsia"/>
          <w:bCs/>
          <w:lang w:val="zh-CN"/>
        </w:rPr>
        <w:t>根据《财政部关于政府采购竞争性磋商采购方式管理暂行办法有关问题的补充通知》财库[2015]124号的要求：“磋商项目为政府购买服务项目（含政府和社会资本合作项目），在采购过程中符合要求的供应商（社会资本）只有2家的，竞争性磋商采购活动可以继续进行”，若采购过程中符合要求的供应商（社会资本）只有2家，且采购人要求继续进行的，评审委员会应当遵照相关要求进行评审。</w:t>
      </w:r>
    </w:p>
    <w:p>
      <w:pPr>
        <w:pStyle w:val="68"/>
        <w:ind w:firstLine="480"/>
        <w:rPr>
          <w:rFonts w:asciiTheme="minorEastAsia" w:hAnsiTheme="minorEastAsia" w:eastAsiaTheme="minorEastAsia"/>
          <w:b/>
        </w:rPr>
      </w:pPr>
      <w:r>
        <w:rPr>
          <w:rFonts w:hint="eastAsia" w:asciiTheme="minorEastAsia" w:hAnsiTheme="minorEastAsia" w:eastAsiaTheme="minorEastAsia"/>
        </w:rPr>
        <w:t>2.4磋商。</w:t>
      </w:r>
    </w:p>
    <w:p>
      <w:pPr>
        <w:pStyle w:val="68"/>
        <w:ind w:firstLine="480"/>
        <w:rPr>
          <w:rFonts w:asciiTheme="minorEastAsia" w:hAnsiTheme="minorEastAsia" w:eastAsiaTheme="minorEastAsia"/>
          <w:b/>
        </w:rPr>
      </w:pPr>
      <w:r>
        <w:rPr>
          <w:rFonts w:hint="eastAsia" w:asciiTheme="minorEastAsia" w:hAnsiTheme="minorEastAsia" w:eastAsiaTheme="minorEastAsia"/>
        </w:rPr>
        <w:t>2.4.1磋商小组所有成员集中与单一供应商分别进行一轮或多轮磋商，并给予所有参加磋商的供应商平等的磋商机会。磋商顺序以现场抽签的方式确定。磋商过程中，磋商小组可以根据磋商情况调整磋商轮次。</w:t>
      </w:r>
    </w:p>
    <w:p>
      <w:pPr>
        <w:pStyle w:val="68"/>
        <w:ind w:firstLine="480"/>
        <w:rPr>
          <w:rFonts w:asciiTheme="minorEastAsia" w:hAnsiTheme="minorEastAsia" w:eastAsiaTheme="minorEastAsia"/>
          <w:b/>
        </w:rPr>
      </w:pPr>
      <w:r>
        <w:rPr>
          <w:rFonts w:hint="eastAsia" w:asciiTheme="minorEastAsia" w:hAnsiTheme="minorEastAsia" w:eastAsiaTheme="minorEastAsia"/>
        </w:rPr>
        <w:t>2.4.2每轮磋商开始前，磋商小组应根据磋商文件的规定，并结合各供应商的响应文件拟定磋商内容。</w:t>
      </w:r>
    </w:p>
    <w:p>
      <w:pPr>
        <w:pStyle w:val="68"/>
        <w:ind w:firstLine="480"/>
        <w:rPr>
          <w:rFonts w:asciiTheme="minorEastAsia" w:hAnsiTheme="minorEastAsia" w:eastAsiaTheme="minorEastAsia"/>
          <w:b/>
        </w:rPr>
      </w:pPr>
      <w:r>
        <w:rPr>
          <w:rFonts w:hint="eastAsia" w:asciiTheme="minorEastAsia" w:hAnsiTheme="minorEastAsia" w:eastAsiaTheme="minorEastAsia"/>
        </w:rPr>
        <w:t>2.4.3在磋商过程中，磋商小组可以根据磋商文件和磋商情况实质性变动磋商文件的技术、服务要求以及合同草案条款，但不得变动磋商文件中的其他内容。实质性变动的内容，须经采购人代表书面确认。</w:t>
      </w:r>
    </w:p>
    <w:p>
      <w:pPr>
        <w:pStyle w:val="68"/>
        <w:ind w:firstLine="480"/>
        <w:rPr>
          <w:rFonts w:asciiTheme="minorEastAsia" w:hAnsiTheme="minorEastAsia" w:eastAsiaTheme="minorEastAsia"/>
          <w:b/>
        </w:rPr>
      </w:pPr>
      <w:r>
        <w:rPr>
          <w:rFonts w:hint="eastAsia" w:asciiTheme="minorEastAsia" w:hAnsiTheme="minorEastAsia" w:eastAsiaTheme="minorEastAsia"/>
        </w:rPr>
        <w:t>2.4.4对磋商文件作出的实质性变动是磋商文件的有效组成部分，磋商小组应当及时以书面形式同时通知所有参加磋商的供应商。</w:t>
      </w:r>
    </w:p>
    <w:p>
      <w:pPr>
        <w:pStyle w:val="68"/>
        <w:ind w:firstLine="480"/>
        <w:rPr>
          <w:rFonts w:asciiTheme="minorEastAsia" w:hAnsiTheme="minorEastAsia" w:eastAsiaTheme="minorEastAsia"/>
          <w:b/>
        </w:rPr>
      </w:pPr>
      <w:r>
        <w:rPr>
          <w:rFonts w:hint="eastAsia" w:asciiTheme="minorEastAsia" w:hAnsiTheme="minorEastAsia" w:eastAsiaTheme="minorEastAsia"/>
        </w:rPr>
        <w:t>2.4.5磋商过程中，磋商文件变动的，供应商应当按照磋商文件的变动情况和磋商小组的要求重新提交响应文件，并由其法定代表人/主要负责人/本人或其授权代表签字（注：供应商为法人的，应当由其法定代表人或者授权代表签字确认；供应商为其他组织的，应当由其主要负责人或者授权代表签字确认；供应商为自然人的，应当由其本人或者授权代表签字确认）或者加盖公章。</w:t>
      </w:r>
    </w:p>
    <w:p>
      <w:pPr>
        <w:pStyle w:val="68"/>
        <w:ind w:firstLine="480"/>
        <w:rPr>
          <w:rFonts w:asciiTheme="minorEastAsia" w:hAnsiTheme="minorEastAsia" w:eastAsiaTheme="minorEastAsia"/>
        </w:rPr>
      </w:pPr>
      <w:r>
        <w:rPr>
          <w:rFonts w:hint="eastAsia" w:asciiTheme="minorEastAsia" w:hAnsiTheme="minorEastAsia" w:eastAsiaTheme="minorEastAsia"/>
        </w:rPr>
        <w:t>2.4.6</w:t>
      </w:r>
      <w:r>
        <w:rPr>
          <w:rFonts w:asciiTheme="minorEastAsia" w:hAnsiTheme="minorEastAsia" w:eastAsiaTheme="minorEastAsia"/>
          <w:lang w:val="zh-CN"/>
        </w:rPr>
        <w:t>有效性、完整性和响应程度审查</w:t>
      </w:r>
      <w:r>
        <w:rPr>
          <w:rFonts w:hint="eastAsia" w:asciiTheme="minorEastAsia" w:hAnsiTheme="minorEastAsia" w:eastAsiaTheme="minorEastAsia"/>
          <w:lang w:val="zh-CN"/>
        </w:rPr>
        <w:t>(符合性</w:t>
      </w:r>
      <w:r>
        <w:rPr>
          <w:rFonts w:asciiTheme="minorEastAsia" w:hAnsiTheme="minorEastAsia" w:eastAsiaTheme="minorEastAsia"/>
          <w:lang w:val="zh-CN"/>
        </w:rPr>
        <w:t>审查</w:t>
      </w:r>
      <w:r>
        <w:rPr>
          <w:rFonts w:hint="eastAsia" w:asciiTheme="minorEastAsia" w:hAnsiTheme="minorEastAsia" w:eastAsiaTheme="minorEastAsia"/>
          <w:lang w:val="zh-CN"/>
        </w:rPr>
        <w:t>)</w:t>
      </w:r>
    </w:p>
    <w:p>
      <w:pPr>
        <w:pStyle w:val="68"/>
        <w:ind w:firstLine="480"/>
        <w:rPr>
          <w:rFonts w:asciiTheme="minorEastAsia" w:hAnsiTheme="minorEastAsia" w:eastAsiaTheme="minorEastAsia"/>
        </w:rPr>
      </w:pPr>
      <w:r>
        <w:rPr>
          <w:rFonts w:hint="eastAsia" w:asciiTheme="minorEastAsia" w:hAnsiTheme="minorEastAsia" w:eastAsiaTheme="minorEastAsia"/>
        </w:rPr>
        <w:t>2.4.6.1</w:t>
      </w:r>
      <w:r>
        <w:rPr>
          <w:rFonts w:asciiTheme="minorEastAsia" w:hAnsiTheme="minorEastAsia" w:eastAsiaTheme="minorEastAsia"/>
        </w:rPr>
        <w:t>磋商过程中，</w:t>
      </w:r>
      <w:r>
        <w:rPr>
          <w:rFonts w:asciiTheme="minorEastAsia" w:hAnsiTheme="minorEastAsia" w:eastAsiaTheme="minorEastAsia"/>
          <w:lang w:val="zh-CN"/>
        </w:rPr>
        <w:t>磋商小组对</w:t>
      </w:r>
      <w:r>
        <w:rPr>
          <w:rFonts w:hint="eastAsia" w:asciiTheme="minorEastAsia" w:hAnsiTheme="minorEastAsia" w:eastAsiaTheme="minorEastAsia"/>
          <w:lang w:val="zh-CN"/>
        </w:rPr>
        <w:t>供应商递交的首次</w:t>
      </w:r>
      <w:r>
        <w:rPr>
          <w:rFonts w:asciiTheme="minorEastAsia" w:hAnsiTheme="minorEastAsia" w:eastAsiaTheme="minorEastAsia"/>
          <w:lang w:val="zh-CN"/>
        </w:rPr>
        <w:t>响应文件进行审查，审查中发现供应商</w:t>
      </w:r>
      <w:r>
        <w:rPr>
          <w:rFonts w:hint="eastAsia" w:asciiTheme="minorEastAsia" w:hAnsiTheme="minorEastAsia" w:eastAsiaTheme="minorEastAsia"/>
          <w:lang w:val="zh-CN"/>
        </w:rPr>
        <w:t>首次</w:t>
      </w:r>
      <w:r>
        <w:rPr>
          <w:rFonts w:asciiTheme="minorEastAsia" w:hAnsiTheme="minorEastAsia" w:eastAsiaTheme="minorEastAsia"/>
          <w:lang w:val="zh-CN"/>
        </w:rPr>
        <w:t>响应文件</w:t>
      </w:r>
      <w:r>
        <w:rPr>
          <w:rFonts w:hint="eastAsia" w:asciiTheme="minorEastAsia" w:hAnsiTheme="minorEastAsia" w:eastAsiaTheme="minorEastAsia"/>
          <w:lang w:val="zh-CN"/>
        </w:rPr>
        <w:t>有</w:t>
      </w:r>
      <w:r>
        <w:rPr>
          <w:rFonts w:asciiTheme="minorEastAsia" w:hAnsiTheme="minorEastAsia" w:eastAsiaTheme="minorEastAsia"/>
          <w:lang w:val="zh-CN"/>
        </w:rPr>
        <w:t>下列情况之一的，应按照无效响应文件处理：</w:t>
      </w:r>
    </w:p>
    <w:p>
      <w:pPr>
        <w:pStyle w:val="68"/>
        <w:ind w:firstLine="480"/>
        <w:rPr>
          <w:rFonts w:asciiTheme="minorEastAsia" w:hAnsiTheme="minorEastAsia" w:eastAsiaTheme="minorEastAsia"/>
          <w:lang w:val="zh-CN"/>
        </w:rPr>
      </w:pPr>
      <w:r>
        <w:rPr>
          <w:rFonts w:asciiTheme="minorEastAsia" w:hAnsiTheme="minorEastAsia" w:eastAsiaTheme="minorEastAsia"/>
          <w:lang w:val="zh-CN"/>
        </w:rPr>
        <w:t>（1）响应文件正副本数量不足的；</w:t>
      </w:r>
    </w:p>
    <w:p>
      <w:pPr>
        <w:pStyle w:val="68"/>
        <w:ind w:firstLine="480"/>
        <w:rPr>
          <w:rFonts w:asciiTheme="minorEastAsia" w:hAnsiTheme="minorEastAsia" w:eastAsiaTheme="minorEastAsia"/>
          <w:lang w:val="zh-CN"/>
        </w:rPr>
      </w:pPr>
      <w:r>
        <w:rPr>
          <w:rFonts w:asciiTheme="minorEastAsia" w:hAnsiTheme="minorEastAsia" w:eastAsiaTheme="minorEastAsia"/>
          <w:lang w:val="zh-CN"/>
        </w:rPr>
        <w:t>（</w:t>
      </w:r>
      <w:r>
        <w:rPr>
          <w:rFonts w:hint="eastAsia" w:asciiTheme="minorEastAsia" w:hAnsiTheme="minorEastAsia" w:eastAsiaTheme="minorEastAsia"/>
        </w:rPr>
        <w:t>2</w:t>
      </w:r>
      <w:r>
        <w:rPr>
          <w:rFonts w:asciiTheme="minorEastAsia" w:hAnsiTheme="minorEastAsia" w:eastAsiaTheme="minorEastAsia"/>
          <w:lang w:val="zh-CN"/>
        </w:rPr>
        <w:t>）响应文件的语言、报价货币</w:t>
      </w:r>
      <w:r>
        <w:rPr>
          <w:rFonts w:hint="eastAsia" w:asciiTheme="minorEastAsia" w:hAnsiTheme="minorEastAsia" w:eastAsiaTheme="minorEastAsia"/>
          <w:lang w:val="zh-CN"/>
        </w:rPr>
        <w:t>、</w:t>
      </w:r>
      <w:r>
        <w:rPr>
          <w:rFonts w:asciiTheme="minorEastAsia" w:hAnsiTheme="minorEastAsia" w:eastAsiaTheme="minorEastAsia"/>
          <w:lang w:val="zh-CN"/>
        </w:rPr>
        <w:t>知识产权</w:t>
      </w:r>
      <w:r>
        <w:rPr>
          <w:rFonts w:hint="eastAsia" w:asciiTheme="minorEastAsia" w:hAnsiTheme="minorEastAsia" w:eastAsiaTheme="minorEastAsia"/>
          <w:lang w:val="zh-CN"/>
        </w:rPr>
        <w:t>、响应文件有效期</w:t>
      </w:r>
      <w:r>
        <w:rPr>
          <w:rFonts w:asciiTheme="minorEastAsia" w:hAnsiTheme="minorEastAsia" w:eastAsiaTheme="minorEastAsia"/>
          <w:lang w:val="zh-CN"/>
        </w:rPr>
        <w:t>不符合采购文件的规定，影响磋商小组评判的；</w:t>
      </w:r>
    </w:p>
    <w:p>
      <w:pPr>
        <w:pStyle w:val="68"/>
        <w:ind w:firstLine="480"/>
        <w:rPr>
          <w:rFonts w:asciiTheme="minorEastAsia" w:hAnsiTheme="minorEastAsia" w:eastAsiaTheme="minorEastAsia"/>
        </w:rPr>
      </w:pPr>
      <w:r>
        <w:rPr>
          <w:rFonts w:hint="eastAsia" w:asciiTheme="minorEastAsia" w:hAnsiTheme="minorEastAsia" w:eastAsiaTheme="minorEastAsia"/>
          <w:lang w:val="zh-CN"/>
        </w:rPr>
        <w:t xml:space="preserve">2.4.6.2经最终磋商后，响应文件仍有下列情况之一的，应按照无效响应文件处理： </w:t>
      </w:r>
    </w:p>
    <w:p>
      <w:pPr>
        <w:pStyle w:val="68"/>
        <w:ind w:firstLine="480"/>
        <w:rPr>
          <w:rFonts w:asciiTheme="minorEastAsia" w:hAnsiTheme="minorEastAsia" w:eastAsiaTheme="minorEastAsia"/>
        </w:rPr>
      </w:pPr>
      <w:r>
        <w:rPr>
          <w:rFonts w:hint="eastAsia" w:asciiTheme="minorEastAsia" w:hAnsiTheme="minorEastAsia" w:eastAsiaTheme="minorEastAsia"/>
        </w:rPr>
        <w:t>（1）</w:t>
      </w:r>
      <w:r>
        <w:rPr>
          <w:rFonts w:asciiTheme="minorEastAsia" w:hAnsiTheme="minorEastAsia" w:eastAsiaTheme="minorEastAsia"/>
          <w:lang w:val="zh-CN"/>
        </w:rPr>
        <w:t>响应文件仍不能完全响应采购文件的实质性要求的</w:t>
      </w:r>
      <w:r>
        <w:rPr>
          <w:rFonts w:hint="eastAsia" w:asciiTheme="minorEastAsia" w:hAnsiTheme="minorEastAsia" w:eastAsiaTheme="minorEastAsia"/>
          <w:lang w:val="zh-CN"/>
        </w:rPr>
        <w:t>；</w:t>
      </w:r>
    </w:p>
    <w:p>
      <w:pPr>
        <w:pStyle w:val="68"/>
        <w:ind w:firstLine="480"/>
        <w:rPr>
          <w:rFonts w:asciiTheme="minorEastAsia" w:hAnsiTheme="minorEastAsia" w:eastAsiaTheme="minorEastAsia"/>
        </w:rPr>
      </w:pPr>
      <w:r>
        <w:rPr>
          <w:rFonts w:hint="eastAsia" w:asciiTheme="minorEastAsia" w:hAnsiTheme="minorEastAsia" w:eastAsiaTheme="minorEastAsia"/>
        </w:rPr>
        <w:t>（2）响应文件仍中有规定的其他无效响应情形的。</w:t>
      </w:r>
    </w:p>
    <w:p>
      <w:pPr>
        <w:pStyle w:val="68"/>
        <w:ind w:firstLine="480"/>
        <w:rPr>
          <w:rFonts w:asciiTheme="minorEastAsia" w:hAnsiTheme="minorEastAsia" w:eastAsiaTheme="minorEastAsia"/>
          <w:lang w:val="zh-CN"/>
        </w:rPr>
      </w:pPr>
      <w:r>
        <w:rPr>
          <w:rFonts w:hint="eastAsia" w:asciiTheme="minorEastAsia" w:hAnsiTheme="minorEastAsia" w:eastAsiaTheme="minorEastAsia"/>
          <w:lang w:val="zh-CN"/>
        </w:rPr>
        <w:t>2.4.6.3</w:t>
      </w:r>
      <w:r>
        <w:rPr>
          <w:rFonts w:asciiTheme="minorEastAsia" w:hAnsiTheme="minorEastAsia" w:eastAsiaTheme="minorEastAsia"/>
          <w:lang w:val="zh-CN"/>
        </w:rPr>
        <w:t>磋商小组对响应文件签署、盖章等进行审查过程中，有下列情形的，磋商小组应当评定为不影响整个响应文件有效性和采购活动公平竞争，并通过响应文件的有效性审查：</w:t>
      </w:r>
    </w:p>
    <w:p>
      <w:pPr>
        <w:pStyle w:val="68"/>
        <w:ind w:firstLine="480"/>
        <w:rPr>
          <w:rFonts w:asciiTheme="minorEastAsia" w:hAnsiTheme="minorEastAsia" w:eastAsiaTheme="minorEastAsia"/>
          <w:lang w:val="zh-CN"/>
        </w:rPr>
      </w:pPr>
      <w:r>
        <w:rPr>
          <w:rFonts w:asciiTheme="minorEastAsia" w:hAnsiTheme="minorEastAsia" w:eastAsiaTheme="minorEastAsia"/>
          <w:lang w:val="zh-CN"/>
        </w:rPr>
        <w:t xml:space="preserve"> （</w:t>
      </w:r>
      <w:r>
        <w:rPr>
          <w:rFonts w:hint="eastAsia" w:asciiTheme="minorEastAsia" w:hAnsiTheme="minorEastAsia" w:eastAsiaTheme="minorEastAsia"/>
        </w:rPr>
        <w:t>1</w:t>
      </w:r>
      <w:r>
        <w:rPr>
          <w:rFonts w:asciiTheme="minorEastAsia" w:hAnsiTheme="minorEastAsia" w:eastAsiaTheme="minorEastAsia"/>
          <w:lang w:val="zh-CN"/>
        </w:rPr>
        <w:t>）响应文件存在个别地方（总数不能超过2个）没有法定代表人/单位负责人签字，但有法定代表人/单位负责人的私人印章或者有效授权代理人签字的；</w:t>
      </w:r>
    </w:p>
    <w:p>
      <w:pPr>
        <w:pStyle w:val="68"/>
        <w:ind w:firstLine="480"/>
        <w:rPr>
          <w:rFonts w:asciiTheme="minorEastAsia" w:hAnsiTheme="minorEastAsia" w:eastAsiaTheme="minorEastAsia"/>
          <w:lang w:val="zh-CN"/>
        </w:rPr>
      </w:pPr>
      <w:r>
        <w:rPr>
          <w:rFonts w:asciiTheme="minorEastAsia" w:hAnsiTheme="minorEastAsia" w:eastAsiaTheme="minorEastAsia"/>
          <w:lang w:val="zh-CN"/>
        </w:rPr>
        <w:t xml:space="preserve"> （</w:t>
      </w:r>
      <w:r>
        <w:rPr>
          <w:rFonts w:hint="eastAsia" w:asciiTheme="minorEastAsia" w:hAnsiTheme="minorEastAsia" w:eastAsiaTheme="minorEastAsia"/>
        </w:rPr>
        <w:t>2</w:t>
      </w:r>
      <w:r>
        <w:rPr>
          <w:rFonts w:asciiTheme="minorEastAsia" w:hAnsiTheme="minorEastAsia" w:eastAsiaTheme="minorEastAsia"/>
          <w:lang w:val="zh-CN"/>
        </w:rPr>
        <w:t>）响应文件除采购文件明确要求加盖单位(法人)公章的以外，其他地方以相关专用章加盖的；</w:t>
      </w:r>
    </w:p>
    <w:p>
      <w:pPr>
        <w:pStyle w:val="68"/>
        <w:ind w:firstLine="480"/>
        <w:rPr>
          <w:rFonts w:asciiTheme="minorEastAsia" w:hAnsiTheme="minorEastAsia" w:eastAsiaTheme="minorEastAsia"/>
          <w:lang w:val="zh-CN"/>
        </w:rPr>
      </w:pPr>
      <w:r>
        <w:rPr>
          <w:rFonts w:asciiTheme="minorEastAsia" w:hAnsiTheme="minorEastAsia" w:eastAsiaTheme="minorEastAsia"/>
          <w:lang w:val="zh-CN"/>
        </w:rPr>
        <w:t xml:space="preserve"> （</w:t>
      </w:r>
      <w:r>
        <w:rPr>
          <w:rFonts w:hint="eastAsia" w:asciiTheme="minorEastAsia" w:hAnsiTheme="minorEastAsia" w:eastAsiaTheme="minorEastAsia"/>
        </w:rPr>
        <w:t>3</w:t>
      </w:r>
      <w:r>
        <w:rPr>
          <w:rFonts w:asciiTheme="minorEastAsia" w:hAnsiTheme="minorEastAsia" w:eastAsiaTheme="minorEastAsia"/>
          <w:lang w:val="zh-CN"/>
        </w:rPr>
        <w:t>）以骑缝章的形式代替响应文件内容逐页盖章的（但是骑缝章模糊不清，印章名称无法辨认的除外）。</w:t>
      </w:r>
    </w:p>
    <w:p>
      <w:pPr>
        <w:pStyle w:val="68"/>
        <w:ind w:firstLine="480"/>
        <w:rPr>
          <w:rFonts w:asciiTheme="minorEastAsia" w:hAnsiTheme="minorEastAsia" w:eastAsiaTheme="minorEastAsia"/>
        </w:rPr>
      </w:pPr>
      <w:r>
        <w:rPr>
          <w:rFonts w:hint="eastAsia" w:asciiTheme="minorEastAsia" w:hAnsiTheme="minorEastAsia" w:eastAsiaTheme="minorEastAsia"/>
        </w:rPr>
        <w:t>2.4.6.4</w:t>
      </w:r>
      <w:r>
        <w:rPr>
          <w:rFonts w:asciiTheme="minorEastAsia" w:hAnsiTheme="minorEastAsia" w:eastAsiaTheme="minorEastAsia"/>
        </w:rPr>
        <w:t>磋商小组</w:t>
      </w:r>
      <w:r>
        <w:rPr>
          <w:rFonts w:asciiTheme="minorEastAsia" w:hAnsiTheme="minorEastAsia" w:eastAsiaTheme="minorEastAsia"/>
          <w:lang w:val="zh-CN"/>
        </w:rPr>
        <w:t>对所有响应文件的有效性、完整性和响应程度进行审查</w:t>
      </w:r>
      <w:r>
        <w:rPr>
          <w:rFonts w:asciiTheme="minorEastAsia" w:hAnsiTheme="minorEastAsia" w:eastAsiaTheme="minorEastAsia"/>
        </w:rPr>
        <w:t>后，向采购</w:t>
      </w:r>
      <w:r>
        <w:rPr>
          <w:rFonts w:asciiTheme="minorEastAsia" w:hAnsiTheme="minorEastAsia" w:eastAsiaTheme="minorEastAsia"/>
          <w:lang w:val="zh-CN"/>
        </w:rPr>
        <w:t>代理机构</w:t>
      </w:r>
      <w:r>
        <w:rPr>
          <w:rFonts w:asciiTheme="minorEastAsia" w:hAnsiTheme="minorEastAsia" w:eastAsiaTheme="minorEastAsia"/>
        </w:rPr>
        <w:t>出具</w:t>
      </w:r>
      <w:r>
        <w:rPr>
          <w:rFonts w:asciiTheme="minorEastAsia" w:hAnsiTheme="minorEastAsia" w:eastAsiaTheme="minorEastAsia"/>
          <w:lang w:val="zh-CN"/>
        </w:rPr>
        <w:t>有效性、完整性和响应程度</w:t>
      </w:r>
      <w:r>
        <w:rPr>
          <w:rFonts w:asciiTheme="minorEastAsia" w:hAnsiTheme="minorEastAsia" w:eastAsiaTheme="minorEastAsia"/>
        </w:rPr>
        <w:t>审查报告，确定继续磋商的供应商名单。没有通过</w:t>
      </w:r>
      <w:r>
        <w:rPr>
          <w:rFonts w:asciiTheme="minorEastAsia" w:hAnsiTheme="minorEastAsia" w:eastAsiaTheme="minorEastAsia"/>
          <w:lang w:val="zh-CN"/>
        </w:rPr>
        <w:t>有效性、完整性和响应程度</w:t>
      </w:r>
      <w:r>
        <w:rPr>
          <w:rFonts w:asciiTheme="minorEastAsia" w:hAnsiTheme="minorEastAsia" w:eastAsiaTheme="minorEastAsia"/>
        </w:rPr>
        <w:t>审查的供应商，磋商小组应在</w:t>
      </w:r>
      <w:r>
        <w:rPr>
          <w:rFonts w:asciiTheme="minorEastAsia" w:hAnsiTheme="minorEastAsia" w:eastAsiaTheme="minorEastAsia"/>
          <w:lang w:val="zh-CN"/>
        </w:rPr>
        <w:t>有效性、完整性和响应程度</w:t>
      </w:r>
      <w:r>
        <w:rPr>
          <w:rFonts w:asciiTheme="minorEastAsia" w:hAnsiTheme="minorEastAsia" w:eastAsiaTheme="minorEastAsia"/>
        </w:rPr>
        <w:t>审查报告中说明原因。</w:t>
      </w:r>
    </w:p>
    <w:p>
      <w:pPr>
        <w:pStyle w:val="68"/>
        <w:ind w:firstLine="480"/>
        <w:rPr>
          <w:rFonts w:asciiTheme="minorEastAsia" w:hAnsiTheme="minorEastAsia" w:eastAsiaTheme="minorEastAsia"/>
          <w:b/>
        </w:rPr>
      </w:pPr>
      <w:r>
        <w:rPr>
          <w:rFonts w:hint="eastAsia" w:asciiTheme="minorEastAsia" w:hAnsiTheme="minorEastAsia" w:eastAsiaTheme="minorEastAsia"/>
        </w:rPr>
        <w:t>2.4.7磋商过程中，磋商的任何一方不得透露与磋商有关的其他供应商的技术资料、价格和其他信息。</w:t>
      </w:r>
    </w:p>
    <w:p>
      <w:pPr>
        <w:pStyle w:val="68"/>
        <w:ind w:firstLine="480"/>
        <w:rPr>
          <w:rFonts w:asciiTheme="minorEastAsia" w:hAnsiTheme="minorEastAsia" w:eastAsiaTheme="minorEastAsia"/>
          <w:b/>
        </w:rPr>
      </w:pPr>
      <w:r>
        <w:rPr>
          <w:rFonts w:hint="eastAsia" w:asciiTheme="minorEastAsia" w:hAnsiTheme="minorEastAsia" w:eastAsiaTheme="minorEastAsia"/>
        </w:rPr>
        <w:t>2.4.8磋商过程中，磋商小组发现或者知晓供应商存在违法、违纪行为的，磋商小组应当将该供应商响应文件作无效处理，不允许其提交最后报价。</w:t>
      </w:r>
    </w:p>
    <w:p>
      <w:pPr>
        <w:pStyle w:val="68"/>
        <w:ind w:firstLine="480"/>
        <w:rPr>
          <w:rFonts w:asciiTheme="minorEastAsia" w:hAnsiTheme="minorEastAsia" w:eastAsiaTheme="minorEastAsia"/>
          <w:b/>
        </w:rPr>
      </w:pPr>
      <w:r>
        <w:rPr>
          <w:rFonts w:hint="eastAsia" w:asciiTheme="minorEastAsia" w:hAnsiTheme="minorEastAsia" w:eastAsiaTheme="minorEastAsia"/>
        </w:rPr>
        <w:t>2.4.9磋商完成后，磋商小组应出具磋商情况记录表，磋商情况记录表需包含磋商内容、磋商意见、实质性变动内容等。</w:t>
      </w:r>
    </w:p>
    <w:p>
      <w:pPr>
        <w:pStyle w:val="68"/>
        <w:ind w:firstLine="480"/>
        <w:rPr>
          <w:rFonts w:asciiTheme="minorEastAsia" w:hAnsiTheme="minorEastAsia" w:eastAsiaTheme="minorEastAsia"/>
        </w:rPr>
      </w:pPr>
      <w:r>
        <w:rPr>
          <w:rFonts w:hint="eastAsia" w:asciiTheme="minorEastAsia" w:hAnsiTheme="minorEastAsia" w:eastAsiaTheme="minorEastAsia"/>
        </w:rPr>
        <w:t>2.5报价</w:t>
      </w:r>
    </w:p>
    <w:p>
      <w:pPr>
        <w:pStyle w:val="68"/>
        <w:ind w:firstLine="480"/>
        <w:rPr>
          <w:rFonts w:asciiTheme="minorEastAsia" w:hAnsiTheme="minorEastAsia" w:eastAsiaTheme="minorEastAsia"/>
          <w:lang w:val="zh-CN"/>
        </w:rPr>
      </w:pPr>
      <w:r>
        <w:rPr>
          <w:rFonts w:hint="eastAsia" w:asciiTheme="minorEastAsia" w:hAnsiTheme="minorEastAsia" w:eastAsiaTheme="minorEastAsia"/>
        </w:rPr>
        <w:t>2.5.1除首次响应文件中的报价以外，供应商</w:t>
      </w:r>
      <w:r>
        <w:rPr>
          <w:rFonts w:asciiTheme="minorEastAsia" w:hAnsiTheme="minorEastAsia" w:eastAsiaTheme="minorEastAsia"/>
        </w:rPr>
        <w:t>报价</w:t>
      </w:r>
      <w:r>
        <w:rPr>
          <w:rFonts w:hint="eastAsia" w:asciiTheme="minorEastAsia" w:hAnsiTheme="minorEastAsia" w:eastAsiaTheme="minorEastAsia"/>
        </w:rPr>
        <w:t>采用现场报价。</w:t>
      </w:r>
    </w:p>
    <w:p>
      <w:pPr>
        <w:pStyle w:val="68"/>
        <w:ind w:firstLine="480"/>
        <w:rPr>
          <w:rFonts w:asciiTheme="minorEastAsia" w:hAnsiTheme="minorEastAsia" w:eastAsiaTheme="minorEastAsia"/>
        </w:rPr>
      </w:pPr>
      <w:r>
        <w:rPr>
          <w:rFonts w:hint="eastAsia" w:asciiTheme="minorEastAsia" w:hAnsiTheme="minorEastAsia" w:eastAsiaTheme="minorEastAsia"/>
        </w:rPr>
        <w:t>2.5.2磋商小组应当要求所有实质性响应的供应商在规定时间内提交最后报价或者多轮报价后再最后报价，提交最后报价的供应商不得少于3家。两轮（首次响应文件中的报价为第一轮）以上报价的，供应商在未提高响应文件中承诺的产品及其服务质量的情况下，其最后报价不得高于对该项目之前的报价，否则，磋商小组应当对其响应文件按无效处理，不允许进入综合评分，并书面告知供应商，说明理由。磋商小组认为供应商最后报价明显低于成本价，在磋商小组发出质询函后供应商未能提供合理的成本分析和价格构成的或对质函询的解释未被磋商小组采信的，应按照无效响应文件处理。</w:t>
      </w:r>
    </w:p>
    <w:p>
      <w:pPr>
        <w:pStyle w:val="68"/>
        <w:ind w:firstLine="480"/>
        <w:rPr>
          <w:rFonts w:asciiTheme="minorEastAsia" w:hAnsiTheme="minorEastAsia" w:eastAsiaTheme="minorEastAsia"/>
        </w:rPr>
      </w:pPr>
      <w:r>
        <w:rPr>
          <w:rFonts w:hint="eastAsia" w:asciiTheme="minorEastAsia" w:hAnsiTheme="minorEastAsia" w:eastAsiaTheme="minorEastAsia"/>
        </w:rPr>
        <w:t>2.5.3参与报价的供应商按磋商小组要求进行报价。最后报价超过竞争性磋商文件规定的政府采购预算（或最高限价）或者相关报价不符合采购文件其他的报价规定的，应按照无效响应文件处理。</w:t>
      </w:r>
      <w:r>
        <w:rPr>
          <w:rFonts w:asciiTheme="minorEastAsia" w:hAnsiTheme="minorEastAsia" w:eastAsiaTheme="minorEastAsia"/>
        </w:rPr>
        <w:t>供应商</w:t>
      </w:r>
      <w:r>
        <w:rPr>
          <w:rFonts w:hint="eastAsia" w:asciiTheme="minorEastAsia" w:hAnsiTheme="minorEastAsia" w:eastAsiaTheme="minorEastAsia"/>
        </w:rPr>
        <w:t>现场</w:t>
      </w:r>
      <w:r>
        <w:rPr>
          <w:rFonts w:asciiTheme="minorEastAsia" w:hAnsiTheme="minorEastAsia" w:eastAsiaTheme="minorEastAsia"/>
        </w:rPr>
        <w:t>报价大写金额和小写金额不一致的，以大写金额为准，但大写金额文字存在错误的，应当先对大写金额的文字错误进行澄清、说明或者更正，再行修正</w:t>
      </w:r>
      <w:r>
        <w:rPr>
          <w:rFonts w:hint="eastAsia" w:asciiTheme="minorEastAsia" w:hAnsiTheme="minorEastAsia" w:eastAsiaTheme="minorEastAsia"/>
        </w:rPr>
        <w:t>。修正后的报价经供应商确认后产生约束力，供应商不确认的，其响应文件作为无效处理。</w:t>
      </w:r>
    </w:p>
    <w:p>
      <w:pPr>
        <w:pStyle w:val="68"/>
        <w:ind w:firstLine="480"/>
        <w:rPr>
          <w:rFonts w:asciiTheme="minorEastAsia" w:hAnsiTheme="minorEastAsia" w:eastAsiaTheme="minorEastAsia"/>
        </w:rPr>
      </w:pPr>
      <w:r>
        <w:rPr>
          <w:rFonts w:hint="eastAsia" w:asciiTheme="minorEastAsia" w:hAnsiTheme="minorEastAsia" w:eastAsiaTheme="minorEastAsia"/>
        </w:rPr>
        <w:t>2.5.</w:t>
      </w:r>
      <w:r>
        <w:rPr>
          <w:rFonts w:asciiTheme="minorEastAsia" w:hAnsiTheme="minorEastAsia" w:eastAsiaTheme="minorEastAsia"/>
        </w:rPr>
        <w:t>4</w:t>
      </w:r>
      <w:r>
        <w:rPr>
          <w:rFonts w:hint="eastAsia" w:asciiTheme="minorEastAsia" w:hAnsiTheme="minorEastAsia" w:eastAsiaTheme="minorEastAsia"/>
        </w:rPr>
        <w:t>供应商报价应当由法定代表人/主要负责人/本人或其授权代表签字确认（注：供应商为法人的，应当由其法定代表人或者授权代表签字确认；供应商为其他组织的，应当由其主要负责人或者授权代表签字确认；供应商为自然人的，应当由其本人或者授权代表签字确认）或加盖公章。报价是供应商响应文件的有效组成部分。</w:t>
      </w:r>
    </w:p>
    <w:p>
      <w:pPr>
        <w:pStyle w:val="68"/>
        <w:ind w:firstLine="480"/>
        <w:rPr>
          <w:rFonts w:asciiTheme="minorEastAsia" w:hAnsiTheme="minorEastAsia" w:eastAsiaTheme="minorEastAsia"/>
        </w:rPr>
      </w:pPr>
      <w:r>
        <w:rPr>
          <w:rFonts w:hint="eastAsia" w:asciiTheme="minorEastAsia" w:hAnsiTheme="minorEastAsia" w:eastAsiaTheme="minorEastAsia"/>
        </w:rPr>
        <w:t>2.6比较与评价。由磋商小组采用综合评分法对提交最后报价的供应商的响应文件和最后报价进行综合评分，具体要求详见本章综合评分部分。</w:t>
      </w:r>
    </w:p>
    <w:p>
      <w:pPr>
        <w:pStyle w:val="68"/>
        <w:ind w:firstLine="480"/>
        <w:rPr>
          <w:rFonts w:asciiTheme="minorEastAsia" w:hAnsiTheme="minorEastAsia" w:eastAsiaTheme="minorEastAsia"/>
        </w:rPr>
      </w:pPr>
      <w:r>
        <w:rPr>
          <w:rFonts w:hint="eastAsia" w:asciiTheme="minorEastAsia" w:hAnsiTheme="minorEastAsia" w:eastAsiaTheme="minorEastAsia"/>
        </w:rPr>
        <w:t>2.7推荐成交候选供应商。磋商小组应当根据综合评分情况，按照评审得分由高到低顺序推荐3家以上（本章2.3.1和2.5.3的情况除外）成交候选供应商，并编写磋商报告。评审得分相同的，按照最后报价由低到高的顺序推荐。评审得分且最后报价相同的，按照技术指标优劣顺序推荐。评审得分且最后报价且技术指标分项得分均相同的，不发达地区或少数民族地区的供应商推荐顺序在非不发达地区或少数民族地区的供应商之前；评审得分且最后报价且技术指标分项得分均相同的，且均为不发达地区或少数民族地区的供应商并列；评审得分且最后报价且技术指标分项得分均相同的，且不能判定为不发达地区或少数民族地区的供应商并列。（不发达地区或少数民族地区的供应商需提供属于不发达地区或少数民族地区企业的相关证明材料，或供应商注册地为少数民族地区。）</w:t>
      </w:r>
    </w:p>
    <w:p>
      <w:pPr>
        <w:spacing w:line="360" w:lineRule="auto"/>
        <w:ind w:firstLine="480" w:firstLineChars="200"/>
        <w:rPr>
          <w:rFonts w:ascii="宋体" w:hAnsi="宋体"/>
          <w:sz w:val="24"/>
        </w:rPr>
      </w:pPr>
      <w:r>
        <w:rPr>
          <w:rFonts w:hint="eastAsia" w:ascii="宋体" w:hAnsi="宋体"/>
          <w:sz w:val="24"/>
        </w:rPr>
        <w:t>2.8磋商小组复核。磋商小组评分汇总结束后，磋商小组应当进行评审复核，对拟推荐为成交候选供应商的、报价最低的、供应商资格审查未通过的、供应商响应文件作无效处理的重点复核。</w:t>
      </w:r>
    </w:p>
    <w:p>
      <w:pPr>
        <w:spacing w:line="360" w:lineRule="auto"/>
        <w:ind w:firstLine="480" w:firstLineChars="200"/>
        <w:rPr>
          <w:rFonts w:ascii="宋体" w:hAnsi="宋体"/>
          <w:sz w:val="24"/>
        </w:rPr>
      </w:pPr>
      <w:r>
        <w:rPr>
          <w:rFonts w:hint="eastAsia" w:ascii="宋体" w:hAnsi="宋体"/>
          <w:sz w:val="24"/>
        </w:rPr>
        <w:t>2.9采购组织单位现场复核评审结果。</w:t>
      </w:r>
    </w:p>
    <w:p>
      <w:pPr>
        <w:spacing w:line="360" w:lineRule="auto"/>
        <w:ind w:firstLine="480" w:firstLineChars="200"/>
        <w:rPr>
          <w:rFonts w:ascii="宋体" w:hAnsi="宋体"/>
          <w:sz w:val="24"/>
        </w:rPr>
      </w:pPr>
      <w:r>
        <w:rPr>
          <w:rFonts w:hint="eastAsia" w:ascii="宋体" w:hAnsi="宋体"/>
          <w:sz w:val="24"/>
        </w:rPr>
        <w:t>2.9.1评审结果汇总完成后，磋商小组拟出具磋商评审报告前，采购代理机构应当组织2名以上的本单位工作人员，在采购现场监督人员的监督之下，依据有关的法律制度和磋商文件对评审结果进行复核，出具复核报告，存在下列情形之一的，采购代理机构应当根据情况书面建议磋商小组现场修改评审结果：</w:t>
      </w:r>
    </w:p>
    <w:p>
      <w:pPr>
        <w:spacing w:line="360" w:lineRule="auto"/>
        <w:ind w:firstLine="480" w:firstLineChars="200"/>
        <w:rPr>
          <w:rFonts w:ascii="宋体" w:hAnsi="宋体"/>
          <w:sz w:val="24"/>
        </w:rPr>
      </w:pPr>
      <w:r>
        <w:rPr>
          <w:rFonts w:hint="eastAsia" w:ascii="宋体" w:hAnsi="宋体"/>
          <w:sz w:val="24"/>
        </w:rPr>
        <w:t>（1）资格性审查认定错误的；</w:t>
      </w:r>
    </w:p>
    <w:p>
      <w:pPr>
        <w:spacing w:line="360" w:lineRule="auto"/>
        <w:ind w:firstLine="480" w:firstLineChars="200"/>
        <w:rPr>
          <w:rFonts w:ascii="宋体" w:hAnsi="宋体"/>
          <w:sz w:val="24"/>
        </w:rPr>
      </w:pPr>
      <w:r>
        <w:rPr>
          <w:rFonts w:hint="eastAsia" w:ascii="宋体" w:hAnsi="宋体"/>
          <w:sz w:val="24"/>
        </w:rPr>
        <w:t>（2）分值汇总计算错误的；</w:t>
      </w:r>
    </w:p>
    <w:p>
      <w:pPr>
        <w:spacing w:line="360" w:lineRule="auto"/>
        <w:ind w:firstLine="480" w:firstLineChars="200"/>
        <w:rPr>
          <w:rFonts w:ascii="宋体" w:hAnsi="宋体"/>
          <w:sz w:val="24"/>
        </w:rPr>
      </w:pPr>
      <w:r>
        <w:rPr>
          <w:rFonts w:hint="eastAsia" w:ascii="宋体" w:hAnsi="宋体"/>
          <w:sz w:val="24"/>
        </w:rPr>
        <w:t>（3）分项评分超出评分标准范围的；</w:t>
      </w:r>
    </w:p>
    <w:p>
      <w:pPr>
        <w:spacing w:line="360" w:lineRule="auto"/>
        <w:ind w:firstLine="480" w:firstLineChars="200"/>
        <w:rPr>
          <w:rFonts w:ascii="宋体" w:hAnsi="宋体"/>
          <w:sz w:val="24"/>
        </w:rPr>
      </w:pPr>
      <w:r>
        <w:rPr>
          <w:rFonts w:hint="eastAsia" w:ascii="宋体" w:hAnsi="宋体"/>
          <w:sz w:val="24"/>
        </w:rPr>
        <w:t>（4）客观评分不一致的。</w:t>
      </w:r>
    </w:p>
    <w:p>
      <w:pPr>
        <w:spacing w:line="360" w:lineRule="auto"/>
        <w:ind w:firstLine="480" w:firstLineChars="200"/>
        <w:rPr>
          <w:rFonts w:ascii="宋体" w:hAnsi="宋体"/>
          <w:sz w:val="24"/>
        </w:rPr>
      </w:pPr>
      <w:r>
        <w:rPr>
          <w:rFonts w:hint="eastAsia" w:ascii="宋体" w:hAnsi="宋体"/>
          <w:sz w:val="24"/>
        </w:rPr>
        <w:t>存在本条上述情形的，由磋商小组自主决定是否采纳采购代理机构的书面建议，并承担独立评审责任。磋商小组采纳采购代理机构书面建议的，应当按照规定现场修改评审结果或者重新评审，并在磋商报告中详细记载有关事宜；不采纳采购代理机构书面建议的，应当书面说明理由。采购代理机构书面建议未被磋商小组采纳的，应当接照规定程序要求继续组织实施采购活动，不得擅自中止采购活动。采购代理机构认为磋商小组评审结果不合法的，应当书面报告采购项目同级财政部门。</w:t>
      </w:r>
    </w:p>
    <w:p>
      <w:pPr>
        <w:spacing w:line="360" w:lineRule="auto"/>
        <w:ind w:firstLine="480" w:firstLineChars="200"/>
        <w:rPr>
          <w:rFonts w:ascii="宋体" w:hAnsi="宋体"/>
          <w:sz w:val="24"/>
        </w:rPr>
      </w:pPr>
      <w:r>
        <w:rPr>
          <w:rFonts w:hint="eastAsia" w:ascii="宋体" w:hAnsi="宋体"/>
          <w:sz w:val="24"/>
        </w:rPr>
        <w:t>采购代理机构复核过程中，磋商小组成员不得离开评审现场。</w:t>
      </w:r>
    </w:p>
    <w:p>
      <w:pPr>
        <w:spacing w:line="360" w:lineRule="auto"/>
        <w:ind w:firstLine="480" w:firstLineChars="200"/>
        <w:rPr>
          <w:rFonts w:ascii="宋体" w:hAnsi="宋体"/>
          <w:sz w:val="24"/>
        </w:rPr>
      </w:pPr>
      <w:r>
        <w:rPr>
          <w:rFonts w:hint="eastAsia" w:ascii="宋体" w:hAnsi="宋体"/>
          <w:sz w:val="24"/>
        </w:rPr>
        <w:t>2.9.2有下列情形之一的，不得现场修改评审结果：</w:t>
      </w:r>
    </w:p>
    <w:p>
      <w:pPr>
        <w:spacing w:line="360" w:lineRule="auto"/>
        <w:ind w:firstLine="480" w:firstLineChars="200"/>
        <w:rPr>
          <w:rFonts w:ascii="宋体" w:hAnsi="宋体"/>
          <w:sz w:val="24"/>
        </w:rPr>
      </w:pPr>
      <w:r>
        <w:rPr>
          <w:rFonts w:hint="eastAsia" w:ascii="宋体" w:hAnsi="宋体"/>
          <w:sz w:val="24"/>
        </w:rPr>
        <w:t>（1）磋商小组已经出具磋商报告并且离开评审现场的；</w:t>
      </w:r>
    </w:p>
    <w:p>
      <w:pPr>
        <w:spacing w:line="360" w:lineRule="auto"/>
        <w:ind w:firstLine="480" w:firstLineChars="200"/>
        <w:rPr>
          <w:rFonts w:ascii="宋体" w:hAnsi="宋体"/>
          <w:sz w:val="24"/>
        </w:rPr>
      </w:pPr>
      <w:r>
        <w:rPr>
          <w:rFonts w:hint="eastAsia" w:ascii="宋体" w:hAnsi="宋体"/>
          <w:sz w:val="24"/>
        </w:rPr>
        <w:t>（2）采购代理机构现场复核时，复核工作人员数量不足的；</w:t>
      </w:r>
    </w:p>
    <w:p>
      <w:pPr>
        <w:spacing w:line="360" w:lineRule="auto"/>
        <w:ind w:firstLine="480" w:firstLineChars="200"/>
        <w:rPr>
          <w:rFonts w:ascii="宋体" w:hAnsi="宋体"/>
          <w:sz w:val="24"/>
        </w:rPr>
      </w:pPr>
      <w:r>
        <w:rPr>
          <w:rFonts w:hint="eastAsia" w:ascii="宋体" w:hAnsi="宋体"/>
          <w:sz w:val="24"/>
        </w:rPr>
        <w:t>（3）采购代理机构现场复核时，没有采购监督人员现场监督的；</w:t>
      </w:r>
    </w:p>
    <w:p>
      <w:pPr>
        <w:spacing w:line="360" w:lineRule="auto"/>
        <w:ind w:firstLine="480" w:firstLineChars="200"/>
        <w:rPr>
          <w:rFonts w:ascii="宋体" w:hAnsi="宋体"/>
          <w:sz w:val="24"/>
        </w:rPr>
      </w:pPr>
      <w:r>
        <w:rPr>
          <w:rFonts w:hint="eastAsia" w:ascii="宋体" w:hAnsi="宋体"/>
          <w:sz w:val="24"/>
        </w:rPr>
        <w:t>（4）采购代理机构现场复核内容超出规定范围的；</w:t>
      </w:r>
    </w:p>
    <w:p>
      <w:pPr>
        <w:spacing w:line="360" w:lineRule="auto"/>
        <w:ind w:firstLine="480" w:firstLineChars="200"/>
        <w:rPr>
          <w:rFonts w:ascii="宋体" w:hAnsi="宋体"/>
          <w:sz w:val="24"/>
        </w:rPr>
      </w:pPr>
      <w:r>
        <w:rPr>
          <w:rFonts w:hint="eastAsia" w:ascii="宋体" w:hAnsi="宋体"/>
          <w:sz w:val="24"/>
        </w:rPr>
        <w:t>（5）采购代理机构未提供书面建议的。</w:t>
      </w:r>
    </w:p>
    <w:p>
      <w:pPr>
        <w:spacing w:line="360" w:lineRule="auto"/>
        <w:ind w:firstLine="480" w:firstLineChars="200"/>
        <w:rPr>
          <w:rFonts w:ascii="宋体" w:hAnsi="宋体"/>
          <w:sz w:val="24"/>
        </w:rPr>
      </w:pPr>
      <w:r>
        <w:rPr>
          <w:rFonts w:hint="eastAsia" w:ascii="宋体" w:hAnsi="宋体"/>
          <w:sz w:val="24"/>
        </w:rPr>
        <w:t>2.10编写磋商报告。磋商小组推荐成交候选供应商后，应向采购代理机构出具磋商报告。磋商报告应当包括以下主要内容：</w:t>
      </w:r>
    </w:p>
    <w:p>
      <w:pPr>
        <w:spacing w:line="360" w:lineRule="auto"/>
        <w:ind w:firstLine="480" w:firstLineChars="200"/>
        <w:rPr>
          <w:rFonts w:ascii="宋体" w:hAnsi="宋体"/>
          <w:sz w:val="24"/>
        </w:rPr>
      </w:pPr>
      <w:r>
        <w:rPr>
          <w:rFonts w:hint="eastAsia" w:ascii="宋体" w:hAnsi="宋体"/>
          <w:sz w:val="24"/>
        </w:rPr>
        <w:t>（1）邀请供应商参加采购活动的具体方式和相关情况；</w:t>
      </w:r>
    </w:p>
    <w:p>
      <w:pPr>
        <w:spacing w:line="360" w:lineRule="auto"/>
        <w:ind w:firstLine="480" w:firstLineChars="200"/>
        <w:rPr>
          <w:rFonts w:ascii="宋体" w:hAnsi="宋体"/>
          <w:sz w:val="24"/>
        </w:rPr>
      </w:pPr>
      <w:r>
        <w:rPr>
          <w:rFonts w:hint="eastAsia" w:ascii="宋体" w:hAnsi="宋体"/>
          <w:sz w:val="24"/>
        </w:rPr>
        <w:t>（2）响应文件开启日期和地点；</w:t>
      </w:r>
    </w:p>
    <w:p>
      <w:pPr>
        <w:spacing w:line="360" w:lineRule="auto"/>
        <w:ind w:firstLine="480" w:firstLineChars="200"/>
        <w:rPr>
          <w:rFonts w:ascii="宋体" w:hAnsi="宋体"/>
          <w:sz w:val="24"/>
        </w:rPr>
      </w:pPr>
      <w:r>
        <w:rPr>
          <w:rFonts w:hint="eastAsia" w:ascii="宋体" w:hAnsi="宋体"/>
          <w:sz w:val="24"/>
        </w:rPr>
        <w:t>（3）获取磋商文件的供应商名单和磋商小组成员名单；</w:t>
      </w:r>
    </w:p>
    <w:p>
      <w:pPr>
        <w:spacing w:line="360" w:lineRule="auto"/>
        <w:ind w:firstLine="480" w:firstLineChars="200"/>
        <w:rPr>
          <w:rFonts w:ascii="宋体" w:hAnsi="宋体"/>
          <w:sz w:val="24"/>
        </w:rPr>
      </w:pPr>
      <w:r>
        <w:rPr>
          <w:rFonts w:hint="eastAsia" w:ascii="宋体" w:hAnsi="宋体"/>
          <w:sz w:val="24"/>
        </w:rPr>
        <w:t>（4）评审情况记录和说明，包括对供应商的资格审查情况、供应商响应文件审查情况、磋商情况、报价情况等；</w:t>
      </w:r>
    </w:p>
    <w:p>
      <w:pPr>
        <w:spacing w:line="360" w:lineRule="auto"/>
        <w:ind w:firstLine="480" w:firstLineChars="200"/>
        <w:rPr>
          <w:rFonts w:ascii="宋体" w:hAnsi="宋体"/>
          <w:sz w:val="24"/>
        </w:rPr>
      </w:pPr>
      <w:r>
        <w:rPr>
          <w:rFonts w:hint="eastAsia" w:ascii="宋体" w:hAnsi="宋体"/>
          <w:sz w:val="24"/>
        </w:rPr>
        <w:t>（5）提出的成交候选供应商的排序名单及理由。</w:t>
      </w:r>
    </w:p>
    <w:p>
      <w:pPr>
        <w:spacing w:line="360" w:lineRule="auto"/>
        <w:ind w:firstLine="480" w:firstLineChars="200"/>
        <w:rPr>
          <w:rFonts w:ascii="宋体" w:hAnsi="宋体"/>
          <w:sz w:val="24"/>
        </w:rPr>
      </w:pPr>
      <w:r>
        <w:rPr>
          <w:rFonts w:hint="eastAsia" w:ascii="宋体" w:hAnsi="宋体"/>
          <w:sz w:val="24"/>
        </w:rPr>
        <w:t>磋商报告应当由磋商小组全体人员签字认可。磋商小组成员对磋商报告有异议的，磋商小组按照少数服从多数的原则推荐成交候选供应商，采购程序继续进行。对磋商报告有异议的磋商小组成员，应当在报告上签署不同意见并说明理由，由磋商小组书面记录相关情况。磋商小组成员拒绝在报告上签字又不书面说明其不同意见和理由的，视为同意磋商报告。</w:t>
      </w:r>
    </w:p>
    <w:p>
      <w:pPr>
        <w:spacing w:line="360" w:lineRule="auto"/>
        <w:ind w:firstLine="480" w:firstLineChars="200"/>
        <w:rPr>
          <w:rFonts w:ascii="宋体" w:hAnsi="宋体"/>
          <w:sz w:val="24"/>
        </w:rPr>
      </w:pPr>
      <w:r>
        <w:rPr>
          <w:rFonts w:hint="eastAsia" w:ascii="宋体" w:hAnsi="宋体"/>
          <w:sz w:val="24"/>
        </w:rPr>
        <w:t>2.11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pPr>
        <w:spacing w:line="360" w:lineRule="auto"/>
        <w:ind w:firstLine="480" w:firstLineChars="200"/>
        <w:rPr>
          <w:rFonts w:ascii="宋体" w:hAnsi="宋体"/>
          <w:sz w:val="24"/>
        </w:rPr>
      </w:pPr>
      <w:r>
        <w:rPr>
          <w:rFonts w:hint="eastAsia" w:ascii="宋体" w:hAnsi="宋体"/>
          <w:sz w:val="24"/>
        </w:rPr>
        <w:t>2.12供应商澄清、说明</w:t>
      </w:r>
    </w:p>
    <w:p>
      <w:pPr>
        <w:spacing w:line="360" w:lineRule="auto"/>
        <w:ind w:firstLine="480" w:firstLineChars="200"/>
        <w:rPr>
          <w:rFonts w:ascii="宋体" w:hAnsi="宋体"/>
          <w:sz w:val="24"/>
        </w:rPr>
      </w:pPr>
      <w:r>
        <w:rPr>
          <w:rFonts w:hint="eastAsia" w:ascii="宋体" w:hAnsi="宋体"/>
          <w:sz w:val="24"/>
        </w:rPr>
        <w:t>2.12.1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pacing w:line="360" w:lineRule="auto"/>
        <w:ind w:firstLine="480" w:firstLineChars="200"/>
        <w:rPr>
          <w:rFonts w:ascii="宋体" w:hAnsi="宋体"/>
          <w:sz w:val="24"/>
        </w:rPr>
      </w:pPr>
      <w:r>
        <w:rPr>
          <w:rFonts w:hint="eastAsia" w:ascii="宋体" w:hAnsi="宋体"/>
          <w:sz w:val="24"/>
        </w:rPr>
        <w:t>2.12.2磋商小组要求供应商澄清、说明或者更正响应文件应当以书面形式作出。供应商的澄清、说明或者更正应当由法定代表人/主要负责人/本人或其授权代表签字（</w:t>
      </w:r>
      <w:r>
        <w:rPr>
          <w:rFonts w:hint="eastAsia" w:ascii="宋体" w:hAnsi="宋体"/>
          <w:b/>
          <w:sz w:val="24"/>
        </w:rPr>
        <w:t>注：</w:t>
      </w:r>
      <w:r>
        <w:rPr>
          <w:rFonts w:hint="eastAsia" w:ascii="宋体" w:hAnsi="宋体"/>
          <w:sz w:val="24"/>
        </w:rPr>
        <w:t>供应商为法人的，应当由其法定代表人或者授权代表签字确认；供应商为其他组织的，应当由其主要负责人或者授权代表签字确认；供应商为自然人的，应当由其本人或者授权代表签字确认）或者加盖公章。</w:t>
      </w:r>
    </w:p>
    <w:p>
      <w:pPr>
        <w:spacing w:line="360" w:lineRule="auto"/>
        <w:ind w:firstLine="480" w:firstLineChars="200"/>
        <w:rPr>
          <w:rFonts w:ascii="宋体" w:hAnsi="宋体"/>
          <w:sz w:val="24"/>
        </w:rPr>
      </w:pPr>
      <w:r>
        <w:rPr>
          <w:rFonts w:hint="eastAsia" w:ascii="宋体" w:hAnsi="宋体"/>
          <w:sz w:val="24"/>
        </w:rPr>
        <w:t>2.13终止磋商采购活动。</w:t>
      </w:r>
    </w:p>
    <w:p>
      <w:pPr>
        <w:spacing w:line="360" w:lineRule="auto"/>
        <w:ind w:firstLine="480" w:firstLineChars="200"/>
        <w:rPr>
          <w:rFonts w:ascii="宋体" w:hAnsi="宋体"/>
          <w:sz w:val="24"/>
        </w:rPr>
      </w:pPr>
      <w:r>
        <w:rPr>
          <w:rFonts w:hint="eastAsia" w:ascii="宋体" w:hAnsi="宋体"/>
          <w:sz w:val="24"/>
        </w:rPr>
        <w:t>出现下列情形之一的，采购人或者采购代理机构应当终止竞争性磋商采购活动，发布项目终止公告并说明原因，重新开展采购活动：</w:t>
      </w:r>
    </w:p>
    <w:p>
      <w:pPr>
        <w:spacing w:line="360" w:lineRule="auto"/>
        <w:ind w:firstLine="480" w:firstLineChars="200"/>
        <w:rPr>
          <w:rFonts w:ascii="宋体" w:hAnsi="宋体"/>
          <w:sz w:val="24"/>
        </w:rPr>
      </w:pPr>
      <w:r>
        <w:rPr>
          <w:rFonts w:hint="eastAsia" w:ascii="宋体" w:hAnsi="宋体"/>
          <w:sz w:val="24"/>
        </w:rPr>
        <w:t>（1）因情况变化，不再符合规定的竞争性磋商采购方式适用情形的；</w:t>
      </w:r>
    </w:p>
    <w:p>
      <w:pPr>
        <w:spacing w:line="360" w:lineRule="auto"/>
        <w:ind w:firstLine="480" w:firstLineChars="200"/>
        <w:rPr>
          <w:rFonts w:ascii="宋体" w:hAnsi="宋体"/>
          <w:sz w:val="24"/>
        </w:rPr>
      </w:pPr>
      <w:r>
        <w:rPr>
          <w:rFonts w:hint="eastAsia" w:ascii="宋体" w:hAnsi="宋体"/>
          <w:sz w:val="24"/>
        </w:rPr>
        <w:t>（2）出现影响采购公正的违法、违规行为的；</w:t>
      </w:r>
    </w:p>
    <w:p>
      <w:pPr>
        <w:spacing w:line="360" w:lineRule="auto"/>
        <w:ind w:firstLine="480" w:firstLineChars="200"/>
        <w:rPr>
          <w:rFonts w:ascii="宋体" w:hAnsi="宋体"/>
          <w:sz w:val="24"/>
        </w:rPr>
      </w:pPr>
      <w:r>
        <w:rPr>
          <w:rFonts w:hint="eastAsia" w:ascii="宋体" w:hAnsi="宋体"/>
          <w:sz w:val="24"/>
        </w:rPr>
        <w:t>（3）除</w:t>
      </w:r>
      <w:r>
        <w:rPr>
          <w:rFonts w:hint="eastAsia" w:ascii="宋体" w:hAnsi="宋体"/>
          <w:b/>
          <w:sz w:val="24"/>
        </w:rPr>
        <w:t>本章2.3.1和2.5.2的情况外，</w:t>
      </w:r>
      <w:r>
        <w:rPr>
          <w:rFonts w:hint="eastAsia" w:ascii="宋体" w:hAnsi="宋体"/>
          <w:sz w:val="24"/>
        </w:rPr>
        <w:t>在采购过程中符合要求的供应商或者报价未超过采购预算的供应商不足3家的。</w:t>
      </w:r>
    </w:p>
    <w:p>
      <w:pPr>
        <w:spacing w:line="360" w:lineRule="auto"/>
        <w:ind w:firstLine="482" w:firstLineChars="200"/>
        <w:rPr>
          <w:rFonts w:ascii="宋体" w:hAnsi="宋体"/>
          <w:b/>
          <w:sz w:val="24"/>
        </w:rPr>
      </w:pPr>
      <w:r>
        <w:rPr>
          <w:rFonts w:hint="eastAsia" w:ascii="宋体" w:hAnsi="宋体"/>
          <w:b/>
          <w:sz w:val="24"/>
        </w:rPr>
        <w:t>3.综合评分</w:t>
      </w:r>
    </w:p>
    <w:p>
      <w:pPr>
        <w:spacing w:line="360" w:lineRule="auto"/>
        <w:ind w:firstLine="480" w:firstLineChars="200"/>
        <w:rPr>
          <w:rFonts w:ascii="宋体" w:hAnsi="宋体"/>
          <w:sz w:val="24"/>
        </w:rPr>
      </w:pPr>
      <w:r>
        <w:rPr>
          <w:rFonts w:hint="eastAsia" w:ascii="宋体" w:hAnsi="宋体"/>
          <w:sz w:val="24"/>
        </w:rPr>
        <w:t>3.1本次综合评分的因素详见综合评分明细表。</w:t>
      </w:r>
    </w:p>
    <w:p>
      <w:pPr>
        <w:pStyle w:val="17"/>
        <w:tabs>
          <w:tab w:val="left" w:pos="600"/>
        </w:tabs>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2</w:t>
      </w:r>
      <w:r>
        <w:rPr>
          <w:rFonts w:hint="eastAsia" w:ascii="宋体" w:hAnsi="宋体"/>
          <w:sz w:val="24"/>
          <w:szCs w:val="24"/>
        </w:rPr>
        <w:t>综合评分明细表</w:t>
      </w:r>
    </w:p>
    <w:p>
      <w:pPr>
        <w:pStyle w:val="17"/>
        <w:tabs>
          <w:tab w:val="left" w:pos="600"/>
        </w:tabs>
        <w:spacing w:line="360" w:lineRule="auto"/>
        <w:ind w:firstLine="480" w:firstLineChars="200"/>
        <w:rPr>
          <w:rFonts w:ascii="宋体" w:hAnsi="宋体"/>
          <w:sz w:val="24"/>
          <w:szCs w:val="24"/>
        </w:rPr>
      </w:pPr>
      <w:r>
        <w:rPr>
          <w:rFonts w:hint="eastAsia" w:ascii="宋体" w:hAnsi="宋体"/>
          <w:sz w:val="24"/>
          <w:szCs w:val="24"/>
        </w:rPr>
        <w:t>3.</w:t>
      </w:r>
      <w:r>
        <w:rPr>
          <w:rFonts w:ascii="宋体" w:hAnsi="宋体"/>
          <w:sz w:val="24"/>
          <w:szCs w:val="24"/>
        </w:rPr>
        <w:t>2</w:t>
      </w:r>
      <w:r>
        <w:rPr>
          <w:rFonts w:hint="eastAsia" w:ascii="宋体" w:hAnsi="宋体"/>
          <w:sz w:val="24"/>
          <w:szCs w:val="24"/>
        </w:rPr>
        <w:t>.</w:t>
      </w:r>
      <w:r>
        <w:rPr>
          <w:rFonts w:ascii="宋体" w:hAnsi="宋体"/>
          <w:sz w:val="24"/>
          <w:szCs w:val="24"/>
        </w:rPr>
        <w:t>1</w:t>
      </w:r>
      <w:r>
        <w:rPr>
          <w:rFonts w:hint="eastAsia" w:ascii="宋体" w:hAnsi="宋体"/>
          <w:sz w:val="24"/>
          <w:szCs w:val="24"/>
        </w:rPr>
        <w:t xml:space="preserve"> 综合评分明细表中</w:t>
      </w:r>
      <w:r>
        <w:rPr>
          <w:rFonts w:ascii="宋体" w:hAnsi="宋体"/>
          <w:sz w:val="24"/>
          <w:szCs w:val="24"/>
        </w:rPr>
        <w:t>的报价应</w:t>
      </w:r>
      <w:r>
        <w:rPr>
          <w:rFonts w:hint="eastAsia" w:ascii="宋体" w:hAnsi="宋体"/>
          <w:sz w:val="24"/>
          <w:szCs w:val="24"/>
        </w:rPr>
        <w:t>先</w:t>
      </w:r>
      <w:r>
        <w:rPr>
          <w:rFonts w:ascii="宋体" w:hAnsi="宋体"/>
          <w:sz w:val="24"/>
          <w:szCs w:val="24"/>
        </w:rPr>
        <w:t>按</w:t>
      </w:r>
      <w:r>
        <w:rPr>
          <w:rFonts w:hint="eastAsia" w:ascii="宋体" w:hAnsi="宋体"/>
          <w:sz w:val="24"/>
          <w:szCs w:val="24"/>
        </w:rPr>
        <w:t>供应</w:t>
      </w:r>
      <w:r>
        <w:rPr>
          <w:rFonts w:ascii="宋体" w:hAnsi="宋体"/>
          <w:sz w:val="24"/>
          <w:szCs w:val="24"/>
        </w:rPr>
        <w:t>商须知附表中的相关要求进行价格调整，再</w:t>
      </w:r>
      <w:r>
        <w:rPr>
          <w:rFonts w:hint="eastAsia" w:ascii="宋体" w:hAnsi="宋体"/>
          <w:sz w:val="24"/>
          <w:szCs w:val="24"/>
        </w:rPr>
        <w:t>进行报价评分。</w:t>
      </w:r>
    </w:p>
    <w:p>
      <w:pPr>
        <w:pStyle w:val="3"/>
        <w:keepNext w:val="0"/>
        <w:keepLines w:val="0"/>
        <w:spacing w:before="0" w:after="0" w:line="360" w:lineRule="auto"/>
        <w:ind w:firstLine="470" w:firstLineChars="196"/>
        <w:rPr>
          <w:rFonts w:ascii="宋体" w:hAnsi="宋体" w:eastAsia="宋体"/>
          <w:b w:val="0"/>
          <w:sz w:val="24"/>
          <w:szCs w:val="24"/>
        </w:rPr>
      </w:pPr>
      <w:r>
        <w:rPr>
          <w:rFonts w:hint="eastAsia" w:ascii="宋体" w:hAnsi="宋体" w:eastAsia="宋体"/>
          <w:b w:val="0"/>
          <w:sz w:val="24"/>
          <w:szCs w:val="24"/>
        </w:rPr>
        <w:t>3.</w:t>
      </w:r>
      <w:r>
        <w:rPr>
          <w:rFonts w:ascii="宋体" w:hAnsi="宋体" w:eastAsia="宋体"/>
          <w:b w:val="0"/>
          <w:sz w:val="24"/>
          <w:szCs w:val="24"/>
        </w:rPr>
        <w:t>2</w:t>
      </w:r>
      <w:r>
        <w:rPr>
          <w:rFonts w:hint="eastAsia" w:ascii="宋体" w:hAnsi="宋体" w:eastAsia="宋体"/>
          <w:b w:val="0"/>
          <w:sz w:val="24"/>
          <w:szCs w:val="24"/>
        </w:rPr>
        <w:t>.</w:t>
      </w:r>
      <w:r>
        <w:rPr>
          <w:rFonts w:ascii="宋体" w:hAnsi="宋体" w:eastAsia="宋体"/>
          <w:b w:val="0"/>
          <w:sz w:val="24"/>
          <w:szCs w:val="24"/>
        </w:rPr>
        <w:t>2</w:t>
      </w:r>
      <w:r>
        <w:rPr>
          <w:rFonts w:hint="eastAsia" w:ascii="宋体" w:hAnsi="宋体" w:eastAsia="宋体"/>
          <w:b w:val="0"/>
          <w:sz w:val="24"/>
          <w:szCs w:val="24"/>
        </w:rPr>
        <w:t>综合评分明细表</w:t>
      </w:r>
    </w:p>
    <w:tbl>
      <w:tblPr>
        <w:tblStyle w:val="153"/>
        <w:tblW w:w="102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3"/>
        <w:gridCol w:w="554"/>
        <w:gridCol w:w="296"/>
        <w:gridCol w:w="1134"/>
        <w:gridCol w:w="6379"/>
        <w:gridCol w:w="9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6" w:hRule="atLeast"/>
          <w:jc w:val="center"/>
        </w:trPr>
        <w:tc>
          <w:tcPr>
            <w:tcW w:w="993" w:type="dxa"/>
          </w:tcPr>
          <w:p>
            <w:pPr>
              <w:pStyle w:val="152"/>
              <w:spacing w:line="360" w:lineRule="auto"/>
              <w:ind w:left="2520" w:right="190" w:firstLine="480"/>
              <w:jc w:val="center"/>
              <w:rPr>
                <w:rFonts w:eastAsia="宋体"/>
                <w:sz w:val="24"/>
                <w:szCs w:val="24"/>
                <w:lang w:eastAsia="en-US"/>
              </w:rPr>
            </w:pPr>
            <w:bookmarkStart w:id="97" w:name="_Hlk102810692"/>
            <w:r>
              <w:rPr>
                <w:rFonts w:hint="eastAsia" w:eastAsia="宋体"/>
                <w:sz w:val="24"/>
                <w:szCs w:val="24"/>
                <w:lang w:eastAsia="en-US"/>
              </w:rPr>
              <w:t>序号</w:t>
            </w:r>
          </w:p>
        </w:tc>
        <w:tc>
          <w:tcPr>
            <w:tcW w:w="850" w:type="dxa"/>
            <w:gridSpan w:val="2"/>
            <w:vAlign w:val="center"/>
          </w:tcPr>
          <w:p>
            <w:pPr>
              <w:pStyle w:val="152"/>
              <w:spacing w:line="360" w:lineRule="auto"/>
              <w:jc w:val="center"/>
              <w:rPr>
                <w:rFonts w:eastAsia="宋体"/>
                <w:sz w:val="24"/>
                <w:szCs w:val="24"/>
                <w:lang w:eastAsia="en-US"/>
              </w:rPr>
            </w:pPr>
            <w:r>
              <w:rPr>
                <w:rFonts w:eastAsia="宋体"/>
                <w:sz w:val="24"/>
                <w:szCs w:val="24"/>
                <w:lang w:eastAsia="en-US"/>
              </w:rPr>
              <w:t>评分因素</w:t>
            </w:r>
          </w:p>
        </w:tc>
        <w:tc>
          <w:tcPr>
            <w:tcW w:w="1134" w:type="dxa"/>
            <w:vAlign w:val="center"/>
          </w:tcPr>
          <w:p>
            <w:pPr>
              <w:pStyle w:val="152"/>
              <w:spacing w:line="360" w:lineRule="auto"/>
              <w:ind w:right="167"/>
              <w:jc w:val="center"/>
              <w:rPr>
                <w:rFonts w:eastAsia="宋体"/>
                <w:sz w:val="24"/>
                <w:szCs w:val="24"/>
                <w:lang w:eastAsia="en-US"/>
              </w:rPr>
            </w:pPr>
            <w:r>
              <w:rPr>
                <w:rFonts w:eastAsia="宋体"/>
                <w:sz w:val="24"/>
                <w:szCs w:val="24"/>
                <w:lang w:eastAsia="en-US"/>
              </w:rPr>
              <w:t>分值</w:t>
            </w:r>
          </w:p>
        </w:tc>
        <w:tc>
          <w:tcPr>
            <w:tcW w:w="6379" w:type="dxa"/>
          </w:tcPr>
          <w:p>
            <w:pPr>
              <w:pStyle w:val="152"/>
              <w:spacing w:before="21" w:line="360" w:lineRule="auto"/>
              <w:ind w:left="2520" w:firstLine="480"/>
              <w:jc w:val="center"/>
              <w:rPr>
                <w:rFonts w:eastAsia="宋体"/>
                <w:sz w:val="24"/>
                <w:szCs w:val="24"/>
                <w:lang w:eastAsia="en-US"/>
              </w:rPr>
            </w:pPr>
            <w:r>
              <w:rPr>
                <w:rFonts w:eastAsia="宋体"/>
                <w:sz w:val="24"/>
                <w:szCs w:val="24"/>
                <w:lang w:eastAsia="en-US"/>
              </w:rPr>
              <w:t>评分依</w:t>
            </w:r>
            <w:r>
              <w:rPr>
                <w:rFonts w:hint="eastAsia" w:eastAsia="宋体"/>
                <w:sz w:val="24"/>
                <w:szCs w:val="24"/>
                <w:lang w:eastAsia="en-US"/>
              </w:rPr>
              <w:t>据</w:t>
            </w:r>
          </w:p>
        </w:tc>
        <w:tc>
          <w:tcPr>
            <w:tcW w:w="912" w:type="dxa"/>
          </w:tcPr>
          <w:p>
            <w:pPr>
              <w:pStyle w:val="152"/>
              <w:spacing w:line="360" w:lineRule="auto"/>
              <w:ind w:firstLine="240" w:firstLineChars="100"/>
              <w:rPr>
                <w:rFonts w:eastAsia="宋体"/>
                <w:sz w:val="24"/>
                <w:szCs w:val="24"/>
                <w:lang w:eastAsia="en-US"/>
              </w:rPr>
            </w:pPr>
            <w:r>
              <w:rPr>
                <w:rFonts w:eastAsia="宋体"/>
                <w:sz w:val="24"/>
                <w:szCs w:val="24"/>
                <w:lang w:eastAsia="en-US"/>
              </w:rPr>
              <w:t>说明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993" w:type="dxa"/>
          </w:tcPr>
          <w:p>
            <w:pPr>
              <w:pStyle w:val="152"/>
              <w:spacing w:line="360" w:lineRule="auto"/>
              <w:ind w:left="2520" w:right="190" w:firstLine="480"/>
              <w:jc w:val="center"/>
              <w:rPr>
                <w:rFonts w:eastAsia="宋体"/>
                <w:sz w:val="24"/>
                <w:szCs w:val="24"/>
                <w:lang w:eastAsia="en-US"/>
              </w:rPr>
            </w:pPr>
            <w:r>
              <w:rPr>
                <w:rFonts w:eastAsia="宋体"/>
                <w:sz w:val="24"/>
                <w:szCs w:val="24"/>
                <w:lang w:eastAsia="en-US"/>
              </w:rPr>
              <w:t>1</w:t>
            </w:r>
            <w:r>
              <w:rPr>
                <w:rFonts w:hint="eastAsia" w:eastAsia="宋体"/>
                <w:sz w:val="24"/>
                <w:szCs w:val="24"/>
                <w:lang w:eastAsia="en-US"/>
              </w:rPr>
              <w:t>1</w:t>
            </w:r>
          </w:p>
        </w:tc>
        <w:tc>
          <w:tcPr>
            <w:tcW w:w="850" w:type="dxa"/>
            <w:gridSpan w:val="2"/>
            <w:vAlign w:val="center"/>
          </w:tcPr>
          <w:p>
            <w:pPr>
              <w:pStyle w:val="152"/>
              <w:spacing w:line="360" w:lineRule="auto"/>
              <w:jc w:val="center"/>
              <w:rPr>
                <w:rFonts w:eastAsia="宋体"/>
                <w:sz w:val="24"/>
                <w:szCs w:val="24"/>
                <w:lang w:eastAsia="en-US"/>
              </w:rPr>
            </w:pPr>
            <w:r>
              <w:rPr>
                <w:rFonts w:hint="eastAsia" w:eastAsia="宋体"/>
                <w:sz w:val="24"/>
                <w:szCs w:val="24"/>
                <w:lang w:eastAsia="en-US"/>
              </w:rPr>
              <w:t>报价</w:t>
            </w:r>
          </w:p>
        </w:tc>
        <w:tc>
          <w:tcPr>
            <w:tcW w:w="1134" w:type="dxa"/>
            <w:vAlign w:val="center"/>
          </w:tcPr>
          <w:p>
            <w:pPr>
              <w:pStyle w:val="152"/>
              <w:spacing w:line="360" w:lineRule="auto"/>
              <w:ind w:right="167"/>
              <w:jc w:val="center"/>
              <w:rPr>
                <w:rFonts w:eastAsia="宋体"/>
                <w:sz w:val="24"/>
                <w:szCs w:val="24"/>
                <w:lang w:eastAsia="en-US"/>
              </w:rPr>
            </w:pPr>
            <w:r>
              <w:rPr>
                <w:rFonts w:hint="eastAsia" w:eastAsia="宋体"/>
                <w:sz w:val="24"/>
                <w:szCs w:val="24"/>
                <w:lang w:eastAsia="en-US"/>
              </w:rPr>
              <w:t>60(分)</w:t>
            </w:r>
          </w:p>
        </w:tc>
        <w:tc>
          <w:tcPr>
            <w:tcW w:w="6379" w:type="dxa"/>
          </w:tcPr>
          <w:p>
            <w:pPr>
              <w:pStyle w:val="152"/>
              <w:tabs>
                <w:tab w:val="left" w:pos="268"/>
              </w:tabs>
              <w:spacing w:before="20" w:line="360" w:lineRule="auto"/>
              <w:ind w:right="-15" w:firstLine="492"/>
              <w:rPr>
                <w:rFonts w:eastAsia="宋体"/>
                <w:spacing w:val="3"/>
                <w:sz w:val="24"/>
                <w:szCs w:val="24"/>
                <w:lang w:eastAsia="zh-CN"/>
              </w:rPr>
            </w:pPr>
            <w:r>
              <w:rPr>
                <w:rFonts w:eastAsia="宋体"/>
                <w:spacing w:val="3"/>
                <w:sz w:val="24"/>
                <w:szCs w:val="24"/>
                <w:lang w:eastAsia="zh-CN"/>
              </w:rPr>
              <w:t>满足磋商文件要求且</w:t>
            </w:r>
            <w:r>
              <w:rPr>
                <w:rFonts w:hint="eastAsia" w:eastAsia="宋体"/>
                <w:spacing w:val="3"/>
                <w:sz w:val="24"/>
                <w:szCs w:val="24"/>
                <w:lang w:eastAsia="zh-CN"/>
              </w:rPr>
              <w:t>响应</w:t>
            </w:r>
            <w:r>
              <w:rPr>
                <w:rFonts w:eastAsia="宋体"/>
                <w:spacing w:val="3"/>
                <w:sz w:val="24"/>
                <w:szCs w:val="24"/>
                <w:lang w:eastAsia="zh-CN"/>
              </w:rPr>
              <w:t>价格最低</w:t>
            </w:r>
            <w:r>
              <w:rPr>
                <w:rFonts w:hint="eastAsia" w:eastAsia="宋体"/>
                <w:spacing w:val="3"/>
                <w:sz w:val="24"/>
                <w:szCs w:val="24"/>
                <w:lang w:eastAsia="zh-CN"/>
              </w:rPr>
              <w:t>（下浮</w:t>
            </w:r>
            <w:r>
              <w:rPr>
                <w:rFonts w:eastAsia="宋体"/>
                <w:spacing w:val="3"/>
                <w:sz w:val="24"/>
                <w:szCs w:val="24"/>
                <w:lang w:eastAsia="zh-CN"/>
              </w:rPr>
              <w:t>比例最大</w:t>
            </w:r>
            <w:r>
              <w:rPr>
                <w:rFonts w:hint="eastAsia" w:eastAsia="宋体"/>
                <w:spacing w:val="3"/>
                <w:sz w:val="24"/>
                <w:szCs w:val="24"/>
                <w:lang w:eastAsia="zh-CN"/>
              </w:rPr>
              <w:t>）</w:t>
            </w:r>
            <w:r>
              <w:rPr>
                <w:rFonts w:eastAsia="宋体"/>
                <w:spacing w:val="3"/>
                <w:sz w:val="24"/>
                <w:szCs w:val="24"/>
                <w:lang w:eastAsia="zh-CN"/>
              </w:rPr>
              <w:t>的报价为评</w:t>
            </w:r>
            <w:r>
              <w:rPr>
                <w:rFonts w:hint="eastAsia" w:eastAsia="宋体"/>
                <w:spacing w:val="3"/>
                <w:sz w:val="24"/>
                <w:szCs w:val="24"/>
                <w:lang w:eastAsia="zh-CN"/>
              </w:rPr>
              <w:t>审</w:t>
            </w:r>
            <w:r>
              <w:rPr>
                <w:rFonts w:eastAsia="宋体"/>
                <w:spacing w:val="3"/>
                <w:sz w:val="24"/>
                <w:szCs w:val="24"/>
                <w:lang w:eastAsia="zh-CN"/>
              </w:rPr>
              <w:t>基准价，其价格分为满分。</w:t>
            </w:r>
          </w:p>
          <w:p>
            <w:pPr>
              <w:pStyle w:val="152"/>
              <w:tabs>
                <w:tab w:val="left" w:pos="268"/>
              </w:tabs>
              <w:spacing w:before="20" w:line="360" w:lineRule="auto"/>
              <w:ind w:right="-15" w:firstLine="492"/>
              <w:rPr>
                <w:rFonts w:eastAsia="宋体"/>
                <w:spacing w:val="3"/>
                <w:sz w:val="24"/>
                <w:szCs w:val="24"/>
                <w:lang w:eastAsia="zh-CN"/>
              </w:rPr>
            </w:pPr>
            <w:r>
              <w:rPr>
                <w:rFonts w:eastAsia="宋体"/>
                <w:spacing w:val="3"/>
                <w:sz w:val="24"/>
                <w:szCs w:val="24"/>
                <w:lang w:eastAsia="zh-CN"/>
              </w:rPr>
              <w:t>施工：报价得分=</w:t>
            </w:r>
            <w:r>
              <w:rPr>
                <w:rFonts w:hint="eastAsia" w:eastAsia="宋体"/>
                <w:spacing w:val="3"/>
                <w:sz w:val="24"/>
                <w:szCs w:val="24"/>
                <w:lang w:eastAsia="zh-CN"/>
              </w:rPr>
              <w:t>评标基准价/最后报价</w:t>
            </w:r>
            <w:r>
              <w:rPr>
                <w:rFonts w:eastAsia="宋体"/>
                <w:spacing w:val="3"/>
                <w:sz w:val="24"/>
                <w:szCs w:val="24"/>
                <w:lang w:eastAsia="zh-CN"/>
              </w:rPr>
              <w:t>×50。（得分保留至小数点后两位）</w:t>
            </w:r>
          </w:p>
          <w:p>
            <w:pPr>
              <w:pStyle w:val="152"/>
              <w:spacing w:before="21" w:line="360" w:lineRule="auto"/>
              <w:rPr>
                <w:rFonts w:eastAsia="宋体"/>
                <w:sz w:val="24"/>
                <w:szCs w:val="24"/>
                <w:lang w:eastAsia="zh-CN"/>
              </w:rPr>
            </w:pPr>
            <w:r>
              <w:rPr>
                <w:rFonts w:eastAsia="宋体"/>
                <w:spacing w:val="3"/>
                <w:sz w:val="24"/>
                <w:szCs w:val="24"/>
                <w:lang w:eastAsia="zh-CN"/>
              </w:rPr>
              <w:t>设计：报价得分=</w:t>
            </w:r>
            <w:r>
              <w:rPr>
                <w:rFonts w:hint="eastAsia" w:eastAsia="宋体"/>
                <w:spacing w:val="3"/>
                <w:sz w:val="24"/>
                <w:szCs w:val="24"/>
                <w:lang w:eastAsia="zh-CN"/>
              </w:rPr>
              <w:t>评标基准价/最后报价</w:t>
            </w:r>
            <w:r>
              <w:rPr>
                <w:rFonts w:eastAsia="宋体"/>
                <w:spacing w:val="3"/>
                <w:sz w:val="24"/>
                <w:szCs w:val="24"/>
                <w:lang w:eastAsia="zh-CN"/>
              </w:rPr>
              <w:t>×10。（得分保留至小数点后两位）</w:t>
            </w:r>
          </w:p>
        </w:tc>
        <w:tc>
          <w:tcPr>
            <w:tcW w:w="912" w:type="dxa"/>
          </w:tcPr>
          <w:p>
            <w:pPr>
              <w:pStyle w:val="152"/>
              <w:spacing w:line="360" w:lineRule="auto"/>
              <w:ind w:firstLine="240" w:firstLineChars="100"/>
              <w:rPr>
                <w:rFonts w:eastAsia="宋体"/>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jc w:val="center"/>
        </w:trPr>
        <w:tc>
          <w:tcPr>
            <w:tcW w:w="993" w:type="dxa"/>
            <w:vMerge w:val="restart"/>
          </w:tcPr>
          <w:p>
            <w:pPr>
              <w:pStyle w:val="152"/>
              <w:spacing w:line="360" w:lineRule="auto"/>
              <w:ind w:firstLine="480"/>
              <w:jc w:val="center"/>
              <w:rPr>
                <w:rFonts w:eastAsia="宋体"/>
                <w:sz w:val="24"/>
                <w:szCs w:val="24"/>
                <w:lang w:eastAsia="zh-CN"/>
              </w:rPr>
            </w:pPr>
          </w:p>
          <w:p>
            <w:pPr>
              <w:pStyle w:val="152"/>
              <w:spacing w:line="360" w:lineRule="auto"/>
              <w:ind w:firstLine="480"/>
              <w:jc w:val="center"/>
              <w:rPr>
                <w:rFonts w:eastAsia="宋体"/>
                <w:sz w:val="24"/>
                <w:szCs w:val="24"/>
                <w:lang w:eastAsia="zh-CN"/>
              </w:rPr>
            </w:pPr>
          </w:p>
          <w:p>
            <w:pPr>
              <w:pStyle w:val="152"/>
              <w:spacing w:before="1" w:line="360" w:lineRule="auto"/>
              <w:ind w:firstLine="480"/>
              <w:jc w:val="center"/>
              <w:rPr>
                <w:rFonts w:eastAsia="宋体"/>
                <w:sz w:val="24"/>
                <w:szCs w:val="24"/>
                <w:lang w:eastAsia="en-US"/>
              </w:rPr>
            </w:pPr>
            <w:r>
              <w:rPr>
                <w:rFonts w:hint="eastAsia" w:eastAsia="宋体"/>
                <w:sz w:val="24"/>
                <w:szCs w:val="24"/>
                <w:lang w:eastAsia="en-US"/>
              </w:rPr>
              <w:t>2</w:t>
            </w:r>
          </w:p>
          <w:p>
            <w:pPr>
              <w:pStyle w:val="152"/>
              <w:spacing w:line="360" w:lineRule="auto"/>
              <w:ind w:left="2520" w:firstLine="473"/>
              <w:jc w:val="center"/>
              <w:rPr>
                <w:rFonts w:eastAsia="宋体"/>
                <w:sz w:val="24"/>
                <w:szCs w:val="24"/>
                <w:lang w:eastAsia="en-US"/>
              </w:rPr>
            </w:pPr>
            <w:r>
              <w:rPr>
                <w:rFonts w:eastAsia="宋体"/>
                <w:w w:val="99"/>
                <w:sz w:val="24"/>
                <w:szCs w:val="24"/>
                <w:lang w:eastAsia="en-US"/>
              </w:rPr>
              <w:t>2</w:t>
            </w:r>
          </w:p>
        </w:tc>
        <w:tc>
          <w:tcPr>
            <w:tcW w:w="850" w:type="dxa"/>
            <w:gridSpan w:val="2"/>
            <w:vMerge w:val="restart"/>
            <w:vAlign w:val="center"/>
          </w:tcPr>
          <w:p>
            <w:pPr>
              <w:pStyle w:val="152"/>
              <w:spacing w:line="360" w:lineRule="auto"/>
              <w:ind w:firstLine="480"/>
              <w:jc w:val="center"/>
              <w:rPr>
                <w:rFonts w:eastAsia="宋体"/>
                <w:sz w:val="24"/>
                <w:szCs w:val="24"/>
                <w:lang w:eastAsia="en-US"/>
              </w:rPr>
            </w:pPr>
          </w:p>
          <w:p>
            <w:pPr>
              <w:pStyle w:val="152"/>
              <w:spacing w:before="5" w:line="360" w:lineRule="auto"/>
              <w:jc w:val="center"/>
              <w:rPr>
                <w:rFonts w:eastAsia="宋体"/>
                <w:sz w:val="24"/>
                <w:szCs w:val="24"/>
                <w:lang w:eastAsia="en-US"/>
              </w:rPr>
            </w:pPr>
            <w:r>
              <w:rPr>
                <w:rFonts w:hint="eastAsia" w:eastAsia="宋体"/>
                <w:sz w:val="24"/>
                <w:szCs w:val="24"/>
                <w:lang w:eastAsia="en-US"/>
              </w:rPr>
              <w:t>设计图</w:t>
            </w:r>
          </w:p>
          <w:p>
            <w:pPr>
              <w:pStyle w:val="152"/>
              <w:spacing w:line="360" w:lineRule="auto"/>
              <w:ind w:left="2520" w:right="66" w:firstLine="480"/>
              <w:jc w:val="center"/>
              <w:rPr>
                <w:rFonts w:eastAsia="宋体"/>
                <w:sz w:val="24"/>
                <w:szCs w:val="24"/>
                <w:lang w:eastAsia="en-US"/>
              </w:rPr>
            </w:pPr>
            <w:r>
              <w:rPr>
                <w:rFonts w:hint="eastAsia" w:eastAsia="宋体"/>
                <w:sz w:val="24"/>
                <w:szCs w:val="24"/>
                <w:lang w:eastAsia="en-US"/>
              </w:rPr>
              <w:t>设计图</w:t>
            </w:r>
          </w:p>
        </w:tc>
        <w:tc>
          <w:tcPr>
            <w:tcW w:w="1134" w:type="dxa"/>
            <w:tcBorders>
              <w:bottom w:val="single" w:color="auto" w:sz="4" w:space="0"/>
            </w:tcBorders>
            <w:vAlign w:val="center"/>
          </w:tcPr>
          <w:p>
            <w:pPr>
              <w:pStyle w:val="152"/>
              <w:spacing w:before="1" w:line="367" w:lineRule="auto"/>
              <w:ind w:left="115" w:right="99" w:firstLine="492"/>
              <w:jc w:val="center"/>
              <w:rPr>
                <w:rFonts w:eastAsia="宋体"/>
                <w:spacing w:val="3"/>
                <w:sz w:val="24"/>
                <w:szCs w:val="24"/>
                <w:lang w:eastAsia="zh-CN"/>
              </w:rPr>
            </w:pPr>
            <w:r>
              <w:rPr>
                <w:rFonts w:eastAsia="宋体"/>
                <w:spacing w:val="3"/>
                <w:sz w:val="24"/>
                <w:szCs w:val="24"/>
                <w:lang w:eastAsia="zh-CN"/>
              </w:rPr>
              <w:t>实验动物房工艺平面</w:t>
            </w:r>
            <w:r>
              <w:rPr>
                <w:rFonts w:hint="eastAsia" w:eastAsia="宋体"/>
                <w:spacing w:val="3"/>
                <w:sz w:val="24"/>
                <w:szCs w:val="24"/>
                <w:lang w:eastAsia="zh-CN"/>
              </w:rPr>
              <w:t>设计图</w:t>
            </w:r>
          </w:p>
          <w:p>
            <w:pPr>
              <w:pStyle w:val="152"/>
              <w:spacing w:before="1" w:line="360" w:lineRule="auto"/>
              <w:ind w:right="121"/>
              <w:jc w:val="center"/>
              <w:rPr>
                <w:rFonts w:eastAsia="宋体"/>
                <w:sz w:val="24"/>
                <w:szCs w:val="24"/>
                <w:lang w:eastAsia="en-US"/>
              </w:rPr>
            </w:pPr>
            <w:r>
              <w:rPr>
                <w:rFonts w:eastAsia="宋体"/>
                <w:spacing w:val="3"/>
                <w:sz w:val="24"/>
                <w:szCs w:val="24"/>
                <w:lang w:eastAsia="en-US"/>
              </w:rPr>
              <w:t>（15分）</w:t>
            </w:r>
          </w:p>
        </w:tc>
        <w:tc>
          <w:tcPr>
            <w:tcW w:w="6379" w:type="dxa"/>
            <w:tcBorders>
              <w:bottom w:val="single" w:color="auto" w:sz="4" w:space="0"/>
            </w:tcBorders>
          </w:tcPr>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1.</w:t>
            </w:r>
            <w:r>
              <w:rPr>
                <w:rFonts w:hint="eastAsia" w:eastAsia="宋体"/>
                <w:spacing w:val="3"/>
                <w:sz w:val="24"/>
                <w:szCs w:val="24"/>
                <w:lang w:eastAsia="zh-CN"/>
              </w:rPr>
              <w:tab/>
            </w:r>
            <w:r>
              <w:rPr>
                <w:rFonts w:hint="eastAsia" w:eastAsia="宋体"/>
                <w:spacing w:val="3"/>
                <w:sz w:val="24"/>
                <w:szCs w:val="24"/>
                <w:lang w:eastAsia="zh-CN"/>
              </w:rPr>
              <w:t>布局是否科学，屏障环境设施区域划分是否明确、合理，功能区域分区是否齐全、明确、合理；工艺流程操作程序是否合理；实验室区域与动物饲育区域设置是否合理；核心区域与其他区域是否合理；各功能区域是否相对独立，是否便于相互联系；是否优异：性能优异基本无缺点的得</w:t>
            </w:r>
            <w:r>
              <w:rPr>
                <w:rFonts w:eastAsia="宋体"/>
                <w:spacing w:val="3"/>
                <w:sz w:val="24"/>
                <w:szCs w:val="24"/>
                <w:lang w:eastAsia="zh-CN"/>
              </w:rPr>
              <w:t>4</w:t>
            </w:r>
            <w:r>
              <w:rPr>
                <w:rFonts w:hint="eastAsia" w:eastAsia="宋体"/>
                <w:spacing w:val="3"/>
                <w:sz w:val="24"/>
                <w:szCs w:val="24"/>
                <w:lang w:eastAsia="zh-CN"/>
              </w:rPr>
              <w:t>分，性能一般存在少许缺点的得</w:t>
            </w:r>
            <w:r>
              <w:rPr>
                <w:rFonts w:eastAsia="宋体"/>
                <w:spacing w:val="3"/>
                <w:sz w:val="24"/>
                <w:szCs w:val="24"/>
                <w:lang w:eastAsia="zh-CN"/>
              </w:rPr>
              <w:t>2</w:t>
            </w:r>
            <w:r>
              <w:rPr>
                <w:rFonts w:hint="eastAsia" w:eastAsia="宋体"/>
                <w:spacing w:val="3"/>
                <w:sz w:val="24"/>
                <w:szCs w:val="24"/>
                <w:lang w:eastAsia="zh-CN"/>
              </w:rPr>
              <w:t>分，性能较差存在较多缺点的得</w:t>
            </w:r>
            <w:r>
              <w:rPr>
                <w:rFonts w:eastAsia="宋体"/>
                <w:spacing w:val="3"/>
                <w:sz w:val="24"/>
                <w:szCs w:val="24"/>
                <w:lang w:eastAsia="zh-CN"/>
              </w:rPr>
              <w:t>1</w:t>
            </w:r>
            <w:r>
              <w:rPr>
                <w:rFonts w:hint="eastAsia" w:eastAsia="宋体"/>
                <w:spacing w:val="3"/>
                <w:sz w:val="24"/>
                <w:szCs w:val="24"/>
                <w:lang w:eastAsia="zh-CN"/>
              </w:rPr>
              <w:t xml:space="preserve">分。 </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2.</w:t>
            </w:r>
            <w:r>
              <w:rPr>
                <w:rFonts w:hint="eastAsia" w:eastAsia="宋体"/>
                <w:spacing w:val="3"/>
                <w:sz w:val="24"/>
                <w:szCs w:val="24"/>
                <w:lang w:eastAsia="zh-CN"/>
              </w:rPr>
              <w:tab/>
            </w:r>
            <w:r>
              <w:rPr>
                <w:rFonts w:hint="eastAsia" w:eastAsia="宋体"/>
                <w:spacing w:val="3"/>
                <w:sz w:val="24"/>
                <w:szCs w:val="24"/>
                <w:lang w:eastAsia="zh-CN"/>
              </w:rPr>
              <w:t>人流、物流、空气流、动物流、污物流组织是否科学、合理； 有无交叉感染的可能性</w:t>
            </w:r>
            <w:r>
              <w:rPr>
                <w:rFonts w:eastAsia="宋体"/>
                <w:spacing w:val="3"/>
                <w:sz w:val="24"/>
                <w:szCs w:val="24"/>
                <w:lang w:eastAsia="zh-CN"/>
              </w:rPr>
              <w:t>（需在平面图上标注出人员流动方向、洁物流动方向、污物流动方向、动物进出流动方向）</w:t>
            </w:r>
            <w:r>
              <w:rPr>
                <w:rFonts w:hint="eastAsia" w:eastAsia="宋体"/>
                <w:spacing w:val="3"/>
                <w:sz w:val="24"/>
                <w:szCs w:val="24"/>
                <w:lang w:eastAsia="zh-CN"/>
              </w:rPr>
              <w:t>，是否优异：性能优异基本无缺点的得</w:t>
            </w:r>
            <w:r>
              <w:rPr>
                <w:rFonts w:eastAsia="宋体"/>
                <w:spacing w:val="3"/>
                <w:sz w:val="24"/>
                <w:szCs w:val="24"/>
                <w:lang w:eastAsia="zh-CN"/>
              </w:rPr>
              <w:t>4</w:t>
            </w:r>
            <w:r>
              <w:rPr>
                <w:rFonts w:hint="eastAsia" w:eastAsia="宋体"/>
                <w:spacing w:val="3"/>
                <w:sz w:val="24"/>
                <w:szCs w:val="24"/>
                <w:lang w:eastAsia="zh-CN"/>
              </w:rPr>
              <w:t>分，性能一般存在少许缺点的得</w:t>
            </w:r>
            <w:r>
              <w:rPr>
                <w:rFonts w:eastAsia="宋体"/>
                <w:spacing w:val="3"/>
                <w:sz w:val="24"/>
                <w:szCs w:val="24"/>
                <w:lang w:eastAsia="zh-CN"/>
              </w:rPr>
              <w:t>2</w:t>
            </w:r>
            <w:r>
              <w:rPr>
                <w:rFonts w:hint="eastAsia" w:eastAsia="宋体"/>
                <w:spacing w:val="3"/>
                <w:sz w:val="24"/>
                <w:szCs w:val="24"/>
                <w:lang w:eastAsia="zh-CN"/>
              </w:rPr>
              <w:t>分，性能较差存在较多缺点的得</w:t>
            </w:r>
            <w:r>
              <w:rPr>
                <w:rFonts w:eastAsia="宋体"/>
                <w:spacing w:val="3"/>
                <w:sz w:val="24"/>
                <w:szCs w:val="24"/>
                <w:lang w:eastAsia="zh-CN"/>
              </w:rPr>
              <w:t>1</w:t>
            </w:r>
            <w:r>
              <w:rPr>
                <w:rFonts w:hint="eastAsia" w:eastAsia="宋体"/>
                <w:spacing w:val="3"/>
                <w:sz w:val="24"/>
                <w:szCs w:val="24"/>
                <w:lang w:eastAsia="zh-CN"/>
              </w:rPr>
              <w:t>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3.</w:t>
            </w:r>
            <w:r>
              <w:rPr>
                <w:rFonts w:hint="eastAsia" w:eastAsia="宋体"/>
                <w:spacing w:val="3"/>
                <w:sz w:val="24"/>
                <w:szCs w:val="24"/>
                <w:lang w:eastAsia="zh-CN"/>
              </w:rPr>
              <w:tab/>
            </w:r>
            <w:r>
              <w:rPr>
                <w:rFonts w:hint="eastAsia" w:eastAsia="宋体"/>
                <w:spacing w:val="3"/>
                <w:sz w:val="24"/>
                <w:szCs w:val="24"/>
                <w:lang w:eastAsia="zh-CN"/>
              </w:rPr>
              <w:t>工艺设备布置是否全面、合理；设备选型及布局是否满足工艺、流程要求，是否优异：性能优异基本无缺点的得</w:t>
            </w:r>
            <w:r>
              <w:rPr>
                <w:rFonts w:eastAsia="宋体"/>
                <w:spacing w:val="3"/>
                <w:sz w:val="24"/>
                <w:szCs w:val="24"/>
                <w:lang w:eastAsia="zh-CN"/>
              </w:rPr>
              <w:t>3</w:t>
            </w:r>
            <w:r>
              <w:rPr>
                <w:rFonts w:hint="eastAsia" w:eastAsia="宋体"/>
                <w:spacing w:val="3"/>
                <w:sz w:val="24"/>
                <w:szCs w:val="24"/>
                <w:lang w:eastAsia="zh-CN"/>
              </w:rPr>
              <w:t>分，性能一般存在少许缺点的得</w:t>
            </w:r>
            <w:r>
              <w:rPr>
                <w:rFonts w:eastAsia="宋体"/>
                <w:spacing w:val="3"/>
                <w:sz w:val="24"/>
                <w:szCs w:val="24"/>
                <w:lang w:eastAsia="zh-CN"/>
              </w:rPr>
              <w:t>2</w:t>
            </w:r>
            <w:r>
              <w:rPr>
                <w:rFonts w:hint="eastAsia" w:eastAsia="宋体"/>
                <w:spacing w:val="3"/>
                <w:sz w:val="24"/>
                <w:szCs w:val="24"/>
                <w:lang w:eastAsia="zh-CN"/>
              </w:rPr>
              <w:t>分，性能较差存在较多缺点的得</w:t>
            </w:r>
            <w:r>
              <w:rPr>
                <w:color w:val="000000"/>
                <w:sz w:val="24"/>
                <w:szCs w:val="24"/>
                <w:lang w:eastAsia="zh-CN"/>
              </w:rPr>
              <w:t>1</w:t>
            </w:r>
            <w:r>
              <w:rPr>
                <w:rFonts w:hint="eastAsia"/>
                <w:color w:val="000000"/>
                <w:sz w:val="24"/>
                <w:lang w:eastAsia="zh-CN"/>
              </w:rPr>
              <w:t>分</w:t>
            </w:r>
            <w:r>
              <w:rPr>
                <w:rFonts w:hint="eastAsia" w:eastAsia="宋体"/>
                <w:spacing w:val="3"/>
                <w:sz w:val="24"/>
                <w:szCs w:val="24"/>
                <w:lang w:eastAsia="zh-CN"/>
              </w:rPr>
              <w:t>。</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4.</w:t>
            </w:r>
            <w:r>
              <w:rPr>
                <w:rFonts w:hint="eastAsia" w:eastAsia="宋体"/>
                <w:spacing w:val="3"/>
                <w:sz w:val="24"/>
                <w:szCs w:val="24"/>
                <w:lang w:eastAsia="zh-CN"/>
              </w:rPr>
              <w:tab/>
            </w:r>
            <w:r>
              <w:rPr>
                <w:rFonts w:hint="eastAsia" w:eastAsia="宋体"/>
                <w:spacing w:val="3"/>
                <w:sz w:val="24"/>
                <w:szCs w:val="24"/>
                <w:lang w:eastAsia="zh-CN"/>
              </w:rPr>
              <w:t>设计及施工方案是否详细分析实验动物环境设施验收标准、逐条满足规范标准要求，是否优异：性能优异、分析充分的得</w:t>
            </w:r>
            <w:r>
              <w:rPr>
                <w:color w:val="000000"/>
                <w:sz w:val="24"/>
                <w:szCs w:val="24"/>
                <w:lang w:eastAsia="zh-CN"/>
              </w:rPr>
              <w:t>3</w:t>
            </w:r>
            <w:r>
              <w:rPr>
                <w:rFonts w:hint="eastAsia"/>
                <w:color w:val="000000"/>
                <w:sz w:val="24"/>
                <w:lang w:eastAsia="zh-CN"/>
              </w:rPr>
              <w:t>分，</w:t>
            </w:r>
            <w:r>
              <w:rPr>
                <w:rFonts w:hint="eastAsia" w:eastAsia="宋体"/>
                <w:spacing w:val="3"/>
                <w:sz w:val="24"/>
                <w:szCs w:val="24"/>
                <w:lang w:eastAsia="zh-CN"/>
              </w:rPr>
              <w:t>性能一般、分析存在不足的得</w:t>
            </w:r>
            <w:r>
              <w:rPr>
                <w:color w:val="000000"/>
                <w:sz w:val="24"/>
                <w:szCs w:val="24"/>
                <w:lang w:eastAsia="zh-CN"/>
              </w:rPr>
              <w:t>2</w:t>
            </w:r>
            <w:r>
              <w:rPr>
                <w:rFonts w:hint="eastAsia"/>
                <w:color w:val="000000"/>
                <w:sz w:val="24"/>
                <w:lang w:eastAsia="zh-CN"/>
              </w:rPr>
              <w:t>分；</w:t>
            </w:r>
            <w:r>
              <w:rPr>
                <w:rFonts w:hint="eastAsia" w:eastAsia="宋体"/>
                <w:spacing w:val="3"/>
                <w:sz w:val="24"/>
                <w:szCs w:val="24"/>
                <w:lang w:eastAsia="zh-CN"/>
              </w:rPr>
              <w:t>性能较差、分析存在较多不足的得</w:t>
            </w:r>
            <w:r>
              <w:rPr>
                <w:color w:val="000000"/>
                <w:sz w:val="24"/>
                <w:szCs w:val="24"/>
                <w:lang w:eastAsia="zh-CN"/>
              </w:rPr>
              <w:t>1</w:t>
            </w:r>
            <w:r>
              <w:rPr>
                <w:rFonts w:hint="eastAsia"/>
                <w:color w:val="000000"/>
                <w:sz w:val="24"/>
                <w:lang w:eastAsia="zh-CN"/>
              </w:rPr>
              <w:t>分</w:t>
            </w:r>
            <w:r>
              <w:rPr>
                <w:rFonts w:hint="eastAsia" w:eastAsia="宋体"/>
                <w:spacing w:val="3"/>
                <w:sz w:val="24"/>
                <w:szCs w:val="24"/>
                <w:lang w:eastAsia="zh-CN"/>
              </w:rPr>
              <w:t>。</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5.</w:t>
            </w:r>
            <w:r>
              <w:rPr>
                <w:rFonts w:hint="eastAsia" w:eastAsia="宋体"/>
                <w:spacing w:val="3"/>
                <w:sz w:val="24"/>
                <w:szCs w:val="24"/>
                <w:lang w:eastAsia="zh-CN"/>
              </w:rPr>
              <w:tab/>
            </w:r>
            <w:r>
              <w:rPr>
                <w:rFonts w:hint="eastAsia" w:eastAsia="宋体"/>
                <w:spacing w:val="3"/>
                <w:sz w:val="24"/>
                <w:szCs w:val="24"/>
                <w:lang w:eastAsia="zh-CN"/>
              </w:rPr>
              <w:t>IVC小鼠笼具设计数量高于2600个的10%以上的得</w:t>
            </w:r>
            <w:r>
              <w:rPr>
                <w:rFonts w:eastAsia="宋体"/>
                <w:spacing w:val="3"/>
                <w:sz w:val="24"/>
                <w:szCs w:val="24"/>
                <w:lang w:eastAsia="zh-CN"/>
              </w:rPr>
              <w:t>1</w:t>
            </w:r>
            <w:r>
              <w:rPr>
                <w:rFonts w:hint="eastAsia" w:eastAsia="宋体"/>
                <w:spacing w:val="3"/>
                <w:sz w:val="24"/>
                <w:szCs w:val="24"/>
                <w:lang w:eastAsia="zh-CN"/>
              </w:rPr>
              <w:t>分。</w:t>
            </w:r>
          </w:p>
        </w:tc>
        <w:tc>
          <w:tcPr>
            <w:tcW w:w="912" w:type="dxa"/>
            <w:vMerge w:val="restart"/>
          </w:tcPr>
          <w:p>
            <w:pPr>
              <w:pStyle w:val="152"/>
              <w:spacing w:line="360" w:lineRule="auto"/>
              <w:ind w:firstLine="480"/>
              <w:rPr>
                <w:rFonts w:eastAsia="宋体"/>
                <w:sz w:val="24"/>
                <w:szCs w:val="24"/>
                <w:lang w:eastAsia="zh-CN"/>
              </w:rPr>
            </w:pPr>
          </w:p>
          <w:p>
            <w:pPr>
              <w:pStyle w:val="152"/>
              <w:spacing w:before="9" w:line="360" w:lineRule="auto"/>
              <w:ind w:firstLine="480"/>
              <w:rPr>
                <w:rFonts w:eastAsia="宋体"/>
                <w:sz w:val="24"/>
                <w:szCs w:val="24"/>
                <w:lang w:eastAsia="zh-CN"/>
              </w:rPr>
            </w:pPr>
          </w:p>
          <w:p>
            <w:pPr>
              <w:pStyle w:val="152"/>
              <w:spacing w:before="1" w:line="360" w:lineRule="auto"/>
              <w:ind w:left="2520" w:right="155" w:firstLine="480"/>
              <w:rPr>
                <w:rFonts w:eastAsia="宋体"/>
                <w:sz w:val="24"/>
                <w:szCs w:val="24"/>
                <w:lang w:eastAsia="en-US"/>
              </w:rPr>
            </w:pPr>
            <w:r>
              <w:rPr>
                <w:rFonts w:hint="eastAsia" w:eastAsia="宋体"/>
                <w:sz w:val="24"/>
                <w:szCs w:val="24"/>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jc w:val="center"/>
        </w:trPr>
        <w:tc>
          <w:tcPr>
            <w:tcW w:w="993" w:type="dxa"/>
            <w:vMerge w:val="continue"/>
          </w:tcPr>
          <w:p>
            <w:pPr>
              <w:pStyle w:val="152"/>
              <w:spacing w:line="360" w:lineRule="auto"/>
              <w:ind w:firstLine="480"/>
              <w:jc w:val="center"/>
              <w:rPr>
                <w:rFonts w:eastAsia="宋体"/>
                <w:sz w:val="24"/>
                <w:szCs w:val="24"/>
                <w:lang w:eastAsia="en-US"/>
              </w:rPr>
            </w:pPr>
          </w:p>
        </w:tc>
        <w:tc>
          <w:tcPr>
            <w:tcW w:w="850" w:type="dxa"/>
            <w:gridSpan w:val="2"/>
            <w:vMerge w:val="continue"/>
            <w:vAlign w:val="center"/>
          </w:tcPr>
          <w:p>
            <w:pPr>
              <w:pStyle w:val="152"/>
              <w:spacing w:line="360" w:lineRule="auto"/>
              <w:ind w:firstLine="480"/>
              <w:jc w:val="center"/>
              <w:rPr>
                <w:rFonts w:eastAsia="宋体"/>
                <w:sz w:val="24"/>
                <w:szCs w:val="24"/>
                <w:lang w:eastAsia="en-US"/>
              </w:rPr>
            </w:pPr>
          </w:p>
        </w:tc>
        <w:tc>
          <w:tcPr>
            <w:tcW w:w="1134" w:type="dxa"/>
            <w:tcBorders>
              <w:top w:val="single" w:color="auto" w:sz="4" w:space="0"/>
              <w:bottom w:val="single" w:color="auto" w:sz="4" w:space="0"/>
            </w:tcBorders>
            <w:vAlign w:val="center"/>
          </w:tcPr>
          <w:p>
            <w:pPr>
              <w:pStyle w:val="152"/>
              <w:spacing w:before="1" w:line="360" w:lineRule="auto"/>
              <w:ind w:right="121" w:firstLine="480"/>
              <w:jc w:val="center"/>
              <w:rPr>
                <w:rFonts w:eastAsia="宋体"/>
                <w:sz w:val="24"/>
                <w:szCs w:val="24"/>
                <w:lang w:eastAsia="zh-CN"/>
              </w:rPr>
            </w:pPr>
            <w:r>
              <w:rPr>
                <w:rFonts w:hint="eastAsia" w:eastAsia="宋体"/>
                <w:sz w:val="24"/>
                <w:szCs w:val="24"/>
                <w:lang w:eastAsia="zh-CN"/>
              </w:rPr>
              <w:t>净化系统设计图</w:t>
            </w:r>
          </w:p>
          <w:p>
            <w:pPr>
              <w:pStyle w:val="152"/>
              <w:spacing w:before="1" w:line="360" w:lineRule="auto"/>
              <w:ind w:right="121"/>
              <w:jc w:val="center"/>
              <w:rPr>
                <w:rFonts w:eastAsia="宋体"/>
                <w:sz w:val="24"/>
                <w:szCs w:val="24"/>
                <w:lang w:eastAsia="zh-CN"/>
              </w:rPr>
            </w:pPr>
            <w:r>
              <w:rPr>
                <w:rFonts w:hint="eastAsia" w:eastAsia="宋体"/>
                <w:sz w:val="24"/>
                <w:szCs w:val="24"/>
                <w:lang w:eastAsia="zh-CN"/>
              </w:rPr>
              <w:t>（</w:t>
            </w:r>
            <w:r>
              <w:rPr>
                <w:rFonts w:eastAsia="宋体"/>
                <w:sz w:val="24"/>
                <w:szCs w:val="24"/>
                <w:lang w:eastAsia="zh-CN"/>
              </w:rPr>
              <w:t>5</w:t>
            </w:r>
            <w:r>
              <w:rPr>
                <w:rFonts w:hint="eastAsia" w:eastAsia="宋体"/>
                <w:sz w:val="24"/>
                <w:szCs w:val="24"/>
                <w:lang w:eastAsia="zh-CN"/>
              </w:rPr>
              <w:t>分）</w:t>
            </w:r>
          </w:p>
        </w:tc>
        <w:tc>
          <w:tcPr>
            <w:tcW w:w="6379" w:type="dxa"/>
            <w:tcBorders>
              <w:top w:val="single" w:color="auto" w:sz="4" w:space="0"/>
              <w:bottom w:val="single" w:color="auto" w:sz="4" w:space="0"/>
            </w:tcBorders>
          </w:tcPr>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1.</w:t>
            </w:r>
            <w:r>
              <w:rPr>
                <w:rFonts w:hint="eastAsia" w:eastAsia="宋体"/>
                <w:spacing w:val="3"/>
                <w:sz w:val="24"/>
                <w:szCs w:val="24"/>
                <w:lang w:eastAsia="zh-CN"/>
              </w:rPr>
              <w:tab/>
            </w:r>
            <w:r>
              <w:rPr>
                <w:rFonts w:hint="eastAsia" w:eastAsia="宋体"/>
                <w:spacing w:val="3"/>
                <w:sz w:val="24"/>
                <w:szCs w:val="24"/>
                <w:lang w:eastAsia="zh-CN"/>
              </w:rPr>
              <w:t>动物房维护结构门、窗、地、顶、净化、密封等系统，是否优异：性能优异基本无缺点的得</w:t>
            </w:r>
            <w:r>
              <w:rPr>
                <w:rFonts w:eastAsia="宋体"/>
                <w:spacing w:val="3"/>
                <w:sz w:val="24"/>
                <w:szCs w:val="24"/>
                <w:lang w:eastAsia="zh-CN"/>
              </w:rPr>
              <w:t>1</w:t>
            </w:r>
            <w:r>
              <w:rPr>
                <w:rFonts w:hint="eastAsia" w:eastAsia="宋体"/>
                <w:spacing w:val="3"/>
                <w:sz w:val="24"/>
                <w:szCs w:val="24"/>
                <w:lang w:eastAsia="zh-CN"/>
              </w:rPr>
              <w:t>分，性能一般存在少许缺点的得</w:t>
            </w:r>
            <w:r>
              <w:rPr>
                <w:rFonts w:eastAsia="宋体"/>
                <w:spacing w:val="3"/>
                <w:sz w:val="24"/>
                <w:szCs w:val="24"/>
                <w:lang w:eastAsia="zh-CN"/>
              </w:rPr>
              <w:t>0.5</w:t>
            </w:r>
            <w:r>
              <w:rPr>
                <w:rFonts w:hint="eastAsia" w:eastAsia="宋体"/>
                <w:spacing w:val="3"/>
                <w:sz w:val="24"/>
                <w:szCs w:val="24"/>
                <w:lang w:eastAsia="zh-CN"/>
              </w:rPr>
              <w:t>分，性能较差存在较多缺点的得</w:t>
            </w:r>
            <w:r>
              <w:rPr>
                <w:rFonts w:eastAsia="宋体"/>
                <w:spacing w:val="3"/>
                <w:sz w:val="24"/>
                <w:szCs w:val="24"/>
                <w:lang w:eastAsia="zh-CN"/>
              </w:rPr>
              <w:t>0.2</w:t>
            </w:r>
            <w:r>
              <w:rPr>
                <w:rFonts w:hint="eastAsia" w:eastAsia="宋体"/>
                <w:spacing w:val="3"/>
                <w:sz w:val="24"/>
                <w:szCs w:val="24"/>
                <w:lang w:eastAsia="zh-CN"/>
              </w:rPr>
              <w:t xml:space="preserve">分。 </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2.</w:t>
            </w:r>
            <w:r>
              <w:rPr>
                <w:rFonts w:hint="eastAsia" w:eastAsia="宋体"/>
                <w:spacing w:val="3"/>
                <w:sz w:val="24"/>
                <w:szCs w:val="24"/>
                <w:lang w:eastAsia="zh-CN"/>
              </w:rPr>
              <w:tab/>
            </w:r>
            <w:r>
              <w:rPr>
                <w:rFonts w:hint="eastAsia" w:eastAsia="宋体"/>
                <w:spacing w:val="3"/>
                <w:sz w:val="24"/>
                <w:szCs w:val="24"/>
                <w:lang w:eastAsia="zh-CN"/>
              </w:rPr>
              <w:t>净化空调系统是否满足屏障环境设施要求、各区域温湿度、洁净度、压差、照度、噪音、氨浓度、风速风量等系统及其控制措施设计是否全面，气流组织是否合理，气体流向是否明确，是否优异：性能优异基本无缺点的得</w:t>
            </w:r>
            <w:r>
              <w:rPr>
                <w:rFonts w:eastAsia="宋体"/>
                <w:spacing w:val="3"/>
                <w:sz w:val="24"/>
                <w:szCs w:val="24"/>
                <w:lang w:eastAsia="zh-CN"/>
              </w:rPr>
              <w:t>3</w:t>
            </w:r>
            <w:r>
              <w:rPr>
                <w:rFonts w:hint="eastAsia" w:eastAsia="宋体"/>
                <w:spacing w:val="3"/>
                <w:sz w:val="24"/>
                <w:szCs w:val="24"/>
                <w:lang w:eastAsia="zh-CN"/>
              </w:rPr>
              <w:t>分，性能一般存在少许缺点的得</w:t>
            </w:r>
            <w:r>
              <w:rPr>
                <w:rFonts w:eastAsia="宋体"/>
                <w:spacing w:val="3"/>
                <w:sz w:val="24"/>
                <w:szCs w:val="24"/>
                <w:lang w:eastAsia="zh-CN"/>
              </w:rPr>
              <w:t>2</w:t>
            </w:r>
            <w:r>
              <w:rPr>
                <w:rFonts w:hint="eastAsia" w:eastAsia="宋体"/>
                <w:spacing w:val="3"/>
                <w:sz w:val="24"/>
                <w:szCs w:val="24"/>
                <w:lang w:eastAsia="zh-CN"/>
              </w:rPr>
              <w:t>分，性能较差存在较多缺点的得</w:t>
            </w:r>
            <w:r>
              <w:rPr>
                <w:rFonts w:eastAsia="宋体"/>
                <w:spacing w:val="3"/>
                <w:sz w:val="24"/>
                <w:szCs w:val="24"/>
                <w:lang w:eastAsia="zh-CN"/>
              </w:rPr>
              <w:t>1</w:t>
            </w:r>
            <w:r>
              <w:rPr>
                <w:rFonts w:hint="eastAsia" w:eastAsia="宋体"/>
                <w:spacing w:val="3"/>
                <w:sz w:val="24"/>
                <w:szCs w:val="24"/>
                <w:lang w:eastAsia="zh-CN"/>
              </w:rPr>
              <w:t xml:space="preserve">分。 </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3.</w:t>
            </w:r>
            <w:r>
              <w:rPr>
                <w:rFonts w:hint="eastAsia" w:eastAsia="宋体"/>
                <w:spacing w:val="3"/>
                <w:sz w:val="24"/>
                <w:szCs w:val="24"/>
                <w:lang w:eastAsia="zh-CN"/>
              </w:rPr>
              <w:tab/>
            </w:r>
            <w:r>
              <w:rPr>
                <w:rFonts w:hint="eastAsia" w:eastAsia="宋体"/>
                <w:spacing w:val="3"/>
                <w:sz w:val="24"/>
                <w:szCs w:val="24"/>
                <w:lang w:eastAsia="zh-CN"/>
              </w:rPr>
              <w:t>净化排风系统是否满足屏障环境设施标准、是否满足磋商技术要求，废气处理系统达标排放，是否优异：性能优异基本无缺点的得</w:t>
            </w:r>
            <w:r>
              <w:rPr>
                <w:rFonts w:eastAsia="宋体"/>
                <w:spacing w:val="3"/>
                <w:sz w:val="24"/>
                <w:szCs w:val="24"/>
                <w:lang w:eastAsia="zh-CN"/>
              </w:rPr>
              <w:t>1</w:t>
            </w:r>
            <w:r>
              <w:rPr>
                <w:rFonts w:hint="eastAsia" w:eastAsia="宋体"/>
                <w:spacing w:val="3"/>
                <w:sz w:val="24"/>
                <w:szCs w:val="24"/>
                <w:lang w:eastAsia="zh-CN"/>
              </w:rPr>
              <w:t>分，性能一般存在少许缺点的得</w:t>
            </w:r>
            <w:r>
              <w:rPr>
                <w:rFonts w:eastAsia="宋体"/>
                <w:spacing w:val="3"/>
                <w:sz w:val="24"/>
                <w:szCs w:val="24"/>
                <w:lang w:eastAsia="zh-CN"/>
              </w:rPr>
              <w:t>0.5</w:t>
            </w:r>
            <w:r>
              <w:rPr>
                <w:rFonts w:hint="eastAsia" w:eastAsia="宋体"/>
                <w:spacing w:val="3"/>
                <w:sz w:val="24"/>
                <w:szCs w:val="24"/>
                <w:lang w:eastAsia="zh-CN"/>
              </w:rPr>
              <w:t>分，性能较差存在较多缺点的得</w:t>
            </w:r>
            <w:r>
              <w:rPr>
                <w:rFonts w:eastAsia="宋体"/>
                <w:spacing w:val="3"/>
                <w:sz w:val="24"/>
                <w:szCs w:val="24"/>
                <w:lang w:eastAsia="zh-CN"/>
              </w:rPr>
              <w:t>0.2</w:t>
            </w:r>
            <w:r>
              <w:rPr>
                <w:rFonts w:hint="eastAsia" w:eastAsia="宋体"/>
                <w:spacing w:val="3"/>
                <w:sz w:val="24"/>
                <w:szCs w:val="24"/>
                <w:lang w:eastAsia="zh-CN"/>
              </w:rPr>
              <w:t>分。</w:t>
            </w:r>
          </w:p>
        </w:tc>
        <w:tc>
          <w:tcPr>
            <w:tcW w:w="912" w:type="dxa"/>
            <w:vMerge w:val="continue"/>
          </w:tcPr>
          <w:p>
            <w:pPr>
              <w:pStyle w:val="152"/>
              <w:spacing w:line="360" w:lineRule="auto"/>
              <w:ind w:firstLine="480"/>
              <w:rPr>
                <w:rFonts w:eastAsia="宋体"/>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1" w:hRule="atLeast"/>
          <w:jc w:val="center"/>
        </w:trPr>
        <w:tc>
          <w:tcPr>
            <w:tcW w:w="993" w:type="dxa"/>
            <w:vMerge w:val="continue"/>
          </w:tcPr>
          <w:p>
            <w:pPr>
              <w:pStyle w:val="152"/>
              <w:spacing w:line="360" w:lineRule="auto"/>
              <w:ind w:firstLine="480"/>
              <w:jc w:val="center"/>
              <w:rPr>
                <w:rFonts w:eastAsia="宋体"/>
                <w:sz w:val="24"/>
                <w:szCs w:val="24"/>
                <w:lang w:eastAsia="zh-CN"/>
              </w:rPr>
            </w:pPr>
          </w:p>
        </w:tc>
        <w:tc>
          <w:tcPr>
            <w:tcW w:w="850" w:type="dxa"/>
            <w:gridSpan w:val="2"/>
            <w:vMerge w:val="continue"/>
            <w:vAlign w:val="center"/>
          </w:tcPr>
          <w:p>
            <w:pPr>
              <w:pStyle w:val="152"/>
              <w:spacing w:line="360" w:lineRule="auto"/>
              <w:ind w:firstLine="480"/>
              <w:jc w:val="center"/>
              <w:rPr>
                <w:rFonts w:eastAsia="宋体"/>
                <w:sz w:val="24"/>
                <w:szCs w:val="24"/>
                <w:lang w:eastAsia="zh-CN"/>
              </w:rPr>
            </w:pPr>
          </w:p>
        </w:tc>
        <w:tc>
          <w:tcPr>
            <w:tcW w:w="1134" w:type="dxa"/>
            <w:tcBorders>
              <w:top w:val="single" w:color="auto" w:sz="4" w:space="0"/>
              <w:bottom w:val="single" w:color="auto" w:sz="4" w:space="0"/>
            </w:tcBorders>
            <w:vAlign w:val="center"/>
          </w:tcPr>
          <w:p>
            <w:pPr>
              <w:pStyle w:val="152"/>
              <w:spacing w:before="1" w:line="360" w:lineRule="auto"/>
              <w:ind w:right="121" w:firstLine="480"/>
              <w:jc w:val="center"/>
              <w:rPr>
                <w:rFonts w:eastAsia="宋体"/>
                <w:sz w:val="24"/>
                <w:szCs w:val="24"/>
                <w:lang w:eastAsia="zh-CN"/>
              </w:rPr>
            </w:pPr>
            <w:r>
              <w:rPr>
                <w:rFonts w:hint="eastAsia" w:eastAsia="宋体"/>
                <w:sz w:val="24"/>
                <w:szCs w:val="24"/>
                <w:lang w:eastAsia="zh-CN"/>
              </w:rPr>
              <w:t>水电、消防、智能化设计</w:t>
            </w:r>
          </w:p>
          <w:p>
            <w:pPr>
              <w:pStyle w:val="152"/>
              <w:spacing w:before="1" w:line="360" w:lineRule="auto"/>
              <w:ind w:right="121"/>
              <w:jc w:val="center"/>
              <w:rPr>
                <w:rFonts w:eastAsia="宋体"/>
                <w:sz w:val="24"/>
                <w:szCs w:val="24"/>
                <w:lang w:eastAsia="en-US"/>
              </w:rPr>
            </w:pPr>
            <w:r>
              <w:rPr>
                <w:rFonts w:hint="eastAsia" w:eastAsia="宋体"/>
                <w:sz w:val="24"/>
                <w:szCs w:val="24"/>
                <w:lang w:eastAsia="en-US"/>
              </w:rPr>
              <w:t>（</w:t>
            </w:r>
            <w:r>
              <w:rPr>
                <w:rFonts w:eastAsia="宋体"/>
                <w:sz w:val="24"/>
                <w:szCs w:val="24"/>
                <w:lang w:eastAsia="en-US"/>
              </w:rPr>
              <w:t>2</w:t>
            </w:r>
            <w:r>
              <w:rPr>
                <w:rFonts w:hint="eastAsia" w:eastAsia="宋体"/>
                <w:sz w:val="24"/>
                <w:szCs w:val="24"/>
                <w:lang w:eastAsia="en-US"/>
              </w:rPr>
              <w:t>分）</w:t>
            </w:r>
          </w:p>
        </w:tc>
        <w:tc>
          <w:tcPr>
            <w:tcW w:w="6379" w:type="dxa"/>
            <w:tcBorders>
              <w:top w:val="single" w:color="auto" w:sz="4" w:space="0"/>
              <w:bottom w:val="single" w:color="auto" w:sz="4" w:space="0"/>
            </w:tcBorders>
          </w:tcPr>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1.</w:t>
            </w:r>
            <w:r>
              <w:rPr>
                <w:rFonts w:hint="eastAsia" w:eastAsia="宋体"/>
                <w:spacing w:val="3"/>
                <w:sz w:val="24"/>
                <w:szCs w:val="24"/>
                <w:lang w:eastAsia="zh-CN"/>
              </w:rPr>
              <w:tab/>
            </w:r>
            <w:r>
              <w:rPr>
                <w:rFonts w:hint="eastAsia" w:eastAsia="宋体"/>
                <w:spacing w:val="3"/>
                <w:sz w:val="24"/>
                <w:szCs w:val="24"/>
                <w:lang w:eastAsia="zh-CN"/>
              </w:rPr>
              <w:t>自控系统是否全面、安全、可靠、节能，是否具备就地、远程报警；是否优异：性能优异基本无缺点的得</w:t>
            </w:r>
            <w:r>
              <w:rPr>
                <w:rFonts w:eastAsia="宋体"/>
                <w:spacing w:val="3"/>
                <w:sz w:val="24"/>
                <w:szCs w:val="24"/>
                <w:lang w:eastAsia="zh-CN"/>
              </w:rPr>
              <w:t>0.5</w:t>
            </w:r>
            <w:r>
              <w:rPr>
                <w:rFonts w:hint="eastAsia" w:eastAsia="宋体"/>
                <w:spacing w:val="3"/>
                <w:sz w:val="24"/>
                <w:szCs w:val="24"/>
                <w:lang w:eastAsia="zh-CN"/>
              </w:rPr>
              <w:t>分，性能一般存在少许缺点的得</w:t>
            </w:r>
            <w:r>
              <w:rPr>
                <w:rFonts w:eastAsia="宋体"/>
                <w:spacing w:val="3"/>
                <w:sz w:val="24"/>
                <w:szCs w:val="24"/>
                <w:lang w:eastAsia="zh-CN"/>
              </w:rPr>
              <w:t>0.3</w:t>
            </w:r>
            <w:r>
              <w:rPr>
                <w:rFonts w:hint="eastAsia" w:eastAsia="宋体"/>
                <w:spacing w:val="3"/>
                <w:sz w:val="24"/>
                <w:szCs w:val="24"/>
                <w:lang w:eastAsia="zh-CN"/>
              </w:rPr>
              <w:t>分，性能较差存在较多缺点的得</w:t>
            </w:r>
            <w:r>
              <w:rPr>
                <w:rFonts w:eastAsia="宋体"/>
                <w:spacing w:val="3"/>
                <w:sz w:val="24"/>
                <w:szCs w:val="24"/>
                <w:lang w:eastAsia="zh-CN"/>
              </w:rPr>
              <w:t>0.1</w:t>
            </w:r>
            <w:r>
              <w:rPr>
                <w:rFonts w:hint="eastAsia" w:eastAsia="宋体"/>
                <w:spacing w:val="3"/>
                <w:sz w:val="24"/>
                <w:szCs w:val="24"/>
                <w:lang w:eastAsia="zh-CN"/>
              </w:rPr>
              <w:t>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2.</w:t>
            </w:r>
            <w:r>
              <w:rPr>
                <w:rFonts w:hint="eastAsia" w:eastAsia="宋体"/>
                <w:spacing w:val="3"/>
                <w:sz w:val="24"/>
                <w:szCs w:val="24"/>
                <w:lang w:eastAsia="zh-CN"/>
              </w:rPr>
              <w:tab/>
            </w:r>
            <w:r>
              <w:rPr>
                <w:rFonts w:hint="eastAsia" w:eastAsia="宋体"/>
                <w:spacing w:val="3"/>
                <w:sz w:val="24"/>
                <w:szCs w:val="24"/>
                <w:lang w:eastAsia="zh-CN"/>
              </w:rPr>
              <w:t>消防设施是否齐全，符合要求，是否优异：性能优异基本无缺点的得</w:t>
            </w:r>
            <w:r>
              <w:rPr>
                <w:rFonts w:eastAsia="宋体"/>
                <w:spacing w:val="3"/>
                <w:sz w:val="24"/>
                <w:szCs w:val="24"/>
                <w:lang w:eastAsia="zh-CN"/>
              </w:rPr>
              <w:t>0.5</w:t>
            </w:r>
            <w:r>
              <w:rPr>
                <w:rFonts w:hint="eastAsia" w:eastAsia="宋体"/>
                <w:spacing w:val="3"/>
                <w:sz w:val="24"/>
                <w:szCs w:val="24"/>
                <w:lang w:eastAsia="zh-CN"/>
              </w:rPr>
              <w:t>分，性能一般存在少许缺点的得</w:t>
            </w:r>
            <w:r>
              <w:rPr>
                <w:rFonts w:eastAsia="宋体"/>
                <w:spacing w:val="3"/>
                <w:sz w:val="24"/>
                <w:szCs w:val="24"/>
                <w:lang w:eastAsia="zh-CN"/>
              </w:rPr>
              <w:t>0.3</w:t>
            </w:r>
            <w:r>
              <w:rPr>
                <w:rFonts w:hint="eastAsia" w:eastAsia="宋体"/>
                <w:spacing w:val="3"/>
                <w:sz w:val="24"/>
                <w:szCs w:val="24"/>
                <w:lang w:eastAsia="zh-CN"/>
              </w:rPr>
              <w:t>分，性能较差存在较多缺点的得</w:t>
            </w:r>
            <w:r>
              <w:rPr>
                <w:rFonts w:eastAsia="宋体"/>
                <w:spacing w:val="3"/>
                <w:sz w:val="24"/>
                <w:szCs w:val="24"/>
                <w:lang w:eastAsia="zh-CN"/>
              </w:rPr>
              <w:t>0.1</w:t>
            </w:r>
            <w:r>
              <w:rPr>
                <w:rFonts w:hint="eastAsia" w:eastAsia="宋体"/>
                <w:spacing w:val="3"/>
                <w:sz w:val="24"/>
                <w:szCs w:val="24"/>
                <w:lang w:eastAsia="zh-CN"/>
              </w:rPr>
              <w:t>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3.</w:t>
            </w:r>
            <w:r>
              <w:rPr>
                <w:rFonts w:hint="eastAsia" w:eastAsia="宋体"/>
                <w:spacing w:val="3"/>
                <w:sz w:val="24"/>
                <w:szCs w:val="24"/>
                <w:lang w:eastAsia="zh-CN"/>
              </w:rPr>
              <w:tab/>
            </w:r>
            <w:r>
              <w:rPr>
                <w:rFonts w:hint="eastAsia" w:eastAsia="宋体"/>
                <w:spacing w:val="3"/>
                <w:sz w:val="24"/>
                <w:szCs w:val="24"/>
                <w:lang w:eastAsia="zh-CN"/>
              </w:rPr>
              <w:t>给排水系统、强电系统、门禁、监控、通信、网络设计等，是否优异：性能优异基本无缺点的得</w:t>
            </w:r>
            <w:r>
              <w:rPr>
                <w:rFonts w:eastAsia="宋体"/>
                <w:spacing w:val="3"/>
                <w:sz w:val="24"/>
                <w:szCs w:val="24"/>
                <w:lang w:eastAsia="zh-CN"/>
              </w:rPr>
              <w:t>1</w:t>
            </w:r>
            <w:r>
              <w:rPr>
                <w:rFonts w:hint="eastAsia" w:eastAsia="宋体"/>
                <w:spacing w:val="3"/>
                <w:sz w:val="24"/>
                <w:szCs w:val="24"/>
                <w:lang w:eastAsia="zh-CN"/>
              </w:rPr>
              <w:t>分，性能一般存在少许缺点的得</w:t>
            </w:r>
            <w:r>
              <w:rPr>
                <w:rFonts w:eastAsia="宋体"/>
                <w:spacing w:val="3"/>
                <w:sz w:val="24"/>
                <w:szCs w:val="24"/>
                <w:lang w:eastAsia="zh-CN"/>
              </w:rPr>
              <w:t>0.5</w:t>
            </w:r>
            <w:r>
              <w:rPr>
                <w:rFonts w:hint="eastAsia" w:eastAsia="宋体"/>
                <w:spacing w:val="3"/>
                <w:sz w:val="24"/>
                <w:szCs w:val="24"/>
                <w:lang w:eastAsia="zh-CN"/>
              </w:rPr>
              <w:t>分，性能较差存在较多缺点的得</w:t>
            </w:r>
            <w:r>
              <w:rPr>
                <w:rFonts w:eastAsia="宋体"/>
                <w:spacing w:val="3"/>
                <w:sz w:val="24"/>
                <w:szCs w:val="24"/>
                <w:lang w:eastAsia="zh-CN"/>
              </w:rPr>
              <w:t>0.2</w:t>
            </w:r>
            <w:r>
              <w:rPr>
                <w:rFonts w:hint="eastAsia" w:eastAsia="宋体"/>
                <w:spacing w:val="3"/>
                <w:sz w:val="24"/>
                <w:szCs w:val="24"/>
                <w:lang w:eastAsia="zh-CN"/>
              </w:rPr>
              <w:t>分。</w:t>
            </w:r>
          </w:p>
        </w:tc>
        <w:tc>
          <w:tcPr>
            <w:tcW w:w="912" w:type="dxa"/>
            <w:vMerge w:val="continue"/>
          </w:tcPr>
          <w:p>
            <w:pPr>
              <w:pStyle w:val="152"/>
              <w:spacing w:line="360" w:lineRule="auto"/>
              <w:ind w:firstLine="480"/>
              <w:rPr>
                <w:rFonts w:eastAsia="宋体"/>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9" w:hRule="atLeast"/>
          <w:jc w:val="center"/>
        </w:trPr>
        <w:tc>
          <w:tcPr>
            <w:tcW w:w="993" w:type="dxa"/>
          </w:tcPr>
          <w:p>
            <w:pPr>
              <w:pStyle w:val="152"/>
              <w:spacing w:line="360" w:lineRule="auto"/>
              <w:ind w:firstLine="480"/>
              <w:jc w:val="center"/>
              <w:rPr>
                <w:rFonts w:eastAsia="宋体"/>
                <w:sz w:val="24"/>
                <w:szCs w:val="24"/>
                <w:lang w:eastAsia="zh-CN"/>
              </w:rPr>
            </w:pPr>
          </w:p>
          <w:p>
            <w:pPr>
              <w:pStyle w:val="152"/>
              <w:spacing w:line="360" w:lineRule="auto"/>
              <w:ind w:firstLine="480"/>
              <w:jc w:val="center"/>
              <w:rPr>
                <w:rFonts w:eastAsia="宋体"/>
                <w:sz w:val="24"/>
                <w:szCs w:val="24"/>
                <w:lang w:eastAsia="en-US"/>
              </w:rPr>
            </w:pPr>
            <w:r>
              <w:rPr>
                <w:rFonts w:hint="eastAsia" w:eastAsia="宋体"/>
                <w:sz w:val="24"/>
                <w:szCs w:val="24"/>
                <w:lang w:eastAsia="en-US"/>
              </w:rPr>
              <w:t>3</w:t>
            </w:r>
          </w:p>
          <w:p>
            <w:pPr>
              <w:pStyle w:val="152"/>
              <w:spacing w:line="360" w:lineRule="auto"/>
              <w:ind w:firstLine="480"/>
              <w:jc w:val="center"/>
              <w:rPr>
                <w:rFonts w:eastAsia="宋体"/>
                <w:sz w:val="24"/>
                <w:szCs w:val="24"/>
                <w:lang w:eastAsia="en-US"/>
              </w:rPr>
            </w:pPr>
          </w:p>
          <w:p>
            <w:pPr>
              <w:pStyle w:val="152"/>
              <w:spacing w:before="2" w:line="360" w:lineRule="auto"/>
              <w:ind w:firstLine="480"/>
              <w:jc w:val="center"/>
              <w:rPr>
                <w:rFonts w:eastAsia="宋体"/>
                <w:sz w:val="24"/>
                <w:szCs w:val="24"/>
                <w:lang w:eastAsia="en-US"/>
              </w:rPr>
            </w:pPr>
          </w:p>
          <w:p>
            <w:pPr>
              <w:pStyle w:val="152"/>
              <w:spacing w:line="360" w:lineRule="auto"/>
              <w:ind w:left="2520" w:firstLine="473"/>
              <w:jc w:val="center"/>
              <w:rPr>
                <w:rFonts w:eastAsia="宋体"/>
                <w:sz w:val="24"/>
                <w:szCs w:val="24"/>
                <w:lang w:eastAsia="en-US"/>
              </w:rPr>
            </w:pPr>
            <w:r>
              <w:rPr>
                <w:rFonts w:eastAsia="宋体"/>
                <w:w w:val="99"/>
                <w:sz w:val="24"/>
                <w:szCs w:val="24"/>
                <w:lang w:eastAsia="en-US"/>
              </w:rPr>
              <w:t>3</w:t>
            </w:r>
          </w:p>
        </w:tc>
        <w:tc>
          <w:tcPr>
            <w:tcW w:w="1984" w:type="dxa"/>
            <w:gridSpan w:val="3"/>
            <w:vAlign w:val="center"/>
          </w:tcPr>
          <w:p>
            <w:pPr>
              <w:pStyle w:val="152"/>
              <w:spacing w:line="360" w:lineRule="auto"/>
              <w:ind w:firstLine="480"/>
              <w:jc w:val="center"/>
              <w:rPr>
                <w:rFonts w:eastAsia="宋体"/>
                <w:sz w:val="24"/>
                <w:szCs w:val="24"/>
                <w:lang w:eastAsia="en-US"/>
              </w:rPr>
            </w:pPr>
          </w:p>
          <w:p>
            <w:pPr>
              <w:pStyle w:val="152"/>
              <w:spacing w:line="360" w:lineRule="auto"/>
              <w:ind w:firstLine="480"/>
              <w:jc w:val="center"/>
              <w:rPr>
                <w:rFonts w:eastAsia="宋体"/>
                <w:sz w:val="24"/>
                <w:szCs w:val="24"/>
                <w:lang w:eastAsia="en-US"/>
              </w:rPr>
            </w:pPr>
            <w:r>
              <w:rPr>
                <w:rFonts w:hint="eastAsia" w:eastAsia="宋体"/>
                <w:sz w:val="24"/>
                <w:szCs w:val="24"/>
                <w:lang w:eastAsia="en-US"/>
              </w:rPr>
              <w:t>施工组织设计(5分)</w:t>
            </w:r>
          </w:p>
          <w:p>
            <w:pPr>
              <w:pStyle w:val="152"/>
              <w:spacing w:line="360" w:lineRule="auto"/>
              <w:ind w:right="122" w:firstLine="480"/>
              <w:jc w:val="center"/>
              <w:rPr>
                <w:rFonts w:eastAsia="宋体"/>
                <w:sz w:val="24"/>
                <w:szCs w:val="24"/>
                <w:lang w:eastAsia="en-US"/>
              </w:rPr>
            </w:pPr>
          </w:p>
        </w:tc>
        <w:tc>
          <w:tcPr>
            <w:tcW w:w="6379" w:type="dxa"/>
          </w:tcPr>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1</w:t>
            </w:r>
            <w:r>
              <w:rPr>
                <w:rFonts w:eastAsia="宋体"/>
                <w:spacing w:val="3"/>
                <w:sz w:val="24"/>
                <w:szCs w:val="24"/>
                <w:lang w:eastAsia="zh-CN"/>
              </w:rPr>
              <w:t>.</w:t>
            </w:r>
            <w:r>
              <w:rPr>
                <w:rFonts w:hint="eastAsia" w:eastAsia="宋体"/>
                <w:spacing w:val="3"/>
                <w:sz w:val="24"/>
                <w:szCs w:val="24"/>
                <w:lang w:eastAsia="zh-CN"/>
              </w:rPr>
              <w:t>包含①准备工作计划、工期、安全、质量及文明施工管理体系、保证措施、售后服务；设计大纲②本项目动物屏障级环境设施及其生物安全、净化空调、净化排风、净化装饰、验收检测专项施工方案得1.5分，不提供或提供不齐全不得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2.实施前的准备工作计划充分，考虑周全，能针对项目实际中的困难，安全、质量及文明施工管理体系能确保项目质量的技术组织措施详细得当，符合项目专业要求，各工序技术措施内容详细加0.5分；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3</w:t>
            </w:r>
            <w:r>
              <w:rPr>
                <w:rFonts w:eastAsia="宋体"/>
                <w:spacing w:val="3"/>
                <w:sz w:val="24"/>
                <w:szCs w:val="24"/>
                <w:lang w:eastAsia="zh-CN"/>
              </w:rPr>
              <w:t>.</w:t>
            </w:r>
            <w:r>
              <w:rPr>
                <w:rFonts w:hint="eastAsia" w:eastAsia="宋体"/>
                <w:spacing w:val="3"/>
                <w:sz w:val="24"/>
                <w:szCs w:val="24"/>
                <w:lang w:eastAsia="zh-CN"/>
              </w:rPr>
              <w:t>动物屏障级环境设施及其生物安全专项施工中，建筑、装修、结构、水暖电自控消防施工能以屏障级环境设施为核心，阐明屏障级环境设施的特殊要求，能针对项目实际中的困难加1分；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4.对本项目净化空调、净化排风、净化装饰专项实施方案内容完整易实施，有保障措施，系统严密性、管道穿越吊顶、灯箱、插座、设施等泄漏点的施工防范措施，充分对应屏障级环境设施特征，重点部位及关键节点部位的工艺及实施方案技术能力突出加1.5分；</w:t>
            </w:r>
          </w:p>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5.屏障级环境设施验收检测专项实施方案含有洁净度、风量、压差、温度、湿度、照度、噪音及综合性能全面检测评定方案；检测评定引用标准规范，能适用于实际操作加0.5分；</w:t>
            </w:r>
          </w:p>
        </w:tc>
        <w:tc>
          <w:tcPr>
            <w:tcW w:w="912" w:type="dxa"/>
          </w:tcPr>
          <w:p>
            <w:pPr>
              <w:pStyle w:val="152"/>
              <w:spacing w:before="1" w:line="360" w:lineRule="auto"/>
              <w:ind w:left="2520" w:right="155" w:firstLine="480"/>
              <w:rPr>
                <w:rFonts w:eastAsia="宋体"/>
                <w:sz w:val="24"/>
                <w:szCs w:val="24"/>
                <w:lang w:eastAsia="en-US"/>
              </w:rPr>
            </w:pPr>
            <w:r>
              <w:rPr>
                <w:rFonts w:hint="eastAsia" w:eastAsia="宋体"/>
                <w:sz w:val="24"/>
                <w:szCs w:val="24"/>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4" w:hRule="atLeast"/>
          <w:jc w:val="center"/>
        </w:trPr>
        <w:tc>
          <w:tcPr>
            <w:tcW w:w="993" w:type="dxa"/>
          </w:tcPr>
          <w:p>
            <w:pPr>
              <w:pStyle w:val="152"/>
              <w:spacing w:line="360" w:lineRule="auto"/>
              <w:ind w:firstLine="480"/>
              <w:jc w:val="center"/>
              <w:rPr>
                <w:rFonts w:eastAsia="宋体"/>
                <w:sz w:val="24"/>
                <w:szCs w:val="24"/>
                <w:lang w:eastAsia="en-US"/>
              </w:rPr>
            </w:pPr>
          </w:p>
          <w:p>
            <w:pPr>
              <w:pStyle w:val="152"/>
              <w:spacing w:line="360" w:lineRule="auto"/>
              <w:ind w:firstLine="480"/>
              <w:jc w:val="center"/>
              <w:rPr>
                <w:rFonts w:eastAsia="宋体"/>
                <w:sz w:val="24"/>
                <w:szCs w:val="24"/>
                <w:lang w:eastAsia="en-US"/>
              </w:rPr>
            </w:pPr>
            <w:r>
              <w:rPr>
                <w:rFonts w:eastAsia="宋体"/>
                <w:sz w:val="24"/>
                <w:szCs w:val="24"/>
                <w:lang w:eastAsia="en-US"/>
              </w:rPr>
              <w:t>4</w:t>
            </w:r>
          </w:p>
        </w:tc>
        <w:tc>
          <w:tcPr>
            <w:tcW w:w="1984" w:type="dxa"/>
            <w:gridSpan w:val="3"/>
            <w:vAlign w:val="center"/>
          </w:tcPr>
          <w:p>
            <w:pPr>
              <w:pStyle w:val="152"/>
              <w:spacing w:line="360" w:lineRule="auto"/>
              <w:ind w:firstLine="484"/>
              <w:jc w:val="center"/>
              <w:rPr>
                <w:rFonts w:eastAsia="宋体"/>
                <w:spacing w:val="1"/>
                <w:sz w:val="24"/>
                <w:szCs w:val="24"/>
                <w:lang w:eastAsia="en-US"/>
              </w:rPr>
            </w:pPr>
            <w:r>
              <w:rPr>
                <w:rFonts w:hint="eastAsia"/>
                <w:lang w:eastAsia="en-US"/>
              </w:rPr>
              <w:t>履约能力</w:t>
            </w:r>
            <w:r>
              <w:rPr>
                <w:lang w:eastAsia="en-US"/>
              </w:rPr>
              <w:t>（</w:t>
            </w:r>
            <w:r>
              <w:rPr>
                <w:rFonts w:hint="eastAsia"/>
                <w:lang w:eastAsia="en-US"/>
              </w:rPr>
              <w:t>8分</w:t>
            </w:r>
            <w:r>
              <w:rPr>
                <w:lang w:eastAsia="en-US"/>
              </w:rPr>
              <w:t>）</w:t>
            </w:r>
          </w:p>
        </w:tc>
        <w:tc>
          <w:tcPr>
            <w:tcW w:w="6379" w:type="dxa"/>
          </w:tcPr>
          <w:p>
            <w:pPr>
              <w:pStyle w:val="152"/>
              <w:tabs>
                <w:tab w:val="left" w:pos="268"/>
              </w:tabs>
              <w:spacing w:before="20" w:line="360" w:lineRule="auto"/>
              <w:ind w:right="-15" w:firstLine="492"/>
              <w:rPr>
                <w:rFonts w:eastAsia="宋体"/>
                <w:spacing w:val="3"/>
                <w:sz w:val="24"/>
                <w:szCs w:val="24"/>
                <w:lang w:eastAsia="zh-CN"/>
              </w:rPr>
            </w:pPr>
            <w:r>
              <w:rPr>
                <w:rFonts w:hint="eastAsia" w:eastAsia="宋体"/>
                <w:spacing w:val="3"/>
                <w:sz w:val="24"/>
                <w:szCs w:val="24"/>
                <w:lang w:eastAsia="zh-CN"/>
              </w:rPr>
              <w:t>（竣工时间201</w:t>
            </w:r>
            <w:r>
              <w:rPr>
                <w:rFonts w:eastAsia="宋体"/>
                <w:spacing w:val="3"/>
                <w:sz w:val="24"/>
                <w:szCs w:val="24"/>
                <w:lang w:eastAsia="zh-CN"/>
              </w:rPr>
              <w:t>9</w:t>
            </w:r>
            <w:r>
              <w:rPr>
                <w:rFonts w:hint="eastAsia" w:eastAsia="宋体"/>
                <w:spacing w:val="3"/>
                <w:sz w:val="24"/>
                <w:szCs w:val="24"/>
                <w:lang w:eastAsia="zh-CN"/>
              </w:rPr>
              <w:t>年1月1日至今）每承接过 1个类似施工或设计-施工总承包项目业绩得 2 分；业绩须提供合同协议书和竣工验收合格证明，业主方取得的类似实验动物使用（生产）许可证证明，并留业主办公电话备查。</w:t>
            </w:r>
          </w:p>
        </w:tc>
        <w:tc>
          <w:tcPr>
            <w:tcW w:w="912" w:type="dxa"/>
          </w:tcPr>
          <w:p>
            <w:pPr>
              <w:pStyle w:val="152"/>
              <w:spacing w:line="360" w:lineRule="auto"/>
              <w:ind w:firstLine="480"/>
              <w:jc w:val="center"/>
              <w:rPr>
                <w:rFonts w:eastAsia="宋体"/>
                <w:sz w:val="24"/>
                <w:szCs w:val="24"/>
                <w:lang w:eastAsia="en-US"/>
              </w:rPr>
            </w:pPr>
            <w:r>
              <w:rPr>
                <w:rFonts w:hint="eastAsia" w:eastAsia="宋体"/>
                <w:sz w:val="24"/>
                <w:szCs w:val="24"/>
                <w:lang w:eastAsia="en-US"/>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4" w:hRule="atLeast"/>
          <w:jc w:val="center"/>
        </w:trPr>
        <w:tc>
          <w:tcPr>
            <w:tcW w:w="993" w:type="dxa"/>
            <w:vMerge w:val="restart"/>
          </w:tcPr>
          <w:p>
            <w:pPr>
              <w:pStyle w:val="152"/>
              <w:spacing w:line="360" w:lineRule="auto"/>
              <w:ind w:firstLine="480"/>
              <w:jc w:val="center"/>
              <w:rPr>
                <w:rFonts w:eastAsia="宋体"/>
                <w:sz w:val="24"/>
                <w:szCs w:val="24"/>
                <w:lang w:eastAsia="en-US"/>
              </w:rPr>
            </w:pPr>
            <w:r>
              <w:rPr>
                <w:rFonts w:hint="eastAsia" w:eastAsia="宋体"/>
                <w:sz w:val="24"/>
                <w:szCs w:val="24"/>
                <w:lang w:eastAsia="en-US"/>
              </w:rPr>
              <w:t>5</w:t>
            </w:r>
          </w:p>
        </w:tc>
        <w:tc>
          <w:tcPr>
            <w:tcW w:w="554" w:type="dxa"/>
            <w:vMerge w:val="restart"/>
            <w:tcBorders>
              <w:right w:val="single" w:color="auto" w:sz="4" w:space="0"/>
            </w:tcBorders>
            <w:vAlign w:val="center"/>
          </w:tcPr>
          <w:p>
            <w:pPr>
              <w:pStyle w:val="152"/>
              <w:spacing w:line="360" w:lineRule="auto"/>
              <w:ind w:firstLine="480"/>
              <w:jc w:val="center"/>
              <w:rPr>
                <w:rFonts w:eastAsia="宋体"/>
                <w:sz w:val="24"/>
                <w:szCs w:val="24"/>
                <w:lang w:eastAsia="zh-CN"/>
              </w:rPr>
            </w:pPr>
          </w:p>
          <w:p>
            <w:pPr>
              <w:pStyle w:val="152"/>
              <w:spacing w:line="360" w:lineRule="auto"/>
              <w:jc w:val="center"/>
              <w:rPr>
                <w:rFonts w:eastAsia="宋体"/>
                <w:sz w:val="24"/>
                <w:szCs w:val="24"/>
                <w:lang w:eastAsia="zh-CN"/>
              </w:rPr>
            </w:pPr>
            <w:r>
              <w:rPr>
                <w:rFonts w:hint="eastAsia" w:eastAsia="宋体"/>
                <w:sz w:val="24"/>
                <w:szCs w:val="24"/>
                <w:lang w:eastAsia="zh-CN"/>
              </w:rPr>
              <w:t>备材料评分标准（5分）</w:t>
            </w:r>
          </w:p>
          <w:p>
            <w:pPr>
              <w:pStyle w:val="152"/>
              <w:spacing w:line="360" w:lineRule="auto"/>
              <w:ind w:firstLine="480"/>
              <w:jc w:val="center"/>
              <w:rPr>
                <w:rFonts w:eastAsia="宋体"/>
                <w:sz w:val="24"/>
                <w:szCs w:val="24"/>
                <w:lang w:eastAsia="zh-CN"/>
              </w:rPr>
            </w:pPr>
            <w:r>
              <w:rPr>
                <w:rFonts w:hint="eastAsia" w:eastAsia="宋体"/>
                <w:sz w:val="24"/>
                <w:szCs w:val="24"/>
                <w:lang w:eastAsia="zh-CN"/>
              </w:rPr>
              <w:t>（</w:t>
            </w:r>
          </w:p>
        </w:tc>
        <w:tc>
          <w:tcPr>
            <w:tcW w:w="1430" w:type="dxa"/>
            <w:gridSpan w:val="2"/>
            <w:tcBorders>
              <w:left w:val="single" w:color="auto" w:sz="4" w:space="0"/>
            </w:tcBorders>
            <w:vAlign w:val="center"/>
          </w:tcPr>
          <w:p>
            <w:pPr>
              <w:pStyle w:val="152"/>
              <w:spacing w:line="360" w:lineRule="auto"/>
              <w:jc w:val="center"/>
              <w:rPr>
                <w:rFonts w:eastAsia="宋体"/>
                <w:sz w:val="24"/>
                <w:szCs w:val="24"/>
                <w:lang w:eastAsia="en-US"/>
              </w:rPr>
            </w:pPr>
            <w:r>
              <w:rPr>
                <w:rFonts w:hint="eastAsia" w:eastAsia="宋体"/>
                <w:sz w:val="24"/>
                <w:szCs w:val="24"/>
                <w:lang w:eastAsia="en-US"/>
              </w:rPr>
              <w:t>高压灭菌器</w:t>
            </w:r>
          </w:p>
          <w:p>
            <w:pPr>
              <w:pStyle w:val="152"/>
              <w:spacing w:line="360" w:lineRule="auto"/>
              <w:jc w:val="center"/>
              <w:rPr>
                <w:rFonts w:eastAsia="宋体"/>
                <w:sz w:val="24"/>
                <w:szCs w:val="24"/>
                <w:lang w:eastAsia="en-US"/>
              </w:rPr>
            </w:pPr>
            <w:r>
              <w:rPr>
                <w:rFonts w:hint="eastAsia" w:eastAsia="宋体"/>
                <w:sz w:val="24"/>
                <w:szCs w:val="24"/>
                <w:lang w:eastAsia="en-US"/>
              </w:rPr>
              <w:t>（3分）</w:t>
            </w:r>
          </w:p>
        </w:tc>
        <w:tc>
          <w:tcPr>
            <w:tcW w:w="6379" w:type="dxa"/>
          </w:tcPr>
          <w:p>
            <w:pPr>
              <w:autoSpaceDE w:val="0"/>
              <w:autoSpaceDN w:val="0"/>
              <w:spacing w:line="360" w:lineRule="auto"/>
              <w:ind w:firstLine="484"/>
              <w:rPr>
                <w:spacing w:val="1"/>
                <w:sz w:val="24"/>
                <w:lang w:eastAsia="zh-CN"/>
              </w:rPr>
            </w:pPr>
            <w:r>
              <w:rPr>
                <w:rFonts w:hint="eastAsia"/>
                <w:spacing w:val="1"/>
                <w:sz w:val="24"/>
                <w:lang w:eastAsia="zh-CN"/>
              </w:rPr>
              <w:t>高压灭菌器要求平地安装，设置拆叠式消毒灭菌内车，不用外搬运车（因楼层安装，地面结构场地原因, 不能使用地坑式安装的灭菌器）。达到要求并提供如下的生产厂家证明；</w:t>
            </w:r>
          </w:p>
          <w:p>
            <w:pPr>
              <w:autoSpaceDE w:val="0"/>
              <w:autoSpaceDN w:val="0"/>
              <w:spacing w:line="360" w:lineRule="auto"/>
              <w:ind w:firstLine="484"/>
              <w:rPr>
                <w:spacing w:val="1"/>
                <w:sz w:val="24"/>
                <w:lang w:eastAsia="zh-CN"/>
              </w:rPr>
            </w:pPr>
            <w:r>
              <w:rPr>
                <w:rFonts w:hint="eastAsia"/>
                <w:spacing w:val="1"/>
                <w:sz w:val="24"/>
                <w:lang w:eastAsia="zh-CN"/>
              </w:rPr>
              <w:t>1.蒸汽供给方式：设备自带蒸汽发生器，通过电热管加热产生蒸汽，以供设备运行使用；</w:t>
            </w:r>
          </w:p>
          <w:p>
            <w:pPr>
              <w:autoSpaceDE w:val="0"/>
              <w:autoSpaceDN w:val="0"/>
              <w:spacing w:line="360" w:lineRule="auto"/>
              <w:ind w:firstLine="484"/>
              <w:rPr>
                <w:spacing w:val="1"/>
                <w:sz w:val="24"/>
                <w:lang w:eastAsia="zh-CN"/>
              </w:rPr>
            </w:pPr>
            <w:r>
              <w:rPr>
                <w:rFonts w:hint="eastAsia"/>
                <w:spacing w:val="1"/>
                <w:sz w:val="24"/>
                <w:lang w:eastAsia="zh-CN"/>
              </w:rPr>
              <w:t>2.门密封圈要求：门密封圈在灭菌器筒体口圈上；密封圈为M型；</w:t>
            </w:r>
          </w:p>
          <w:p>
            <w:pPr>
              <w:autoSpaceDE w:val="0"/>
              <w:autoSpaceDN w:val="0"/>
              <w:spacing w:line="360" w:lineRule="auto"/>
              <w:ind w:firstLine="484"/>
              <w:rPr>
                <w:spacing w:val="1"/>
                <w:sz w:val="24"/>
                <w:lang w:eastAsia="zh-CN"/>
              </w:rPr>
            </w:pPr>
            <w:r>
              <w:rPr>
                <w:rFonts w:hint="eastAsia"/>
                <w:spacing w:val="1"/>
                <w:sz w:val="24"/>
                <w:lang w:eastAsia="zh-CN"/>
              </w:rPr>
              <w:t>3.密封门：前封板与门卡条须采用螺栓连接，主体啮合齿数量≥10个；门板加强筋数量≥3个；</w:t>
            </w:r>
          </w:p>
          <w:p>
            <w:pPr>
              <w:autoSpaceDE w:val="0"/>
              <w:autoSpaceDN w:val="0"/>
              <w:spacing w:line="360" w:lineRule="auto"/>
              <w:ind w:firstLine="484"/>
              <w:rPr>
                <w:spacing w:val="1"/>
                <w:sz w:val="24"/>
                <w:lang w:eastAsia="zh-CN"/>
              </w:rPr>
            </w:pPr>
            <w:r>
              <w:rPr>
                <w:rFonts w:hint="eastAsia"/>
                <w:spacing w:val="1"/>
                <w:sz w:val="24"/>
                <w:lang w:eastAsia="zh-CN"/>
              </w:rPr>
              <w:t>4.密封门动力方式：电机齿轮链条驱动门板上下移动，气动密封，设备主体为加强筋结构，多点进汽，加强筋数量≥4 个，进气口≥4个；</w:t>
            </w:r>
          </w:p>
          <w:p>
            <w:pPr>
              <w:autoSpaceDE w:val="0"/>
              <w:autoSpaceDN w:val="0"/>
              <w:spacing w:line="360" w:lineRule="auto"/>
              <w:ind w:firstLine="484"/>
              <w:rPr>
                <w:spacing w:val="1"/>
                <w:sz w:val="24"/>
                <w:lang w:eastAsia="zh-CN"/>
              </w:rPr>
            </w:pPr>
            <w:r>
              <w:rPr>
                <w:rFonts w:hint="eastAsia"/>
                <w:spacing w:val="1"/>
                <w:sz w:val="24"/>
                <w:lang w:eastAsia="zh-CN"/>
              </w:rPr>
              <w:t>5.设备主体为≥6mm厚316L不锈钢材质；设备采用自动焊接；设备使用寿命≥10年或者使用次数≥20000次灭菌循环；</w:t>
            </w:r>
          </w:p>
          <w:p>
            <w:pPr>
              <w:autoSpaceDE w:val="0"/>
              <w:autoSpaceDN w:val="0"/>
              <w:spacing w:line="360" w:lineRule="auto"/>
              <w:ind w:firstLine="484"/>
              <w:rPr>
                <w:spacing w:val="1"/>
                <w:sz w:val="24"/>
                <w:lang w:eastAsia="zh-CN"/>
              </w:rPr>
            </w:pPr>
            <w:r>
              <w:rPr>
                <w:rFonts w:hint="eastAsia"/>
                <w:spacing w:val="1"/>
                <w:sz w:val="24"/>
                <w:lang w:eastAsia="zh-CN"/>
              </w:rPr>
              <w:t xml:space="preserve">6.控制方式：采用PLC控制；专业触摸屏，配套各种软件，采集数据； </w:t>
            </w:r>
          </w:p>
          <w:p>
            <w:pPr>
              <w:autoSpaceDE w:val="0"/>
              <w:autoSpaceDN w:val="0"/>
              <w:spacing w:line="360" w:lineRule="auto"/>
              <w:ind w:firstLine="472"/>
              <w:rPr>
                <w:spacing w:val="1"/>
                <w:sz w:val="24"/>
                <w:lang w:eastAsia="zh-CN"/>
              </w:rPr>
            </w:pPr>
            <w:r>
              <w:rPr>
                <w:rFonts w:hint="eastAsia" w:ascii="宋体" w:hAnsi="宋体"/>
                <w:color w:val="000000" w:themeColor="text1"/>
                <w:spacing w:val="-2"/>
                <w:sz w:val="24"/>
                <w:lang w:eastAsia="zh-CN"/>
                <w14:textFill>
                  <w14:solidFill>
                    <w14:schemeClr w14:val="tx1"/>
                  </w14:solidFill>
                </w14:textFill>
              </w:rPr>
              <w:t>上面各条</w:t>
            </w:r>
            <w:r>
              <w:rPr>
                <w:rFonts w:hint="eastAsia"/>
                <w:spacing w:val="1"/>
                <w:sz w:val="24"/>
                <w:lang w:eastAsia="zh-CN"/>
              </w:rPr>
              <w:t>每满足1条得0.5分，本项最多得3分。</w:t>
            </w:r>
          </w:p>
        </w:tc>
        <w:tc>
          <w:tcPr>
            <w:tcW w:w="912" w:type="dxa"/>
          </w:tcPr>
          <w:p>
            <w:pPr>
              <w:pStyle w:val="152"/>
              <w:spacing w:line="360" w:lineRule="auto"/>
              <w:ind w:firstLine="480"/>
              <w:jc w:val="center"/>
              <w:rPr>
                <w:rFonts w:eastAsia="宋体"/>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4" w:hRule="atLeast"/>
          <w:jc w:val="center"/>
        </w:trPr>
        <w:tc>
          <w:tcPr>
            <w:tcW w:w="993" w:type="dxa"/>
            <w:vMerge w:val="continue"/>
          </w:tcPr>
          <w:p>
            <w:pPr>
              <w:pStyle w:val="152"/>
              <w:spacing w:line="360" w:lineRule="auto"/>
              <w:ind w:firstLine="480"/>
              <w:jc w:val="center"/>
              <w:rPr>
                <w:rFonts w:eastAsia="宋体"/>
                <w:sz w:val="24"/>
                <w:szCs w:val="24"/>
                <w:lang w:eastAsia="zh-CN"/>
              </w:rPr>
            </w:pPr>
          </w:p>
        </w:tc>
        <w:tc>
          <w:tcPr>
            <w:tcW w:w="554" w:type="dxa"/>
            <w:vMerge w:val="continue"/>
            <w:tcBorders>
              <w:right w:val="single" w:color="auto" w:sz="4" w:space="0"/>
            </w:tcBorders>
            <w:vAlign w:val="center"/>
          </w:tcPr>
          <w:p>
            <w:pPr>
              <w:pStyle w:val="152"/>
              <w:spacing w:line="360" w:lineRule="auto"/>
              <w:ind w:firstLine="480"/>
              <w:jc w:val="center"/>
              <w:rPr>
                <w:rFonts w:eastAsia="宋体"/>
                <w:sz w:val="24"/>
                <w:szCs w:val="24"/>
                <w:lang w:eastAsia="zh-CN"/>
              </w:rPr>
            </w:pPr>
          </w:p>
        </w:tc>
        <w:tc>
          <w:tcPr>
            <w:tcW w:w="1430" w:type="dxa"/>
            <w:gridSpan w:val="2"/>
            <w:tcBorders>
              <w:left w:val="single" w:color="auto" w:sz="4" w:space="0"/>
            </w:tcBorders>
            <w:vAlign w:val="center"/>
          </w:tcPr>
          <w:p>
            <w:pPr>
              <w:pStyle w:val="152"/>
              <w:spacing w:line="360" w:lineRule="auto"/>
              <w:ind w:firstLine="480"/>
              <w:jc w:val="center"/>
              <w:rPr>
                <w:rFonts w:eastAsia="宋体"/>
                <w:sz w:val="24"/>
                <w:szCs w:val="24"/>
                <w:lang w:eastAsia="zh-CN"/>
              </w:rPr>
            </w:pPr>
            <w:r>
              <w:rPr>
                <w:rFonts w:hint="eastAsia" w:eastAsia="宋体"/>
                <w:sz w:val="24"/>
                <w:szCs w:val="24"/>
                <w:lang w:eastAsia="zh-CN"/>
              </w:rPr>
              <w:t>光催化加喷淋设施设备（2分）</w:t>
            </w:r>
          </w:p>
        </w:tc>
        <w:tc>
          <w:tcPr>
            <w:tcW w:w="6379" w:type="dxa"/>
          </w:tcPr>
          <w:p>
            <w:pPr>
              <w:autoSpaceDE w:val="0"/>
              <w:autoSpaceDN w:val="0"/>
              <w:spacing w:line="360" w:lineRule="auto"/>
              <w:ind w:firstLine="472"/>
              <w:rPr>
                <w:rFonts w:ascii="宋体" w:hAnsi="宋体"/>
                <w:color w:val="000000" w:themeColor="text1"/>
                <w:spacing w:val="-2"/>
                <w:sz w:val="24"/>
                <w:lang w:eastAsia="zh-CN"/>
                <w14:textFill>
                  <w14:solidFill>
                    <w14:schemeClr w14:val="tx1"/>
                  </w14:solidFill>
                </w14:textFill>
              </w:rPr>
            </w:pPr>
            <w:r>
              <w:rPr>
                <w:rFonts w:hint="eastAsia" w:ascii="宋体" w:hAnsi="宋体"/>
                <w:color w:val="000000" w:themeColor="text1"/>
                <w:spacing w:val="-2"/>
                <w:sz w:val="24"/>
                <w:lang w:eastAsia="zh-CN"/>
                <w14:textFill>
                  <w14:solidFill>
                    <w14:schemeClr w14:val="tx1"/>
                  </w14:solidFill>
                </w14:textFill>
              </w:rPr>
              <w:t>光催化加喷淋设施设备处理后的动物房废气排放达到GB14554-1993《恶臭污染物排放标准》、达到要求并提供</w:t>
            </w:r>
            <w:r>
              <w:rPr>
                <w:rFonts w:hint="eastAsia"/>
                <w:spacing w:val="1"/>
                <w:sz w:val="24"/>
                <w:lang w:eastAsia="zh-CN"/>
              </w:rPr>
              <w:t>如下的生产厂家证明</w:t>
            </w:r>
            <w:r>
              <w:rPr>
                <w:rFonts w:hint="eastAsia" w:ascii="宋体" w:hAnsi="宋体"/>
                <w:color w:val="000000" w:themeColor="text1"/>
                <w:spacing w:val="-2"/>
                <w:sz w:val="24"/>
                <w:lang w:eastAsia="zh-CN"/>
                <w14:textFill>
                  <w14:solidFill>
                    <w14:schemeClr w14:val="tx1"/>
                  </w14:solidFill>
                </w14:textFill>
              </w:rPr>
              <w:t>；</w:t>
            </w:r>
          </w:p>
          <w:p>
            <w:pPr>
              <w:autoSpaceDE w:val="0"/>
              <w:autoSpaceDN w:val="0"/>
              <w:spacing w:line="360" w:lineRule="auto"/>
              <w:ind w:firstLine="472"/>
              <w:rPr>
                <w:rFonts w:ascii="宋体" w:hAnsi="宋体"/>
                <w:color w:val="000000" w:themeColor="text1"/>
                <w:spacing w:val="-2"/>
                <w:sz w:val="24"/>
                <w:lang w:eastAsia="zh-CN"/>
                <w14:textFill>
                  <w14:solidFill>
                    <w14:schemeClr w14:val="tx1"/>
                  </w14:solidFill>
                </w14:textFill>
              </w:rPr>
            </w:pPr>
            <w:r>
              <w:rPr>
                <w:rFonts w:ascii="宋体" w:hAnsi="宋体"/>
                <w:color w:val="000000" w:themeColor="text1"/>
                <w:spacing w:val="-2"/>
                <w:sz w:val="24"/>
                <w:lang w:eastAsia="zh-CN"/>
                <w14:textFill>
                  <w14:solidFill>
                    <w14:schemeClr w14:val="tx1"/>
                  </w14:solidFill>
                </w14:textFill>
              </w:rPr>
              <w:t>1.</w:t>
            </w:r>
            <w:r>
              <w:rPr>
                <w:rFonts w:hint="eastAsia" w:ascii="宋体" w:hAnsi="宋体"/>
                <w:color w:val="000000" w:themeColor="text1"/>
                <w:spacing w:val="-2"/>
                <w:sz w:val="24"/>
                <w:lang w:eastAsia="zh-CN"/>
                <w14:textFill>
                  <w14:solidFill>
                    <w14:schemeClr w14:val="tx1"/>
                  </w14:solidFill>
                </w14:textFill>
              </w:rPr>
              <w:t>具备活性氧预处理段：采用</w:t>
            </w:r>
            <w:r>
              <w:rPr>
                <w:rFonts w:ascii="宋体" w:hAnsi="宋体"/>
                <w:color w:val="000000" w:themeColor="text1"/>
                <w:spacing w:val="-2"/>
                <w:sz w:val="24"/>
                <w:lang w:eastAsia="zh-CN"/>
                <w14:textFill>
                  <w14:solidFill>
                    <w14:schemeClr w14:val="tx1"/>
                  </w14:solidFill>
                </w14:textFill>
              </w:rPr>
              <w:t>185nm</w:t>
            </w:r>
            <w:r>
              <w:rPr>
                <w:rFonts w:hint="eastAsia" w:ascii="宋体" w:hAnsi="宋体"/>
                <w:color w:val="000000" w:themeColor="text1"/>
                <w:spacing w:val="-2"/>
                <w:sz w:val="24"/>
                <w:lang w:eastAsia="zh-CN"/>
                <w14:textFill>
                  <w14:solidFill>
                    <w14:schemeClr w14:val="tx1"/>
                  </w14:solidFill>
                </w14:textFill>
              </w:rPr>
              <w:t>紫外灯或微波无极灯，通过电离氧气产生</w:t>
            </w:r>
            <w:r>
              <w:rPr>
                <w:rFonts w:ascii="宋体" w:hAnsi="宋体"/>
                <w:color w:val="000000" w:themeColor="text1"/>
                <w:spacing w:val="-2"/>
                <w:sz w:val="24"/>
                <w:lang w:eastAsia="zh-CN"/>
                <w14:textFill>
                  <w14:solidFill>
                    <w14:schemeClr w14:val="tx1"/>
                  </w14:solidFill>
                </w14:textFill>
              </w:rPr>
              <w:t>O</w:t>
            </w:r>
            <w:r>
              <w:rPr>
                <w:color w:val="000000" w:themeColor="text1"/>
                <w:spacing w:val="-2"/>
                <w:sz w:val="24"/>
                <w:lang w:eastAsia="zh-CN"/>
                <w14:textFill>
                  <w14:solidFill>
                    <w14:schemeClr w14:val="tx1"/>
                  </w14:solidFill>
                </w14:textFill>
              </w:rPr>
              <w:t>₃</w:t>
            </w:r>
            <w:r>
              <w:rPr>
                <w:rFonts w:hint="eastAsia" w:ascii="宋体" w:hAnsi="宋体"/>
                <w:color w:val="000000" w:themeColor="text1"/>
                <w:spacing w:val="-2"/>
                <w:sz w:val="24"/>
                <w:lang w:eastAsia="zh-CN"/>
                <w14:textFill>
                  <w14:solidFill>
                    <w14:schemeClr w14:val="tx1"/>
                  </w14:solidFill>
                </w14:textFill>
              </w:rPr>
              <w:t>、</w:t>
            </w:r>
            <w:r>
              <w:rPr>
                <w:rFonts w:ascii="宋体" w:hAnsi="宋体"/>
                <w:color w:val="000000" w:themeColor="text1"/>
                <w:spacing w:val="-2"/>
                <w:sz w:val="24"/>
                <w:lang w:eastAsia="zh-CN"/>
                <w14:textFill>
                  <w14:solidFill>
                    <w14:schemeClr w14:val="tx1"/>
                  </w14:solidFill>
                </w14:textFill>
              </w:rPr>
              <w:t>O</w:t>
            </w:r>
            <w:r>
              <w:rPr>
                <w:color w:val="000000" w:themeColor="text1"/>
                <w:spacing w:val="-2"/>
                <w:sz w:val="24"/>
                <w:lang w:eastAsia="zh-CN"/>
                <w14:textFill>
                  <w14:solidFill>
                    <w14:schemeClr w14:val="tx1"/>
                  </w14:solidFill>
                </w14:textFill>
              </w:rPr>
              <w:t>₂</w:t>
            </w:r>
            <w:r>
              <w:rPr>
                <w:rFonts w:hint="eastAsia" w:ascii="宋体" w:hAnsi="宋体"/>
                <w:color w:val="000000" w:themeColor="text1"/>
                <w:spacing w:val="-2"/>
                <w:sz w:val="24"/>
                <w:lang w:eastAsia="zh-CN"/>
                <w14:textFill>
                  <w14:solidFill>
                    <w14:schemeClr w14:val="tx1"/>
                  </w14:solidFill>
                </w14:textFill>
              </w:rPr>
              <w:t>、</w:t>
            </w:r>
            <w:r>
              <w:rPr>
                <w:rFonts w:ascii="宋体" w:hAnsi="宋体"/>
                <w:color w:val="000000" w:themeColor="text1"/>
                <w:spacing w:val="-2"/>
                <w:sz w:val="24"/>
                <w:lang w:eastAsia="zh-CN"/>
                <w14:textFill>
                  <w14:solidFill>
                    <w14:schemeClr w14:val="tx1"/>
                  </w14:solidFill>
                </w14:textFill>
              </w:rPr>
              <w:t>OH-</w:t>
            </w:r>
            <w:r>
              <w:rPr>
                <w:rFonts w:hint="eastAsia" w:ascii="宋体" w:hAnsi="宋体"/>
                <w:color w:val="000000" w:themeColor="text1"/>
                <w:spacing w:val="-2"/>
                <w:sz w:val="24"/>
                <w:lang w:eastAsia="zh-CN"/>
                <w14:textFill>
                  <w14:solidFill>
                    <w14:schemeClr w14:val="tx1"/>
                  </w14:solidFill>
                </w14:textFill>
              </w:rPr>
              <w:t>活性氧成份，与废气进行混合，进行预先氧化处理，以增强后端纳米半导体光催化的效率。</w:t>
            </w:r>
          </w:p>
          <w:p>
            <w:pPr>
              <w:autoSpaceDE w:val="0"/>
              <w:autoSpaceDN w:val="0"/>
              <w:spacing w:line="360" w:lineRule="auto"/>
              <w:ind w:firstLine="472"/>
              <w:rPr>
                <w:rFonts w:ascii="宋体" w:hAnsi="宋体"/>
                <w:color w:val="000000" w:themeColor="text1"/>
                <w:spacing w:val="-2"/>
                <w:sz w:val="24"/>
                <w:lang w:eastAsia="zh-CN"/>
                <w14:textFill>
                  <w14:solidFill>
                    <w14:schemeClr w14:val="tx1"/>
                  </w14:solidFill>
                </w14:textFill>
              </w:rPr>
            </w:pPr>
            <w:r>
              <w:rPr>
                <w:rFonts w:hint="eastAsia" w:ascii="宋体" w:hAnsi="宋体"/>
                <w:color w:val="000000" w:themeColor="text1"/>
                <w:spacing w:val="-2"/>
                <w:sz w:val="24"/>
                <w:lang w:eastAsia="zh-CN"/>
                <w14:textFill>
                  <w14:solidFill>
                    <w14:schemeClr w14:val="tx1"/>
                  </w14:solidFill>
                </w14:textFill>
              </w:rPr>
              <w:t>2.具备光催化段：采用光催化技术，能够有效分解酸碱、VOCs等气态污染物。催化光源应为真空紫外灯或其他紫外光源，催化剂为纳米态光催化剂。</w:t>
            </w:r>
          </w:p>
          <w:p>
            <w:pPr>
              <w:autoSpaceDE w:val="0"/>
              <w:autoSpaceDN w:val="0"/>
              <w:spacing w:line="360" w:lineRule="auto"/>
              <w:ind w:firstLine="472"/>
              <w:rPr>
                <w:rFonts w:ascii="宋体" w:hAnsi="宋体"/>
                <w:color w:val="000000" w:themeColor="text1"/>
                <w:spacing w:val="-2"/>
                <w:sz w:val="24"/>
                <w:lang w:eastAsia="zh-CN"/>
                <w14:textFill>
                  <w14:solidFill>
                    <w14:schemeClr w14:val="tx1"/>
                  </w14:solidFill>
                </w14:textFill>
              </w:rPr>
            </w:pPr>
            <w:r>
              <w:rPr>
                <w:rFonts w:hint="eastAsia" w:ascii="宋体" w:hAnsi="宋体"/>
                <w:color w:val="000000" w:themeColor="text1"/>
                <w:spacing w:val="-2"/>
                <w:sz w:val="24"/>
                <w:lang w:eastAsia="zh-CN"/>
                <w14:textFill>
                  <w14:solidFill>
                    <w14:schemeClr w14:val="tx1"/>
                  </w14:solidFill>
                </w14:textFill>
              </w:rPr>
              <w:t>3.具备喷淋段：采用气液扰流净化技术，去除可溶性污染物及异味气体，同时拦截固体颗粒物。</w:t>
            </w:r>
          </w:p>
          <w:p>
            <w:pPr>
              <w:autoSpaceDE w:val="0"/>
              <w:autoSpaceDN w:val="0"/>
              <w:spacing w:line="360" w:lineRule="auto"/>
              <w:ind w:firstLine="472"/>
              <w:rPr>
                <w:rFonts w:ascii="宋体" w:hAnsi="宋体"/>
                <w:color w:val="000000" w:themeColor="text1"/>
                <w:spacing w:val="-2"/>
                <w:sz w:val="24"/>
                <w:lang w:eastAsia="zh-CN"/>
                <w14:textFill>
                  <w14:solidFill>
                    <w14:schemeClr w14:val="tx1"/>
                  </w14:solidFill>
                </w14:textFill>
              </w:rPr>
            </w:pPr>
            <w:r>
              <w:rPr>
                <w:rFonts w:hint="eastAsia" w:ascii="宋体" w:hAnsi="宋体"/>
                <w:color w:val="000000" w:themeColor="text1"/>
                <w:spacing w:val="-2"/>
                <w:sz w:val="24"/>
                <w:lang w:eastAsia="zh-CN"/>
                <w14:textFill>
                  <w14:solidFill>
                    <w14:schemeClr w14:val="tx1"/>
                  </w14:solidFill>
                </w14:textFill>
              </w:rPr>
              <w:t>4.提供既有用户的有监测资质单位的废气处理合格监测报告，监测项目应包含GB14554-1993《恶臭污染物排放标准》规定的污染因子。</w:t>
            </w:r>
          </w:p>
          <w:p>
            <w:pPr>
              <w:autoSpaceDE w:val="0"/>
              <w:autoSpaceDN w:val="0"/>
              <w:spacing w:line="360" w:lineRule="auto"/>
              <w:ind w:firstLine="472"/>
              <w:rPr>
                <w:color w:val="000000" w:themeColor="text1"/>
                <w:spacing w:val="-2"/>
                <w:sz w:val="24"/>
                <w:lang w:eastAsia="zh-CN"/>
                <w14:textFill>
                  <w14:solidFill>
                    <w14:schemeClr w14:val="tx1"/>
                  </w14:solidFill>
                </w14:textFill>
              </w:rPr>
            </w:pPr>
            <w:r>
              <w:rPr>
                <w:rFonts w:hint="eastAsia" w:ascii="宋体" w:hAnsi="宋体"/>
                <w:color w:val="000000" w:themeColor="text1"/>
                <w:spacing w:val="-2"/>
                <w:sz w:val="24"/>
                <w:lang w:eastAsia="zh-CN"/>
                <w14:textFill>
                  <w14:solidFill>
                    <w14:schemeClr w14:val="tx1"/>
                  </w14:solidFill>
                </w14:textFill>
              </w:rPr>
              <w:t>上面各条</w:t>
            </w:r>
            <w:r>
              <w:rPr>
                <w:rFonts w:hint="eastAsia"/>
                <w:spacing w:val="1"/>
                <w:sz w:val="24"/>
                <w:lang w:eastAsia="zh-CN"/>
              </w:rPr>
              <w:t>每满足1条得0.5分</w:t>
            </w:r>
            <w:r>
              <w:rPr>
                <w:rFonts w:hint="eastAsia" w:ascii="宋体" w:hAnsi="宋体"/>
                <w:color w:val="000000" w:themeColor="text1"/>
                <w:spacing w:val="-2"/>
                <w:sz w:val="24"/>
                <w:lang w:eastAsia="zh-CN"/>
                <w14:textFill>
                  <w14:solidFill>
                    <w14:schemeClr w14:val="tx1"/>
                  </w14:solidFill>
                </w14:textFill>
              </w:rPr>
              <w:t>，本项最多得2分。</w:t>
            </w:r>
          </w:p>
        </w:tc>
        <w:tc>
          <w:tcPr>
            <w:tcW w:w="912" w:type="dxa"/>
          </w:tcPr>
          <w:p>
            <w:pPr>
              <w:pStyle w:val="152"/>
              <w:spacing w:line="360" w:lineRule="auto"/>
              <w:ind w:firstLine="480"/>
              <w:jc w:val="center"/>
              <w:rPr>
                <w:rFonts w:eastAsia="宋体"/>
                <w:sz w:val="24"/>
                <w:szCs w:val="24"/>
                <w:lang w:eastAsia="zh-CN"/>
              </w:rPr>
            </w:pPr>
          </w:p>
        </w:tc>
      </w:tr>
      <w:bookmarkEnd w:id="97"/>
    </w:tbl>
    <w:p>
      <w:pPr>
        <w:spacing w:line="360" w:lineRule="auto"/>
        <w:ind w:firstLine="630"/>
        <w:rPr>
          <w:rFonts w:ascii="宋体" w:hAnsi="宋体"/>
        </w:rPr>
      </w:pPr>
    </w:p>
    <w:p>
      <w:pPr>
        <w:spacing w:line="360" w:lineRule="auto"/>
        <w:ind w:firstLine="360" w:firstLineChars="150"/>
        <w:rPr>
          <w:rFonts w:ascii="宋体" w:hAnsi="宋体"/>
          <w:sz w:val="24"/>
        </w:rPr>
      </w:pPr>
      <w:r>
        <w:rPr>
          <w:rFonts w:hint="eastAsia" w:ascii="宋体" w:hAnsi="宋体"/>
          <w:sz w:val="24"/>
        </w:rPr>
        <w:t>注： 评分的取值按四舍五入法，保留小数点后两位。</w:t>
      </w:r>
    </w:p>
    <w:p>
      <w:pPr>
        <w:spacing w:line="360" w:lineRule="auto"/>
        <w:ind w:firstLine="360" w:firstLineChars="150"/>
        <w:rPr>
          <w:rFonts w:ascii="宋体" w:hAnsi="宋体"/>
          <w:sz w:val="24"/>
        </w:rPr>
      </w:pPr>
    </w:p>
    <w:bookmarkEnd w:id="92"/>
    <w:bookmarkEnd w:id="93"/>
    <w:bookmarkEnd w:id="94"/>
    <w:bookmarkEnd w:id="95"/>
    <w:p>
      <w:pPr>
        <w:tabs>
          <w:tab w:val="left" w:pos="851"/>
        </w:tabs>
        <w:spacing w:line="360" w:lineRule="auto"/>
        <w:ind w:firstLine="482" w:firstLineChars="200"/>
        <w:rPr>
          <w:rFonts w:ascii="宋体" w:hAnsi="宋体"/>
          <w:b/>
          <w:sz w:val="24"/>
        </w:rPr>
      </w:pPr>
      <w:r>
        <w:rPr>
          <w:rFonts w:hint="eastAsia" w:ascii="宋体" w:hAnsi="宋体"/>
          <w:b/>
          <w:sz w:val="24"/>
        </w:rPr>
        <w:t>4.磋商纪律及注意事项</w:t>
      </w:r>
    </w:p>
    <w:p>
      <w:pPr>
        <w:tabs>
          <w:tab w:val="left" w:pos="851"/>
        </w:tabs>
        <w:spacing w:line="360" w:lineRule="auto"/>
        <w:ind w:firstLine="480" w:firstLineChars="200"/>
        <w:rPr>
          <w:rFonts w:ascii="宋体" w:hAnsi="宋体"/>
          <w:sz w:val="24"/>
        </w:rPr>
      </w:pPr>
      <w:r>
        <w:rPr>
          <w:rFonts w:hint="eastAsia" w:ascii="宋体" w:hAnsi="宋体"/>
          <w:sz w:val="24"/>
        </w:rPr>
        <w:t>4.1磋商小组内部讨论的情况和意见必须保密，任何人不得以任何形式透露给供应商或与供应商有关的单位或个人。</w:t>
      </w:r>
    </w:p>
    <w:p>
      <w:pPr>
        <w:tabs>
          <w:tab w:val="left" w:pos="851"/>
        </w:tabs>
        <w:spacing w:line="360" w:lineRule="auto"/>
        <w:ind w:firstLine="480" w:firstLineChars="200"/>
        <w:rPr>
          <w:rFonts w:ascii="宋体" w:hAnsi="宋体"/>
          <w:sz w:val="24"/>
        </w:rPr>
      </w:pPr>
      <w:r>
        <w:rPr>
          <w:rFonts w:hint="eastAsia" w:ascii="宋体" w:hAnsi="宋体"/>
          <w:sz w:val="24"/>
        </w:rPr>
        <w:t>4.2在磋商过程中，供应商不得以任何形式对磋商小组成员进行旨在影响磋商结果的私下接触，否则将取消其参与磋商的资格。</w:t>
      </w:r>
    </w:p>
    <w:p>
      <w:pPr>
        <w:tabs>
          <w:tab w:val="left" w:pos="851"/>
        </w:tabs>
        <w:spacing w:line="360" w:lineRule="auto"/>
        <w:ind w:firstLine="480" w:firstLineChars="200"/>
        <w:rPr>
          <w:rFonts w:ascii="宋体" w:hAnsi="宋体"/>
          <w:sz w:val="24"/>
        </w:rPr>
      </w:pPr>
      <w:r>
        <w:rPr>
          <w:rFonts w:hint="eastAsia" w:ascii="宋体" w:hAnsi="宋体"/>
          <w:sz w:val="24"/>
        </w:rPr>
        <w:t>4.3对各供应商的商业秘密，磋商小组成员应予以保密，不得泄露给其他供应商。</w:t>
      </w:r>
    </w:p>
    <w:p>
      <w:pPr>
        <w:tabs>
          <w:tab w:val="left" w:pos="851"/>
        </w:tabs>
        <w:spacing w:line="360" w:lineRule="auto"/>
        <w:ind w:firstLine="480" w:firstLineChars="200"/>
        <w:rPr>
          <w:rFonts w:ascii="宋体" w:hAnsi="宋体"/>
          <w:sz w:val="24"/>
        </w:rPr>
      </w:pPr>
      <w:r>
        <w:rPr>
          <w:rFonts w:hint="eastAsia" w:ascii="宋体" w:hAnsi="宋体"/>
          <w:sz w:val="24"/>
        </w:rPr>
        <w:t>4.4 磋商小组独立评判，推荐成交候选人，并写出书面报告。</w:t>
      </w:r>
    </w:p>
    <w:p>
      <w:pPr>
        <w:tabs>
          <w:tab w:val="left" w:pos="851"/>
        </w:tabs>
        <w:spacing w:line="360" w:lineRule="auto"/>
        <w:ind w:firstLine="480" w:firstLineChars="200"/>
        <w:rPr>
          <w:rFonts w:ascii="宋体" w:hAnsi="宋体"/>
          <w:sz w:val="24"/>
        </w:rPr>
      </w:pPr>
      <w:r>
        <w:rPr>
          <w:rFonts w:hint="eastAsia" w:ascii="宋体" w:hAnsi="宋体"/>
          <w:sz w:val="24"/>
        </w:rPr>
        <w:t>4.5 磋商小组可根据需要对供应商进行实地考察。</w:t>
      </w:r>
    </w:p>
    <w:p>
      <w:pPr>
        <w:spacing w:line="360" w:lineRule="auto"/>
        <w:ind w:firstLine="480" w:firstLineChars="200"/>
        <w:rPr>
          <w:rFonts w:ascii="宋体" w:hAnsi="宋体"/>
          <w:sz w:val="24"/>
        </w:rPr>
      </w:pPr>
    </w:p>
    <w:p>
      <w:pPr>
        <w:tabs>
          <w:tab w:val="left" w:pos="7665"/>
        </w:tabs>
        <w:spacing w:line="360" w:lineRule="auto"/>
        <w:ind w:firstLine="480" w:firstLineChars="200"/>
        <w:rPr>
          <w:rFonts w:ascii="宋体" w:hAnsi="宋体"/>
          <w:b/>
          <w:sz w:val="24"/>
        </w:rPr>
      </w:pPr>
      <w:r>
        <w:rPr>
          <w:rFonts w:hint="eastAsia" w:ascii="宋体" w:hAnsi="宋体"/>
          <w:sz w:val="24"/>
        </w:rPr>
        <w:t>5.</w:t>
      </w:r>
      <w:bookmarkEnd w:id="96"/>
      <w:r>
        <w:rPr>
          <w:rFonts w:hint="eastAsia" w:ascii="宋体" w:hAnsi="宋体"/>
          <w:b/>
          <w:sz w:val="24"/>
        </w:rPr>
        <w:t>磋商小组在政府采购活动中承担以下义务：</w:t>
      </w:r>
    </w:p>
    <w:p>
      <w:pPr>
        <w:tabs>
          <w:tab w:val="left" w:pos="7665"/>
        </w:tabs>
        <w:spacing w:line="360" w:lineRule="auto"/>
        <w:ind w:firstLine="480" w:firstLineChars="200"/>
        <w:rPr>
          <w:rFonts w:ascii="宋体" w:hAnsi="宋体"/>
          <w:sz w:val="24"/>
        </w:rPr>
      </w:pPr>
      <w:r>
        <w:rPr>
          <w:rFonts w:hint="eastAsia" w:ascii="宋体" w:hAnsi="宋体"/>
          <w:sz w:val="24"/>
        </w:rPr>
        <w:t>（一）遵守评审工作纪律；</w:t>
      </w:r>
    </w:p>
    <w:p>
      <w:pPr>
        <w:tabs>
          <w:tab w:val="left" w:pos="7665"/>
        </w:tabs>
        <w:spacing w:line="360" w:lineRule="auto"/>
        <w:ind w:firstLine="480" w:firstLineChars="200"/>
        <w:rPr>
          <w:rFonts w:ascii="宋体" w:hAnsi="宋体"/>
          <w:sz w:val="24"/>
        </w:rPr>
      </w:pPr>
      <w:r>
        <w:rPr>
          <w:rFonts w:hint="eastAsia" w:ascii="宋体" w:hAnsi="宋体"/>
          <w:sz w:val="24"/>
        </w:rPr>
        <w:t>（二）按照客观、公正、审慎的原则，根据磋商文件规定的评审程序、评审方法和评审标准进行独立评审；</w:t>
      </w:r>
    </w:p>
    <w:p>
      <w:pPr>
        <w:tabs>
          <w:tab w:val="left" w:pos="7665"/>
        </w:tabs>
        <w:spacing w:line="360" w:lineRule="auto"/>
        <w:ind w:firstLine="480" w:firstLineChars="200"/>
        <w:rPr>
          <w:rFonts w:ascii="宋体" w:hAnsi="宋体"/>
          <w:sz w:val="24"/>
        </w:rPr>
      </w:pPr>
      <w:r>
        <w:rPr>
          <w:rFonts w:hint="eastAsia" w:ascii="宋体" w:hAnsi="宋体"/>
          <w:sz w:val="24"/>
        </w:rPr>
        <w:t>（三）不得泄露评审文件、评审情况和在评审过程中获悉的商业秘密；</w:t>
      </w:r>
    </w:p>
    <w:p>
      <w:pPr>
        <w:tabs>
          <w:tab w:val="left" w:pos="7665"/>
        </w:tabs>
        <w:spacing w:line="360" w:lineRule="auto"/>
        <w:ind w:firstLine="480" w:firstLineChars="200"/>
        <w:rPr>
          <w:rFonts w:ascii="宋体" w:hAnsi="宋体"/>
          <w:sz w:val="24"/>
        </w:rPr>
      </w:pPr>
      <w:r>
        <w:rPr>
          <w:rFonts w:hint="eastAsia" w:ascii="宋体" w:hAnsi="宋体"/>
          <w:sz w:val="24"/>
        </w:rPr>
        <w:t>（四）及时向财政部门报告评审过程中发现的采购人、采购代理机构向评审专家做倾向性、误导性的解释或者说明，以及供应商行贿、提供虚假材料或者串通等违法行为；</w:t>
      </w:r>
    </w:p>
    <w:p>
      <w:pPr>
        <w:tabs>
          <w:tab w:val="left" w:pos="7665"/>
        </w:tabs>
        <w:spacing w:line="360" w:lineRule="auto"/>
        <w:ind w:firstLine="480" w:firstLineChars="200"/>
        <w:rPr>
          <w:rFonts w:ascii="宋体" w:hAnsi="宋体"/>
          <w:sz w:val="24"/>
        </w:rPr>
      </w:pPr>
      <w:r>
        <w:rPr>
          <w:rFonts w:hint="eastAsia" w:ascii="宋体" w:hAnsi="宋体"/>
          <w:sz w:val="24"/>
        </w:rPr>
        <w:t>（五）发现磋商文件内容违反国家有关强制性规定或者磋商文件存在歧义、重大缺陷导致评审工作无法进行时，停止评审并向采购人或者采购代理机构书面说明情况；</w:t>
      </w:r>
    </w:p>
    <w:p>
      <w:pPr>
        <w:tabs>
          <w:tab w:val="left" w:pos="7665"/>
        </w:tabs>
        <w:spacing w:line="360" w:lineRule="auto"/>
        <w:ind w:firstLine="480" w:firstLineChars="200"/>
        <w:rPr>
          <w:rFonts w:ascii="宋体" w:hAnsi="宋体"/>
          <w:sz w:val="24"/>
        </w:rPr>
      </w:pPr>
      <w:r>
        <w:rPr>
          <w:rFonts w:hint="eastAsia" w:ascii="宋体" w:hAnsi="宋体"/>
          <w:sz w:val="24"/>
        </w:rPr>
        <w:t>（六）及时向财政、监察等部门举报在评审过程中受到非法干预的情况；</w:t>
      </w:r>
    </w:p>
    <w:p>
      <w:pPr>
        <w:tabs>
          <w:tab w:val="left" w:pos="7665"/>
        </w:tabs>
        <w:spacing w:line="360" w:lineRule="auto"/>
        <w:ind w:firstLine="480" w:firstLineChars="200"/>
        <w:rPr>
          <w:rFonts w:ascii="宋体" w:hAnsi="宋体"/>
          <w:sz w:val="24"/>
        </w:rPr>
      </w:pPr>
      <w:r>
        <w:rPr>
          <w:rFonts w:hint="eastAsia" w:ascii="宋体" w:hAnsi="宋体"/>
          <w:sz w:val="24"/>
        </w:rPr>
        <w:t>（七）配合答复处理供应商的询问、质疑和投诉等事项；</w:t>
      </w:r>
    </w:p>
    <w:p>
      <w:pPr>
        <w:tabs>
          <w:tab w:val="left" w:pos="7665"/>
        </w:tabs>
        <w:spacing w:line="360" w:lineRule="auto"/>
        <w:ind w:firstLine="480" w:firstLineChars="200"/>
        <w:rPr>
          <w:rFonts w:ascii="宋体" w:hAnsi="宋体"/>
          <w:sz w:val="24"/>
        </w:rPr>
      </w:pPr>
      <w:r>
        <w:rPr>
          <w:rFonts w:hint="eastAsia" w:ascii="宋体" w:hAnsi="宋体"/>
          <w:sz w:val="24"/>
        </w:rPr>
        <w:t>（八）法律、法规和规章规定的其他义务。</w:t>
      </w:r>
    </w:p>
    <w:p>
      <w:pPr>
        <w:tabs>
          <w:tab w:val="left" w:pos="7665"/>
        </w:tabs>
        <w:spacing w:line="360" w:lineRule="auto"/>
        <w:rPr>
          <w:rFonts w:ascii="宋体" w:hAnsi="宋体"/>
          <w:sz w:val="24"/>
        </w:rPr>
      </w:pPr>
    </w:p>
    <w:p>
      <w:pPr>
        <w:tabs>
          <w:tab w:val="left" w:pos="7665"/>
        </w:tabs>
        <w:spacing w:line="360" w:lineRule="auto"/>
        <w:ind w:firstLine="482" w:firstLineChars="200"/>
        <w:rPr>
          <w:rFonts w:ascii="宋体" w:hAnsi="宋体"/>
          <w:b/>
          <w:sz w:val="24"/>
        </w:rPr>
      </w:pPr>
      <w:r>
        <w:rPr>
          <w:rFonts w:hint="eastAsia" w:ascii="宋体" w:hAnsi="宋体"/>
          <w:b/>
          <w:sz w:val="24"/>
        </w:rPr>
        <w:t>6.评审专家在政府采购活动中应当遵守以下工作纪律：</w:t>
      </w:r>
    </w:p>
    <w:p>
      <w:pPr>
        <w:tabs>
          <w:tab w:val="left" w:pos="7665"/>
        </w:tabs>
        <w:spacing w:line="360" w:lineRule="auto"/>
        <w:ind w:firstLine="480" w:firstLineChars="200"/>
        <w:rPr>
          <w:rFonts w:ascii="宋体" w:hAnsi="宋体"/>
          <w:sz w:val="24"/>
        </w:rPr>
      </w:pPr>
      <w:r>
        <w:rPr>
          <w:rFonts w:hint="eastAsia" w:ascii="宋体" w:hAnsi="宋体"/>
          <w:sz w:val="24"/>
        </w:rPr>
        <w:t>（一）不得参加与自己有《中华人民共和国政府采购法实施条例》第九条规定的利害关系的政府采购项目的评审活动。发现参加了与自己有利害关系的评审活动，须主动提出回避，退出评审；</w:t>
      </w:r>
    </w:p>
    <w:p>
      <w:pPr>
        <w:tabs>
          <w:tab w:val="left" w:pos="7665"/>
        </w:tabs>
        <w:spacing w:line="360" w:lineRule="auto"/>
        <w:ind w:firstLine="480" w:firstLineChars="200"/>
        <w:rPr>
          <w:rFonts w:ascii="宋体" w:hAnsi="宋体"/>
          <w:sz w:val="24"/>
        </w:rPr>
      </w:pPr>
      <w:r>
        <w:rPr>
          <w:rFonts w:hint="eastAsia" w:ascii="宋体" w:hAnsi="宋体"/>
          <w:sz w:val="24"/>
        </w:rPr>
        <w:t>（二）评审前，应当将通讯工具或者相关电子设备交由采购代理机构统一保管；</w:t>
      </w:r>
    </w:p>
    <w:p>
      <w:pPr>
        <w:tabs>
          <w:tab w:val="left" w:pos="7665"/>
        </w:tabs>
        <w:spacing w:line="360" w:lineRule="auto"/>
        <w:ind w:firstLine="480" w:firstLineChars="200"/>
        <w:rPr>
          <w:rFonts w:ascii="宋体" w:hAnsi="宋体"/>
          <w:sz w:val="24"/>
        </w:rPr>
      </w:pPr>
      <w:r>
        <w:rPr>
          <w:rFonts w:hint="eastAsia" w:ascii="宋体" w:hAnsi="宋体"/>
          <w:sz w:val="24"/>
        </w:rPr>
        <w:t>（三）评审过程中，不得与外界联系，因发生不可预见情况，确实需要与外界联系的，应当在监督人员监督之下办理；</w:t>
      </w:r>
    </w:p>
    <w:p>
      <w:pPr>
        <w:tabs>
          <w:tab w:val="left" w:pos="7665"/>
        </w:tabs>
        <w:spacing w:line="360" w:lineRule="auto"/>
        <w:ind w:firstLine="480" w:firstLineChars="200"/>
        <w:rPr>
          <w:rFonts w:ascii="宋体" w:hAnsi="宋体"/>
          <w:sz w:val="24"/>
        </w:rPr>
      </w:pPr>
      <w:r>
        <w:rPr>
          <w:rFonts w:hint="eastAsia" w:ascii="宋体" w:hAnsi="宋体"/>
          <w:sz w:val="24"/>
        </w:rPr>
        <w:t>（四）评审过程中，不得发表影响评审公正的倾向性、歧视性言论，不得征询或者接受采购人的倾向性意见，不得明示或暗示供应商在澄清时表达与其响应文件原义不同的意见，不得以磋商文件没有规定的评审方法和标准作为评审的依据，不得修改或者细化评审程序、评审方法、评审因素和评审标准，不得违规撰写评审意见，不得拒绝对自己的评审意见签字确认；</w:t>
      </w:r>
    </w:p>
    <w:p>
      <w:pPr>
        <w:tabs>
          <w:tab w:val="left" w:pos="7665"/>
        </w:tabs>
        <w:spacing w:line="360" w:lineRule="auto"/>
        <w:ind w:firstLine="480" w:firstLineChars="200"/>
        <w:rPr>
          <w:rFonts w:ascii="宋体" w:hAnsi="宋体"/>
          <w:sz w:val="24"/>
        </w:rPr>
      </w:pPr>
      <w:r>
        <w:rPr>
          <w:rFonts w:hint="eastAsia" w:ascii="宋体" w:hAnsi="宋体"/>
          <w:sz w:val="24"/>
        </w:rPr>
        <w:t>（五）在评审过程中和评审结束后，不得记录、复制或带走任何评审资料，不得向外界透露评审内容；</w:t>
      </w:r>
    </w:p>
    <w:p>
      <w:pPr>
        <w:tabs>
          <w:tab w:val="left" w:pos="7665"/>
        </w:tabs>
        <w:spacing w:line="360" w:lineRule="auto"/>
        <w:ind w:firstLine="480" w:firstLineChars="200"/>
        <w:rPr>
          <w:rFonts w:ascii="宋体" w:hAnsi="宋体"/>
          <w:sz w:val="24"/>
        </w:rPr>
      </w:pPr>
      <w:r>
        <w:rPr>
          <w:rFonts w:hint="eastAsia" w:ascii="宋体" w:hAnsi="宋体"/>
          <w:sz w:val="24"/>
        </w:rPr>
        <w:t>（六）评审现场服从采购代理机构工作人员的管理，接受现场监督人员的合法监督；</w:t>
      </w:r>
    </w:p>
    <w:p>
      <w:pPr>
        <w:tabs>
          <w:tab w:val="left" w:pos="7665"/>
        </w:tabs>
        <w:spacing w:line="360" w:lineRule="auto"/>
        <w:ind w:firstLine="480" w:firstLineChars="200"/>
        <w:rPr>
          <w:rFonts w:ascii="宋体" w:hAnsi="宋体"/>
          <w:sz w:val="24"/>
        </w:rPr>
      </w:pPr>
      <w:r>
        <w:rPr>
          <w:rFonts w:hint="eastAsia" w:ascii="宋体" w:hAnsi="宋体"/>
          <w:sz w:val="24"/>
        </w:rPr>
        <w:t>（七）遵守有关廉洁自律规定，不得私下接触供应商，不得收受供应商及有关业务单位和个人的财物或好处，不得接受采购代理机构的请托。</w:t>
      </w:r>
    </w:p>
    <w:p>
      <w:pPr>
        <w:spacing w:line="360" w:lineRule="auto"/>
        <w:rPr>
          <w:rFonts w:ascii="宋体" w:hAnsi="宋体"/>
        </w:rPr>
      </w:pPr>
    </w:p>
    <w:p>
      <w:pPr>
        <w:pStyle w:val="37"/>
        <w:rPr>
          <w:rFonts w:ascii="宋体" w:hAnsi="宋体" w:eastAsia="宋体"/>
        </w:rPr>
      </w:pPr>
      <w:r>
        <w:rPr>
          <w:rFonts w:ascii="宋体" w:hAnsi="宋体" w:eastAsia="宋体"/>
        </w:rPr>
        <w:br w:type="page"/>
      </w:r>
      <w:bookmarkStart w:id="98" w:name="_Toc509579148"/>
      <w:bookmarkStart w:id="99" w:name="_Toc511289488"/>
      <w:r>
        <w:rPr>
          <w:rFonts w:hint="eastAsia" w:ascii="宋体" w:hAnsi="宋体" w:eastAsia="宋体"/>
        </w:rPr>
        <w:t>第九章  政府采购合同（草案）</w:t>
      </w:r>
      <w:bookmarkEnd w:id="98"/>
      <w:bookmarkEnd w:id="99"/>
    </w:p>
    <w:bookmarkEnd w:id="82"/>
    <w:bookmarkEnd w:id="83"/>
    <w:bookmarkEnd w:id="84"/>
    <w:p>
      <w:pPr>
        <w:spacing w:line="360" w:lineRule="auto"/>
        <w:jc w:val="center"/>
        <w:rPr>
          <w:rFonts w:ascii="宋体" w:hAnsi="宋体"/>
          <w:b/>
          <w:bCs/>
          <w:sz w:val="24"/>
        </w:rPr>
      </w:pPr>
      <w:r>
        <w:rPr>
          <w:rFonts w:hint="eastAsia" w:ascii="宋体" w:hAnsi="宋体"/>
          <w:b/>
          <w:bCs/>
          <w:sz w:val="24"/>
        </w:rPr>
        <w:t>（注：合同草案仅供参考，最终以招标人与中标人正式签署的合同为准）</w:t>
      </w:r>
    </w:p>
    <w:p>
      <w:pPr>
        <w:spacing w:line="360" w:lineRule="auto"/>
        <w:ind w:firstLine="480" w:firstLineChars="200"/>
        <w:rPr>
          <w:rFonts w:ascii="宋体" w:hAnsi="宋体"/>
          <w:sz w:val="24"/>
        </w:rPr>
      </w:pPr>
    </w:p>
    <w:p>
      <w:pPr>
        <w:spacing w:line="360" w:lineRule="auto"/>
        <w:rPr>
          <w:rFonts w:ascii="宋体" w:hAnsi="宋体"/>
          <w:sz w:val="24"/>
        </w:rPr>
      </w:pPr>
    </w:p>
    <w:bookmarkEnd w:id="45"/>
    <w:p>
      <w:pPr>
        <w:spacing w:line="270" w:lineRule="auto"/>
        <w:ind w:firstLine="475" w:firstLineChars="198"/>
        <w:jc w:val="left"/>
        <w:rPr>
          <w:rFonts w:asciiTheme="minorEastAsia" w:hAnsiTheme="minorEastAsia"/>
          <w:sz w:val="24"/>
        </w:rPr>
      </w:pPr>
      <w:r>
        <w:rPr>
          <w:rFonts w:hint="eastAsia" w:asciiTheme="minorEastAsia" w:hAnsiTheme="minorEastAsia" w:eastAsiaTheme="minorEastAsia"/>
          <w:sz w:val="24"/>
        </w:rPr>
        <w:t>GF-2020-0216</w:t>
      </w:r>
    </w:p>
    <w:p>
      <w:pPr>
        <w:spacing w:line="270" w:lineRule="auto"/>
        <w:jc w:val="right"/>
        <w:rPr>
          <w:rFonts w:asciiTheme="minorEastAsia" w:hAnsiTheme="minorEastAsia"/>
          <w:sz w:val="24"/>
        </w:rPr>
      </w:pPr>
      <w:r>
        <w:rPr>
          <w:rFonts w:hint="eastAsia" w:asciiTheme="minorEastAsia" w:hAnsiTheme="minorEastAsia" w:eastAsiaTheme="minorEastAsia"/>
          <w:b/>
          <w:sz w:val="38"/>
        </w:rPr>
        <w:t xml:space="preserve">  合同编号： </w:t>
      </w:r>
      <w:r>
        <w:rPr>
          <w:rFonts w:hint="eastAsia" w:asciiTheme="minorEastAsia" w:hAnsiTheme="minorEastAsia" w:eastAsiaTheme="minorEastAsia"/>
          <w:sz w:val="24"/>
        </w:rPr>
        <w:t xml:space="preserve"> </w:t>
      </w:r>
      <w:r>
        <w:rPr>
          <w:rFonts w:hint="eastAsia" w:asciiTheme="minorEastAsia" w:hAnsiTheme="minorEastAsia" w:eastAsiaTheme="minorEastAsia"/>
          <w:b/>
          <w:sz w:val="24"/>
          <w:u w:val="single"/>
        </w:rPr>
        <w:t xml:space="preserve">        </w:t>
      </w:r>
    </w:p>
    <w:p>
      <w:pPr>
        <w:spacing w:line="270" w:lineRule="auto"/>
        <w:jc w:val="center"/>
        <w:rPr>
          <w:rFonts w:asciiTheme="minorEastAsia" w:hAnsiTheme="minorEastAsia"/>
          <w:sz w:val="24"/>
        </w:rPr>
      </w:pPr>
      <w:r>
        <w:rPr>
          <w:rFonts w:hint="eastAsia" w:asciiTheme="minorEastAsia" w:hAnsiTheme="minorEastAsia" w:eastAsiaTheme="minorEastAsia"/>
          <w:b/>
          <w:sz w:val="52"/>
        </w:rPr>
        <w:t xml:space="preserve">  </w:t>
      </w:r>
    </w:p>
    <w:p>
      <w:pPr>
        <w:spacing w:line="270" w:lineRule="auto"/>
        <w:jc w:val="center"/>
        <w:rPr>
          <w:rFonts w:asciiTheme="minorEastAsia" w:hAnsiTheme="minorEastAsia"/>
          <w:sz w:val="24"/>
        </w:rPr>
      </w:pPr>
    </w:p>
    <w:p>
      <w:pPr>
        <w:spacing w:line="270" w:lineRule="auto"/>
        <w:jc w:val="center"/>
        <w:rPr>
          <w:rFonts w:asciiTheme="minorEastAsia" w:hAnsiTheme="minorEastAsia"/>
          <w:sz w:val="24"/>
        </w:rPr>
      </w:pPr>
      <w:r>
        <w:rPr>
          <w:rFonts w:hint="eastAsia" w:asciiTheme="minorEastAsia" w:hAnsiTheme="minorEastAsia" w:eastAsiaTheme="minorEastAsia"/>
          <w:b/>
          <w:sz w:val="52"/>
        </w:rPr>
        <w:t>建设项目工程总承包合同</w:t>
      </w:r>
    </w:p>
    <w:p>
      <w:pPr>
        <w:spacing w:line="270" w:lineRule="auto"/>
        <w:jc w:val="center"/>
        <w:rPr>
          <w:rFonts w:asciiTheme="minorEastAsia" w:hAnsiTheme="minorEastAsia"/>
          <w:sz w:val="24"/>
        </w:rPr>
      </w:pPr>
    </w:p>
    <w:p>
      <w:pPr>
        <w:spacing w:line="270" w:lineRule="auto"/>
        <w:jc w:val="center"/>
        <w:rPr>
          <w:rFonts w:asciiTheme="minorEastAsia" w:hAnsiTheme="minorEastAsia"/>
          <w:sz w:val="24"/>
        </w:rPr>
      </w:pPr>
    </w:p>
    <w:p>
      <w:pPr>
        <w:spacing w:line="270" w:lineRule="auto"/>
        <w:jc w:val="center"/>
        <w:rPr>
          <w:rFonts w:asciiTheme="minorEastAsia" w:hAnsiTheme="minorEastAsia"/>
          <w:sz w:val="24"/>
        </w:rPr>
      </w:pPr>
    </w:p>
    <w:p>
      <w:pPr>
        <w:spacing w:line="270" w:lineRule="auto"/>
        <w:jc w:val="center"/>
        <w:rPr>
          <w:rFonts w:asciiTheme="minorEastAsia" w:hAnsiTheme="minorEastAsia"/>
          <w:sz w:val="24"/>
        </w:rPr>
      </w:pPr>
    </w:p>
    <w:p>
      <w:pPr>
        <w:spacing w:line="270" w:lineRule="auto"/>
        <w:jc w:val="left"/>
        <w:rPr>
          <w:rFonts w:asciiTheme="minorEastAsia" w:hAnsiTheme="minorEastAsia"/>
          <w:sz w:val="24"/>
        </w:rPr>
      </w:pPr>
    </w:p>
    <w:tbl>
      <w:tblPr>
        <w:tblStyle w:val="39"/>
        <w:tblW w:w="8295" w:type="dxa"/>
        <w:tblInd w:w="0" w:type="dxa"/>
        <w:tblLayout w:type="autofit"/>
        <w:tblCellMar>
          <w:top w:w="0" w:type="dxa"/>
          <w:left w:w="108" w:type="dxa"/>
          <w:bottom w:w="0" w:type="dxa"/>
          <w:right w:w="108" w:type="dxa"/>
        </w:tblCellMar>
      </w:tblPr>
      <w:tblGrid>
        <w:gridCol w:w="2014"/>
        <w:gridCol w:w="4148"/>
        <w:gridCol w:w="2133"/>
      </w:tblGrid>
      <w:tr>
        <w:tblPrEx>
          <w:tblCellMar>
            <w:top w:w="0" w:type="dxa"/>
            <w:left w:w="108" w:type="dxa"/>
            <w:bottom w:w="0" w:type="dxa"/>
            <w:right w:w="108" w:type="dxa"/>
          </w:tblCellMar>
        </w:tblPrEx>
        <w:tc>
          <w:tcPr>
            <w:tcW w:w="2014" w:type="dxa"/>
            <w:vAlign w:val="center"/>
          </w:tcPr>
          <w:p/>
        </w:tc>
        <w:tc>
          <w:tcPr>
            <w:tcW w:w="4147" w:type="dxa"/>
            <w:vAlign w:val="center"/>
          </w:tcPr>
          <w:p>
            <w:pPr>
              <w:jc w:val="center"/>
              <w:rPr>
                <w:rFonts w:asciiTheme="minorEastAsia" w:hAnsiTheme="minorEastAsia"/>
                <w:b/>
                <w:sz w:val="31"/>
              </w:rPr>
            </w:pPr>
            <w:r>
              <w:rPr>
                <w:rFonts w:hint="eastAsia" w:asciiTheme="minorEastAsia" w:hAnsiTheme="minorEastAsia" w:eastAsiaTheme="minorEastAsia"/>
                <w:b/>
                <w:sz w:val="31"/>
              </w:rPr>
              <w:t>中华人民共和国住房和城乡建设部</w:t>
            </w:r>
          </w:p>
        </w:tc>
        <w:tc>
          <w:tcPr>
            <w:tcW w:w="2133" w:type="dxa"/>
            <w:vAlign w:val="center"/>
          </w:tcPr>
          <w:p/>
        </w:tc>
      </w:tr>
      <w:tr>
        <w:tblPrEx>
          <w:tblCellMar>
            <w:top w:w="0" w:type="dxa"/>
            <w:left w:w="108" w:type="dxa"/>
            <w:bottom w:w="0" w:type="dxa"/>
            <w:right w:w="108" w:type="dxa"/>
          </w:tblCellMar>
        </w:tblPrEx>
        <w:tc>
          <w:tcPr>
            <w:tcW w:w="2014" w:type="dxa"/>
            <w:vAlign w:val="center"/>
          </w:tcPr>
          <w:p/>
        </w:tc>
        <w:tc>
          <w:tcPr>
            <w:tcW w:w="4147" w:type="dxa"/>
            <w:vAlign w:val="center"/>
          </w:tcPr>
          <w:p/>
        </w:tc>
        <w:tc>
          <w:tcPr>
            <w:tcW w:w="2133" w:type="dxa"/>
            <w:vAlign w:val="center"/>
          </w:tcPr>
          <w:p>
            <w:pPr>
              <w:jc w:val="left"/>
              <w:rPr>
                <w:rFonts w:asciiTheme="minorEastAsia" w:hAnsiTheme="minorEastAsia"/>
                <w:b/>
                <w:sz w:val="31"/>
              </w:rPr>
            </w:pPr>
            <w:r>
              <w:rPr>
                <w:rFonts w:hint="eastAsia" w:asciiTheme="minorEastAsia" w:hAnsiTheme="minorEastAsia" w:eastAsiaTheme="minorEastAsia"/>
                <w:b/>
                <w:sz w:val="31"/>
              </w:rPr>
              <w:t>制定</w:t>
            </w:r>
          </w:p>
        </w:tc>
      </w:tr>
      <w:tr>
        <w:tblPrEx>
          <w:tblCellMar>
            <w:top w:w="0" w:type="dxa"/>
            <w:left w:w="108" w:type="dxa"/>
            <w:bottom w:w="0" w:type="dxa"/>
            <w:right w:w="108" w:type="dxa"/>
          </w:tblCellMar>
        </w:tblPrEx>
        <w:tc>
          <w:tcPr>
            <w:tcW w:w="2014" w:type="dxa"/>
            <w:vAlign w:val="center"/>
          </w:tcPr>
          <w:p/>
        </w:tc>
        <w:tc>
          <w:tcPr>
            <w:tcW w:w="4147" w:type="dxa"/>
            <w:vAlign w:val="center"/>
          </w:tcPr>
          <w:p>
            <w:pPr>
              <w:jc w:val="center"/>
              <w:rPr>
                <w:rFonts w:asciiTheme="minorEastAsia" w:hAnsiTheme="minorEastAsia"/>
                <w:b/>
                <w:sz w:val="31"/>
              </w:rPr>
            </w:pPr>
            <w:r>
              <w:rPr>
                <w:rFonts w:hint="eastAsia" w:asciiTheme="minorEastAsia" w:hAnsiTheme="minorEastAsia" w:eastAsiaTheme="minorEastAsia"/>
                <w:b/>
                <w:sz w:val="31"/>
              </w:rPr>
              <w:t>国 家 市 场 监 督 管 理 总 局</w:t>
            </w:r>
          </w:p>
        </w:tc>
        <w:tc>
          <w:tcPr>
            <w:tcW w:w="2133" w:type="dxa"/>
            <w:vAlign w:val="center"/>
          </w:tcPr>
          <w:p/>
        </w:tc>
      </w:tr>
    </w:tbl>
    <w:p>
      <w:pPr>
        <w:spacing w:line="270" w:lineRule="auto"/>
        <w:jc w:val="center"/>
        <w:rPr>
          <w:rFonts w:asciiTheme="minorEastAsia" w:hAnsiTheme="minorEastAsia"/>
          <w:sz w:val="24"/>
        </w:rPr>
      </w:pPr>
      <w:r>
        <w:rPr>
          <w:rFonts w:hint="eastAsia" w:asciiTheme="minorEastAsia" w:hAnsiTheme="minorEastAsia" w:eastAsiaTheme="minorEastAsia"/>
          <w:b/>
          <w:sz w:val="31"/>
        </w:rPr>
        <w:t xml:space="preserve"> </w:t>
      </w:r>
    </w:p>
    <w:p>
      <w:pPr>
        <w:jc w:val="left"/>
        <w:rPr>
          <w:rFonts w:asciiTheme="minorEastAsia" w:hAnsiTheme="minorEastAsia"/>
          <w:sz w:val="24"/>
        </w:rPr>
      </w:pPr>
    </w:p>
    <w:p>
      <w:pPr>
        <w:spacing w:line="270" w:lineRule="auto"/>
        <w:jc w:val="center"/>
        <w:rPr>
          <w:rFonts w:asciiTheme="minorEastAsia" w:hAnsiTheme="minorEastAsia"/>
          <w:b/>
          <w:sz w:val="43"/>
        </w:rPr>
      </w:pPr>
      <w:r>
        <w:br w:type="page"/>
      </w:r>
    </w:p>
    <w:p>
      <w:pPr>
        <w:pStyle w:val="3"/>
        <w:spacing w:line="312" w:lineRule="auto"/>
        <w:jc w:val="center"/>
        <w:rPr>
          <w:rFonts w:asciiTheme="minorEastAsia" w:hAnsiTheme="minorEastAsia"/>
          <w:sz w:val="31"/>
        </w:rPr>
      </w:pPr>
      <w:r>
        <w:rPr>
          <w:rFonts w:hint="eastAsia" w:asciiTheme="minorEastAsia" w:hAnsiTheme="minorEastAsia" w:eastAsiaTheme="minorEastAsia"/>
          <w:sz w:val="28"/>
        </w:rPr>
        <w:t xml:space="preserve">第一部分 </w:t>
      </w:r>
      <w:r>
        <w:rPr>
          <w:rFonts w:hint="eastAsia" w:asciiTheme="minorEastAsia" w:hAnsiTheme="minorEastAsia" w:eastAsiaTheme="minorEastAsia"/>
          <w:sz w:val="31"/>
        </w:rPr>
        <w:t xml:space="preserve"> </w:t>
      </w:r>
      <w:r>
        <w:rPr>
          <w:rFonts w:hint="eastAsia" w:asciiTheme="minorEastAsia" w:hAnsiTheme="minorEastAsia" w:eastAsiaTheme="minorEastAsia"/>
          <w:sz w:val="28"/>
        </w:rPr>
        <w:t xml:space="preserve"> 合同协议书</w:t>
      </w:r>
    </w:p>
    <w:p>
      <w:pPr>
        <w:spacing w:line="276" w:lineRule="auto"/>
        <w:jc w:val="left"/>
        <w:rPr>
          <w:rFonts w:asciiTheme="minorEastAsia" w:hAnsiTheme="minorEastAsia"/>
          <w:b/>
          <w:sz w:val="24"/>
        </w:rPr>
      </w:pPr>
      <w:r>
        <w:rPr>
          <w:rFonts w:hint="eastAsia" w:asciiTheme="minorEastAsia" w:hAnsiTheme="minorEastAsia" w:eastAsiaTheme="minorEastAsia"/>
          <w:b/>
          <w:sz w:val="24"/>
        </w:rPr>
        <w:t xml:space="preserve"> 发包人（全称）：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b/>
          <w:sz w:val="24"/>
        </w:rPr>
      </w:pPr>
      <w:r>
        <w:rPr>
          <w:rFonts w:hint="eastAsia" w:asciiTheme="minorEastAsia" w:hAnsiTheme="minorEastAsia" w:eastAsiaTheme="minorEastAsia"/>
          <w:b/>
          <w:sz w:val="24"/>
        </w:rPr>
        <w:t xml:space="preserve"> 承包人（全称）：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根据《中华人民共和国民法典》、《中华人民共和国建筑法》及有关法律规定，遵循平等、自愿、公平和诚实信用的原则，双方就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项目的工程总承包及有关事项协商一致，共同达成如下协议：</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一、工程概况</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 工程名称：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2. 工程地点：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3. 工程审批、核准或备案文号：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4. 资金来源：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5. 工程内容及规模：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6. 工程承包范围：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二、合同工期</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计划开始工作日期：     年  月  日</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计划开始现场施工日期：     年  月  日</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计划竣工日期：     年  月  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工期总日历天数：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天，工期总日历天数与根据前述计划日期计算的工期天数不一致的，以工期总日历天数为准。</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三、质量标准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工程质量标准：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四、签约合同价与合同价格形式</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 签约合同价（含税）为：</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具体构成详见价格清单。其中：</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 设计费（含税）：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  适用税率：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%，税金为人民币（大写)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 设备购置费（含税）：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  适用税率：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%，税金为人民币（大写)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（3） 建筑安装工程费（含税）：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  适用税率：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%，税金为人民币（大写)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（4） 暂估价（含税）：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（5） 暂列金额（含税）：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（6） 双方约定的其他费用（含税）：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  适用税率：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%，税金为人民币（大写)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元）。</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 合同价格形式：</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合同价格形式为总价合同，除根据合同约定的在工程实施过程中需进行增减的款项外，合同价格不予调整，但合同当事人另有约定的除外。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合同当事人对合同价格形式的其他约定：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五、工程总承包项目经理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工程总承包项目经理：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六、合同文件构成</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本协议书与下列文件一起构成合同文件：</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（1）中标通知书（如果有）；</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（2）投标函及投标函附录（如果有）；</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（3）专用合同条件及《发包人要求》等附件；</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（4）通用合同条件；</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（5）承包人建议书；</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（6）价格清单；</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（7）双方约定的其他合同文件。</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上述各项合同文件包括双方就该项合同文件所作出的补充和修改，属于同一类内容的合同文件应以最新签署的为准。专用合同条件及其附件须经合同当事人签字或盖章。</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七、承诺</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 发包人承诺按照法律规定履行项目审批手续、筹集工程建设资金并按照合同约定的期限和方式支付合同价款。</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 承包人承诺按照法律规定及合同约定组织完成工程的设计、采购和施工等工作，确保工程质量和安全，不进行转包及违法分包，并在缺陷责任期及保修期内承担相应的工程维修责任。</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八、订立时间</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本合同于     年  月  日 订立。</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九、订立地点</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本合同在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订立。</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十、合同生效</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本合同经双方签字或盖章后成立，并自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生效。</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十一、合同份数</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本合同一式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份，均具有同等法律效力，发包人执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份，承包人执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份。</w:t>
      </w:r>
    </w:p>
    <w:tbl>
      <w:tblPr>
        <w:tblStyle w:val="39"/>
        <w:tblW w:w="8295" w:type="dxa"/>
        <w:tblInd w:w="0" w:type="dxa"/>
        <w:tblLayout w:type="autofit"/>
        <w:tblCellMar>
          <w:top w:w="0" w:type="dxa"/>
          <w:left w:w="108" w:type="dxa"/>
          <w:bottom w:w="0" w:type="dxa"/>
          <w:right w:w="108" w:type="dxa"/>
        </w:tblCellMar>
      </w:tblPr>
      <w:tblGrid>
        <w:gridCol w:w="2073"/>
        <w:gridCol w:w="2074"/>
        <w:gridCol w:w="2074"/>
        <w:gridCol w:w="2074"/>
      </w:tblGrid>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发包人： （公章）</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承包人： （公章）</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法定代表人或其委托代理人：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（签字）</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法定代表人或其委托代理人：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（签字）</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统一社会信用代码：</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统一社会信用代码：</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地址：</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地址：</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邮政编码：</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邮政编码：</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法定代表人：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法定代表人：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委托代理人：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委托代理人：</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电话：</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电话：</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传真：</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传真：</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电子信箱：</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电子信箱</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开户银行：</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开户银行：</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r>
        <w:tblPrEx>
          <w:tblCellMar>
            <w:top w:w="0" w:type="dxa"/>
            <w:left w:w="108" w:type="dxa"/>
            <w:bottom w:w="0" w:type="dxa"/>
            <w:right w:w="108" w:type="dxa"/>
          </w:tblCellMar>
        </w:tblPrEx>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账号：</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账号：</w:t>
            </w:r>
          </w:p>
        </w:tc>
        <w:tc>
          <w:tcPr>
            <w:tcW w:w="20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b/>
                <w:sz w:val="24"/>
                <w:u w:val="single"/>
              </w:rPr>
              <w:t xml:space="preserve">        </w:t>
            </w:r>
          </w:p>
        </w:tc>
      </w:tr>
    </w:tbl>
    <w:p>
      <w:pPr>
        <w:spacing w:line="276" w:lineRule="auto"/>
        <w:jc w:val="left"/>
        <w:rPr>
          <w:rFonts w:asciiTheme="minorEastAsia" w:hAnsiTheme="minorEastAsia"/>
          <w:sz w:val="24"/>
        </w:rPr>
      </w:pPr>
    </w:p>
    <w:p>
      <w:pPr>
        <w:spacing w:line="276" w:lineRule="auto"/>
        <w:jc w:val="center"/>
        <w:rPr>
          <w:rFonts w:asciiTheme="minorEastAsia" w:hAnsiTheme="minorEastAsia"/>
          <w:b/>
          <w:sz w:val="24"/>
        </w:rPr>
      </w:pPr>
      <w:r>
        <w:rPr>
          <w:sz w:val="24"/>
        </w:rPr>
        <w:br w:type="page"/>
      </w:r>
    </w:p>
    <w:p>
      <w:pPr>
        <w:pStyle w:val="3"/>
        <w:spacing w:line="276" w:lineRule="auto"/>
        <w:jc w:val="center"/>
        <w:rPr>
          <w:rFonts w:asciiTheme="minorEastAsia" w:hAnsiTheme="minorEastAsia"/>
          <w:sz w:val="24"/>
          <w:szCs w:val="24"/>
        </w:rPr>
      </w:pPr>
      <w:r>
        <w:rPr>
          <w:rFonts w:hint="eastAsia" w:asciiTheme="minorEastAsia" w:hAnsiTheme="minorEastAsia" w:eastAsiaTheme="minorEastAsia"/>
          <w:sz w:val="24"/>
          <w:szCs w:val="24"/>
        </w:rPr>
        <w:t>第二部分   通用合同条件</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b/>
          <w:sz w:val="24"/>
        </w:rPr>
        <w:t>第1条 一般约定</w:t>
      </w:r>
    </w:p>
    <w:p>
      <w:pPr>
        <w:spacing w:line="276" w:lineRule="auto"/>
        <w:jc w:val="left"/>
        <w:rPr>
          <w:rFonts w:asciiTheme="minorEastAsia" w:hAnsiTheme="minorEastAsia"/>
          <w:sz w:val="24"/>
        </w:rPr>
      </w:pPr>
      <w:r>
        <w:rPr>
          <w:rFonts w:hint="eastAsia" w:asciiTheme="minorEastAsia" w:hAnsiTheme="minorEastAsia" w:eastAsiaTheme="minorEastAsia"/>
          <w:sz w:val="24"/>
        </w:rPr>
        <w:t>1.1 词语定义和解释</w:t>
      </w:r>
    </w:p>
    <w:p>
      <w:pPr>
        <w:spacing w:line="276" w:lineRule="auto"/>
        <w:jc w:val="left"/>
        <w:rPr>
          <w:rFonts w:asciiTheme="minorEastAsia" w:hAnsiTheme="minorEastAsia"/>
          <w:sz w:val="24"/>
        </w:rPr>
      </w:pPr>
      <w:r>
        <w:rPr>
          <w:rFonts w:hint="eastAsia" w:asciiTheme="minorEastAsia" w:hAnsiTheme="minorEastAsia" w:eastAsiaTheme="minorEastAsia"/>
          <w:sz w:val="24"/>
        </w:rPr>
        <w:t>合同协议书、通用合同条件、专用合同条件中的下列词语应具有本款所赋予的含义：</w:t>
      </w:r>
    </w:p>
    <w:p>
      <w:pPr>
        <w:spacing w:line="276" w:lineRule="auto"/>
        <w:jc w:val="left"/>
        <w:rPr>
          <w:rFonts w:asciiTheme="minorEastAsia" w:hAnsiTheme="minorEastAsia"/>
          <w:sz w:val="24"/>
        </w:rPr>
      </w:pPr>
      <w:r>
        <w:rPr>
          <w:rFonts w:hint="eastAsia" w:asciiTheme="minorEastAsia" w:hAnsiTheme="minorEastAsia" w:eastAsiaTheme="minorEastAsia"/>
          <w:sz w:val="24"/>
        </w:rPr>
        <w:t>1.1.1 合同</w:t>
      </w:r>
    </w:p>
    <w:p>
      <w:pPr>
        <w:spacing w:line="276" w:lineRule="auto"/>
        <w:jc w:val="left"/>
        <w:rPr>
          <w:rFonts w:asciiTheme="minorEastAsia" w:hAnsiTheme="minorEastAsia"/>
          <w:sz w:val="24"/>
        </w:rPr>
      </w:pPr>
      <w:r>
        <w:rPr>
          <w:rFonts w:hint="eastAsia" w:asciiTheme="minorEastAsia" w:hAnsiTheme="minorEastAsia" w:eastAsiaTheme="minorEastAsia"/>
          <w:sz w:val="24"/>
        </w:rPr>
        <w:t>1.1.1.1 合同：是指根据法律规定和合同当事人约定具有约束力的文件，构成合同的文件包括合同协议书、中标通知书（如果有）、投标函及其附录（如果有）、专用合同条件及其附件、通用合同条件、《发包人要求》、承包人建议书、价格清单以及双方约定的其他合同文件。</w:t>
      </w:r>
    </w:p>
    <w:p>
      <w:pPr>
        <w:spacing w:line="276" w:lineRule="auto"/>
        <w:jc w:val="left"/>
        <w:rPr>
          <w:rFonts w:asciiTheme="minorEastAsia" w:hAnsiTheme="minorEastAsia"/>
          <w:sz w:val="24"/>
        </w:rPr>
      </w:pPr>
      <w:r>
        <w:rPr>
          <w:rFonts w:hint="eastAsia" w:asciiTheme="minorEastAsia" w:hAnsiTheme="minorEastAsia" w:eastAsiaTheme="minorEastAsia"/>
          <w:sz w:val="24"/>
        </w:rPr>
        <w:t>1.1.1.2 合同协议书：是指构成合同的由发包人和承包人共同签署的称为“合同协议书”的书面文件。</w:t>
      </w:r>
    </w:p>
    <w:p>
      <w:pPr>
        <w:spacing w:line="276" w:lineRule="auto"/>
        <w:jc w:val="left"/>
        <w:rPr>
          <w:rFonts w:asciiTheme="minorEastAsia" w:hAnsiTheme="minorEastAsia"/>
          <w:sz w:val="24"/>
        </w:rPr>
      </w:pPr>
      <w:r>
        <w:rPr>
          <w:rFonts w:hint="eastAsia" w:asciiTheme="minorEastAsia" w:hAnsiTheme="minorEastAsia" w:eastAsiaTheme="minorEastAsia"/>
          <w:sz w:val="24"/>
        </w:rPr>
        <w:t>1.1.1.3 中标通知书：是指构成合同的由发包人通知承包人中标的书面文件。中标通知书随附的澄清、说明、补正事项纪要等，是中标通知书的组成部分。</w:t>
      </w:r>
    </w:p>
    <w:p>
      <w:pPr>
        <w:spacing w:line="276" w:lineRule="auto"/>
        <w:jc w:val="left"/>
        <w:rPr>
          <w:rFonts w:asciiTheme="minorEastAsia" w:hAnsiTheme="minorEastAsia"/>
          <w:sz w:val="24"/>
        </w:rPr>
      </w:pPr>
      <w:r>
        <w:rPr>
          <w:rFonts w:hint="eastAsia" w:asciiTheme="minorEastAsia" w:hAnsiTheme="minorEastAsia" w:eastAsiaTheme="minorEastAsia"/>
          <w:sz w:val="24"/>
        </w:rPr>
        <w:t>1.1.1.4 投标函：是指构成合同的由承包人填写并签署的用于投标的称为“投标函”的文件。</w:t>
      </w:r>
    </w:p>
    <w:p>
      <w:pPr>
        <w:spacing w:line="276" w:lineRule="auto"/>
        <w:jc w:val="left"/>
        <w:rPr>
          <w:rFonts w:asciiTheme="minorEastAsia" w:hAnsiTheme="minorEastAsia"/>
          <w:sz w:val="24"/>
        </w:rPr>
      </w:pPr>
      <w:r>
        <w:rPr>
          <w:rFonts w:hint="eastAsia" w:asciiTheme="minorEastAsia" w:hAnsiTheme="minorEastAsia" w:eastAsiaTheme="minorEastAsia"/>
          <w:sz w:val="24"/>
        </w:rPr>
        <w:t>1.1.1.5 投标函附录：是指构成合同的附在投标函后的称为“投标函附录”的文件。</w:t>
      </w:r>
    </w:p>
    <w:p>
      <w:pPr>
        <w:spacing w:line="276" w:lineRule="auto"/>
        <w:jc w:val="left"/>
        <w:rPr>
          <w:rFonts w:asciiTheme="minorEastAsia" w:hAnsiTheme="minorEastAsia"/>
          <w:sz w:val="24"/>
        </w:rPr>
      </w:pPr>
      <w:r>
        <w:rPr>
          <w:rFonts w:hint="eastAsia" w:asciiTheme="minorEastAsia" w:hAnsiTheme="minorEastAsia" w:eastAsiaTheme="minorEastAsia"/>
          <w:sz w:val="24"/>
        </w:rPr>
        <w:t>1.1.1.6 《发包人要求》：指构成合同文件组成部分的名为《发包人要求》的文件，其中列明工程的目的、范围、设计与其他技术标准和要求，以及合同双方当事人约定对其所作的修改或补充。</w:t>
      </w:r>
    </w:p>
    <w:p>
      <w:pPr>
        <w:spacing w:line="276" w:lineRule="auto"/>
        <w:jc w:val="left"/>
        <w:rPr>
          <w:rFonts w:asciiTheme="minorEastAsia" w:hAnsiTheme="minorEastAsia"/>
          <w:sz w:val="24"/>
        </w:rPr>
      </w:pPr>
      <w:r>
        <w:rPr>
          <w:rFonts w:hint="eastAsia" w:asciiTheme="minorEastAsia" w:hAnsiTheme="minorEastAsia" w:eastAsiaTheme="minorEastAsia"/>
          <w:sz w:val="24"/>
        </w:rPr>
        <w:t>1.1.1.7 项目清单：是指发包人提供的载明工程总承包项目勘察费（如果有）、设计费、建筑安装工程费、设备购置费、暂估价、暂列金额和双方约定的其他费用的名称和相应数量等内容的项目明细。</w:t>
      </w:r>
    </w:p>
    <w:p>
      <w:pPr>
        <w:spacing w:line="276" w:lineRule="auto"/>
        <w:jc w:val="left"/>
        <w:rPr>
          <w:rFonts w:asciiTheme="minorEastAsia" w:hAnsiTheme="minorEastAsia"/>
          <w:sz w:val="24"/>
        </w:rPr>
      </w:pPr>
      <w:r>
        <w:rPr>
          <w:rFonts w:hint="eastAsia" w:asciiTheme="minorEastAsia" w:hAnsiTheme="minorEastAsia" w:eastAsiaTheme="minorEastAsia"/>
          <w:sz w:val="24"/>
        </w:rPr>
        <w:t>1.1.1.8 价格清单：指构成合同文件组成部分的由承包人按发包人提供的项目清单规定的格式和要求填写并标明价格的清单。</w:t>
      </w:r>
    </w:p>
    <w:p>
      <w:pPr>
        <w:spacing w:line="276" w:lineRule="auto"/>
        <w:jc w:val="left"/>
        <w:rPr>
          <w:rFonts w:asciiTheme="minorEastAsia" w:hAnsiTheme="minorEastAsia"/>
          <w:sz w:val="24"/>
        </w:rPr>
      </w:pPr>
      <w:r>
        <w:rPr>
          <w:rFonts w:hint="eastAsia" w:asciiTheme="minorEastAsia" w:hAnsiTheme="minorEastAsia" w:eastAsiaTheme="minorEastAsia"/>
          <w:sz w:val="24"/>
        </w:rPr>
        <w:t>1.1.1.9 承包人建议书：指构成合同文件组成部分的名为承包人建议书的文件。承包人建议书由承包人随投标函一起提交。</w:t>
      </w:r>
    </w:p>
    <w:p>
      <w:pPr>
        <w:spacing w:line="276" w:lineRule="auto"/>
        <w:jc w:val="left"/>
        <w:rPr>
          <w:rFonts w:asciiTheme="minorEastAsia" w:hAnsiTheme="minorEastAsia"/>
          <w:sz w:val="24"/>
        </w:rPr>
      </w:pPr>
      <w:r>
        <w:rPr>
          <w:rFonts w:hint="eastAsia" w:asciiTheme="minorEastAsia" w:hAnsiTheme="minorEastAsia" w:eastAsiaTheme="minorEastAsia"/>
          <w:sz w:val="24"/>
        </w:rPr>
        <w:t>1.1.1.10 其他合同文件：是指经合同当事人约定的与工程实施有关的具有合同约束力的文件或书面协议。合同当事人可以在专用合同条件中进行约定。</w:t>
      </w:r>
    </w:p>
    <w:p>
      <w:pPr>
        <w:spacing w:line="276" w:lineRule="auto"/>
        <w:jc w:val="left"/>
        <w:rPr>
          <w:rFonts w:asciiTheme="minorEastAsia" w:hAnsiTheme="minorEastAsia"/>
          <w:sz w:val="24"/>
        </w:rPr>
      </w:pPr>
      <w:r>
        <w:rPr>
          <w:rFonts w:hint="eastAsia" w:asciiTheme="minorEastAsia" w:hAnsiTheme="minorEastAsia" w:eastAsiaTheme="minorEastAsia"/>
          <w:sz w:val="24"/>
        </w:rPr>
        <w:t>1.1.2 合同当事人及其他相关方</w:t>
      </w:r>
    </w:p>
    <w:p>
      <w:pPr>
        <w:spacing w:line="276" w:lineRule="auto"/>
        <w:jc w:val="left"/>
        <w:rPr>
          <w:rFonts w:asciiTheme="minorEastAsia" w:hAnsiTheme="minorEastAsia"/>
          <w:sz w:val="24"/>
        </w:rPr>
      </w:pPr>
      <w:r>
        <w:rPr>
          <w:rFonts w:hint="eastAsia" w:asciiTheme="minorEastAsia" w:hAnsiTheme="minorEastAsia" w:eastAsiaTheme="minorEastAsia"/>
          <w:sz w:val="24"/>
        </w:rPr>
        <w:t>1.1.2.1 合同当事人：是指发包人和（或）承包人。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1.1.2.2 发包人：是指与承包人订立合同协议书的当事人及取得该当事人资格的合法继受人。本合同中“因发包人原因”里的“发包人”包括发包人及所有发包人人员。</w:t>
      </w:r>
    </w:p>
    <w:p>
      <w:pPr>
        <w:spacing w:line="276" w:lineRule="auto"/>
        <w:jc w:val="left"/>
        <w:rPr>
          <w:rFonts w:asciiTheme="minorEastAsia" w:hAnsiTheme="minorEastAsia"/>
          <w:sz w:val="24"/>
        </w:rPr>
      </w:pPr>
      <w:r>
        <w:rPr>
          <w:rFonts w:hint="eastAsia" w:asciiTheme="minorEastAsia" w:hAnsiTheme="minorEastAsia" w:eastAsiaTheme="minorEastAsia"/>
          <w:sz w:val="24"/>
        </w:rPr>
        <w:t>1.1.2.3 承包人：是指与发包人订立合同协议书的当事人及取得该当事人资格的合法继受人。</w:t>
      </w:r>
    </w:p>
    <w:p>
      <w:pPr>
        <w:spacing w:line="276" w:lineRule="auto"/>
        <w:jc w:val="left"/>
        <w:rPr>
          <w:rFonts w:asciiTheme="minorEastAsia" w:hAnsiTheme="minorEastAsia"/>
          <w:sz w:val="24"/>
        </w:rPr>
      </w:pPr>
      <w:r>
        <w:rPr>
          <w:rFonts w:hint="eastAsia" w:asciiTheme="minorEastAsia" w:hAnsiTheme="minorEastAsia" w:eastAsiaTheme="minorEastAsia"/>
          <w:sz w:val="24"/>
        </w:rPr>
        <w:t>1.1.2.4 联合体：是指经发包人同意由两个或两个以上法人或者其他组织组成的，作为承包人的临时机构。</w:t>
      </w:r>
    </w:p>
    <w:p>
      <w:pPr>
        <w:spacing w:line="276" w:lineRule="auto"/>
        <w:jc w:val="left"/>
        <w:rPr>
          <w:rFonts w:asciiTheme="minorEastAsia" w:hAnsiTheme="minorEastAsia"/>
          <w:sz w:val="24"/>
        </w:rPr>
      </w:pPr>
      <w:r>
        <w:rPr>
          <w:rFonts w:hint="eastAsia" w:asciiTheme="minorEastAsia" w:hAnsiTheme="minorEastAsia" w:eastAsiaTheme="minorEastAsia"/>
          <w:sz w:val="24"/>
        </w:rPr>
        <w:t>1.1.2.5 发包人代表：是指由发包人任命并派驻工作现场，在发包人授权范围内行使发包人权利和履行发包人义务的人。</w:t>
      </w:r>
    </w:p>
    <w:p>
      <w:pPr>
        <w:spacing w:line="276" w:lineRule="auto"/>
        <w:jc w:val="left"/>
        <w:rPr>
          <w:rFonts w:asciiTheme="minorEastAsia" w:hAnsiTheme="minorEastAsia"/>
          <w:sz w:val="24"/>
        </w:rPr>
      </w:pPr>
      <w:r>
        <w:rPr>
          <w:rFonts w:hint="eastAsia" w:asciiTheme="minorEastAsia" w:hAnsiTheme="minorEastAsia" w:eastAsiaTheme="minorEastAsia"/>
          <w:sz w:val="24"/>
        </w:rPr>
        <w:t>1.1.2.6 工程师：是指在专用合同条件中指明的，受发包人委托按照法律规定和发包人的授权进行合同履行管理、工程监督管理等工作的法人或其他组织；该法人或其他组织应雇用一名具有相应执业资格和职业能力的自然人作为工程师代表，并授予其根据本合同代表工程师行事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1.1.2.7 工程总承包项目经理：是指由承包人任命的，在承包人授权范围内负责合同履行的管理，且按照法律规定具有相应资格的项目负责人。</w:t>
      </w:r>
    </w:p>
    <w:p>
      <w:pPr>
        <w:spacing w:line="276" w:lineRule="auto"/>
        <w:jc w:val="left"/>
        <w:rPr>
          <w:rFonts w:asciiTheme="minorEastAsia" w:hAnsiTheme="minorEastAsia"/>
          <w:sz w:val="24"/>
        </w:rPr>
      </w:pPr>
      <w:r>
        <w:rPr>
          <w:rFonts w:hint="eastAsia" w:asciiTheme="minorEastAsia" w:hAnsiTheme="minorEastAsia" w:eastAsiaTheme="minorEastAsia"/>
          <w:sz w:val="24"/>
        </w:rPr>
        <w:t>1.1.2.8 设计负责人：是指承包人指定负责组织、指导、协调设计工作并具有相应资格的人员。</w:t>
      </w:r>
    </w:p>
    <w:p>
      <w:pPr>
        <w:spacing w:line="276" w:lineRule="auto"/>
        <w:jc w:val="left"/>
        <w:rPr>
          <w:rFonts w:asciiTheme="minorEastAsia" w:hAnsiTheme="minorEastAsia"/>
          <w:sz w:val="24"/>
        </w:rPr>
      </w:pPr>
      <w:r>
        <w:rPr>
          <w:rFonts w:hint="eastAsia" w:asciiTheme="minorEastAsia" w:hAnsiTheme="minorEastAsia" w:eastAsiaTheme="minorEastAsia"/>
          <w:sz w:val="24"/>
        </w:rPr>
        <w:t>1.1.2.9 采购负责人：是指承包人指定负责组织、指导、协调采购工作的人员。</w:t>
      </w:r>
    </w:p>
    <w:p>
      <w:pPr>
        <w:spacing w:line="276" w:lineRule="auto"/>
        <w:jc w:val="left"/>
        <w:rPr>
          <w:rFonts w:asciiTheme="minorEastAsia" w:hAnsiTheme="minorEastAsia"/>
          <w:sz w:val="24"/>
        </w:rPr>
      </w:pPr>
      <w:r>
        <w:rPr>
          <w:rFonts w:hint="eastAsia" w:asciiTheme="minorEastAsia" w:hAnsiTheme="minorEastAsia" w:eastAsiaTheme="minorEastAsia"/>
          <w:sz w:val="24"/>
        </w:rPr>
        <w:t>1.1.2.10 施工负责人：是指承包人指定负责组织、指导、协调施工工作并具有相应资格的人员。</w:t>
      </w:r>
    </w:p>
    <w:p>
      <w:pPr>
        <w:spacing w:line="276" w:lineRule="auto"/>
        <w:jc w:val="left"/>
        <w:rPr>
          <w:rFonts w:asciiTheme="minorEastAsia" w:hAnsiTheme="minorEastAsia"/>
          <w:sz w:val="24"/>
        </w:rPr>
      </w:pPr>
      <w:r>
        <w:rPr>
          <w:rFonts w:hint="eastAsia" w:asciiTheme="minorEastAsia" w:hAnsiTheme="minorEastAsia" w:eastAsiaTheme="minorEastAsia"/>
          <w:sz w:val="24"/>
        </w:rPr>
        <w:t>1.1.2.11 分包人：是指按照法律规定和合同约定，分包部分工程或工作，并与承包人订立分包合同的具有相应资质或资格的法人或其他组织。</w:t>
      </w:r>
    </w:p>
    <w:p>
      <w:pPr>
        <w:spacing w:line="276" w:lineRule="auto"/>
        <w:jc w:val="left"/>
        <w:rPr>
          <w:rFonts w:asciiTheme="minorEastAsia" w:hAnsiTheme="minorEastAsia"/>
          <w:sz w:val="24"/>
        </w:rPr>
      </w:pPr>
      <w:r>
        <w:rPr>
          <w:rFonts w:hint="eastAsia" w:asciiTheme="minorEastAsia" w:hAnsiTheme="minorEastAsia" w:eastAsiaTheme="minorEastAsia"/>
          <w:sz w:val="24"/>
        </w:rPr>
        <w:t>1.1.3 工程和设备</w:t>
      </w:r>
    </w:p>
    <w:p>
      <w:pPr>
        <w:spacing w:line="276" w:lineRule="auto"/>
        <w:jc w:val="left"/>
        <w:rPr>
          <w:rFonts w:asciiTheme="minorEastAsia" w:hAnsiTheme="minorEastAsia"/>
          <w:sz w:val="24"/>
        </w:rPr>
      </w:pPr>
      <w:r>
        <w:rPr>
          <w:rFonts w:hint="eastAsia" w:asciiTheme="minorEastAsia" w:hAnsiTheme="minorEastAsia" w:eastAsiaTheme="minorEastAsia"/>
          <w:sz w:val="24"/>
        </w:rPr>
        <w:t>1.1.3.1 工程：是指与合同协议书中工程承包范围对应的永久工程和（或）临时工程。</w:t>
      </w:r>
    </w:p>
    <w:p>
      <w:pPr>
        <w:spacing w:line="276" w:lineRule="auto"/>
        <w:jc w:val="left"/>
        <w:rPr>
          <w:rFonts w:asciiTheme="minorEastAsia" w:hAnsiTheme="minorEastAsia"/>
          <w:sz w:val="24"/>
        </w:rPr>
      </w:pPr>
      <w:r>
        <w:rPr>
          <w:rFonts w:hint="eastAsia" w:asciiTheme="minorEastAsia" w:hAnsiTheme="minorEastAsia" w:eastAsiaTheme="minorEastAsia"/>
          <w:sz w:val="24"/>
        </w:rPr>
        <w:t>1.1.3.2 工程实施：是指进行工程的设计、采购、施工和竣工以及对工程任何缺陷的修复。</w:t>
      </w:r>
    </w:p>
    <w:p>
      <w:pPr>
        <w:spacing w:line="276" w:lineRule="auto"/>
        <w:jc w:val="left"/>
        <w:rPr>
          <w:rFonts w:asciiTheme="minorEastAsia" w:hAnsiTheme="minorEastAsia"/>
          <w:sz w:val="24"/>
        </w:rPr>
      </w:pPr>
      <w:r>
        <w:rPr>
          <w:rFonts w:hint="eastAsia" w:asciiTheme="minorEastAsia" w:hAnsiTheme="minorEastAsia" w:eastAsiaTheme="minorEastAsia"/>
          <w:sz w:val="24"/>
        </w:rPr>
        <w:t>1.1.3.3 永久工程：是指按合同约定建造并移交给发包人的工程，包括工程设备。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1.1.3.4 临时工程：是指为完成合同约定的永久工程所修建的各类临时性工程，不包括施工设备。</w:t>
      </w:r>
    </w:p>
    <w:p>
      <w:pPr>
        <w:spacing w:line="276" w:lineRule="auto"/>
        <w:jc w:val="left"/>
        <w:rPr>
          <w:rFonts w:asciiTheme="minorEastAsia" w:hAnsiTheme="minorEastAsia"/>
          <w:sz w:val="24"/>
        </w:rPr>
      </w:pPr>
      <w:r>
        <w:rPr>
          <w:rFonts w:hint="eastAsia" w:asciiTheme="minorEastAsia" w:hAnsiTheme="minorEastAsia" w:eastAsiaTheme="minorEastAsia"/>
          <w:sz w:val="24"/>
        </w:rPr>
        <w:t>1.1.3.5 单位/区段工程：是指在专用合同条件中指明特定范围的，能单独接收并使用的永久工程。</w:t>
      </w:r>
    </w:p>
    <w:p>
      <w:pPr>
        <w:spacing w:line="276" w:lineRule="auto"/>
        <w:jc w:val="left"/>
        <w:rPr>
          <w:rFonts w:asciiTheme="minorEastAsia" w:hAnsiTheme="minorEastAsia"/>
          <w:sz w:val="24"/>
        </w:rPr>
      </w:pPr>
      <w:r>
        <w:rPr>
          <w:rFonts w:hint="eastAsia" w:asciiTheme="minorEastAsia" w:hAnsiTheme="minorEastAsia" w:eastAsiaTheme="minorEastAsia"/>
          <w:sz w:val="24"/>
        </w:rPr>
        <w:t>1.1.3.6 工程设备：指构成永久工程的机电设备、仪器装置、运载工具及其他类似的设备和装置，包括其配件及备品、备件、易损易耗件等。</w:t>
      </w:r>
    </w:p>
    <w:p>
      <w:pPr>
        <w:spacing w:line="276" w:lineRule="auto"/>
        <w:jc w:val="left"/>
        <w:rPr>
          <w:rFonts w:asciiTheme="minorEastAsia" w:hAnsiTheme="minorEastAsia"/>
          <w:sz w:val="24"/>
        </w:rPr>
      </w:pPr>
      <w:r>
        <w:rPr>
          <w:rFonts w:hint="eastAsia" w:asciiTheme="minorEastAsia" w:hAnsiTheme="minorEastAsia" w:eastAsiaTheme="minorEastAsia"/>
          <w:sz w:val="24"/>
        </w:rPr>
        <w:t>1.1.3.7 施工设备：指为完成合同约定的各项工作所需的设备、器具和其他物品，不包括工程设备、临时工程和材料。</w:t>
      </w:r>
    </w:p>
    <w:p>
      <w:pPr>
        <w:spacing w:line="276" w:lineRule="auto"/>
        <w:jc w:val="left"/>
        <w:rPr>
          <w:rFonts w:asciiTheme="minorEastAsia" w:hAnsiTheme="minorEastAsia"/>
          <w:sz w:val="24"/>
        </w:rPr>
      </w:pPr>
      <w:r>
        <w:rPr>
          <w:rFonts w:hint="eastAsia" w:asciiTheme="minorEastAsia" w:hAnsiTheme="minorEastAsia" w:eastAsiaTheme="minorEastAsia"/>
          <w:sz w:val="24"/>
        </w:rPr>
        <w:t>1.1.3.8 临时设施：指为完成合同约定的各项工作所服务的临时性生产和生活设施。</w:t>
      </w:r>
    </w:p>
    <w:p>
      <w:pPr>
        <w:spacing w:line="276" w:lineRule="auto"/>
        <w:jc w:val="left"/>
        <w:rPr>
          <w:rFonts w:asciiTheme="minorEastAsia" w:hAnsiTheme="minorEastAsia"/>
          <w:sz w:val="24"/>
        </w:rPr>
      </w:pPr>
      <w:r>
        <w:rPr>
          <w:rFonts w:hint="eastAsia" w:asciiTheme="minorEastAsia" w:hAnsiTheme="minorEastAsia" w:eastAsiaTheme="minorEastAsia"/>
          <w:sz w:val="24"/>
        </w:rPr>
        <w:t>1.1.3.9 施工现场：是指用于工程施工的场所，以及在专用合同条件中指明作为施工场所组成部分的其他场所，包括永久占地和临时占地。</w:t>
      </w:r>
    </w:p>
    <w:p>
      <w:pPr>
        <w:spacing w:line="276" w:lineRule="auto"/>
        <w:jc w:val="left"/>
        <w:rPr>
          <w:rFonts w:asciiTheme="minorEastAsia" w:hAnsiTheme="minorEastAsia"/>
          <w:sz w:val="24"/>
        </w:rPr>
      </w:pPr>
      <w:r>
        <w:rPr>
          <w:rFonts w:hint="eastAsia" w:asciiTheme="minorEastAsia" w:hAnsiTheme="minorEastAsia" w:eastAsiaTheme="minorEastAsia"/>
          <w:sz w:val="24"/>
        </w:rPr>
        <w:t>1.1.3.10 永久占地：是指专用合同条件中指明为实施工程需永久占用的土地。</w:t>
      </w:r>
    </w:p>
    <w:p>
      <w:pPr>
        <w:spacing w:line="276" w:lineRule="auto"/>
        <w:jc w:val="left"/>
        <w:rPr>
          <w:rFonts w:asciiTheme="minorEastAsia" w:hAnsiTheme="minorEastAsia"/>
          <w:sz w:val="24"/>
        </w:rPr>
      </w:pPr>
      <w:r>
        <w:rPr>
          <w:rFonts w:hint="eastAsia" w:asciiTheme="minorEastAsia" w:hAnsiTheme="minorEastAsia" w:eastAsiaTheme="minorEastAsia"/>
          <w:sz w:val="24"/>
        </w:rPr>
        <w:t>1.1.3.11 临时占地：是指专用合同条件中指明为实施工程需临时占用的土地。</w:t>
      </w:r>
    </w:p>
    <w:p>
      <w:pPr>
        <w:spacing w:line="276" w:lineRule="auto"/>
        <w:jc w:val="left"/>
        <w:rPr>
          <w:rFonts w:asciiTheme="minorEastAsia" w:hAnsiTheme="minorEastAsia"/>
          <w:sz w:val="24"/>
        </w:rPr>
      </w:pPr>
      <w:r>
        <w:rPr>
          <w:rFonts w:hint="eastAsia" w:asciiTheme="minorEastAsia" w:hAnsiTheme="minorEastAsia" w:eastAsiaTheme="minorEastAsia"/>
          <w:sz w:val="24"/>
        </w:rPr>
        <w:t>1.1.4 日期和期限</w:t>
      </w:r>
    </w:p>
    <w:p>
      <w:pPr>
        <w:spacing w:line="276" w:lineRule="auto"/>
        <w:jc w:val="left"/>
        <w:rPr>
          <w:rFonts w:asciiTheme="minorEastAsia" w:hAnsiTheme="minorEastAsia"/>
          <w:sz w:val="24"/>
        </w:rPr>
      </w:pPr>
      <w:r>
        <w:rPr>
          <w:rFonts w:hint="eastAsia" w:asciiTheme="minorEastAsia" w:hAnsiTheme="minorEastAsia" w:eastAsiaTheme="minorEastAsia"/>
          <w:sz w:val="24"/>
        </w:rPr>
        <w:t>1.1.4.1 开始工作通知：指工程师按第8.1.2项[开始工作通知]的约定通知承包人开始工作的函件。</w:t>
      </w:r>
    </w:p>
    <w:p>
      <w:pPr>
        <w:spacing w:line="276" w:lineRule="auto"/>
        <w:jc w:val="left"/>
        <w:rPr>
          <w:rFonts w:asciiTheme="minorEastAsia" w:hAnsiTheme="minorEastAsia"/>
          <w:sz w:val="24"/>
        </w:rPr>
      </w:pPr>
      <w:r>
        <w:rPr>
          <w:rFonts w:hint="eastAsia" w:asciiTheme="minorEastAsia" w:hAnsiTheme="minorEastAsia" w:eastAsiaTheme="minorEastAsia"/>
          <w:sz w:val="24"/>
        </w:rPr>
        <w:t>1.1.4.2 开始工作日期：包括计划开始工作日期和实际开始工作日期。计划开始工作日期是指合同协议书约定的开始工作日期；实际开始工作日期是指工程师按照第8.1款[开始工作]约定发出的符合法律规定的开始工作通知中载明的开始工作日期。</w:t>
      </w:r>
    </w:p>
    <w:p>
      <w:pPr>
        <w:spacing w:line="276" w:lineRule="auto"/>
        <w:jc w:val="left"/>
        <w:rPr>
          <w:rFonts w:asciiTheme="minorEastAsia" w:hAnsiTheme="minorEastAsia"/>
          <w:sz w:val="24"/>
        </w:rPr>
      </w:pPr>
      <w:r>
        <w:rPr>
          <w:rFonts w:hint="eastAsia" w:asciiTheme="minorEastAsia" w:hAnsiTheme="minorEastAsia" w:eastAsiaTheme="minorEastAsia"/>
          <w:sz w:val="24"/>
        </w:rPr>
        <w:t>1.1.4.3 开始现场施工日期：包括计划开始现场施工日期和实际开始现场施工日期。计划开始现场施工日期是指合同协议书约定的开始现场施工日期；实际开始现场施工日期是指工程师发出的符合法律规定的开工通知中载明的开始现场施工日期。</w:t>
      </w:r>
    </w:p>
    <w:p>
      <w:pPr>
        <w:spacing w:line="276" w:lineRule="auto"/>
        <w:jc w:val="left"/>
        <w:rPr>
          <w:rFonts w:asciiTheme="minorEastAsia" w:hAnsiTheme="minorEastAsia"/>
          <w:sz w:val="24"/>
        </w:rPr>
      </w:pPr>
      <w:r>
        <w:rPr>
          <w:rFonts w:hint="eastAsia" w:asciiTheme="minorEastAsia" w:hAnsiTheme="minorEastAsia" w:eastAsiaTheme="minorEastAsia"/>
          <w:sz w:val="24"/>
        </w:rPr>
        <w:t>1.1.4.4 竣工日期：包括计划竣工日期和实际竣工日期。计划竣工日期是指合同协议书约定的竣工日期；实际竣工日期按照第8.2款[竣工日期]的约定确定。</w:t>
      </w:r>
    </w:p>
    <w:p>
      <w:pPr>
        <w:spacing w:line="276" w:lineRule="auto"/>
        <w:jc w:val="left"/>
        <w:rPr>
          <w:rFonts w:asciiTheme="minorEastAsia" w:hAnsiTheme="minorEastAsia"/>
          <w:sz w:val="24"/>
        </w:rPr>
      </w:pPr>
      <w:r>
        <w:rPr>
          <w:rFonts w:hint="eastAsia" w:asciiTheme="minorEastAsia" w:hAnsiTheme="minorEastAsia" w:eastAsiaTheme="minorEastAsia"/>
          <w:sz w:val="24"/>
        </w:rPr>
        <w:t>1.1.4.5 工期：是指在合同协议书约定的承包人完成合同工作所需的期限，包括按照合同约定所作的期限变更及按合同约定承包人有权取得的工期延长。</w:t>
      </w:r>
    </w:p>
    <w:p>
      <w:pPr>
        <w:spacing w:line="276" w:lineRule="auto"/>
        <w:jc w:val="left"/>
        <w:rPr>
          <w:rFonts w:asciiTheme="minorEastAsia" w:hAnsiTheme="minorEastAsia"/>
          <w:sz w:val="24"/>
        </w:rPr>
      </w:pPr>
      <w:r>
        <w:rPr>
          <w:rFonts w:hint="eastAsia" w:asciiTheme="minorEastAsia" w:hAnsiTheme="minorEastAsia" w:eastAsiaTheme="minorEastAsia"/>
          <w:sz w:val="24"/>
        </w:rPr>
        <w:t>1.1.4.6 缺陷责任期：是指发包人预留工程质量保证金以保证承包人履行第11.3款[缺陷调查]下质量缺陷责任的期限。</w:t>
      </w:r>
    </w:p>
    <w:p>
      <w:pPr>
        <w:spacing w:line="276" w:lineRule="auto"/>
        <w:jc w:val="left"/>
        <w:rPr>
          <w:rFonts w:asciiTheme="minorEastAsia" w:hAnsiTheme="minorEastAsia"/>
          <w:sz w:val="24"/>
        </w:rPr>
      </w:pPr>
      <w:r>
        <w:rPr>
          <w:rFonts w:hint="eastAsia" w:asciiTheme="minorEastAsia" w:hAnsiTheme="minorEastAsia" w:eastAsiaTheme="minorEastAsia"/>
          <w:sz w:val="24"/>
        </w:rPr>
        <w:t>1.1.4.7 保修期：是指承包人按照合同约定和法律规定对工程质量承担保修责任的期限，该期限自缺陷责任期起算之日起计算。</w:t>
      </w:r>
    </w:p>
    <w:p>
      <w:pPr>
        <w:spacing w:line="276" w:lineRule="auto"/>
        <w:jc w:val="left"/>
        <w:rPr>
          <w:rFonts w:asciiTheme="minorEastAsia" w:hAnsiTheme="minorEastAsia"/>
          <w:sz w:val="24"/>
        </w:rPr>
      </w:pPr>
      <w:r>
        <w:rPr>
          <w:rFonts w:hint="eastAsia" w:asciiTheme="minorEastAsia" w:hAnsiTheme="minorEastAsia" w:eastAsiaTheme="minorEastAsia"/>
          <w:sz w:val="24"/>
        </w:rPr>
        <w:t>1.1.4.8 基准日期：招标发包的工程以投标截止日前28天的日期为基准日期，直接发包的工程以合同订立日前28天的日期为基准日期。</w:t>
      </w:r>
    </w:p>
    <w:p>
      <w:pPr>
        <w:spacing w:line="276" w:lineRule="auto"/>
        <w:jc w:val="left"/>
        <w:rPr>
          <w:rFonts w:asciiTheme="minorEastAsia" w:hAnsiTheme="minorEastAsia"/>
          <w:sz w:val="24"/>
        </w:rPr>
      </w:pPr>
      <w:r>
        <w:rPr>
          <w:rFonts w:hint="eastAsia" w:asciiTheme="minorEastAsia" w:hAnsiTheme="minorEastAsia" w:eastAsiaTheme="minorEastAsia"/>
          <w:sz w:val="24"/>
        </w:rPr>
        <w:t>1.1.4.9 天：除特别指明外，均指日历天。合同中按天计算时间的，开始当天不计入，从次日开始计算。期限最后一天的截止时间为当天24:00。</w:t>
      </w:r>
    </w:p>
    <w:p>
      <w:pPr>
        <w:spacing w:line="276" w:lineRule="auto"/>
        <w:jc w:val="left"/>
        <w:rPr>
          <w:rFonts w:asciiTheme="minorEastAsia" w:hAnsiTheme="minorEastAsia"/>
          <w:sz w:val="24"/>
        </w:rPr>
      </w:pPr>
      <w:r>
        <w:rPr>
          <w:rFonts w:hint="eastAsia" w:asciiTheme="minorEastAsia" w:hAnsiTheme="minorEastAsia" w:eastAsiaTheme="minorEastAsia"/>
          <w:sz w:val="24"/>
        </w:rPr>
        <w:t>1.1.4.10 竣工试验：是指在工程竣工验收前，根据第9条[竣工试验]要求进行的试验。</w:t>
      </w:r>
    </w:p>
    <w:p>
      <w:pPr>
        <w:spacing w:line="276" w:lineRule="auto"/>
        <w:jc w:val="left"/>
        <w:rPr>
          <w:rFonts w:asciiTheme="minorEastAsia" w:hAnsiTheme="minorEastAsia"/>
          <w:sz w:val="24"/>
        </w:rPr>
      </w:pPr>
      <w:r>
        <w:rPr>
          <w:rFonts w:hint="eastAsia" w:asciiTheme="minorEastAsia" w:hAnsiTheme="minorEastAsia" w:eastAsiaTheme="minorEastAsia"/>
          <w:sz w:val="24"/>
        </w:rPr>
        <w:t>1.1.4.11 竣工验收：是指承包人完成了合同约定的各项内容后，发包人按合同要求进行的验收。</w:t>
      </w:r>
    </w:p>
    <w:p>
      <w:pPr>
        <w:spacing w:line="276" w:lineRule="auto"/>
        <w:jc w:val="left"/>
        <w:rPr>
          <w:rFonts w:asciiTheme="minorEastAsia" w:hAnsiTheme="minorEastAsia"/>
          <w:sz w:val="24"/>
        </w:rPr>
      </w:pPr>
      <w:r>
        <w:rPr>
          <w:rFonts w:hint="eastAsia" w:asciiTheme="minorEastAsia" w:hAnsiTheme="minorEastAsia" w:eastAsiaTheme="minorEastAsia"/>
          <w:sz w:val="24"/>
        </w:rPr>
        <w:t>1.1.4.12 竣工后试验：是指在工程竣工验收后，根据第12条[竣工后试验]约定进行的试验。</w:t>
      </w:r>
    </w:p>
    <w:p>
      <w:pPr>
        <w:spacing w:line="276" w:lineRule="auto"/>
        <w:jc w:val="left"/>
        <w:rPr>
          <w:rFonts w:asciiTheme="minorEastAsia" w:hAnsiTheme="minorEastAsia"/>
          <w:sz w:val="24"/>
        </w:rPr>
      </w:pPr>
      <w:r>
        <w:rPr>
          <w:rFonts w:hint="eastAsia" w:asciiTheme="minorEastAsia" w:hAnsiTheme="minorEastAsia" w:eastAsiaTheme="minorEastAsia"/>
          <w:sz w:val="24"/>
        </w:rPr>
        <w:t>1.1.5 合同价格和费用</w:t>
      </w:r>
    </w:p>
    <w:p>
      <w:pPr>
        <w:spacing w:line="276" w:lineRule="auto"/>
        <w:jc w:val="left"/>
        <w:rPr>
          <w:rFonts w:asciiTheme="minorEastAsia" w:hAnsiTheme="minorEastAsia"/>
          <w:sz w:val="24"/>
        </w:rPr>
      </w:pPr>
      <w:r>
        <w:rPr>
          <w:rFonts w:hint="eastAsia" w:asciiTheme="minorEastAsia" w:hAnsiTheme="minorEastAsia" w:eastAsiaTheme="minorEastAsia"/>
          <w:sz w:val="24"/>
        </w:rPr>
        <w:t>1.1.5.1 签约合同价：是指发包人和承包人在合同协议书中确定的总金额，包括暂估价及暂列金额等。</w:t>
      </w:r>
    </w:p>
    <w:p>
      <w:pPr>
        <w:spacing w:line="276" w:lineRule="auto"/>
        <w:jc w:val="left"/>
        <w:rPr>
          <w:rFonts w:asciiTheme="minorEastAsia" w:hAnsiTheme="minorEastAsia"/>
          <w:sz w:val="24"/>
        </w:rPr>
      </w:pPr>
      <w:r>
        <w:rPr>
          <w:rFonts w:hint="eastAsia" w:asciiTheme="minorEastAsia" w:hAnsiTheme="minorEastAsia" w:eastAsiaTheme="minorEastAsia"/>
          <w:sz w:val="24"/>
        </w:rPr>
        <w:t>1.1.5.2 合同价格：是指发包人用于支付承包人按照合同约定完成承包范围内全部工作的金额，包括合同履行过程中按合同约定发生的价格变化。</w:t>
      </w:r>
    </w:p>
    <w:p>
      <w:pPr>
        <w:spacing w:line="276" w:lineRule="auto"/>
        <w:jc w:val="left"/>
        <w:rPr>
          <w:rFonts w:asciiTheme="minorEastAsia" w:hAnsiTheme="minorEastAsia"/>
          <w:sz w:val="24"/>
        </w:rPr>
      </w:pPr>
      <w:r>
        <w:rPr>
          <w:rFonts w:hint="eastAsia" w:asciiTheme="minorEastAsia" w:hAnsiTheme="minorEastAsia" w:eastAsiaTheme="minorEastAsia"/>
          <w:sz w:val="24"/>
        </w:rPr>
        <w:t>1.1.5.3 费用：是指为履行合同所发生的或将要发生的所有合理开支，包括管理费和应分摊的其他费用，但不包括利润。</w:t>
      </w:r>
    </w:p>
    <w:p>
      <w:pPr>
        <w:spacing w:line="276" w:lineRule="auto"/>
        <w:jc w:val="left"/>
        <w:rPr>
          <w:rFonts w:asciiTheme="minorEastAsia" w:hAnsiTheme="minorEastAsia"/>
          <w:sz w:val="24"/>
        </w:rPr>
      </w:pPr>
      <w:r>
        <w:rPr>
          <w:rFonts w:hint="eastAsia" w:asciiTheme="minorEastAsia" w:hAnsiTheme="minorEastAsia" w:eastAsiaTheme="minorEastAsia"/>
          <w:sz w:val="24"/>
        </w:rPr>
        <w:t>1.1.5.4 人工费：是指支付给直接从事建筑安装工程施工作业的建筑工人的各项费用。</w:t>
      </w:r>
    </w:p>
    <w:p>
      <w:pPr>
        <w:spacing w:line="276" w:lineRule="auto"/>
        <w:jc w:val="left"/>
        <w:rPr>
          <w:rFonts w:asciiTheme="minorEastAsia" w:hAnsiTheme="minorEastAsia"/>
          <w:sz w:val="24"/>
        </w:rPr>
      </w:pPr>
      <w:r>
        <w:rPr>
          <w:rFonts w:hint="eastAsia" w:asciiTheme="minorEastAsia" w:hAnsiTheme="minorEastAsia" w:eastAsiaTheme="minorEastAsia"/>
          <w:sz w:val="24"/>
        </w:rPr>
        <w:t>1.1.5.5 暂估价：是指发包人在项目清单中给定的，用于支付必然发生但暂时不能确定价格的专业服务、材料、设备、专业工程的金额。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1.1.5.6 暂列金额：是指发包人在项目清单中给定的，用于在订立协议书时尚未确定或不可预见变更的设计、施工及其所需材料、工程设备、服务等的金额，包括以计日工方式支付的金额。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1.1.5.7 计日工：是指合同履行过程中，承包人完成发包人提出的零星工作或需要采用计日工计价的变更工作时，按合同中约定的单价计价的一种方式。</w:t>
      </w:r>
    </w:p>
    <w:p>
      <w:pPr>
        <w:spacing w:line="276" w:lineRule="auto"/>
        <w:jc w:val="left"/>
        <w:rPr>
          <w:rFonts w:asciiTheme="minorEastAsia" w:hAnsiTheme="minorEastAsia"/>
          <w:sz w:val="24"/>
        </w:rPr>
      </w:pPr>
      <w:r>
        <w:rPr>
          <w:rFonts w:hint="eastAsia" w:asciiTheme="minorEastAsia" w:hAnsiTheme="minorEastAsia" w:eastAsiaTheme="minorEastAsia"/>
          <w:sz w:val="24"/>
        </w:rPr>
        <w:t>1.1.5.8 质量保证金：是指按第14.6款[质量保证金]约定承包人用于保证其在缺陷责任期内履行缺陷修复义务的担保。</w:t>
      </w:r>
    </w:p>
    <w:p>
      <w:pPr>
        <w:spacing w:line="276" w:lineRule="auto"/>
        <w:jc w:val="left"/>
        <w:rPr>
          <w:rFonts w:asciiTheme="minorEastAsia" w:hAnsiTheme="minorEastAsia"/>
          <w:sz w:val="24"/>
        </w:rPr>
      </w:pPr>
      <w:r>
        <w:rPr>
          <w:rFonts w:hint="eastAsia" w:asciiTheme="minorEastAsia" w:hAnsiTheme="minorEastAsia" w:eastAsiaTheme="minorEastAsia"/>
          <w:sz w:val="24"/>
        </w:rPr>
        <w:t>1.1.6 其他</w:t>
      </w:r>
    </w:p>
    <w:p>
      <w:pPr>
        <w:spacing w:line="276" w:lineRule="auto"/>
        <w:jc w:val="left"/>
        <w:rPr>
          <w:rFonts w:asciiTheme="minorEastAsia" w:hAnsiTheme="minorEastAsia"/>
          <w:sz w:val="24"/>
        </w:rPr>
      </w:pPr>
      <w:r>
        <w:rPr>
          <w:rFonts w:hint="eastAsia" w:asciiTheme="minorEastAsia" w:hAnsiTheme="minorEastAsia" w:eastAsiaTheme="minorEastAsia"/>
          <w:sz w:val="24"/>
        </w:rPr>
        <w:t>1.1.6.1 书面形式：指合同文件、信函、电报、传真、数据电文、电子邮件、会议纪要等可以有形地表现所载内容的形式。</w:t>
      </w:r>
    </w:p>
    <w:p>
      <w:pPr>
        <w:spacing w:line="276" w:lineRule="auto"/>
        <w:jc w:val="left"/>
        <w:rPr>
          <w:rFonts w:asciiTheme="minorEastAsia" w:hAnsiTheme="minorEastAsia"/>
          <w:sz w:val="24"/>
        </w:rPr>
      </w:pPr>
      <w:r>
        <w:rPr>
          <w:rFonts w:hint="eastAsia" w:asciiTheme="minorEastAsia" w:hAnsiTheme="minorEastAsia" w:eastAsiaTheme="minorEastAsia"/>
          <w:sz w:val="24"/>
        </w:rPr>
        <w:t>1.1.6.2 承包人文件：指由承包人根据合同约定应提交的所有图纸、手册、模型、计算书、软件、函件、洽商性文件和其他技术性文件。</w:t>
      </w:r>
    </w:p>
    <w:p>
      <w:pPr>
        <w:spacing w:line="276" w:lineRule="auto"/>
        <w:jc w:val="left"/>
        <w:rPr>
          <w:rFonts w:asciiTheme="minorEastAsia" w:hAnsiTheme="minorEastAsia"/>
          <w:sz w:val="24"/>
        </w:rPr>
      </w:pPr>
      <w:r>
        <w:rPr>
          <w:rFonts w:hint="eastAsia" w:asciiTheme="minorEastAsia" w:hAnsiTheme="minorEastAsia" w:eastAsiaTheme="minorEastAsia"/>
          <w:sz w:val="24"/>
        </w:rPr>
        <w:t>1.1.6.3 变更：指根据第13条[变更与调整]的约定，经指示或批准对《发包人要求》或工程所做的改变。</w:t>
      </w:r>
    </w:p>
    <w:p>
      <w:pPr>
        <w:spacing w:line="276" w:lineRule="auto"/>
        <w:jc w:val="left"/>
        <w:rPr>
          <w:rFonts w:asciiTheme="minorEastAsia" w:hAnsiTheme="minorEastAsia"/>
          <w:sz w:val="24"/>
        </w:rPr>
      </w:pPr>
      <w:r>
        <w:rPr>
          <w:rFonts w:hint="eastAsia" w:asciiTheme="minorEastAsia" w:hAnsiTheme="minorEastAsia" w:eastAsiaTheme="minorEastAsia"/>
          <w:sz w:val="24"/>
        </w:rPr>
        <w:t>1.2 语言文字</w:t>
      </w:r>
    </w:p>
    <w:p>
      <w:pPr>
        <w:spacing w:line="276" w:lineRule="auto"/>
        <w:jc w:val="left"/>
        <w:rPr>
          <w:rFonts w:asciiTheme="minorEastAsia" w:hAnsiTheme="minorEastAsia"/>
          <w:sz w:val="24"/>
        </w:rPr>
      </w:pPr>
      <w:r>
        <w:rPr>
          <w:rFonts w:hint="eastAsia" w:asciiTheme="minorEastAsia" w:hAnsiTheme="minorEastAsia" w:eastAsiaTheme="minorEastAsia"/>
          <w:sz w:val="24"/>
        </w:rPr>
        <w:t>合同文件以中国的汉语简体语言文字编写、解释和说明。专用术语使用外文的，应附有中文注释。合同当事人在专用合同条件约定使用两种及以上语言时，汉语为优先解释和说明合同的语言。</w:t>
      </w:r>
    </w:p>
    <w:p>
      <w:pPr>
        <w:spacing w:line="276" w:lineRule="auto"/>
        <w:jc w:val="left"/>
        <w:rPr>
          <w:rFonts w:asciiTheme="minorEastAsia" w:hAnsiTheme="minorEastAsia"/>
          <w:sz w:val="24"/>
        </w:rPr>
      </w:pPr>
      <w:r>
        <w:rPr>
          <w:rFonts w:hint="eastAsia" w:asciiTheme="minorEastAsia" w:hAnsiTheme="minorEastAsia" w:eastAsiaTheme="minorEastAsia"/>
          <w:sz w:val="24"/>
        </w:rPr>
        <w:t>与合同有关的联络应使用专用合同条件约定的语言。如没有约定，则应使用中国的汉语简体语言文字。</w:t>
      </w:r>
    </w:p>
    <w:p>
      <w:pPr>
        <w:spacing w:line="276" w:lineRule="auto"/>
        <w:jc w:val="left"/>
        <w:rPr>
          <w:rFonts w:asciiTheme="minorEastAsia" w:hAnsiTheme="minorEastAsia"/>
          <w:sz w:val="24"/>
        </w:rPr>
      </w:pPr>
      <w:r>
        <w:rPr>
          <w:rFonts w:hint="eastAsia" w:asciiTheme="minorEastAsia" w:hAnsiTheme="minorEastAsia" w:eastAsiaTheme="minorEastAsia"/>
          <w:sz w:val="24"/>
        </w:rPr>
        <w:t>1.3 法律</w:t>
      </w:r>
    </w:p>
    <w:p>
      <w:pPr>
        <w:spacing w:line="276" w:lineRule="auto"/>
        <w:jc w:val="left"/>
        <w:rPr>
          <w:rFonts w:asciiTheme="minorEastAsia" w:hAnsiTheme="minorEastAsia"/>
          <w:sz w:val="24"/>
        </w:rPr>
      </w:pPr>
      <w:r>
        <w:rPr>
          <w:rFonts w:hint="eastAsia" w:asciiTheme="minorEastAsia" w:hAnsiTheme="minorEastAsia" w:eastAsiaTheme="minorEastAsia"/>
          <w:sz w:val="24"/>
        </w:rPr>
        <w:t>合同所称法律是指中华人民共和国法律、行政法规、部门规章，以及工程所在地的地方法规、自治条例、单行条例和地方政府规章等。</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合同当事人可以在专用合同条件中约定合同适用的其他规范性文件。</w:t>
      </w:r>
    </w:p>
    <w:p>
      <w:pPr>
        <w:spacing w:line="276" w:lineRule="auto"/>
        <w:jc w:val="left"/>
        <w:rPr>
          <w:rFonts w:asciiTheme="minorEastAsia" w:hAnsiTheme="minorEastAsia"/>
          <w:sz w:val="24"/>
        </w:rPr>
      </w:pPr>
      <w:r>
        <w:rPr>
          <w:rFonts w:hint="eastAsia" w:asciiTheme="minorEastAsia" w:hAnsiTheme="minorEastAsia" w:eastAsiaTheme="minorEastAsia"/>
          <w:sz w:val="24"/>
        </w:rPr>
        <w:t>1.4 标准和规范</w:t>
      </w:r>
    </w:p>
    <w:p>
      <w:pPr>
        <w:spacing w:line="276" w:lineRule="auto"/>
        <w:jc w:val="left"/>
        <w:rPr>
          <w:rFonts w:asciiTheme="minorEastAsia" w:hAnsiTheme="minorEastAsia"/>
          <w:sz w:val="24"/>
        </w:rPr>
      </w:pPr>
      <w:r>
        <w:rPr>
          <w:rFonts w:hint="eastAsia" w:asciiTheme="minorEastAsia" w:hAnsiTheme="minorEastAsia" w:eastAsiaTheme="minorEastAsia"/>
          <w:sz w:val="24"/>
        </w:rPr>
        <w:t>1.4.1 适用于工程的国家标准、行业标准、工程所在地的地方性标准，以及相应的规范、规程等，合同当事人有特别要求的，应在专用合同条件中约定。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1.4.2 发包人要求使用国外标准、规范的，发包人负责提供原文版本和中文译本，并在专用合同条件中约定提供标准规范的名称、份数和时间。</w:t>
      </w:r>
    </w:p>
    <w:p>
      <w:pPr>
        <w:spacing w:line="276" w:lineRule="auto"/>
        <w:jc w:val="left"/>
        <w:rPr>
          <w:rFonts w:asciiTheme="minorEastAsia" w:hAnsiTheme="minorEastAsia"/>
          <w:sz w:val="24"/>
        </w:rPr>
      </w:pPr>
      <w:r>
        <w:rPr>
          <w:rFonts w:hint="eastAsia" w:asciiTheme="minorEastAsia" w:hAnsiTheme="minorEastAsia" w:eastAsiaTheme="minorEastAsia"/>
          <w:sz w:val="24"/>
        </w:rPr>
        <w:t>1.4.3 没有相应成文规定的标准、规范时，由发包人在专用合同条件中约定的时间向承包人列明技术要求，承包人按约定的时间和技术要求提出实施方法，经发包人认可后执行。承包人需要对实施方法进行研发试验的，或须对项目人员进行特殊培训及其有特殊要求的，除签约合同价已包含此项费用外，双方应另行订立协议作为合同附件，其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1.4.4 发包人对于工程的技术标准、功能要求高于或严于现行国家、行业或地方标准的，应当在《发包人要求》中予以明确。除专用合同条件另有约定外，应视为承包人在订立合同前已充分预见前述技术标准和功能要求的复杂程度，签约合同价中已包含由此产生的费用。</w:t>
      </w:r>
    </w:p>
    <w:p>
      <w:pPr>
        <w:spacing w:line="276" w:lineRule="auto"/>
        <w:jc w:val="left"/>
        <w:rPr>
          <w:rFonts w:asciiTheme="minorEastAsia" w:hAnsiTheme="minorEastAsia"/>
          <w:sz w:val="24"/>
        </w:rPr>
      </w:pPr>
      <w:r>
        <w:rPr>
          <w:rFonts w:hint="eastAsia" w:asciiTheme="minorEastAsia" w:hAnsiTheme="minorEastAsia" w:eastAsiaTheme="minorEastAsia"/>
          <w:sz w:val="24"/>
        </w:rPr>
        <w:t>1.5 合同文件的优先顺序</w:t>
      </w:r>
    </w:p>
    <w:p>
      <w:pPr>
        <w:spacing w:line="276" w:lineRule="auto"/>
        <w:jc w:val="left"/>
        <w:rPr>
          <w:rFonts w:asciiTheme="minorEastAsia" w:hAnsiTheme="minorEastAsia"/>
          <w:sz w:val="24"/>
        </w:rPr>
      </w:pPr>
      <w:r>
        <w:rPr>
          <w:rFonts w:hint="eastAsia" w:asciiTheme="minorEastAsia" w:hAnsiTheme="minorEastAsia" w:eastAsiaTheme="minorEastAsia"/>
          <w:sz w:val="24"/>
        </w:rPr>
        <w:t>组成合同的各项文件应互相解释，互为说明。除专用合同条件另有约定外，解释合同文件的优先顺序如下：</w:t>
      </w:r>
    </w:p>
    <w:p>
      <w:pPr>
        <w:spacing w:line="276" w:lineRule="auto"/>
        <w:jc w:val="left"/>
        <w:rPr>
          <w:rFonts w:asciiTheme="minorEastAsia" w:hAnsiTheme="minorEastAsia"/>
          <w:sz w:val="24"/>
        </w:rPr>
      </w:pPr>
      <w:r>
        <w:rPr>
          <w:rFonts w:hint="eastAsia" w:asciiTheme="minorEastAsia" w:hAnsiTheme="minorEastAsia" w:eastAsiaTheme="minorEastAsia"/>
          <w:sz w:val="24"/>
        </w:rPr>
        <w:t>（1） 合同协议书；</w:t>
      </w:r>
    </w:p>
    <w:p>
      <w:pPr>
        <w:spacing w:line="276" w:lineRule="auto"/>
        <w:jc w:val="left"/>
        <w:rPr>
          <w:rFonts w:asciiTheme="minorEastAsia" w:hAnsiTheme="minorEastAsia"/>
          <w:sz w:val="24"/>
        </w:rPr>
      </w:pPr>
      <w:r>
        <w:rPr>
          <w:rFonts w:hint="eastAsia" w:asciiTheme="minorEastAsia" w:hAnsiTheme="minorEastAsia" w:eastAsiaTheme="minorEastAsia"/>
          <w:sz w:val="24"/>
        </w:rPr>
        <w:t>（2） 中标通知书（如果有）；</w:t>
      </w:r>
    </w:p>
    <w:p>
      <w:pPr>
        <w:spacing w:line="276" w:lineRule="auto"/>
        <w:jc w:val="left"/>
        <w:rPr>
          <w:rFonts w:asciiTheme="minorEastAsia" w:hAnsiTheme="minorEastAsia"/>
          <w:sz w:val="24"/>
        </w:rPr>
      </w:pPr>
      <w:r>
        <w:rPr>
          <w:rFonts w:hint="eastAsia" w:asciiTheme="minorEastAsia" w:hAnsiTheme="minorEastAsia" w:eastAsiaTheme="minorEastAsia"/>
          <w:sz w:val="24"/>
        </w:rPr>
        <w:t>（3） 投标函及投标函附录（如果有）；</w:t>
      </w:r>
    </w:p>
    <w:p>
      <w:pPr>
        <w:spacing w:line="276" w:lineRule="auto"/>
        <w:jc w:val="left"/>
        <w:rPr>
          <w:rFonts w:asciiTheme="minorEastAsia" w:hAnsiTheme="minorEastAsia"/>
          <w:sz w:val="24"/>
        </w:rPr>
      </w:pPr>
      <w:r>
        <w:rPr>
          <w:rFonts w:hint="eastAsia" w:asciiTheme="minorEastAsia" w:hAnsiTheme="minorEastAsia" w:eastAsiaTheme="minorEastAsia"/>
          <w:sz w:val="24"/>
        </w:rPr>
        <w:t>（4） 专用合同条件及《发包人要求》等附件；</w:t>
      </w:r>
    </w:p>
    <w:p>
      <w:pPr>
        <w:spacing w:line="276" w:lineRule="auto"/>
        <w:jc w:val="left"/>
        <w:rPr>
          <w:rFonts w:asciiTheme="minorEastAsia" w:hAnsiTheme="minorEastAsia"/>
          <w:sz w:val="24"/>
        </w:rPr>
      </w:pPr>
      <w:r>
        <w:rPr>
          <w:rFonts w:hint="eastAsia" w:asciiTheme="minorEastAsia" w:hAnsiTheme="minorEastAsia" w:eastAsiaTheme="minorEastAsia"/>
          <w:sz w:val="24"/>
        </w:rPr>
        <w:t>（5） 通用合同条件；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（6） 承包人建议书； </w:t>
      </w:r>
    </w:p>
    <w:p>
      <w:pPr>
        <w:spacing w:line="276" w:lineRule="auto"/>
        <w:jc w:val="left"/>
        <w:rPr>
          <w:rFonts w:asciiTheme="minorEastAsia" w:hAnsiTheme="minorEastAsia"/>
          <w:sz w:val="24"/>
        </w:rPr>
      </w:pPr>
      <w:r>
        <w:rPr>
          <w:rFonts w:hint="eastAsia" w:asciiTheme="minorEastAsia" w:hAnsiTheme="minorEastAsia" w:eastAsiaTheme="minorEastAsia"/>
          <w:sz w:val="24"/>
        </w:rPr>
        <w:t>（7） 价格清单；</w:t>
      </w:r>
    </w:p>
    <w:p>
      <w:pPr>
        <w:spacing w:line="276" w:lineRule="auto"/>
        <w:jc w:val="left"/>
        <w:rPr>
          <w:rFonts w:asciiTheme="minorEastAsia" w:hAnsiTheme="minorEastAsia"/>
          <w:sz w:val="24"/>
        </w:rPr>
      </w:pPr>
      <w:r>
        <w:rPr>
          <w:rFonts w:hint="eastAsia" w:asciiTheme="minorEastAsia" w:hAnsiTheme="minorEastAsia" w:eastAsiaTheme="minorEastAsia"/>
          <w:sz w:val="24"/>
        </w:rPr>
        <w:t>（8） 双方约定的其他合同文件。</w:t>
      </w:r>
    </w:p>
    <w:p>
      <w:pPr>
        <w:spacing w:line="276" w:lineRule="auto"/>
        <w:jc w:val="left"/>
        <w:rPr>
          <w:rFonts w:asciiTheme="minorEastAsia" w:hAnsiTheme="minorEastAsia"/>
          <w:sz w:val="24"/>
        </w:rPr>
      </w:pPr>
      <w:r>
        <w:rPr>
          <w:rFonts w:hint="eastAsia" w:asciiTheme="minorEastAsia" w:hAnsiTheme="minorEastAsia" w:eastAsiaTheme="minorEastAsia"/>
          <w:sz w:val="24"/>
        </w:rPr>
        <w:t>上述各项合同文件包括合同当事人就该项合同文件所作出的补充和修改，属于同一类内容的文件，应以最新签署的为准。</w:t>
      </w:r>
    </w:p>
    <w:p>
      <w:pPr>
        <w:spacing w:line="276" w:lineRule="auto"/>
        <w:jc w:val="left"/>
        <w:rPr>
          <w:rFonts w:asciiTheme="minorEastAsia" w:hAnsiTheme="minorEastAsia"/>
          <w:sz w:val="24"/>
        </w:rPr>
      </w:pPr>
      <w:r>
        <w:rPr>
          <w:rFonts w:hint="eastAsia" w:asciiTheme="minorEastAsia" w:hAnsiTheme="minorEastAsia" w:eastAsiaTheme="minorEastAsia"/>
          <w:sz w:val="24"/>
        </w:rPr>
        <w:t>在合同订立及履行过程中形成的与合同有关的文件均构成合同文件组成部分，并根据其性质确定优先解释顺序。</w:t>
      </w:r>
    </w:p>
    <w:p>
      <w:pPr>
        <w:spacing w:line="276" w:lineRule="auto"/>
        <w:jc w:val="left"/>
        <w:rPr>
          <w:rFonts w:asciiTheme="minorEastAsia" w:hAnsiTheme="minorEastAsia"/>
          <w:sz w:val="24"/>
        </w:rPr>
      </w:pPr>
      <w:r>
        <w:rPr>
          <w:rFonts w:hint="eastAsia" w:asciiTheme="minorEastAsia" w:hAnsiTheme="minorEastAsia" w:eastAsiaTheme="minorEastAsia"/>
          <w:sz w:val="24"/>
        </w:rPr>
        <w:t>1.6 文件的提供和照管</w:t>
      </w:r>
    </w:p>
    <w:p>
      <w:pPr>
        <w:spacing w:line="276" w:lineRule="auto"/>
        <w:jc w:val="left"/>
        <w:rPr>
          <w:rFonts w:asciiTheme="minorEastAsia" w:hAnsiTheme="minorEastAsia"/>
          <w:sz w:val="24"/>
        </w:rPr>
      </w:pPr>
      <w:r>
        <w:rPr>
          <w:rFonts w:hint="eastAsia" w:asciiTheme="minorEastAsia" w:hAnsiTheme="minorEastAsia" w:eastAsiaTheme="minorEastAsia"/>
          <w:sz w:val="24"/>
        </w:rPr>
        <w:t>1.6.1 发包人文件的提供</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按照专用合同条件约定的期限、数量和形式向承包人免费提供前期工作相关资料、环境保护、气象水文、地质条件进行工程设计、现场施工等工程实施所需的文件。因发包人未按合同约定提供文件造成工期延误的，按照第8.7.1项[因发包人原因导致工期延误]约定办理。</w:t>
      </w:r>
    </w:p>
    <w:p>
      <w:pPr>
        <w:spacing w:line="276" w:lineRule="auto"/>
        <w:jc w:val="left"/>
        <w:rPr>
          <w:rFonts w:asciiTheme="minorEastAsia" w:hAnsiTheme="minorEastAsia"/>
          <w:sz w:val="24"/>
        </w:rPr>
      </w:pPr>
      <w:r>
        <w:rPr>
          <w:rFonts w:hint="eastAsia" w:asciiTheme="minorEastAsia" w:hAnsiTheme="minorEastAsia" w:eastAsiaTheme="minorEastAsia"/>
          <w:sz w:val="24"/>
        </w:rPr>
        <w:t>1.6.2 承包人文件的提供</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除专用合同条件另有约定外，承包人文件应包含下列内容，并用第1.2款[语言文字]约定的语言制作：</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《发包人要求》中规定的相关文件；</w:t>
      </w:r>
    </w:p>
    <w:p>
      <w:pPr>
        <w:spacing w:line="276" w:lineRule="auto"/>
        <w:jc w:val="left"/>
        <w:rPr>
          <w:rFonts w:asciiTheme="minorEastAsia" w:hAnsiTheme="minorEastAsia"/>
          <w:sz w:val="24"/>
        </w:rPr>
      </w:pPr>
      <w:r>
        <w:rPr>
          <w:rFonts w:hint="eastAsia" w:asciiTheme="minorEastAsia" w:hAnsiTheme="minorEastAsia" w:eastAsiaTheme="minorEastAsia"/>
          <w:sz w:val="24"/>
        </w:rPr>
        <w:t>（2） 满足工程相关行政审批手续所必须的应由承包人负责的相关文件；</w:t>
      </w:r>
    </w:p>
    <w:p>
      <w:pPr>
        <w:spacing w:line="276" w:lineRule="auto"/>
        <w:jc w:val="left"/>
        <w:rPr>
          <w:rFonts w:asciiTheme="minorEastAsia" w:hAnsiTheme="minorEastAsia"/>
          <w:sz w:val="24"/>
        </w:rPr>
      </w:pPr>
      <w:r>
        <w:rPr>
          <w:rFonts w:hint="eastAsia" w:asciiTheme="minorEastAsia" w:hAnsiTheme="minorEastAsia" w:eastAsiaTheme="minorEastAsia"/>
          <w:sz w:val="24"/>
        </w:rPr>
        <w:t>（3） 第5.4款[竣工文件]与第5.5款[操作和维修手册]中要求的相关文件。</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专用合同条件约定的期限、名称、数量和形式向工程师提供应当由承包人编制的与工程设计、现场施工等工程实施有关的承包人文件。工程师对承包人文件有异议的，承包人应予以修改，并重新报送工程师。合同约定承包人文件应经审查的，工程师应在合同约定的期限内审查完毕，但工程师的审查并不减轻或免除承包人根据合同约定应当承担的责任。承包人文件的提供和审查还应遵守第5.2款[承包人文件审查]和第5.4款[竣工文件]的约定。</w:t>
      </w:r>
    </w:p>
    <w:p>
      <w:pPr>
        <w:spacing w:line="276" w:lineRule="auto"/>
        <w:jc w:val="left"/>
        <w:rPr>
          <w:rFonts w:asciiTheme="minorEastAsia" w:hAnsiTheme="minorEastAsia"/>
          <w:sz w:val="24"/>
        </w:rPr>
      </w:pPr>
      <w:r>
        <w:rPr>
          <w:rFonts w:hint="eastAsia" w:asciiTheme="minorEastAsia" w:hAnsiTheme="minorEastAsia" w:eastAsiaTheme="minorEastAsia"/>
          <w:sz w:val="24"/>
        </w:rPr>
        <w:t>1.6.3 文件错误的通知</w:t>
      </w:r>
    </w:p>
    <w:p>
      <w:pPr>
        <w:spacing w:line="276" w:lineRule="auto"/>
        <w:jc w:val="left"/>
        <w:rPr>
          <w:rFonts w:asciiTheme="minorEastAsia" w:hAnsiTheme="minorEastAsia"/>
          <w:sz w:val="24"/>
        </w:rPr>
      </w:pPr>
      <w:r>
        <w:rPr>
          <w:rFonts w:hint="eastAsia" w:asciiTheme="minorEastAsia" w:hAnsiTheme="minorEastAsia" w:eastAsiaTheme="minorEastAsia"/>
          <w:sz w:val="24"/>
        </w:rPr>
        <w:t>任何一方发现文件中存在明显的错误或疏忽，应及时通知另一方。</w:t>
      </w:r>
    </w:p>
    <w:p>
      <w:pPr>
        <w:spacing w:line="276" w:lineRule="auto"/>
        <w:jc w:val="left"/>
        <w:rPr>
          <w:rFonts w:asciiTheme="minorEastAsia" w:hAnsiTheme="minorEastAsia"/>
          <w:sz w:val="24"/>
        </w:rPr>
      </w:pPr>
      <w:r>
        <w:rPr>
          <w:rFonts w:hint="eastAsia" w:asciiTheme="minorEastAsia" w:hAnsiTheme="minorEastAsia" w:eastAsiaTheme="minorEastAsia"/>
          <w:sz w:val="24"/>
        </w:rPr>
        <w:t>1.6.4 文件的照管</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在现场保留一份合同、《发包人要求》中列出的所有文件、承包人文件、变更以及其他根据合同收发的往来信函。发包人和工程师有权在任何合理的时间查阅和使用上述所有文件。</w:t>
      </w:r>
    </w:p>
    <w:p>
      <w:pPr>
        <w:spacing w:line="276" w:lineRule="auto"/>
        <w:jc w:val="left"/>
        <w:rPr>
          <w:rFonts w:asciiTheme="minorEastAsia" w:hAnsiTheme="minorEastAsia"/>
          <w:sz w:val="24"/>
        </w:rPr>
      </w:pPr>
      <w:r>
        <w:rPr>
          <w:rFonts w:hint="eastAsia" w:asciiTheme="minorEastAsia" w:hAnsiTheme="minorEastAsia" w:eastAsiaTheme="minorEastAsia"/>
          <w:sz w:val="24"/>
        </w:rPr>
        <w:t>1.7 联络</w:t>
      </w:r>
    </w:p>
    <w:p>
      <w:pPr>
        <w:spacing w:line="276" w:lineRule="auto"/>
        <w:jc w:val="left"/>
        <w:rPr>
          <w:rFonts w:asciiTheme="minorEastAsia" w:hAnsiTheme="minorEastAsia"/>
          <w:sz w:val="24"/>
        </w:rPr>
      </w:pPr>
      <w:r>
        <w:rPr>
          <w:rFonts w:hint="eastAsia" w:asciiTheme="minorEastAsia" w:hAnsiTheme="minorEastAsia" w:eastAsiaTheme="minorEastAsia"/>
          <w:sz w:val="24"/>
        </w:rPr>
        <w:t>1.7.1 与合同有关的通知、批准、证明、证书、指示、指令、要求、请求、同意、意见、确定和决定等，均应采用书面形式，并应在合同约定的期限内（如无约定，应在合理期限内）通过特快专递或专人、挂号信、传真或双方商定的电子传输方式送达收件地址。</w:t>
      </w:r>
    </w:p>
    <w:p>
      <w:pPr>
        <w:spacing w:line="276" w:lineRule="auto"/>
        <w:jc w:val="left"/>
        <w:rPr>
          <w:rFonts w:asciiTheme="minorEastAsia" w:hAnsiTheme="minorEastAsia"/>
          <w:sz w:val="24"/>
        </w:rPr>
      </w:pPr>
      <w:r>
        <w:rPr>
          <w:rFonts w:hint="eastAsia" w:asciiTheme="minorEastAsia" w:hAnsiTheme="minorEastAsia" w:eastAsiaTheme="minorEastAsia"/>
          <w:sz w:val="24"/>
        </w:rPr>
        <w:t>1.7.2 发包人和承包人应在专用合同条件中约定各自的送达方式和收件地址。任何一方合同当事人指定的送达方式或收件地址发生变动的，应提前3天以书面形式通知对方。</w:t>
      </w:r>
    </w:p>
    <w:p>
      <w:pPr>
        <w:spacing w:line="276" w:lineRule="auto"/>
        <w:jc w:val="left"/>
        <w:rPr>
          <w:rFonts w:asciiTheme="minorEastAsia" w:hAnsiTheme="minorEastAsia"/>
          <w:sz w:val="24"/>
        </w:rPr>
      </w:pPr>
      <w:r>
        <w:rPr>
          <w:rFonts w:hint="eastAsia" w:asciiTheme="minorEastAsia" w:hAnsiTheme="minorEastAsia" w:eastAsiaTheme="minorEastAsia"/>
          <w:sz w:val="24"/>
        </w:rPr>
        <w:t>1.7.3 发包人和承包人应当及时签收另一方通过约定的送达方式送达至收件地址的来往文件。拒不签收的，由此增加的费用和（或）延误的工期由拒绝接收一方承担。</w:t>
      </w:r>
    </w:p>
    <w:p>
      <w:pPr>
        <w:spacing w:line="276" w:lineRule="auto"/>
        <w:jc w:val="left"/>
        <w:rPr>
          <w:rFonts w:asciiTheme="minorEastAsia" w:hAnsiTheme="minorEastAsia"/>
          <w:sz w:val="24"/>
        </w:rPr>
      </w:pPr>
      <w:r>
        <w:rPr>
          <w:rFonts w:hint="eastAsia" w:asciiTheme="minorEastAsia" w:hAnsiTheme="minorEastAsia" w:eastAsiaTheme="minorEastAsia"/>
          <w:sz w:val="24"/>
        </w:rPr>
        <w:t>1.7.4 对于工程师向承包人发出的任何通知，均应以书面形式由工程师或其代表签认后送交承包人实施，并抄送发包人；对于合同一方向另一方发出的任何通知，均应抄送工程师。对于由工程师审查后报发包人批准的事项，应由工程师向承包人出具经发包人签认的批准文件。</w:t>
      </w:r>
    </w:p>
    <w:p>
      <w:pPr>
        <w:spacing w:line="276" w:lineRule="auto"/>
        <w:jc w:val="left"/>
        <w:rPr>
          <w:rFonts w:asciiTheme="minorEastAsia" w:hAnsiTheme="minorEastAsia"/>
          <w:sz w:val="24"/>
        </w:rPr>
      </w:pPr>
      <w:r>
        <w:rPr>
          <w:rFonts w:hint="eastAsia" w:asciiTheme="minorEastAsia" w:hAnsiTheme="minorEastAsia" w:eastAsiaTheme="minorEastAsia"/>
          <w:sz w:val="24"/>
        </w:rPr>
        <w:t>1.8 严禁贿赂</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合同当事人不得以贿赂或变相贿赂的方式，谋取非法利益或损害对方权益。因一方合同当事人的贿赂造成对方损失的，应赔偿损失，并承担相应的法律责任。</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承包人不得与工程师或发包人聘请的第三方串通损害发包人利益。未经发包人书面同意，承包人不得为工程师提供合同约定以外的通讯设备、交通工具及其他任何形式的利益，不得向工程师支付报酬。</w:t>
      </w:r>
    </w:p>
    <w:p>
      <w:pPr>
        <w:spacing w:line="276" w:lineRule="auto"/>
        <w:jc w:val="left"/>
        <w:rPr>
          <w:rFonts w:asciiTheme="minorEastAsia" w:hAnsiTheme="minorEastAsia"/>
          <w:sz w:val="24"/>
        </w:rPr>
      </w:pPr>
      <w:r>
        <w:rPr>
          <w:rFonts w:hint="eastAsia" w:asciiTheme="minorEastAsia" w:hAnsiTheme="minorEastAsia" w:eastAsiaTheme="minorEastAsia"/>
          <w:sz w:val="24"/>
        </w:rPr>
        <w:t>1.9 化石、文物</w:t>
      </w:r>
    </w:p>
    <w:p>
      <w:pPr>
        <w:spacing w:line="276" w:lineRule="auto"/>
        <w:jc w:val="left"/>
        <w:rPr>
          <w:rFonts w:asciiTheme="minorEastAsia" w:hAnsiTheme="minorEastAsia"/>
          <w:sz w:val="24"/>
        </w:rPr>
      </w:pPr>
      <w:r>
        <w:rPr>
          <w:rFonts w:hint="eastAsia" w:asciiTheme="minorEastAsia" w:hAnsiTheme="minorEastAsia" w:eastAsiaTheme="minorEastAsia"/>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发包人、工程师和承包人应按有关政府行政管理部门要求采取妥善的保护措施，由此增加的费用和（或）延误的工期由发包人承担。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承包人发现文物后不及时报告或隐瞒不报，致使文物丢失或损坏的，应赔偿损失，并承担相应的法律责任。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1.10 知识产权 </w:t>
      </w:r>
    </w:p>
    <w:p>
      <w:pPr>
        <w:spacing w:line="276" w:lineRule="auto"/>
        <w:jc w:val="left"/>
        <w:rPr>
          <w:rFonts w:asciiTheme="minorEastAsia" w:hAnsiTheme="minorEastAsia"/>
          <w:sz w:val="24"/>
        </w:rPr>
      </w:pPr>
      <w:r>
        <w:rPr>
          <w:rFonts w:hint="eastAsia" w:asciiTheme="minorEastAsia" w:hAnsiTheme="minorEastAsia" w:eastAsiaTheme="minorEastAsia"/>
          <w:sz w:val="24"/>
        </w:rPr>
        <w:t>1.10.1 除专用合同条件另有约定外，由发包人（或以发包人名义）编制的《发包人要求》和其他文件，就合同当事人之间而言，其著作权和其他知识产权应归发包人所有。承包人可以为实现合同目的而复制、使用此类文件，但不能用于与合同无关的其他事项。未经发包人书面同意，承包人不得为了合同以外的目的而复制、使用上述文件或将之提供给任何第三方。</w:t>
      </w:r>
    </w:p>
    <w:p>
      <w:pPr>
        <w:spacing w:line="276" w:lineRule="auto"/>
        <w:jc w:val="left"/>
        <w:rPr>
          <w:rFonts w:asciiTheme="minorEastAsia" w:hAnsiTheme="minorEastAsia"/>
          <w:sz w:val="24"/>
        </w:rPr>
      </w:pPr>
      <w:r>
        <w:rPr>
          <w:rFonts w:hint="eastAsia" w:asciiTheme="minorEastAsia" w:hAnsiTheme="minorEastAsia" w:eastAsiaTheme="minorEastAsia"/>
          <w:sz w:val="24"/>
        </w:rPr>
        <w:t>1.10.2 除专用合同条件另有约定外，由承包人（或以承包人名义）为实施工程所编制的文件、承包人完成的设计工作成果和建造完成的建筑物，就合同当事人之间而言，其著作权和其他知识产权应归承包人享有。发包人可因实施工程的运行、调试、维修、改造等目的而复制、使用此类文件，但不能用于与合同无关的其他事项。未经承包人书面同意，发包人不得为了合同以外的目的而复制、使用上述文件或将之提供给任何第三方。</w:t>
      </w:r>
    </w:p>
    <w:p>
      <w:pPr>
        <w:spacing w:line="276" w:lineRule="auto"/>
        <w:jc w:val="left"/>
        <w:rPr>
          <w:rFonts w:asciiTheme="minorEastAsia" w:hAnsiTheme="minorEastAsia"/>
          <w:sz w:val="24"/>
        </w:rPr>
      </w:pPr>
      <w:r>
        <w:rPr>
          <w:rFonts w:hint="eastAsia" w:asciiTheme="minorEastAsia" w:hAnsiTheme="minorEastAsia" w:eastAsiaTheme="minorEastAsia"/>
          <w:sz w:val="24"/>
        </w:rPr>
        <w:t>1.10.3 合同当事人保证在履行合同过程中不侵犯对方及第三方的知识产权。承包人在工程设计、使用材料、施工设备、工程设备或采用施工工艺时，因侵犯他人的专利权或其他知识产权所引起的责任，由承包人承担；因发包人提供的材料、施工设备、工程设备或施工工艺导致侵权的，由发包人承担责任。</w:t>
      </w:r>
    </w:p>
    <w:p>
      <w:pPr>
        <w:spacing w:line="276" w:lineRule="auto"/>
        <w:jc w:val="left"/>
        <w:rPr>
          <w:rFonts w:asciiTheme="minorEastAsia" w:hAnsiTheme="minorEastAsia"/>
          <w:sz w:val="24"/>
        </w:rPr>
      </w:pPr>
      <w:r>
        <w:rPr>
          <w:rFonts w:hint="eastAsia" w:asciiTheme="minorEastAsia" w:hAnsiTheme="minorEastAsia" w:eastAsiaTheme="minorEastAsia"/>
          <w:sz w:val="24"/>
        </w:rPr>
        <w:t>1.10.4 除专用合同条件另有约定外，承包人在投标文件中采用的专利、专有技术、商业软件、技术秘密的使用费已包含在签约合同价中。</w:t>
      </w:r>
    </w:p>
    <w:p>
      <w:pPr>
        <w:spacing w:line="276" w:lineRule="auto"/>
        <w:jc w:val="left"/>
        <w:rPr>
          <w:rFonts w:asciiTheme="minorEastAsia" w:hAnsiTheme="minorEastAsia"/>
          <w:sz w:val="24"/>
        </w:rPr>
      </w:pPr>
      <w:r>
        <w:rPr>
          <w:rFonts w:hint="eastAsia" w:asciiTheme="minorEastAsia" w:hAnsiTheme="minorEastAsia" w:eastAsiaTheme="minorEastAsia"/>
          <w:sz w:val="24"/>
        </w:rPr>
        <w:t>1.10.5 合同当事人可就本合同涉及的合同一方、或合同双方（含一方或双方相关的专利商或第三方设计单位)的技术专利、建筑设计方案、专有技术、设计文件著作权等知识产权，订立知识产权及保密协议，作为本合同的组成部分。</w:t>
      </w:r>
    </w:p>
    <w:p>
      <w:pPr>
        <w:spacing w:line="276" w:lineRule="auto"/>
        <w:jc w:val="left"/>
        <w:rPr>
          <w:rFonts w:asciiTheme="minorEastAsia" w:hAnsiTheme="minorEastAsia"/>
          <w:sz w:val="24"/>
        </w:rPr>
      </w:pPr>
      <w:r>
        <w:rPr>
          <w:rFonts w:hint="eastAsia" w:asciiTheme="minorEastAsia" w:hAnsiTheme="minorEastAsia" w:eastAsiaTheme="minorEastAsia"/>
          <w:sz w:val="24"/>
        </w:rPr>
        <w:t>1.11 保密</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合同当事人一方对在订立和履行合同过程中知悉的另一方的商业秘密、技术秘密，以及任何一方明确要求保密的其它信息，负有保密责任。</w:t>
      </w:r>
    </w:p>
    <w:p>
      <w:pPr>
        <w:spacing w:line="276" w:lineRule="auto"/>
        <w:jc w:val="left"/>
        <w:rPr>
          <w:rFonts w:asciiTheme="minorEastAsia" w:hAnsiTheme="minorEastAsia"/>
          <w:sz w:val="24"/>
        </w:rPr>
      </w:pPr>
      <w:r>
        <w:rPr>
          <w:rFonts w:hint="eastAsia" w:asciiTheme="minorEastAsia" w:hAnsiTheme="minorEastAsia" w:eastAsiaTheme="minorEastAsia"/>
          <w:sz w:val="24"/>
        </w:rPr>
        <w:t>除法律规定或合同另有约定外，未经对方同意，任何一方当事人不得将对方提供的文件、技术秘密以及声明需要保密的资料信息等商业秘密泄露给第三方或者用于本合同以外的目的。</w:t>
      </w:r>
    </w:p>
    <w:p>
      <w:pPr>
        <w:spacing w:line="276" w:lineRule="auto"/>
        <w:jc w:val="left"/>
        <w:rPr>
          <w:rFonts w:asciiTheme="minorEastAsia" w:hAnsiTheme="minorEastAsia"/>
          <w:sz w:val="24"/>
        </w:rPr>
      </w:pPr>
      <w:r>
        <w:rPr>
          <w:rFonts w:hint="eastAsia" w:asciiTheme="minorEastAsia" w:hAnsiTheme="minorEastAsia" w:eastAsiaTheme="minorEastAsia"/>
          <w:sz w:val="24"/>
        </w:rPr>
        <w:t>一方泄露或者在本合同以外使用该商业秘密、技术秘密等保密信息给另一方造成损失的，应承担损害赔偿责任。当事人为履行合同所需要的信息，另一方应予以提供。当事人认为必要时，可订立保密协议，作为合同附件。</w:t>
      </w:r>
    </w:p>
    <w:p>
      <w:pPr>
        <w:spacing w:line="276" w:lineRule="auto"/>
        <w:jc w:val="left"/>
        <w:rPr>
          <w:rFonts w:asciiTheme="minorEastAsia" w:hAnsiTheme="minorEastAsia"/>
          <w:sz w:val="24"/>
        </w:rPr>
      </w:pPr>
      <w:r>
        <w:rPr>
          <w:rFonts w:hint="eastAsia" w:asciiTheme="minorEastAsia" w:hAnsiTheme="minorEastAsia" w:eastAsiaTheme="minorEastAsia"/>
          <w:sz w:val="24"/>
        </w:rPr>
        <w:t>1.12 《发包人要求》和基础资料中的错误</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承包人应尽早认真阅读、复核《发包人要求》以及其提供的基础资料，发现错误的，应及时书面通知发包人补正。发包人作相应修改的，按照第13条[变更与调整]的约定处理。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《发包人要求》或其提供的基础资料中的错误导致承包人增加费用和（或）工期延误的，发包人应承担由此增加的费用和（或）工期延误，并向承包人支付合理利润。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1.13 责任限制</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对发包人的赔偿责任不应超过专用合同条件约定的赔偿最高限额。若专用合同条件未约定，则承包人对发包人的赔偿责任不应超过签约合同价。但对于因欺诈、犯罪、故意、重大过失、人身伤害等不当行为造成的损失，赔偿的责任限度不受上述最高限额的限制。</w:t>
      </w:r>
    </w:p>
    <w:p>
      <w:pPr>
        <w:spacing w:line="276" w:lineRule="auto"/>
        <w:jc w:val="left"/>
        <w:rPr>
          <w:rFonts w:asciiTheme="minorEastAsia" w:hAnsiTheme="minorEastAsia"/>
          <w:sz w:val="24"/>
        </w:rPr>
      </w:pPr>
      <w:r>
        <w:rPr>
          <w:rFonts w:hint="eastAsia" w:asciiTheme="minorEastAsia" w:hAnsiTheme="minorEastAsia" w:eastAsiaTheme="minorEastAsia"/>
          <w:sz w:val="24"/>
        </w:rPr>
        <w:t>1.14 建筑信息模型技术的应用</w:t>
      </w:r>
    </w:p>
    <w:p>
      <w:pPr>
        <w:spacing w:line="276" w:lineRule="auto"/>
        <w:jc w:val="left"/>
        <w:rPr>
          <w:rFonts w:asciiTheme="minorEastAsia" w:hAnsiTheme="minorEastAsia"/>
          <w:sz w:val="24"/>
        </w:rPr>
      </w:pPr>
      <w:r>
        <w:rPr>
          <w:rFonts w:hint="eastAsia" w:asciiTheme="minorEastAsia" w:hAnsiTheme="minorEastAsia" w:eastAsiaTheme="minorEastAsia"/>
          <w:sz w:val="24"/>
        </w:rPr>
        <w:t>如果项目中拟采用建筑信息模型技术，合同双方应遵守国家现行相关标准的规定，并符合项目所在地的相关地方标准或指南。合同双方应在专用合同条件中就建筑信息模型的开发、使用、存储、传输、交付及费用等相关内容进行约定。除专用合同条件另有约定外，承包人应负责与本项目中其他使用方协商。</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第2条 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2.1 遵守法律</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在履行合同过程中应遵守法律，并承担因发包人违反法律给承包人造成的任何费用和损失。发包人不得以任何理由，要求承包人在工程实施过程中违反法律、行政法规以及建设工程质量、安全、环保标准，任意压缩合理工期或者降低工程质量。</w:t>
      </w:r>
    </w:p>
    <w:p>
      <w:pPr>
        <w:spacing w:line="276" w:lineRule="auto"/>
        <w:jc w:val="left"/>
        <w:rPr>
          <w:rFonts w:asciiTheme="minorEastAsia" w:hAnsiTheme="minorEastAsia"/>
          <w:sz w:val="24"/>
        </w:rPr>
      </w:pPr>
      <w:r>
        <w:rPr>
          <w:rFonts w:hint="eastAsia" w:asciiTheme="minorEastAsia" w:hAnsiTheme="minorEastAsia" w:eastAsiaTheme="minorEastAsia"/>
          <w:sz w:val="24"/>
        </w:rPr>
        <w:t>2.2 提供施工现场和工作条件</w:t>
      </w:r>
    </w:p>
    <w:p>
      <w:pPr>
        <w:spacing w:line="276" w:lineRule="auto"/>
        <w:jc w:val="left"/>
        <w:rPr>
          <w:rFonts w:asciiTheme="minorEastAsia" w:hAnsiTheme="minorEastAsia"/>
          <w:sz w:val="24"/>
        </w:rPr>
      </w:pPr>
      <w:r>
        <w:rPr>
          <w:rFonts w:hint="eastAsia" w:asciiTheme="minorEastAsia" w:hAnsiTheme="minorEastAsia" w:eastAsiaTheme="minorEastAsia"/>
          <w:sz w:val="24"/>
        </w:rPr>
        <w:t>2.2.1 提供施工现场</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按专用合同条件约定向承包人移交施工现场，给承包人进入和占用施工现场各部分的权利，并明确与承包人的交接界面，上述进入和占用权可不为承包人独享。如专用合同条件没有约定移交时间的，则发包人应最迟于计划开始现场施工日期7天前向承包人移交施工现场，但承包人未能按照第4.2款[履约担保]提供履约担保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2.2.2 提供工作条件</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发包人应按专用合同条件约定向承包人提供工作条件。专用合同条件对此没有约定的，发包人应负责提供开展本合同相关工作所需要的条件，包括：</w:t>
      </w:r>
    </w:p>
    <w:p>
      <w:pPr>
        <w:spacing w:line="276" w:lineRule="auto"/>
        <w:jc w:val="left"/>
        <w:rPr>
          <w:rFonts w:asciiTheme="minorEastAsia" w:hAnsiTheme="minorEastAsia"/>
          <w:sz w:val="24"/>
        </w:rPr>
      </w:pPr>
      <w:r>
        <w:rPr>
          <w:rFonts w:hint="eastAsia" w:asciiTheme="minorEastAsia" w:hAnsiTheme="minorEastAsia" w:eastAsiaTheme="minorEastAsia"/>
          <w:sz w:val="24"/>
        </w:rPr>
        <w:t>（1） 将施工用水、电力、通讯线路等施工所必需的条件接至施工现场内；</w:t>
      </w:r>
    </w:p>
    <w:p>
      <w:pPr>
        <w:spacing w:line="276" w:lineRule="auto"/>
        <w:jc w:val="left"/>
        <w:rPr>
          <w:rFonts w:asciiTheme="minorEastAsia" w:hAnsiTheme="minorEastAsia"/>
          <w:sz w:val="24"/>
        </w:rPr>
      </w:pPr>
      <w:r>
        <w:rPr>
          <w:rFonts w:hint="eastAsia" w:asciiTheme="minorEastAsia" w:hAnsiTheme="minorEastAsia" w:eastAsiaTheme="minorEastAsia"/>
          <w:sz w:val="24"/>
        </w:rPr>
        <w:t>（2） 保证向承包人提供正常施工所需要的进入施工现场的交通条件；</w:t>
      </w:r>
    </w:p>
    <w:p>
      <w:pPr>
        <w:spacing w:line="276" w:lineRule="auto"/>
        <w:jc w:val="left"/>
        <w:rPr>
          <w:rFonts w:asciiTheme="minorEastAsia" w:hAnsiTheme="minorEastAsia"/>
          <w:sz w:val="24"/>
        </w:rPr>
      </w:pPr>
      <w:r>
        <w:rPr>
          <w:rFonts w:hint="eastAsia" w:asciiTheme="minorEastAsia" w:hAnsiTheme="minorEastAsia" w:eastAsiaTheme="minorEastAsia"/>
          <w:sz w:val="24"/>
        </w:rPr>
        <w:t>（3） 协调处理施工现场周围地下管线和邻近建筑物、构筑物、古树名木、文物、化石及坟墓等的保护工作，并承担相关费用；</w:t>
      </w:r>
    </w:p>
    <w:p>
      <w:pPr>
        <w:spacing w:line="276" w:lineRule="auto"/>
        <w:jc w:val="left"/>
        <w:rPr>
          <w:rFonts w:asciiTheme="minorEastAsia" w:hAnsiTheme="minorEastAsia"/>
          <w:sz w:val="24"/>
        </w:rPr>
      </w:pPr>
      <w:r>
        <w:rPr>
          <w:rFonts w:hint="eastAsia" w:asciiTheme="minorEastAsia" w:hAnsiTheme="minorEastAsia" w:eastAsiaTheme="minorEastAsia"/>
          <w:sz w:val="24"/>
        </w:rPr>
        <w:t>（4） 对工程现场临近发包人正在使用、运行、或由发包人用于生产的建筑物、构筑物、生产装置、设施、设备等，设置隔离设施，竖立禁止入内、禁止动火的明显标志， 并以书面形式通知承包人须遵守的安全规定和位置范围；</w:t>
      </w:r>
    </w:p>
    <w:p>
      <w:pPr>
        <w:spacing w:line="276" w:lineRule="auto"/>
        <w:jc w:val="left"/>
        <w:rPr>
          <w:rFonts w:asciiTheme="minorEastAsia" w:hAnsiTheme="minorEastAsia"/>
          <w:sz w:val="24"/>
        </w:rPr>
      </w:pPr>
      <w:r>
        <w:rPr>
          <w:rFonts w:hint="eastAsia" w:asciiTheme="minorEastAsia" w:hAnsiTheme="minorEastAsia" w:eastAsiaTheme="minorEastAsia"/>
          <w:sz w:val="24"/>
        </w:rPr>
        <w:t>（5） 按照专用合同条件约定应提供的其他设施和条件。</w:t>
      </w:r>
    </w:p>
    <w:p>
      <w:pPr>
        <w:spacing w:line="276" w:lineRule="auto"/>
        <w:jc w:val="left"/>
        <w:rPr>
          <w:rFonts w:asciiTheme="minorEastAsia" w:hAnsiTheme="minorEastAsia"/>
          <w:sz w:val="24"/>
        </w:rPr>
      </w:pPr>
      <w:r>
        <w:rPr>
          <w:rFonts w:hint="eastAsia" w:asciiTheme="minorEastAsia" w:hAnsiTheme="minorEastAsia" w:eastAsiaTheme="minorEastAsia"/>
          <w:sz w:val="24"/>
        </w:rPr>
        <w:t>2.2.3 逾期提供的责任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因发包人原因未能按合同约定及时向承包人提供施工现场和施工条件的，由发包人承担由此增加的费用和（或）延误的工期。</w:t>
      </w:r>
    </w:p>
    <w:p>
      <w:pPr>
        <w:spacing w:line="276" w:lineRule="auto"/>
        <w:jc w:val="left"/>
        <w:rPr>
          <w:rFonts w:asciiTheme="minorEastAsia" w:hAnsiTheme="minorEastAsia"/>
          <w:sz w:val="24"/>
        </w:rPr>
      </w:pPr>
      <w:r>
        <w:rPr>
          <w:rFonts w:hint="eastAsia" w:asciiTheme="minorEastAsia" w:hAnsiTheme="minorEastAsia" w:eastAsiaTheme="minorEastAsia"/>
          <w:sz w:val="24"/>
        </w:rPr>
        <w:t>2.3 提供基础资料</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按专用合同条件和《发包人要求》中的约定向承包人提供施工现场及工程实施所必需的毗邻区域内的供水、排水、供电、供气、供热、通信、广播电视等地上、地下管线和设施资料，气象和水文观测资料，地质勘察资料，相邻建筑物、构筑物和地下工程等有关基础资料，并根据第1.12款[《发包人要求》和基础资料中的错误]承担基础资料错误造成的责任。按照法律规定确需在开工后方能提供的基础资料，发包人应尽其努力及时地在相应工程实施前的合理期限内提供，合理期限应以不影响承包人的正常履约为限。因发包人原因未能在合理期限内提供相应基础资料的，由发包人承担由此增加的费用和延误的工期。</w:t>
      </w:r>
    </w:p>
    <w:p>
      <w:pPr>
        <w:spacing w:line="276" w:lineRule="auto"/>
        <w:jc w:val="left"/>
        <w:rPr>
          <w:rFonts w:asciiTheme="minorEastAsia" w:hAnsiTheme="minorEastAsia"/>
          <w:sz w:val="24"/>
        </w:rPr>
      </w:pPr>
      <w:r>
        <w:rPr>
          <w:rFonts w:hint="eastAsia" w:asciiTheme="minorEastAsia" w:hAnsiTheme="minorEastAsia" w:eastAsiaTheme="minorEastAsia"/>
          <w:sz w:val="24"/>
        </w:rPr>
        <w:t>2.4 办理许可和批准</w:t>
      </w:r>
    </w:p>
    <w:p>
      <w:pPr>
        <w:spacing w:line="276" w:lineRule="auto"/>
        <w:jc w:val="left"/>
        <w:rPr>
          <w:rFonts w:asciiTheme="minorEastAsia" w:hAnsiTheme="minorEastAsia"/>
          <w:sz w:val="24"/>
        </w:rPr>
      </w:pPr>
      <w:r>
        <w:rPr>
          <w:rFonts w:hint="eastAsia" w:asciiTheme="minorEastAsia" w:hAnsiTheme="minorEastAsia" w:eastAsiaTheme="minorEastAsia"/>
          <w:sz w:val="24"/>
        </w:rPr>
        <w:t>2.4.1 发包人在履行合同过程中应遵守法律，并办理法律规定或合同约定由其办理的许可、批准或备案，包括但不限于建设用地规划许可证、建设工程规划许可证、建设工程施工许可证等许可和批准。对于法律规定或合同约定由承包人负责的有关设计、施工证件、批件或备案，发包人应给予必要的协助。</w:t>
      </w:r>
    </w:p>
    <w:p>
      <w:pPr>
        <w:spacing w:line="276" w:lineRule="auto"/>
        <w:jc w:val="left"/>
        <w:rPr>
          <w:rFonts w:asciiTheme="minorEastAsia" w:hAnsiTheme="minorEastAsia"/>
          <w:sz w:val="24"/>
        </w:rPr>
      </w:pPr>
      <w:r>
        <w:rPr>
          <w:rFonts w:hint="eastAsia" w:asciiTheme="minorEastAsia" w:hAnsiTheme="minorEastAsia" w:eastAsiaTheme="minorEastAsia"/>
          <w:sz w:val="24"/>
        </w:rPr>
        <w:t>2.4.2 因发包人原因未能及时办理完毕前述许可、批准或备案，由发包人承担由此增加的费用和（或）延误的工期，并支付承包人合理的利润。</w:t>
      </w:r>
    </w:p>
    <w:p>
      <w:pPr>
        <w:spacing w:line="276" w:lineRule="auto"/>
        <w:jc w:val="left"/>
        <w:rPr>
          <w:rFonts w:asciiTheme="minorEastAsia" w:hAnsiTheme="minorEastAsia"/>
          <w:sz w:val="24"/>
        </w:rPr>
      </w:pPr>
      <w:r>
        <w:rPr>
          <w:rFonts w:hint="eastAsia" w:asciiTheme="minorEastAsia" w:hAnsiTheme="minorEastAsia" w:eastAsiaTheme="minorEastAsia"/>
          <w:sz w:val="24"/>
        </w:rPr>
        <w:t>2.5 支付合同价款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2.5.1 发包人应按合同约定向承包人及时支付合同价款。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2.5.2 发包人应当制定资金安排计划，除专用合同条件另有约定外，如发包人拟对资金安排做任何重要变更，应将变更的详细情况通知承包人。如发生承包人收到价格大于签约合同价10%的变更指示或累计变更的总价超过签约合同价30%；或承包人未能根据第14条[合同价格与支付]收到付款，或承包人得知发包人的资金安排发生重要变更但并未收到发包人上述重要变更通知的情况，则承包人可随时要求发包人在28天内补充提供能够按照合同约定支付合同价款的相应资金来源证明。</w:t>
      </w:r>
    </w:p>
    <w:p>
      <w:pPr>
        <w:spacing w:line="276" w:lineRule="auto"/>
        <w:jc w:val="left"/>
        <w:rPr>
          <w:rFonts w:asciiTheme="minorEastAsia" w:hAnsiTheme="minorEastAsia"/>
          <w:sz w:val="24"/>
        </w:rPr>
      </w:pPr>
      <w:r>
        <w:rPr>
          <w:rFonts w:hint="eastAsia" w:asciiTheme="minorEastAsia" w:hAnsiTheme="minorEastAsia" w:eastAsiaTheme="minorEastAsia"/>
          <w:sz w:val="24"/>
        </w:rPr>
        <w:t>2.5.3 发包人应当向承包人提供支付担保。支付担保可以采用银行保函或担保公司担保等形式，具体由合同当事人在专用合同条件中约定。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2.6 现场管理配合</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发包人应负责保证在现场或现场附近的发包人人员和发包人的其他承包人（如有）：</w:t>
      </w:r>
    </w:p>
    <w:p>
      <w:pPr>
        <w:spacing w:line="276" w:lineRule="auto"/>
        <w:jc w:val="left"/>
        <w:rPr>
          <w:rFonts w:asciiTheme="minorEastAsia" w:hAnsiTheme="minorEastAsia"/>
          <w:sz w:val="24"/>
        </w:rPr>
      </w:pPr>
      <w:r>
        <w:rPr>
          <w:rFonts w:hint="eastAsia" w:asciiTheme="minorEastAsia" w:hAnsiTheme="minorEastAsia" w:eastAsiaTheme="minorEastAsia"/>
          <w:sz w:val="24"/>
        </w:rPr>
        <w:t>（1） 根据第7.3款[现场合作]的约定，与承包人进行合作；</w:t>
      </w:r>
    </w:p>
    <w:p>
      <w:pPr>
        <w:spacing w:line="276" w:lineRule="auto"/>
        <w:jc w:val="left"/>
        <w:rPr>
          <w:rFonts w:asciiTheme="minorEastAsia" w:hAnsiTheme="minorEastAsia"/>
          <w:sz w:val="24"/>
        </w:rPr>
      </w:pPr>
      <w:r>
        <w:rPr>
          <w:rFonts w:hint="eastAsia" w:asciiTheme="minorEastAsia" w:hAnsiTheme="minorEastAsia" w:eastAsiaTheme="minorEastAsia"/>
          <w:sz w:val="24"/>
        </w:rPr>
        <w:t>（2） 遵守第7.5款[现场劳动用工]、第7.6款[安全文明施工]、第7.7款[职业健康]和第7.8款[环境保护]的相关约定。</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发包人应与承包人、由发包人直接发包的其他承包人（如有）订立施工现场统一管理协议，明确各方的权利义务。</w:t>
      </w:r>
    </w:p>
    <w:p>
      <w:pPr>
        <w:spacing w:line="276" w:lineRule="auto"/>
        <w:jc w:val="left"/>
        <w:rPr>
          <w:rFonts w:asciiTheme="minorEastAsia" w:hAnsiTheme="minorEastAsia"/>
          <w:sz w:val="24"/>
        </w:rPr>
      </w:pPr>
      <w:r>
        <w:rPr>
          <w:rFonts w:hint="eastAsia" w:asciiTheme="minorEastAsia" w:hAnsiTheme="minorEastAsia" w:eastAsiaTheme="minorEastAsia"/>
          <w:sz w:val="24"/>
        </w:rPr>
        <w:t>2.7 其他义务</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发包人应履行合同约定的其他义务，双方可在专用合同条件内对发包人应履行的其他义务进行补充约定。</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第3条 发包人的管理</w:t>
      </w:r>
    </w:p>
    <w:p>
      <w:pPr>
        <w:spacing w:line="276" w:lineRule="auto"/>
        <w:jc w:val="left"/>
        <w:rPr>
          <w:rFonts w:asciiTheme="minorEastAsia" w:hAnsiTheme="minorEastAsia"/>
          <w:sz w:val="24"/>
        </w:rPr>
      </w:pPr>
      <w:r>
        <w:rPr>
          <w:rFonts w:hint="eastAsia" w:asciiTheme="minorEastAsia" w:hAnsiTheme="minorEastAsia" w:eastAsiaTheme="minorEastAsia"/>
          <w:sz w:val="24"/>
        </w:rPr>
        <w:t>3.1 发包人代表</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任命发包人代表，并在专用合同条件中明确发包人代表的姓名、职务、联系方式及授权范围等事项。发包人代表应在发包人的授权范围内，负责处理合同履行过程中与发包人有关的具体事宜。发包人代表在授权范围内的行为由发包人承担法律责任。</w:t>
      </w:r>
    </w:p>
    <w:p>
      <w:pPr>
        <w:spacing w:line="276" w:lineRule="auto"/>
        <w:jc w:val="left"/>
        <w:rPr>
          <w:rFonts w:asciiTheme="minorEastAsia" w:hAnsiTheme="minorEastAsia"/>
          <w:sz w:val="24"/>
        </w:rPr>
      </w:pPr>
      <w:r>
        <w:rPr>
          <w:rFonts w:hint="eastAsia" w:asciiTheme="minorEastAsia" w:hAnsiTheme="minorEastAsia" w:eastAsiaTheme="minorEastAsia"/>
          <w:sz w:val="24"/>
        </w:rPr>
        <w:t>除非发包人另行通知承包人，发包人代表应被授予并且被认为具有发包人在授权范围内享有的相应权利，涉及第16.1款[由发包人解除合同]的权利除外。</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发包人代表（或者在其为法人的情况下，被任命代表其行事的自然人）应：</w:t>
      </w:r>
    </w:p>
    <w:p>
      <w:pPr>
        <w:spacing w:line="276" w:lineRule="auto"/>
        <w:jc w:val="left"/>
        <w:rPr>
          <w:rFonts w:asciiTheme="minorEastAsia" w:hAnsiTheme="minorEastAsia"/>
          <w:sz w:val="24"/>
        </w:rPr>
      </w:pPr>
      <w:r>
        <w:rPr>
          <w:rFonts w:hint="eastAsia" w:asciiTheme="minorEastAsia" w:hAnsiTheme="minorEastAsia" w:eastAsiaTheme="minorEastAsia"/>
          <w:sz w:val="24"/>
        </w:rPr>
        <w:t>（1） 履行指派给其的职责，行使发包人托付给的权利；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（2） 具备履行这些职责、行使这些权利的能力；</w:t>
      </w:r>
    </w:p>
    <w:p>
      <w:pPr>
        <w:spacing w:line="276" w:lineRule="auto"/>
        <w:jc w:val="left"/>
        <w:rPr>
          <w:rFonts w:asciiTheme="minorEastAsia" w:hAnsiTheme="minorEastAsia"/>
          <w:sz w:val="24"/>
        </w:rPr>
      </w:pPr>
      <w:r>
        <w:rPr>
          <w:rFonts w:hint="eastAsia" w:asciiTheme="minorEastAsia" w:hAnsiTheme="minorEastAsia" w:eastAsiaTheme="minorEastAsia"/>
          <w:sz w:val="24"/>
        </w:rPr>
        <w:t>（3） 作为熟练的专业人员行事。</w:t>
      </w:r>
    </w:p>
    <w:p>
      <w:pPr>
        <w:spacing w:line="276" w:lineRule="auto"/>
        <w:jc w:val="left"/>
        <w:rPr>
          <w:rFonts w:asciiTheme="minorEastAsia" w:hAnsiTheme="minorEastAsia"/>
          <w:sz w:val="24"/>
        </w:rPr>
      </w:pPr>
      <w:r>
        <w:rPr>
          <w:rFonts w:hint="eastAsia" w:asciiTheme="minorEastAsia" w:hAnsiTheme="minorEastAsia" w:eastAsiaTheme="minorEastAsia"/>
          <w:sz w:val="24"/>
        </w:rPr>
        <w:t>如果发包人代表为法人且在签订本合同时未能确定授权代表的，发包人代表应在本合同签订之日起3日内向双方发出书面通知，告知被任命和授权的自然人以及任何替代人员。此授权在双方收到本通知后生效。发包人代表撤销该授权或者变更授权代表时也应同样发出该通知。</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更换发包人代表的，应提前14天将更换人的姓名、地址、任务和权利、以及任命的日期书面通知承包人。发包人不得将发包人代表更换为承包人根据本款发出通知提出合理反对意见的人员，不论是法人还是自然人。</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发包人代表不能按照合同约定履行其职责及义务，并导致合同无法继续正常履行的，承包人可以要求发包人撤换发包人代表。</w:t>
      </w:r>
    </w:p>
    <w:p>
      <w:pPr>
        <w:spacing w:line="276" w:lineRule="auto"/>
        <w:jc w:val="left"/>
        <w:rPr>
          <w:rFonts w:asciiTheme="minorEastAsia" w:hAnsiTheme="minorEastAsia"/>
          <w:sz w:val="24"/>
        </w:rPr>
      </w:pPr>
      <w:r>
        <w:rPr>
          <w:rFonts w:hint="eastAsia" w:asciiTheme="minorEastAsia" w:hAnsiTheme="minorEastAsia" w:eastAsiaTheme="minorEastAsia"/>
          <w:sz w:val="24"/>
        </w:rPr>
        <w:t>3.2 发包人人员</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人员包括发包人代表、工程师及其他由发包人派驻施工现场的人员，发包人可以在专用合同条件中明确发包人人员的姓名、职务及职责等事项。发包人或发包人代表可随时对一些助手指派和托付一定的任务和权利，也可撤销这些指派和托付。这些助手可包括驻地工程师或担任检验、试验各项工程设备和材料的独立检查员。这些助手应具有适当的资质、履行其任务和权利的能力。以上指派、托付或撤销，在承包人收到通知后生效。承包人对于可能影响正常履约或工程安全质量的发包人人员保有随时提出沟通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发包人应要求在施工现场的发包人人员遵守法律及有关安全、质量、环境保护、文明施工等规定，因发包人人员未遵守上述要求给承包人造成的损失和责任由发包人承担。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3.3 工程师 </w:t>
      </w:r>
    </w:p>
    <w:p>
      <w:pPr>
        <w:spacing w:line="276" w:lineRule="auto"/>
        <w:jc w:val="left"/>
        <w:rPr>
          <w:rFonts w:asciiTheme="minorEastAsia" w:hAnsiTheme="minorEastAsia"/>
          <w:sz w:val="24"/>
        </w:rPr>
      </w:pPr>
      <w:r>
        <w:rPr>
          <w:rFonts w:hint="eastAsia" w:asciiTheme="minorEastAsia" w:hAnsiTheme="minorEastAsia" w:eastAsiaTheme="minorEastAsia"/>
          <w:sz w:val="24"/>
        </w:rPr>
        <w:t>3.3.1 发包人需对承包人的设计、采购、施工、服务等工作过程或过程节点实施监督管理的，有权委任工程师。工程师的名称、监督管理范围、内容和权限在专用合同条件中写明。根据国家相关法律法规规定，如本合同工程属于强制监理项目的，由工程师履行法定的监理相关职责，但发包人另行授权第三方进行监理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3.3.2 工程师按发包人委托的范围、内容、职权和权限，代表发包人对承包人实施监督管理。若承包人认为工程师行使的职权不在发包人委托的授权范围之内的，则其有权拒绝执行工程师的相关指示，同时应及时通知发包人，发包人书面确认工程师相关指示的，承包人应遵照执行。</w:t>
      </w:r>
    </w:p>
    <w:p>
      <w:pPr>
        <w:spacing w:line="276" w:lineRule="auto"/>
        <w:jc w:val="left"/>
        <w:rPr>
          <w:rFonts w:asciiTheme="minorEastAsia" w:hAnsiTheme="minorEastAsia"/>
          <w:sz w:val="24"/>
        </w:rPr>
      </w:pPr>
      <w:r>
        <w:rPr>
          <w:rFonts w:hint="eastAsia" w:asciiTheme="minorEastAsia" w:hAnsiTheme="minorEastAsia" w:eastAsiaTheme="minorEastAsia"/>
          <w:sz w:val="24"/>
        </w:rPr>
        <w:t>3.3.3 在发包人和承包人之间提供证明、行使决定权或处理权时，工程师应作为独立专业的第三方，根据自己的专业技能和判断进行工作。但工程师或其人员均无权修改合同，且无权减轻或免除合同当事人的任何责任与义务。</w:t>
      </w:r>
    </w:p>
    <w:p>
      <w:pPr>
        <w:spacing w:line="276" w:lineRule="auto"/>
        <w:jc w:val="left"/>
        <w:rPr>
          <w:rFonts w:asciiTheme="minorEastAsia" w:hAnsiTheme="minorEastAsia"/>
          <w:sz w:val="24"/>
        </w:rPr>
      </w:pPr>
      <w:r>
        <w:rPr>
          <w:rFonts w:hint="eastAsia" w:asciiTheme="minorEastAsia" w:hAnsiTheme="minorEastAsia" w:eastAsiaTheme="minorEastAsia"/>
          <w:sz w:val="24"/>
        </w:rPr>
        <w:t>3.3.4 通用合同条件中约定由工程师行使的职权如不在发包人对工程师的授权范围内的，则视为没有取得授权，该职权应由发包人或发包人指定的其他人员行使。若承包人认为工程师的职权与发包人（包括其人员）的职权相重叠或不明确时，应及时通知发包人，由发包人予以协调和明确并以书面形式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3.4 任命和授权</w:t>
      </w:r>
    </w:p>
    <w:p>
      <w:pPr>
        <w:spacing w:line="276" w:lineRule="auto"/>
        <w:jc w:val="left"/>
        <w:rPr>
          <w:rFonts w:asciiTheme="minorEastAsia" w:hAnsiTheme="minorEastAsia"/>
          <w:sz w:val="24"/>
        </w:rPr>
      </w:pPr>
      <w:r>
        <w:rPr>
          <w:rFonts w:hint="eastAsia" w:asciiTheme="minorEastAsia" w:hAnsiTheme="minorEastAsia" w:eastAsiaTheme="minorEastAsia"/>
          <w:sz w:val="24"/>
        </w:rPr>
        <w:t>3.4.1 发包人应在发出开始工作通知前将工程师的任命通知承包人。更换工程师的，发包人应提前7天以书面形式通知承包人，并在通知中写明替换者的姓名、职务、职权、权限和任命时间。工程师超过2天不能履行职责的，应委派代表代行其职责，并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3.4.2 工程师可以授权其他人员负责执行其指派的一项或多项工作，但第3.6款[商定或确定]下的权利除外。工程师应将被授权人员的姓名及其授权范围通知承包人。被授权的人员在授权范围内发出的指示视为已得到工程师的同意，与工程师发出的指示具有同等效力。工程师撤销某项授权时，应将撤销授权的决定及时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3.5 指示</w:t>
      </w:r>
    </w:p>
    <w:p>
      <w:pPr>
        <w:spacing w:line="276" w:lineRule="auto"/>
        <w:jc w:val="left"/>
        <w:rPr>
          <w:rFonts w:asciiTheme="minorEastAsia" w:hAnsiTheme="minorEastAsia"/>
          <w:sz w:val="24"/>
        </w:rPr>
      </w:pPr>
      <w:r>
        <w:rPr>
          <w:rFonts w:hint="eastAsia" w:asciiTheme="minorEastAsia" w:hAnsiTheme="minorEastAsia" w:eastAsiaTheme="minorEastAsia"/>
          <w:sz w:val="24"/>
        </w:rPr>
        <w:t>3.5.1 工程师应按照发包人的授权发出指示。工程师的指示应采用书面形式，盖有工程师授权的项目管理机构章，并由工程师的授权人员签字。在紧急情况下，工程师的授权人员可以口头形式发出指示或当场签发临时书面指示，承包人应遵照执行。工程师应在授权人员发出口头指示或临时书面指示后24小时内发出书面确认函，在24小时内未发出书面确认函的，该口头指示或临时书面指示应被视为工程师的正式指示。</w:t>
      </w:r>
    </w:p>
    <w:p>
      <w:pPr>
        <w:spacing w:line="276" w:lineRule="auto"/>
        <w:jc w:val="left"/>
        <w:rPr>
          <w:rFonts w:asciiTheme="minorEastAsia" w:hAnsiTheme="minorEastAsia"/>
          <w:sz w:val="24"/>
        </w:rPr>
      </w:pPr>
      <w:r>
        <w:rPr>
          <w:rFonts w:hint="eastAsia" w:asciiTheme="minorEastAsia" w:hAnsiTheme="minorEastAsia" w:eastAsiaTheme="minorEastAsia"/>
          <w:sz w:val="24"/>
        </w:rPr>
        <w:t>3.5.2 承包人收到工程师作出的指示后应遵照执行。如果任何此类指示构成一项变更时，应按照第13条[变更与调整]的约定办理。</w:t>
      </w:r>
    </w:p>
    <w:p>
      <w:pPr>
        <w:spacing w:line="276" w:lineRule="auto"/>
        <w:jc w:val="left"/>
        <w:rPr>
          <w:rFonts w:asciiTheme="minorEastAsia" w:hAnsiTheme="minorEastAsia"/>
          <w:sz w:val="24"/>
        </w:rPr>
      </w:pPr>
      <w:r>
        <w:rPr>
          <w:rFonts w:hint="eastAsia" w:asciiTheme="minorEastAsia" w:hAnsiTheme="minorEastAsia" w:eastAsiaTheme="minorEastAsia"/>
          <w:sz w:val="24"/>
        </w:rPr>
        <w:t>3.5.3 由于工程师未能按合同约定发出指示、指示延误或指示错误而导致承包人费用增加和（或）工期延误的，发包人应承担由此增加的费用和（或）工期延误，并向承包人支付合理利润。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3.6 商定或确定</w:t>
      </w:r>
    </w:p>
    <w:p>
      <w:pPr>
        <w:spacing w:line="276" w:lineRule="auto"/>
        <w:jc w:val="left"/>
        <w:rPr>
          <w:rFonts w:asciiTheme="minorEastAsia" w:hAnsiTheme="minorEastAsia"/>
          <w:sz w:val="24"/>
        </w:rPr>
      </w:pPr>
      <w:r>
        <w:rPr>
          <w:rFonts w:hint="eastAsia" w:asciiTheme="minorEastAsia" w:hAnsiTheme="minorEastAsia" w:eastAsiaTheme="minorEastAsia"/>
          <w:sz w:val="24"/>
        </w:rPr>
        <w:t>3.6.1 合同约定工程师应按照本款对任何事项进行商定或确定时，工程师应及时与合同当事人协商，尽量达成一致。工程师应将商定的结果以书面形式通知发包人和承包人，并由双方签署确认。</w:t>
      </w:r>
    </w:p>
    <w:p>
      <w:pPr>
        <w:spacing w:line="276" w:lineRule="auto"/>
        <w:jc w:val="left"/>
        <w:rPr>
          <w:rFonts w:asciiTheme="minorEastAsia" w:hAnsiTheme="minorEastAsia"/>
          <w:sz w:val="24"/>
        </w:rPr>
      </w:pPr>
      <w:r>
        <w:rPr>
          <w:rFonts w:hint="eastAsia" w:asciiTheme="minorEastAsia" w:hAnsiTheme="minorEastAsia" w:eastAsiaTheme="minorEastAsia"/>
          <w:sz w:val="24"/>
        </w:rPr>
        <w:t>3.6.2 除专用合同条件另有约定外，商定的期限应为工程师收到任何一方就商定事由发出的通知后42天内或工程师提出并经双方同意的其他期限。未能在该期限内达成一致的，由工程师按照合同约定审慎做出公正的确定。确定的期限应为商定的期限届满后42天内或工程师提出并经双方同意的其他期限。工程师应将确定的结果以书面形式通知发包人和承包人，并附详细依据。</w:t>
      </w:r>
    </w:p>
    <w:p>
      <w:pPr>
        <w:spacing w:line="276" w:lineRule="auto"/>
        <w:jc w:val="left"/>
        <w:rPr>
          <w:rFonts w:asciiTheme="minorEastAsia" w:hAnsiTheme="minorEastAsia"/>
          <w:sz w:val="24"/>
        </w:rPr>
      </w:pPr>
      <w:r>
        <w:rPr>
          <w:rFonts w:hint="eastAsia" w:asciiTheme="minorEastAsia" w:hAnsiTheme="minorEastAsia" w:eastAsiaTheme="minorEastAsia"/>
          <w:sz w:val="24"/>
        </w:rPr>
        <w:t>3.6.3 任何一方对工程师的确定有异议的，应在收到确定的结果后28天内向另一方发出书面异议通知并抄送工程师。除第19.2款[承包人索赔的处理程序]另有约定外，工程师未能在确定的期限内发出确定的结果通知的，或者任何一方发出对确定的结果有异议的通知的，则构成争议并应按照第20条[争议解决]的约定处理。如未在28天内发出上述通知的，工程师的确定应被视为已被双方接受并对双方具有约束力，但专用合同条件另有约定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3.6.4 在该争议解决前，双方应暂按工程师的确定执行。按照第20条[争议解决]的约定对工程师的确定作出修改的，按修改后的结果执行，由此导致承包人增加的费用和延误的工期由责任方承担。</w:t>
      </w:r>
    </w:p>
    <w:p>
      <w:pPr>
        <w:spacing w:line="276" w:lineRule="auto"/>
        <w:jc w:val="left"/>
        <w:rPr>
          <w:rFonts w:asciiTheme="minorEastAsia" w:hAnsiTheme="minorEastAsia"/>
          <w:sz w:val="24"/>
        </w:rPr>
      </w:pPr>
      <w:r>
        <w:rPr>
          <w:rFonts w:hint="eastAsia" w:asciiTheme="minorEastAsia" w:hAnsiTheme="minorEastAsia" w:eastAsiaTheme="minorEastAsia"/>
          <w:sz w:val="24"/>
        </w:rPr>
        <w:t>3.7 会议</w:t>
      </w:r>
    </w:p>
    <w:p>
      <w:pPr>
        <w:spacing w:line="276" w:lineRule="auto"/>
        <w:jc w:val="left"/>
        <w:rPr>
          <w:rFonts w:asciiTheme="minorEastAsia" w:hAnsiTheme="minorEastAsia"/>
          <w:sz w:val="24"/>
        </w:rPr>
      </w:pPr>
      <w:r>
        <w:rPr>
          <w:rFonts w:hint="eastAsia" w:asciiTheme="minorEastAsia" w:hAnsiTheme="minorEastAsia" w:eastAsiaTheme="minorEastAsia"/>
          <w:sz w:val="24"/>
        </w:rPr>
        <w:t>3.7.1 除专用合同条件另有约定外，任何一方可向另一方发出通知，要求另一方出席会议，讨论工程的实施安排或与本合同履行有关的其他事项。发包人的其他承包人、承包人的分包人和其他第三方可应任何一方的请求出席任何此类会议。</w:t>
      </w:r>
    </w:p>
    <w:p>
      <w:pPr>
        <w:spacing w:line="276" w:lineRule="auto"/>
        <w:jc w:val="left"/>
        <w:rPr>
          <w:rFonts w:asciiTheme="minorEastAsia" w:hAnsiTheme="minorEastAsia"/>
          <w:sz w:val="24"/>
        </w:rPr>
      </w:pPr>
      <w:r>
        <w:rPr>
          <w:rFonts w:hint="eastAsia" w:asciiTheme="minorEastAsia" w:hAnsiTheme="minorEastAsia" w:eastAsiaTheme="minorEastAsia"/>
          <w:sz w:val="24"/>
        </w:rPr>
        <w:t>3.7.2 除专用合同条件另有约定外，发包人应保存每次会议参加人签名的记录，并将会议纪要提供给出席会议的人员。任何根据此类会议以及会议纪要采取的行动应符合本合同的约定。</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第4条 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4.1 承包人的一般义务 </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除专用合同条件另有约定外，承包人在履行合同过程中应遵守法律和工程建设标准规范，并履行以下义务：</w:t>
      </w:r>
    </w:p>
    <w:p>
      <w:pPr>
        <w:spacing w:line="276" w:lineRule="auto"/>
        <w:jc w:val="left"/>
        <w:rPr>
          <w:rFonts w:asciiTheme="minorEastAsia" w:hAnsiTheme="minorEastAsia"/>
          <w:sz w:val="24"/>
        </w:rPr>
      </w:pPr>
      <w:r>
        <w:rPr>
          <w:rFonts w:hint="eastAsia" w:asciiTheme="minorEastAsia" w:hAnsiTheme="minorEastAsia" w:eastAsiaTheme="minorEastAsia"/>
          <w:sz w:val="24"/>
        </w:rPr>
        <w:t>（1） 办理法律规定和合同约定由承包人办理的许可和批准，将办理结果书面报送发包人留存，并承担因承包人违反法律或合同约定给发包人造成的任何费用和损失；</w:t>
      </w:r>
    </w:p>
    <w:p>
      <w:pPr>
        <w:spacing w:line="276" w:lineRule="auto"/>
        <w:jc w:val="left"/>
        <w:rPr>
          <w:rFonts w:asciiTheme="minorEastAsia" w:hAnsiTheme="minorEastAsia"/>
          <w:sz w:val="24"/>
        </w:rPr>
      </w:pPr>
      <w:r>
        <w:rPr>
          <w:rFonts w:hint="eastAsia" w:asciiTheme="minorEastAsia" w:hAnsiTheme="minorEastAsia" w:eastAsiaTheme="minorEastAsia"/>
          <w:sz w:val="24"/>
        </w:rPr>
        <w:t>（2） 按合同约定完成全部工作并在缺陷责任期和保修期内承担缺陷保证责任和保修义务，对工作中的任何缺陷进行整改、完善和修补，使其满足合同约定的目的；</w:t>
      </w:r>
    </w:p>
    <w:p>
      <w:pPr>
        <w:spacing w:line="276" w:lineRule="auto"/>
        <w:jc w:val="left"/>
        <w:rPr>
          <w:rFonts w:asciiTheme="minorEastAsia" w:hAnsiTheme="minorEastAsia"/>
          <w:sz w:val="24"/>
        </w:rPr>
      </w:pPr>
      <w:r>
        <w:rPr>
          <w:rFonts w:hint="eastAsia" w:asciiTheme="minorEastAsia" w:hAnsiTheme="minorEastAsia" w:eastAsiaTheme="minorEastAsia"/>
          <w:sz w:val="24"/>
        </w:rPr>
        <w:t>（3） 提供合同约定的工程设备和承包人文件，以及为完成合同工作所需的劳务、材料、施工设备和其他物品，并按合同约定负责临时设施的设计、施工、运行、维护、管理和拆除；</w:t>
      </w:r>
    </w:p>
    <w:p>
      <w:pPr>
        <w:spacing w:line="276" w:lineRule="auto"/>
        <w:jc w:val="left"/>
        <w:rPr>
          <w:rFonts w:asciiTheme="minorEastAsia" w:hAnsiTheme="minorEastAsia"/>
          <w:sz w:val="24"/>
        </w:rPr>
      </w:pPr>
      <w:r>
        <w:rPr>
          <w:rFonts w:hint="eastAsia" w:asciiTheme="minorEastAsia" w:hAnsiTheme="minorEastAsia" w:eastAsiaTheme="minorEastAsia"/>
          <w:sz w:val="24"/>
        </w:rPr>
        <w:t>（4） 按合同约定的工作内容和进度要求，编制设计、施工的组织和实施计划，保证项目进度计划的实现，并对所有设计、施工作业和施工方法，以及全部工程的完备性和安全可靠性负责；</w:t>
      </w:r>
    </w:p>
    <w:p>
      <w:pPr>
        <w:spacing w:line="276" w:lineRule="auto"/>
        <w:jc w:val="left"/>
        <w:rPr>
          <w:rFonts w:asciiTheme="minorEastAsia" w:hAnsiTheme="minorEastAsia"/>
          <w:sz w:val="24"/>
        </w:rPr>
      </w:pPr>
      <w:r>
        <w:rPr>
          <w:rFonts w:hint="eastAsia" w:asciiTheme="minorEastAsia" w:hAnsiTheme="minorEastAsia" w:eastAsiaTheme="minorEastAsia"/>
          <w:sz w:val="24"/>
        </w:rPr>
        <w:t>（5） 按法律规定和合同约定采取安全文明施工、职业健康和环境保护措施，办理员工工伤保险等相关保险，确保工程及人员、材料、设备和设施的安全，防止因工程实施造成的人身伤害和财产损失；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（6） 将发包人按合同约定支付的各项价款专用于合同工程，且应及时支付其雇用人员（包括建筑工人）工资，并及时向分包人支付合同价款；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（7） 在进行合同约定的各项工作时，不得侵害发包人与他人使用公用道路、水源、市政管网等公共设施的权利，避免对邻近的公共设施产生干扰。</w:t>
      </w:r>
    </w:p>
    <w:p>
      <w:pPr>
        <w:spacing w:line="276" w:lineRule="auto"/>
        <w:jc w:val="left"/>
        <w:rPr>
          <w:rFonts w:asciiTheme="minorEastAsia" w:hAnsiTheme="minorEastAsia"/>
          <w:sz w:val="24"/>
        </w:rPr>
      </w:pPr>
      <w:r>
        <w:rPr>
          <w:rFonts w:hint="eastAsia" w:asciiTheme="minorEastAsia" w:hAnsiTheme="minorEastAsia" w:eastAsiaTheme="minorEastAsia"/>
          <w:sz w:val="24"/>
        </w:rPr>
        <w:t>4.2 履约担保</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需要承包人提供履约担保的，由合同当事人在专用合同条件中约定履约担保的方式、金额及提交的时间等，并应符合第2.5款[支付合同价款]的规定。履约担保可以采用银行保函或担保公司担保等形式，承包人为联合体的，其履约担保由联合体各方或者联合体中牵头人的名义代表联合体提交，具体由合同当事人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承包人应保证其履约担保在发包人竣工验收前一直有效，发包人应在竣工验收合格后7天内将履约担保款项退还给承包人或者解除履约担保。</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因承包人原因导致工期延长的，继续提供履约担保所增加的费用由承包人承担；非因承包人原因导致工期延长的，继续提供履约担保所增加的费用由发包人承担。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4.3 工程总承包项目经理</w:t>
      </w:r>
    </w:p>
    <w:p>
      <w:pPr>
        <w:spacing w:line="276" w:lineRule="auto"/>
        <w:jc w:val="left"/>
        <w:rPr>
          <w:rFonts w:asciiTheme="minorEastAsia" w:hAnsiTheme="minorEastAsia"/>
          <w:sz w:val="24"/>
        </w:rPr>
      </w:pPr>
      <w:r>
        <w:rPr>
          <w:rFonts w:hint="eastAsia" w:asciiTheme="minorEastAsia" w:hAnsiTheme="minorEastAsia" w:eastAsiaTheme="minorEastAsia"/>
          <w:sz w:val="24"/>
        </w:rPr>
        <w:t>4.3.1 工程总承包项目经理应为合同当事人所确认的人选，并在专用合同条件中明确工程总承包项目经理的姓名、注册执业资格或职称、联系方式及授权范围等事项。工程总承包项目经理应具备履行其职责所需的资格、经验和能力，并为承包人正式聘用的员工，承包人应向发包人提交工程总承包项目经理与承包人之间的劳动合同，以及承包人为工程总承包项目经理缴纳社会保险的有效证明。承包人不提交上述文件的，工程总承包项目经理无权履行职责，发包人有权要求更换工程总承包项目经理，由此增加的费用和（或）延误的工期由承包人承担。同时，发包人有权根据专用合同条件约定要求承包人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4.3.2 承包人应按合同协议书的约定指派工程总承包项目经理，并在约定的期限内到职。工程总承包项目经理不得同时担任其他工程项目的工程总承包项目经理或施工工程总承包项目经理（含施工总承包工程、专业承包工程）。工程在现场实施的全部时间内，工程总承包项目经理每月在施工现场时间不得少于专用合同条件约定的天数。工程总承包项目经理确需离开施工现场时，应事先通知工程师，并取得发包人的书面同意。工程总承包项目经理未经批准擅自离开施工现场的，承包人应按照专用合同条件的约定承担违约责任。工程总承包项目经理的通知中应当载明临时代行其职责的人员的注册执业资格、管理经验等资料，该人员应具备履行相应职责的资格、经验和能力。</w:t>
      </w:r>
    </w:p>
    <w:p>
      <w:pPr>
        <w:spacing w:line="276" w:lineRule="auto"/>
        <w:jc w:val="left"/>
        <w:rPr>
          <w:rFonts w:asciiTheme="minorEastAsia" w:hAnsiTheme="minorEastAsia"/>
          <w:sz w:val="24"/>
        </w:rPr>
      </w:pPr>
      <w:r>
        <w:rPr>
          <w:rFonts w:hint="eastAsia" w:asciiTheme="minorEastAsia" w:hAnsiTheme="minorEastAsia" w:eastAsiaTheme="minorEastAsia"/>
          <w:sz w:val="24"/>
        </w:rPr>
        <w:t>4.3.3 承包人应根据本合同的约定授予工程总承包项目经理代表承包人履行合同所需的权利，工程总承包项目经理权限以专用合同条件中约定的权限为准。经承包人授权后，工程总承包项目经理应按合同约定以及工程师按第3.5款[指示]作出的指示，代表承包人负责组织合同的实施。在紧急情况下，且无法与发包人和工程师取得联系时，工程总承包项目经理有权采取必要的措施保证人身、工程和财产的安全，但须在事后48小时内向工程师送交书面报告。</w:t>
      </w:r>
    </w:p>
    <w:p>
      <w:pPr>
        <w:spacing w:line="276" w:lineRule="auto"/>
        <w:jc w:val="left"/>
        <w:rPr>
          <w:rFonts w:asciiTheme="minorEastAsia" w:hAnsiTheme="minorEastAsia"/>
          <w:sz w:val="24"/>
        </w:rPr>
      </w:pPr>
      <w:r>
        <w:rPr>
          <w:rFonts w:hint="eastAsia" w:asciiTheme="minorEastAsia" w:hAnsiTheme="minorEastAsia" w:eastAsiaTheme="minorEastAsia"/>
          <w:sz w:val="24"/>
        </w:rPr>
        <w:t>4.3.4 承包人需要更换工程总承包项目经理的，应提前14天书面通知发包人并抄送工程师，征得发包人书面同意。通知中应当载明继任工程总承包项目经理的注册执业资格、管理经验等资料，继任工程总承包项目经理继续履行本合同约定的职责。未经发包人书面同意，承包人不得擅自更换工程总承包项目经理，在发包人未予以书面回复期间内，工程总承包项目经理将继续履行其职责。工程总承包项目经理突发丧失履行职务能力的，承包人应当及时委派一位具有相应资格能力的人员担任临时工程总承包项目经理，履行工程总承包项目经理的职责，临时工程总承包项目经理将履行职责直至发包人同意新的工程总承包项目经理的任命之日止。承包人擅自更换工程总承包项目经理的，应按照专用合同条件的约定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4.3.5 发包人有权书面通知承包人要求更换其认为不称职的工程总承包项目经理，通知中应当载明要求更换的理由。承包人应在接到更换通知后14天内向发包人提出书面的改进报告。如承包人没有提出改进报告，应在收到更换通知后28天内更换项目经理。发包人收到改进报告后仍要求更换的，承包人应在接到第二次更换通知的28天内进行更换，并将新任命的工程总承包项目经理的注册执业资格、管理经验等资料书面通知发包人。继任工程总承包项目经理继续履行本合同约定的职责。承包人无正当理由拒绝更换工程总承包项目经理的，应按照专用合同条件的约定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4.3.6 工程总承包项目经理因特殊情况授权其下属人员履行其某项工作职责的，该下属人员应具备履行相应职责的能力，并应事先将上述人员的姓名、注册执业资格、管理经验等信息和授权范围书面通知发包人并抄送工程师，征得发包人书面同意。</w:t>
      </w:r>
    </w:p>
    <w:p>
      <w:pPr>
        <w:spacing w:line="276" w:lineRule="auto"/>
        <w:jc w:val="left"/>
        <w:rPr>
          <w:rFonts w:asciiTheme="minorEastAsia" w:hAnsiTheme="minorEastAsia"/>
          <w:sz w:val="24"/>
        </w:rPr>
      </w:pPr>
      <w:r>
        <w:rPr>
          <w:rFonts w:hint="eastAsia" w:asciiTheme="minorEastAsia" w:hAnsiTheme="minorEastAsia" w:eastAsiaTheme="minorEastAsia"/>
          <w:sz w:val="24"/>
        </w:rPr>
        <w:t>4.4 承包人人员</w:t>
      </w:r>
    </w:p>
    <w:p>
      <w:pPr>
        <w:spacing w:line="276" w:lineRule="auto"/>
        <w:jc w:val="left"/>
        <w:rPr>
          <w:rFonts w:asciiTheme="minorEastAsia" w:hAnsiTheme="minorEastAsia"/>
          <w:sz w:val="24"/>
        </w:rPr>
      </w:pPr>
      <w:r>
        <w:rPr>
          <w:rFonts w:hint="eastAsia" w:asciiTheme="minorEastAsia" w:hAnsiTheme="minorEastAsia" w:eastAsiaTheme="minorEastAsia"/>
          <w:sz w:val="24"/>
        </w:rPr>
        <w:t>4.4.1 人员安排</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人员的资质、数量、配置和管理应能满足工程实施的需要。除专用合同条件另有约定外，承包人应在接到开始工作通知之日起14天内，向工程师提交承包人的项目管理机构以及人员安排的报告，其内容应包括管理机构的设置、各主要岗位的关键人员名单及注册执业资格等证明其具备担任关键人员能力的相关文件，以及设计人员和各工种技术负责人的安排状况。</w:t>
      </w:r>
    </w:p>
    <w:p>
      <w:pPr>
        <w:spacing w:line="276" w:lineRule="auto"/>
        <w:jc w:val="left"/>
        <w:rPr>
          <w:rFonts w:asciiTheme="minorEastAsia" w:hAnsiTheme="minorEastAsia"/>
          <w:sz w:val="24"/>
        </w:rPr>
      </w:pPr>
      <w:r>
        <w:rPr>
          <w:rFonts w:hint="eastAsia" w:asciiTheme="minorEastAsia" w:hAnsiTheme="minorEastAsia" w:eastAsiaTheme="minorEastAsia"/>
          <w:sz w:val="24"/>
        </w:rPr>
        <w:t>关键人员是发包人及承包人一致认为对工程建设起重要作用的承包人主要管理人员或技术人员。关键人员的具体范围由发包人及承包人在附件5[承包人主要管理人员表]中另行约定。</w:t>
      </w:r>
    </w:p>
    <w:p>
      <w:pPr>
        <w:spacing w:line="276" w:lineRule="auto"/>
        <w:jc w:val="left"/>
        <w:rPr>
          <w:rFonts w:asciiTheme="minorEastAsia" w:hAnsiTheme="minorEastAsia"/>
          <w:sz w:val="24"/>
        </w:rPr>
      </w:pPr>
      <w:r>
        <w:rPr>
          <w:rFonts w:hint="eastAsia" w:asciiTheme="minorEastAsia" w:hAnsiTheme="minorEastAsia" w:eastAsiaTheme="minorEastAsia"/>
          <w:sz w:val="24"/>
        </w:rPr>
        <w:t>4.4.2 关键人员更换</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派驻到施工现场的关键人员应相对稳定。承包人更换关键人员时，应提前14天将继任关键人员信息及相关证明文件提交给工程师，并由工程师报发包人征求同意。在发包人未予以书面回复期间内，关键人员将继续履行其职务。关键人员突发丧失履行职务能力的，承包人应当及时委派一位具有相应资格能力的人员临时继任该关键人员职位，履行该关键人员职责，临时继任关键人员将履行职责直至发包人同意新的关键人员任命之日止。承包人擅自更换关键人员，应按照专用合同条件约定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工程师对于承包人关键人员的资格或能力有异议的，承包人应提供资料证明被质疑人员有能力完成其岗位工作或不存在工程师所质疑的情形。工程师指示撤换不能按照合同约定履行职责及义务的主要施工管理人员的，承包人应当撤换。承包人无正当理由拒绝撤换的，应按照专用合同条件的约定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4.4.3 现场管理关键人员在岗要求</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的现场管理关键人员离开施工现场每月累计不超过7天的，应报工程师同意；离开施工现场每月累计超过7天的，应书面通知发包人并抄送工程师，征得发包人书面同意。现场管理关键人员因故离开施工现场的，可授权有经验的人员临时代行其职责，但承包人应将被授权人员信息及授权范围书面通知发包人并取得其同意。现场管理关键人员未经工程师或发包人同意擅自离开施工现场的，应按照专用合同条件约定承担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4.5 分包 </w:t>
      </w:r>
    </w:p>
    <w:p>
      <w:pPr>
        <w:spacing w:line="276" w:lineRule="auto"/>
        <w:jc w:val="left"/>
        <w:rPr>
          <w:rFonts w:asciiTheme="minorEastAsia" w:hAnsiTheme="minorEastAsia"/>
          <w:sz w:val="24"/>
        </w:rPr>
      </w:pPr>
      <w:r>
        <w:rPr>
          <w:rFonts w:hint="eastAsia" w:asciiTheme="minorEastAsia" w:hAnsiTheme="minorEastAsia" w:eastAsiaTheme="minorEastAsia"/>
          <w:sz w:val="24"/>
        </w:rPr>
        <w:t>4.5.1 一般约定</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不得将其承包的全部工程转包给第三人，或将其承包的全部工程支解后以分包的名义转包给第三人。承包人不得将法律或专用合同条件中禁止分包的工作事项分包给第三人，不得以劳务分包的名义转包或违法分包工程。</w:t>
      </w:r>
    </w:p>
    <w:p>
      <w:pPr>
        <w:spacing w:line="276" w:lineRule="auto"/>
        <w:jc w:val="left"/>
        <w:rPr>
          <w:rFonts w:asciiTheme="minorEastAsia" w:hAnsiTheme="minorEastAsia"/>
          <w:sz w:val="24"/>
        </w:rPr>
      </w:pPr>
      <w:r>
        <w:rPr>
          <w:rFonts w:hint="eastAsia" w:asciiTheme="minorEastAsia" w:hAnsiTheme="minorEastAsia" w:eastAsiaTheme="minorEastAsia"/>
          <w:sz w:val="24"/>
        </w:rPr>
        <w:t>4.5.2 分包的确定</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承包人应按照专用合同条件约定对工作事项进行分包，确定分包人。</w:t>
      </w:r>
    </w:p>
    <w:p>
      <w:pPr>
        <w:spacing w:line="276" w:lineRule="auto"/>
        <w:jc w:val="left"/>
        <w:rPr>
          <w:rFonts w:asciiTheme="minorEastAsia" w:hAnsiTheme="minorEastAsia"/>
          <w:sz w:val="24"/>
        </w:rPr>
      </w:pPr>
      <w:r>
        <w:rPr>
          <w:rFonts w:hint="eastAsia" w:asciiTheme="minorEastAsia" w:hAnsiTheme="minorEastAsia" w:eastAsiaTheme="minorEastAsia"/>
          <w:sz w:val="24"/>
        </w:rPr>
        <w:t>专用合同条件未列出的分包事项，承包人可在工程实施阶段分批分期就分包事项向发包人提交申请，发包人在接到分包事项申请后的14天内，予以批准或提出意见。未经发包人同意，承包人不得将提出的拟分包事项对外分包。发包人未能在14天内批准亦未提出意见的，承包人有权将提出的拟分包事项对外分包，但应在分包人确定后通知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4.5.3 分包人资质</w:t>
      </w:r>
    </w:p>
    <w:p>
      <w:pPr>
        <w:spacing w:line="276" w:lineRule="auto"/>
        <w:jc w:val="left"/>
        <w:rPr>
          <w:rFonts w:asciiTheme="minorEastAsia" w:hAnsiTheme="minorEastAsia"/>
          <w:sz w:val="24"/>
        </w:rPr>
      </w:pPr>
      <w:r>
        <w:rPr>
          <w:rFonts w:hint="eastAsia" w:asciiTheme="minorEastAsia" w:hAnsiTheme="minorEastAsia" w:eastAsiaTheme="minorEastAsia"/>
          <w:sz w:val="24"/>
        </w:rPr>
        <w:t>分包人应符合国家法律规定的资质等级，否则不能作为分包人。承包人有义务对分包人的资质进行审查。</w:t>
      </w:r>
    </w:p>
    <w:p>
      <w:pPr>
        <w:spacing w:line="276" w:lineRule="auto"/>
        <w:jc w:val="left"/>
        <w:rPr>
          <w:rFonts w:asciiTheme="minorEastAsia" w:hAnsiTheme="minorEastAsia"/>
          <w:sz w:val="24"/>
        </w:rPr>
      </w:pPr>
      <w:r>
        <w:rPr>
          <w:rFonts w:hint="eastAsia" w:asciiTheme="minorEastAsia" w:hAnsiTheme="minorEastAsia" w:eastAsiaTheme="minorEastAsia"/>
          <w:sz w:val="24"/>
        </w:rPr>
        <w:t>4.5.4 分包管理</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当对分包人的工作进行必要的协调与管理，确保分包人严格执行国家有关分包事项的管理规定。承包人应向工程师提交分包人的主要管理人员表，并对分包人的工作人员进行实名制管理，包括但不限于进出场管理、登记造册以及各种证照的办理。</w:t>
      </w:r>
    </w:p>
    <w:p>
      <w:pPr>
        <w:spacing w:line="276" w:lineRule="auto"/>
        <w:jc w:val="left"/>
        <w:rPr>
          <w:rFonts w:asciiTheme="minorEastAsia" w:hAnsiTheme="minorEastAsia"/>
          <w:sz w:val="24"/>
        </w:rPr>
      </w:pPr>
      <w:r>
        <w:rPr>
          <w:rFonts w:hint="eastAsia" w:asciiTheme="minorEastAsia" w:hAnsiTheme="minorEastAsia" w:eastAsiaTheme="minorEastAsia"/>
          <w:sz w:val="24"/>
        </w:rPr>
        <w:t>4.5.5 分包合同价款支付</w:t>
      </w:r>
    </w:p>
    <w:p>
      <w:pPr>
        <w:spacing w:line="276" w:lineRule="auto"/>
        <w:jc w:val="left"/>
        <w:rPr>
          <w:rFonts w:asciiTheme="minorEastAsia" w:hAnsiTheme="minorEastAsia"/>
          <w:sz w:val="24"/>
        </w:rPr>
      </w:pPr>
      <w:r>
        <w:rPr>
          <w:rFonts w:hint="eastAsia" w:asciiTheme="minorEastAsia" w:hAnsiTheme="minorEastAsia" w:eastAsiaTheme="minorEastAsia"/>
          <w:sz w:val="24"/>
        </w:rPr>
        <w:t>（1） 除本项第（2）目约定的情况或专用合同条件另有约定外，分包合同价款由承包人与分包人结算，未经承包人同意，发包人不得向分包人支付分包合同价款；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（2） 生效法律文书要求发包人向分包人支付分包合同价款的，发包人有权从应付承包人工程款中扣除该部分款项，将扣款直接支付给分包人，并书面通知承包人。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4.5.6 责任承担</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承包人对分包人的行为向发包人负责，承包人和分包人就分包工作向发包人承担连带责任。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4.6 联合体</w:t>
      </w:r>
    </w:p>
    <w:p>
      <w:pPr>
        <w:spacing w:line="276" w:lineRule="auto"/>
        <w:jc w:val="left"/>
        <w:rPr>
          <w:rFonts w:asciiTheme="minorEastAsia" w:hAnsiTheme="minorEastAsia"/>
          <w:sz w:val="24"/>
        </w:rPr>
      </w:pPr>
      <w:r>
        <w:rPr>
          <w:rFonts w:hint="eastAsia" w:asciiTheme="minorEastAsia" w:hAnsiTheme="minorEastAsia" w:eastAsiaTheme="minorEastAsia"/>
          <w:sz w:val="24"/>
        </w:rPr>
        <w:t>4.6.1 经发包人同意，以联合体方式承包工程的，联合体各方应共同与发包人订立合同协议书。联合体各方应为履行合同向发包人承担连带责任。</w:t>
      </w:r>
    </w:p>
    <w:p>
      <w:pPr>
        <w:spacing w:line="276" w:lineRule="auto"/>
        <w:jc w:val="left"/>
        <w:rPr>
          <w:rFonts w:asciiTheme="minorEastAsia" w:hAnsiTheme="minorEastAsia"/>
          <w:sz w:val="24"/>
        </w:rPr>
      </w:pPr>
      <w:r>
        <w:rPr>
          <w:rFonts w:hint="eastAsia" w:asciiTheme="minorEastAsia" w:hAnsiTheme="minorEastAsia" w:eastAsiaTheme="minorEastAsia"/>
          <w:sz w:val="24"/>
        </w:rPr>
        <w:t>4.6.2 承包人应在专用合同条件中明确联合体各成员的分工、费用收取、发票开具等事项。联合体各成员分工承担的工作内容必须与适用法律规定的该成员的资质资格相适应，并应具有相应的项目管理体系和项目管理能力，且不应根据其就承包工作的分工而减免对发包人的任何合同责任。</w:t>
      </w:r>
    </w:p>
    <w:p>
      <w:pPr>
        <w:spacing w:line="276" w:lineRule="auto"/>
        <w:jc w:val="left"/>
        <w:rPr>
          <w:rFonts w:asciiTheme="minorEastAsia" w:hAnsiTheme="minorEastAsia"/>
          <w:sz w:val="24"/>
        </w:rPr>
      </w:pPr>
      <w:r>
        <w:rPr>
          <w:rFonts w:hint="eastAsia" w:asciiTheme="minorEastAsia" w:hAnsiTheme="minorEastAsia" w:eastAsiaTheme="minorEastAsia"/>
          <w:sz w:val="24"/>
        </w:rPr>
        <w:t>4.6.3 联合体协议经发包人确认后作为合同附件。在履行合同过程中，未经发包人同意，不得变更联合体成员和其负责的工作范围，或者修改联合体协议中与本合同履行相关的内容。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4.7 承包人现场查勘</w:t>
      </w:r>
    </w:p>
    <w:p>
      <w:pPr>
        <w:spacing w:line="276" w:lineRule="auto"/>
        <w:jc w:val="left"/>
        <w:rPr>
          <w:rFonts w:asciiTheme="minorEastAsia" w:hAnsiTheme="minorEastAsia"/>
          <w:sz w:val="24"/>
        </w:rPr>
      </w:pPr>
      <w:r>
        <w:rPr>
          <w:rFonts w:hint="eastAsia" w:asciiTheme="minorEastAsia" w:hAnsiTheme="minorEastAsia" w:eastAsiaTheme="minorEastAsia"/>
          <w:sz w:val="24"/>
        </w:rPr>
        <w:t>4.7.1 除专用合同条件另有约定外，承包人应对基于发包人提交的基础资料所做出的解释和推断负责，因基础资料存在错误、遗漏导致承包人解释或推断失实的，按照第2.3项[提供基础资料]的规定承担责任。承包人发现基础资料中存在明显错误或疏忽的，应及时书面通知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4.7.2 承包人应对现场和工程实施条件进行查勘，并充分了解工程所在地的气象条件、交通条件、风俗习惯以及其他与完成合同工作有关的其他资料。承包人提交投标文件，视为承包人已对施工现场及周围环境进行了踏勘，并已充分了解评估施工现场及周围环境对工程可能产生的影响，自愿承担相应风险与责任。在全部合同工作中，视为承包人已充分估计了应承担的责任和风险，但属于4.8款[不可预见的困难]约定的情形除外。</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4.8 不可预见的困难 </w:t>
      </w:r>
    </w:p>
    <w:p>
      <w:pPr>
        <w:spacing w:line="276" w:lineRule="auto"/>
        <w:jc w:val="left"/>
        <w:rPr>
          <w:rFonts w:asciiTheme="minorEastAsia" w:hAnsiTheme="minorEastAsia"/>
          <w:sz w:val="24"/>
        </w:rPr>
      </w:pPr>
      <w:r>
        <w:rPr>
          <w:rFonts w:hint="eastAsia" w:asciiTheme="minorEastAsia" w:hAnsiTheme="minorEastAsia" w:eastAsiaTheme="minorEastAsia"/>
          <w:sz w:val="24"/>
        </w:rPr>
        <w:t>不可预见的困难是指有经验的承包人在施工现场遇到的不可预见的自然物质条件、非自然的物质障碍和污染物，包括地表以下物质条件和水文条件以及专用合同条件约定的其他情形，但不包括气候条件。</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遇到不可预见的困难时，应采取克服不可预见的困难的合理措施继续施工，并及时通知工程师并抄送发包人。通知应载明不可预见的困难的内容、承包人认为不可预见的理由以及承包人制定的处理方案。工程师应当及时发出指示，指示构成变更的，按第13条[变更与调整]约定执行。承包人因采取合理措施而增加的费用和（或）延误的工期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4.9 工程质量管理</w:t>
      </w:r>
    </w:p>
    <w:p>
      <w:pPr>
        <w:spacing w:line="276" w:lineRule="auto"/>
        <w:jc w:val="left"/>
        <w:rPr>
          <w:rFonts w:asciiTheme="minorEastAsia" w:hAnsiTheme="minorEastAsia"/>
          <w:sz w:val="24"/>
        </w:rPr>
      </w:pPr>
      <w:r>
        <w:rPr>
          <w:rFonts w:hint="eastAsia" w:asciiTheme="minorEastAsia" w:hAnsiTheme="minorEastAsia" w:eastAsiaTheme="minorEastAsia"/>
          <w:sz w:val="24"/>
        </w:rPr>
        <w:t>4.9.1 承包人应按合同约定的质量标准规范，建立有效的质量管理系统，确保设计、采购、加工制造、施工、竣工试验等各项工作的质量，并按照国家有关规定，通过质量保修责任书的形式约定保修范围、保修期限和保修责任。</w:t>
      </w:r>
    </w:p>
    <w:p>
      <w:pPr>
        <w:spacing w:line="276" w:lineRule="auto"/>
        <w:jc w:val="left"/>
        <w:rPr>
          <w:rFonts w:asciiTheme="minorEastAsia" w:hAnsiTheme="minorEastAsia"/>
          <w:sz w:val="24"/>
        </w:rPr>
      </w:pPr>
      <w:r>
        <w:rPr>
          <w:rFonts w:hint="eastAsia" w:asciiTheme="minorEastAsia" w:hAnsiTheme="minorEastAsia" w:eastAsiaTheme="minorEastAsia"/>
          <w:sz w:val="24"/>
        </w:rPr>
        <w:t>4.9.2 承包人按照第8.4款[项目进度计划]约定向工程师提交工程质量保证体系及措施文件，建立完善的质量检查制度，并提交相应的工程质量文件。对于发包人和工程师违反法律规定和合同约定的错误指示，承包人有权拒绝实施。</w:t>
      </w:r>
    </w:p>
    <w:p>
      <w:pPr>
        <w:spacing w:line="276" w:lineRule="auto"/>
        <w:jc w:val="left"/>
        <w:rPr>
          <w:rFonts w:asciiTheme="minorEastAsia" w:hAnsiTheme="minorEastAsia"/>
          <w:sz w:val="24"/>
        </w:rPr>
      </w:pPr>
      <w:r>
        <w:rPr>
          <w:rFonts w:hint="eastAsia" w:asciiTheme="minorEastAsia" w:hAnsiTheme="minorEastAsia" w:eastAsiaTheme="minorEastAsia"/>
          <w:sz w:val="24"/>
        </w:rPr>
        <w:t>4.9.3 承包人应对其人员进行质量教育和技术培训，定期考核人员的劳动技能，严格执行相关规范和操作规程。</w:t>
      </w:r>
    </w:p>
    <w:p>
      <w:pPr>
        <w:spacing w:line="276" w:lineRule="auto"/>
        <w:jc w:val="left"/>
        <w:rPr>
          <w:rFonts w:asciiTheme="minorEastAsia" w:hAnsiTheme="minorEastAsia"/>
          <w:sz w:val="24"/>
        </w:rPr>
      </w:pPr>
      <w:r>
        <w:rPr>
          <w:rFonts w:hint="eastAsia" w:asciiTheme="minorEastAsia" w:hAnsiTheme="minorEastAsia" w:eastAsiaTheme="minorEastAsia"/>
          <w:sz w:val="24"/>
        </w:rPr>
        <w:t>4.9.4 承包人应按照法律规定和合同约定，对设计、材料、工程设备以及全部工程内容及其施工工艺进行全过程的质量检查和检验，并作详细记录，编制工程质量报表，报送工程师审查。此外，承包人还应按照法律规定和合同约定，进行施工现场取样试验、工程复核测量和设备性能检测，提供试验样品、提交试验报告和测量成果以及其他工作。</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第5条 设计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5.1 承包人的设计义务 </w:t>
      </w:r>
    </w:p>
    <w:p>
      <w:pPr>
        <w:spacing w:line="276" w:lineRule="auto"/>
        <w:jc w:val="left"/>
        <w:rPr>
          <w:rFonts w:asciiTheme="minorEastAsia" w:hAnsiTheme="minorEastAsia"/>
          <w:sz w:val="24"/>
        </w:rPr>
      </w:pPr>
      <w:r>
        <w:rPr>
          <w:rFonts w:hint="eastAsia" w:asciiTheme="minorEastAsia" w:hAnsiTheme="minorEastAsia" w:eastAsiaTheme="minorEastAsia"/>
          <w:sz w:val="24"/>
        </w:rPr>
        <w:t>5.1.1 设计义务的一般要求</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当按照法律规定，国家、行业和地方的规范和标准，以及《发包人要求》和合同约定完成设计工作和设计相关的其他服务，并对工程的设计负责。承包人应根据工程实施的需要及时向发包人和工程师说明设计文件的意图，解释设计文件。</w:t>
      </w:r>
    </w:p>
    <w:p>
      <w:pPr>
        <w:spacing w:line="276" w:lineRule="auto"/>
        <w:jc w:val="left"/>
        <w:rPr>
          <w:rFonts w:asciiTheme="minorEastAsia" w:hAnsiTheme="minorEastAsia"/>
          <w:sz w:val="24"/>
        </w:rPr>
      </w:pPr>
      <w:r>
        <w:rPr>
          <w:rFonts w:hint="eastAsia" w:asciiTheme="minorEastAsia" w:hAnsiTheme="minorEastAsia" w:eastAsiaTheme="minorEastAsia"/>
          <w:sz w:val="24"/>
        </w:rPr>
        <w:t>5.1.2 对设计人员的要求</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保证其或其设计分包人的设计资质在合同有效期内满足法律法规、行业标准或合同约定的相关要求，并指派符合法律法规、行业标准或合同约定的资质要求并具有从事设计所必需的经验与能力的的设计人员完成设计工作。承包人应保证其设计人员（包括分包人的设计人员）在合同期限内，都能按时参加发包人或工程师组织的工作会议。</w:t>
      </w:r>
    </w:p>
    <w:p>
      <w:pPr>
        <w:spacing w:line="276" w:lineRule="auto"/>
        <w:jc w:val="left"/>
        <w:rPr>
          <w:rFonts w:asciiTheme="minorEastAsia" w:hAnsiTheme="minorEastAsia"/>
          <w:sz w:val="24"/>
        </w:rPr>
      </w:pPr>
      <w:r>
        <w:rPr>
          <w:rFonts w:hint="eastAsia" w:asciiTheme="minorEastAsia" w:hAnsiTheme="minorEastAsia" w:eastAsiaTheme="minorEastAsia"/>
          <w:sz w:val="24"/>
        </w:rPr>
        <w:t>5.1.3 法律和标准的变化</w:t>
      </w:r>
    </w:p>
    <w:p>
      <w:pPr>
        <w:spacing w:line="276" w:lineRule="auto"/>
        <w:jc w:val="left"/>
        <w:rPr>
          <w:rFonts w:asciiTheme="minorEastAsia" w:hAnsiTheme="minorEastAsia"/>
          <w:sz w:val="24"/>
        </w:rPr>
      </w:pPr>
      <w:r>
        <w:rPr>
          <w:rFonts w:hint="eastAsia" w:asciiTheme="minorEastAsia" w:hAnsiTheme="minorEastAsia" w:eastAsiaTheme="minorEastAsia"/>
          <w:sz w:val="24"/>
        </w:rPr>
        <w:t>除合同另有约定外，承包人完成设计工作所应遵守的法律规定，以及国家、行业和地方的规范和标准，均应视为在基准日期适用的版本。基准日期之后，前述版本发生重大变化，或者有新的法律，以及国家、行业和地方的规范和标准实施的，承包人应向工程师提出遵守新规定的建议。发包人或其委托的工程师应在收到建议后7天内发出是否遵守新规定的指示。如果该项建议构成变更的，按照第13.2款[承包人的合理化建议]的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在基准日期之后，因国家颁布新的强制性规范、标准导致承包人的费用变化的，发包人应合理调整合同价格；导致工期延误的，发包人应合理延长工期。</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5.2 承包人文件审查 </w:t>
      </w:r>
    </w:p>
    <w:p>
      <w:pPr>
        <w:spacing w:line="276" w:lineRule="auto"/>
        <w:jc w:val="left"/>
        <w:rPr>
          <w:rFonts w:asciiTheme="minorEastAsia" w:hAnsiTheme="minorEastAsia"/>
          <w:sz w:val="24"/>
        </w:rPr>
      </w:pPr>
      <w:r>
        <w:rPr>
          <w:rFonts w:hint="eastAsia" w:asciiTheme="minorEastAsia" w:hAnsiTheme="minorEastAsia" w:eastAsiaTheme="minorEastAsia"/>
          <w:sz w:val="24"/>
        </w:rPr>
        <w:t>5.2.1 根据《发包人要求》应当通过工程师报发包人审查同意的承包人文件，承包人应当按照《发包人要求》约定的范围和内容及时报送审查。</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自工程师收到承包人文件以及承包人的通知之日起，发包人对承包人文件审查期不超过21天。承包人的设计文件对于合同约定有偏离的，应在通知中说明。承包人需要修改已提交的承包人文件的，应立即通知工程师，并向工程师提交修改后的承包人文件，审查期重新起算。</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发包人同意承包人文件的，应及时通知承包人，发包人不同意承包人文件的，应在审查期限内通过工程师以书面形式通知承包人，并说明不同意的具体内容和理由。</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承包人对发包人的意见按以下方式处理：</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发包人的意见构成变更的，承包人应在7天内通知发包人按照第13条[变更与调整]中关于发包人指示变更的约定执行，双方对是否构成变更无法达成一致的，按照第20条[争议解决]的约定执行；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（2） 因承包人原因导致无法通过审查的，承包人应根据发包人的书面说明，对承包人文件进行修改后重新报送发包人审查，审查期重新起算。因此引起的工期延长和必要的工程费用增加，由承包人负责。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合同约定的审查期满，发包人没有做出审查结论也没有提出异议的，视为承包人文件已获发包人同意。</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发包人对承包人文件的审查和同意不得被理解为对合同的修改或改变，也并不减轻或免除承包人任何的责任和义务。</w:t>
      </w:r>
    </w:p>
    <w:p>
      <w:pPr>
        <w:spacing w:line="276" w:lineRule="auto"/>
        <w:jc w:val="left"/>
        <w:rPr>
          <w:rFonts w:asciiTheme="minorEastAsia" w:hAnsiTheme="minorEastAsia"/>
          <w:sz w:val="24"/>
        </w:rPr>
      </w:pPr>
      <w:r>
        <w:rPr>
          <w:rFonts w:hint="eastAsia" w:asciiTheme="minorEastAsia" w:hAnsiTheme="minorEastAsia" w:eastAsiaTheme="minorEastAsia"/>
          <w:sz w:val="24"/>
        </w:rPr>
        <w:t>5.2.2 承包人文件不需要政府有关部门或专用合同条件约定的第三方审查单位审查或批准的，承包人应当严格按照经发包人审查同意的承包人文件设计和实施工程。</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需要组织审查会议对承包人文件进行审查的，审查会议的审查形式、时间安排、费用承担，在专用合同条件中约定。发包人负责组织承包人文件审查会议，承包人有义务参加发包人组织的审查会议，向审查者介绍、解答、解释承包人文件，并提供有关补充资料。</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发包人有义务向承包人提供审查会议的批准文件和纪要。承包人有义务按照相关审查会议批准的文件和纪要，并依据合同约定及相关技术标准，对承包人文件进行修改、补充和完善。</w:t>
      </w:r>
    </w:p>
    <w:p>
      <w:pPr>
        <w:spacing w:line="276" w:lineRule="auto"/>
        <w:jc w:val="left"/>
        <w:rPr>
          <w:rFonts w:asciiTheme="minorEastAsia" w:hAnsiTheme="minorEastAsia"/>
          <w:sz w:val="24"/>
        </w:rPr>
      </w:pPr>
      <w:r>
        <w:rPr>
          <w:rFonts w:hint="eastAsia" w:asciiTheme="minorEastAsia" w:hAnsiTheme="minorEastAsia" w:eastAsiaTheme="minorEastAsia"/>
          <w:sz w:val="24"/>
        </w:rPr>
        <w:t>5.2.3 承包人文件需政府有关部门或专用合同条件约定的第三方审查单位审查或批准的，发包人应在发包人审查同意承包人文件后7天内，向政府有关部门或第三方报送承包人文件，承包人应予以协助。</w:t>
      </w:r>
    </w:p>
    <w:p>
      <w:pPr>
        <w:spacing w:line="276" w:lineRule="auto"/>
        <w:jc w:val="left"/>
        <w:rPr>
          <w:rFonts w:asciiTheme="minorEastAsia" w:hAnsiTheme="minorEastAsia"/>
          <w:sz w:val="24"/>
        </w:rPr>
      </w:pPr>
      <w:r>
        <w:rPr>
          <w:rFonts w:hint="eastAsia" w:asciiTheme="minorEastAsia" w:hAnsiTheme="minorEastAsia" w:eastAsiaTheme="minorEastAsia"/>
          <w:sz w:val="24"/>
        </w:rPr>
        <w:t>对于政府有关部门或第三方审查单位的审查意见，不需要修改《发包人要求》的，承包人需按该审查意见修改承包人的设计文件；需要修改《发包人要求》的，承包人应按第13.2款[承包人的合理化建议]的约定执行。上述情形还应适用第5.1款[承包人的设计义务]和第13条[变更与调整]的有关约定。</w:t>
      </w:r>
    </w:p>
    <w:p>
      <w:pPr>
        <w:spacing w:line="276" w:lineRule="auto"/>
        <w:jc w:val="left"/>
        <w:rPr>
          <w:rFonts w:asciiTheme="minorEastAsia" w:hAnsiTheme="minorEastAsia"/>
          <w:sz w:val="24"/>
        </w:rPr>
      </w:pPr>
      <w:r>
        <w:rPr>
          <w:rFonts w:hint="eastAsia" w:asciiTheme="minorEastAsia" w:hAnsiTheme="minorEastAsia" w:eastAsiaTheme="minorEastAsia"/>
          <w:sz w:val="24"/>
        </w:rPr>
        <w:t>政府有关部门或第三方审查单位审查批准后，承包人应当严格按照批准后的承包人文件实施工程。政府有关部门或第三方审查单位批准时间较合同约定时间延长的，竣工日期相应顺延。因此给双方带来的费用增加，由双方在负责的范围内各自承担。</w:t>
      </w:r>
    </w:p>
    <w:p>
      <w:pPr>
        <w:spacing w:line="276" w:lineRule="auto"/>
        <w:jc w:val="left"/>
        <w:rPr>
          <w:rFonts w:asciiTheme="minorEastAsia" w:hAnsiTheme="minorEastAsia"/>
          <w:sz w:val="24"/>
        </w:rPr>
      </w:pPr>
      <w:r>
        <w:rPr>
          <w:rFonts w:hint="eastAsia" w:asciiTheme="minorEastAsia" w:hAnsiTheme="minorEastAsia" w:eastAsiaTheme="minorEastAsia"/>
          <w:sz w:val="24"/>
        </w:rPr>
        <w:t>5.3 培训</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发包人要求》，对发包人的雇员或其它发包人指定的人员进行工程操作、维修或其它合同中约定的培训。合同约定接收之前进行培训的，应在第10.1款[竣工验收]约定的竣工验收前或试运行结束前完成培训。</w:t>
      </w:r>
    </w:p>
    <w:p>
      <w:pPr>
        <w:spacing w:line="276" w:lineRule="auto"/>
        <w:jc w:val="left"/>
        <w:rPr>
          <w:rFonts w:asciiTheme="minorEastAsia" w:hAnsiTheme="minorEastAsia"/>
          <w:sz w:val="24"/>
        </w:rPr>
      </w:pPr>
      <w:r>
        <w:rPr>
          <w:rFonts w:hint="eastAsia" w:asciiTheme="minorEastAsia" w:hAnsiTheme="minorEastAsia" w:eastAsiaTheme="minorEastAsia"/>
          <w:sz w:val="24"/>
        </w:rPr>
        <w:t>培训的时长应由双方在专用合同条件中约定，承包人应为培训提供有经验的人员、设施和其它必要条件。</w:t>
      </w:r>
    </w:p>
    <w:p>
      <w:pPr>
        <w:spacing w:line="276" w:lineRule="auto"/>
        <w:jc w:val="left"/>
        <w:rPr>
          <w:rFonts w:asciiTheme="minorEastAsia" w:hAnsiTheme="minorEastAsia"/>
          <w:sz w:val="24"/>
        </w:rPr>
      </w:pPr>
      <w:r>
        <w:rPr>
          <w:rFonts w:hint="eastAsia" w:asciiTheme="minorEastAsia" w:hAnsiTheme="minorEastAsia" w:eastAsiaTheme="minorEastAsia"/>
          <w:sz w:val="24"/>
        </w:rPr>
        <w:t>5.4 竣工文件</w:t>
      </w:r>
    </w:p>
    <w:p>
      <w:pPr>
        <w:spacing w:line="276" w:lineRule="auto"/>
        <w:jc w:val="left"/>
        <w:rPr>
          <w:rFonts w:asciiTheme="minorEastAsia" w:hAnsiTheme="minorEastAsia"/>
          <w:sz w:val="24"/>
        </w:rPr>
      </w:pPr>
      <w:r>
        <w:rPr>
          <w:rFonts w:hint="eastAsia" w:asciiTheme="minorEastAsia" w:hAnsiTheme="minorEastAsia" w:eastAsiaTheme="minorEastAsia"/>
          <w:sz w:val="24"/>
        </w:rPr>
        <w:t>5.4.1 承包人应编制并及时更新反映工程实施结果的竣工记录，如实记载竣工工程的确切位置、尺寸和已实施工作的详细说明。竣工文件的形式、技术标准以及其它相关内容应按照相关法律法规、行业标准与《发包人要求》执行。竣工记录应保存在施工现场，并在竣工试验开始前，按照专用合同条件约定的份数提交给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5.4.2 在颁发工程接收证书之前，承包人应按照《发包人要求》的份数和形式向工程师提交相应竣工图纸，并取得工程师对尺寸、参照系统及其他有关细节的认可。工程师应按照第5.2款[承包人文件审查]的约定进行审查。</w:t>
      </w:r>
    </w:p>
    <w:p>
      <w:pPr>
        <w:spacing w:line="276" w:lineRule="auto"/>
        <w:jc w:val="left"/>
        <w:rPr>
          <w:rFonts w:asciiTheme="minorEastAsia" w:hAnsiTheme="minorEastAsia"/>
          <w:sz w:val="24"/>
        </w:rPr>
      </w:pPr>
      <w:r>
        <w:rPr>
          <w:rFonts w:hint="eastAsia" w:asciiTheme="minorEastAsia" w:hAnsiTheme="minorEastAsia" w:eastAsiaTheme="minorEastAsia"/>
          <w:sz w:val="24"/>
        </w:rPr>
        <w:t>5.4.3 除专用合同条件另有约定外，在工程师收到本款下的文件前，不应认为工程已根据第10.1款[竣工验收]和第10.2款[单位/区段工程的验收]的约定完成验收。</w:t>
      </w:r>
    </w:p>
    <w:p>
      <w:pPr>
        <w:spacing w:line="276" w:lineRule="auto"/>
        <w:jc w:val="left"/>
        <w:rPr>
          <w:rFonts w:asciiTheme="minorEastAsia" w:hAnsiTheme="minorEastAsia"/>
          <w:sz w:val="24"/>
        </w:rPr>
      </w:pPr>
      <w:r>
        <w:rPr>
          <w:rFonts w:hint="eastAsia" w:asciiTheme="minorEastAsia" w:hAnsiTheme="minorEastAsia" w:eastAsiaTheme="minorEastAsia"/>
          <w:sz w:val="24"/>
        </w:rPr>
        <w:t>5.5 操作和维修手册</w:t>
      </w:r>
    </w:p>
    <w:p>
      <w:pPr>
        <w:spacing w:line="276" w:lineRule="auto"/>
        <w:jc w:val="left"/>
        <w:rPr>
          <w:rFonts w:asciiTheme="minorEastAsia" w:hAnsiTheme="minorEastAsia"/>
          <w:sz w:val="24"/>
        </w:rPr>
      </w:pPr>
      <w:r>
        <w:rPr>
          <w:rFonts w:hint="eastAsia" w:asciiTheme="minorEastAsia" w:hAnsiTheme="minorEastAsia" w:eastAsiaTheme="minorEastAsia"/>
          <w:sz w:val="24"/>
        </w:rPr>
        <w:t>5.5.1 在竣工试验开始前，承包人应向工程师提交暂行的操作和维修手册并负责及时更新，该手册应足够详细，以便发包人能够对工程设备进行操作、维修、拆卸、重新安装、调整及修理，以及实现《发包人要求》。同时，手册还应包含发包人未来可能需要的备品备件清单。</w:t>
      </w:r>
    </w:p>
    <w:p>
      <w:pPr>
        <w:spacing w:line="276" w:lineRule="auto"/>
        <w:jc w:val="left"/>
        <w:rPr>
          <w:rFonts w:asciiTheme="minorEastAsia" w:hAnsiTheme="minorEastAsia"/>
          <w:sz w:val="24"/>
        </w:rPr>
      </w:pPr>
      <w:r>
        <w:rPr>
          <w:rFonts w:hint="eastAsia" w:asciiTheme="minorEastAsia" w:hAnsiTheme="minorEastAsia" w:eastAsiaTheme="minorEastAsia"/>
          <w:sz w:val="24"/>
        </w:rPr>
        <w:t>5.5.2 工程师收到承包人提交的文件后，应依据第5.2款[承包人文件审查]的约定对操作和维修手册进行审查，竣工试验工程中，承包人应为任何因操作和维修手册错误或遗漏引起的风险或损失承担责任。</w:t>
      </w:r>
    </w:p>
    <w:p>
      <w:pPr>
        <w:spacing w:line="276" w:lineRule="auto"/>
        <w:jc w:val="left"/>
        <w:rPr>
          <w:rFonts w:asciiTheme="minorEastAsia" w:hAnsiTheme="minorEastAsia"/>
          <w:sz w:val="24"/>
        </w:rPr>
      </w:pPr>
      <w:r>
        <w:rPr>
          <w:rFonts w:hint="eastAsia" w:asciiTheme="minorEastAsia" w:hAnsiTheme="minorEastAsia" w:eastAsiaTheme="minorEastAsia"/>
          <w:sz w:val="24"/>
        </w:rPr>
        <w:t>5.5.3 除专用合同条件另有约定外，承包人应提交足够详细的最终操作和维修手册，以及在《发包人要求》中明确的相关操作和维修手册。除专用合同条件另有约定外，在工程师收到上述文件前，不应认为工程已根据第10.1款[竣工验收]和第10.2款[单位/区段工程的验收]的约定完成验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5.6 承包人文件错误 </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文件存在错误、遗漏、含混、矛盾、不充分之处或其他缺陷，无论承包人是否根据本款获得了同意，承包人均应自费对前述问题带来的缺陷和工程问题进行改正，并按照第5.2款[承包人文件审查]的要求，重新送工程师审查，审查日期从工程师收到文件开始重新计算。因此款原因重新提交审查文件导致的工程延误和必要费用增加由承包人承担。《发包人要求》的错误导致承包人文件错误、遗漏、含混、矛盾、不充分或其他缺陷的除外。</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第6条 材料、工程设备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6.1 实施方法 </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承包人应按以下方法进行材料的加工、工程设备的采购、制造和安装、以及工程的所有其他实施作业：</w:t>
      </w:r>
    </w:p>
    <w:p>
      <w:pPr>
        <w:spacing w:line="276" w:lineRule="auto"/>
        <w:jc w:val="left"/>
        <w:rPr>
          <w:rFonts w:asciiTheme="minorEastAsia" w:hAnsiTheme="minorEastAsia"/>
          <w:sz w:val="24"/>
        </w:rPr>
      </w:pPr>
      <w:r>
        <w:rPr>
          <w:rFonts w:hint="eastAsia" w:asciiTheme="minorEastAsia" w:hAnsiTheme="minorEastAsia" w:eastAsiaTheme="minorEastAsia"/>
          <w:sz w:val="24"/>
        </w:rPr>
        <w:t>（1） 按照法律规定和合同约定的方法；</w:t>
      </w:r>
    </w:p>
    <w:p>
      <w:pPr>
        <w:spacing w:line="276" w:lineRule="auto"/>
        <w:jc w:val="left"/>
        <w:rPr>
          <w:rFonts w:asciiTheme="minorEastAsia" w:hAnsiTheme="minorEastAsia"/>
          <w:sz w:val="24"/>
        </w:rPr>
      </w:pPr>
      <w:r>
        <w:rPr>
          <w:rFonts w:hint="eastAsia" w:asciiTheme="minorEastAsia" w:hAnsiTheme="minorEastAsia" w:eastAsiaTheme="minorEastAsia"/>
          <w:sz w:val="24"/>
        </w:rPr>
        <w:t>（2） 按照公认的良好行业习惯，使用恰当、审慎、先进的方法；</w:t>
      </w:r>
    </w:p>
    <w:p>
      <w:pPr>
        <w:spacing w:line="276" w:lineRule="auto"/>
        <w:jc w:val="left"/>
        <w:rPr>
          <w:rFonts w:asciiTheme="minorEastAsia" w:hAnsiTheme="minorEastAsia"/>
          <w:sz w:val="24"/>
        </w:rPr>
      </w:pPr>
      <w:r>
        <w:rPr>
          <w:rFonts w:hint="eastAsia" w:asciiTheme="minorEastAsia" w:hAnsiTheme="minorEastAsia" w:eastAsiaTheme="minorEastAsia"/>
          <w:sz w:val="24"/>
        </w:rPr>
        <w:t>（3） 除专用合同条件另有规定外，应使用适当配备的实施方法、设备、设施和无危险的材料。</w:t>
      </w:r>
    </w:p>
    <w:p>
      <w:pPr>
        <w:spacing w:line="276" w:lineRule="auto"/>
        <w:jc w:val="left"/>
        <w:rPr>
          <w:rFonts w:asciiTheme="minorEastAsia" w:hAnsiTheme="minorEastAsia"/>
          <w:sz w:val="24"/>
        </w:rPr>
      </w:pPr>
      <w:r>
        <w:rPr>
          <w:rFonts w:hint="eastAsia" w:asciiTheme="minorEastAsia" w:hAnsiTheme="minorEastAsia" w:eastAsiaTheme="minorEastAsia"/>
          <w:sz w:val="24"/>
        </w:rPr>
        <w:t>6.2 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6.2.1 发包人提供的材料和工程设备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发包人自行供应材料、工程设备的，应在订立合同时在专用合同条件的附件《发包人供应材料设备一览表》中明确材料、工程设备的品种、规格、型号、主要参数、数量、单价、质量等级和交接地点等。</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根据项目进度计划的安排，提前28天以书面形式通知工程师供应材料与工程设备的进场计划。承包人按照第8.4款[项目进度计划]约定修订项目进度计划时，需同时提交经修订后的发包人供应材料与工程设备的进场计划。发包人应按照上述进场计划，向承包人提交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在材料和工程设备到货7天前通知承包人，承包人应会同工程师在约定的时间内，赴交货地点共同进行验收。除专用合同条件另有约定外，发包人提供的材料和工程设备验收后，由承包人负责接收、运输和保管。</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需要对进场计划进行变更的，承包人不得拒绝，应根据第13条[变更与调整]的规定执行，并由发包人承担承包人由此增加的费用，以及引起的工期延误。承包人需要对进场计划进行变更的，应事先报请工程师批准，由此增加的费用和（或）工期延误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发包人提供的材料和工程设备的规格、数量或质量不符合合同要求，或由于发包人原因发生交货日期延误及交货地点变更等情况的，发包人应承担由此增加的费用和（或）工期延误，并向承包人支付合理利润。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6.2.2 承包人提供的材料和工程设备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专用合同条件的约定，将各项材料和工程设备的供货人及品种、技术要求、规格、数量和供货时间等报送工程师批准。承包人应向工程师提交其负责提供的材料和工程设备的质量证明文件，并根据合同约定的质量标准，对材料、工程设备质量负责。</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已被批准的第8.4款[项目进度计划]规定的数量要求及时间要求，负责组织材料和工程设备采购（包括备品备件、专用工具及厂商提供的技术文件），负责运抵现场。合同约定由承包人采购的材料、工程设备，除专用合同条件另有约定外，发包人不得指定生产厂家或供应商，发包人违反本款约定指定生产厂家或供应商的，承包人有权拒绝，并由发包人承担相应责任。</w:t>
      </w:r>
    </w:p>
    <w:p>
      <w:pPr>
        <w:spacing w:line="276" w:lineRule="auto"/>
        <w:jc w:val="left"/>
        <w:rPr>
          <w:rFonts w:asciiTheme="minorEastAsia" w:hAnsiTheme="minorEastAsia"/>
          <w:sz w:val="24"/>
        </w:rPr>
      </w:pPr>
      <w:r>
        <w:rPr>
          <w:rFonts w:hint="eastAsia" w:asciiTheme="minorEastAsia" w:hAnsiTheme="minorEastAsia" w:eastAsiaTheme="minorEastAsia"/>
          <w:sz w:val="24"/>
        </w:rPr>
        <w:t>对承包人提供的材料和工程设备，承包人应会同工程师进行检验和交货验收，查验材料合格证明和产品合格证书，并按合同约定和工程师指示，进行材料的抽样检验和工程设备的检验测试，检验和测试结果应提交工程师，所需费用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提供的材料和工程设备不符合国家强制性标准、规范的规定或合同约定的标准、规范，所造成的质量缺陷，由承包人自费修复，竣工日期不予延长。在履行合同过程中，由于国家新颁布的强制性标准、规范，造成承包人负责提供的材料和工程设备，虽符合合同约定的标准，但不符合新颁布的强制性标准时，由承包人负责修复或重新订货，相关费用支出及导致的工期延长由发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6.2.3 材料和工程设备的保管 </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发包人供应材料与工程设备的保管与使用</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发包人供应的材料和工程设备，承包人清点并接收后由承包人妥善保管，保管费用由承包人承担，但专用合同条件另有约定除外。因承包人原因发生丢失毁损的，由承包人负责赔偿。</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发包人供应的材料和工程设备使用前，由承包人负责必要的检验，检验费用由发包人承担，不合格的不得使用。</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承包人采购材料与工程设备的保管与使用</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采购的材料和工程设备由承包人妥善保管，保管费用由承包人承担。合同约定或法律规定材料和工程设备使用前必须进行检验或试验的，承包人应按工程师的指示进行检验或试验，检验或试验费用由承包人承担，不合格的不得使用。</w:t>
      </w:r>
    </w:p>
    <w:p>
      <w:pPr>
        <w:spacing w:line="276" w:lineRule="auto"/>
        <w:jc w:val="left"/>
        <w:rPr>
          <w:rFonts w:asciiTheme="minorEastAsia" w:hAnsiTheme="minorEastAsia"/>
          <w:sz w:val="24"/>
        </w:rPr>
      </w:pPr>
      <w:r>
        <w:rPr>
          <w:rFonts w:hint="eastAsia" w:asciiTheme="minorEastAsia" w:hAnsiTheme="minorEastAsia" w:eastAsiaTheme="minorEastAsia"/>
          <w:sz w:val="24"/>
        </w:rPr>
        <w:t>工程师发现承包人使用不符合设计或有关标准要求的材料和工程设备时，有权要求承包人进行修复、拆除或重新采购，由此增加的费用和（或）延误的工期，由承包人承担。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6.2.4 材料和工程设备的所有权</w:t>
      </w:r>
    </w:p>
    <w:p>
      <w:pPr>
        <w:spacing w:line="276" w:lineRule="auto"/>
        <w:jc w:val="left"/>
        <w:rPr>
          <w:rFonts w:asciiTheme="minorEastAsia" w:hAnsiTheme="minorEastAsia"/>
          <w:sz w:val="24"/>
        </w:rPr>
      </w:pPr>
      <w:r>
        <w:rPr>
          <w:rFonts w:hint="eastAsia" w:asciiTheme="minorEastAsia" w:hAnsiTheme="minorEastAsia" w:eastAsiaTheme="minorEastAsia"/>
          <w:sz w:val="24"/>
        </w:rPr>
        <w:t>除本合同另有约定外，承包人根据第6.2.2项[承包人提供的材料和工程设备]约定提供的材料和工程设备后，材料及工程设备的价款应列入第14.3.1项第（2）目的进度款金额中，发包人支付当期进度款之后，其所有权转为发包人所有（周转性材料除外）；在发包人接收工程前，承包人有义务对材料和工程设备进行保管、维护和保养，未经发包人批准不得运出现场。</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承包人按第6.2.2项提供的材料和工程设备，承包人应确保发包人取得无权利负担的材料及工程设备所有权，因承包人与第三人的物权争议导致的增加的费用和（或）延误的工期，由承包人承担。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6.3 样品</w:t>
      </w:r>
    </w:p>
    <w:p>
      <w:pPr>
        <w:spacing w:line="276" w:lineRule="auto"/>
        <w:jc w:val="left"/>
        <w:rPr>
          <w:rFonts w:asciiTheme="minorEastAsia" w:hAnsiTheme="minorEastAsia"/>
          <w:sz w:val="24"/>
        </w:rPr>
      </w:pPr>
      <w:r>
        <w:rPr>
          <w:rFonts w:hint="eastAsia" w:asciiTheme="minorEastAsia" w:hAnsiTheme="minorEastAsia" w:eastAsiaTheme="minorEastAsia"/>
          <w:sz w:val="24"/>
        </w:rPr>
        <w:t>6.3.1 样品的报送与封存</w:t>
      </w:r>
    </w:p>
    <w:p>
      <w:pPr>
        <w:spacing w:line="276" w:lineRule="auto"/>
        <w:jc w:val="left"/>
        <w:rPr>
          <w:rFonts w:asciiTheme="minorEastAsia" w:hAnsiTheme="minorEastAsia"/>
          <w:sz w:val="24"/>
        </w:rPr>
      </w:pPr>
      <w:r>
        <w:rPr>
          <w:rFonts w:hint="eastAsia" w:asciiTheme="minorEastAsia" w:hAnsiTheme="minorEastAsia" w:eastAsiaTheme="minorEastAsia"/>
          <w:sz w:val="24"/>
        </w:rPr>
        <w:t>需要承包人报送样品的材料或工程设备，样品的种类、名称、规格、数量等要求均应在专用合同条件中约定。样品的报送程序如下：</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应在计划采购前28天向工程师报送样品。承包人报送的样品均应来自供应材料的实际生产地，且提供的样品的规格、数量足以表明材料或工程设备的质量、型号、颜色、表面处理、质地、误差和其他要求的特征。</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每次报送样品时应随附申报单，申报单应载明报送样品的相关数据和资料，并标明每件样品对应的图纸号，预留工程师审批意见栏。工程师应在收到承包人报送的样品后7天向承包人回复经发包人签认的样品审批意见。</w:t>
      </w:r>
    </w:p>
    <w:p>
      <w:pPr>
        <w:spacing w:line="276" w:lineRule="auto"/>
        <w:jc w:val="left"/>
        <w:rPr>
          <w:rFonts w:asciiTheme="minorEastAsia" w:hAnsiTheme="minorEastAsia"/>
          <w:sz w:val="24"/>
        </w:rPr>
      </w:pPr>
      <w:r>
        <w:rPr>
          <w:rFonts w:hint="eastAsia" w:asciiTheme="minorEastAsia" w:hAnsiTheme="minorEastAsia" w:eastAsiaTheme="minorEastAsia"/>
          <w:sz w:val="24"/>
        </w:rPr>
        <w:t>（3） 经工程师审批确认的样品应按约定的方法封样，封存的样品作为检验工程相关部分的标准之一。承包人在施工过程中不得使用与样品不符的材料或工程设备。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（4） 工程师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pPr>
        <w:spacing w:line="276" w:lineRule="auto"/>
        <w:jc w:val="left"/>
        <w:rPr>
          <w:rFonts w:asciiTheme="minorEastAsia" w:hAnsiTheme="minorEastAsia"/>
          <w:sz w:val="24"/>
        </w:rPr>
      </w:pPr>
      <w:r>
        <w:rPr>
          <w:rFonts w:hint="eastAsia" w:asciiTheme="minorEastAsia" w:hAnsiTheme="minorEastAsia" w:eastAsiaTheme="minorEastAsia"/>
          <w:sz w:val="24"/>
        </w:rPr>
        <w:t>6.3.2 样品的保管</w:t>
      </w:r>
    </w:p>
    <w:p>
      <w:pPr>
        <w:spacing w:line="276" w:lineRule="auto"/>
        <w:jc w:val="left"/>
        <w:rPr>
          <w:rFonts w:asciiTheme="minorEastAsia" w:hAnsiTheme="minorEastAsia"/>
          <w:sz w:val="24"/>
        </w:rPr>
      </w:pPr>
      <w:r>
        <w:rPr>
          <w:rFonts w:hint="eastAsia" w:asciiTheme="minorEastAsia" w:hAnsiTheme="minorEastAsia" w:eastAsiaTheme="minorEastAsia"/>
          <w:sz w:val="24"/>
        </w:rPr>
        <w:t>经批准的样品应由工程师负责封存于现场，承包人应在现场为保存样品提供适当和固定的场所并保持适当和良好的存储环境条件。</w:t>
      </w:r>
    </w:p>
    <w:p>
      <w:pPr>
        <w:spacing w:line="276" w:lineRule="auto"/>
        <w:jc w:val="left"/>
        <w:rPr>
          <w:rFonts w:asciiTheme="minorEastAsia" w:hAnsiTheme="minorEastAsia"/>
          <w:sz w:val="24"/>
        </w:rPr>
      </w:pPr>
      <w:r>
        <w:rPr>
          <w:rFonts w:hint="eastAsia" w:asciiTheme="minorEastAsia" w:hAnsiTheme="minorEastAsia" w:eastAsiaTheme="minorEastAsia"/>
          <w:sz w:val="24"/>
        </w:rPr>
        <w:t>6.4 质量检查</w:t>
      </w:r>
    </w:p>
    <w:p>
      <w:pPr>
        <w:spacing w:line="276" w:lineRule="auto"/>
        <w:jc w:val="left"/>
        <w:rPr>
          <w:rFonts w:asciiTheme="minorEastAsia" w:hAnsiTheme="minorEastAsia"/>
          <w:sz w:val="24"/>
        </w:rPr>
      </w:pPr>
      <w:r>
        <w:rPr>
          <w:rFonts w:hint="eastAsia" w:asciiTheme="minorEastAsia" w:hAnsiTheme="minorEastAsia" w:eastAsiaTheme="minorEastAsia"/>
          <w:sz w:val="24"/>
        </w:rPr>
        <w:t>6.4.1 工程质量要求</w:t>
      </w:r>
    </w:p>
    <w:p>
      <w:pPr>
        <w:spacing w:line="276" w:lineRule="auto"/>
        <w:jc w:val="left"/>
        <w:rPr>
          <w:rFonts w:asciiTheme="minorEastAsia" w:hAnsiTheme="minorEastAsia"/>
          <w:sz w:val="24"/>
        </w:rPr>
      </w:pPr>
      <w:r>
        <w:rPr>
          <w:rFonts w:hint="eastAsia" w:asciiTheme="minorEastAsia" w:hAnsiTheme="minorEastAsia" w:eastAsiaTheme="minorEastAsia"/>
          <w:sz w:val="24"/>
        </w:rPr>
        <w:t>工程质量标准必须符合现行国家有关工程施工质量验收规范和标准的要求。有关工程质量的特殊标准或要求由合同当事人在专用合同条件中约定。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造成工程质量未达到合同约定标准的，发包人有权要求承包人返工直至工程质量达到合同约定的标准为止，并由承包人承担由此增加的费用和（或）延误的工期。因发包人原因造成工程质量未达到合同约定标准的，由发包人承担由此增加的费用和（或）延误的工期，并支付承包人合理的利润。</w:t>
      </w:r>
    </w:p>
    <w:p>
      <w:pPr>
        <w:spacing w:line="276" w:lineRule="auto"/>
        <w:jc w:val="left"/>
        <w:rPr>
          <w:rFonts w:asciiTheme="minorEastAsia" w:hAnsiTheme="minorEastAsia"/>
          <w:sz w:val="24"/>
        </w:rPr>
      </w:pPr>
      <w:r>
        <w:rPr>
          <w:rFonts w:hint="eastAsia" w:asciiTheme="minorEastAsia" w:hAnsiTheme="minorEastAsia" w:eastAsiaTheme="minorEastAsia"/>
          <w:sz w:val="24"/>
        </w:rPr>
        <w:t>6.4.2 质量检查</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有权通过工程师或自行对全部工程内容及其施工工艺、材料和工程设备进行检查和检验。承包人应为工程师或发包人的检查和检验提供方便，包括到施工现场，或制造、加工地点，或专用合同条件约定的其他地方进行察看和查阅施工原始记录。承包人还应按工程师或发包人指示，进行施工现场的取样试验，工程复核测量和设备性能检测，提供试验样品、提交试验报告和测量成果以及工程师或发包人指示进行的其他工作。工程师或发包人的检查和检验，不免除承包人按合同约定应负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6.4.3 隐蔽工程检查</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除专用合同条件另有约定外，工程隐蔽部位经承包人自检确认具备覆盖条件的，承包人应书面通知工程师在约定的期限内检查，通知中应载明隐蔽检查的内容、时间和地点，并应附有自检记录和必要的检查资料。</w:t>
      </w:r>
    </w:p>
    <w:p>
      <w:pPr>
        <w:spacing w:line="276" w:lineRule="auto"/>
        <w:jc w:val="left"/>
        <w:rPr>
          <w:rFonts w:asciiTheme="minorEastAsia" w:hAnsiTheme="minorEastAsia"/>
          <w:sz w:val="24"/>
        </w:rPr>
      </w:pPr>
      <w:r>
        <w:rPr>
          <w:rFonts w:hint="eastAsia" w:asciiTheme="minorEastAsia" w:hAnsiTheme="minorEastAsia" w:eastAsiaTheme="minorEastAsia"/>
          <w:sz w:val="24"/>
        </w:rPr>
        <w:t>工程师应按时到场并对隐蔽工程及其施工工艺、材料和工程设备进行检查。经工程师检查确认质量符合隐蔽要求，并在验收记录上签字后，承包人才能进行覆盖。经工程师检查质量不合格的，承包人应在工程师指示的时间内完成修复，并由工程师重新检查，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工程师不能按时进行检查的，应提前向承包人提交书面延期要求，顺延时间不得超过48小时，由此导致工期延误的，工期应予以顺延，顺延超过48小时的，由此导致的工期延误及费用增加由发包人承担。工程师未按时进行检查，也未提出延期要求的，视为隐蔽工程检查合格，承包人可自行完成覆盖工作，并作相应记录报送工程师，工程师应签字确认。工程师事后对检查记录有疑问的，可按下列约定重新检查。</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覆盖工程隐蔽部位后，工程师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承包人未通知工程师到场检查，私自将工程隐蔽部位覆盖的，工程师有权指示承包人钻孔探测或揭开检查，无论工程隐蔽部位质量是否合格，由此增加的费用和（或）延误的工期均由承包人承担。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6.5 由承包人试验和检验</w:t>
      </w:r>
    </w:p>
    <w:p>
      <w:pPr>
        <w:spacing w:line="276" w:lineRule="auto"/>
        <w:jc w:val="left"/>
        <w:rPr>
          <w:rFonts w:asciiTheme="minorEastAsia" w:hAnsiTheme="minorEastAsia"/>
          <w:sz w:val="24"/>
        </w:rPr>
      </w:pPr>
      <w:r>
        <w:rPr>
          <w:rFonts w:hint="eastAsia" w:asciiTheme="minorEastAsia" w:hAnsiTheme="minorEastAsia" w:eastAsiaTheme="minorEastAsia"/>
          <w:sz w:val="24"/>
        </w:rPr>
        <w:t>6.5.1 试验设备与试验人员</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根据合同约定或工程师指示进行的现场材料试验，应由承包人提供试验场所、试验人员、试验设备以及其他必要的试验条件。工程师在必要时可以使用承包人提供的试验场所、试验设备以及其他试验条件，进行以工程质量检查为目的的材料复核试验，承包人应予以协助。</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承包人应按专用合同条件约定的试验内容、时间和地点提供试验设备、取样装置、试验场所和试验条件，并向工程师提交相应进场计划表。</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承包人配置的试验设备要符合相应试验规程的要求并经过具有资质的检测单位检测，且在正式使用该试验设备前，需要经过工程师与承包人共同校定。</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承包人应向工程师提交试验人员的名单及其岗位、资格等证明资料，试验人员必须能够熟练进行相应的检测试验，承包人对试验人员的试验程序和试验结果的正确性负责。</w:t>
      </w:r>
    </w:p>
    <w:p>
      <w:pPr>
        <w:spacing w:line="276" w:lineRule="auto"/>
        <w:jc w:val="left"/>
        <w:rPr>
          <w:rFonts w:asciiTheme="minorEastAsia" w:hAnsiTheme="minorEastAsia"/>
          <w:sz w:val="24"/>
        </w:rPr>
      </w:pPr>
      <w:r>
        <w:rPr>
          <w:rFonts w:hint="eastAsia" w:asciiTheme="minorEastAsia" w:hAnsiTheme="minorEastAsia" w:eastAsiaTheme="minorEastAsia"/>
          <w:sz w:val="24"/>
        </w:rPr>
        <w:t>6.5.2 取样</w:t>
      </w:r>
    </w:p>
    <w:p>
      <w:pPr>
        <w:spacing w:line="276" w:lineRule="auto"/>
        <w:jc w:val="left"/>
        <w:rPr>
          <w:rFonts w:asciiTheme="minorEastAsia" w:hAnsiTheme="minorEastAsia"/>
          <w:sz w:val="24"/>
        </w:rPr>
      </w:pPr>
      <w:r>
        <w:rPr>
          <w:rFonts w:hint="eastAsia" w:asciiTheme="minorEastAsia" w:hAnsiTheme="minorEastAsia" w:eastAsiaTheme="minorEastAsia"/>
          <w:sz w:val="24"/>
        </w:rPr>
        <w:t>试验属于自检性质的，承包人可以单独取样。试验属于工程师抽检性质的，可由工程师取样，也可由承包人的试验人员在工程师的监督下取样。</w:t>
      </w:r>
    </w:p>
    <w:p>
      <w:pPr>
        <w:spacing w:line="276" w:lineRule="auto"/>
        <w:jc w:val="left"/>
        <w:rPr>
          <w:rFonts w:asciiTheme="minorEastAsia" w:hAnsiTheme="minorEastAsia"/>
          <w:sz w:val="24"/>
        </w:rPr>
      </w:pPr>
      <w:r>
        <w:rPr>
          <w:rFonts w:hint="eastAsia" w:asciiTheme="minorEastAsia" w:hAnsiTheme="minorEastAsia" w:eastAsiaTheme="minorEastAsia"/>
          <w:sz w:val="24"/>
        </w:rPr>
        <w:t>6.5.3 材料、工程设备和工程的试验和检验</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应按合同约定进行材料和工程设备的试验和检验，并为工程师对上述材料、工程设备和工程的质量检查提供必要的试验资料和原始记录。按合同约定应由工程师与承包人共同进行试验和检验的，由承包人负责提供必要的试验资料和原始记录。</w:t>
      </w:r>
    </w:p>
    <w:p>
      <w:pPr>
        <w:spacing w:line="276" w:lineRule="auto"/>
        <w:jc w:val="left"/>
        <w:rPr>
          <w:rFonts w:asciiTheme="minorEastAsia" w:hAnsiTheme="minorEastAsia"/>
          <w:sz w:val="24"/>
        </w:rPr>
      </w:pPr>
      <w:r>
        <w:rPr>
          <w:rFonts w:hint="eastAsia" w:asciiTheme="minorEastAsia" w:hAnsiTheme="minorEastAsia" w:eastAsiaTheme="minorEastAsia"/>
          <w:sz w:val="24"/>
        </w:rPr>
        <w:t>（2） 试验属于自检性质的，承包人可以单独进行试验。试验属于工程师抽检性质的，工程师可以单独进行试验，也可由承包人与工程师共同进行。承包人对由工程师单独进行的试验结果有异议的，可以申请重新共同进行试验。约定共同进行试验的，工程师未按照约定参加试验的，承包人可自行试验，并将试验结果报送工程师，工程师应承认该试验结果。</w:t>
      </w:r>
    </w:p>
    <w:p>
      <w:pPr>
        <w:spacing w:line="276" w:lineRule="auto"/>
        <w:jc w:val="left"/>
        <w:rPr>
          <w:rFonts w:asciiTheme="minorEastAsia" w:hAnsiTheme="minorEastAsia"/>
          <w:sz w:val="24"/>
        </w:rPr>
      </w:pPr>
      <w:r>
        <w:rPr>
          <w:rFonts w:hint="eastAsia" w:asciiTheme="minorEastAsia" w:hAnsiTheme="minorEastAsia" w:eastAsiaTheme="minorEastAsia"/>
          <w:sz w:val="24"/>
        </w:rPr>
        <w:t>（3） 工程师对承包人的试验和检验结果有异议的，或为查清承包人试验和检验成果的可靠性要求承包人重新试验和检验的，可由工程师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6.5.4 现场工艺试验</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承包人应按合同约定进行现场工艺试验。对大型的现场工艺试验，发包人认为必要时，承包人应根据发包人提出的工艺试验要求，编制工艺试验措施计划，报送发包人审查。</w:t>
      </w:r>
    </w:p>
    <w:p>
      <w:pPr>
        <w:spacing w:line="276" w:lineRule="auto"/>
        <w:jc w:val="left"/>
        <w:rPr>
          <w:rFonts w:asciiTheme="minorEastAsia" w:hAnsiTheme="minorEastAsia"/>
          <w:sz w:val="24"/>
        </w:rPr>
      </w:pPr>
      <w:r>
        <w:rPr>
          <w:rFonts w:hint="eastAsia" w:asciiTheme="minorEastAsia" w:hAnsiTheme="minorEastAsia" w:eastAsiaTheme="minorEastAsia"/>
          <w:sz w:val="24"/>
        </w:rPr>
        <w:t>6.6 缺陷和修补</w:t>
      </w:r>
    </w:p>
    <w:p>
      <w:pPr>
        <w:spacing w:line="276" w:lineRule="auto"/>
        <w:jc w:val="left"/>
        <w:rPr>
          <w:rFonts w:asciiTheme="minorEastAsia" w:hAnsiTheme="minorEastAsia"/>
          <w:sz w:val="24"/>
        </w:rPr>
      </w:pPr>
      <w:r>
        <w:rPr>
          <w:rFonts w:hint="eastAsia" w:asciiTheme="minorEastAsia" w:hAnsiTheme="minorEastAsia" w:eastAsiaTheme="minorEastAsia"/>
          <w:sz w:val="24"/>
        </w:rPr>
        <w:t>6.6.1 发包人可在颁发接收证书前随时指示承包人：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（1） 对不符合合同要求的任何工程设备或材料进行修补，或者将其移出现场并进行更换；</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（2） 对不符合合同的其他工作进行修补，或者将其去除并重新实施； </w:t>
      </w:r>
    </w:p>
    <w:p>
      <w:pPr>
        <w:spacing w:line="276" w:lineRule="auto"/>
        <w:jc w:val="left"/>
        <w:rPr>
          <w:rFonts w:asciiTheme="minorEastAsia" w:hAnsiTheme="minorEastAsia"/>
          <w:sz w:val="24"/>
        </w:rPr>
      </w:pPr>
      <w:r>
        <w:rPr>
          <w:rFonts w:hint="eastAsia" w:asciiTheme="minorEastAsia" w:hAnsiTheme="minorEastAsia" w:eastAsiaTheme="minorEastAsia"/>
          <w:sz w:val="24"/>
        </w:rPr>
        <w:t>（3） 实施因意外、不可预见的事件或其他原因引起的、为工程的安全迫切需要的任何修补工作。</w:t>
      </w:r>
    </w:p>
    <w:p>
      <w:pPr>
        <w:spacing w:line="276" w:lineRule="auto"/>
        <w:jc w:val="left"/>
        <w:rPr>
          <w:rFonts w:asciiTheme="minorEastAsia" w:hAnsiTheme="minorEastAsia"/>
          <w:sz w:val="24"/>
        </w:rPr>
      </w:pPr>
      <w:r>
        <w:rPr>
          <w:rFonts w:hint="eastAsia" w:asciiTheme="minorEastAsia" w:hAnsiTheme="minorEastAsia" w:eastAsiaTheme="minorEastAsia"/>
          <w:sz w:val="24"/>
        </w:rPr>
        <w:t>6.6.2 承包人应遵守第6.6.1项下指示，并在合理可行的情况下，根据上述指示中规定的时间完成修补工作。除因下列原因引起的第6.6.1项第（3）目下的情形外，承包人应承担所有修补工作的费用：</w:t>
      </w:r>
    </w:p>
    <w:p>
      <w:pPr>
        <w:spacing w:line="276" w:lineRule="auto"/>
        <w:jc w:val="left"/>
        <w:rPr>
          <w:rFonts w:asciiTheme="minorEastAsia" w:hAnsiTheme="minorEastAsia"/>
          <w:sz w:val="24"/>
        </w:rPr>
      </w:pPr>
      <w:r>
        <w:rPr>
          <w:rFonts w:hint="eastAsia" w:asciiTheme="minorEastAsia" w:hAnsiTheme="minorEastAsia" w:eastAsiaTheme="minorEastAsia"/>
          <w:sz w:val="24"/>
        </w:rPr>
        <w:t>（1） 因发包人或其人员的任何行为导致的情形，且在此情况下发包人应承担因此引起的工期延误和承包人费用损失，并向承包人支付合理的利润。</w:t>
      </w:r>
    </w:p>
    <w:p>
      <w:pPr>
        <w:spacing w:line="276" w:lineRule="auto"/>
        <w:jc w:val="left"/>
        <w:rPr>
          <w:rFonts w:asciiTheme="minorEastAsia" w:hAnsiTheme="minorEastAsia"/>
          <w:sz w:val="24"/>
        </w:rPr>
      </w:pPr>
      <w:r>
        <w:rPr>
          <w:rFonts w:hint="eastAsia" w:asciiTheme="minorEastAsia" w:hAnsiTheme="minorEastAsia" w:eastAsiaTheme="minorEastAsia"/>
          <w:sz w:val="24"/>
        </w:rPr>
        <w:t>（2） 第17.4款[不可抗力后果的承担]中适用的不可抗力事件的情形。</w:t>
      </w:r>
    </w:p>
    <w:p>
      <w:pPr>
        <w:spacing w:line="276" w:lineRule="auto"/>
        <w:jc w:val="left"/>
        <w:rPr>
          <w:rFonts w:asciiTheme="minorEastAsia" w:hAnsiTheme="minorEastAsia"/>
          <w:sz w:val="24"/>
        </w:rPr>
      </w:pPr>
      <w:r>
        <w:rPr>
          <w:rFonts w:hint="eastAsia" w:asciiTheme="minorEastAsia" w:hAnsiTheme="minorEastAsia" w:eastAsiaTheme="minorEastAsia"/>
          <w:sz w:val="24"/>
        </w:rPr>
        <w:t>6.6.3 如果承包人未能遵守发包人的指示，发包人可以自行决定请第三方完成上述修补工作，并有权要求承包人支付因未履行指示而产生的所有费用，但承包人根据第6.6.2项有权就修补工作获得支付的情况除外。</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第7条 施工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7.1 交通运输 </w:t>
      </w:r>
    </w:p>
    <w:p>
      <w:pPr>
        <w:spacing w:line="276" w:lineRule="auto"/>
        <w:jc w:val="left"/>
        <w:rPr>
          <w:rFonts w:asciiTheme="minorEastAsia" w:hAnsiTheme="minorEastAsia"/>
          <w:sz w:val="24"/>
        </w:rPr>
      </w:pPr>
      <w:r>
        <w:rPr>
          <w:rFonts w:hint="eastAsia" w:asciiTheme="minorEastAsia" w:hAnsiTheme="minorEastAsia" w:eastAsiaTheme="minorEastAsia"/>
          <w:sz w:val="24"/>
        </w:rPr>
        <w:t>7.1.1 出入现场的权利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发包人应根据工程实施需要，负责取得出入施工现场所需的批准手续和全部权利，以及取得因工程实施所需修建道路、桥梁以及其他基础设施的权利，并承担相关手续费用和建设费用。承包人应协助发包人办理修建场内外道路、桥梁以及其他基础设施的手续。</w:t>
      </w:r>
    </w:p>
    <w:p>
      <w:pPr>
        <w:spacing w:line="276" w:lineRule="auto"/>
        <w:jc w:val="left"/>
        <w:rPr>
          <w:rFonts w:asciiTheme="minorEastAsia" w:hAnsiTheme="minorEastAsia"/>
          <w:sz w:val="24"/>
        </w:rPr>
      </w:pPr>
      <w:r>
        <w:rPr>
          <w:rFonts w:hint="eastAsia" w:asciiTheme="minorEastAsia" w:hAnsiTheme="minorEastAsia" w:eastAsiaTheme="minorEastAsia"/>
          <w:sz w:val="24"/>
        </w:rPr>
        <w:t>7.1.2 场外交通</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发包人应提供场外交通设施的技术参数和具体条件，场外交通设施无法满足工程施工需要的，由发包人负责承担由此产生的相关费用。承包人应遵守有关交通法规，严格按照道路和桥梁的限制荷载行驶，执行有关道路限速、限行、禁止超载的规定，并配合交通管理部门的监督和检查。承包人车辆外出行驶所需的场外公共道路的通行费、养路费和税款等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7.1.3 场内交通</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负责修建、维修、养护和管理施工所需的临时道路和交通设施，包括维修、养护和管理发包人提供的道路和交通设施，并承担相应费用。承包人修建的临时道路和交通设施应免费提供发包人和工程师为实现合同目的使用。场内交通与场外交通的边界由合同当事人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7.1.4 超大件和超重件的运输</w:t>
      </w:r>
    </w:p>
    <w:p>
      <w:pPr>
        <w:spacing w:line="276" w:lineRule="auto"/>
        <w:jc w:val="left"/>
        <w:rPr>
          <w:rFonts w:asciiTheme="minorEastAsia" w:hAnsiTheme="minorEastAsia"/>
          <w:sz w:val="24"/>
        </w:rPr>
      </w:pPr>
      <w:r>
        <w:rPr>
          <w:rFonts w:hint="eastAsia" w:asciiTheme="minorEastAsia" w:hAnsiTheme="minorEastAsia" w:eastAsiaTheme="minorEastAsia"/>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件另有约定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7.1.5 道路和桥梁的损坏责任</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因承包人运输造成施工现场内外公共道路和桥梁损坏的，由承包人承担修复损坏的全部费用和可能引起的赔偿。</w:t>
      </w:r>
    </w:p>
    <w:p>
      <w:pPr>
        <w:spacing w:line="276" w:lineRule="auto"/>
        <w:jc w:val="left"/>
        <w:rPr>
          <w:rFonts w:asciiTheme="minorEastAsia" w:hAnsiTheme="minorEastAsia"/>
          <w:sz w:val="24"/>
        </w:rPr>
      </w:pPr>
      <w:r>
        <w:rPr>
          <w:rFonts w:hint="eastAsia" w:asciiTheme="minorEastAsia" w:hAnsiTheme="minorEastAsia" w:eastAsiaTheme="minorEastAsia"/>
          <w:sz w:val="24"/>
        </w:rPr>
        <w:t>7.1.6 水路和航空运输</w:t>
      </w:r>
    </w:p>
    <w:p>
      <w:pPr>
        <w:spacing w:line="276" w:lineRule="auto"/>
        <w:jc w:val="left"/>
        <w:rPr>
          <w:rFonts w:asciiTheme="minorEastAsia" w:hAnsiTheme="minorEastAsia"/>
          <w:sz w:val="24"/>
        </w:rPr>
      </w:pPr>
      <w:r>
        <w:rPr>
          <w:rFonts w:hint="eastAsia" w:asciiTheme="minorEastAsia" w:hAnsiTheme="minorEastAsia" w:eastAsiaTheme="minorEastAsia"/>
          <w:sz w:val="24"/>
        </w:rPr>
        <w:t>本条上述各款的内容适用于水路运输和航空运输，其中“道路”一词的涵义包括河道、航线、船闸、机场、码头、堤防以及水路或航空运输中其他相似结构物；“车辆”一词的涵义包括船舶和飞机等。</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7.2 施工设备和临时设施 </w:t>
      </w:r>
    </w:p>
    <w:p>
      <w:pPr>
        <w:spacing w:line="276" w:lineRule="auto"/>
        <w:jc w:val="left"/>
        <w:rPr>
          <w:rFonts w:asciiTheme="minorEastAsia" w:hAnsiTheme="minorEastAsia"/>
          <w:sz w:val="24"/>
        </w:rPr>
      </w:pPr>
      <w:r>
        <w:rPr>
          <w:rFonts w:hint="eastAsia" w:asciiTheme="minorEastAsia" w:hAnsiTheme="minorEastAsia" w:eastAsiaTheme="minorEastAsia"/>
          <w:sz w:val="24"/>
        </w:rPr>
        <w:t>7.2.1 承包人提供的施工设备和临时设施</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承包人应按项目进度计划的要求，及时配置施工设备和修建临时设施。进入施工现场的承包人提供的施工设备需经工程师核查后才能投入使用。承包人更换合同约定由承包人提供的施工设备的，应报工程师批准。</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自行承担修建临时设施的费用，需要临时占地的，应由发包人办理申请手续并承担相应费用。承包人应在专用合同条件7.2款约定的时间内向发包人提交临时占地资料，因承包人未能按时提交资料，导致工期延误的，由此增加的费用和（或）竣工日期延误，由承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7.2.2 发包人提供的施工设备和临时设施</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发包人提供的施工设备或临时设施在专用合同条件中约定。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7.2.3 要求承包人增加或更换施工设备</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承包人使用的施工设备不能满足项目进度计划和（或）质量要求时，工程师有权要求承包人增加或更换施工设备，承包人应及时增加或更换，由此增加的费用和（或）延误的工期由承包人承担。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7.2.4 施工设备和临时设施专用于合同工程</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运入施工现场的施工设备以及在施工现场建设的临时设施必须专用于工程。未经发包人批准，承包人不得运出施工现场或挪作他用；经发包人批准，承包人可以根据施工进度计划撤走闲置的施工设备和其他物品。</w:t>
      </w:r>
    </w:p>
    <w:p>
      <w:pPr>
        <w:spacing w:line="276" w:lineRule="auto"/>
        <w:jc w:val="left"/>
        <w:rPr>
          <w:rFonts w:asciiTheme="minorEastAsia" w:hAnsiTheme="minorEastAsia"/>
          <w:sz w:val="24"/>
        </w:rPr>
      </w:pPr>
      <w:r>
        <w:rPr>
          <w:rFonts w:hint="eastAsia" w:asciiTheme="minorEastAsia" w:hAnsiTheme="minorEastAsia" w:eastAsiaTheme="minorEastAsia"/>
          <w:sz w:val="24"/>
        </w:rPr>
        <w:t>7.3 现场合作</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承包人应按合同约定或发包人的指示，与发包人人员、发包人的其他承包人等人员就在现场或附近实施与工程有关的各项工作进行合作并提供适当条件，包括使用承包人设备、临时工程或进入现场等。</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承包人应对其在现场的施工活动负责，并应尽合理努力按合同约定或发包人的指示，协调自身与发包人人员、发包人的其他承包人等人员的活动。</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如果承包人提供上述合作、条件或协调在考虑到《发包人要求》所列内容的情况下是不可预见的，则承包人有权就额外费用和合理利润从发包人处获得支付，且因此延误的工期应相应顺延。</w:t>
      </w:r>
    </w:p>
    <w:p>
      <w:pPr>
        <w:spacing w:line="276" w:lineRule="auto"/>
        <w:jc w:val="left"/>
        <w:rPr>
          <w:rFonts w:asciiTheme="minorEastAsia" w:hAnsiTheme="minorEastAsia"/>
          <w:sz w:val="24"/>
        </w:rPr>
      </w:pPr>
      <w:r>
        <w:rPr>
          <w:rFonts w:hint="eastAsia" w:asciiTheme="minorEastAsia" w:hAnsiTheme="minorEastAsia" w:eastAsiaTheme="minorEastAsia"/>
          <w:sz w:val="24"/>
        </w:rPr>
        <w:t>7.4 测量放线</w:t>
      </w:r>
    </w:p>
    <w:p>
      <w:pPr>
        <w:spacing w:line="276" w:lineRule="auto"/>
        <w:jc w:val="left"/>
        <w:rPr>
          <w:rFonts w:asciiTheme="minorEastAsia" w:hAnsiTheme="minorEastAsia"/>
          <w:sz w:val="24"/>
        </w:rPr>
      </w:pPr>
      <w:r>
        <w:rPr>
          <w:rFonts w:hint="eastAsia" w:asciiTheme="minorEastAsia" w:hAnsiTheme="minorEastAsia" w:eastAsiaTheme="minorEastAsia"/>
          <w:sz w:val="24"/>
        </w:rPr>
        <w:t>7.4.1 除专用合同条件另有约定外，承包人应根据国家测绘基准、测绘系统和工程测量技术规范，按基准点（线）以及合同工程精度要求，测设施工控制网，并在专用合同条件约定的期限内，将施工控制网资料报送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7.4.2 承包人应负责管理施工控制网点。施工控制网点丢失或损坏的，承包人应及时修复。承包人应承担施工控制网点的管理与修复费用，并在工程竣工后将施工控制网点移交发包人。承包人负责对工程、单位/区段工程、施工部位放线，并对放线的准确性负责。</w:t>
      </w:r>
    </w:p>
    <w:p>
      <w:pPr>
        <w:spacing w:line="276" w:lineRule="auto"/>
        <w:jc w:val="left"/>
        <w:rPr>
          <w:rFonts w:asciiTheme="minorEastAsia" w:hAnsiTheme="minorEastAsia"/>
          <w:sz w:val="24"/>
        </w:rPr>
      </w:pPr>
      <w:r>
        <w:rPr>
          <w:rFonts w:hint="eastAsia" w:asciiTheme="minorEastAsia" w:hAnsiTheme="minorEastAsia" w:eastAsiaTheme="minorEastAsia"/>
          <w:sz w:val="24"/>
        </w:rPr>
        <w:t>7.4.3 承包人负责施工过程中的全部施工测量放线工作，并配置具有相应资质的人员、合格的仪器、设备和其他物品。承包人应矫正工程的位置、标高、尺寸或基准线中出现的任何差错，并对工程各部分的定位负责。施工过程中对施工现场内水准点等测量标志物的保护工作由承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7.5 现场劳动用工</w:t>
      </w:r>
    </w:p>
    <w:p>
      <w:pPr>
        <w:spacing w:line="276" w:lineRule="auto"/>
        <w:jc w:val="left"/>
        <w:rPr>
          <w:rFonts w:asciiTheme="minorEastAsia" w:hAnsiTheme="minorEastAsia"/>
          <w:sz w:val="24"/>
        </w:rPr>
      </w:pPr>
      <w:r>
        <w:rPr>
          <w:rFonts w:hint="eastAsia" w:asciiTheme="minorEastAsia" w:hAnsiTheme="minorEastAsia" w:eastAsiaTheme="minorEastAsia"/>
          <w:sz w:val="24"/>
        </w:rPr>
        <w:t>7.5.1 承包人及其分包人招用建筑工人的，应当依法与所招用的建筑工人订立劳动合同，实行建筑工人劳动用工实名制管理，承包人应当按照有关规定开设建筑工人工资专用账户、存储工资保证金，专项用于支付和保障该工程建设项目建筑工人工资。</w:t>
      </w:r>
    </w:p>
    <w:p>
      <w:pPr>
        <w:spacing w:line="276" w:lineRule="auto"/>
        <w:jc w:val="left"/>
        <w:rPr>
          <w:rFonts w:asciiTheme="minorEastAsia" w:hAnsiTheme="minorEastAsia"/>
          <w:sz w:val="24"/>
        </w:rPr>
      </w:pPr>
      <w:r>
        <w:rPr>
          <w:rFonts w:hint="eastAsia" w:asciiTheme="minorEastAsia" w:hAnsiTheme="minorEastAsia" w:eastAsiaTheme="minorEastAsia"/>
          <w:sz w:val="24"/>
        </w:rPr>
        <w:t>7.5.2 承包人应当在工程项目部配备劳资专管员，对分包单位劳动用工及工资发放实施监督管理。承包人拖欠建筑工人工资的,应当依法予以清偿。分包人拖欠建筑工人工资的,由承包人先行清偿,再依法进行追偿。因发包人未按照合同约定及时拨付工程款导致建筑工人工资拖欠的，发包人应当以未结清的工程款为限先行垫付被拖欠的建筑工人工资。合同当事人可在专用合同条件中约定具体的清偿事宜和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7.5.3 承包人应当按照相关法律法规的要求，进行劳动用工管理和建筑工人工资支付。</w:t>
      </w:r>
    </w:p>
    <w:p>
      <w:pPr>
        <w:spacing w:line="276" w:lineRule="auto"/>
        <w:jc w:val="left"/>
        <w:rPr>
          <w:rFonts w:asciiTheme="minorEastAsia" w:hAnsiTheme="minorEastAsia"/>
          <w:sz w:val="24"/>
        </w:rPr>
      </w:pPr>
      <w:r>
        <w:rPr>
          <w:rFonts w:hint="eastAsia" w:asciiTheme="minorEastAsia" w:hAnsiTheme="minorEastAsia" w:eastAsiaTheme="minorEastAsia"/>
          <w:sz w:val="24"/>
        </w:rPr>
        <w:t>7.6 安全文明施工</w:t>
      </w:r>
    </w:p>
    <w:p>
      <w:pPr>
        <w:spacing w:line="276" w:lineRule="auto"/>
        <w:jc w:val="left"/>
        <w:rPr>
          <w:rFonts w:asciiTheme="minorEastAsia" w:hAnsiTheme="minorEastAsia"/>
          <w:sz w:val="24"/>
        </w:rPr>
      </w:pPr>
      <w:r>
        <w:rPr>
          <w:rFonts w:hint="eastAsia" w:asciiTheme="minorEastAsia" w:hAnsiTheme="minorEastAsia" w:eastAsiaTheme="minorEastAsia"/>
          <w:sz w:val="24"/>
        </w:rPr>
        <w:t>7.6.1 安全生产要求</w:t>
      </w:r>
    </w:p>
    <w:p>
      <w:pPr>
        <w:spacing w:line="276" w:lineRule="auto"/>
        <w:jc w:val="left"/>
        <w:rPr>
          <w:rFonts w:asciiTheme="minorEastAsia" w:hAnsiTheme="minorEastAsia"/>
          <w:sz w:val="24"/>
        </w:rPr>
      </w:pPr>
      <w:r>
        <w:rPr>
          <w:rFonts w:hint="eastAsia" w:asciiTheme="minorEastAsia" w:hAnsiTheme="minorEastAsia" w:eastAsiaTheme="minorEastAsia"/>
          <w:sz w:val="24"/>
        </w:rPr>
        <w:t>合同履行期间，合同当事人均应当遵守国家和工程所在地有关安全生产的要求，合同当事人有特别要求的，应在专用合同条件中明确安全生产标准化目标及相应事项。承包人有权拒绝发包人及工程师强令承包人违章作业、冒险施工的任何指示。</w:t>
      </w:r>
    </w:p>
    <w:p>
      <w:pPr>
        <w:spacing w:line="276" w:lineRule="auto"/>
        <w:jc w:val="left"/>
        <w:rPr>
          <w:rFonts w:asciiTheme="minorEastAsia" w:hAnsiTheme="minorEastAsia"/>
          <w:sz w:val="24"/>
        </w:rPr>
      </w:pPr>
      <w:r>
        <w:rPr>
          <w:rFonts w:hint="eastAsia" w:asciiTheme="minorEastAsia" w:hAnsiTheme="minorEastAsia" w:eastAsiaTheme="minorEastAsia"/>
          <w:sz w:val="24"/>
        </w:rPr>
        <w:t>在工程实施过程中，如遇到突发的地质变动、事先未知的地下施工障碍等影响施工安全的紧急情况，承包人应及时报告工程师和发包人，发包人应当及时下令停工并采取应急措施，按照相关法律法规的要求需上报政府有关行政管理部门的，应依法上报。</w:t>
      </w:r>
    </w:p>
    <w:p>
      <w:pPr>
        <w:spacing w:line="276" w:lineRule="auto"/>
        <w:jc w:val="left"/>
        <w:rPr>
          <w:rFonts w:asciiTheme="minorEastAsia" w:hAnsiTheme="minorEastAsia"/>
          <w:sz w:val="24"/>
        </w:rPr>
      </w:pPr>
      <w:r>
        <w:rPr>
          <w:rFonts w:hint="eastAsia" w:asciiTheme="minorEastAsia" w:hAnsiTheme="minorEastAsia" w:eastAsiaTheme="minorEastAsia"/>
          <w:sz w:val="24"/>
        </w:rPr>
        <w:t>因安全生产需要暂停施工的，按照第8.9款[暂停工作]的约定执行。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7.6.2 安全生产保证措施</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承包人应当按照法律、法规和工程建设强制性标准进行设计、在设计文件中注明涉及施工安全的重点部位和环节，提出保障施工作业人员和预防安全事故的措施建议，防止因设计不合理导致生产安全事故的发生。</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工程师及政府安全监督部门的检查与监督。</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承包人应加强施工作业安全管理，特别应加强对于易燃、易爆材料、火工器材、有毒与腐蚀性材料和其他危险品的管理，以及对爆破作业和地下工程施工等危险作业的管理。</w:t>
      </w:r>
    </w:p>
    <w:p>
      <w:pPr>
        <w:spacing w:line="276" w:lineRule="auto"/>
        <w:jc w:val="left"/>
        <w:rPr>
          <w:rFonts w:asciiTheme="minorEastAsia" w:hAnsiTheme="minorEastAsia"/>
          <w:sz w:val="24"/>
        </w:rPr>
      </w:pPr>
      <w:r>
        <w:rPr>
          <w:rFonts w:hint="eastAsia" w:asciiTheme="minorEastAsia" w:hAnsiTheme="minorEastAsia" w:eastAsiaTheme="minorEastAsia"/>
          <w:sz w:val="24"/>
        </w:rPr>
        <w:t>7.6.3 文明施工</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承包人在工程施工期间，应当采取措施保持施工现场平整，物料堆放整齐。工程所在地有关政府行政管理部门有特殊要求的，按照其要求执行。合同当事人对文明施工有其他要求的，可以在专用合同条件中明确。</w:t>
      </w:r>
    </w:p>
    <w:p>
      <w:pPr>
        <w:spacing w:line="276" w:lineRule="auto"/>
        <w:jc w:val="left"/>
        <w:rPr>
          <w:rFonts w:asciiTheme="minorEastAsia" w:hAnsiTheme="minorEastAsia"/>
          <w:sz w:val="24"/>
        </w:rPr>
      </w:pPr>
      <w:r>
        <w:rPr>
          <w:rFonts w:hint="eastAsia" w:asciiTheme="minorEastAsia" w:hAnsiTheme="minorEastAsia" w:eastAsiaTheme="minorEastAsia"/>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pPr>
        <w:spacing w:line="276" w:lineRule="auto"/>
        <w:jc w:val="left"/>
        <w:rPr>
          <w:rFonts w:asciiTheme="minorEastAsia" w:hAnsiTheme="minorEastAsia"/>
          <w:sz w:val="24"/>
        </w:rPr>
      </w:pPr>
      <w:r>
        <w:rPr>
          <w:rFonts w:hint="eastAsia" w:asciiTheme="minorEastAsia" w:hAnsiTheme="minorEastAsia" w:eastAsiaTheme="minorEastAsia"/>
          <w:sz w:val="24"/>
        </w:rPr>
        <w:t>7.6.4 事故处理</w:t>
      </w:r>
    </w:p>
    <w:p>
      <w:pPr>
        <w:spacing w:line="276" w:lineRule="auto"/>
        <w:jc w:val="left"/>
        <w:rPr>
          <w:rFonts w:asciiTheme="minorEastAsia" w:hAnsiTheme="minorEastAsia"/>
          <w:sz w:val="24"/>
        </w:rPr>
      </w:pPr>
      <w:r>
        <w:rPr>
          <w:rFonts w:hint="eastAsia" w:asciiTheme="minorEastAsia" w:hAnsiTheme="minorEastAsia" w:eastAsiaTheme="minorEastAsia"/>
          <w:sz w:val="24"/>
        </w:rPr>
        <w:t>工程实施过程中发生事故的，承包人应立即通知工程师。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spacing w:line="276" w:lineRule="auto"/>
        <w:jc w:val="left"/>
        <w:rPr>
          <w:rFonts w:asciiTheme="minorEastAsia" w:hAnsiTheme="minorEastAsia"/>
          <w:sz w:val="24"/>
        </w:rPr>
      </w:pPr>
      <w:r>
        <w:rPr>
          <w:rFonts w:hint="eastAsia" w:asciiTheme="minorEastAsia" w:hAnsiTheme="minorEastAsia" w:eastAsiaTheme="minorEastAsia"/>
          <w:sz w:val="24"/>
        </w:rPr>
        <w:t>在工程实施期间或缺陷责任期内发生危及工程安全的事件，工程师通知承包人进行抢救和抢修，承包人声明无能力或不愿立即执行的，发包人有权雇佣其他人员进行抢救和抢修。此类抢救和抢修按合同约定属于承包人义务的，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7.6.5 安全生产责任</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发包人应负责赔偿以下各种情况造成的损失：</w:t>
      </w:r>
    </w:p>
    <w:p>
      <w:pPr>
        <w:spacing w:line="276" w:lineRule="auto"/>
        <w:jc w:val="left"/>
        <w:rPr>
          <w:rFonts w:asciiTheme="minorEastAsia" w:hAnsiTheme="minorEastAsia"/>
          <w:sz w:val="24"/>
        </w:rPr>
      </w:pPr>
      <w:r>
        <w:rPr>
          <w:rFonts w:hint="eastAsia" w:asciiTheme="minorEastAsia" w:hAnsiTheme="minorEastAsia" w:eastAsiaTheme="minorEastAsia"/>
          <w:sz w:val="24"/>
        </w:rPr>
        <w:t>（1） 工程或工程的任何部分对土地的占用所造成的第三者财产损失；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（2） 由于发包人原因在施工现场及其毗邻地带、履行合同工作中造成的第三者人身伤亡和财产损失；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（3） 由于发包人原因对发包人自身、承包人、工程师造成的人身伤害和财产损失。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承包人应负责赔偿由于承包人原因在施工现场及其毗邻地带、履行合同工作中造成的第三者人身伤亡和财产损失。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如果上述损失是由于发包人和承包人共同原因导致的，则双方应根据过错情况按比例承担。</w:t>
      </w:r>
    </w:p>
    <w:p>
      <w:pPr>
        <w:spacing w:line="276" w:lineRule="auto"/>
        <w:jc w:val="left"/>
        <w:rPr>
          <w:rFonts w:asciiTheme="minorEastAsia" w:hAnsiTheme="minorEastAsia"/>
          <w:sz w:val="24"/>
        </w:rPr>
      </w:pPr>
      <w:r>
        <w:rPr>
          <w:rFonts w:hint="eastAsia" w:asciiTheme="minorEastAsia" w:hAnsiTheme="minorEastAsia" w:eastAsiaTheme="minorEastAsia"/>
          <w:sz w:val="24"/>
        </w:rPr>
        <w:t>7.7 职业健康</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承包人应遵守适用的职业健康的法律和合同约定（包括对雇用、职业健康、安全、福利等方面的规定），负责现场实施过程中其人员的职业健康和保护，包括：</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应遵守适用的劳动法规，保护承包人员工及承包人聘用的第三方人员的合法休假权等合法权益，按照法律规定安排现场施工人员的劳动和休息时间，保障劳动者的休息时间，并支付合理的报酬和费用。因工程施工的特殊需要占用休假日或延长工作时间的，应不超过法律规定的限度，并按法律规定给予补休或酬劳。</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应依法为承包人员工及承包人聘用的第三方人员办理必要的证件、许可、保险和注册等，承包人应督促其分包人为分包人员工及分包人聘用的第三方人员办理必要的证件、许可、保险和注册等。承包人应为其履行合同所雇用的人员提供必要的膳宿条件和生活环境，必要的现场食宿条件。</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应对其施工人员进行相关作业的职业健康知识培训、危险及危害因素交底、安全操作规程交底、采取有效措施，按有关规定为其现场人员提供劳动保护用品、防护器具、防暑降温用品和安全生产设施。采取有效的防止粉尘、降低噪声、控制有害气体和保障高温、高寒、高空作业安全等劳动保护措施。</w:t>
      </w:r>
    </w:p>
    <w:p>
      <w:pPr>
        <w:spacing w:line="276" w:lineRule="auto"/>
        <w:jc w:val="left"/>
        <w:rPr>
          <w:rFonts w:asciiTheme="minorEastAsia" w:hAnsiTheme="minorEastAsia"/>
          <w:sz w:val="24"/>
        </w:rPr>
      </w:pPr>
      <w:r>
        <w:rPr>
          <w:rFonts w:hint="eastAsia" w:asciiTheme="minorEastAsia" w:hAnsiTheme="minorEastAsia" w:eastAsiaTheme="minorEastAsia"/>
          <w:sz w:val="24"/>
        </w:rPr>
        <w:t>（4） 承包人应在有毒有害作业区域设置警示标志和说明，对有毒有害岗位进行防治检查，对不合格的防护设施、器具、搭设等及时整改，消除危害职业健康的隐患。发包人人员和工程师人员未经承包人允许、未配备相关保护器具，进入该作业区域所造成的伤害，由发包人承担责任和费用。</w:t>
      </w:r>
    </w:p>
    <w:p>
      <w:pPr>
        <w:spacing w:line="276" w:lineRule="auto"/>
        <w:jc w:val="left"/>
        <w:rPr>
          <w:rFonts w:asciiTheme="minorEastAsia" w:hAnsiTheme="minorEastAsia"/>
          <w:sz w:val="24"/>
        </w:rPr>
      </w:pPr>
      <w:r>
        <w:rPr>
          <w:rFonts w:hint="eastAsia" w:asciiTheme="minorEastAsia" w:hAnsiTheme="minorEastAsia" w:eastAsiaTheme="minorEastAsia"/>
          <w:sz w:val="24"/>
        </w:rPr>
        <w:t>（5） 承包人应采取有效措施预防传染病，保持食堂的饮食卫生，保证施工人员的健康，并定期对施工现场、施工人员生活基地和工程进行防疫和卫生的专业检查和处理, 在远离城镇的施工现场，还应配备必要的伤病防治和急救的医务人员与医疗设施。承包人雇佣人员在施工中受到伤害的，承包人应立即采取有效措施进行抢救和治疗。</w:t>
      </w:r>
    </w:p>
    <w:p>
      <w:pPr>
        <w:spacing w:line="276" w:lineRule="auto"/>
        <w:jc w:val="left"/>
        <w:rPr>
          <w:rFonts w:asciiTheme="minorEastAsia" w:hAnsiTheme="minorEastAsia"/>
          <w:sz w:val="24"/>
        </w:rPr>
      </w:pPr>
      <w:r>
        <w:rPr>
          <w:rFonts w:hint="eastAsia" w:asciiTheme="minorEastAsia" w:hAnsiTheme="minorEastAsia" w:eastAsiaTheme="minorEastAsia"/>
          <w:sz w:val="24"/>
        </w:rPr>
        <w:t>7.8 环境保护</w:t>
      </w:r>
    </w:p>
    <w:p>
      <w:pPr>
        <w:spacing w:line="276" w:lineRule="auto"/>
        <w:jc w:val="left"/>
        <w:rPr>
          <w:rFonts w:asciiTheme="minorEastAsia" w:hAnsiTheme="minorEastAsia"/>
          <w:sz w:val="24"/>
        </w:rPr>
      </w:pPr>
      <w:r>
        <w:rPr>
          <w:rFonts w:hint="eastAsia" w:asciiTheme="minorEastAsia" w:hAnsiTheme="minorEastAsia" w:eastAsiaTheme="minorEastAsia"/>
          <w:sz w:val="24"/>
        </w:rPr>
        <w:t>7.8.1 承包人负责在现场施工过程中对现场周围的建筑物、构筑物、文物建筑、古树、名木，及地下管线、线缆、构筑物、文物、化石和坟墓等进行保护。因承包人未能通知发包人，并在未能得到发包人进一步指示的情况下，所造成的损害、损失、赔偿等费用增加，和（或）竣工日期延误，由承包人负责。如承包人已及时通知发包人，发包人未能及时作出指示的，所造成的损害、损失、赔偿等费用增加，和（或）竣工日期延误，由发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7.8.2 承包人应采取措施，并负责控制和（或）处理现场的粉尘、废气、废水、固体废物和噪声对环境的污染和危害。因此发生的伤害、赔偿、罚款等费用增加，和（或）竣工日期延误，由承包人负责。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7.8.3 承包人及时或定期将施工现场残留、废弃的垃圾分类后运到发包人或当地有关行政部门指定的地点，防止对周围环境的污染及对作业的影响。承包人应当承担因其原因引起的环境污染侵权损害赔偿责任，因违反上述约定导致当地行政部门的罚款、赔偿等增加的费用，由承包人承担；因上述环境污染引起纠纷而导致暂停施工的，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7.9 临时性公用设施 </w:t>
      </w:r>
    </w:p>
    <w:p>
      <w:pPr>
        <w:spacing w:line="276" w:lineRule="auto"/>
        <w:jc w:val="left"/>
        <w:rPr>
          <w:rFonts w:asciiTheme="minorEastAsia" w:hAnsiTheme="minorEastAsia"/>
          <w:sz w:val="24"/>
        </w:rPr>
      </w:pPr>
      <w:r>
        <w:rPr>
          <w:rFonts w:hint="eastAsia" w:asciiTheme="minorEastAsia" w:hAnsiTheme="minorEastAsia" w:eastAsiaTheme="minorEastAsia"/>
          <w:sz w:val="24"/>
        </w:rPr>
        <w:t>7.9.1 提供临时用水、用电等和节点铺设</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发包人应在承包人进场前将施工临时用水、用电等接至约定的节点位置，并保证其需要。上述临时使用的水、电等的类别、取费单价在专用合同条件中约定，发包人按实际计量结果收费。发包人无法提供的水、电等在专用合同条件中约定，相关费用由承包人纳入报价并承担相关责任。</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未能按约定的类别和时间完成节点铺设，使开工时间延误，竣工日期相应顺延。未能按约定的品质、数量和时间提供水、电等，给承包人造成的损失由发包人承担，导致工程关键路径延误的，竣工日期相应顺延。</w:t>
      </w:r>
    </w:p>
    <w:p>
      <w:pPr>
        <w:spacing w:line="276" w:lineRule="auto"/>
        <w:jc w:val="left"/>
        <w:rPr>
          <w:rFonts w:asciiTheme="minorEastAsia" w:hAnsiTheme="minorEastAsia"/>
          <w:sz w:val="24"/>
        </w:rPr>
      </w:pPr>
      <w:r>
        <w:rPr>
          <w:rFonts w:hint="eastAsia" w:asciiTheme="minorEastAsia" w:hAnsiTheme="minorEastAsia" w:eastAsiaTheme="minorEastAsia"/>
          <w:sz w:val="24"/>
        </w:rPr>
        <w:t>7.9.2 临时用水、用电等</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在计划开始现场施工日期28天前或双方约定的其它时间，按专用合同条件中约定的发包人能够提供的临时用水、用电等类别，向发包人提交施工（含工程物资保管）所需的临时用水、用电等的品质、正常用量、高峰用量、使用时间和节点位置等资料。承包人自费负责计量仪器的购买、安装和维护，并依据专用合同条件中约定的单价向发包人交费，合同当事人另有约定时除外。</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因承包人未能按合同约定提交上述资料，造成发包人费用增加和竣工日期延误时，由承包人负责。</w:t>
      </w:r>
    </w:p>
    <w:p>
      <w:pPr>
        <w:spacing w:line="276" w:lineRule="auto"/>
        <w:jc w:val="left"/>
        <w:rPr>
          <w:rFonts w:asciiTheme="minorEastAsia" w:hAnsiTheme="minorEastAsia"/>
          <w:sz w:val="24"/>
        </w:rPr>
      </w:pPr>
      <w:r>
        <w:rPr>
          <w:rFonts w:hint="eastAsia" w:asciiTheme="minorEastAsia" w:hAnsiTheme="minorEastAsia" w:eastAsiaTheme="minorEastAsia"/>
          <w:sz w:val="24"/>
        </w:rPr>
        <w:t>7.10 现场安保</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承担自发包人向其移交施工现场、进入占有施工现场至发包人接收单位/区段工程或（和）工程之前的现场安保责任，并负责编制相关的安保制度、责任制度和报告制度，提交给发包人。除专用合同条件另有约定外，承包人的该等义务不因其与他人共同合法占有施工现场而减免。承包人有权要求发包人负责协调他人就共同合法占有现场的安保事宜接受承包人的管理。</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承包人应将其作业限制在现场区域、合同约定的区域或为履行合同所需的区域内。承包人应采取一切必要的预防措施，以保持承包人的设备和人员处于现场区域内，避免其进入邻近地区。</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承包人为履行合同义务而占用的其他场所（如预制加工场所、办公及生活营区） 的安保适用本款前述关于现场安保的规定。</w:t>
      </w:r>
    </w:p>
    <w:p>
      <w:pPr>
        <w:spacing w:line="276" w:lineRule="auto"/>
        <w:jc w:val="left"/>
        <w:rPr>
          <w:rFonts w:asciiTheme="minorEastAsia" w:hAnsiTheme="minorEastAsia"/>
          <w:sz w:val="24"/>
        </w:rPr>
      </w:pPr>
      <w:r>
        <w:rPr>
          <w:rFonts w:hint="eastAsia" w:asciiTheme="minorEastAsia" w:hAnsiTheme="minorEastAsia" w:eastAsiaTheme="minorEastAsia"/>
          <w:sz w:val="24"/>
        </w:rPr>
        <w:t>7.11 工程照管</w:t>
      </w:r>
    </w:p>
    <w:p>
      <w:pPr>
        <w:spacing w:line="276" w:lineRule="auto"/>
        <w:jc w:val="left"/>
        <w:rPr>
          <w:rFonts w:asciiTheme="minorEastAsia" w:hAnsiTheme="minorEastAsia"/>
          <w:sz w:val="24"/>
        </w:rPr>
      </w:pPr>
      <w:r>
        <w:rPr>
          <w:rFonts w:hint="eastAsia" w:asciiTheme="minorEastAsia" w:hAnsiTheme="minorEastAsia" w:eastAsiaTheme="minorEastAsia"/>
          <w:sz w:val="24"/>
        </w:rPr>
        <w:t>自开始现场施工日期起至发包人应当接收工程之日止，承包人应承担工程现场、材料、设备及承包人文件的照管和维护工作。</w:t>
      </w:r>
    </w:p>
    <w:p>
      <w:pPr>
        <w:spacing w:line="276" w:lineRule="auto"/>
        <w:jc w:val="left"/>
        <w:rPr>
          <w:rFonts w:asciiTheme="minorEastAsia" w:hAnsiTheme="minorEastAsia"/>
          <w:sz w:val="24"/>
        </w:rPr>
      </w:pPr>
      <w:r>
        <w:rPr>
          <w:rFonts w:hint="eastAsia" w:asciiTheme="minorEastAsia" w:hAnsiTheme="minorEastAsia" w:eastAsiaTheme="minorEastAsia"/>
          <w:sz w:val="24"/>
        </w:rPr>
        <w:t>如部分工程于竣工验收前提前交付发包人的，则自交付之日起，该部分工程照管及维护职责由发包人承担。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如发包人及承包人进行竣工验收时尚有部分未竣工工程的，承包人应负责该未竣工工程的照管和维护工作，直至竣工后移交给发包人。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如合同解除或终止的，承包人自合同解除或终止之日起不再对工程承担照管和维护义务。</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第8条 工期和进度</w:t>
      </w:r>
    </w:p>
    <w:p>
      <w:pPr>
        <w:spacing w:line="276" w:lineRule="auto"/>
        <w:jc w:val="left"/>
        <w:rPr>
          <w:rFonts w:asciiTheme="minorEastAsia" w:hAnsiTheme="minorEastAsia"/>
          <w:sz w:val="24"/>
        </w:rPr>
      </w:pPr>
      <w:r>
        <w:rPr>
          <w:rFonts w:hint="eastAsia" w:asciiTheme="minorEastAsia" w:hAnsiTheme="minorEastAsia" w:eastAsiaTheme="minorEastAsia"/>
          <w:sz w:val="24"/>
        </w:rPr>
        <w:t>8.1 开始工作</w:t>
      </w:r>
    </w:p>
    <w:p>
      <w:pPr>
        <w:spacing w:line="276" w:lineRule="auto"/>
        <w:jc w:val="left"/>
        <w:rPr>
          <w:rFonts w:asciiTheme="minorEastAsia" w:hAnsiTheme="minorEastAsia"/>
          <w:sz w:val="24"/>
        </w:rPr>
      </w:pPr>
      <w:r>
        <w:rPr>
          <w:rFonts w:hint="eastAsia" w:asciiTheme="minorEastAsia" w:hAnsiTheme="minorEastAsia" w:eastAsiaTheme="minorEastAsia"/>
          <w:sz w:val="24"/>
        </w:rPr>
        <w:t>8.1.1 开始工作准备</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合同当事人应按专用合同条件约定完成开始工作准备工作。</w:t>
      </w:r>
    </w:p>
    <w:p>
      <w:pPr>
        <w:spacing w:line="276" w:lineRule="auto"/>
        <w:jc w:val="left"/>
        <w:rPr>
          <w:rFonts w:asciiTheme="minorEastAsia" w:hAnsiTheme="minorEastAsia"/>
          <w:sz w:val="24"/>
        </w:rPr>
      </w:pPr>
      <w:r>
        <w:rPr>
          <w:rFonts w:hint="eastAsia" w:asciiTheme="minorEastAsia" w:hAnsiTheme="minorEastAsia" w:eastAsiaTheme="minorEastAsia"/>
          <w:sz w:val="24"/>
        </w:rPr>
        <w:t>8.1.2 开始工作通知</w:t>
      </w:r>
    </w:p>
    <w:p>
      <w:pPr>
        <w:spacing w:line="276" w:lineRule="auto"/>
        <w:jc w:val="left"/>
        <w:rPr>
          <w:rFonts w:asciiTheme="minorEastAsia" w:hAnsiTheme="minorEastAsia"/>
          <w:sz w:val="24"/>
        </w:rPr>
      </w:pPr>
      <w:r>
        <w:rPr>
          <w:rFonts w:hint="eastAsia" w:asciiTheme="minorEastAsia" w:hAnsiTheme="minorEastAsia" w:eastAsiaTheme="minorEastAsia"/>
          <w:sz w:val="24"/>
        </w:rPr>
        <w:t>经发包人同意后，工程师应提前7天向承包人发出经发包人签认的开始工作通知，工期自开始工作通知中载明的开始工作日期起算。</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因发包人原因造成实际开始现场施工日期迟于计划开始现场施工日期后第84天的，承包人有权提出价格调整要求，或者解除合同。发包人应当承担由此增加的费用和（或）延误的工期，并向承包人支付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8.2 竣工日期 </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承包人应在合同协议书约定的工期内完成合同工作。除专用合同条件另有约定外，工程的竣工日期以第10.1条[竣工验收]的约定为准，并在工程接收证书中写明。</w:t>
      </w:r>
    </w:p>
    <w:p>
      <w:pPr>
        <w:spacing w:line="276" w:lineRule="auto"/>
        <w:jc w:val="left"/>
        <w:rPr>
          <w:rFonts w:asciiTheme="minorEastAsia" w:hAnsiTheme="minorEastAsia"/>
          <w:sz w:val="24"/>
        </w:rPr>
      </w:pPr>
      <w:r>
        <w:rPr>
          <w:rFonts w:hint="eastAsia" w:asciiTheme="minorEastAsia" w:hAnsiTheme="minorEastAsia" w:eastAsiaTheme="minorEastAsia"/>
          <w:sz w:val="24"/>
        </w:rPr>
        <w:t>因发包人原因，在工程师收到承包人竣工验收申请报告42天后未进行验收的，视为验收合格，实际竣工日期以提交竣工验收申请报告的日期为准，但发包人由于不可抗力不能进行验收的除外。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8.3 项目实施计划</w:t>
      </w:r>
    </w:p>
    <w:p>
      <w:pPr>
        <w:spacing w:line="276" w:lineRule="auto"/>
        <w:jc w:val="left"/>
        <w:rPr>
          <w:rFonts w:asciiTheme="minorEastAsia" w:hAnsiTheme="minorEastAsia"/>
          <w:sz w:val="24"/>
        </w:rPr>
      </w:pPr>
      <w:r>
        <w:rPr>
          <w:rFonts w:hint="eastAsia" w:asciiTheme="minorEastAsia" w:hAnsiTheme="minorEastAsia" w:eastAsiaTheme="minorEastAsia"/>
          <w:sz w:val="24"/>
        </w:rPr>
        <w:t>8.3.1 项目实施计划的内容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项目实施计划是依据合同和经批准的项目管理计划进行编制并用于对项目实施进行管理和控制的文件，应包含概述、总体实施方案、项目实施要点、项目初步进度计划以及合同当事人在专用合同条件中约定的其他内容。</w:t>
      </w:r>
    </w:p>
    <w:p>
      <w:pPr>
        <w:spacing w:line="276" w:lineRule="auto"/>
        <w:jc w:val="left"/>
        <w:rPr>
          <w:rFonts w:asciiTheme="minorEastAsia" w:hAnsiTheme="minorEastAsia"/>
          <w:sz w:val="24"/>
        </w:rPr>
      </w:pPr>
      <w:r>
        <w:rPr>
          <w:rFonts w:hint="eastAsia" w:asciiTheme="minorEastAsia" w:hAnsiTheme="minorEastAsia" w:eastAsiaTheme="minorEastAsia"/>
          <w:sz w:val="24"/>
        </w:rPr>
        <w:t>8.3.2 项目实施计划的提交和修改</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在合同订立后14天内，向工程师提交项目实施计划，工程师应在收到项目实施计划后21天内确认或提出修改意见。对工程师提出的合理意见和要求，承包人应自费修改完善。根据工程实施的实际情况需要修改项目实施计划的，承包人应向工程师提交修改后的项目实施计划。</w:t>
      </w:r>
    </w:p>
    <w:p>
      <w:pPr>
        <w:spacing w:line="276" w:lineRule="auto"/>
        <w:jc w:val="left"/>
        <w:rPr>
          <w:rFonts w:asciiTheme="minorEastAsia" w:hAnsiTheme="minorEastAsia"/>
          <w:sz w:val="24"/>
        </w:rPr>
      </w:pPr>
      <w:r>
        <w:rPr>
          <w:rFonts w:hint="eastAsia" w:asciiTheme="minorEastAsia" w:hAnsiTheme="minorEastAsia" w:eastAsiaTheme="minorEastAsia"/>
          <w:sz w:val="24"/>
        </w:rPr>
        <w:t>项目进度计划的编制和修改按照第8.4款[项目进度计划]执行。</w:t>
      </w:r>
    </w:p>
    <w:p>
      <w:pPr>
        <w:spacing w:line="276" w:lineRule="auto"/>
        <w:jc w:val="left"/>
        <w:rPr>
          <w:rFonts w:asciiTheme="minorEastAsia" w:hAnsiTheme="minorEastAsia"/>
          <w:sz w:val="24"/>
        </w:rPr>
      </w:pPr>
      <w:r>
        <w:rPr>
          <w:rFonts w:hint="eastAsia" w:asciiTheme="minorEastAsia" w:hAnsiTheme="minorEastAsia" w:eastAsiaTheme="minorEastAsia"/>
          <w:sz w:val="24"/>
        </w:rPr>
        <w:t>8.4 项目进度计划</w:t>
      </w:r>
    </w:p>
    <w:p>
      <w:pPr>
        <w:spacing w:line="276" w:lineRule="auto"/>
        <w:jc w:val="left"/>
        <w:rPr>
          <w:rFonts w:asciiTheme="minorEastAsia" w:hAnsiTheme="minorEastAsia"/>
          <w:sz w:val="24"/>
        </w:rPr>
      </w:pPr>
      <w:r>
        <w:rPr>
          <w:rFonts w:hint="eastAsia" w:asciiTheme="minorEastAsia" w:hAnsiTheme="minorEastAsia" w:eastAsiaTheme="minorEastAsia"/>
          <w:sz w:val="24"/>
        </w:rPr>
        <w:t>8.4.1 项目进度计划的提交和修改</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第8.3款[项目实施计划]约定编制并向工程师提交项目初步进度计划，经工程师批准后实施。除专用合同条件另有约定外，工程师应在21天内批复或提出修改意见，否则该项目初步进度计划视为已得到批准。对工程师提出的合理意见和要求，承包人应自费修改完善。</w:t>
      </w:r>
    </w:p>
    <w:p>
      <w:pPr>
        <w:spacing w:line="276" w:lineRule="auto"/>
        <w:jc w:val="left"/>
        <w:rPr>
          <w:rFonts w:asciiTheme="minorEastAsia" w:hAnsiTheme="minorEastAsia"/>
          <w:sz w:val="24"/>
        </w:rPr>
      </w:pPr>
      <w:r>
        <w:rPr>
          <w:rFonts w:hint="eastAsia" w:asciiTheme="minorEastAsia" w:hAnsiTheme="minorEastAsia" w:eastAsiaTheme="minorEastAsia"/>
          <w:sz w:val="24"/>
        </w:rPr>
        <w:t>经工程师批准的项目初步进度计划称为项目进度计划，是控制合同工程进度的依据，工程师有权按照进度计划检查工程进度情况。承包人还应根据项目进度计划，编制更为详细的分阶段或分项的进度计划，由工程师批准。</w:t>
      </w:r>
    </w:p>
    <w:p>
      <w:pPr>
        <w:spacing w:line="276" w:lineRule="auto"/>
        <w:jc w:val="left"/>
        <w:rPr>
          <w:rFonts w:asciiTheme="minorEastAsia" w:hAnsiTheme="minorEastAsia"/>
          <w:sz w:val="24"/>
        </w:rPr>
      </w:pPr>
      <w:r>
        <w:rPr>
          <w:rFonts w:hint="eastAsia" w:asciiTheme="minorEastAsia" w:hAnsiTheme="minorEastAsia" w:eastAsiaTheme="minorEastAsia"/>
          <w:sz w:val="24"/>
        </w:rPr>
        <w:t>8.4.2 项目进度计划的内容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项目进度计划应当包括设计、承包人文件提交、采购、制造、检验、运达现场、施工、安装、试验的各个阶段的预期时间以及设计和施工组织方案说明等，其编制应当符合国家法律规定和一般工程实践惯例。项目进度计划的具体要求、关键路径及关键路径变化的确定原则、承包人提交的份数和时间等，在专用合同条件约定。</w:t>
      </w:r>
    </w:p>
    <w:p>
      <w:pPr>
        <w:spacing w:line="276" w:lineRule="auto"/>
        <w:jc w:val="left"/>
        <w:rPr>
          <w:rFonts w:asciiTheme="minorEastAsia" w:hAnsiTheme="minorEastAsia"/>
          <w:sz w:val="24"/>
        </w:rPr>
      </w:pPr>
      <w:r>
        <w:rPr>
          <w:rFonts w:hint="eastAsia" w:asciiTheme="minorEastAsia" w:hAnsiTheme="minorEastAsia" w:eastAsiaTheme="minorEastAsia"/>
          <w:sz w:val="24"/>
        </w:rPr>
        <w:t>8.4.3 项目进度计划的修订</w:t>
      </w:r>
    </w:p>
    <w:p>
      <w:pPr>
        <w:spacing w:line="276" w:lineRule="auto"/>
        <w:jc w:val="left"/>
        <w:rPr>
          <w:rFonts w:asciiTheme="minorEastAsia" w:hAnsiTheme="minorEastAsia"/>
          <w:sz w:val="24"/>
        </w:rPr>
      </w:pPr>
      <w:r>
        <w:rPr>
          <w:rFonts w:hint="eastAsia" w:asciiTheme="minorEastAsia" w:hAnsiTheme="minorEastAsia" w:eastAsiaTheme="minorEastAsia"/>
          <w:sz w:val="24"/>
        </w:rPr>
        <w:t>项目进度计划不符合合同要求或与工程的实际进度不一致的，承包人应向工程师提交修订的项目进度计划，并附具有关措施和相关资料。工程师也可以直接向承包人发出修订项目进度计划的通知，承包人如接受，应按该通知修订项目进度计划，报工程师批准。承包人如不接受，应当在14天内答复，如未按时答复视作已接受修订项目进度计划通知中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工程师应在收到修订的项目进度计划后14天内完成审批或提出修改意见，如未按时答复视作已批准承包人修订后的项目进度计划。工程师对承包人提交的项目进度计划的确认，不能减轻或免除承包人根据法律规定和合同约定应承担的任何责任或义务。</w:t>
      </w:r>
    </w:p>
    <w:p>
      <w:pPr>
        <w:spacing w:line="276" w:lineRule="auto"/>
        <w:jc w:val="left"/>
        <w:rPr>
          <w:rFonts w:asciiTheme="minorEastAsia" w:hAnsiTheme="minorEastAsia"/>
          <w:sz w:val="24"/>
        </w:rPr>
      </w:pPr>
      <w:r>
        <w:rPr>
          <w:rFonts w:hint="eastAsia" w:asciiTheme="minorEastAsia" w:hAnsiTheme="minorEastAsia" w:eastAsiaTheme="minorEastAsia"/>
          <w:sz w:val="24"/>
        </w:rPr>
        <w:t>除合同当事人另有约定外，项目进度计划的修订并不能减轻或者免除双方按第8.7款[工期延误]、第8.8款[工期提前]、第8.9款[暂停工作]应承担的合同责任。</w:t>
      </w:r>
    </w:p>
    <w:p>
      <w:pPr>
        <w:spacing w:line="276" w:lineRule="auto"/>
        <w:jc w:val="left"/>
        <w:rPr>
          <w:rFonts w:asciiTheme="minorEastAsia" w:hAnsiTheme="minorEastAsia"/>
          <w:sz w:val="24"/>
        </w:rPr>
      </w:pPr>
      <w:r>
        <w:rPr>
          <w:rFonts w:hint="eastAsia" w:asciiTheme="minorEastAsia" w:hAnsiTheme="minorEastAsia" w:eastAsiaTheme="minorEastAsia"/>
          <w:sz w:val="24"/>
        </w:rPr>
        <w:t>8.5 进度报告</w:t>
      </w:r>
    </w:p>
    <w:p>
      <w:pPr>
        <w:spacing w:line="276" w:lineRule="auto"/>
        <w:jc w:val="left"/>
        <w:rPr>
          <w:rFonts w:asciiTheme="minorEastAsia" w:hAnsiTheme="minorEastAsia"/>
          <w:sz w:val="24"/>
        </w:rPr>
      </w:pPr>
      <w:r>
        <w:rPr>
          <w:rFonts w:hint="eastAsia" w:asciiTheme="minorEastAsia" w:hAnsiTheme="minorEastAsia" w:eastAsiaTheme="minorEastAsia"/>
          <w:sz w:val="24"/>
        </w:rPr>
        <w:t>项目实施过程中，承包人应进行实际进度记录，并根据工程师的要求编制月进度报告，并提交给工程师。进度报告应包含以下主要内容：</w:t>
      </w:r>
    </w:p>
    <w:p>
      <w:pPr>
        <w:spacing w:line="276" w:lineRule="auto"/>
        <w:jc w:val="left"/>
        <w:rPr>
          <w:rFonts w:asciiTheme="minorEastAsia" w:hAnsiTheme="minorEastAsia"/>
          <w:sz w:val="24"/>
        </w:rPr>
      </w:pPr>
      <w:r>
        <w:rPr>
          <w:rFonts w:hint="eastAsia" w:asciiTheme="minorEastAsia" w:hAnsiTheme="minorEastAsia" w:eastAsiaTheme="minorEastAsia"/>
          <w:sz w:val="24"/>
        </w:rPr>
        <w:t>（1） 工程设计、采购、施工等各个工作内容的进展报告；</w:t>
      </w:r>
    </w:p>
    <w:p>
      <w:pPr>
        <w:spacing w:line="276" w:lineRule="auto"/>
        <w:jc w:val="left"/>
        <w:rPr>
          <w:rFonts w:asciiTheme="minorEastAsia" w:hAnsiTheme="minorEastAsia"/>
          <w:sz w:val="24"/>
        </w:rPr>
      </w:pPr>
      <w:r>
        <w:rPr>
          <w:rFonts w:hint="eastAsia" w:asciiTheme="minorEastAsia" w:hAnsiTheme="minorEastAsia" w:eastAsiaTheme="minorEastAsia"/>
          <w:sz w:val="24"/>
        </w:rPr>
        <w:t>（2） 工程施工方法的一般说明；</w:t>
      </w:r>
    </w:p>
    <w:p>
      <w:pPr>
        <w:spacing w:line="276" w:lineRule="auto"/>
        <w:jc w:val="left"/>
        <w:rPr>
          <w:rFonts w:asciiTheme="minorEastAsia" w:hAnsiTheme="minorEastAsia"/>
          <w:sz w:val="24"/>
        </w:rPr>
      </w:pPr>
      <w:r>
        <w:rPr>
          <w:rFonts w:hint="eastAsia" w:asciiTheme="minorEastAsia" w:hAnsiTheme="minorEastAsia" w:eastAsiaTheme="minorEastAsia"/>
          <w:sz w:val="24"/>
        </w:rPr>
        <w:t>（3） 当月工程实施介入的项目人员、设备和材料的预估明细报告；</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 当月实际进度与进度计划对比分析，以及提出未来可能引起工期延误的情形，同时提出应对措施；需要修订项目进度计划的，应对项目进度计划的修订部分进行说明； </w:t>
      </w:r>
    </w:p>
    <w:p>
      <w:pPr>
        <w:spacing w:line="276" w:lineRule="auto"/>
        <w:jc w:val="left"/>
        <w:rPr>
          <w:rFonts w:asciiTheme="minorEastAsia" w:hAnsiTheme="minorEastAsia"/>
          <w:sz w:val="24"/>
        </w:rPr>
      </w:pPr>
      <w:r>
        <w:rPr>
          <w:rFonts w:hint="eastAsia" w:asciiTheme="minorEastAsia" w:hAnsiTheme="minorEastAsia" w:eastAsiaTheme="minorEastAsia"/>
          <w:sz w:val="24"/>
        </w:rPr>
        <w:t>（5） 承包人对于解决工期延误所提出的建议；</w:t>
      </w:r>
    </w:p>
    <w:p>
      <w:pPr>
        <w:spacing w:line="276" w:lineRule="auto"/>
        <w:jc w:val="left"/>
        <w:rPr>
          <w:rFonts w:asciiTheme="minorEastAsia" w:hAnsiTheme="minorEastAsia"/>
          <w:sz w:val="24"/>
        </w:rPr>
      </w:pPr>
      <w:r>
        <w:rPr>
          <w:rFonts w:hint="eastAsia" w:asciiTheme="minorEastAsia" w:hAnsiTheme="minorEastAsia" w:eastAsiaTheme="minorEastAsia"/>
          <w:sz w:val="24"/>
        </w:rPr>
        <w:t>（6） 其他与工程有关的重大事项。</w:t>
      </w:r>
    </w:p>
    <w:p>
      <w:pPr>
        <w:spacing w:line="276" w:lineRule="auto"/>
        <w:jc w:val="left"/>
        <w:rPr>
          <w:rFonts w:asciiTheme="minorEastAsia" w:hAnsiTheme="minorEastAsia"/>
          <w:sz w:val="24"/>
        </w:rPr>
      </w:pPr>
      <w:r>
        <w:rPr>
          <w:rFonts w:hint="eastAsia" w:asciiTheme="minorEastAsia" w:hAnsiTheme="minorEastAsia" w:eastAsiaTheme="minorEastAsia"/>
          <w:sz w:val="24"/>
        </w:rPr>
        <w:t>进度报告的具体要求等，在专用合同条件约定。</w:t>
      </w:r>
    </w:p>
    <w:p>
      <w:pPr>
        <w:spacing w:line="276" w:lineRule="auto"/>
        <w:jc w:val="left"/>
        <w:rPr>
          <w:rFonts w:asciiTheme="minorEastAsia" w:hAnsiTheme="minorEastAsia"/>
          <w:sz w:val="24"/>
        </w:rPr>
      </w:pPr>
      <w:r>
        <w:rPr>
          <w:rFonts w:hint="eastAsia" w:asciiTheme="minorEastAsia" w:hAnsiTheme="minorEastAsia" w:eastAsiaTheme="minorEastAsia"/>
          <w:sz w:val="24"/>
        </w:rPr>
        <w:t>8.6 提前预警</w:t>
      </w:r>
    </w:p>
    <w:p>
      <w:pPr>
        <w:spacing w:line="276" w:lineRule="auto"/>
        <w:jc w:val="left"/>
        <w:rPr>
          <w:rFonts w:asciiTheme="minorEastAsia" w:hAnsiTheme="minorEastAsia"/>
          <w:sz w:val="24"/>
        </w:rPr>
      </w:pPr>
      <w:r>
        <w:rPr>
          <w:rFonts w:hint="eastAsia" w:asciiTheme="minorEastAsia" w:hAnsiTheme="minorEastAsia" w:eastAsiaTheme="minorEastAsia"/>
          <w:sz w:val="24"/>
        </w:rPr>
        <w:t>任何一方应当在下列情形发生时尽快书面通知另一方：</w:t>
      </w:r>
    </w:p>
    <w:p>
      <w:pPr>
        <w:spacing w:line="276" w:lineRule="auto"/>
        <w:jc w:val="left"/>
        <w:rPr>
          <w:rFonts w:asciiTheme="minorEastAsia" w:hAnsiTheme="minorEastAsia"/>
          <w:sz w:val="24"/>
        </w:rPr>
      </w:pPr>
      <w:r>
        <w:rPr>
          <w:rFonts w:hint="eastAsia" w:asciiTheme="minorEastAsia" w:hAnsiTheme="minorEastAsia" w:eastAsiaTheme="minorEastAsia"/>
          <w:sz w:val="24"/>
        </w:rPr>
        <w:t>（1） 该情形可能对合同的履行或实现合同目的产生不利影响；</w:t>
      </w:r>
    </w:p>
    <w:p>
      <w:pPr>
        <w:spacing w:line="276" w:lineRule="auto"/>
        <w:jc w:val="left"/>
        <w:rPr>
          <w:rFonts w:asciiTheme="minorEastAsia" w:hAnsiTheme="minorEastAsia"/>
          <w:sz w:val="24"/>
        </w:rPr>
      </w:pPr>
      <w:r>
        <w:rPr>
          <w:rFonts w:hint="eastAsia" w:asciiTheme="minorEastAsia" w:hAnsiTheme="minorEastAsia" w:eastAsiaTheme="minorEastAsia"/>
          <w:sz w:val="24"/>
        </w:rPr>
        <w:t>（2） 该情形可能对工程完成后的使用产生不利影响；</w:t>
      </w:r>
    </w:p>
    <w:p>
      <w:pPr>
        <w:spacing w:line="276" w:lineRule="auto"/>
        <w:jc w:val="left"/>
        <w:rPr>
          <w:rFonts w:asciiTheme="minorEastAsia" w:hAnsiTheme="minorEastAsia"/>
          <w:sz w:val="24"/>
        </w:rPr>
      </w:pPr>
      <w:r>
        <w:rPr>
          <w:rFonts w:hint="eastAsia" w:asciiTheme="minorEastAsia" w:hAnsiTheme="minorEastAsia" w:eastAsiaTheme="minorEastAsia"/>
          <w:sz w:val="24"/>
        </w:rPr>
        <w:t>（3） 该情形可能导致合同价款增加；</w:t>
      </w:r>
    </w:p>
    <w:p>
      <w:pPr>
        <w:spacing w:line="276" w:lineRule="auto"/>
        <w:jc w:val="left"/>
        <w:rPr>
          <w:rFonts w:asciiTheme="minorEastAsia" w:hAnsiTheme="minorEastAsia"/>
          <w:sz w:val="24"/>
        </w:rPr>
      </w:pPr>
      <w:r>
        <w:rPr>
          <w:rFonts w:hint="eastAsia" w:asciiTheme="minorEastAsia" w:hAnsiTheme="minorEastAsia" w:eastAsiaTheme="minorEastAsia"/>
          <w:sz w:val="24"/>
        </w:rPr>
        <w:t>（4） 该情形可能导致整个工程或单位/区段工程的工期延长。</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发包人有权要求承包人根据第13.2款[承包人的合理化建议]的约定提交变更建议，采取措施尽量避免或最小化上述情形的发生或影响。</w:t>
      </w:r>
    </w:p>
    <w:p>
      <w:pPr>
        <w:spacing w:line="276" w:lineRule="auto"/>
        <w:jc w:val="left"/>
        <w:rPr>
          <w:rFonts w:asciiTheme="minorEastAsia" w:hAnsiTheme="minorEastAsia"/>
          <w:sz w:val="24"/>
        </w:rPr>
      </w:pPr>
      <w:r>
        <w:rPr>
          <w:rFonts w:hint="eastAsia" w:asciiTheme="minorEastAsia" w:hAnsiTheme="minorEastAsia" w:eastAsiaTheme="minorEastAsia"/>
          <w:sz w:val="24"/>
        </w:rPr>
        <w:t>8.7 工期延误</w:t>
      </w:r>
    </w:p>
    <w:p>
      <w:pPr>
        <w:spacing w:line="276" w:lineRule="auto"/>
        <w:jc w:val="left"/>
        <w:rPr>
          <w:rFonts w:asciiTheme="minorEastAsia" w:hAnsiTheme="minorEastAsia"/>
          <w:sz w:val="24"/>
        </w:rPr>
      </w:pPr>
      <w:r>
        <w:rPr>
          <w:rFonts w:hint="eastAsia" w:asciiTheme="minorEastAsia" w:hAnsiTheme="minorEastAsia" w:eastAsiaTheme="minorEastAsia"/>
          <w:sz w:val="24"/>
        </w:rPr>
        <w:t>8.7.1 因发包人原因导致工期延误</w:t>
      </w:r>
    </w:p>
    <w:p>
      <w:pPr>
        <w:spacing w:line="276" w:lineRule="auto"/>
        <w:jc w:val="left"/>
        <w:rPr>
          <w:rFonts w:asciiTheme="minorEastAsia" w:hAnsiTheme="minorEastAsia"/>
          <w:sz w:val="24"/>
        </w:rPr>
      </w:pPr>
      <w:r>
        <w:rPr>
          <w:rFonts w:hint="eastAsia" w:asciiTheme="minorEastAsia" w:hAnsiTheme="minorEastAsia" w:eastAsiaTheme="minorEastAsia"/>
          <w:sz w:val="24"/>
        </w:rPr>
        <w:t>在合同履行过程中，因下列情况导致工期延误和（或）费用增加的，由发包人承担由此延误的工期和（或）增加的费用，且发包人应支付承包人合理的利润：</w:t>
      </w:r>
    </w:p>
    <w:p>
      <w:pPr>
        <w:spacing w:line="276" w:lineRule="auto"/>
        <w:jc w:val="left"/>
        <w:rPr>
          <w:rFonts w:asciiTheme="minorEastAsia" w:hAnsiTheme="minorEastAsia"/>
          <w:sz w:val="24"/>
        </w:rPr>
      </w:pPr>
      <w:r>
        <w:rPr>
          <w:rFonts w:hint="eastAsia" w:asciiTheme="minorEastAsia" w:hAnsiTheme="minorEastAsia" w:eastAsiaTheme="minorEastAsia"/>
          <w:sz w:val="24"/>
        </w:rPr>
        <w:t>（1） 根据第13条[变更与调整]的约定构成一项变更的；</w:t>
      </w:r>
    </w:p>
    <w:p>
      <w:pPr>
        <w:spacing w:line="276" w:lineRule="auto"/>
        <w:jc w:val="left"/>
        <w:rPr>
          <w:rFonts w:asciiTheme="minorEastAsia" w:hAnsiTheme="minorEastAsia"/>
          <w:sz w:val="24"/>
        </w:rPr>
      </w:pPr>
      <w:r>
        <w:rPr>
          <w:rFonts w:hint="eastAsia" w:asciiTheme="minorEastAsia" w:hAnsiTheme="minorEastAsia" w:eastAsiaTheme="minorEastAsia"/>
          <w:sz w:val="24"/>
        </w:rPr>
        <w:t>（2） 发包人违反本合同约定，导致工期延误和（或）费用增加的；</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发包人、发包人代表、工程师或发包人聘请的任意第三方造成或引起的任何延误、妨碍和阻碍；</w:t>
      </w:r>
    </w:p>
    <w:p>
      <w:pPr>
        <w:spacing w:line="276" w:lineRule="auto"/>
        <w:jc w:val="left"/>
        <w:rPr>
          <w:rFonts w:asciiTheme="minorEastAsia" w:hAnsiTheme="minorEastAsia"/>
          <w:sz w:val="24"/>
        </w:rPr>
      </w:pPr>
      <w:r>
        <w:rPr>
          <w:rFonts w:hint="eastAsia" w:asciiTheme="minorEastAsia" w:hAnsiTheme="minorEastAsia" w:eastAsiaTheme="minorEastAsia"/>
          <w:sz w:val="24"/>
        </w:rPr>
        <w:t>（4） 发包人未能依据第6.2.1项[发包人提供的材料和工程设备]的约定提供材料和工程设备导致工期延误和（或）费用增加的；</w:t>
      </w:r>
    </w:p>
    <w:p>
      <w:pPr>
        <w:spacing w:line="276" w:lineRule="auto"/>
        <w:jc w:val="left"/>
        <w:rPr>
          <w:rFonts w:asciiTheme="minorEastAsia" w:hAnsiTheme="minorEastAsia"/>
          <w:sz w:val="24"/>
        </w:rPr>
      </w:pPr>
      <w:r>
        <w:rPr>
          <w:rFonts w:hint="eastAsia" w:asciiTheme="minorEastAsia" w:hAnsiTheme="minorEastAsia" w:eastAsiaTheme="minorEastAsia"/>
          <w:sz w:val="24"/>
        </w:rPr>
        <w:t>（5） 因发包人原因导致的暂停施工；</w:t>
      </w:r>
    </w:p>
    <w:p>
      <w:pPr>
        <w:spacing w:line="276" w:lineRule="auto"/>
        <w:jc w:val="left"/>
        <w:rPr>
          <w:rFonts w:asciiTheme="minorEastAsia" w:hAnsiTheme="minorEastAsia"/>
          <w:sz w:val="24"/>
        </w:rPr>
      </w:pPr>
      <w:r>
        <w:rPr>
          <w:rFonts w:hint="eastAsia" w:asciiTheme="minorEastAsia" w:hAnsiTheme="minorEastAsia" w:eastAsiaTheme="minorEastAsia"/>
          <w:sz w:val="24"/>
        </w:rPr>
        <w:t>（6） 发包人未及时履行相关合同义务，造成工期延误的其他原因。</w:t>
      </w:r>
    </w:p>
    <w:p>
      <w:pPr>
        <w:spacing w:line="276" w:lineRule="auto"/>
        <w:jc w:val="left"/>
        <w:rPr>
          <w:rFonts w:asciiTheme="minorEastAsia" w:hAnsiTheme="minorEastAsia"/>
          <w:sz w:val="24"/>
        </w:rPr>
      </w:pPr>
      <w:r>
        <w:rPr>
          <w:rFonts w:hint="eastAsia" w:asciiTheme="minorEastAsia" w:hAnsiTheme="minorEastAsia" w:eastAsiaTheme="minorEastAsia"/>
          <w:sz w:val="24"/>
        </w:rPr>
        <w:t>8.7.2 因承包人原因导致工期延误</w:t>
      </w:r>
    </w:p>
    <w:p>
      <w:pPr>
        <w:spacing w:line="276" w:lineRule="auto"/>
        <w:jc w:val="left"/>
        <w:rPr>
          <w:rFonts w:asciiTheme="minorEastAsia" w:hAnsiTheme="minorEastAsia"/>
          <w:sz w:val="24"/>
        </w:rPr>
      </w:pPr>
      <w:r>
        <w:rPr>
          <w:rFonts w:hint="eastAsia" w:asciiTheme="minorEastAsia" w:hAnsiTheme="minorEastAsia" w:eastAsiaTheme="minorEastAsia"/>
          <w:sz w:val="24"/>
        </w:rPr>
        <w:t>由于承包人的原因，未能按项目进度计划完成工作，承包人应采取措施加快进度，并承担加快进度所增加的费用。</w:t>
      </w:r>
    </w:p>
    <w:p>
      <w:pPr>
        <w:spacing w:line="276" w:lineRule="auto"/>
        <w:jc w:val="left"/>
        <w:rPr>
          <w:rFonts w:asciiTheme="minorEastAsia" w:hAnsiTheme="minorEastAsia"/>
          <w:sz w:val="24"/>
        </w:rPr>
      </w:pPr>
      <w:r>
        <w:rPr>
          <w:rFonts w:hint="eastAsia" w:asciiTheme="minorEastAsia" w:hAnsiTheme="minorEastAsia" w:eastAsiaTheme="minorEastAsia"/>
          <w:sz w:val="24"/>
        </w:rPr>
        <w:t>由于承包人原因造成工期延误并导致逾期竣工的，承包人应支付逾期竣工违约金。逾期竣工违约金的计算方法和最高限额在专用合同条件中约定。承包人支付逾期竣工违约金，不免除承包人完成工作及修补缺陷的义务，且发包人有权从工程进度款、竣工结算款或约定提交的履约担保中扣除相当于逾期竣工违约金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8.7.3 行政审批迟延 </w:t>
      </w:r>
    </w:p>
    <w:p>
      <w:pPr>
        <w:spacing w:line="276" w:lineRule="auto"/>
        <w:jc w:val="left"/>
        <w:rPr>
          <w:rFonts w:asciiTheme="minorEastAsia" w:hAnsiTheme="minorEastAsia"/>
          <w:sz w:val="24"/>
        </w:rPr>
      </w:pPr>
      <w:r>
        <w:rPr>
          <w:rFonts w:hint="eastAsia" w:asciiTheme="minorEastAsia" w:hAnsiTheme="minorEastAsia" w:eastAsiaTheme="minorEastAsia"/>
          <w:sz w:val="24"/>
        </w:rPr>
        <w:t>合同约定范围内的工作需国家有关部门审批的，发包人和（或）承包人应按照专用合同条件约定的职责分工完成行政审批报送。因国家有关部门审批迟延造成工期延误的，竣工日期相应顺延。造成费用增加的，由双方在负责的范围内各自承担。</w:t>
      </w:r>
    </w:p>
    <w:p>
      <w:pPr>
        <w:spacing w:line="276" w:lineRule="auto"/>
        <w:jc w:val="left"/>
        <w:rPr>
          <w:rFonts w:asciiTheme="minorEastAsia" w:hAnsiTheme="minorEastAsia"/>
          <w:sz w:val="24"/>
        </w:rPr>
      </w:pPr>
      <w:r>
        <w:rPr>
          <w:rFonts w:hint="eastAsia" w:asciiTheme="minorEastAsia" w:hAnsiTheme="minorEastAsia" w:eastAsiaTheme="minorEastAsia"/>
          <w:sz w:val="24"/>
        </w:rPr>
        <w:t>8.7.4 异常恶劣的气候条件</w:t>
      </w:r>
    </w:p>
    <w:p>
      <w:pPr>
        <w:spacing w:line="276" w:lineRule="auto"/>
        <w:jc w:val="left"/>
        <w:rPr>
          <w:rFonts w:asciiTheme="minorEastAsia" w:hAnsiTheme="minorEastAsia"/>
          <w:sz w:val="24"/>
        </w:rPr>
      </w:pPr>
      <w:r>
        <w:rPr>
          <w:rFonts w:hint="eastAsia" w:asciiTheme="minorEastAsia" w:hAnsiTheme="minorEastAsia" w:eastAsiaTheme="minorEastAsia"/>
          <w:sz w:val="24"/>
        </w:rPr>
        <w:t>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采取克服异常恶劣的气候条件的合理措施继续施工，并及时通知工程师。工程师应当及时发出指示，指示构成变更的，按第13条[变更与调整]约定办理。承包人因采取合理措施而延误的工期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8.8 工期提前</w:t>
      </w:r>
    </w:p>
    <w:p>
      <w:pPr>
        <w:spacing w:line="276" w:lineRule="auto"/>
        <w:jc w:val="left"/>
        <w:rPr>
          <w:rFonts w:asciiTheme="minorEastAsia" w:hAnsiTheme="minorEastAsia"/>
          <w:sz w:val="24"/>
        </w:rPr>
      </w:pPr>
      <w:r>
        <w:rPr>
          <w:rFonts w:hint="eastAsia" w:asciiTheme="minorEastAsia" w:hAnsiTheme="minorEastAsia" w:eastAsiaTheme="minorEastAsia"/>
          <w:sz w:val="24"/>
        </w:rPr>
        <w:t>8.8.1 发包人指示承包人提前竣工且被承包人接受的，应与承包人共同协商采取加快工程进度的措施和修订项目进度计划。发包人应承担承包人由此增加的费用，增加的费用按第13条[变更与调整]的约定执行；发包人不得以任何理由要求承包人超过合理限度压缩工期。承包人有权不接受提前竣工的指示，工期按照合同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8.8.2 承包人提出提前竣工的建议且发包人接受的，应与发包人共同协商采取加快工程进度的措施和修订项目进度计划。发包人应承担承包人由此增加的费用，增加的费用按第13条[变更与调整]的约定执行，并向承包人支付专用合同条件约定的相应奖励金。</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8.9 暂停工作 </w:t>
      </w:r>
    </w:p>
    <w:p>
      <w:pPr>
        <w:spacing w:line="276" w:lineRule="auto"/>
        <w:jc w:val="left"/>
        <w:rPr>
          <w:rFonts w:asciiTheme="minorEastAsia" w:hAnsiTheme="minorEastAsia"/>
          <w:sz w:val="24"/>
        </w:rPr>
      </w:pPr>
      <w:r>
        <w:rPr>
          <w:rFonts w:hint="eastAsia" w:asciiTheme="minorEastAsia" w:hAnsiTheme="minorEastAsia" w:eastAsiaTheme="minorEastAsia"/>
          <w:sz w:val="24"/>
        </w:rPr>
        <w:t>8.9.1 由发包人暂停工作</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发包人认为必要时，可通过工程师向承包人发出经发包人签认的暂停工作通知，应列明暂停原因、暂停的日期及预计暂停的期限。承包人应按该通知暂停工作。</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承包人因执行暂停工作通知而造成费用的增加和（或）工期延误由发包人承担，并有权要求发包人支付合理利润，但由于承包人原因造成发包人暂停工作的除外。</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8.9.2 由承包人暂停工作 </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所造成部分或全部工程的暂停，承包人应采取措施尽快复工并赶上进度，由此造成费用的增加或工期延误由承包人承担。因此造成逾期竣工的，承包人应按第8.7.2项[因承包人原因导致工期延误]承担逾期竣工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合同履行过程中发生下列情形之一的，承包人可向发包人发出通知，要求发包人采取有效措施予以纠正。发包人收到承包人通知后的28天内仍不予以纠正，承包人有权暂停施工，并通知工程师。承包人有权要求发包人延长工期和（或）增加费用，并支付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发包人拖延、拒绝批准付款申请和支付证书，或未能按合同约定支付价款，导致付款延误的；</w:t>
      </w:r>
    </w:p>
    <w:p>
      <w:pPr>
        <w:spacing w:line="276" w:lineRule="auto"/>
        <w:jc w:val="left"/>
        <w:rPr>
          <w:rFonts w:asciiTheme="minorEastAsia" w:hAnsiTheme="minorEastAsia"/>
          <w:sz w:val="24"/>
        </w:rPr>
      </w:pPr>
      <w:r>
        <w:rPr>
          <w:rFonts w:hint="eastAsia" w:asciiTheme="minorEastAsia" w:hAnsiTheme="minorEastAsia" w:eastAsiaTheme="minorEastAsia"/>
          <w:sz w:val="24"/>
        </w:rPr>
        <w:t>（2） 发包人未按约定履行合同其他义务导致承包人无法继续履行合同的，或者发包人明确表示暂停或实质上已暂停履行合同的。</w:t>
      </w:r>
    </w:p>
    <w:p>
      <w:pPr>
        <w:spacing w:line="276" w:lineRule="auto"/>
        <w:jc w:val="left"/>
        <w:rPr>
          <w:rFonts w:asciiTheme="minorEastAsia" w:hAnsiTheme="minorEastAsia"/>
          <w:sz w:val="24"/>
        </w:rPr>
      </w:pPr>
      <w:r>
        <w:rPr>
          <w:rFonts w:hint="eastAsia" w:asciiTheme="minorEastAsia" w:hAnsiTheme="minorEastAsia" w:eastAsiaTheme="minorEastAsia"/>
          <w:sz w:val="24"/>
        </w:rPr>
        <w:t>8.9.3 除上述原因以外的暂停工作，双方应遵守第17条[不可抗力]的相关约定。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8.9.4 暂停工作期间的工程照管 </w:t>
      </w:r>
    </w:p>
    <w:p>
      <w:pPr>
        <w:spacing w:line="276" w:lineRule="auto"/>
        <w:jc w:val="left"/>
        <w:rPr>
          <w:rFonts w:asciiTheme="minorEastAsia" w:hAnsiTheme="minorEastAsia"/>
          <w:sz w:val="24"/>
        </w:rPr>
      </w:pPr>
      <w:r>
        <w:rPr>
          <w:rFonts w:hint="eastAsia" w:asciiTheme="minorEastAsia" w:hAnsiTheme="minorEastAsia" w:eastAsiaTheme="minorEastAsia"/>
          <w:sz w:val="24"/>
        </w:rPr>
        <w:t>不论由于何种原因引起暂停工作的，暂停工作期间，承包人应负责对工程、工程物资及文件等进行照管和保护，并提供安全保障，由此增加的费用按第8.9.1项[由发包人暂停工作]和第8.9.2项[由承包人暂停工作]的约定承担。</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因承包人未能尽到照管、保护的责任造成损失的，使发包人的费用增加，（或）竣工日期延误的，由承包人按本合同约定承担责任。</w:t>
      </w:r>
    </w:p>
    <w:p>
      <w:pPr>
        <w:spacing w:line="276" w:lineRule="auto"/>
        <w:jc w:val="left"/>
        <w:rPr>
          <w:rFonts w:asciiTheme="minorEastAsia" w:hAnsiTheme="minorEastAsia"/>
          <w:sz w:val="24"/>
        </w:rPr>
      </w:pPr>
      <w:r>
        <w:rPr>
          <w:rFonts w:hint="eastAsia" w:asciiTheme="minorEastAsia" w:hAnsiTheme="minorEastAsia" w:eastAsiaTheme="minorEastAsia"/>
          <w:sz w:val="24"/>
        </w:rPr>
        <w:t>8.9.5 拖长的暂停</w:t>
      </w:r>
    </w:p>
    <w:p>
      <w:pPr>
        <w:spacing w:line="276" w:lineRule="auto"/>
        <w:jc w:val="left"/>
        <w:rPr>
          <w:rFonts w:asciiTheme="minorEastAsia" w:hAnsiTheme="minorEastAsia"/>
          <w:sz w:val="24"/>
        </w:rPr>
      </w:pPr>
      <w:r>
        <w:rPr>
          <w:rFonts w:hint="eastAsia" w:asciiTheme="minorEastAsia" w:hAnsiTheme="minorEastAsia" w:eastAsiaTheme="minorEastAsia"/>
          <w:sz w:val="24"/>
        </w:rPr>
        <w:t>根据第8.9.1项[由发包人暂停工作]暂停工作持续超过56天的，承包人可向发包人发出要求复工的通知。如果发包人没有在收到书面通知后28天内准许已暂停工作的全部或部分继续工作，承包人有权根据第13条[变更与调整]的约定，要求以变更方式调减受暂停影响的部分工程。发包人的暂停超过56天且暂停影响到整个工程的，承包人有权根据第16.2款[由承包人解除合同]的约定，发出解除合同的通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8.10 复工 </w:t>
      </w:r>
    </w:p>
    <w:p>
      <w:pPr>
        <w:spacing w:line="276" w:lineRule="auto"/>
        <w:jc w:val="left"/>
        <w:rPr>
          <w:rFonts w:asciiTheme="minorEastAsia" w:hAnsiTheme="minorEastAsia"/>
          <w:sz w:val="24"/>
        </w:rPr>
      </w:pPr>
      <w:r>
        <w:rPr>
          <w:rFonts w:hint="eastAsia" w:asciiTheme="minorEastAsia" w:hAnsiTheme="minorEastAsia" w:eastAsiaTheme="minorEastAsia"/>
          <w:sz w:val="24"/>
        </w:rPr>
        <w:t>8.10.1 收到发包人的复工通知后，承包人应按通知时间复工；发包人通知的复工时间应当给予承包人必要的准备复工时间。</w:t>
      </w:r>
    </w:p>
    <w:p>
      <w:pPr>
        <w:spacing w:line="276" w:lineRule="auto"/>
        <w:jc w:val="left"/>
        <w:rPr>
          <w:rFonts w:asciiTheme="minorEastAsia" w:hAnsiTheme="minorEastAsia"/>
          <w:sz w:val="24"/>
        </w:rPr>
      </w:pPr>
      <w:r>
        <w:rPr>
          <w:rFonts w:hint="eastAsia" w:asciiTheme="minorEastAsia" w:hAnsiTheme="minorEastAsia" w:eastAsiaTheme="minorEastAsia"/>
          <w:sz w:val="24"/>
        </w:rPr>
        <w:t>8.10.2 不论由于何种原因引起暂停工作，双方均可要求对方一同对受暂停影响的工程、工程设备和工程物资进行检查，承包人应将检查结果及需要恢复、修复的内容和估算通知发包人。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8.10.3 除第17条[不可抗力]另有约定外，发生的恢复、修复价款及工期延误的后果由责任方承担。</w:t>
      </w:r>
    </w:p>
    <w:p>
      <w:pPr>
        <w:spacing w:line="276" w:lineRule="auto"/>
        <w:jc w:val="left"/>
        <w:rPr>
          <w:rFonts w:asciiTheme="minorEastAsia" w:hAnsiTheme="minorEastAsia"/>
          <w:b/>
          <w:sz w:val="24"/>
        </w:rPr>
      </w:pPr>
      <w:r>
        <w:rPr>
          <w:rFonts w:hint="eastAsia" w:asciiTheme="minorEastAsia" w:hAnsiTheme="minorEastAsia" w:eastAsiaTheme="minorEastAsia"/>
          <w:b/>
          <w:sz w:val="24"/>
        </w:rPr>
        <w:t xml:space="preserve">第9条 竣工试验 </w:t>
      </w:r>
    </w:p>
    <w:p>
      <w:pPr>
        <w:spacing w:line="276" w:lineRule="auto"/>
        <w:jc w:val="left"/>
        <w:rPr>
          <w:rFonts w:asciiTheme="minorEastAsia" w:hAnsiTheme="minorEastAsia"/>
          <w:sz w:val="24"/>
        </w:rPr>
      </w:pPr>
      <w:r>
        <w:rPr>
          <w:rFonts w:hint="eastAsia" w:asciiTheme="minorEastAsia" w:hAnsiTheme="minorEastAsia" w:eastAsiaTheme="minorEastAsia"/>
          <w:sz w:val="24"/>
        </w:rPr>
        <w:t>9.1 竣工试验的义务</w:t>
      </w:r>
    </w:p>
    <w:p>
      <w:pPr>
        <w:spacing w:line="276" w:lineRule="auto"/>
        <w:jc w:val="left"/>
        <w:rPr>
          <w:rFonts w:asciiTheme="minorEastAsia" w:hAnsiTheme="minorEastAsia"/>
          <w:sz w:val="24"/>
        </w:rPr>
      </w:pPr>
      <w:r>
        <w:rPr>
          <w:rFonts w:hint="eastAsia" w:asciiTheme="minorEastAsia" w:hAnsiTheme="minorEastAsia" w:eastAsiaTheme="minorEastAsia"/>
          <w:sz w:val="24"/>
        </w:rPr>
        <w:t>9.1.1 承包人完成工程或区段工程进行竣工试验所需的作业，并根据第5.4款[竣工文件]和第5.5款[操作和维修手册]提交文件后，进行竣工试验。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9.1.2 承包人应在进行竣工试验之前，至少提前42天向工程师提交详细的竣工试验计划，该计划应载明竣工试验的内容、地点、拟开展时间和需要发包人提供的资源条件。工程师应在收到计划后的14天内进行审查，并就该计划不符合合同的部分提出意见，承包人应在收到意见后的14天内自费对计划进行修正。工程师逾期未提出意见的，视为竣工试验计划已得到确认。除提交竣工试验计划外，承包人还应提前21天将可以开始进行各项竣工试验的日期通知工程师，并在该日期后的14天内或工程师指示的日期进行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9.1.3 承包人应根据经确认的竣工试验计划以及第6.5款[由承包人试验和检验]进行竣工试验。除《发包人要求》中另有说明外，竣工试验应按以下顺序分阶段进行，即只有在工程或区段工程已通过上一阶段试验的情况下，才可进行下一阶段试验：</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承包人进行启动前试验，包括适当的检查和功能性试验，以证明工程或区段工程的每一部分均能够安全地承受下一阶段试验；</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承包人进行启动试验，以证明工程或区段工程能够在所有可利用的操作条件下安全运行，并按照专用合同条件和《发包人要求》中的规定操作；</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承包人进行试运行试验。当工程或区段工程能稳定安全运行时，承包人应通知工程师，可以进行其他竣工试验，包括各种性能测试，以证明工程或区段工程符合《发包人要求》中列明的性能保证指标。</w:t>
      </w:r>
    </w:p>
    <w:p>
      <w:pPr>
        <w:spacing w:line="276" w:lineRule="auto"/>
        <w:jc w:val="left"/>
        <w:rPr>
          <w:rFonts w:asciiTheme="minorEastAsia" w:hAnsiTheme="minorEastAsia"/>
          <w:sz w:val="24"/>
        </w:rPr>
      </w:pPr>
      <w:r>
        <w:rPr>
          <w:rFonts w:hint="eastAsia" w:asciiTheme="minorEastAsia" w:hAnsiTheme="minorEastAsia" w:eastAsiaTheme="minorEastAsia"/>
          <w:sz w:val="24"/>
        </w:rPr>
        <w:t>进行上述试验不应构成第10条[验收和工程接收]规定的接收，但试验所产生的任何产品或其他收益均应归属于发包人。</w:t>
      </w:r>
    </w:p>
    <w:p>
      <w:pPr>
        <w:spacing w:line="276" w:lineRule="auto"/>
        <w:jc w:val="left"/>
        <w:rPr>
          <w:rFonts w:asciiTheme="minorEastAsia" w:hAnsiTheme="minorEastAsia"/>
          <w:sz w:val="24"/>
        </w:rPr>
      </w:pPr>
      <w:r>
        <w:rPr>
          <w:rFonts w:hint="eastAsia" w:asciiTheme="minorEastAsia" w:hAnsiTheme="minorEastAsia" w:eastAsiaTheme="minorEastAsia"/>
          <w:sz w:val="24"/>
        </w:rPr>
        <w:t>9.1.4 完成上述各阶段竣工试验后，承包人应向工程师提交试验结果报告，试验结果须符合约定的标准、规范和数据。工程师应在收到报告后14天内予以回复，逾期未回复的，视为认可竣工试验结果。但在考虑工程或区段工程是否通过竣工试验时，应适当考虑发包人对工程或其任何部分的使用，对工程或区段工程的性能、特性和试验结果产生的影响。</w:t>
      </w:r>
    </w:p>
    <w:p>
      <w:pPr>
        <w:spacing w:line="276" w:lineRule="auto"/>
        <w:jc w:val="left"/>
        <w:rPr>
          <w:rFonts w:asciiTheme="minorEastAsia" w:hAnsiTheme="minorEastAsia"/>
          <w:sz w:val="24"/>
        </w:rPr>
      </w:pPr>
      <w:r>
        <w:rPr>
          <w:rFonts w:hint="eastAsia" w:asciiTheme="minorEastAsia" w:hAnsiTheme="minorEastAsia" w:eastAsiaTheme="minorEastAsia"/>
          <w:sz w:val="24"/>
        </w:rPr>
        <w:t>9.2 延误的试验</w:t>
      </w:r>
    </w:p>
    <w:p>
      <w:pPr>
        <w:spacing w:line="276" w:lineRule="auto"/>
        <w:jc w:val="left"/>
        <w:rPr>
          <w:rFonts w:asciiTheme="minorEastAsia" w:hAnsiTheme="minorEastAsia"/>
          <w:sz w:val="24"/>
        </w:rPr>
      </w:pPr>
      <w:r>
        <w:rPr>
          <w:rFonts w:hint="eastAsia" w:asciiTheme="minorEastAsia" w:hAnsiTheme="minorEastAsia" w:eastAsiaTheme="minorEastAsia"/>
          <w:sz w:val="24"/>
        </w:rPr>
        <w:t>9.2.1 如果承包人已根据第9.1款[竣工试验的义务]就可以开始进行各项竣工试验的日期通知工程师，但该等试验因发包人原因被延误14天以上的，发包人应承担由此增加的费用和工期延误，并支付承包人合理利润。同时，承包人应在合理可行的情况下尽快进行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9.2.2 承包人无正当理由延误进行竣工试验的，工程师可向其发出通知，要求其在收到通知后的21天内进行该项竣工试验。承包人应在该21天的期限内确定进行试验的日期，并至少提前7天通知工程师。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9.2.3 如果承包人未在该期限内进行竣工试验，则发包人有权自行组织该项竣工试验，由此产生的合理费用由承包人承担。发包人应在试验完成后28天内向承包人发送试验结果。</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9.3 重新试验 </w:t>
      </w:r>
    </w:p>
    <w:p>
      <w:pPr>
        <w:spacing w:line="276" w:lineRule="auto"/>
        <w:jc w:val="left"/>
        <w:rPr>
          <w:rFonts w:asciiTheme="minorEastAsia" w:hAnsiTheme="minorEastAsia"/>
          <w:sz w:val="24"/>
        </w:rPr>
      </w:pPr>
      <w:r>
        <w:rPr>
          <w:rFonts w:hint="eastAsia" w:asciiTheme="minorEastAsia" w:hAnsiTheme="minorEastAsia" w:eastAsiaTheme="minorEastAsia"/>
          <w:sz w:val="24"/>
        </w:rPr>
        <w:t>如果工程或区段工程未能通过竣工试验，则承包人应根据第6.6款[缺陷和修补]修补缺陷。发包人或承包人可要求按相同的条件，重新进行未通过的试验以及相关工程或区段工程的竣工试验。该等重新进行的试验仍应适用本条对于竣工试验的规定。</w:t>
      </w:r>
    </w:p>
    <w:p>
      <w:pPr>
        <w:spacing w:line="276" w:lineRule="auto"/>
        <w:jc w:val="left"/>
        <w:rPr>
          <w:rFonts w:asciiTheme="minorEastAsia" w:hAnsiTheme="minorEastAsia"/>
          <w:sz w:val="24"/>
        </w:rPr>
      </w:pPr>
      <w:r>
        <w:rPr>
          <w:rFonts w:hint="eastAsia" w:asciiTheme="minorEastAsia" w:hAnsiTheme="minorEastAsia" w:eastAsiaTheme="minorEastAsia"/>
          <w:sz w:val="24"/>
        </w:rPr>
        <w:t>9.4 未能通过竣工试验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9.4.1 因发包人原因导致竣工试验未能通过的，承包人进行竣工试验的费用由发包人承担，竣工日期相应顺延。</w:t>
      </w:r>
    </w:p>
    <w:p>
      <w:pPr>
        <w:spacing w:line="276" w:lineRule="auto"/>
        <w:jc w:val="left"/>
        <w:rPr>
          <w:rFonts w:asciiTheme="minorEastAsia" w:hAnsiTheme="minorEastAsia"/>
          <w:sz w:val="24"/>
        </w:rPr>
      </w:pPr>
      <w:r>
        <w:rPr>
          <w:rFonts w:hint="eastAsia" w:asciiTheme="minorEastAsia" w:hAnsiTheme="minorEastAsia" w:eastAsiaTheme="minorEastAsia"/>
          <w:sz w:val="24"/>
        </w:rPr>
        <w:t>9.4.2 如果工程或区段工程未能通过根据第9.3款[重新试验]重新进行的竣工试验的，则：</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发包人有权要求承包人根据第6.6款[缺陷和修补]继续进行修补和改正，并根据第9.3款[重新试验]再次进行竣工试验；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（2） 未能通过竣工试验，对工程或区段工程的操作或使用未产生实质性影响的，发包人有权要求承包人自费修复，承担因此增加的费用和误期损害赔偿责任，并赔偿发包人的相应损失；无法修复时，发包人有权扣减该部分的相应付款，同时视为通过竣工验收；</w:t>
      </w:r>
    </w:p>
    <w:p>
      <w:pPr>
        <w:spacing w:line="276" w:lineRule="auto"/>
        <w:jc w:val="left"/>
        <w:rPr>
          <w:rFonts w:asciiTheme="minorEastAsia" w:hAnsiTheme="minorEastAsia"/>
          <w:sz w:val="24"/>
        </w:rPr>
      </w:pPr>
      <w:r>
        <w:rPr>
          <w:rFonts w:hint="eastAsia" w:asciiTheme="minorEastAsia" w:hAnsiTheme="minorEastAsia" w:eastAsiaTheme="minorEastAsia"/>
          <w:sz w:val="24"/>
        </w:rPr>
        <w:t>（3） 未能通过竣工试验，使工程或区段工程的任何主要部分丧失了生产、使用功能时，发包人有权指令承包人更换相关部分，承包人应承担因此增加的费用和误期损害赔偿责任，并赔偿发包人的相应损失；</w:t>
      </w:r>
    </w:p>
    <w:p>
      <w:pPr>
        <w:spacing w:line="276" w:lineRule="auto"/>
        <w:jc w:val="left"/>
        <w:rPr>
          <w:rFonts w:asciiTheme="minorEastAsia" w:hAnsiTheme="minorEastAsia"/>
          <w:sz w:val="24"/>
        </w:rPr>
      </w:pPr>
      <w:r>
        <w:rPr>
          <w:rFonts w:hint="eastAsia" w:asciiTheme="minorEastAsia" w:hAnsiTheme="minorEastAsia" w:eastAsiaTheme="minorEastAsia"/>
          <w:sz w:val="24"/>
        </w:rPr>
        <w:t>（4） 未能通过竣工试验，使整个工程或区段工程丧失了生产、使用功能时，发包人可拒收工程或区段工程，或指令承包人重新设计、重置相关部分，承包人应承担因此增加的费用和误期损害赔偿责任，并赔偿发包人的相应损失。同时发包人有权根据第16.1款[由发包人解除合同]的约定解除合同。</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第10条 验收和工程接收</w:t>
      </w:r>
    </w:p>
    <w:p>
      <w:pPr>
        <w:spacing w:line="276" w:lineRule="auto"/>
        <w:jc w:val="left"/>
        <w:rPr>
          <w:rFonts w:asciiTheme="minorEastAsia" w:hAnsiTheme="minorEastAsia"/>
          <w:sz w:val="24"/>
        </w:rPr>
      </w:pPr>
      <w:r>
        <w:rPr>
          <w:rFonts w:hint="eastAsia" w:asciiTheme="minorEastAsia" w:hAnsiTheme="minorEastAsia" w:eastAsiaTheme="minorEastAsia"/>
          <w:sz w:val="24"/>
        </w:rPr>
        <w:t>10.1 竣工验收</w:t>
      </w:r>
    </w:p>
    <w:p>
      <w:pPr>
        <w:spacing w:line="276" w:lineRule="auto"/>
        <w:jc w:val="left"/>
        <w:rPr>
          <w:rFonts w:asciiTheme="minorEastAsia" w:hAnsiTheme="minorEastAsia"/>
          <w:sz w:val="24"/>
        </w:rPr>
      </w:pPr>
      <w:r>
        <w:rPr>
          <w:rFonts w:hint="eastAsia" w:asciiTheme="minorEastAsia" w:hAnsiTheme="minorEastAsia" w:eastAsiaTheme="minorEastAsia"/>
          <w:sz w:val="24"/>
        </w:rPr>
        <w:t>10.1.1 竣工验收条件</w:t>
      </w:r>
    </w:p>
    <w:p>
      <w:pPr>
        <w:spacing w:line="276" w:lineRule="auto"/>
        <w:jc w:val="left"/>
        <w:rPr>
          <w:rFonts w:asciiTheme="minorEastAsia" w:hAnsiTheme="minorEastAsia"/>
          <w:sz w:val="24"/>
        </w:rPr>
      </w:pPr>
      <w:r>
        <w:rPr>
          <w:rFonts w:hint="eastAsia" w:asciiTheme="minorEastAsia" w:hAnsiTheme="minorEastAsia" w:eastAsiaTheme="minorEastAsia"/>
          <w:sz w:val="24"/>
        </w:rPr>
        <w:t>工程具备以下条件的，承包人可以申请竣工验收：</w:t>
      </w:r>
    </w:p>
    <w:p>
      <w:pPr>
        <w:spacing w:line="276" w:lineRule="auto"/>
        <w:jc w:val="left"/>
        <w:rPr>
          <w:rFonts w:asciiTheme="minorEastAsia" w:hAnsiTheme="minorEastAsia"/>
          <w:sz w:val="24"/>
        </w:rPr>
      </w:pPr>
      <w:r>
        <w:rPr>
          <w:rFonts w:hint="eastAsia" w:asciiTheme="minorEastAsia" w:hAnsiTheme="minorEastAsia" w:eastAsiaTheme="minorEastAsia"/>
          <w:sz w:val="24"/>
        </w:rPr>
        <w:t>（1） 除因第13条[变更与调整]导致的工程量删减和第14.5.3项[扫尾工作清单]列入缺陷责任期内完成的扫尾工程和缺陷修补工作外，合同范围内的全部单位/区段工程以及有关工作，包括合同要求的试验和竣工试验均已完成，并符合合同要求；</w:t>
      </w:r>
    </w:p>
    <w:p>
      <w:pPr>
        <w:spacing w:line="276" w:lineRule="auto"/>
        <w:jc w:val="left"/>
        <w:rPr>
          <w:rFonts w:asciiTheme="minorEastAsia" w:hAnsiTheme="minorEastAsia"/>
          <w:sz w:val="24"/>
        </w:rPr>
      </w:pPr>
      <w:r>
        <w:rPr>
          <w:rFonts w:hint="eastAsia" w:asciiTheme="minorEastAsia" w:hAnsiTheme="minorEastAsia" w:eastAsiaTheme="minorEastAsia"/>
          <w:sz w:val="24"/>
        </w:rPr>
        <w:t>（2） 已按合同约定编制了扫尾工作和缺陷修补工作清单以及相应实施计划；</w:t>
      </w:r>
    </w:p>
    <w:p>
      <w:pPr>
        <w:spacing w:line="276" w:lineRule="auto"/>
        <w:jc w:val="left"/>
        <w:rPr>
          <w:rFonts w:asciiTheme="minorEastAsia" w:hAnsiTheme="minorEastAsia"/>
          <w:sz w:val="24"/>
        </w:rPr>
      </w:pPr>
      <w:r>
        <w:rPr>
          <w:rFonts w:hint="eastAsia" w:asciiTheme="minorEastAsia" w:hAnsiTheme="minorEastAsia" w:eastAsiaTheme="minorEastAsia"/>
          <w:sz w:val="24"/>
        </w:rPr>
        <w:t>（3） 已按合同约定的内容和份数备齐竣工资料；</w:t>
      </w:r>
    </w:p>
    <w:p>
      <w:pPr>
        <w:spacing w:line="276" w:lineRule="auto"/>
        <w:jc w:val="left"/>
        <w:rPr>
          <w:rFonts w:asciiTheme="minorEastAsia" w:hAnsiTheme="minorEastAsia"/>
          <w:sz w:val="24"/>
        </w:rPr>
      </w:pPr>
      <w:r>
        <w:rPr>
          <w:rFonts w:hint="eastAsia" w:asciiTheme="minorEastAsia" w:hAnsiTheme="minorEastAsia" w:eastAsiaTheme="minorEastAsia"/>
          <w:sz w:val="24"/>
        </w:rPr>
        <w:t>（4） 合同约定要求在竣工验收前应完成的其他工作。</w:t>
      </w:r>
    </w:p>
    <w:p>
      <w:pPr>
        <w:spacing w:line="276" w:lineRule="auto"/>
        <w:jc w:val="left"/>
        <w:rPr>
          <w:rFonts w:asciiTheme="minorEastAsia" w:hAnsiTheme="minorEastAsia"/>
          <w:sz w:val="24"/>
        </w:rPr>
      </w:pPr>
      <w:r>
        <w:rPr>
          <w:rFonts w:hint="eastAsia" w:asciiTheme="minorEastAsia" w:hAnsiTheme="minorEastAsia" w:eastAsiaTheme="minorEastAsia"/>
          <w:sz w:val="24"/>
        </w:rPr>
        <w:t>10.1.2 竣工验收程序</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除专用合同条件另有约定外，承包人申请竣工验收的，应当按照以下程序进行：</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向工程师报送竣工验收申请报告，工程师应在收到竣工验收申请报告后14天内完成审查并报送发包人。工程师审查后认为尚不具备竣工验收条件的，应在收到竣工验收申请报告后的14天内通知承包人，指出在颁发接收证书前承包人还需进行的工作内容。承包人完成工程师通知的全部工作内容后，应再次提交竣工验收申请报告，直至工程师同意为止。</w:t>
      </w:r>
    </w:p>
    <w:p>
      <w:pPr>
        <w:spacing w:line="276" w:lineRule="auto"/>
        <w:jc w:val="left"/>
        <w:rPr>
          <w:rFonts w:asciiTheme="minorEastAsia" w:hAnsiTheme="minorEastAsia"/>
          <w:sz w:val="24"/>
        </w:rPr>
      </w:pPr>
      <w:r>
        <w:rPr>
          <w:rFonts w:hint="eastAsia" w:asciiTheme="minorEastAsia" w:hAnsiTheme="minorEastAsia" w:eastAsiaTheme="minorEastAsia"/>
          <w:sz w:val="24"/>
        </w:rPr>
        <w:t>（2） 工程师同意承包人提交的竣工验收申请报告的，或工程师收到竣工验收申请报告后14天内不予答复的，视为发包人收到并同意承包人的竣工验收申请，发包人应在收到该竣工验收申请报告后的28天内进行竣工验收。工程经竣工验收合格的，以竣工验收合格之日为实际竣工日期，并在工程接收证书中载明；完成竣工验收但发包人不予签发工程接收证书的，视为竣工验收合格，以完成竣工验收之日为实际竣工日期。</w:t>
      </w:r>
    </w:p>
    <w:p>
      <w:pPr>
        <w:spacing w:line="276" w:lineRule="auto"/>
        <w:jc w:val="left"/>
        <w:rPr>
          <w:rFonts w:asciiTheme="minorEastAsia" w:hAnsiTheme="minorEastAsia"/>
          <w:sz w:val="24"/>
        </w:rPr>
      </w:pPr>
      <w:r>
        <w:rPr>
          <w:rFonts w:hint="eastAsia" w:asciiTheme="minorEastAsia" w:hAnsiTheme="minorEastAsia" w:eastAsiaTheme="minorEastAsia"/>
          <w:sz w:val="24"/>
        </w:rPr>
        <w:t>（3） 竣工验收不合格的，工程师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pPr>
        <w:spacing w:line="276" w:lineRule="auto"/>
        <w:jc w:val="left"/>
        <w:rPr>
          <w:rFonts w:asciiTheme="minorEastAsia" w:hAnsiTheme="minorEastAsia"/>
          <w:sz w:val="24"/>
        </w:rPr>
      </w:pPr>
      <w:r>
        <w:rPr>
          <w:rFonts w:hint="eastAsia" w:asciiTheme="minorEastAsia" w:hAnsiTheme="minorEastAsia" w:eastAsiaTheme="minorEastAsia"/>
          <w:sz w:val="24"/>
        </w:rPr>
        <w:t>（4） 因发包人原因，未在工程师收到承包人竣工验收申请报告之日起42天内完成竣工验收的，以承包人提交竣工验收申请报告之日作为工程实际竣工日期。</w:t>
      </w:r>
    </w:p>
    <w:p>
      <w:pPr>
        <w:spacing w:line="276" w:lineRule="auto"/>
        <w:jc w:val="left"/>
        <w:rPr>
          <w:rFonts w:asciiTheme="minorEastAsia" w:hAnsiTheme="minorEastAsia"/>
          <w:sz w:val="24"/>
        </w:rPr>
      </w:pPr>
      <w:r>
        <w:rPr>
          <w:rFonts w:hint="eastAsia" w:asciiTheme="minorEastAsia" w:hAnsiTheme="minorEastAsia" w:eastAsiaTheme="minorEastAsia"/>
          <w:sz w:val="24"/>
        </w:rPr>
        <w:t>（5） 工程未经竣工验收，发包人擅自使用的，以转移占有工程之日为实际竣工日期。</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除专用合同条件另有约定外，发包人不按照本项和第10.4款[接收证书]约定组织竣工验收、颁发工程接收证书的，每逾期一天，应以签约合同价为基数，按照贷款市场报价利率（LPR）支付违约金。</w:t>
      </w:r>
    </w:p>
    <w:p>
      <w:pPr>
        <w:spacing w:line="276" w:lineRule="auto"/>
        <w:jc w:val="left"/>
        <w:rPr>
          <w:rFonts w:asciiTheme="minorEastAsia" w:hAnsiTheme="minorEastAsia"/>
          <w:sz w:val="24"/>
        </w:rPr>
      </w:pPr>
      <w:r>
        <w:rPr>
          <w:rFonts w:hint="eastAsia" w:asciiTheme="minorEastAsia" w:hAnsiTheme="minorEastAsia" w:eastAsiaTheme="minorEastAsia"/>
          <w:sz w:val="24"/>
        </w:rPr>
        <w:t>10.2 单位/区段工程的验收</w:t>
      </w:r>
    </w:p>
    <w:p>
      <w:pPr>
        <w:spacing w:line="276" w:lineRule="auto"/>
        <w:jc w:val="left"/>
        <w:rPr>
          <w:rFonts w:asciiTheme="minorEastAsia" w:hAnsiTheme="minorEastAsia"/>
          <w:sz w:val="24"/>
        </w:rPr>
      </w:pPr>
      <w:r>
        <w:rPr>
          <w:rFonts w:hint="eastAsia" w:asciiTheme="minorEastAsia" w:hAnsiTheme="minorEastAsia" w:eastAsiaTheme="minorEastAsia"/>
          <w:sz w:val="24"/>
        </w:rPr>
        <w:t>10.2.1 发包人根据项目进度计划安排，在全部工程竣工前需要使用已经竣工的单位/区段工程时，或承包人提出经发包人同意时，可进行单位/区段工程验收。验收的程序可参照第10.1款[竣工验收]的约定进行。验收合格后，由工程师向承包人出具经发包人签认的单位/区段工程验收证书。单位/区段工程的验收成果和结论作为全部工程竣工验收申请报告的附件。</w:t>
      </w:r>
    </w:p>
    <w:p>
      <w:pPr>
        <w:spacing w:line="276" w:lineRule="auto"/>
        <w:jc w:val="left"/>
        <w:rPr>
          <w:rFonts w:asciiTheme="minorEastAsia" w:hAnsiTheme="minorEastAsia"/>
          <w:sz w:val="24"/>
        </w:rPr>
      </w:pPr>
      <w:r>
        <w:rPr>
          <w:rFonts w:hint="eastAsia" w:asciiTheme="minorEastAsia" w:hAnsiTheme="minorEastAsia" w:eastAsiaTheme="minorEastAsia"/>
          <w:sz w:val="24"/>
        </w:rPr>
        <w:t>10.2.2 发包人在全部工程竣工前，使用已接收的单位/区段工程导致承包人费用增加的，发包人应承担由此增加的费用和（或）工期延误，并支付承包人合理利润。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10.3 工程的接收</w:t>
      </w:r>
    </w:p>
    <w:p>
      <w:pPr>
        <w:spacing w:line="276" w:lineRule="auto"/>
        <w:jc w:val="left"/>
        <w:rPr>
          <w:rFonts w:asciiTheme="minorEastAsia" w:hAnsiTheme="minorEastAsia"/>
          <w:sz w:val="24"/>
        </w:rPr>
      </w:pPr>
      <w:r>
        <w:rPr>
          <w:rFonts w:hint="eastAsia" w:asciiTheme="minorEastAsia" w:hAnsiTheme="minorEastAsia" w:eastAsiaTheme="minorEastAsia"/>
          <w:sz w:val="24"/>
        </w:rPr>
        <w:t>10.3.1 根据工程项目的具体情况和特点，可按工程或单位/区段工程进行接收，并在专用合同条件约定接收的先后顺序、时间安排和其他要求。</w:t>
      </w:r>
    </w:p>
    <w:p>
      <w:pPr>
        <w:spacing w:line="276" w:lineRule="auto"/>
        <w:jc w:val="left"/>
        <w:rPr>
          <w:rFonts w:asciiTheme="minorEastAsia" w:hAnsiTheme="minorEastAsia"/>
          <w:sz w:val="24"/>
        </w:rPr>
      </w:pPr>
      <w:r>
        <w:rPr>
          <w:rFonts w:hint="eastAsia" w:asciiTheme="minorEastAsia" w:hAnsiTheme="minorEastAsia" w:eastAsiaTheme="minorEastAsia"/>
          <w:sz w:val="24"/>
        </w:rPr>
        <w:t>10.3.2 除按本条约定已经提交的资料外，接收工程时承包人需提交竣工验收资料的类别、内容、份数和提交时间，在专用合同条件中约定。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10.3.3 发包人无正当理由不接收工程的，发包人自应当接收工程之日起，承担工程照管、成品保护、保管等与工程有关的各项费用，合同当事人可以在专用合同条件中另行约定发包人逾期接收工程的违约责任。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10.3.4 承包人无正当理由不移交工程的，承包人应承担工程照管、成品保护、保管等与工程有关的各项费用，合同当事人可以在专用合同条件中另行约定承包人无正当理由不移交工程的违约责任。</w:t>
      </w:r>
    </w:p>
    <w:p>
      <w:pPr>
        <w:spacing w:line="276" w:lineRule="auto"/>
        <w:jc w:val="left"/>
        <w:rPr>
          <w:rFonts w:asciiTheme="minorEastAsia" w:hAnsiTheme="minorEastAsia"/>
          <w:sz w:val="24"/>
        </w:rPr>
      </w:pPr>
      <w:r>
        <w:rPr>
          <w:rFonts w:hint="eastAsia" w:asciiTheme="minorEastAsia" w:hAnsiTheme="minorEastAsia" w:eastAsiaTheme="minorEastAsia"/>
          <w:sz w:val="24"/>
        </w:rPr>
        <w:t>10.4 接收证书</w:t>
      </w:r>
    </w:p>
    <w:p>
      <w:pPr>
        <w:spacing w:line="276" w:lineRule="auto"/>
        <w:jc w:val="left"/>
        <w:rPr>
          <w:rFonts w:asciiTheme="minorEastAsia" w:hAnsiTheme="minorEastAsia"/>
          <w:sz w:val="24"/>
        </w:rPr>
      </w:pPr>
      <w:r>
        <w:rPr>
          <w:rFonts w:hint="eastAsia" w:asciiTheme="minorEastAsia" w:hAnsiTheme="minorEastAsia" w:eastAsiaTheme="minorEastAsia"/>
          <w:sz w:val="24"/>
        </w:rPr>
        <w:t>10.4.1 除专用合同条件另有约定外，承包人应在竣工验收合格后向发包人提交第14.6款[质量保证金]约定的质量保证金，发包人应在竣工验收合格且工程具备接收条件后的14天内向承包人颁发工程接收证书，但承包人未提交质量保证金的，发包人有权拒绝颁发。发包人拒绝颁发工程接收证书的，应向承包人发出通知，说明理由并指出在颁发接收证书前承包人需要做的工作，需要修补的缺陷和承包人需要提供的文件。</w:t>
      </w:r>
    </w:p>
    <w:p>
      <w:pPr>
        <w:spacing w:line="276" w:lineRule="auto"/>
        <w:jc w:val="left"/>
        <w:rPr>
          <w:rFonts w:asciiTheme="minorEastAsia" w:hAnsiTheme="minorEastAsia"/>
          <w:sz w:val="24"/>
        </w:rPr>
      </w:pPr>
      <w:r>
        <w:rPr>
          <w:rFonts w:hint="eastAsia" w:asciiTheme="minorEastAsia" w:hAnsiTheme="minorEastAsia" w:eastAsiaTheme="minorEastAsia"/>
          <w:sz w:val="24"/>
        </w:rPr>
        <w:t>10.4.2 发包人向承包人颁发的接收证书，应注明工程或单位/区段工程经验收合格的实际竣工日期，并列明不在接收范围内的，在收尾工作和缺陷修补完成之前对工程或单位/区段工程预期使用目的没有实质影响的少量收尾工作和缺陷。</w:t>
      </w:r>
    </w:p>
    <w:p>
      <w:pPr>
        <w:spacing w:line="276" w:lineRule="auto"/>
        <w:jc w:val="left"/>
        <w:rPr>
          <w:rFonts w:asciiTheme="minorEastAsia" w:hAnsiTheme="minorEastAsia"/>
          <w:sz w:val="24"/>
        </w:rPr>
      </w:pPr>
      <w:r>
        <w:rPr>
          <w:rFonts w:hint="eastAsia" w:asciiTheme="minorEastAsia" w:hAnsiTheme="minorEastAsia" w:eastAsiaTheme="minorEastAsia"/>
          <w:sz w:val="24"/>
        </w:rPr>
        <w:t>10.4.3 竣工验收合格而发包人无正当理由逾期不颁发工程接收证书的，自验收合格后第15天起视为已颁发工程接收证书。</w:t>
      </w:r>
    </w:p>
    <w:p>
      <w:pPr>
        <w:spacing w:line="276" w:lineRule="auto"/>
        <w:jc w:val="left"/>
        <w:rPr>
          <w:rFonts w:asciiTheme="minorEastAsia" w:hAnsiTheme="minorEastAsia"/>
          <w:sz w:val="24"/>
        </w:rPr>
      </w:pPr>
      <w:r>
        <w:rPr>
          <w:rFonts w:hint="eastAsia" w:asciiTheme="minorEastAsia" w:hAnsiTheme="minorEastAsia" w:eastAsiaTheme="minorEastAsia"/>
          <w:sz w:val="24"/>
        </w:rPr>
        <w:t>10.4.4 工程未经验收或验收不合格，发包人擅自使用的，应在转移占有工程后7天内向承包人颁发工程接收证书；发包人无正当理由逾期不颁发工程接收证书的，自转移占有后第15天起视为已颁发工程接收证书。</w:t>
      </w:r>
    </w:p>
    <w:p>
      <w:pPr>
        <w:spacing w:line="276" w:lineRule="auto"/>
        <w:jc w:val="left"/>
        <w:rPr>
          <w:rFonts w:asciiTheme="minorEastAsia" w:hAnsiTheme="minorEastAsia"/>
          <w:sz w:val="24"/>
        </w:rPr>
      </w:pPr>
      <w:r>
        <w:rPr>
          <w:rFonts w:hint="eastAsia" w:asciiTheme="minorEastAsia" w:hAnsiTheme="minorEastAsia" w:eastAsiaTheme="minorEastAsia"/>
          <w:sz w:val="24"/>
        </w:rPr>
        <w:t>10.4.5 存在扫尾工作的，工程接收证书中应当将第14.5.3项[扫尾工作清单]中约定的扫尾工作清单作为工程接收证书附件。</w:t>
      </w:r>
    </w:p>
    <w:p>
      <w:pPr>
        <w:spacing w:line="276" w:lineRule="auto"/>
        <w:jc w:val="left"/>
        <w:rPr>
          <w:rFonts w:asciiTheme="minorEastAsia" w:hAnsiTheme="minorEastAsia"/>
          <w:sz w:val="24"/>
        </w:rPr>
      </w:pPr>
      <w:r>
        <w:rPr>
          <w:rFonts w:hint="eastAsia" w:asciiTheme="minorEastAsia" w:hAnsiTheme="minorEastAsia" w:eastAsiaTheme="minorEastAsia"/>
          <w:sz w:val="24"/>
        </w:rPr>
        <w:t>10.5 竣工退场</w:t>
      </w:r>
    </w:p>
    <w:p>
      <w:pPr>
        <w:spacing w:line="276" w:lineRule="auto"/>
        <w:jc w:val="left"/>
        <w:rPr>
          <w:rFonts w:asciiTheme="minorEastAsia" w:hAnsiTheme="minorEastAsia"/>
          <w:sz w:val="24"/>
        </w:rPr>
      </w:pPr>
      <w:r>
        <w:rPr>
          <w:rFonts w:hint="eastAsia" w:asciiTheme="minorEastAsia" w:hAnsiTheme="minorEastAsia" w:eastAsiaTheme="minorEastAsia"/>
          <w:sz w:val="24"/>
        </w:rPr>
        <w:t>10.5.1 竣工退场</w:t>
      </w:r>
    </w:p>
    <w:p>
      <w:pPr>
        <w:spacing w:line="276" w:lineRule="auto"/>
        <w:jc w:val="left"/>
        <w:rPr>
          <w:rFonts w:asciiTheme="minorEastAsia" w:hAnsiTheme="minorEastAsia"/>
          <w:sz w:val="24"/>
        </w:rPr>
      </w:pPr>
      <w:r>
        <w:rPr>
          <w:rFonts w:hint="eastAsia" w:asciiTheme="minorEastAsia" w:hAnsiTheme="minorEastAsia" w:eastAsiaTheme="minorEastAsia"/>
          <w:sz w:val="24"/>
        </w:rPr>
        <w:t>颁发工程接收证书后，承包人应对施工现场进行清理，并撤离相关人员，使得施工现场处于以下状态，直至工程师检验合格为止：</w:t>
      </w:r>
    </w:p>
    <w:p>
      <w:pPr>
        <w:spacing w:line="276" w:lineRule="auto"/>
        <w:jc w:val="left"/>
        <w:rPr>
          <w:rFonts w:asciiTheme="minorEastAsia" w:hAnsiTheme="minorEastAsia"/>
          <w:sz w:val="24"/>
        </w:rPr>
      </w:pPr>
      <w:r>
        <w:rPr>
          <w:rFonts w:hint="eastAsia" w:asciiTheme="minorEastAsia" w:hAnsiTheme="minorEastAsia" w:eastAsiaTheme="minorEastAsia"/>
          <w:sz w:val="24"/>
        </w:rPr>
        <w:t>（1） 施工现场内残留的垃圾已全部清除出场；</w:t>
      </w:r>
    </w:p>
    <w:p>
      <w:pPr>
        <w:spacing w:line="276" w:lineRule="auto"/>
        <w:jc w:val="left"/>
        <w:rPr>
          <w:rFonts w:asciiTheme="minorEastAsia" w:hAnsiTheme="minorEastAsia"/>
          <w:sz w:val="24"/>
        </w:rPr>
      </w:pPr>
      <w:r>
        <w:rPr>
          <w:rFonts w:hint="eastAsia" w:asciiTheme="minorEastAsia" w:hAnsiTheme="minorEastAsia" w:eastAsiaTheme="minorEastAsia"/>
          <w:sz w:val="24"/>
        </w:rPr>
        <w:t>（2） 临时工程已拆除，场地已按合同约定进行清理、平整或复原；</w:t>
      </w:r>
    </w:p>
    <w:p>
      <w:pPr>
        <w:spacing w:line="276" w:lineRule="auto"/>
        <w:jc w:val="left"/>
        <w:rPr>
          <w:rFonts w:asciiTheme="minorEastAsia" w:hAnsiTheme="minorEastAsia"/>
          <w:sz w:val="24"/>
        </w:rPr>
      </w:pPr>
      <w:r>
        <w:rPr>
          <w:rFonts w:hint="eastAsia" w:asciiTheme="minorEastAsia" w:hAnsiTheme="minorEastAsia" w:eastAsiaTheme="minorEastAsia"/>
          <w:sz w:val="24"/>
        </w:rPr>
        <w:t>（3） 按合同约定应撤离的人员、承包人提供的施工设备和剩余的材料，包括废弃的施工设备和材料，已按计划撤离施工现场；</w:t>
      </w:r>
    </w:p>
    <w:p>
      <w:pPr>
        <w:spacing w:line="276" w:lineRule="auto"/>
        <w:jc w:val="left"/>
        <w:rPr>
          <w:rFonts w:asciiTheme="minorEastAsia" w:hAnsiTheme="minorEastAsia"/>
          <w:sz w:val="24"/>
        </w:rPr>
      </w:pPr>
      <w:r>
        <w:rPr>
          <w:rFonts w:hint="eastAsia" w:asciiTheme="minorEastAsia" w:hAnsiTheme="minorEastAsia" w:eastAsiaTheme="minorEastAsia"/>
          <w:sz w:val="24"/>
        </w:rPr>
        <w:t>（4） 施工现场周边及其附近道路、河道的施工堆积物，已全部清理；</w:t>
      </w:r>
    </w:p>
    <w:p>
      <w:pPr>
        <w:spacing w:line="276" w:lineRule="auto"/>
        <w:jc w:val="left"/>
        <w:rPr>
          <w:rFonts w:asciiTheme="minorEastAsia" w:hAnsiTheme="minorEastAsia"/>
          <w:sz w:val="24"/>
        </w:rPr>
      </w:pPr>
      <w:r>
        <w:rPr>
          <w:rFonts w:hint="eastAsia" w:asciiTheme="minorEastAsia" w:hAnsiTheme="minorEastAsia" w:eastAsiaTheme="minorEastAsia"/>
          <w:sz w:val="24"/>
        </w:rPr>
        <w:t>（5） 施工现场其他竣工退场工作已全部完成。</w:t>
      </w:r>
    </w:p>
    <w:p>
      <w:pPr>
        <w:spacing w:line="276" w:lineRule="auto"/>
        <w:jc w:val="left"/>
        <w:rPr>
          <w:rFonts w:asciiTheme="minorEastAsia" w:hAnsiTheme="minorEastAsia"/>
          <w:sz w:val="24"/>
        </w:rPr>
      </w:pPr>
      <w:r>
        <w:rPr>
          <w:rFonts w:hint="eastAsia" w:asciiTheme="minorEastAsia" w:hAnsiTheme="minorEastAsia" w:eastAsiaTheme="minorEastAsia"/>
          <w:sz w:val="24"/>
        </w:rPr>
        <w:t>施工现场的竣工退场费用由承包人承担。承包人应在专用合同条件约定的期限内完成竣工退场，逾期未完成的，发包人有权出售或另行处理承包人遗留的物品，由此支出的费用由承包人承担，发包人出售承包人遗留物品所得款项在扣除必要费用后应返还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10.5.2 地表还原</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承包人应按合同约定和工程师的要求恢复临时占地及清理场地，否则发包人有权委托其他人恢复或清理，所发生的费用由承包人承担。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10.5.3 人员撤离</w:t>
      </w:r>
    </w:p>
    <w:p>
      <w:pPr>
        <w:spacing w:line="276" w:lineRule="auto"/>
        <w:jc w:val="left"/>
        <w:rPr>
          <w:rFonts w:asciiTheme="minorEastAsia" w:hAnsiTheme="minorEastAsia"/>
          <w:sz w:val="24"/>
        </w:rPr>
      </w:pPr>
      <w:r>
        <w:rPr>
          <w:rFonts w:hint="eastAsia" w:asciiTheme="minorEastAsia" w:hAnsiTheme="minorEastAsia" w:eastAsiaTheme="minorEastAsia"/>
          <w:sz w:val="24"/>
        </w:rPr>
        <w:t>除了经工程师同意需在缺陷责任期内继续工作和使用的人员、施工设备和临时工程外，承包人应按专用合同条件约定和工程师的要求将其余的人员、施工设备和临时工程撤离施工现场或拆除。除专用合同条件另有约定外，缺陷责任期满时，承包人的人员和施工设备应全部撤离施工现场。</w:t>
      </w:r>
    </w:p>
    <w:p>
      <w:pPr>
        <w:spacing w:line="276" w:lineRule="auto"/>
        <w:jc w:val="left"/>
        <w:rPr>
          <w:rFonts w:asciiTheme="minorEastAsia" w:hAnsiTheme="minorEastAsia"/>
          <w:b/>
          <w:sz w:val="24"/>
        </w:rPr>
      </w:pPr>
      <w:r>
        <w:rPr>
          <w:rFonts w:hint="eastAsia" w:asciiTheme="minorEastAsia" w:hAnsiTheme="minorEastAsia" w:eastAsiaTheme="minorEastAsia"/>
          <w:b/>
          <w:sz w:val="24"/>
        </w:rPr>
        <w:t xml:space="preserve">第11条 缺陷责任与保修 </w:t>
      </w:r>
    </w:p>
    <w:p>
      <w:pPr>
        <w:spacing w:line="276" w:lineRule="auto"/>
        <w:jc w:val="left"/>
        <w:rPr>
          <w:rFonts w:asciiTheme="minorEastAsia" w:hAnsiTheme="minorEastAsia"/>
          <w:sz w:val="24"/>
        </w:rPr>
      </w:pPr>
      <w:r>
        <w:rPr>
          <w:rFonts w:hint="eastAsia" w:asciiTheme="minorEastAsia" w:hAnsiTheme="minorEastAsia" w:eastAsiaTheme="minorEastAsia"/>
          <w:sz w:val="24"/>
        </w:rPr>
        <w:t>11.1 工程保修的原则</w:t>
      </w:r>
    </w:p>
    <w:p>
      <w:pPr>
        <w:spacing w:line="276" w:lineRule="auto"/>
        <w:jc w:val="left"/>
        <w:rPr>
          <w:rFonts w:asciiTheme="minorEastAsia" w:hAnsiTheme="minorEastAsia"/>
          <w:sz w:val="24"/>
        </w:rPr>
      </w:pPr>
      <w:r>
        <w:rPr>
          <w:rFonts w:hint="eastAsia" w:asciiTheme="minorEastAsia" w:hAnsiTheme="minorEastAsia" w:eastAsiaTheme="minorEastAsia"/>
          <w:sz w:val="24"/>
        </w:rPr>
        <w:t>在工程移交发包人后，因承包人原因产生的质量缺陷，承包人应承担质量缺陷责任和保修义务。缺陷责任期届满，承包人仍应按合同约定的工程各部位保修年限承担保修义务。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11.2 缺陷责任期 </w:t>
      </w:r>
    </w:p>
    <w:p>
      <w:pPr>
        <w:spacing w:line="276" w:lineRule="auto"/>
        <w:jc w:val="left"/>
        <w:rPr>
          <w:rFonts w:asciiTheme="minorEastAsia" w:hAnsiTheme="minorEastAsia"/>
          <w:sz w:val="24"/>
        </w:rPr>
      </w:pPr>
      <w:r>
        <w:rPr>
          <w:rFonts w:hint="eastAsia" w:asciiTheme="minorEastAsia" w:hAnsiTheme="minorEastAsia" w:eastAsiaTheme="minorEastAsia"/>
          <w:sz w:val="24"/>
        </w:rPr>
        <w:t>缺陷责任期原则上从工程竣工验收合格之日起计算，合同当事人应在专用合同条件约定缺陷责任期的具体期限，但该期限最长不超过24个月。</w:t>
      </w:r>
    </w:p>
    <w:p>
      <w:pPr>
        <w:spacing w:line="276" w:lineRule="auto"/>
        <w:jc w:val="left"/>
        <w:rPr>
          <w:rFonts w:asciiTheme="minorEastAsia" w:hAnsiTheme="minorEastAsia"/>
          <w:sz w:val="24"/>
        </w:rPr>
      </w:pPr>
      <w:r>
        <w:rPr>
          <w:rFonts w:hint="eastAsia" w:asciiTheme="minorEastAsia" w:hAnsiTheme="minorEastAsia" w:eastAsiaTheme="minorEastAsia"/>
          <w:sz w:val="24"/>
        </w:rPr>
        <w:t>单位/区段工程先于全部工程进行验收，经验收合格并交付使用的，该单位/区段工程缺陷责任期自单位/区段工程验收合格之日起算。因发包人原因导致工程未在合同约定期限进行验收，但工程经验收合格的，以承包人提交竣工验收报告之日起算；因发包人原因导致工程未能进行竣工验收的，在承包人提交竣工验收报告90天后，工程自动进入缺陷责任期；发包人未经竣工验收擅自使用工程的，缺陷责任期自工程转移占有之日起开始计算。</w:t>
      </w:r>
    </w:p>
    <w:p>
      <w:pPr>
        <w:spacing w:line="276" w:lineRule="auto"/>
        <w:jc w:val="left"/>
        <w:rPr>
          <w:rFonts w:asciiTheme="minorEastAsia" w:hAnsiTheme="minorEastAsia"/>
          <w:sz w:val="24"/>
        </w:rPr>
      </w:pPr>
      <w:r>
        <w:rPr>
          <w:rFonts w:hint="eastAsia" w:asciiTheme="minorEastAsia" w:hAnsiTheme="minorEastAsia" w:eastAsiaTheme="minorEastAsia"/>
          <w:sz w:val="24"/>
        </w:rPr>
        <w:t>由于承包人原因造成某项缺陷或损坏使某项工程或工程设备不能按原定目标使用而需要再次检查、检验和修复的，发包人有权要求承包人延长该项工程或工程设备的缺陷责任期，并应在原缺陷责任期届满前发出延长通知。但缺陷责任期最长不超过24个月。</w:t>
      </w:r>
    </w:p>
    <w:p>
      <w:pPr>
        <w:spacing w:line="276" w:lineRule="auto"/>
        <w:jc w:val="left"/>
        <w:rPr>
          <w:rFonts w:asciiTheme="minorEastAsia" w:hAnsiTheme="minorEastAsia"/>
          <w:sz w:val="24"/>
        </w:rPr>
      </w:pPr>
      <w:r>
        <w:rPr>
          <w:rFonts w:hint="eastAsia" w:asciiTheme="minorEastAsia" w:hAnsiTheme="minorEastAsia" w:eastAsiaTheme="minorEastAsia"/>
          <w:sz w:val="24"/>
        </w:rPr>
        <w:t>11.3 缺陷调查</w:t>
      </w:r>
    </w:p>
    <w:p>
      <w:pPr>
        <w:spacing w:line="276" w:lineRule="auto"/>
        <w:jc w:val="left"/>
        <w:rPr>
          <w:rFonts w:asciiTheme="minorEastAsia" w:hAnsiTheme="minorEastAsia"/>
          <w:b/>
          <w:sz w:val="24"/>
        </w:rPr>
      </w:pPr>
      <w:r>
        <w:rPr>
          <w:rFonts w:hint="eastAsia" w:asciiTheme="minorEastAsia" w:hAnsiTheme="minorEastAsia" w:eastAsiaTheme="minorEastAsia"/>
          <w:sz w:val="24"/>
        </w:rPr>
        <w:t>11.3.1 承包人缺陷调查</w:t>
      </w:r>
    </w:p>
    <w:p>
      <w:pPr>
        <w:spacing w:line="276" w:lineRule="auto"/>
        <w:jc w:val="left"/>
        <w:rPr>
          <w:rFonts w:asciiTheme="minorEastAsia" w:hAnsiTheme="minorEastAsia"/>
          <w:sz w:val="24"/>
        </w:rPr>
      </w:pPr>
      <w:r>
        <w:rPr>
          <w:rFonts w:hint="eastAsia" w:asciiTheme="minorEastAsia" w:hAnsiTheme="minorEastAsia" w:eastAsiaTheme="minorEastAsia"/>
          <w:sz w:val="24"/>
        </w:rPr>
        <w:t>如果发包人指示承包人调查任何缺陷的原因，承包人应在发包人的指导下进行调查。承包人应在发包人指示中说明的日期或与发包人达成一致的其他日期开展调查。除非该缺陷应由承包人负责自费进行修补，承包人有权就调查的成本和利润获得支付。</w:t>
      </w:r>
    </w:p>
    <w:p>
      <w:pPr>
        <w:spacing w:line="276" w:lineRule="auto"/>
        <w:jc w:val="left"/>
        <w:rPr>
          <w:rFonts w:asciiTheme="minorEastAsia" w:hAnsiTheme="minorEastAsia"/>
          <w:sz w:val="24"/>
        </w:rPr>
      </w:pPr>
      <w:r>
        <w:rPr>
          <w:rFonts w:hint="eastAsia" w:asciiTheme="minorEastAsia" w:hAnsiTheme="minorEastAsia" w:eastAsiaTheme="minorEastAsia"/>
          <w:sz w:val="24"/>
        </w:rPr>
        <w:t>如果承包人未能根据本款开展调查，该调查可由发包人开展。但应将上述调查开展的日期通知承包人，承包人可自费参加调查。如果该缺陷应由承包人自费进行修补，则发包人有权要求承包人支付发包人因调查产生的合理费用。</w:t>
      </w:r>
    </w:p>
    <w:p>
      <w:pPr>
        <w:spacing w:line="276" w:lineRule="auto"/>
        <w:jc w:val="left"/>
        <w:rPr>
          <w:rFonts w:asciiTheme="minorEastAsia" w:hAnsiTheme="minorEastAsia"/>
          <w:sz w:val="24"/>
        </w:rPr>
      </w:pPr>
      <w:r>
        <w:rPr>
          <w:rFonts w:hint="eastAsia" w:asciiTheme="minorEastAsia" w:hAnsiTheme="minorEastAsia" w:eastAsiaTheme="minorEastAsia"/>
          <w:sz w:val="24"/>
        </w:rPr>
        <w:t>11.3.2 缺陷责任</w:t>
      </w:r>
    </w:p>
    <w:p>
      <w:pPr>
        <w:spacing w:line="276" w:lineRule="auto"/>
        <w:jc w:val="left"/>
        <w:rPr>
          <w:rFonts w:asciiTheme="minorEastAsia" w:hAnsiTheme="minorEastAsia"/>
          <w:sz w:val="24"/>
        </w:rPr>
      </w:pPr>
      <w:r>
        <w:rPr>
          <w:rFonts w:hint="eastAsia" w:asciiTheme="minorEastAsia" w:hAnsiTheme="minorEastAsia" w:eastAsiaTheme="minorEastAsia"/>
          <w:sz w:val="24"/>
        </w:rPr>
        <w:t>缺陷责任期内，由承包人原因造成的缺陷，承包人应负责维修，并承担鉴定及维修费用。如承包人不维修也不承担费用，发包人可按合同约定从质量保证金中扣除，费用超出质量保证金金额的，发包人可按合同约定向承包人进行索赔。承包人维修并承担相应费用后，不免除对工程的损失赔偿责任。发包人在使用过程中，发现已修补的缺陷部位或部件还存在质量缺陷的，承包人应负责修复，直至检验合格为止。</w:t>
      </w:r>
    </w:p>
    <w:p>
      <w:pPr>
        <w:spacing w:line="276" w:lineRule="auto"/>
        <w:jc w:val="left"/>
        <w:rPr>
          <w:rFonts w:asciiTheme="minorEastAsia" w:hAnsiTheme="minorEastAsia"/>
          <w:sz w:val="24"/>
        </w:rPr>
      </w:pPr>
      <w:r>
        <w:rPr>
          <w:rFonts w:hint="eastAsia" w:asciiTheme="minorEastAsia" w:hAnsiTheme="minorEastAsia" w:eastAsiaTheme="minorEastAsia"/>
          <w:sz w:val="24"/>
        </w:rPr>
        <w:t>11.3.3 修复费用</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发包人和承包人应共同查清缺陷或损坏的原因。经查明属承包人原因造成的，应由承包人承担修复的费用。经查验非承包人原因造成的，发包人应承担修复的费用，并支付承包人合理利润。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11.3.4 修复通知</w:t>
      </w:r>
    </w:p>
    <w:p>
      <w:pPr>
        <w:spacing w:line="276" w:lineRule="auto"/>
        <w:jc w:val="left"/>
        <w:rPr>
          <w:rFonts w:asciiTheme="minorEastAsia" w:hAnsiTheme="minorEastAsia"/>
          <w:sz w:val="24"/>
        </w:rPr>
      </w:pPr>
      <w:r>
        <w:rPr>
          <w:rFonts w:hint="eastAsia" w:asciiTheme="minorEastAsia" w:hAnsiTheme="minorEastAsia" w:eastAsiaTheme="minorEastAsia"/>
          <w:sz w:val="24"/>
        </w:rPr>
        <w:t>在缺陷责任期内，发包人在使用过程中，发现已接收的工程存在缺陷或损坏的，应书面通知承包人予以修复，但情况紧急必须立即修复缺陷或损坏的，发包人可以口头通知承包人并在口头通知后48小时内书面确认，承包人应在专用合同条件约定的合理期限内到达工程现场并修复缺陷或损坏。</w:t>
      </w:r>
    </w:p>
    <w:p>
      <w:pPr>
        <w:spacing w:line="276" w:lineRule="auto"/>
        <w:jc w:val="left"/>
        <w:rPr>
          <w:rFonts w:asciiTheme="minorEastAsia" w:hAnsiTheme="minorEastAsia"/>
          <w:sz w:val="24"/>
        </w:rPr>
      </w:pPr>
      <w:r>
        <w:rPr>
          <w:rFonts w:hint="eastAsia" w:asciiTheme="minorEastAsia" w:hAnsiTheme="minorEastAsia" w:eastAsiaTheme="minorEastAsia"/>
          <w:sz w:val="24"/>
        </w:rPr>
        <w:t>11.3.5 在现场外修复</w:t>
      </w:r>
    </w:p>
    <w:p>
      <w:pPr>
        <w:spacing w:line="276" w:lineRule="auto"/>
        <w:jc w:val="left"/>
        <w:rPr>
          <w:rFonts w:asciiTheme="minorEastAsia" w:hAnsiTheme="minorEastAsia"/>
          <w:sz w:val="24"/>
        </w:rPr>
      </w:pPr>
      <w:r>
        <w:rPr>
          <w:rFonts w:hint="eastAsia" w:asciiTheme="minorEastAsia" w:hAnsiTheme="minorEastAsia" w:eastAsiaTheme="minorEastAsia"/>
          <w:sz w:val="24"/>
        </w:rPr>
        <w:t>在缺陷责任期内，承包人认为设备中的缺陷或损害不能在现场得到迅速修复，承包人应当向发包人发出通知，请求发包人同意把这些有缺陷或者损害的设备移出现场进行修复，通知应当注明有缺陷或者损害的设备及维修的相关内容，发包人可要求承包人按移出设备的全部重置成本增加质量保证金的数额。</w:t>
      </w:r>
    </w:p>
    <w:p>
      <w:pPr>
        <w:spacing w:line="276" w:lineRule="auto"/>
        <w:jc w:val="left"/>
        <w:rPr>
          <w:rFonts w:asciiTheme="minorEastAsia" w:hAnsiTheme="minorEastAsia"/>
          <w:sz w:val="24"/>
        </w:rPr>
      </w:pPr>
      <w:r>
        <w:rPr>
          <w:rFonts w:hint="eastAsia" w:asciiTheme="minorEastAsia" w:hAnsiTheme="minorEastAsia" w:eastAsiaTheme="minorEastAsia"/>
          <w:sz w:val="24"/>
        </w:rPr>
        <w:t>11.3.6 未能修复</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如果工程或工程设备的缺陷或损害使发包人实质上失去了工程的整体功能，发包人有权向承包人追回已支付的工程款项，并要求其赔偿发包人相应损失。</w:t>
      </w:r>
    </w:p>
    <w:p>
      <w:pPr>
        <w:spacing w:line="276" w:lineRule="auto"/>
        <w:jc w:val="left"/>
        <w:rPr>
          <w:rFonts w:asciiTheme="minorEastAsia" w:hAnsiTheme="minorEastAsia"/>
          <w:sz w:val="24"/>
        </w:rPr>
      </w:pPr>
      <w:r>
        <w:rPr>
          <w:rFonts w:hint="eastAsia" w:asciiTheme="minorEastAsia" w:hAnsiTheme="minorEastAsia" w:eastAsiaTheme="minorEastAsia"/>
          <w:sz w:val="24"/>
        </w:rPr>
        <w:t>11.4 缺陷修复后的进一步试验</w:t>
      </w:r>
    </w:p>
    <w:p>
      <w:pPr>
        <w:spacing w:line="276" w:lineRule="auto"/>
        <w:jc w:val="left"/>
        <w:rPr>
          <w:rFonts w:asciiTheme="minorEastAsia" w:hAnsiTheme="minorEastAsia"/>
          <w:sz w:val="24"/>
        </w:rPr>
      </w:pPr>
      <w:r>
        <w:rPr>
          <w:rFonts w:hint="eastAsia" w:asciiTheme="minorEastAsia" w:hAnsiTheme="minorEastAsia" w:eastAsiaTheme="minorEastAsia"/>
          <w:sz w:val="24"/>
        </w:rPr>
        <w:t>任何一项缺陷修补后的7天内，承包人应向发包人发出通知，告知已修补的情况。如根据第9条[竣工试验]或第12条[竣工后试验]的规定适用重新试验的，还应建议重新试验。发包人应在收到重新试验的通知后14天内答复，逾期未进行答复的视为同意重新试验。承包人未建议重新试验的，发包人也可在缺陷修补后的14天内指示进行必要的重新试验，以证明已修复的部分符合合同要求。</w:t>
      </w:r>
    </w:p>
    <w:p>
      <w:pPr>
        <w:spacing w:line="276" w:lineRule="auto"/>
        <w:jc w:val="left"/>
        <w:rPr>
          <w:rFonts w:asciiTheme="minorEastAsia" w:hAnsiTheme="minorEastAsia"/>
          <w:sz w:val="24"/>
        </w:rPr>
      </w:pPr>
      <w:r>
        <w:rPr>
          <w:rFonts w:hint="eastAsia" w:asciiTheme="minorEastAsia" w:hAnsiTheme="minorEastAsia" w:eastAsiaTheme="minorEastAsia"/>
          <w:sz w:val="24"/>
        </w:rPr>
        <w:t>所有的重复试验应按照适用于先前试验的条款进行，但应由责任方承担修补工作的成本和重新试验的风险和费用。</w:t>
      </w:r>
    </w:p>
    <w:p>
      <w:pPr>
        <w:spacing w:line="276" w:lineRule="auto"/>
        <w:jc w:val="left"/>
        <w:rPr>
          <w:rFonts w:asciiTheme="minorEastAsia" w:hAnsiTheme="minorEastAsia"/>
          <w:sz w:val="24"/>
        </w:rPr>
      </w:pPr>
      <w:r>
        <w:rPr>
          <w:rFonts w:hint="eastAsia" w:asciiTheme="minorEastAsia" w:hAnsiTheme="minorEastAsia" w:eastAsiaTheme="minorEastAsia"/>
          <w:sz w:val="24"/>
        </w:rPr>
        <w:t>11.5 承包人出入权</w:t>
      </w:r>
    </w:p>
    <w:p>
      <w:pPr>
        <w:spacing w:line="276" w:lineRule="auto"/>
        <w:jc w:val="left"/>
        <w:rPr>
          <w:rFonts w:asciiTheme="minorEastAsia" w:hAnsiTheme="minorEastAsia"/>
          <w:sz w:val="24"/>
        </w:rPr>
      </w:pPr>
      <w:r>
        <w:rPr>
          <w:rFonts w:hint="eastAsia" w:asciiTheme="minorEastAsia" w:hAnsiTheme="minorEastAsia" w:eastAsiaTheme="minorEastAsia"/>
          <w:sz w:val="24"/>
        </w:rPr>
        <w:t>在缺陷责任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安保和保密等规定。</w:t>
      </w:r>
    </w:p>
    <w:p>
      <w:pPr>
        <w:spacing w:line="276" w:lineRule="auto"/>
        <w:jc w:val="left"/>
        <w:rPr>
          <w:rFonts w:asciiTheme="minorEastAsia" w:hAnsiTheme="minorEastAsia"/>
          <w:sz w:val="24"/>
        </w:rPr>
      </w:pPr>
      <w:r>
        <w:rPr>
          <w:rFonts w:hint="eastAsia" w:asciiTheme="minorEastAsia" w:hAnsiTheme="minorEastAsia" w:eastAsiaTheme="minorEastAsia"/>
          <w:sz w:val="24"/>
        </w:rPr>
        <w:t>11.6 缺陷责任期终止证书</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于缺陷责任期届满前7天内向发包人发出缺陷责任期即将届满通知，发包人应在收到通知后7天内核实承包人是否履行缺陷修复义务，承包人未能履行缺陷修复义务的，发包人有权扣除相应金额的维修费用。发包人应在缺陷责任期届满之日，向承包人颁发缺陷责任期终止证书，并按第14.6.3项[质量保证金的返还]返还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如根据第10.5.3项[人员撤离]承包人在施工现场还留有人员、施工设备和临时工程的，承包人应当在收到缺陷责任期终止证书后28天内，将上述人员、施工设备和临时工程撤离施工现场。</w:t>
      </w:r>
    </w:p>
    <w:p>
      <w:pPr>
        <w:spacing w:line="276" w:lineRule="auto"/>
        <w:jc w:val="left"/>
        <w:rPr>
          <w:rFonts w:asciiTheme="minorEastAsia" w:hAnsiTheme="minorEastAsia"/>
          <w:sz w:val="24"/>
        </w:rPr>
      </w:pPr>
      <w:r>
        <w:rPr>
          <w:rFonts w:hint="eastAsia" w:asciiTheme="minorEastAsia" w:hAnsiTheme="minorEastAsia" w:eastAsiaTheme="minorEastAsia"/>
          <w:sz w:val="24"/>
        </w:rPr>
        <w:t>11.7 保修责任</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因承包人原因导致的质量缺陷责任，由合同当事人根据有关法律规定，在专用合同条件和工程质量保修书中约定工程质量保修范围、期限和责任。</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第12条 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本合同工程包含竣工后试验的，遵守本条约定。</w:t>
      </w:r>
    </w:p>
    <w:p>
      <w:pPr>
        <w:spacing w:line="276" w:lineRule="auto"/>
        <w:jc w:val="left"/>
        <w:rPr>
          <w:rFonts w:asciiTheme="minorEastAsia" w:hAnsiTheme="minorEastAsia"/>
          <w:sz w:val="24"/>
        </w:rPr>
      </w:pPr>
      <w:r>
        <w:rPr>
          <w:rFonts w:hint="eastAsia" w:asciiTheme="minorEastAsia" w:hAnsiTheme="minorEastAsia" w:eastAsiaTheme="minorEastAsia"/>
          <w:sz w:val="24"/>
        </w:rPr>
        <w:t>12.1 竣工后试验的程序</w:t>
      </w:r>
    </w:p>
    <w:p>
      <w:pPr>
        <w:spacing w:line="276" w:lineRule="auto"/>
        <w:jc w:val="left"/>
        <w:rPr>
          <w:rFonts w:asciiTheme="minorEastAsia" w:hAnsiTheme="minorEastAsia"/>
          <w:sz w:val="24"/>
        </w:rPr>
      </w:pPr>
      <w:r>
        <w:rPr>
          <w:rFonts w:hint="eastAsia" w:asciiTheme="minorEastAsia" w:hAnsiTheme="minorEastAsia" w:eastAsiaTheme="minorEastAsia"/>
          <w:sz w:val="24"/>
        </w:rPr>
        <w:t>12.1.1 工程或区段工程被发包人接收后，在合理可行的情况下应根据合同约定尽早进行竣工后试验。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12.1.2 除专用合同条件另有约定外，发包人应提供全部电力、水、污水处理、燃料、消耗品和材料，以及全部其他仪器、协助、文件或其他信息、设备、工具、劳力，启动工程设备，并组织安排有适当资质、经验和能力的工作人员实施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12.1.3 除《发包人要求》另有约定外，发包人应在合理可行的情况下尽快进行每项竣工后试验，并至少提前21天将该项竣工后试验的内容、地点和时间，以及显示其他竣工后试验拟开展时间的竣工后试验计划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12.1.4 发包人应根据《发包人要求》、承包人按照第5.5款[操作和维修手册]提交的文件，以及承包人被要求提供的指导进行竣工后试验。如承包人未在发包人通知的时间和地点参加竣工后试验，发包人可自行进行，该试验应被视为是承包人在场的情况下进行的，且承包人应视为认可试验数据。</w:t>
      </w:r>
    </w:p>
    <w:p>
      <w:pPr>
        <w:spacing w:line="276" w:lineRule="auto"/>
        <w:jc w:val="left"/>
        <w:rPr>
          <w:rFonts w:asciiTheme="minorEastAsia" w:hAnsiTheme="minorEastAsia"/>
          <w:sz w:val="24"/>
        </w:rPr>
      </w:pPr>
      <w:r>
        <w:rPr>
          <w:rFonts w:hint="eastAsia" w:asciiTheme="minorEastAsia" w:hAnsiTheme="minorEastAsia" w:eastAsiaTheme="minorEastAsia"/>
          <w:sz w:val="24"/>
        </w:rPr>
        <w:t>12.1.5 竣工后试验的结果应由双方进行整理和评价，并应适当考虑发包人对工程或其任何部分的使用，对工程或区段工程的性能、特性和试验结果产生的影响。</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12.2 延误的试验 </w:t>
      </w:r>
    </w:p>
    <w:p>
      <w:pPr>
        <w:spacing w:line="276" w:lineRule="auto"/>
        <w:jc w:val="left"/>
        <w:rPr>
          <w:rFonts w:asciiTheme="minorEastAsia" w:hAnsiTheme="minorEastAsia"/>
          <w:sz w:val="24"/>
        </w:rPr>
      </w:pPr>
      <w:r>
        <w:rPr>
          <w:rFonts w:hint="eastAsia" w:asciiTheme="minorEastAsia" w:hAnsiTheme="minorEastAsia" w:eastAsiaTheme="minorEastAsia"/>
          <w:sz w:val="24"/>
        </w:rPr>
        <w:t>12.2.1 如果竣工后试验因发包人原因被延误的，发包人应承担承包人由此增加的费用并支付承包人合理利润。</w:t>
      </w:r>
    </w:p>
    <w:p>
      <w:pPr>
        <w:spacing w:line="276" w:lineRule="auto"/>
        <w:jc w:val="left"/>
        <w:rPr>
          <w:rFonts w:asciiTheme="minorEastAsia" w:hAnsiTheme="minorEastAsia"/>
          <w:sz w:val="24"/>
        </w:rPr>
      </w:pPr>
      <w:r>
        <w:rPr>
          <w:rFonts w:hint="eastAsia" w:asciiTheme="minorEastAsia" w:hAnsiTheme="minorEastAsia" w:eastAsiaTheme="minorEastAsia"/>
          <w:sz w:val="24"/>
        </w:rPr>
        <w:t>12.2.2 如果因承包人以外的原因，导致竣工后试验未能在缺陷责任期或双方另行同意的其他期限内完成，则相关工程或区段工程应视为已通过该竣工后试验。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12.3 重新试验</w:t>
      </w:r>
    </w:p>
    <w:p>
      <w:pPr>
        <w:spacing w:line="276" w:lineRule="auto"/>
        <w:jc w:val="left"/>
        <w:rPr>
          <w:rFonts w:asciiTheme="minorEastAsia" w:hAnsiTheme="minorEastAsia"/>
          <w:sz w:val="24"/>
        </w:rPr>
      </w:pPr>
      <w:r>
        <w:rPr>
          <w:rFonts w:hint="eastAsia" w:asciiTheme="minorEastAsia" w:hAnsiTheme="minorEastAsia" w:eastAsiaTheme="minorEastAsia"/>
          <w:sz w:val="24"/>
        </w:rPr>
        <w:t>如工程或区段工程未能通过竣工后试验，则承包人应根据第11.3款[缺陷调查]的规定修补缺陷，以达到合同约定的要求；并按照第11.4款[缺陷修复后的进一步试验]重新进行竣工后试验以及承担风险和费用。如未通过试验和重新试验是承包人原因造成的，则承包人还应承担发包人因此增加的费用。</w:t>
      </w:r>
    </w:p>
    <w:p>
      <w:pPr>
        <w:spacing w:line="276" w:lineRule="auto"/>
        <w:jc w:val="left"/>
        <w:rPr>
          <w:rFonts w:asciiTheme="minorEastAsia" w:hAnsiTheme="minorEastAsia"/>
          <w:sz w:val="24"/>
        </w:rPr>
      </w:pPr>
      <w:r>
        <w:rPr>
          <w:rFonts w:hint="eastAsia" w:asciiTheme="minorEastAsia" w:hAnsiTheme="minorEastAsia" w:eastAsiaTheme="minorEastAsia"/>
          <w:sz w:val="24"/>
        </w:rPr>
        <w:t>12.4 未能通过竣工后试验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12.4.1 工程或区段工程未能通过竣工后试验，且合同中就该项未通过的试验约定了性能损害赔偿违约金及其计算方法的，或者就该项未通过的试验另行达成补充协议的，承包人在缺陷责任期内向发包人支付相应违约金或按补充协议履行后，视为通过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12.4.2 对未能通过竣工后试验的工程或区段工程，承包人可向发包人建议，由承包人对该工程或区段工程进行调整或修补。发包人收到建议后，可向承包人发出通知，指示其在发包人方便的合理时间进入工程或区段工程进行调查、调整或修补，并为承包人的进入提供方便。承包人提出建议，但未在缺陷责任期内收到上述发包人通知的，相关工程或区段工程应视为已通过该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12.4.3 发包人无故拖延给予承包人进行调查、调整或修补所需的进入工程或区段工程的许可，并造成承包人费用增加的，应承担由此增加的费用并支付承包人合理利润。</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第13条 变更与调整</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13.1 发包人变更权 </w:t>
      </w:r>
    </w:p>
    <w:p>
      <w:pPr>
        <w:spacing w:line="276" w:lineRule="auto"/>
        <w:jc w:val="left"/>
        <w:rPr>
          <w:rFonts w:asciiTheme="minorEastAsia" w:hAnsiTheme="minorEastAsia"/>
          <w:sz w:val="24"/>
        </w:rPr>
      </w:pPr>
      <w:r>
        <w:rPr>
          <w:rFonts w:hint="eastAsia" w:asciiTheme="minorEastAsia" w:hAnsiTheme="minorEastAsia" w:eastAsiaTheme="minorEastAsia"/>
          <w:sz w:val="24"/>
        </w:rPr>
        <w:t>13.1.1 变更指示应经发包人同意，并由工程师发出经发包人签认的变更指示。除第11.3.6项[未能修复]约定的情况外，变更不应包括准备将任何工作删减并交由他人或发包人自行实施的情况。承包人收到变更指示后，方可实施变更。未经许可，承包人不得擅自对工程的任何部分进行变更。发包人与承包人对某项指示或批准是否构成变更产生争议的，按第20条[争议解决]处理。</w:t>
      </w:r>
    </w:p>
    <w:p>
      <w:pPr>
        <w:spacing w:line="276" w:lineRule="auto"/>
        <w:jc w:val="left"/>
        <w:rPr>
          <w:rFonts w:asciiTheme="minorEastAsia" w:hAnsiTheme="minorEastAsia"/>
          <w:sz w:val="24"/>
        </w:rPr>
      </w:pPr>
      <w:r>
        <w:rPr>
          <w:rFonts w:hint="eastAsia" w:asciiTheme="minorEastAsia" w:hAnsiTheme="minorEastAsia" w:eastAsiaTheme="minorEastAsia"/>
          <w:sz w:val="24"/>
        </w:rPr>
        <w:t>13.1.2 承包人应按照变更指示执行，除非承包人及时向工程师发出通知，说明该项变更指示将降低工程的安全性、稳定性或适用性；涉及的工作内容和范围不可预见；所涉设备难以采购；导致承包人无法执行第7.5款[现场劳动用工]、第7.6款[安全文明施工]、第7.7款[职业健康]或第7.8款[环境保护]内容；将造成工期延误；与第4.1款[承包人的一般义务]相冲突等无法执行的理由。工程师接到承包人的通知后，应作出经发包人签认的取消、确认或改变原指示的书面回复。</w:t>
      </w:r>
    </w:p>
    <w:p>
      <w:pPr>
        <w:spacing w:line="276" w:lineRule="auto"/>
        <w:jc w:val="left"/>
        <w:rPr>
          <w:rFonts w:asciiTheme="minorEastAsia" w:hAnsiTheme="minorEastAsia"/>
          <w:sz w:val="24"/>
        </w:rPr>
      </w:pPr>
      <w:r>
        <w:rPr>
          <w:rFonts w:hint="eastAsia" w:asciiTheme="minorEastAsia" w:hAnsiTheme="minorEastAsia" w:eastAsiaTheme="minorEastAsia"/>
          <w:sz w:val="24"/>
        </w:rPr>
        <w:t>13.2 承包人的合理化建议</w:t>
      </w:r>
    </w:p>
    <w:p>
      <w:pPr>
        <w:spacing w:line="276" w:lineRule="auto"/>
        <w:jc w:val="left"/>
        <w:rPr>
          <w:rFonts w:asciiTheme="minorEastAsia" w:hAnsiTheme="minorEastAsia"/>
          <w:sz w:val="24"/>
        </w:rPr>
      </w:pPr>
      <w:r>
        <w:rPr>
          <w:rFonts w:hint="eastAsia" w:asciiTheme="minorEastAsia" w:hAnsiTheme="minorEastAsia" w:eastAsiaTheme="minorEastAsia"/>
          <w:sz w:val="24"/>
        </w:rPr>
        <w:t>13.2.1 承包人提出合理化建议的，应向工程师提交合理化建议说明，说明建议的内容、理由以及实施该建议对合同价格和工期的影响。</w:t>
      </w:r>
    </w:p>
    <w:p>
      <w:pPr>
        <w:spacing w:line="276" w:lineRule="auto"/>
        <w:jc w:val="left"/>
        <w:rPr>
          <w:rFonts w:asciiTheme="minorEastAsia" w:hAnsiTheme="minorEastAsia"/>
          <w:sz w:val="24"/>
        </w:rPr>
      </w:pPr>
      <w:r>
        <w:rPr>
          <w:rFonts w:hint="eastAsia" w:asciiTheme="minorEastAsia" w:hAnsiTheme="minorEastAsia" w:eastAsiaTheme="minorEastAsia"/>
          <w:sz w:val="24"/>
        </w:rPr>
        <w:t>13.2.2 除专用合同条件另有约定外，工程师应在收到承包人提交的合理化建议后7天内审查完毕并报送发包人，发现其中存在技术上的缺陷，应通知承包人修改。发包人应在收到工程师报送的合理化建议后7天内审批完毕。合理化建议经发包人批准的，工程师应及时发出变更指示，由此引起的合同价格调整按照第13.3.3项[变更估价]约定执行。发包人不同意变更的，工程师应书面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13.2.3 合理化建议降低了合同价格、缩短了工期或者提高了工程经济效益的，双方可以按照专用合同条件的约定进行利益分享。</w:t>
      </w:r>
    </w:p>
    <w:p>
      <w:pPr>
        <w:spacing w:line="276" w:lineRule="auto"/>
        <w:jc w:val="left"/>
        <w:rPr>
          <w:rFonts w:asciiTheme="minorEastAsia" w:hAnsiTheme="minorEastAsia"/>
          <w:sz w:val="24"/>
        </w:rPr>
      </w:pPr>
      <w:r>
        <w:rPr>
          <w:rFonts w:hint="eastAsia" w:asciiTheme="minorEastAsia" w:hAnsiTheme="minorEastAsia" w:eastAsiaTheme="minorEastAsia"/>
          <w:sz w:val="24"/>
        </w:rPr>
        <w:t>13.3 变更程序</w:t>
      </w:r>
    </w:p>
    <w:p>
      <w:pPr>
        <w:spacing w:line="276" w:lineRule="auto"/>
        <w:jc w:val="left"/>
        <w:rPr>
          <w:rFonts w:asciiTheme="minorEastAsia" w:hAnsiTheme="minorEastAsia"/>
          <w:sz w:val="24"/>
        </w:rPr>
      </w:pPr>
      <w:r>
        <w:rPr>
          <w:rFonts w:hint="eastAsia" w:asciiTheme="minorEastAsia" w:hAnsiTheme="minorEastAsia" w:eastAsiaTheme="minorEastAsia"/>
          <w:sz w:val="24"/>
        </w:rPr>
        <w:t>13.3.1 发包人提出变更</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发包人提出变更的，应通过工程师向承包人发出书面形式的变更指示，变更指示应说明计划变更的工程范围和变更的内容。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13.3.2 变更执行</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收到工程师下达的变更指示后，认为不能执行，应在合理期限内提出不能执行该变更指示的理由。承包人认为可以执行变更的，应当书面说明实施该变更指示需要采取的具体措施及对合同价格和工期的影响，且合同当事人应当按照第13.3.3项[变更估价]约定确定变更估价。</w:t>
      </w:r>
    </w:p>
    <w:p>
      <w:pPr>
        <w:spacing w:line="276" w:lineRule="auto"/>
        <w:jc w:val="left"/>
        <w:rPr>
          <w:rFonts w:asciiTheme="minorEastAsia" w:hAnsiTheme="minorEastAsia"/>
          <w:sz w:val="24"/>
        </w:rPr>
      </w:pPr>
      <w:r>
        <w:rPr>
          <w:rFonts w:hint="eastAsia" w:asciiTheme="minorEastAsia" w:hAnsiTheme="minorEastAsia" w:eastAsiaTheme="minorEastAsia"/>
          <w:sz w:val="24"/>
        </w:rPr>
        <w:t>13.3.3 变更估价</w:t>
      </w:r>
    </w:p>
    <w:p>
      <w:pPr>
        <w:spacing w:line="276" w:lineRule="auto"/>
        <w:jc w:val="left"/>
        <w:rPr>
          <w:rFonts w:asciiTheme="minorEastAsia" w:hAnsiTheme="minorEastAsia"/>
          <w:sz w:val="24"/>
        </w:rPr>
      </w:pPr>
      <w:r>
        <w:rPr>
          <w:rFonts w:hint="eastAsia" w:asciiTheme="minorEastAsia" w:hAnsiTheme="minorEastAsia" w:eastAsiaTheme="minorEastAsia"/>
          <w:sz w:val="24"/>
        </w:rPr>
        <w:t>13.3.3.1 变更估价原则</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除专用合同条件另有约定外，变更估价按照本款约定处理：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（1） 合同中未包含价格清单，合同价格应按照所执行的变更工程的成本加利润调整；</w:t>
      </w:r>
    </w:p>
    <w:p>
      <w:pPr>
        <w:spacing w:line="276" w:lineRule="auto"/>
        <w:jc w:val="left"/>
        <w:rPr>
          <w:rFonts w:asciiTheme="minorEastAsia" w:hAnsiTheme="minorEastAsia"/>
          <w:sz w:val="24"/>
        </w:rPr>
      </w:pPr>
      <w:r>
        <w:rPr>
          <w:rFonts w:hint="eastAsia" w:asciiTheme="minorEastAsia" w:hAnsiTheme="minorEastAsia" w:eastAsiaTheme="minorEastAsia"/>
          <w:sz w:val="24"/>
        </w:rPr>
        <w:t>（2） 合同中包含价格清单，合同价格按照如下规则调整：</w:t>
      </w:r>
    </w:p>
    <w:p>
      <w:pPr>
        <w:spacing w:line="276" w:lineRule="auto"/>
        <w:jc w:val="left"/>
        <w:rPr>
          <w:rFonts w:asciiTheme="minorEastAsia" w:hAnsiTheme="minorEastAsia"/>
          <w:sz w:val="24"/>
        </w:rPr>
      </w:pPr>
      <w:r>
        <w:rPr>
          <w:rFonts w:hint="eastAsia" w:asciiTheme="minorEastAsia" w:hAnsiTheme="minorEastAsia" w:eastAsiaTheme="minorEastAsia"/>
          <w:sz w:val="24"/>
        </w:rPr>
        <w:t>1） 价格清单中有适用于变更工程项目的，应采用该项目的费率和价格；</w:t>
      </w:r>
    </w:p>
    <w:p>
      <w:pPr>
        <w:spacing w:line="276" w:lineRule="auto"/>
        <w:jc w:val="left"/>
        <w:rPr>
          <w:rFonts w:asciiTheme="minorEastAsia" w:hAnsiTheme="minorEastAsia"/>
          <w:sz w:val="24"/>
        </w:rPr>
      </w:pPr>
      <w:r>
        <w:rPr>
          <w:rFonts w:hint="eastAsia" w:asciiTheme="minorEastAsia" w:hAnsiTheme="minorEastAsia" w:eastAsiaTheme="minorEastAsia"/>
          <w:sz w:val="24"/>
        </w:rPr>
        <w:t>2） 价格清单中没有适用但有类似于变更工程项目的，可在合理范围内参照类似项目的费率或价格；</w:t>
      </w:r>
    </w:p>
    <w:p>
      <w:pPr>
        <w:spacing w:line="276" w:lineRule="auto"/>
        <w:jc w:val="left"/>
        <w:rPr>
          <w:rFonts w:asciiTheme="minorEastAsia" w:hAnsiTheme="minorEastAsia"/>
          <w:sz w:val="24"/>
        </w:rPr>
      </w:pPr>
      <w:r>
        <w:rPr>
          <w:rFonts w:hint="eastAsia" w:asciiTheme="minorEastAsia" w:hAnsiTheme="minorEastAsia" w:eastAsiaTheme="minorEastAsia"/>
          <w:sz w:val="24"/>
        </w:rPr>
        <w:t>3） 价格清单中没有适用也没有类似于变更工程项目的，该工程项目应按成本加利润原则调整适用新的费率或价格。</w:t>
      </w:r>
    </w:p>
    <w:p>
      <w:pPr>
        <w:spacing w:line="276" w:lineRule="auto"/>
        <w:jc w:val="left"/>
        <w:rPr>
          <w:rFonts w:asciiTheme="minorEastAsia" w:hAnsiTheme="minorEastAsia"/>
          <w:sz w:val="24"/>
        </w:rPr>
      </w:pPr>
      <w:r>
        <w:rPr>
          <w:rFonts w:hint="eastAsia" w:asciiTheme="minorEastAsia" w:hAnsiTheme="minorEastAsia" w:eastAsiaTheme="minorEastAsia"/>
          <w:sz w:val="24"/>
        </w:rPr>
        <w:t>13.3.3.2 变更估价程序</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在收到变更指示后14天内，向工程师提交变更估价申请。工程师应在收到承包人提交的变更估价申请后7天内审查完毕并报送发包人，工程师对变更估价申请有异议，通知承包人修改后重新提交。发包人应在承包人提交变更估价申请后14天内审批完毕。发包人逾期未完成审批或未提出异议的，视为认可承包人提交的变更估价申请。</w:t>
      </w:r>
    </w:p>
    <w:p>
      <w:pPr>
        <w:spacing w:line="276" w:lineRule="auto"/>
        <w:jc w:val="left"/>
        <w:rPr>
          <w:rFonts w:asciiTheme="minorEastAsia" w:hAnsiTheme="minorEastAsia"/>
          <w:sz w:val="24"/>
        </w:rPr>
      </w:pPr>
      <w:r>
        <w:rPr>
          <w:rFonts w:hint="eastAsia" w:asciiTheme="minorEastAsia" w:hAnsiTheme="minorEastAsia" w:eastAsiaTheme="minorEastAsia"/>
          <w:sz w:val="24"/>
        </w:rPr>
        <w:t>因变更引起的价格调整应计入最近一期的进度款中支付。</w:t>
      </w:r>
    </w:p>
    <w:p>
      <w:pPr>
        <w:spacing w:line="276" w:lineRule="auto"/>
        <w:jc w:val="left"/>
        <w:rPr>
          <w:rFonts w:asciiTheme="minorEastAsia" w:hAnsiTheme="minorEastAsia"/>
          <w:sz w:val="24"/>
        </w:rPr>
      </w:pPr>
      <w:r>
        <w:rPr>
          <w:rFonts w:hint="eastAsia" w:asciiTheme="minorEastAsia" w:hAnsiTheme="minorEastAsia" w:eastAsiaTheme="minorEastAsia"/>
          <w:sz w:val="24"/>
        </w:rPr>
        <w:t>13.3.4 变更引起的工期调整</w:t>
      </w:r>
    </w:p>
    <w:p>
      <w:pPr>
        <w:spacing w:line="276" w:lineRule="auto"/>
        <w:jc w:val="left"/>
        <w:rPr>
          <w:rFonts w:asciiTheme="minorEastAsia" w:hAnsiTheme="minorEastAsia"/>
          <w:sz w:val="24"/>
        </w:rPr>
      </w:pPr>
      <w:r>
        <w:rPr>
          <w:rFonts w:hint="eastAsia" w:asciiTheme="minorEastAsia" w:hAnsiTheme="minorEastAsia" w:eastAsiaTheme="minorEastAsia"/>
          <w:sz w:val="24"/>
        </w:rPr>
        <w:t>因变更引起工期变化的，合同当事人均可要求调整合同工期，由合同当事人按照第3.6款[商定或确定]并参考工程所在地的工期定额标准确定增减工期天数。</w:t>
      </w:r>
    </w:p>
    <w:p>
      <w:pPr>
        <w:spacing w:line="276" w:lineRule="auto"/>
        <w:jc w:val="left"/>
        <w:rPr>
          <w:rFonts w:asciiTheme="minorEastAsia" w:hAnsiTheme="minorEastAsia"/>
          <w:sz w:val="24"/>
        </w:rPr>
      </w:pPr>
      <w:r>
        <w:rPr>
          <w:rFonts w:hint="eastAsia" w:asciiTheme="minorEastAsia" w:hAnsiTheme="minorEastAsia" w:eastAsiaTheme="minorEastAsia"/>
          <w:sz w:val="24"/>
        </w:rPr>
        <w:t>13.4 暂估价</w:t>
      </w:r>
    </w:p>
    <w:p>
      <w:pPr>
        <w:spacing w:line="276" w:lineRule="auto"/>
        <w:jc w:val="left"/>
        <w:rPr>
          <w:rFonts w:asciiTheme="minorEastAsia" w:hAnsiTheme="minorEastAsia"/>
          <w:sz w:val="24"/>
        </w:rPr>
      </w:pPr>
      <w:r>
        <w:rPr>
          <w:rFonts w:hint="eastAsia" w:asciiTheme="minorEastAsia" w:hAnsiTheme="minorEastAsia" w:eastAsiaTheme="minorEastAsia"/>
          <w:sz w:val="24"/>
        </w:rPr>
        <w:t>13.4.1 依法必须招标的暂估价项目</w:t>
      </w:r>
    </w:p>
    <w:p>
      <w:pPr>
        <w:spacing w:line="276" w:lineRule="auto"/>
        <w:jc w:val="left"/>
        <w:rPr>
          <w:rFonts w:asciiTheme="minorEastAsia" w:hAnsiTheme="minorEastAsia"/>
          <w:sz w:val="24"/>
        </w:rPr>
      </w:pPr>
      <w:r>
        <w:rPr>
          <w:rFonts w:hint="eastAsia" w:asciiTheme="minorEastAsia" w:hAnsiTheme="minorEastAsia" w:eastAsiaTheme="minorEastAsia"/>
          <w:sz w:val="24"/>
        </w:rPr>
        <w:t>对于依法必须招标的暂估价项目，专用合同条件约定由承包人作为招标人的，招标文件、评标方案、评标结果应报送发包人批准。与组织招标工作有关的费用应当被认为已经包括在承包人的签约合同价中。</w:t>
      </w:r>
    </w:p>
    <w:p>
      <w:pPr>
        <w:spacing w:line="276" w:lineRule="auto"/>
        <w:jc w:val="left"/>
        <w:rPr>
          <w:rFonts w:asciiTheme="minorEastAsia" w:hAnsiTheme="minorEastAsia"/>
          <w:sz w:val="24"/>
        </w:rPr>
      </w:pPr>
      <w:r>
        <w:rPr>
          <w:rFonts w:hint="eastAsia" w:asciiTheme="minorEastAsia" w:hAnsiTheme="minorEastAsia" w:eastAsiaTheme="minorEastAsia"/>
          <w:sz w:val="24"/>
        </w:rPr>
        <w:t>专用合同条件约定由发包人和承包人共同作为招标人的，与组织招标工作有关的费用在专用合同条件中约定。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具体的招标程序以及发包人和承包人权利义务关系可在专用合同条件中约定。暂估价项目的中标金额与价格清单中所列暂估价的金额差以及相应的税金等其他费用应列入合同价格。</w:t>
      </w:r>
    </w:p>
    <w:p>
      <w:pPr>
        <w:spacing w:line="276" w:lineRule="auto"/>
        <w:jc w:val="left"/>
        <w:rPr>
          <w:rFonts w:asciiTheme="minorEastAsia" w:hAnsiTheme="minorEastAsia"/>
          <w:sz w:val="24"/>
        </w:rPr>
      </w:pPr>
      <w:r>
        <w:rPr>
          <w:rFonts w:hint="eastAsia" w:asciiTheme="minorEastAsia" w:hAnsiTheme="minorEastAsia" w:eastAsiaTheme="minorEastAsia"/>
          <w:sz w:val="24"/>
        </w:rPr>
        <w:t>13.4.2 不属于依法必须招标的暂估价项目</w:t>
      </w:r>
    </w:p>
    <w:p>
      <w:pPr>
        <w:spacing w:line="276" w:lineRule="auto"/>
        <w:jc w:val="left"/>
        <w:rPr>
          <w:rFonts w:asciiTheme="minorEastAsia" w:hAnsiTheme="minorEastAsia"/>
          <w:sz w:val="24"/>
        </w:rPr>
      </w:pPr>
      <w:r>
        <w:rPr>
          <w:rFonts w:hint="eastAsia" w:asciiTheme="minorEastAsia" w:hAnsiTheme="minorEastAsia" w:eastAsiaTheme="minorEastAsia"/>
          <w:sz w:val="24"/>
        </w:rPr>
        <w:t>对于不属于依法必须招标的暂估价项目，承包人具备实施暂估价项目的资格和条件的，经发包人和承包人协商一致后，可由承包人自行实施暂估价项目，具体的协商和估价程序以及发包人和承包人权利义务关系可在专用合同条件中约定。确定后的暂估价项目金额与价格清单中所列暂估价的金额差以及相应的税金等其他费用应列入合同价格。</w:t>
      </w:r>
    </w:p>
    <w:p>
      <w:pPr>
        <w:spacing w:line="276" w:lineRule="auto"/>
        <w:jc w:val="left"/>
        <w:rPr>
          <w:rFonts w:asciiTheme="minorEastAsia" w:hAnsiTheme="minorEastAsia"/>
          <w:sz w:val="24"/>
        </w:rPr>
      </w:pPr>
      <w:r>
        <w:rPr>
          <w:rFonts w:hint="eastAsia" w:asciiTheme="minorEastAsia" w:hAnsiTheme="minorEastAsia" w:eastAsiaTheme="minorEastAsia"/>
          <w:sz w:val="24"/>
        </w:rPr>
        <w:t>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13.5 暂列金额 </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每一笔暂列金额只能按照发包人的指示全部或部分使用，并对合同价格进行相应调整。付给承包人的总金额应仅包括发包人已指示的，与暂列金额相关的工作、货物或服务的应付款项。</w:t>
      </w:r>
    </w:p>
    <w:p>
      <w:pPr>
        <w:spacing w:line="276" w:lineRule="auto"/>
        <w:jc w:val="left"/>
        <w:rPr>
          <w:rFonts w:asciiTheme="minorEastAsia" w:hAnsiTheme="minorEastAsia"/>
          <w:sz w:val="24"/>
        </w:rPr>
      </w:pPr>
      <w:r>
        <w:rPr>
          <w:rFonts w:hint="eastAsia" w:asciiTheme="minorEastAsia" w:hAnsiTheme="minorEastAsia" w:eastAsiaTheme="minorEastAsia"/>
          <w:sz w:val="24"/>
        </w:rPr>
        <w:t>对于每笔暂列金额，发包人可以指示用于下列支付：</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发包人根据第13.1款[发包人变更权]指示变更，决定对合同价格和付款计划表（如有）进行调整的、由承包人实施的工作（包括要提供的工程设备、材料和服务）；</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承包人购买的工程设备、材料、工作或服务，应支付包括承包人已付（或应付）的实际金额以及相应的管理费等费用和利润（管理费和利润应以实际金额为基数根据合同约定的费率（如有）或百分比计算）。</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根据上述(1)和（或）(2)指示支付暂列金额的，可以要求承包人提交其供应商提供的全部或部分要实施的工程或拟购买的工程设备、材料、工作或服务的项目报价单。发包人可以发出通知指示承包人接受其中的一个报价或指示撤销支付，发包人在收到项目报价单的7天内未作回应的，承包人应有权自行接受其中任何一个报价。</w:t>
      </w:r>
    </w:p>
    <w:p>
      <w:pPr>
        <w:spacing w:line="276" w:lineRule="auto"/>
        <w:jc w:val="left"/>
        <w:rPr>
          <w:rFonts w:asciiTheme="minorEastAsia" w:hAnsiTheme="minorEastAsia"/>
          <w:sz w:val="24"/>
        </w:rPr>
      </w:pPr>
      <w:r>
        <w:rPr>
          <w:rFonts w:hint="eastAsia" w:asciiTheme="minorEastAsia" w:hAnsiTheme="minorEastAsia" w:eastAsiaTheme="minorEastAsia"/>
          <w:sz w:val="24"/>
        </w:rPr>
        <w:t>每份包含暂列金额的文件还应包括用以证明暂列金额的所有有效的发票、凭证和账户或收据。</w:t>
      </w:r>
    </w:p>
    <w:p>
      <w:pPr>
        <w:spacing w:line="276" w:lineRule="auto"/>
        <w:jc w:val="left"/>
        <w:rPr>
          <w:rFonts w:asciiTheme="minorEastAsia" w:hAnsiTheme="minorEastAsia"/>
          <w:sz w:val="24"/>
        </w:rPr>
      </w:pPr>
      <w:r>
        <w:rPr>
          <w:rFonts w:hint="eastAsia" w:asciiTheme="minorEastAsia" w:hAnsiTheme="minorEastAsia" w:eastAsiaTheme="minorEastAsia"/>
          <w:sz w:val="24"/>
        </w:rPr>
        <w:t>13.6 计日工</w:t>
      </w:r>
    </w:p>
    <w:p>
      <w:pPr>
        <w:spacing w:line="276" w:lineRule="auto"/>
        <w:jc w:val="left"/>
        <w:rPr>
          <w:rFonts w:asciiTheme="minorEastAsia" w:hAnsiTheme="minorEastAsia"/>
          <w:sz w:val="24"/>
        </w:rPr>
      </w:pPr>
      <w:r>
        <w:rPr>
          <w:rFonts w:hint="eastAsia" w:asciiTheme="minorEastAsia" w:hAnsiTheme="minorEastAsia" w:eastAsiaTheme="minorEastAsia"/>
          <w:sz w:val="24"/>
        </w:rPr>
        <w:t>13.6.1 需要采用计日工方式的，经发包人同意后，由工程师通知承包人以计日工计价方式实施相应的工作，其价款按列入价格清单或预算书中的计日工计价项目及其单价进行计算；价格清单或预算书中无相应的计日工单价的，按照合理的成本与利润构成的原则，由工程师按照第3.6款[商定或确定]确定计日工的单价。</w:t>
      </w:r>
    </w:p>
    <w:p>
      <w:pPr>
        <w:spacing w:line="276" w:lineRule="auto"/>
        <w:jc w:val="left"/>
        <w:rPr>
          <w:rFonts w:asciiTheme="minorEastAsia" w:hAnsiTheme="minorEastAsia"/>
          <w:sz w:val="24"/>
        </w:rPr>
      </w:pPr>
      <w:r>
        <w:rPr>
          <w:rFonts w:hint="eastAsia" w:asciiTheme="minorEastAsia" w:hAnsiTheme="minorEastAsia" w:eastAsiaTheme="minorEastAsia"/>
          <w:sz w:val="24"/>
        </w:rPr>
        <w:t>13.6.2 采用计日工计价的任何一项工作，承包人应在该项工作实施过程中，每天提交以下报表和有关凭证报送工程师审查：</w:t>
      </w:r>
    </w:p>
    <w:p>
      <w:pPr>
        <w:spacing w:line="276" w:lineRule="auto"/>
        <w:jc w:val="left"/>
        <w:rPr>
          <w:rFonts w:asciiTheme="minorEastAsia" w:hAnsiTheme="minorEastAsia"/>
          <w:sz w:val="24"/>
        </w:rPr>
      </w:pPr>
      <w:r>
        <w:rPr>
          <w:rFonts w:hint="eastAsia" w:asciiTheme="minorEastAsia" w:hAnsiTheme="minorEastAsia" w:eastAsiaTheme="minorEastAsia"/>
          <w:sz w:val="24"/>
        </w:rPr>
        <w:t>（1） 工作名称、内容和数量；</w:t>
      </w:r>
    </w:p>
    <w:p>
      <w:pPr>
        <w:spacing w:line="276" w:lineRule="auto"/>
        <w:jc w:val="left"/>
        <w:rPr>
          <w:rFonts w:asciiTheme="minorEastAsia" w:hAnsiTheme="minorEastAsia"/>
          <w:sz w:val="24"/>
        </w:rPr>
      </w:pPr>
      <w:r>
        <w:rPr>
          <w:rFonts w:hint="eastAsia" w:asciiTheme="minorEastAsia" w:hAnsiTheme="minorEastAsia" w:eastAsiaTheme="minorEastAsia"/>
          <w:sz w:val="24"/>
        </w:rPr>
        <w:t>（2） 投入该工作的所有人员的姓名、专业、工种、级别和耗用工时；</w:t>
      </w:r>
    </w:p>
    <w:p>
      <w:pPr>
        <w:spacing w:line="276" w:lineRule="auto"/>
        <w:jc w:val="left"/>
        <w:rPr>
          <w:rFonts w:asciiTheme="minorEastAsia" w:hAnsiTheme="minorEastAsia"/>
          <w:sz w:val="24"/>
        </w:rPr>
      </w:pPr>
      <w:r>
        <w:rPr>
          <w:rFonts w:hint="eastAsia" w:asciiTheme="minorEastAsia" w:hAnsiTheme="minorEastAsia" w:eastAsiaTheme="minorEastAsia"/>
          <w:sz w:val="24"/>
        </w:rPr>
        <w:t>（3） 投入该工作的材料类别和数量；</w:t>
      </w:r>
    </w:p>
    <w:p>
      <w:pPr>
        <w:spacing w:line="276" w:lineRule="auto"/>
        <w:jc w:val="left"/>
        <w:rPr>
          <w:rFonts w:asciiTheme="minorEastAsia" w:hAnsiTheme="minorEastAsia"/>
          <w:sz w:val="24"/>
        </w:rPr>
      </w:pPr>
      <w:r>
        <w:rPr>
          <w:rFonts w:hint="eastAsia" w:asciiTheme="minorEastAsia" w:hAnsiTheme="minorEastAsia" w:eastAsiaTheme="minorEastAsia"/>
          <w:sz w:val="24"/>
        </w:rPr>
        <w:t>（4） 投入该工作的施工设备型号、台数和耗用台时；</w:t>
      </w:r>
    </w:p>
    <w:p>
      <w:pPr>
        <w:spacing w:line="276" w:lineRule="auto"/>
        <w:jc w:val="left"/>
        <w:rPr>
          <w:rFonts w:asciiTheme="minorEastAsia" w:hAnsiTheme="minorEastAsia"/>
          <w:sz w:val="24"/>
        </w:rPr>
      </w:pPr>
      <w:r>
        <w:rPr>
          <w:rFonts w:hint="eastAsia" w:asciiTheme="minorEastAsia" w:hAnsiTheme="minorEastAsia" w:eastAsiaTheme="minorEastAsia"/>
          <w:sz w:val="24"/>
        </w:rPr>
        <w:t>（5） 其他有关资料和凭证。</w:t>
      </w:r>
    </w:p>
    <w:p>
      <w:pPr>
        <w:spacing w:line="276" w:lineRule="auto"/>
        <w:jc w:val="left"/>
        <w:rPr>
          <w:rFonts w:asciiTheme="minorEastAsia" w:hAnsiTheme="minorEastAsia"/>
          <w:sz w:val="24"/>
        </w:rPr>
      </w:pPr>
      <w:r>
        <w:rPr>
          <w:rFonts w:hint="eastAsia" w:asciiTheme="minorEastAsia" w:hAnsiTheme="minorEastAsia" w:eastAsiaTheme="minorEastAsia"/>
          <w:sz w:val="24"/>
        </w:rPr>
        <w:t>计日工由承包人汇总后，列入最近一期进度付款申请单，由工程师审查并经发包人批准后列入进度付款。</w:t>
      </w:r>
    </w:p>
    <w:p>
      <w:pPr>
        <w:spacing w:line="276" w:lineRule="auto"/>
        <w:jc w:val="left"/>
        <w:rPr>
          <w:rFonts w:asciiTheme="minorEastAsia" w:hAnsiTheme="minorEastAsia"/>
          <w:sz w:val="24"/>
        </w:rPr>
      </w:pPr>
      <w:r>
        <w:rPr>
          <w:rFonts w:hint="eastAsia" w:asciiTheme="minorEastAsia" w:hAnsiTheme="minorEastAsia" w:eastAsiaTheme="minorEastAsia"/>
          <w:sz w:val="24"/>
        </w:rPr>
        <w:t>13.7 法律变化引起的调整</w:t>
      </w:r>
    </w:p>
    <w:p>
      <w:pPr>
        <w:spacing w:line="276" w:lineRule="auto"/>
        <w:jc w:val="left"/>
        <w:rPr>
          <w:rFonts w:asciiTheme="minorEastAsia" w:hAnsiTheme="minorEastAsia"/>
          <w:sz w:val="24"/>
        </w:rPr>
      </w:pPr>
      <w:r>
        <w:rPr>
          <w:rFonts w:hint="eastAsia" w:asciiTheme="minorEastAsia" w:hAnsiTheme="minorEastAsia" w:eastAsiaTheme="minorEastAsia"/>
          <w:sz w:val="24"/>
        </w:rPr>
        <w:t>13.7.1 基准日期后，法律变化导致承包人在合同履行过程中所需要的费用发生除第13.8款[市场价格波动引起的调整]约定以外的增加时，由发包人承担由此增加的费用；减少时，应从合同价格中予以扣减。基准日期后，因法律变化造成工期延误时，工期应予以顺延。</w:t>
      </w:r>
    </w:p>
    <w:p>
      <w:pPr>
        <w:spacing w:line="276" w:lineRule="auto"/>
        <w:jc w:val="left"/>
        <w:rPr>
          <w:rFonts w:asciiTheme="minorEastAsia" w:hAnsiTheme="minorEastAsia"/>
          <w:sz w:val="24"/>
        </w:rPr>
      </w:pPr>
      <w:r>
        <w:rPr>
          <w:rFonts w:hint="eastAsia" w:asciiTheme="minorEastAsia" w:hAnsiTheme="minorEastAsia" w:eastAsiaTheme="minorEastAsia"/>
          <w:sz w:val="24"/>
        </w:rPr>
        <w:t>13.7.2 因法律变化引起的合同价格和工期调整，合同当事人无法达成一致的，由工程师按第3.6款[商定或确定]的约定处理。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13.7.3 因承包人原因造成工期延误，在工期延误期间出现法律变化的，由此增加的费用和（或）延误的工期由承包人承担。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13.7.4 因法律变化而需要对工程的实施进行任何调整的，承包人应迅速通知发包人，或者发包人应迅速通知承包人，并附上详细的辅助资料。发包人接到通知后，应根据第13.3款[变更程序]发出变更指示。</w:t>
      </w:r>
    </w:p>
    <w:p>
      <w:pPr>
        <w:spacing w:line="276" w:lineRule="auto"/>
        <w:jc w:val="left"/>
        <w:rPr>
          <w:rFonts w:asciiTheme="minorEastAsia" w:hAnsiTheme="minorEastAsia"/>
          <w:sz w:val="24"/>
        </w:rPr>
      </w:pPr>
      <w:r>
        <w:rPr>
          <w:rFonts w:hint="eastAsia" w:asciiTheme="minorEastAsia" w:hAnsiTheme="minorEastAsia" w:eastAsiaTheme="minorEastAsia"/>
          <w:sz w:val="24"/>
        </w:rPr>
        <w:t>13.8 市场价格波动引起的调整</w:t>
      </w:r>
    </w:p>
    <w:p>
      <w:pPr>
        <w:spacing w:line="276" w:lineRule="auto"/>
        <w:jc w:val="left"/>
        <w:rPr>
          <w:rFonts w:asciiTheme="minorEastAsia" w:hAnsiTheme="minorEastAsia"/>
          <w:sz w:val="24"/>
        </w:rPr>
      </w:pPr>
      <w:r>
        <w:rPr>
          <w:rFonts w:hint="eastAsia" w:asciiTheme="minorEastAsia" w:hAnsiTheme="minorEastAsia" w:eastAsiaTheme="minorEastAsia"/>
          <w:sz w:val="24"/>
        </w:rPr>
        <w:t>13.8.1 主要工程材料、设备、人工价格与招标时基期价相比，波动幅度超过合同约定幅度的，双方按照合同约定的价格调整方式调整。</w:t>
      </w:r>
    </w:p>
    <w:p>
      <w:pPr>
        <w:spacing w:line="276" w:lineRule="auto"/>
        <w:jc w:val="left"/>
        <w:rPr>
          <w:rFonts w:asciiTheme="minorEastAsia" w:hAnsiTheme="minorEastAsia"/>
          <w:sz w:val="24"/>
        </w:rPr>
      </w:pPr>
      <w:r>
        <w:rPr>
          <w:rFonts w:hint="eastAsia" w:asciiTheme="minorEastAsia" w:hAnsiTheme="minorEastAsia" w:eastAsiaTheme="minorEastAsia"/>
          <w:sz w:val="24"/>
        </w:rPr>
        <w:t>13.8.2 发包人与承包人在专用合同条件中约定采用《价格指数权重表》的，适用本项约定。</w:t>
      </w:r>
    </w:p>
    <w:p>
      <w:pPr>
        <w:spacing w:line="276" w:lineRule="auto"/>
        <w:jc w:val="left"/>
        <w:rPr>
          <w:rFonts w:asciiTheme="minorEastAsia" w:hAnsiTheme="minorEastAsia"/>
          <w:sz w:val="24"/>
        </w:rPr>
      </w:pPr>
      <w:r>
        <w:rPr>
          <w:rFonts w:hint="eastAsia" w:asciiTheme="minorEastAsia" w:hAnsiTheme="minorEastAsia" w:eastAsiaTheme="minorEastAsia"/>
          <w:sz w:val="24"/>
        </w:rPr>
        <w:t>13.8.2.1 双方当事人可以将部分主要工程材料、工程设备、人工价格及其他双方认为应当根据市场价格调整的费用列入附件6[价格指数权重表]，并根据以下公式计算差额并调整合同价格：</w:t>
      </w:r>
    </w:p>
    <w:p>
      <w:pPr>
        <w:spacing w:line="276" w:lineRule="auto"/>
        <w:jc w:val="left"/>
        <w:rPr>
          <w:rFonts w:asciiTheme="minorEastAsia" w:hAnsiTheme="minorEastAsia"/>
          <w:sz w:val="24"/>
        </w:rPr>
      </w:pPr>
      <w:r>
        <w:rPr>
          <w:rFonts w:hint="eastAsia" w:asciiTheme="minorEastAsia" w:hAnsiTheme="minorEastAsia" w:eastAsiaTheme="minorEastAsia"/>
          <w:sz w:val="24"/>
        </w:rPr>
        <w:t>（1） 价格调整公式</w:t>
      </w:r>
    </w:p>
    <w:p>
      <w:pPr>
        <w:spacing w:line="276" w:lineRule="auto"/>
        <w:jc w:val="left"/>
        <w:rPr>
          <w:rFonts w:asciiTheme="minorEastAsia" w:hAnsiTheme="minorEastAsia"/>
          <w:sz w:val="24"/>
        </w:rPr>
      </w:pPr>
      <w:r>
        <w:rPr>
          <w:sz w:val="24"/>
        </w:rPr>
        <w:drawing>
          <wp:inline distT="0" distB="0" distL="0" distR="0">
            <wp:extent cx="5696585" cy="809625"/>
            <wp:effectExtent l="19050" t="0" r="0" b="0"/>
            <wp:docPr id="386005845" name="R15c10f55544d464a" descr="R15c10f55544d46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05845" name="R15c10f55544d464a" descr="R15c10f55544d464a"/>
                    <pic:cNvPicPr>
                      <a:picLocks noChangeAspect="1"/>
                    </pic:cNvPicPr>
                  </pic:nvPicPr>
                  <pic:blipFill>
                    <a:blip r:embed="rId8" cstate="print"/>
                    <a:stretch>
                      <a:fillRect/>
                    </a:stretch>
                  </pic:blipFill>
                  <pic:spPr>
                    <a:xfrm>
                      <a:off x="0" y="0"/>
                      <a:ext cx="5696745" cy="809738"/>
                    </a:xfrm>
                    <a:prstGeom prst="rect">
                      <a:avLst/>
                    </a:prstGeom>
                  </pic:spPr>
                </pic:pic>
              </a:graphicData>
            </a:graphic>
          </wp:inline>
        </w:drawing>
      </w:r>
    </w:p>
    <w:p>
      <w:pPr>
        <w:spacing w:line="276" w:lineRule="auto"/>
        <w:jc w:val="left"/>
        <w:rPr>
          <w:rFonts w:asciiTheme="minorEastAsia" w:hAnsiTheme="minorEastAsia"/>
          <w:sz w:val="24"/>
        </w:rPr>
      </w:pPr>
      <w:r>
        <w:rPr>
          <w:rFonts w:hint="eastAsia" w:asciiTheme="minorEastAsia" w:hAnsiTheme="minorEastAsia" w:eastAsiaTheme="minorEastAsia"/>
          <w:sz w:val="24"/>
        </w:rPr>
        <w:t>公式中：△P---需调整的价格差额；</w:t>
      </w:r>
    </w:p>
    <w:p>
      <w:pPr>
        <w:spacing w:line="276" w:lineRule="auto"/>
        <w:jc w:val="left"/>
        <w:rPr>
          <w:rFonts w:asciiTheme="minorEastAsia" w:hAnsiTheme="minorEastAsia"/>
          <w:sz w:val="24"/>
        </w:rPr>
      </w:pPr>
      <w:r>
        <w:rPr>
          <w:rFonts w:hint="eastAsia" w:asciiTheme="minorEastAsia" w:hAnsiTheme="minorEastAsia" w:eastAsiaTheme="minorEastAsia"/>
          <w:sz w:val="24"/>
        </w:rPr>
        <w:t>PO---付款证书中承包人应得到的已完成工作量的金额。此项金额应不包括价格调整、不计质量保证金的预留和支付、预付款的支付和扣回。第13条[变更与调整]约定的变更及其他金额已按当期价格计价的，也不计在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A ---定值权重（即不调部分的权重）； </w:t>
      </w:r>
    </w:p>
    <w:p>
      <w:pPr>
        <w:spacing w:line="276" w:lineRule="auto"/>
        <w:jc w:val="left"/>
        <w:rPr>
          <w:rFonts w:asciiTheme="minorEastAsia" w:hAnsiTheme="minorEastAsia"/>
          <w:sz w:val="24"/>
        </w:rPr>
      </w:pPr>
      <w:r>
        <w:rPr>
          <w:rFonts w:hint="eastAsia" w:asciiTheme="minorEastAsia" w:hAnsiTheme="minorEastAsia" w:eastAsiaTheme="minorEastAsia"/>
          <w:sz w:val="24"/>
        </w:rPr>
        <w:t>B1；B2；B3；……Bn---各可调因子的变值权重（即可调部分的权重）为各可调因子在投标函投标总报价中所占的比例，且A+B1+B2+B3+……+Bn=1；</w:t>
      </w:r>
    </w:p>
    <w:p>
      <w:pPr>
        <w:spacing w:line="276" w:lineRule="auto"/>
        <w:jc w:val="left"/>
        <w:rPr>
          <w:rFonts w:asciiTheme="minorEastAsia" w:hAnsiTheme="minorEastAsia"/>
          <w:sz w:val="24"/>
        </w:rPr>
      </w:pPr>
      <w:r>
        <w:rPr>
          <w:rFonts w:hint="eastAsia" w:asciiTheme="minorEastAsia" w:hAnsiTheme="minorEastAsia" w:eastAsiaTheme="minorEastAsia"/>
          <w:sz w:val="24"/>
        </w:rPr>
        <w:t>Ft1；Ft2；Ft3；……Ftn---各可调因子的当期价格指数，指付款证书相关周期最后一天的前42天的各可调因子的价格指数；</w:t>
      </w:r>
    </w:p>
    <w:p>
      <w:pPr>
        <w:spacing w:line="276" w:lineRule="auto"/>
        <w:jc w:val="left"/>
        <w:rPr>
          <w:rFonts w:asciiTheme="minorEastAsia" w:hAnsiTheme="minorEastAsia"/>
          <w:sz w:val="24"/>
        </w:rPr>
      </w:pPr>
      <w:r>
        <w:rPr>
          <w:rFonts w:hint="eastAsia" w:asciiTheme="minorEastAsia" w:hAnsiTheme="minorEastAsia" w:eastAsiaTheme="minorEastAsia"/>
          <w:sz w:val="24"/>
        </w:rPr>
        <w:t>F01；F02；F03；……F0n---各可调因子的基本价格指数，指基准日期的各可调因子的价格指数。</w:t>
      </w:r>
    </w:p>
    <w:p>
      <w:pPr>
        <w:spacing w:line="276" w:lineRule="auto"/>
        <w:jc w:val="left"/>
        <w:rPr>
          <w:rFonts w:asciiTheme="minorEastAsia" w:hAnsiTheme="minorEastAsia"/>
          <w:sz w:val="24"/>
        </w:rPr>
      </w:pPr>
      <w:r>
        <w:rPr>
          <w:rFonts w:hint="eastAsia" w:asciiTheme="minorEastAsia" w:hAnsiTheme="minorEastAsia" w:eastAsiaTheme="minorEastAsia"/>
          <w:sz w:val="24"/>
        </w:rPr>
        <w:t>以上价格调整公式中的各可调因子、定值和变值权重，以及基本价格指数及其来源在投标函附录价格指数和权重表中约定。价格指数应首先采用投标函附录中载明的有关部门提供的价格指数，缺乏上述价格指数时，可采用有关部门提供的价格代替。</w:t>
      </w:r>
    </w:p>
    <w:p>
      <w:pPr>
        <w:spacing w:line="276" w:lineRule="auto"/>
        <w:jc w:val="left"/>
        <w:rPr>
          <w:rFonts w:asciiTheme="minorEastAsia" w:hAnsiTheme="minorEastAsia"/>
          <w:sz w:val="24"/>
        </w:rPr>
      </w:pPr>
      <w:r>
        <w:rPr>
          <w:rFonts w:hint="eastAsia" w:asciiTheme="minorEastAsia" w:hAnsiTheme="minorEastAsia" w:eastAsiaTheme="minorEastAsia"/>
          <w:sz w:val="24"/>
        </w:rPr>
        <w:t>（2） 暂时确定调整差额</w:t>
      </w:r>
    </w:p>
    <w:p>
      <w:pPr>
        <w:spacing w:line="276" w:lineRule="auto"/>
        <w:jc w:val="left"/>
        <w:rPr>
          <w:rFonts w:asciiTheme="minorEastAsia" w:hAnsiTheme="minorEastAsia"/>
          <w:sz w:val="24"/>
        </w:rPr>
      </w:pPr>
      <w:r>
        <w:rPr>
          <w:rFonts w:hint="eastAsia" w:asciiTheme="minorEastAsia" w:hAnsiTheme="minorEastAsia" w:eastAsiaTheme="minorEastAsia"/>
          <w:sz w:val="24"/>
        </w:rPr>
        <w:t>在计算调整差额时得不到当期价格指数的，可暂用上一次价格指数计算，并在以后的付款中再按实际价格指数进行调整。</w:t>
      </w:r>
    </w:p>
    <w:p>
      <w:pPr>
        <w:spacing w:line="276" w:lineRule="auto"/>
        <w:jc w:val="left"/>
        <w:rPr>
          <w:rFonts w:asciiTheme="minorEastAsia" w:hAnsiTheme="minorEastAsia"/>
          <w:sz w:val="24"/>
        </w:rPr>
      </w:pPr>
      <w:r>
        <w:rPr>
          <w:rFonts w:hint="eastAsia" w:asciiTheme="minorEastAsia" w:hAnsiTheme="minorEastAsia" w:eastAsiaTheme="minorEastAsia"/>
          <w:sz w:val="24"/>
        </w:rPr>
        <w:t>（3） 权重的调整</w:t>
      </w:r>
    </w:p>
    <w:p>
      <w:pPr>
        <w:spacing w:line="276" w:lineRule="auto"/>
        <w:jc w:val="left"/>
        <w:rPr>
          <w:rFonts w:asciiTheme="minorEastAsia" w:hAnsiTheme="minorEastAsia"/>
          <w:sz w:val="24"/>
        </w:rPr>
      </w:pPr>
      <w:r>
        <w:rPr>
          <w:rFonts w:hint="eastAsia" w:asciiTheme="minorEastAsia" w:hAnsiTheme="minorEastAsia" w:eastAsiaTheme="minorEastAsia"/>
          <w:sz w:val="24"/>
        </w:rPr>
        <w:t>按第13.1款[发包人变更权]约定的变更导致原定合同中的权重不合理的，由工程师与承包人和发包人协商后进行调整。</w:t>
      </w:r>
    </w:p>
    <w:p>
      <w:pPr>
        <w:spacing w:line="276" w:lineRule="auto"/>
        <w:jc w:val="left"/>
        <w:rPr>
          <w:rFonts w:asciiTheme="minorEastAsia" w:hAnsiTheme="minorEastAsia"/>
          <w:sz w:val="24"/>
        </w:rPr>
      </w:pPr>
      <w:r>
        <w:rPr>
          <w:rFonts w:hint="eastAsia" w:asciiTheme="minorEastAsia" w:hAnsiTheme="minorEastAsia" w:eastAsiaTheme="minorEastAsia"/>
          <w:sz w:val="24"/>
        </w:rPr>
        <w:t>（4） 承包人原因工期延误后的价格调整</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因承包人原因未在约定的工期内竣工的，则对原约定竣工日期后继续施工的工程，在使用本款第(1)项价格调整公式时，应采用原约定竣工日期与实际竣工日期的两个价格指数中较低的一个作为当期价格指数。</w:t>
      </w:r>
    </w:p>
    <w:p>
      <w:pPr>
        <w:spacing w:line="276" w:lineRule="auto"/>
        <w:jc w:val="left"/>
        <w:rPr>
          <w:rFonts w:asciiTheme="minorEastAsia" w:hAnsiTheme="minorEastAsia"/>
          <w:sz w:val="24"/>
        </w:rPr>
      </w:pPr>
      <w:r>
        <w:rPr>
          <w:rFonts w:hint="eastAsia" w:asciiTheme="minorEastAsia" w:hAnsiTheme="minorEastAsia" w:eastAsiaTheme="minorEastAsia"/>
          <w:sz w:val="24"/>
        </w:rPr>
        <w:t>（5） 发包人引起的工期延误后的价格调整</w:t>
      </w:r>
    </w:p>
    <w:p>
      <w:pPr>
        <w:spacing w:line="276" w:lineRule="auto"/>
        <w:jc w:val="left"/>
        <w:rPr>
          <w:rFonts w:asciiTheme="minorEastAsia" w:hAnsiTheme="minorEastAsia"/>
          <w:sz w:val="24"/>
        </w:rPr>
      </w:pPr>
      <w:r>
        <w:rPr>
          <w:rFonts w:hint="eastAsia" w:asciiTheme="minorEastAsia" w:hAnsiTheme="minorEastAsia" w:eastAsiaTheme="minorEastAsia"/>
          <w:sz w:val="24"/>
        </w:rPr>
        <w:t>由于发包人原因未在约定的工期内竣工的，则对原约定竣工日期后继续施工的工程，在使用本款第（1）目价格调整公式时，应采用原约定竣工日期与实际竣工日期的两个价格指数中较高的一个作为当期价格指数。</w:t>
      </w:r>
    </w:p>
    <w:p>
      <w:pPr>
        <w:spacing w:line="276" w:lineRule="auto"/>
        <w:jc w:val="left"/>
        <w:rPr>
          <w:rFonts w:asciiTheme="minorEastAsia" w:hAnsiTheme="minorEastAsia"/>
          <w:sz w:val="24"/>
        </w:rPr>
      </w:pPr>
      <w:r>
        <w:rPr>
          <w:rFonts w:hint="eastAsia" w:asciiTheme="minorEastAsia" w:hAnsiTheme="minorEastAsia" w:eastAsiaTheme="minorEastAsia"/>
          <w:sz w:val="24"/>
        </w:rPr>
        <w:t>13.8.2.2 未列入《价格指数权重表》的费用不因市场变化而调整。</w:t>
      </w:r>
    </w:p>
    <w:p>
      <w:pPr>
        <w:spacing w:line="276" w:lineRule="auto"/>
        <w:jc w:val="left"/>
        <w:rPr>
          <w:rFonts w:asciiTheme="minorEastAsia" w:hAnsiTheme="minorEastAsia"/>
          <w:sz w:val="24"/>
        </w:rPr>
      </w:pPr>
      <w:r>
        <w:rPr>
          <w:rFonts w:hint="eastAsia" w:asciiTheme="minorEastAsia" w:hAnsiTheme="minorEastAsia" w:eastAsiaTheme="minorEastAsia"/>
          <w:sz w:val="24"/>
        </w:rPr>
        <w:t>13.8.3 双方约定采用其他方式调整合同价款的，以专用合同条件约定为准。</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第14条 合同价格与支付</w:t>
      </w:r>
    </w:p>
    <w:p>
      <w:pPr>
        <w:spacing w:line="276" w:lineRule="auto"/>
        <w:jc w:val="left"/>
        <w:rPr>
          <w:rFonts w:asciiTheme="minorEastAsia" w:hAnsiTheme="minorEastAsia"/>
          <w:sz w:val="24"/>
        </w:rPr>
      </w:pPr>
      <w:r>
        <w:rPr>
          <w:rFonts w:hint="eastAsia" w:asciiTheme="minorEastAsia" w:hAnsiTheme="minorEastAsia" w:eastAsiaTheme="minorEastAsia"/>
          <w:sz w:val="24"/>
        </w:rPr>
        <w:t>14.1 合同价格形式</w:t>
      </w:r>
    </w:p>
    <w:p>
      <w:pPr>
        <w:spacing w:line="276" w:lineRule="auto"/>
        <w:jc w:val="left"/>
        <w:rPr>
          <w:rFonts w:asciiTheme="minorEastAsia" w:hAnsiTheme="minorEastAsia"/>
          <w:sz w:val="24"/>
        </w:rPr>
      </w:pPr>
      <w:r>
        <w:rPr>
          <w:rFonts w:hint="eastAsia" w:asciiTheme="minorEastAsia" w:hAnsiTheme="minorEastAsia" w:eastAsiaTheme="minorEastAsia"/>
          <w:sz w:val="24"/>
        </w:rPr>
        <w:t>14.1.1 除专用合同条件中另有约定外，本合同为总价合同，除根据第13条[变更与调整]，以及合同中其它相关增减金额的约定进行调整外，合同价格不做调整。</w:t>
      </w:r>
    </w:p>
    <w:p>
      <w:pPr>
        <w:spacing w:line="276" w:lineRule="auto"/>
        <w:jc w:val="left"/>
        <w:rPr>
          <w:rFonts w:asciiTheme="minorEastAsia" w:hAnsiTheme="minorEastAsia"/>
          <w:sz w:val="24"/>
        </w:rPr>
      </w:pPr>
      <w:r>
        <w:rPr>
          <w:rFonts w:hint="eastAsia" w:asciiTheme="minorEastAsia" w:hAnsiTheme="minorEastAsia" w:eastAsiaTheme="minorEastAsia"/>
          <w:sz w:val="24"/>
        </w:rPr>
        <w:t>14.1.2 除专用合同条件另有约定外：</w:t>
      </w:r>
    </w:p>
    <w:p>
      <w:pPr>
        <w:spacing w:line="276" w:lineRule="auto"/>
        <w:jc w:val="left"/>
        <w:rPr>
          <w:rFonts w:asciiTheme="minorEastAsia" w:hAnsiTheme="minorEastAsia"/>
          <w:sz w:val="24"/>
        </w:rPr>
      </w:pPr>
      <w:r>
        <w:rPr>
          <w:rFonts w:hint="eastAsia" w:asciiTheme="minorEastAsia" w:hAnsiTheme="minorEastAsia" w:eastAsiaTheme="minorEastAsia"/>
          <w:sz w:val="24"/>
        </w:rPr>
        <w:t>（1） 工程款的支付应以合同协议书约定的签约合同价格为基础，按照合同约定进行调整；</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承包人应支付根据法律规定或合同约定应由其支付的各项税费，除第13.7款[法律变化引起的调整]约定外，合同价格不应因任何这些税费进行调整；</w:t>
      </w:r>
    </w:p>
    <w:p>
      <w:pPr>
        <w:spacing w:line="276" w:lineRule="auto"/>
        <w:jc w:val="left"/>
        <w:rPr>
          <w:rFonts w:asciiTheme="minorEastAsia" w:hAnsiTheme="minorEastAsia"/>
          <w:sz w:val="24"/>
        </w:rPr>
      </w:pPr>
      <w:r>
        <w:rPr>
          <w:rFonts w:hint="eastAsia" w:asciiTheme="minorEastAsia" w:hAnsiTheme="minorEastAsia" w:eastAsiaTheme="minorEastAsia"/>
          <w:sz w:val="24"/>
        </w:rPr>
        <w:t>（3） 价格清单列出的任何数量仅为估算的工作量，不得将其视为要求承包人实施的工程的实际或准确的工作量。在价格清单中列出的任何工作量和价格数据应仅限用于变更和支付的参考资料，而不能用于其他目的。</w:t>
      </w:r>
    </w:p>
    <w:p>
      <w:pPr>
        <w:spacing w:line="276" w:lineRule="auto"/>
        <w:jc w:val="left"/>
        <w:rPr>
          <w:rFonts w:asciiTheme="minorEastAsia" w:hAnsiTheme="minorEastAsia"/>
          <w:sz w:val="24"/>
        </w:rPr>
      </w:pPr>
      <w:r>
        <w:rPr>
          <w:rFonts w:hint="eastAsia" w:asciiTheme="minorEastAsia" w:hAnsiTheme="minorEastAsia" w:eastAsiaTheme="minorEastAsia"/>
          <w:sz w:val="24"/>
        </w:rPr>
        <w:t>14.1.3 合同约定工程的某部分按照实际完成的工程量进行支付的，应按照专用合同条件的约定进行计量和估价，并据此调整合同价格。</w:t>
      </w:r>
    </w:p>
    <w:p>
      <w:pPr>
        <w:spacing w:line="276" w:lineRule="auto"/>
        <w:jc w:val="left"/>
        <w:rPr>
          <w:rFonts w:asciiTheme="minorEastAsia" w:hAnsiTheme="minorEastAsia"/>
          <w:sz w:val="24"/>
        </w:rPr>
      </w:pPr>
      <w:r>
        <w:rPr>
          <w:rFonts w:hint="eastAsia" w:asciiTheme="minorEastAsia" w:hAnsiTheme="minorEastAsia" w:eastAsiaTheme="minorEastAsia"/>
          <w:sz w:val="24"/>
        </w:rPr>
        <w:t>14.2 预付款</w:t>
      </w:r>
    </w:p>
    <w:p>
      <w:pPr>
        <w:spacing w:line="276" w:lineRule="auto"/>
        <w:jc w:val="left"/>
        <w:rPr>
          <w:rFonts w:asciiTheme="minorEastAsia" w:hAnsiTheme="minorEastAsia"/>
          <w:sz w:val="24"/>
        </w:rPr>
      </w:pPr>
      <w:r>
        <w:rPr>
          <w:rFonts w:hint="eastAsia" w:asciiTheme="minorEastAsia" w:hAnsiTheme="minorEastAsia" w:eastAsiaTheme="minorEastAsia"/>
          <w:sz w:val="24"/>
        </w:rPr>
        <w:t>14.2.1 预付款支付</w:t>
      </w:r>
    </w:p>
    <w:p>
      <w:pPr>
        <w:spacing w:line="276" w:lineRule="auto"/>
        <w:jc w:val="left"/>
        <w:rPr>
          <w:rFonts w:asciiTheme="minorEastAsia" w:hAnsiTheme="minorEastAsia"/>
          <w:sz w:val="24"/>
        </w:rPr>
      </w:pPr>
      <w:r>
        <w:rPr>
          <w:rFonts w:hint="eastAsia" w:asciiTheme="minorEastAsia" w:hAnsiTheme="minorEastAsia" w:eastAsiaTheme="minorEastAsia"/>
          <w:sz w:val="24"/>
        </w:rPr>
        <w:t>预付款的额度和支付按照专用合同条件约定执行。预付款应当专用于承包人为合同工程的设计和工程实施购置材料、工程设备、施工设备、修建临时设施以及组织施工队伍进场等合同工作。</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除专用合同条件另有约定外，预付款在进度付款中同比例扣回。在颁发工程接收证书前，提前解除合同的，尚未扣完的预付款应与合同价款一并结算。</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发包人逾期支付预付款超过7天的，承包人有权向发包人发出要求预付的催告通知，发包人收到通知后7天内仍未支付的，承包人有权暂停施工，并按第15.1.1项[发包人违约的情形]执行。</w:t>
      </w:r>
    </w:p>
    <w:p>
      <w:pPr>
        <w:spacing w:line="276" w:lineRule="auto"/>
        <w:jc w:val="left"/>
        <w:rPr>
          <w:rFonts w:asciiTheme="minorEastAsia" w:hAnsiTheme="minorEastAsia"/>
          <w:sz w:val="24"/>
        </w:rPr>
      </w:pPr>
      <w:r>
        <w:rPr>
          <w:rFonts w:hint="eastAsia" w:asciiTheme="minorEastAsia" w:hAnsiTheme="minorEastAsia" w:eastAsiaTheme="minorEastAsia"/>
          <w:sz w:val="24"/>
        </w:rPr>
        <w:t>14.2.2 预付款担保</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指示承包人提供预付款担保的，承包人应在发包人支付预付款7天前提供预付款担保，专用合同条件另有约定除外。预付款担保可采用银行保函、担保公司担保等形式，具体由合同当事人在专用合同条件中约定。在预付款完全扣回之前，承包人应保证预付款担保持续有效。</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发包人在工程款中逐期扣回预付款后，预付款担保额度应相应减少，但剩余的预付款担保金额不得低于未被扣回的预付款金额。</w:t>
      </w:r>
    </w:p>
    <w:p>
      <w:pPr>
        <w:spacing w:line="276" w:lineRule="auto"/>
        <w:jc w:val="left"/>
        <w:rPr>
          <w:rFonts w:asciiTheme="minorEastAsia" w:hAnsiTheme="minorEastAsia"/>
          <w:sz w:val="24"/>
        </w:rPr>
      </w:pPr>
      <w:r>
        <w:rPr>
          <w:rFonts w:hint="eastAsia" w:asciiTheme="minorEastAsia" w:hAnsiTheme="minorEastAsia" w:eastAsiaTheme="minorEastAsia"/>
          <w:sz w:val="24"/>
        </w:rPr>
        <w:t>14.3 工程进度款</w:t>
      </w:r>
    </w:p>
    <w:p>
      <w:pPr>
        <w:spacing w:line="276" w:lineRule="auto"/>
        <w:jc w:val="left"/>
        <w:rPr>
          <w:rFonts w:asciiTheme="minorEastAsia" w:hAnsiTheme="minorEastAsia"/>
          <w:sz w:val="24"/>
        </w:rPr>
      </w:pPr>
      <w:r>
        <w:rPr>
          <w:rFonts w:hint="eastAsia" w:asciiTheme="minorEastAsia" w:hAnsiTheme="minorEastAsia" w:eastAsiaTheme="minorEastAsia"/>
          <w:sz w:val="24"/>
        </w:rPr>
        <w:t>14.3.1 工程进度付款申请</w:t>
      </w:r>
    </w:p>
    <w:p>
      <w:pPr>
        <w:spacing w:line="276" w:lineRule="auto"/>
        <w:jc w:val="left"/>
        <w:rPr>
          <w:rFonts w:asciiTheme="minorEastAsia" w:hAnsiTheme="minorEastAsia"/>
          <w:sz w:val="24"/>
        </w:rPr>
      </w:pPr>
      <w:r>
        <w:rPr>
          <w:rFonts w:hint="eastAsia" w:asciiTheme="minorEastAsia" w:hAnsiTheme="minorEastAsia" w:eastAsiaTheme="minorEastAsia"/>
          <w:sz w:val="24"/>
        </w:rPr>
        <w:t>（1）人工费的申请</w:t>
      </w:r>
    </w:p>
    <w:p>
      <w:pPr>
        <w:spacing w:line="276" w:lineRule="auto"/>
        <w:jc w:val="left"/>
        <w:rPr>
          <w:rFonts w:asciiTheme="minorEastAsia" w:hAnsiTheme="minorEastAsia"/>
          <w:sz w:val="24"/>
        </w:rPr>
      </w:pPr>
      <w:r>
        <w:rPr>
          <w:rFonts w:hint="eastAsia" w:asciiTheme="minorEastAsia" w:hAnsiTheme="minorEastAsia" w:eastAsiaTheme="minorEastAsia"/>
          <w:sz w:val="24"/>
        </w:rPr>
        <w:t>人工费应按月支付，工程师应在收到承包人人工费付款申请单以及相关资料后7天内完成审查并报送发包人，发包人应在收到后7天内完成审批并向承包人签发人工费支付证书，发包人应在人工费支付证书签发后7天内完成支付。已支付的人工费部分，发包人支付进度款时予以相应扣除。</w:t>
      </w:r>
    </w:p>
    <w:p>
      <w:pPr>
        <w:spacing w:line="276" w:lineRule="auto"/>
        <w:jc w:val="left"/>
        <w:rPr>
          <w:rFonts w:asciiTheme="minorEastAsia" w:hAnsiTheme="minorEastAsia"/>
          <w:sz w:val="24"/>
        </w:rPr>
      </w:pPr>
      <w:r>
        <w:rPr>
          <w:rFonts w:hint="eastAsia" w:asciiTheme="minorEastAsia" w:hAnsiTheme="minorEastAsia" w:eastAsiaTheme="minorEastAsia"/>
          <w:sz w:val="24"/>
        </w:rPr>
        <w:t>（2）除专用合同条件另有约定外，承包人应在每月月末向工程师提交进度付款申请单，该进度付款申请单应包括下列内容：</w:t>
      </w:r>
    </w:p>
    <w:p>
      <w:pPr>
        <w:spacing w:line="276" w:lineRule="auto"/>
        <w:jc w:val="left"/>
        <w:rPr>
          <w:rFonts w:asciiTheme="minorEastAsia" w:hAnsiTheme="minorEastAsia"/>
          <w:sz w:val="24"/>
        </w:rPr>
      </w:pPr>
      <w:r>
        <w:rPr>
          <w:rFonts w:hint="eastAsia" w:asciiTheme="minorEastAsia" w:hAnsiTheme="minorEastAsia" w:eastAsiaTheme="minorEastAsia"/>
          <w:sz w:val="24"/>
        </w:rPr>
        <w:t>1） 截至本次付款周期内已完成工作对应的金额；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2） 扣除依据本款第（1）目约定中已扣除的人工费金额；</w:t>
      </w:r>
    </w:p>
    <w:p>
      <w:pPr>
        <w:spacing w:line="276" w:lineRule="auto"/>
        <w:jc w:val="left"/>
        <w:rPr>
          <w:rFonts w:asciiTheme="minorEastAsia" w:hAnsiTheme="minorEastAsia"/>
          <w:sz w:val="24"/>
        </w:rPr>
      </w:pPr>
      <w:r>
        <w:rPr>
          <w:rFonts w:hint="eastAsia" w:asciiTheme="minorEastAsia" w:hAnsiTheme="minorEastAsia" w:eastAsiaTheme="minorEastAsia"/>
          <w:sz w:val="24"/>
        </w:rPr>
        <w:t>3） 根据第13条[变更与调整]应增加和扣减的变更金额；</w:t>
      </w:r>
    </w:p>
    <w:p>
      <w:pPr>
        <w:spacing w:line="276" w:lineRule="auto"/>
        <w:jc w:val="left"/>
        <w:rPr>
          <w:rFonts w:asciiTheme="minorEastAsia" w:hAnsiTheme="minorEastAsia"/>
          <w:sz w:val="24"/>
        </w:rPr>
      </w:pPr>
      <w:r>
        <w:rPr>
          <w:rFonts w:hint="eastAsia" w:asciiTheme="minorEastAsia" w:hAnsiTheme="minorEastAsia" w:eastAsiaTheme="minorEastAsia"/>
          <w:sz w:val="24"/>
        </w:rPr>
        <w:t>4） 根据第14.2款[预付款]约定应支付的预付款和扣减的返还预付款；</w:t>
      </w:r>
    </w:p>
    <w:p>
      <w:pPr>
        <w:spacing w:line="276" w:lineRule="auto"/>
        <w:jc w:val="left"/>
        <w:rPr>
          <w:rFonts w:asciiTheme="minorEastAsia" w:hAnsiTheme="minorEastAsia"/>
          <w:sz w:val="24"/>
        </w:rPr>
      </w:pPr>
      <w:r>
        <w:rPr>
          <w:rFonts w:hint="eastAsia" w:asciiTheme="minorEastAsia" w:hAnsiTheme="minorEastAsia" w:eastAsiaTheme="minorEastAsia"/>
          <w:sz w:val="24"/>
        </w:rPr>
        <w:t>5） 根据第14.6.2项[质量保证金的预留]约定应预留的质量保证金金额；</w:t>
      </w:r>
    </w:p>
    <w:p>
      <w:pPr>
        <w:spacing w:line="276" w:lineRule="auto"/>
        <w:jc w:val="left"/>
        <w:rPr>
          <w:rFonts w:asciiTheme="minorEastAsia" w:hAnsiTheme="minorEastAsia"/>
          <w:sz w:val="24"/>
        </w:rPr>
      </w:pPr>
      <w:r>
        <w:rPr>
          <w:rFonts w:hint="eastAsia" w:asciiTheme="minorEastAsia" w:hAnsiTheme="minorEastAsia" w:eastAsiaTheme="minorEastAsia"/>
          <w:sz w:val="24"/>
        </w:rPr>
        <w:t>6） 根据第19条[索赔]应增加和扣减的索赔金额；</w:t>
      </w:r>
    </w:p>
    <w:p>
      <w:pPr>
        <w:spacing w:line="276" w:lineRule="auto"/>
        <w:jc w:val="left"/>
        <w:rPr>
          <w:rFonts w:asciiTheme="minorEastAsia" w:hAnsiTheme="minorEastAsia"/>
          <w:sz w:val="24"/>
        </w:rPr>
      </w:pPr>
      <w:r>
        <w:rPr>
          <w:rFonts w:hint="eastAsia" w:asciiTheme="minorEastAsia" w:hAnsiTheme="minorEastAsia" w:eastAsiaTheme="minorEastAsia"/>
          <w:sz w:val="24"/>
        </w:rPr>
        <w:t>7） 对已签发的进度款支付证书中出现错误的修正，应在本次进度付款中支付或扣除的金额；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8） 根据合同约定应增加和扣减的其他金额。</w:t>
      </w:r>
    </w:p>
    <w:p>
      <w:pPr>
        <w:spacing w:line="276" w:lineRule="auto"/>
        <w:jc w:val="left"/>
        <w:rPr>
          <w:rFonts w:asciiTheme="minorEastAsia" w:hAnsiTheme="minorEastAsia"/>
          <w:sz w:val="24"/>
        </w:rPr>
      </w:pPr>
      <w:r>
        <w:rPr>
          <w:rFonts w:hint="eastAsia" w:asciiTheme="minorEastAsia" w:hAnsiTheme="minorEastAsia" w:eastAsiaTheme="minorEastAsia"/>
          <w:sz w:val="24"/>
        </w:rPr>
        <w:t>14.3.2 进度付款审核和支付</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工程师应在收到承包人进度付款申请单以及相关资料后7天内完成审查并报送发包人，发包人应在收到后7天内完成审批并向承包人签发进度款支付证书。发包人逾期（包括因工程师原因延误报送的时间）未完成审批且未提出异议的，视为已签发进度款支付证书。</w:t>
      </w:r>
    </w:p>
    <w:p>
      <w:pPr>
        <w:spacing w:line="276" w:lineRule="auto"/>
        <w:jc w:val="left"/>
        <w:rPr>
          <w:rFonts w:asciiTheme="minorEastAsia" w:hAnsiTheme="minorEastAsia"/>
          <w:sz w:val="24"/>
        </w:rPr>
      </w:pPr>
      <w:r>
        <w:rPr>
          <w:rFonts w:hint="eastAsia" w:asciiTheme="minorEastAsia" w:hAnsiTheme="minorEastAsia" w:eastAsiaTheme="minorEastAsia"/>
          <w:sz w:val="24"/>
        </w:rPr>
        <w:t>工程师对承包人的进度付款申请单有异议的，有权要求承包人修正和提供补充资料，承包人应提交修正后的进度付款申请单。工程师应在收到承包人修正后的进度付款申请单及相关资料后7天内完成审查并报送发包人，发包人应在收到工程师报送的进度付款申请单及相关资料后7天内，向承包人签发无异议部分的进度款支付证书。存在争议的部分，按照第20条[争议解决]的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除专用合同条件另有约定外，发包人应在进度款支付证书签发后14天内完成支付，发包人逾期支付进度款的，按照贷款市场报价利率（LPR）支付利息；逾期支付超过56天的，按照贷款市场报价利率（LPR）的两倍支付利息。 </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发包人签发进度款支付证书，不表明发包人已同意、批准或接受了承包人完成的相应部分的工作。</w:t>
      </w:r>
    </w:p>
    <w:p>
      <w:pPr>
        <w:spacing w:line="276" w:lineRule="auto"/>
        <w:jc w:val="left"/>
        <w:rPr>
          <w:rFonts w:asciiTheme="minorEastAsia" w:hAnsiTheme="minorEastAsia"/>
          <w:sz w:val="24"/>
        </w:rPr>
      </w:pPr>
      <w:r>
        <w:rPr>
          <w:rFonts w:hint="eastAsia" w:asciiTheme="minorEastAsia" w:hAnsiTheme="minorEastAsia" w:eastAsiaTheme="minorEastAsia"/>
          <w:sz w:val="24"/>
        </w:rPr>
        <w:t>14.3.3 进度付款的修正</w:t>
      </w:r>
    </w:p>
    <w:p>
      <w:pPr>
        <w:spacing w:line="276" w:lineRule="auto"/>
        <w:jc w:val="left"/>
        <w:rPr>
          <w:rFonts w:asciiTheme="minorEastAsia" w:hAnsiTheme="minorEastAsia"/>
          <w:sz w:val="24"/>
        </w:rPr>
      </w:pPr>
      <w:r>
        <w:rPr>
          <w:rFonts w:hint="eastAsia" w:asciiTheme="minorEastAsia" w:hAnsiTheme="minorEastAsia" w:eastAsiaTheme="minorEastAsia"/>
          <w:sz w:val="24"/>
        </w:rPr>
        <w:t>在对已签发的进度款支付证书进行阶段汇总和复核中发现错误、遗漏或重复的，发包人和承包人均有权提出修正申请。经发包人和承包人同意的修正，应在下期进度付款中支付或扣除。</w:t>
      </w:r>
    </w:p>
    <w:p>
      <w:pPr>
        <w:spacing w:line="276" w:lineRule="auto"/>
        <w:jc w:val="left"/>
        <w:rPr>
          <w:rFonts w:asciiTheme="minorEastAsia" w:hAnsiTheme="minorEastAsia"/>
          <w:sz w:val="24"/>
        </w:rPr>
      </w:pPr>
      <w:r>
        <w:rPr>
          <w:rFonts w:hint="eastAsia" w:asciiTheme="minorEastAsia" w:hAnsiTheme="minorEastAsia" w:eastAsiaTheme="minorEastAsia"/>
          <w:sz w:val="24"/>
        </w:rPr>
        <w:t>14.4 付款计划表</w:t>
      </w:r>
    </w:p>
    <w:p>
      <w:pPr>
        <w:spacing w:line="276" w:lineRule="auto"/>
        <w:jc w:val="left"/>
        <w:rPr>
          <w:rFonts w:asciiTheme="minorEastAsia" w:hAnsiTheme="minorEastAsia"/>
          <w:sz w:val="24"/>
        </w:rPr>
      </w:pPr>
      <w:r>
        <w:rPr>
          <w:rFonts w:hint="eastAsia" w:asciiTheme="minorEastAsia" w:hAnsiTheme="minorEastAsia" w:eastAsiaTheme="minorEastAsia"/>
          <w:sz w:val="24"/>
        </w:rPr>
        <w:t>14.4.1 付款计划表的编制要求</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除专用合同条件另有约定外，付款计划表按如下要求编制：</w:t>
      </w:r>
    </w:p>
    <w:p>
      <w:pPr>
        <w:spacing w:line="276" w:lineRule="auto"/>
        <w:jc w:val="left"/>
        <w:rPr>
          <w:rFonts w:asciiTheme="minorEastAsia" w:hAnsiTheme="minorEastAsia"/>
          <w:sz w:val="24"/>
        </w:rPr>
      </w:pPr>
      <w:r>
        <w:rPr>
          <w:rFonts w:hint="eastAsia" w:asciiTheme="minorEastAsia" w:hAnsiTheme="minorEastAsia" w:eastAsiaTheme="minorEastAsia"/>
          <w:sz w:val="24"/>
        </w:rPr>
        <w:t>（1） 付款计划表中所列的每期付款金额，应为第14.3.1项[工程进度付款申请]每期进度款的估算金额；</w:t>
      </w:r>
    </w:p>
    <w:p>
      <w:pPr>
        <w:spacing w:line="276" w:lineRule="auto"/>
        <w:jc w:val="left"/>
        <w:rPr>
          <w:rFonts w:asciiTheme="minorEastAsia" w:hAnsiTheme="minorEastAsia"/>
          <w:sz w:val="24"/>
        </w:rPr>
      </w:pPr>
      <w:r>
        <w:rPr>
          <w:rFonts w:hint="eastAsia" w:asciiTheme="minorEastAsia" w:hAnsiTheme="minorEastAsia" w:eastAsiaTheme="minorEastAsia"/>
          <w:sz w:val="24"/>
        </w:rPr>
        <w:t>（2） 实际进度与项目进度计划不一致的，合同当事人可按照第3.6款[商定或确定]修改付款计划表；</w:t>
      </w:r>
    </w:p>
    <w:p>
      <w:pPr>
        <w:spacing w:line="276" w:lineRule="auto"/>
        <w:jc w:val="left"/>
        <w:rPr>
          <w:rFonts w:asciiTheme="minorEastAsia" w:hAnsiTheme="minorEastAsia"/>
          <w:sz w:val="24"/>
        </w:rPr>
      </w:pPr>
      <w:r>
        <w:rPr>
          <w:rFonts w:hint="eastAsia" w:asciiTheme="minorEastAsia" w:hAnsiTheme="minorEastAsia" w:eastAsiaTheme="minorEastAsia"/>
          <w:sz w:val="24"/>
        </w:rPr>
        <w:t>（3） 不采用付款计划表的，承包人应向工程师提交按季度编制的支付估算付款计划表，用于支付参考。</w:t>
      </w:r>
    </w:p>
    <w:p>
      <w:pPr>
        <w:spacing w:line="276" w:lineRule="auto"/>
        <w:jc w:val="left"/>
        <w:rPr>
          <w:rFonts w:asciiTheme="minorEastAsia" w:hAnsiTheme="minorEastAsia"/>
          <w:sz w:val="24"/>
        </w:rPr>
      </w:pPr>
      <w:r>
        <w:rPr>
          <w:rFonts w:hint="eastAsia" w:asciiTheme="minorEastAsia" w:hAnsiTheme="minorEastAsia" w:eastAsiaTheme="minorEastAsia"/>
          <w:sz w:val="24"/>
        </w:rPr>
        <w:t>14.4.2 付款计划表的编制与审批</w:t>
      </w:r>
    </w:p>
    <w:p>
      <w:pPr>
        <w:spacing w:line="276" w:lineRule="auto"/>
        <w:jc w:val="left"/>
        <w:rPr>
          <w:rFonts w:asciiTheme="minorEastAsia" w:hAnsiTheme="minorEastAsia"/>
          <w:sz w:val="24"/>
        </w:rPr>
      </w:pPr>
      <w:r>
        <w:rPr>
          <w:rFonts w:hint="eastAsia" w:asciiTheme="minorEastAsia" w:hAnsiTheme="minorEastAsia" w:eastAsiaTheme="minorEastAsia"/>
          <w:sz w:val="24"/>
        </w:rPr>
        <w:t>（1） 除专用合同条件另有约定外，承包人应根据第8.4款[项目进度计划]约定的项目进度计划、签约合同价和工程量等因素对总价合同进行分解，确定付款期数、计划每期达到的主要形象进度和（或）完成的主要计划工程量（含设计、采购、施工、竣工试验和竣工后试验等）等目标任务，编制付款计划表。其中人工费应按月确定付款期和付款计划。承包人应当在收到工程师和发包人批准的项目进度计划后7天内，将付款计划表及编制付款计划表的支持性资料报送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（2） 工程师应在收到付款计划表后7天内完成审核并报送发包人。发包人应在收到经工程师审核的付款计划表后7天内完成审批，经发包人批准的付款计划表为有约束力的付款计划表。</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发包人逾期未完成付款计划表审批的，也未及时要求承包人进行修正和提供补充资料的，则承包人提交的付款计划表视为已经获得发包人批准。</w:t>
      </w:r>
    </w:p>
    <w:p>
      <w:pPr>
        <w:spacing w:line="276" w:lineRule="auto"/>
        <w:jc w:val="left"/>
        <w:rPr>
          <w:rFonts w:asciiTheme="minorEastAsia" w:hAnsiTheme="minorEastAsia"/>
          <w:sz w:val="24"/>
        </w:rPr>
      </w:pPr>
      <w:r>
        <w:rPr>
          <w:rFonts w:hint="eastAsia" w:asciiTheme="minorEastAsia" w:hAnsiTheme="minorEastAsia" w:eastAsiaTheme="minorEastAsia"/>
          <w:sz w:val="24"/>
        </w:rPr>
        <w:t>14.5 竣工结算</w:t>
      </w:r>
    </w:p>
    <w:p>
      <w:pPr>
        <w:spacing w:line="276" w:lineRule="auto"/>
        <w:jc w:val="left"/>
        <w:rPr>
          <w:rFonts w:asciiTheme="minorEastAsia" w:hAnsiTheme="minorEastAsia"/>
          <w:sz w:val="24"/>
        </w:rPr>
      </w:pPr>
      <w:r>
        <w:rPr>
          <w:rFonts w:hint="eastAsia" w:asciiTheme="minorEastAsia" w:hAnsiTheme="minorEastAsia" w:eastAsiaTheme="minorEastAsia"/>
          <w:sz w:val="24"/>
        </w:rPr>
        <w:t>14.5.1 竣工结算申请</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除专用合同条件另有约定外，承包人应在工程竣工验收合格后42天内向工程师提交竣工结算申请单，并提交完整的结算资料，有关竣工结算申请单的资料清单和份数等要求由合同当事人在专用合同条件中约定。</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除专用合同条件另有约定外，竣工结算申请单应包括以下内容：</w:t>
      </w:r>
    </w:p>
    <w:p>
      <w:pPr>
        <w:spacing w:line="276" w:lineRule="auto"/>
        <w:jc w:val="left"/>
        <w:rPr>
          <w:rFonts w:asciiTheme="minorEastAsia" w:hAnsiTheme="minorEastAsia"/>
          <w:sz w:val="24"/>
        </w:rPr>
      </w:pPr>
      <w:r>
        <w:rPr>
          <w:rFonts w:hint="eastAsia" w:asciiTheme="minorEastAsia" w:hAnsiTheme="minorEastAsia" w:eastAsiaTheme="minorEastAsia"/>
          <w:sz w:val="24"/>
        </w:rPr>
        <w:t>（1） 竣工结算合同价格；</w:t>
      </w:r>
    </w:p>
    <w:p>
      <w:pPr>
        <w:spacing w:line="276" w:lineRule="auto"/>
        <w:jc w:val="left"/>
        <w:rPr>
          <w:rFonts w:asciiTheme="minorEastAsia" w:hAnsiTheme="minorEastAsia"/>
          <w:sz w:val="24"/>
        </w:rPr>
      </w:pPr>
      <w:r>
        <w:rPr>
          <w:rFonts w:hint="eastAsia" w:asciiTheme="minorEastAsia" w:hAnsiTheme="minorEastAsia" w:eastAsiaTheme="minorEastAsia"/>
          <w:sz w:val="24"/>
        </w:rPr>
        <w:t>（2） 发包人已支付承包人的款项；</w:t>
      </w:r>
    </w:p>
    <w:p>
      <w:pPr>
        <w:spacing w:line="276" w:lineRule="auto"/>
        <w:jc w:val="left"/>
        <w:rPr>
          <w:rFonts w:asciiTheme="minorEastAsia" w:hAnsiTheme="minorEastAsia"/>
          <w:sz w:val="24"/>
        </w:rPr>
      </w:pPr>
      <w:r>
        <w:rPr>
          <w:rFonts w:hint="eastAsia" w:asciiTheme="minorEastAsia" w:hAnsiTheme="minorEastAsia" w:eastAsiaTheme="minorEastAsia"/>
          <w:sz w:val="24"/>
        </w:rPr>
        <w:t>（3） 采用第14.6.1项[承包人提供质量保证金的方式]第（2）种方式提供质量保证金的，应当列明应预留的质量保证金金额；采用第14.6.1项[承包人提供质量保证金的方式]中其他方式提供质量保证金的，应当按第14.6款[质量保证金]提供相关文件作为附件；</w:t>
      </w:r>
    </w:p>
    <w:p>
      <w:pPr>
        <w:spacing w:line="276" w:lineRule="auto"/>
        <w:jc w:val="left"/>
        <w:rPr>
          <w:rFonts w:asciiTheme="minorEastAsia" w:hAnsiTheme="minorEastAsia"/>
          <w:sz w:val="24"/>
        </w:rPr>
      </w:pPr>
      <w:r>
        <w:rPr>
          <w:rFonts w:hint="eastAsia" w:asciiTheme="minorEastAsia" w:hAnsiTheme="minorEastAsia" w:eastAsiaTheme="minorEastAsia"/>
          <w:sz w:val="24"/>
        </w:rPr>
        <w:t>（4） 发包人应支付承包人的合同价款。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14.5.2 竣工结算审核</w:t>
      </w:r>
    </w:p>
    <w:p>
      <w:pPr>
        <w:spacing w:line="276" w:lineRule="auto"/>
        <w:jc w:val="left"/>
        <w:rPr>
          <w:rFonts w:asciiTheme="minorEastAsia" w:hAnsiTheme="minorEastAsia"/>
          <w:sz w:val="24"/>
        </w:rPr>
      </w:pPr>
      <w:r>
        <w:rPr>
          <w:rFonts w:hint="eastAsia" w:asciiTheme="minorEastAsia" w:hAnsiTheme="minorEastAsia" w:eastAsiaTheme="minorEastAsia"/>
          <w:sz w:val="24"/>
        </w:rPr>
        <w:t>（1） 除专用合同条件另有约定外，工程师应在收到竣工结算申请单后14天内完成核查并报送发包人。发包人应在收到工程师提交的经审核的竣工结算申请单后14天内完成审批，并由工程师向承包人签发经发包人签认的竣工付款证书。工程师或发包人对竣工结算申请单有异议的，有权要求承包人进行修正和提供补充资料，承包人应提交修正后的竣工结算申请单。</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pPr>
        <w:spacing w:line="276" w:lineRule="auto"/>
        <w:jc w:val="left"/>
        <w:rPr>
          <w:rFonts w:asciiTheme="minorEastAsia" w:hAnsiTheme="minorEastAsia"/>
          <w:sz w:val="24"/>
        </w:rPr>
      </w:pPr>
      <w:r>
        <w:rPr>
          <w:rFonts w:hint="eastAsia" w:asciiTheme="minorEastAsia" w:hAnsiTheme="minorEastAsia" w:eastAsiaTheme="minorEastAsia"/>
          <w:sz w:val="24"/>
        </w:rPr>
        <w:t>（2） 除专用合同条件另有约定外，发包人应在签发竣工付款证书后的14天内，完成对承包人的竣工付款。发包人逾期支付的，按照贷款市场报价利率（LPR）支付违约金；逾期支付超过56天的，按照贷款市场报价利率（LPR）的两倍支付违约金。</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对发包人签认的竣工付款证书有异议的，对于有异议部分应在收到发包人签认的竣工付款证书后7天内提出异议，并由合同当事人按照专用合同条件约定的方式和程序进行复核，或按照第20条[争议解决]约定处理。对于无异议部分，发包人应签发临时竣工付款证书，并按本款第（2）项完成付款。承包人逾期未提出异议的，视为认可发包人的审批结果。</w:t>
      </w:r>
    </w:p>
    <w:p>
      <w:pPr>
        <w:spacing w:line="276" w:lineRule="auto"/>
        <w:jc w:val="left"/>
        <w:rPr>
          <w:rFonts w:asciiTheme="minorEastAsia" w:hAnsiTheme="minorEastAsia"/>
          <w:sz w:val="24"/>
        </w:rPr>
      </w:pPr>
      <w:r>
        <w:rPr>
          <w:rFonts w:hint="eastAsia" w:asciiTheme="minorEastAsia" w:hAnsiTheme="minorEastAsia" w:eastAsiaTheme="minorEastAsia"/>
          <w:sz w:val="24"/>
        </w:rPr>
        <w:t>14.5.3 扫尾工作清单</w:t>
      </w:r>
    </w:p>
    <w:p>
      <w:pPr>
        <w:spacing w:line="276" w:lineRule="auto"/>
        <w:jc w:val="left"/>
        <w:rPr>
          <w:rFonts w:asciiTheme="minorEastAsia" w:hAnsiTheme="minorEastAsia"/>
          <w:sz w:val="24"/>
        </w:rPr>
      </w:pPr>
      <w:r>
        <w:rPr>
          <w:rFonts w:hint="eastAsia" w:asciiTheme="minorEastAsia" w:hAnsiTheme="minorEastAsia" w:eastAsiaTheme="minorEastAsia"/>
          <w:sz w:val="24"/>
        </w:rPr>
        <w:t>经双方协商，部分工作在工程竣工验收后进行的，承包人应当编制扫尾工作清单，扫尾工作清单中应当列明承包人应当完成的扫尾工作的内容及完成时间。</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承包人完成扫尾工作清单中的内容应取得的费用包含在第14.5.1项[竣工结算申请]及第14.5.2项[竣工结算审核]中一并结算。</w:t>
      </w:r>
    </w:p>
    <w:p>
      <w:pPr>
        <w:spacing w:line="276" w:lineRule="auto"/>
        <w:jc w:val="left"/>
        <w:rPr>
          <w:rFonts w:asciiTheme="minorEastAsia" w:hAnsiTheme="minorEastAsia"/>
          <w:sz w:val="24"/>
        </w:rPr>
      </w:pPr>
      <w:r>
        <w:rPr>
          <w:rFonts w:hint="eastAsia" w:asciiTheme="minorEastAsia" w:hAnsiTheme="minorEastAsia" w:eastAsiaTheme="minorEastAsia"/>
          <w:sz w:val="24"/>
        </w:rPr>
        <w:t>扫尾工作的缺陷责任期按第11条[缺陷责任与保修]处理。承包人未能按照扫尾工作清单约定的完成时间完成扫尾工作的，视为承包人原因导致的工程质量缺陷按照第11.3款[缺陷调查]处理。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14.6 质量保证金 </w:t>
      </w:r>
    </w:p>
    <w:p>
      <w:pPr>
        <w:spacing w:line="276" w:lineRule="auto"/>
        <w:jc w:val="left"/>
        <w:rPr>
          <w:rFonts w:asciiTheme="minorEastAsia" w:hAnsiTheme="minorEastAsia"/>
          <w:sz w:val="24"/>
        </w:rPr>
      </w:pPr>
      <w:r>
        <w:rPr>
          <w:rFonts w:hint="eastAsia" w:asciiTheme="minorEastAsia" w:hAnsiTheme="minorEastAsia" w:eastAsiaTheme="minorEastAsia"/>
          <w:sz w:val="24"/>
        </w:rPr>
        <w:t>经合同当事人协商一致提供质量保证金的，应在专用合同条件中予以明确。在工程项目竣工前，承包人已经提供履约担保的，发包人不得同时要求承包人提供质量保证金。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14.6.1 承包人提供质量保证金的方式</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承包人提供质量保证金有以下三种方式：</w:t>
      </w:r>
    </w:p>
    <w:p>
      <w:pPr>
        <w:spacing w:line="276" w:lineRule="auto"/>
        <w:jc w:val="left"/>
        <w:rPr>
          <w:rFonts w:asciiTheme="minorEastAsia" w:hAnsiTheme="minorEastAsia"/>
          <w:sz w:val="24"/>
        </w:rPr>
      </w:pPr>
      <w:r>
        <w:rPr>
          <w:rFonts w:hint="eastAsia" w:asciiTheme="minorEastAsia" w:hAnsiTheme="minorEastAsia" w:eastAsiaTheme="minorEastAsia"/>
          <w:sz w:val="24"/>
        </w:rPr>
        <w:t>（1） 提交工程质量保证担保；</w:t>
      </w:r>
    </w:p>
    <w:p>
      <w:pPr>
        <w:spacing w:line="276" w:lineRule="auto"/>
        <w:jc w:val="left"/>
        <w:rPr>
          <w:rFonts w:asciiTheme="minorEastAsia" w:hAnsiTheme="minorEastAsia"/>
          <w:sz w:val="24"/>
        </w:rPr>
      </w:pPr>
      <w:r>
        <w:rPr>
          <w:rFonts w:hint="eastAsia" w:asciiTheme="minorEastAsia" w:hAnsiTheme="minorEastAsia" w:eastAsiaTheme="minorEastAsia"/>
          <w:sz w:val="24"/>
        </w:rPr>
        <w:t>（2） 预留相应比例的工程款；</w:t>
      </w:r>
    </w:p>
    <w:p>
      <w:pPr>
        <w:spacing w:line="276" w:lineRule="auto"/>
        <w:jc w:val="left"/>
        <w:rPr>
          <w:rFonts w:asciiTheme="minorEastAsia" w:hAnsiTheme="minorEastAsia"/>
          <w:sz w:val="24"/>
        </w:rPr>
      </w:pPr>
      <w:r>
        <w:rPr>
          <w:rFonts w:hint="eastAsia" w:asciiTheme="minorEastAsia" w:hAnsiTheme="minorEastAsia" w:eastAsiaTheme="minorEastAsia"/>
          <w:sz w:val="24"/>
        </w:rPr>
        <w:t>（3） 双方约定的其他方式。</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质量保证金原则上采用上述第（1）种方式，且承包人应在工程竣工验收合格后7天内，向发包人提交工程质量保证担保。承包人提交工程质量保证担保时，发包人应同时返还预留的作为质量保证金的工程价款（如有）。但不论承包人以何种方式提供质量保证金，累计金额均不得高于工程价款结算总额的3%。</w:t>
      </w:r>
    </w:p>
    <w:p>
      <w:pPr>
        <w:spacing w:line="276" w:lineRule="auto"/>
        <w:jc w:val="left"/>
        <w:rPr>
          <w:rFonts w:asciiTheme="minorEastAsia" w:hAnsiTheme="minorEastAsia"/>
          <w:sz w:val="24"/>
        </w:rPr>
      </w:pPr>
      <w:r>
        <w:rPr>
          <w:rFonts w:hint="eastAsia" w:asciiTheme="minorEastAsia" w:hAnsiTheme="minorEastAsia" w:eastAsiaTheme="minorEastAsia"/>
          <w:sz w:val="24"/>
        </w:rPr>
        <w:t>14.6.2 质量保证金的预留</w:t>
      </w:r>
    </w:p>
    <w:p>
      <w:pPr>
        <w:spacing w:line="276" w:lineRule="auto"/>
        <w:jc w:val="left"/>
        <w:rPr>
          <w:rFonts w:asciiTheme="minorEastAsia" w:hAnsiTheme="minorEastAsia"/>
          <w:sz w:val="24"/>
        </w:rPr>
      </w:pPr>
      <w:r>
        <w:rPr>
          <w:rFonts w:hint="eastAsia" w:asciiTheme="minorEastAsia" w:hAnsiTheme="minorEastAsia" w:eastAsiaTheme="minorEastAsia"/>
          <w:sz w:val="24"/>
        </w:rPr>
        <w:t>双方约定采用预留相应比例的工程款方式提供质量保证金的，质量保证金的预留有以下三种方式：</w:t>
      </w:r>
    </w:p>
    <w:p>
      <w:pPr>
        <w:spacing w:line="276" w:lineRule="auto"/>
        <w:jc w:val="left"/>
        <w:rPr>
          <w:rFonts w:asciiTheme="minorEastAsia" w:hAnsiTheme="minorEastAsia"/>
          <w:sz w:val="24"/>
        </w:rPr>
      </w:pPr>
      <w:r>
        <w:rPr>
          <w:rFonts w:hint="eastAsia" w:asciiTheme="minorEastAsia" w:hAnsiTheme="minorEastAsia" w:eastAsiaTheme="minorEastAsia"/>
          <w:sz w:val="24"/>
        </w:rPr>
        <w:t>（1） 按专用合同条件的约定在支付工程进度款时逐次预留，直至预留的质量保证金总额达到专用合同条件约定的金额或比例为止。在此情形下，质量保证金的计算基数不包括预付款的支付、扣回以及价格调整的金额；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（2） 工程竣工结算时一次性预留质量保证金；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（3） 双方约定的其他预留方式。</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质量保证金的预留原则上采用上述第（1）种方式。如承包人在发包人签发竣工付款证书后28天内提交工程质量保证担保，发包人应同时返还预留的作为质量保证金的工程价款。发包人在返还本条款项下的质量保证金的同时，按照中国人民银行同期同类存款基准利率支付利息。</w:t>
      </w:r>
    </w:p>
    <w:p>
      <w:pPr>
        <w:spacing w:line="276" w:lineRule="auto"/>
        <w:jc w:val="left"/>
        <w:rPr>
          <w:rFonts w:asciiTheme="minorEastAsia" w:hAnsiTheme="minorEastAsia"/>
          <w:sz w:val="24"/>
        </w:rPr>
      </w:pPr>
      <w:r>
        <w:rPr>
          <w:rFonts w:hint="eastAsia" w:asciiTheme="minorEastAsia" w:hAnsiTheme="minorEastAsia" w:eastAsiaTheme="minorEastAsia"/>
          <w:sz w:val="24"/>
        </w:rPr>
        <w:t>14.6.3 质量保证金的返还</w:t>
      </w:r>
    </w:p>
    <w:p>
      <w:pPr>
        <w:spacing w:line="276" w:lineRule="auto"/>
        <w:jc w:val="left"/>
        <w:rPr>
          <w:rFonts w:asciiTheme="minorEastAsia" w:hAnsiTheme="minorEastAsia"/>
          <w:sz w:val="24"/>
        </w:rPr>
      </w:pPr>
      <w:r>
        <w:rPr>
          <w:rFonts w:hint="eastAsia" w:asciiTheme="minorEastAsia" w:hAnsiTheme="minorEastAsia" w:eastAsiaTheme="minorEastAsia"/>
          <w:sz w:val="24"/>
        </w:rPr>
        <w:t>缺陷责任期内，承包人认真履行合同约定的责任，缺陷责任期满，发包人根据第11.6款[缺陷责任期终止证书]向承包人颁发缺陷责任期终止证书后，承包人可向发包人申请返还质量保证金。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在接到承包人返还质量保证金申请后，应于7天内将质量保证金返还承包人，逾期未返还的，应承担违约责任。发包人在接到承包人返还质量保证金申请后7天内不予答复，视同认可承包人的返还质量保证金申请。</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发包人和承包人对质量保证金预留、返还以及工程维修质量、费用有争议的，按本合同第20条[争议解决]约定的争议和纠纷解决程序处理。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14.7 最终结清 </w:t>
      </w:r>
    </w:p>
    <w:p>
      <w:pPr>
        <w:spacing w:line="276" w:lineRule="auto"/>
        <w:jc w:val="left"/>
        <w:rPr>
          <w:rFonts w:asciiTheme="minorEastAsia" w:hAnsiTheme="minorEastAsia"/>
          <w:sz w:val="24"/>
        </w:rPr>
      </w:pPr>
      <w:r>
        <w:rPr>
          <w:rFonts w:hint="eastAsia" w:asciiTheme="minorEastAsia" w:hAnsiTheme="minorEastAsia" w:eastAsiaTheme="minorEastAsia"/>
          <w:sz w:val="24"/>
        </w:rPr>
        <w:t>14.7.1 最终结清申请单</w:t>
      </w:r>
    </w:p>
    <w:p>
      <w:pPr>
        <w:spacing w:line="276" w:lineRule="auto"/>
        <w:jc w:val="left"/>
        <w:rPr>
          <w:rFonts w:asciiTheme="minorEastAsia" w:hAnsiTheme="minorEastAsia"/>
          <w:sz w:val="24"/>
        </w:rPr>
      </w:pPr>
      <w:r>
        <w:rPr>
          <w:rFonts w:hint="eastAsia" w:asciiTheme="minorEastAsia" w:hAnsiTheme="minorEastAsia" w:eastAsiaTheme="minorEastAsia"/>
          <w:sz w:val="24"/>
        </w:rPr>
        <w:t>（1） 除专用合同条件另有约定外，承包人应在缺陷责任期终止证书颁发后7天内，按专用合同条件约定的份数向发包人提交最终结清申请单，并提供相关证明材料。</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除专用合同条件另有约定外，最终结清申请单应列明质量保证金、应扣除的质量保证金、缺陷责任期内发生的增减费用。</w:t>
      </w:r>
    </w:p>
    <w:p>
      <w:pPr>
        <w:spacing w:line="276" w:lineRule="auto"/>
        <w:jc w:val="left"/>
        <w:rPr>
          <w:rFonts w:asciiTheme="minorEastAsia" w:hAnsiTheme="minorEastAsia"/>
          <w:sz w:val="24"/>
        </w:rPr>
      </w:pPr>
      <w:r>
        <w:rPr>
          <w:rFonts w:hint="eastAsia" w:asciiTheme="minorEastAsia" w:hAnsiTheme="minorEastAsia" w:eastAsiaTheme="minorEastAsia"/>
          <w:sz w:val="24"/>
        </w:rPr>
        <w:t>（2） 发包人对最终结清申请单内容有异议的，有权要求承包人进行修正和提供补充资料，承包人应向发包人提交修正后的最终结清申请单。</w:t>
      </w:r>
    </w:p>
    <w:p>
      <w:pPr>
        <w:spacing w:line="276" w:lineRule="auto"/>
        <w:jc w:val="left"/>
        <w:rPr>
          <w:rFonts w:asciiTheme="minorEastAsia" w:hAnsiTheme="minorEastAsia"/>
          <w:sz w:val="24"/>
        </w:rPr>
      </w:pPr>
      <w:r>
        <w:rPr>
          <w:rFonts w:hint="eastAsia" w:asciiTheme="minorEastAsia" w:hAnsiTheme="minorEastAsia" w:eastAsiaTheme="minorEastAsia"/>
          <w:sz w:val="24"/>
        </w:rPr>
        <w:t>14.7.2 最终结清证书和支付</w:t>
      </w:r>
    </w:p>
    <w:p>
      <w:pPr>
        <w:spacing w:line="276" w:lineRule="auto"/>
        <w:jc w:val="left"/>
        <w:rPr>
          <w:rFonts w:asciiTheme="minorEastAsia" w:hAnsiTheme="minorEastAsia"/>
          <w:sz w:val="24"/>
        </w:rPr>
      </w:pPr>
      <w:r>
        <w:rPr>
          <w:rFonts w:hint="eastAsia" w:asciiTheme="minorEastAsia" w:hAnsiTheme="minorEastAsia" w:eastAsiaTheme="minorEastAsia"/>
          <w:sz w:val="24"/>
        </w:rPr>
        <w:t>（1） 除专用合同条件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pPr>
        <w:spacing w:line="276" w:lineRule="auto"/>
        <w:jc w:val="left"/>
        <w:rPr>
          <w:rFonts w:asciiTheme="minorEastAsia" w:hAnsiTheme="minorEastAsia"/>
          <w:sz w:val="24"/>
        </w:rPr>
      </w:pPr>
      <w:r>
        <w:rPr>
          <w:rFonts w:hint="eastAsia" w:asciiTheme="minorEastAsia" w:hAnsiTheme="minorEastAsia" w:eastAsiaTheme="minorEastAsia"/>
          <w:sz w:val="24"/>
        </w:rPr>
        <w:t>（2） 除专用合同条件另有约定外，发包人应在颁发最终结清证书后7天内完成支付。发包人逾期支付的，按照贷款市场报价利率（LPR）支付利息；逾期支付超过56天的，按照贷款市场报价利率（LPR）的两倍支付利息。</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承包人对发包人颁发的最终结清证书有异议的，按第20条[争议解决]的约定办理。</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第15条 违约</w:t>
      </w:r>
    </w:p>
    <w:p>
      <w:pPr>
        <w:spacing w:line="276" w:lineRule="auto"/>
        <w:jc w:val="left"/>
        <w:rPr>
          <w:rFonts w:asciiTheme="minorEastAsia" w:hAnsiTheme="minorEastAsia"/>
          <w:sz w:val="24"/>
        </w:rPr>
      </w:pPr>
      <w:r>
        <w:rPr>
          <w:rFonts w:hint="eastAsia" w:asciiTheme="minorEastAsia" w:hAnsiTheme="minorEastAsia" w:eastAsiaTheme="minorEastAsia"/>
          <w:sz w:val="24"/>
        </w:rPr>
        <w:t>15.1 发包人违约</w:t>
      </w:r>
    </w:p>
    <w:p>
      <w:pPr>
        <w:spacing w:line="276" w:lineRule="auto"/>
        <w:jc w:val="left"/>
        <w:rPr>
          <w:rFonts w:asciiTheme="minorEastAsia" w:hAnsiTheme="minorEastAsia"/>
          <w:sz w:val="24"/>
        </w:rPr>
      </w:pPr>
      <w:r>
        <w:rPr>
          <w:rFonts w:hint="eastAsia" w:asciiTheme="minorEastAsia" w:hAnsiTheme="minorEastAsia" w:eastAsiaTheme="minorEastAsia"/>
          <w:sz w:val="24"/>
        </w:rPr>
        <w:t>15.1.1 发包人违约的情形</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除专用合同条件另有约定外，在合同履行过程中发生的下列情形，属于发包人违约：</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 因发包人原因导致开始工作日期延误的； </w:t>
      </w:r>
    </w:p>
    <w:p>
      <w:pPr>
        <w:spacing w:line="276" w:lineRule="auto"/>
        <w:jc w:val="left"/>
        <w:rPr>
          <w:rFonts w:asciiTheme="minorEastAsia" w:hAnsiTheme="minorEastAsia"/>
          <w:sz w:val="24"/>
        </w:rPr>
      </w:pPr>
      <w:r>
        <w:rPr>
          <w:rFonts w:hint="eastAsia" w:asciiTheme="minorEastAsia" w:hAnsiTheme="minorEastAsia" w:eastAsiaTheme="minorEastAsia"/>
          <w:sz w:val="24"/>
        </w:rPr>
        <w:t>（2） 因发包人原因未能按合同约定支付合同价款的；</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发包人违反第13.1.1项约定，自行实施被取消的工作或转由他人实施的；</w:t>
      </w:r>
    </w:p>
    <w:p>
      <w:pPr>
        <w:spacing w:line="276" w:lineRule="auto"/>
        <w:jc w:val="left"/>
        <w:rPr>
          <w:rFonts w:asciiTheme="minorEastAsia" w:hAnsiTheme="minorEastAsia"/>
          <w:sz w:val="24"/>
        </w:rPr>
      </w:pPr>
      <w:r>
        <w:rPr>
          <w:rFonts w:hint="eastAsia" w:asciiTheme="minorEastAsia" w:hAnsiTheme="minorEastAsia" w:eastAsiaTheme="minorEastAsia"/>
          <w:sz w:val="24"/>
        </w:rPr>
        <w:t>（4） 因发包人违反合同约定造成工程暂停施工的；</w:t>
      </w:r>
    </w:p>
    <w:p>
      <w:pPr>
        <w:spacing w:line="276" w:lineRule="auto"/>
        <w:jc w:val="left"/>
        <w:rPr>
          <w:rFonts w:asciiTheme="minorEastAsia" w:hAnsiTheme="minorEastAsia"/>
          <w:sz w:val="24"/>
        </w:rPr>
      </w:pPr>
      <w:r>
        <w:rPr>
          <w:rFonts w:hint="eastAsia" w:asciiTheme="minorEastAsia" w:hAnsiTheme="minorEastAsia" w:eastAsiaTheme="minorEastAsia"/>
          <w:sz w:val="24"/>
        </w:rPr>
        <w:t>（5） 工程师无正当理由没有在约定期限内发出复工指示，导致承包人无法复工的；</w:t>
      </w:r>
    </w:p>
    <w:p>
      <w:pPr>
        <w:spacing w:line="276" w:lineRule="auto"/>
        <w:jc w:val="left"/>
        <w:rPr>
          <w:rFonts w:asciiTheme="minorEastAsia" w:hAnsiTheme="minorEastAsia"/>
          <w:sz w:val="24"/>
        </w:rPr>
      </w:pPr>
      <w:r>
        <w:rPr>
          <w:rFonts w:hint="eastAsia" w:asciiTheme="minorEastAsia" w:hAnsiTheme="minorEastAsia" w:eastAsiaTheme="minorEastAsia"/>
          <w:sz w:val="24"/>
        </w:rPr>
        <w:t>（6） 发包人明确表示或者以其行为表明不履行合同主要义务的；</w:t>
      </w:r>
    </w:p>
    <w:p>
      <w:pPr>
        <w:spacing w:line="276" w:lineRule="auto"/>
        <w:jc w:val="left"/>
        <w:rPr>
          <w:rFonts w:asciiTheme="minorEastAsia" w:hAnsiTheme="minorEastAsia"/>
          <w:sz w:val="24"/>
        </w:rPr>
      </w:pPr>
      <w:r>
        <w:rPr>
          <w:rFonts w:hint="eastAsia" w:asciiTheme="minorEastAsia" w:hAnsiTheme="minorEastAsia" w:eastAsiaTheme="minorEastAsia"/>
          <w:sz w:val="24"/>
        </w:rPr>
        <w:t>（7） 发包人未能按照合同约定履行其他义务的。</w:t>
      </w:r>
    </w:p>
    <w:p>
      <w:pPr>
        <w:spacing w:line="276" w:lineRule="auto"/>
        <w:jc w:val="left"/>
        <w:rPr>
          <w:rFonts w:asciiTheme="minorEastAsia" w:hAnsiTheme="minorEastAsia"/>
          <w:sz w:val="24"/>
        </w:rPr>
      </w:pPr>
      <w:r>
        <w:rPr>
          <w:rFonts w:hint="eastAsia" w:asciiTheme="minorEastAsia" w:hAnsiTheme="minorEastAsia" w:eastAsiaTheme="minorEastAsia"/>
          <w:sz w:val="24"/>
        </w:rPr>
        <w:t>15.1.2 通知改正</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发生除第15.1.1项第(6)目以外的违约情况时，承包人可向发包人发出通知，要求发包人采取有效措施纠正违约行为。发包人收到承包人通知后28天内仍不纠正违约行为的，承包人有权暂停相应部位工程实施，并通知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15.1.3 发包人违约的责任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发包人应承担因其违约给承包人增加的费用和（或）延误的工期，并支付承包人合理的利润。此外，合同当事人可在专用合同条件中另行约定发包人违约责任的承担方式和计算方法。</w:t>
      </w:r>
    </w:p>
    <w:p>
      <w:pPr>
        <w:spacing w:line="276" w:lineRule="auto"/>
        <w:jc w:val="left"/>
        <w:rPr>
          <w:rFonts w:asciiTheme="minorEastAsia" w:hAnsiTheme="minorEastAsia"/>
          <w:sz w:val="24"/>
        </w:rPr>
      </w:pPr>
      <w:r>
        <w:rPr>
          <w:rFonts w:hint="eastAsia" w:asciiTheme="minorEastAsia" w:hAnsiTheme="minorEastAsia" w:eastAsiaTheme="minorEastAsia"/>
          <w:sz w:val="24"/>
        </w:rPr>
        <w:t>15.2 承包人违约</w:t>
      </w:r>
    </w:p>
    <w:p>
      <w:pPr>
        <w:spacing w:line="276" w:lineRule="auto"/>
        <w:jc w:val="left"/>
        <w:rPr>
          <w:rFonts w:asciiTheme="minorEastAsia" w:hAnsiTheme="minorEastAsia"/>
          <w:sz w:val="24"/>
        </w:rPr>
      </w:pPr>
      <w:r>
        <w:rPr>
          <w:rFonts w:hint="eastAsia" w:asciiTheme="minorEastAsia" w:hAnsiTheme="minorEastAsia" w:eastAsiaTheme="minorEastAsia"/>
          <w:sz w:val="24"/>
        </w:rPr>
        <w:t>15.2.1 承包人违约的情形</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除专用合同条件另有约定外，在履行合同过程中发生的下列情况之一的，属于承包人违约：</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承包人的原因导致的承包人文件、实施和竣工的工程不符合法律法规、工程质量验收标准以及合同约定；</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承包人违反合同约定进行转包或违法分包的；</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承包人违反约定采购和使用不合格材料或工程设备；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（4） 因承包人原因导致工程质量不符合合同要求的；</w:t>
      </w:r>
    </w:p>
    <w:p>
      <w:pPr>
        <w:spacing w:line="276" w:lineRule="auto"/>
        <w:jc w:val="left"/>
        <w:rPr>
          <w:rFonts w:asciiTheme="minorEastAsia" w:hAnsiTheme="minorEastAsia"/>
          <w:sz w:val="24"/>
        </w:rPr>
      </w:pPr>
      <w:r>
        <w:rPr>
          <w:rFonts w:hint="eastAsia" w:asciiTheme="minorEastAsia" w:hAnsiTheme="minorEastAsia" w:eastAsiaTheme="minorEastAsia"/>
          <w:sz w:val="24"/>
        </w:rPr>
        <w:t>（5） 承包人未经工程师批准，擅自将已按合同约定进入施工现场的施工设备、临时设施或材料撤离施工现场；</w:t>
      </w:r>
    </w:p>
    <w:p>
      <w:pPr>
        <w:spacing w:line="276" w:lineRule="auto"/>
        <w:jc w:val="left"/>
        <w:rPr>
          <w:rFonts w:asciiTheme="minorEastAsia" w:hAnsiTheme="minorEastAsia"/>
          <w:sz w:val="24"/>
        </w:rPr>
      </w:pPr>
      <w:r>
        <w:rPr>
          <w:rFonts w:hint="eastAsia" w:asciiTheme="minorEastAsia" w:hAnsiTheme="minorEastAsia" w:eastAsiaTheme="minorEastAsia"/>
          <w:sz w:val="24"/>
        </w:rPr>
        <w:t>（6） 承包人未能按项目进度计划及时完成合同约定的工作，造成工期延误；</w:t>
      </w:r>
    </w:p>
    <w:p>
      <w:pPr>
        <w:spacing w:line="276" w:lineRule="auto"/>
        <w:jc w:val="left"/>
        <w:rPr>
          <w:rFonts w:asciiTheme="minorEastAsia" w:hAnsiTheme="minorEastAsia"/>
          <w:sz w:val="24"/>
        </w:rPr>
      </w:pPr>
      <w:r>
        <w:rPr>
          <w:rFonts w:hint="eastAsia" w:asciiTheme="minorEastAsia" w:hAnsiTheme="minorEastAsia" w:eastAsiaTheme="minorEastAsia"/>
          <w:sz w:val="24"/>
        </w:rPr>
        <w:t>（7） 由于承包人原因未能通过竣工试验或竣工后试验的；</w:t>
      </w:r>
    </w:p>
    <w:p>
      <w:pPr>
        <w:spacing w:line="276" w:lineRule="auto"/>
        <w:jc w:val="left"/>
        <w:rPr>
          <w:rFonts w:asciiTheme="minorEastAsia" w:hAnsiTheme="minorEastAsia"/>
          <w:sz w:val="24"/>
        </w:rPr>
      </w:pPr>
      <w:r>
        <w:rPr>
          <w:rFonts w:hint="eastAsia" w:asciiTheme="minorEastAsia" w:hAnsiTheme="minorEastAsia" w:eastAsiaTheme="minorEastAsia"/>
          <w:sz w:val="24"/>
        </w:rPr>
        <w:t>（8） 承包人在缺陷责任期及保修期内，未能在合理期限对工程缺陷进行修复，或拒绝按发包人指示进行修复的；</w:t>
      </w:r>
    </w:p>
    <w:p>
      <w:pPr>
        <w:spacing w:line="276" w:lineRule="auto"/>
        <w:jc w:val="left"/>
        <w:rPr>
          <w:rFonts w:asciiTheme="minorEastAsia" w:hAnsiTheme="minorEastAsia"/>
          <w:sz w:val="24"/>
        </w:rPr>
      </w:pPr>
      <w:r>
        <w:rPr>
          <w:rFonts w:hint="eastAsia" w:asciiTheme="minorEastAsia" w:hAnsiTheme="minorEastAsia" w:eastAsiaTheme="minorEastAsia"/>
          <w:sz w:val="24"/>
        </w:rPr>
        <w:t>（9） 承包人明确表示或者以其行为表明不履行合同主要义务的；</w:t>
      </w:r>
    </w:p>
    <w:p>
      <w:pPr>
        <w:spacing w:line="276" w:lineRule="auto"/>
        <w:jc w:val="left"/>
        <w:rPr>
          <w:rFonts w:asciiTheme="minorEastAsia" w:hAnsiTheme="minorEastAsia"/>
          <w:sz w:val="24"/>
        </w:rPr>
      </w:pPr>
      <w:r>
        <w:rPr>
          <w:rFonts w:hint="eastAsia" w:asciiTheme="minorEastAsia" w:hAnsiTheme="minorEastAsia" w:eastAsiaTheme="minorEastAsia"/>
          <w:sz w:val="24"/>
        </w:rPr>
        <w:t>（10） 承包人未能按照合同约定履行其他义务的。</w:t>
      </w:r>
    </w:p>
    <w:p>
      <w:pPr>
        <w:spacing w:line="276" w:lineRule="auto"/>
        <w:jc w:val="left"/>
        <w:rPr>
          <w:rFonts w:asciiTheme="minorEastAsia" w:hAnsiTheme="minorEastAsia"/>
          <w:sz w:val="24"/>
        </w:rPr>
      </w:pPr>
      <w:r>
        <w:rPr>
          <w:rFonts w:hint="eastAsia" w:asciiTheme="minorEastAsia" w:hAnsiTheme="minorEastAsia" w:eastAsiaTheme="minorEastAsia"/>
          <w:sz w:val="24"/>
        </w:rPr>
        <w:t>15.2.2 通知改正</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承包人发生除第15.2.1项第(7)目、第(9)目约定以外的其他违约情况时，工程师可在专用合同条件约定的合理期限内向承包人发出整改通知，要求其在指定的期限内改正。</w:t>
      </w:r>
    </w:p>
    <w:p>
      <w:pPr>
        <w:spacing w:line="276" w:lineRule="auto"/>
        <w:jc w:val="left"/>
        <w:rPr>
          <w:rFonts w:asciiTheme="minorEastAsia" w:hAnsiTheme="minorEastAsia"/>
          <w:sz w:val="24"/>
        </w:rPr>
      </w:pPr>
      <w:r>
        <w:rPr>
          <w:rFonts w:hint="eastAsia" w:asciiTheme="minorEastAsia" w:hAnsiTheme="minorEastAsia" w:eastAsiaTheme="minorEastAsia"/>
          <w:sz w:val="24"/>
        </w:rPr>
        <w:t>15.2.3 承包人违约的责任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承包人应承担因其违约行为而增加的费用和（或）延误的工期。此外，合同当事人可在专用合同条件中另行约定承包人违约责任的承担方式和计算方法。</w:t>
      </w:r>
    </w:p>
    <w:p>
      <w:pPr>
        <w:spacing w:line="276" w:lineRule="auto"/>
        <w:jc w:val="left"/>
        <w:rPr>
          <w:rFonts w:asciiTheme="minorEastAsia" w:hAnsiTheme="minorEastAsia"/>
          <w:sz w:val="24"/>
        </w:rPr>
      </w:pPr>
      <w:r>
        <w:rPr>
          <w:rFonts w:hint="eastAsia" w:asciiTheme="minorEastAsia" w:hAnsiTheme="minorEastAsia" w:eastAsiaTheme="minorEastAsia"/>
          <w:sz w:val="24"/>
        </w:rPr>
        <w:t>15.3 第三人造成的违约</w:t>
      </w:r>
    </w:p>
    <w:p>
      <w:pPr>
        <w:spacing w:line="276" w:lineRule="auto"/>
        <w:jc w:val="left"/>
        <w:rPr>
          <w:rFonts w:asciiTheme="minorEastAsia" w:hAnsiTheme="minorEastAsia"/>
          <w:sz w:val="24"/>
        </w:rPr>
      </w:pPr>
      <w:r>
        <w:rPr>
          <w:rFonts w:hint="eastAsia" w:asciiTheme="minorEastAsia" w:hAnsiTheme="minorEastAsia" w:eastAsiaTheme="minorEastAsia"/>
          <w:sz w:val="24"/>
        </w:rPr>
        <w:t>在履行合同过程中，一方当事人因第三人的原因造成违约的，应当向对方当事人承担违约责任。一方当事人和第三人之间的纠纷，依照法律规定或者按照约定解决。</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第16条 合同解除</w:t>
      </w:r>
    </w:p>
    <w:p>
      <w:pPr>
        <w:spacing w:line="276" w:lineRule="auto"/>
        <w:jc w:val="left"/>
        <w:rPr>
          <w:rFonts w:asciiTheme="minorEastAsia" w:hAnsiTheme="minorEastAsia"/>
          <w:sz w:val="24"/>
        </w:rPr>
      </w:pPr>
      <w:r>
        <w:rPr>
          <w:rFonts w:hint="eastAsia" w:asciiTheme="minorEastAsia" w:hAnsiTheme="minorEastAsia" w:eastAsiaTheme="minorEastAsia"/>
          <w:sz w:val="24"/>
        </w:rPr>
        <w:t>16.1 由发包人解除合同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16.1.1 因承包人违约解除合同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发包人有权基于下列原因，以书面形式通知承包人解除合同，解除通知中应注明是根据第16.1.1项发出的，发包人应在发出正式解除合同通知14天前告知承包人其解除合同意向，除非承包人在收到该解除合同意向通知后14天内采取了补救措施，否则发包人可向承包人发出正式解除合同通知立即解除合同。解除日期应为承包人收到正式解除合同通知的日期，但在第(5)目的情况下，发包人无须提前告知承包人其解除合同意向，可直接发出正式解除合同通知立即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承包人未能遵守第4.2款[履约担保]的约定；</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承包人未能遵守第4.5款[分包]有关分包和转包的约定；</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承包人实际进度明显落后于进度计划，并且未按发包人的指令采取措施并修正进度计划；</w:t>
      </w:r>
    </w:p>
    <w:p>
      <w:pPr>
        <w:spacing w:line="276" w:lineRule="auto"/>
        <w:jc w:val="left"/>
        <w:rPr>
          <w:rFonts w:asciiTheme="minorEastAsia" w:hAnsiTheme="minorEastAsia"/>
          <w:sz w:val="24"/>
        </w:rPr>
      </w:pPr>
      <w:r>
        <w:rPr>
          <w:rFonts w:hint="eastAsia" w:asciiTheme="minorEastAsia" w:hAnsiTheme="minorEastAsia" w:eastAsiaTheme="minorEastAsia"/>
          <w:sz w:val="24"/>
        </w:rPr>
        <w:t>（4） 工程质量有严重缺陷，承包人无正当理由使修复开始日期拖延达28天以上；</w:t>
      </w:r>
    </w:p>
    <w:p>
      <w:pPr>
        <w:spacing w:line="276" w:lineRule="auto"/>
        <w:jc w:val="left"/>
        <w:rPr>
          <w:rFonts w:asciiTheme="minorEastAsia" w:hAnsiTheme="minorEastAsia"/>
          <w:sz w:val="24"/>
        </w:rPr>
      </w:pPr>
      <w:r>
        <w:rPr>
          <w:rFonts w:hint="eastAsia" w:asciiTheme="minorEastAsia" w:hAnsiTheme="minorEastAsia" w:eastAsiaTheme="minorEastAsia"/>
          <w:sz w:val="24"/>
        </w:rPr>
        <w:t>（5） 承包人破产、停业清理或进入清算程序，或情况表明承包人将进入破产和（或）清算程序，已有对其财产的接管令或管理令，与债权人达成和解，或为其债权人的利益在财产接管人、受托人或管理人的监督下营业，或采取了任何行动或发生任何事件（根据有关适用法律）具有与前述行动或事件相似的效果；</w:t>
      </w:r>
    </w:p>
    <w:p>
      <w:pPr>
        <w:spacing w:line="276" w:lineRule="auto"/>
        <w:jc w:val="left"/>
        <w:rPr>
          <w:rFonts w:asciiTheme="minorEastAsia" w:hAnsiTheme="minorEastAsia"/>
          <w:sz w:val="24"/>
        </w:rPr>
      </w:pPr>
      <w:r>
        <w:rPr>
          <w:rFonts w:hint="eastAsia" w:asciiTheme="minorEastAsia" w:hAnsiTheme="minorEastAsia" w:eastAsiaTheme="minorEastAsia"/>
          <w:sz w:val="24"/>
        </w:rPr>
        <w:t>（6） 承包人明确表示或以自己的行为表明不履行合同、或经发包人以书面形式通知其履约后仍未能依约履行合同、或以不适当的方式履行合同；</w:t>
      </w:r>
    </w:p>
    <w:p>
      <w:pPr>
        <w:spacing w:line="276" w:lineRule="auto"/>
        <w:jc w:val="left"/>
        <w:rPr>
          <w:rFonts w:asciiTheme="minorEastAsia" w:hAnsiTheme="minorEastAsia"/>
          <w:sz w:val="24"/>
        </w:rPr>
      </w:pPr>
      <w:r>
        <w:rPr>
          <w:rFonts w:hint="eastAsia" w:asciiTheme="minorEastAsia" w:hAnsiTheme="minorEastAsia" w:eastAsiaTheme="minorEastAsia"/>
          <w:sz w:val="24"/>
        </w:rPr>
        <w:t>（7） 未能通过的竣工试验、未能通过的竣工后试验，使工程的任何部分和（或）整个工程丧失了主要使用功能、生产功能；</w:t>
      </w:r>
    </w:p>
    <w:p>
      <w:pPr>
        <w:spacing w:line="276" w:lineRule="auto"/>
        <w:jc w:val="left"/>
        <w:rPr>
          <w:rFonts w:asciiTheme="minorEastAsia" w:hAnsiTheme="minorEastAsia"/>
          <w:sz w:val="24"/>
        </w:rPr>
      </w:pPr>
      <w:r>
        <w:rPr>
          <w:rFonts w:hint="eastAsia" w:asciiTheme="minorEastAsia" w:hAnsiTheme="minorEastAsia" w:eastAsiaTheme="minorEastAsia"/>
          <w:sz w:val="24"/>
        </w:rPr>
        <w:t>（8） 因承包人的原因暂停工作超过56天且暂停影响到整个工程，或因承包人的原因暂停工作超过182天；</w:t>
      </w:r>
    </w:p>
    <w:p>
      <w:pPr>
        <w:spacing w:line="276" w:lineRule="auto"/>
        <w:jc w:val="left"/>
        <w:rPr>
          <w:rFonts w:asciiTheme="minorEastAsia" w:hAnsiTheme="minorEastAsia"/>
          <w:sz w:val="24"/>
        </w:rPr>
      </w:pPr>
      <w:r>
        <w:rPr>
          <w:rFonts w:hint="eastAsia" w:asciiTheme="minorEastAsia" w:hAnsiTheme="minorEastAsia" w:eastAsiaTheme="minorEastAsia"/>
          <w:sz w:val="24"/>
        </w:rPr>
        <w:t>（9） 承包人未能遵守第8.2款[竣工日期]规定，延误超过182天；</w:t>
      </w:r>
    </w:p>
    <w:p>
      <w:pPr>
        <w:spacing w:line="276" w:lineRule="auto"/>
        <w:jc w:val="left"/>
        <w:rPr>
          <w:rFonts w:asciiTheme="minorEastAsia" w:hAnsiTheme="minorEastAsia"/>
          <w:sz w:val="24"/>
        </w:rPr>
      </w:pPr>
      <w:r>
        <w:rPr>
          <w:rFonts w:hint="eastAsia" w:asciiTheme="minorEastAsia" w:hAnsiTheme="minorEastAsia" w:eastAsiaTheme="minorEastAsia"/>
          <w:sz w:val="24"/>
        </w:rPr>
        <w:t>（10） 工程师根据第15.2.2项[通知改正]发出整改通知后，承包人在指定的合理期限内仍不纠正违约行为并致使合同目的不能实现的。</w:t>
      </w:r>
    </w:p>
    <w:p>
      <w:pPr>
        <w:spacing w:line="276" w:lineRule="auto"/>
        <w:jc w:val="left"/>
        <w:rPr>
          <w:rFonts w:asciiTheme="minorEastAsia" w:hAnsiTheme="minorEastAsia"/>
          <w:sz w:val="24"/>
        </w:rPr>
      </w:pPr>
      <w:r>
        <w:rPr>
          <w:rFonts w:hint="eastAsia" w:asciiTheme="minorEastAsia" w:hAnsiTheme="minorEastAsia" w:eastAsiaTheme="minorEastAsia"/>
          <w:sz w:val="24"/>
        </w:rPr>
        <w:t>16.1.2 因承包人违约解除合同后承包人的义务</w:t>
      </w:r>
    </w:p>
    <w:p>
      <w:pPr>
        <w:spacing w:line="276" w:lineRule="auto"/>
        <w:jc w:val="left"/>
        <w:rPr>
          <w:rFonts w:asciiTheme="minorEastAsia" w:hAnsiTheme="minorEastAsia"/>
          <w:sz w:val="24"/>
        </w:rPr>
      </w:pPr>
      <w:r>
        <w:rPr>
          <w:rFonts w:hint="eastAsia" w:asciiTheme="minorEastAsia" w:hAnsiTheme="minorEastAsia" w:eastAsiaTheme="minorEastAsia"/>
          <w:sz w:val="24"/>
        </w:rPr>
        <w:t>合同解除后，承包人应按以下约定执行：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（1） 除了为保护生命、财产或工程安全、清理和必须执行的工作外，停止执行所有被通知解除的工作，并将相关人员撤离现场；</w:t>
      </w:r>
    </w:p>
    <w:p>
      <w:pPr>
        <w:spacing w:line="276" w:lineRule="auto"/>
        <w:jc w:val="left"/>
        <w:rPr>
          <w:rFonts w:asciiTheme="minorEastAsia" w:hAnsiTheme="minorEastAsia"/>
          <w:sz w:val="24"/>
        </w:rPr>
      </w:pPr>
      <w:r>
        <w:rPr>
          <w:rFonts w:hint="eastAsia" w:asciiTheme="minorEastAsia" w:hAnsiTheme="minorEastAsia" w:eastAsiaTheme="minorEastAsia"/>
          <w:sz w:val="24"/>
        </w:rPr>
        <w:t>（2） 经发包人批准，承包人应将与被解除合同相关的和正在执行的分包合同及相关的责任和义务转让至发包人和（或）发包人指定方的名下，包括永久性工程及工程物资，以及相关工作；</w:t>
      </w:r>
    </w:p>
    <w:p>
      <w:pPr>
        <w:spacing w:line="276" w:lineRule="auto"/>
        <w:jc w:val="left"/>
        <w:rPr>
          <w:rFonts w:asciiTheme="minorEastAsia" w:hAnsiTheme="minorEastAsia"/>
          <w:sz w:val="24"/>
        </w:rPr>
      </w:pPr>
      <w:r>
        <w:rPr>
          <w:rFonts w:hint="eastAsia" w:asciiTheme="minorEastAsia" w:hAnsiTheme="minorEastAsia" w:eastAsiaTheme="minorEastAsia"/>
          <w:sz w:val="24"/>
        </w:rPr>
        <w:t>（3） 移交已完成的永久性工程及负责已运抵现场的工程物资。在移交前，妥善做好己完工程和已运抵现场的工程物资的保管、维护和保养；</w:t>
      </w:r>
    </w:p>
    <w:p>
      <w:pPr>
        <w:spacing w:line="276" w:lineRule="auto"/>
        <w:jc w:val="left"/>
        <w:rPr>
          <w:rFonts w:asciiTheme="minorEastAsia" w:hAnsiTheme="minorEastAsia"/>
          <w:sz w:val="24"/>
        </w:rPr>
      </w:pPr>
      <w:r>
        <w:rPr>
          <w:rFonts w:hint="eastAsia" w:asciiTheme="minorEastAsia" w:hAnsiTheme="minorEastAsia" w:eastAsiaTheme="minorEastAsia"/>
          <w:sz w:val="24"/>
        </w:rPr>
        <w:t>（4） 将发包人提供的所有信息及承包人为本工程编制的设计文件、技术资料及其它文件移交给发包人。在承包人留有的资料文件中，销毁与发包人提供的所有信息相关的数据及资料的备份；</w:t>
      </w:r>
    </w:p>
    <w:p>
      <w:pPr>
        <w:spacing w:line="276" w:lineRule="auto"/>
        <w:jc w:val="left"/>
        <w:rPr>
          <w:rFonts w:asciiTheme="minorEastAsia" w:hAnsiTheme="minorEastAsia"/>
          <w:sz w:val="24"/>
        </w:rPr>
      </w:pPr>
      <w:r>
        <w:rPr>
          <w:rFonts w:hint="eastAsia" w:asciiTheme="minorEastAsia" w:hAnsiTheme="minorEastAsia" w:eastAsiaTheme="minorEastAsia"/>
          <w:sz w:val="24"/>
        </w:rPr>
        <w:t>（5） 移交相应实施阶段已经付款的并已完成的和尚待完成的设计文件、图纸、资料、操作维修手册、施工组织设计、质检资料、竣工资料等；</w:t>
      </w:r>
    </w:p>
    <w:p>
      <w:pPr>
        <w:spacing w:line="276" w:lineRule="auto"/>
        <w:jc w:val="left"/>
        <w:rPr>
          <w:rFonts w:asciiTheme="minorEastAsia" w:hAnsiTheme="minorEastAsia"/>
          <w:sz w:val="24"/>
        </w:rPr>
      </w:pPr>
      <w:r>
        <w:rPr>
          <w:rFonts w:hint="eastAsia" w:asciiTheme="minorEastAsia" w:hAnsiTheme="minorEastAsia" w:eastAsiaTheme="minorEastAsia"/>
          <w:sz w:val="24"/>
        </w:rPr>
        <w:t>16.1.3 因承包人违约解除合同后的估价、付款和结算</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因承包人原因导致合同解除的，则合同当事人应在合同解除后28天内完成估价、付款和清算，并按以下约定执行：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（1） 合同解除后，按第3.6款[商定或确定]商定或确定承包人实际完成工作对应的合同价款，以及承包人已提供的材料、工程设备、施工设备和临时工程等的价值；</w:t>
      </w:r>
    </w:p>
    <w:p>
      <w:pPr>
        <w:spacing w:line="276" w:lineRule="auto"/>
        <w:jc w:val="left"/>
        <w:rPr>
          <w:rFonts w:asciiTheme="minorEastAsia" w:hAnsiTheme="minorEastAsia"/>
          <w:sz w:val="24"/>
        </w:rPr>
      </w:pPr>
      <w:r>
        <w:rPr>
          <w:rFonts w:hint="eastAsia" w:asciiTheme="minorEastAsia" w:hAnsiTheme="minorEastAsia" w:eastAsiaTheme="minorEastAsia"/>
          <w:sz w:val="24"/>
        </w:rPr>
        <w:t>（2） 合同解除后，承包人应支付的违约金；</w:t>
      </w:r>
    </w:p>
    <w:p>
      <w:pPr>
        <w:spacing w:line="276" w:lineRule="auto"/>
        <w:jc w:val="left"/>
        <w:rPr>
          <w:rFonts w:asciiTheme="minorEastAsia" w:hAnsiTheme="minorEastAsia"/>
          <w:sz w:val="24"/>
        </w:rPr>
      </w:pPr>
      <w:r>
        <w:rPr>
          <w:rFonts w:hint="eastAsia" w:asciiTheme="minorEastAsia" w:hAnsiTheme="minorEastAsia" w:eastAsiaTheme="minorEastAsia"/>
          <w:sz w:val="24"/>
        </w:rPr>
        <w:t>（3） 合同解除后，因解除合同给发包人造成的损失；</w:t>
      </w:r>
    </w:p>
    <w:p>
      <w:pPr>
        <w:spacing w:line="276" w:lineRule="auto"/>
        <w:jc w:val="left"/>
        <w:rPr>
          <w:rFonts w:asciiTheme="minorEastAsia" w:hAnsiTheme="minorEastAsia"/>
          <w:sz w:val="24"/>
        </w:rPr>
      </w:pPr>
      <w:r>
        <w:rPr>
          <w:rFonts w:hint="eastAsia" w:asciiTheme="minorEastAsia" w:hAnsiTheme="minorEastAsia" w:eastAsiaTheme="minorEastAsia"/>
          <w:sz w:val="24"/>
        </w:rPr>
        <w:t>（4） 合同解除后，承包人应按照发包人的指示完成现场的清理和撤离；</w:t>
      </w:r>
    </w:p>
    <w:p>
      <w:pPr>
        <w:spacing w:line="276" w:lineRule="auto"/>
        <w:jc w:val="left"/>
        <w:rPr>
          <w:rFonts w:asciiTheme="minorEastAsia" w:hAnsiTheme="minorEastAsia"/>
          <w:sz w:val="24"/>
        </w:rPr>
      </w:pPr>
      <w:r>
        <w:rPr>
          <w:rFonts w:hint="eastAsia" w:asciiTheme="minorEastAsia" w:hAnsiTheme="minorEastAsia" w:eastAsiaTheme="minorEastAsia"/>
          <w:sz w:val="24"/>
        </w:rPr>
        <w:t>（5） 发包人和承包人应在合同解除后进行清算，出具最终结清付款证书，结清全部款项。</w:t>
      </w:r>
    </w:p>
    <w:p>
      <w:pPr>
        <w:spacing w:line="276" w:lineRule="auto"/>
        <w:jc w:val="left"/>
        <w:rPr>
          <w:rFonts w:asciiTheme="minorEastAsia" w:hAnsiTheme="minorEastAsia"/>
          <w:sz w:val="24"/>
        </w:rPr>
      </w:pPr>
      <w:r>
        <w:rPr>
          <w:rFonts w:hint="eastAsia" w:asciiTheme="minorEastAsia" w:hAnsiTheme="minorEastAsia" w:eastAsiaTheme="minorEastAsia"/>
          <w:sz w:val="24"/>
        </w:rPr>
        <w:t>因承包人违约解除合同的，发包人有权暂停对承包人的付款，查清各项付款和已扣款项，发包人和承包人未能就合同解除后的清算和款项支付达成一致的，按照第20条[争议解决]的约定处理。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16.1.4 因承包人违约解除合同的合同权益转让</w:t>
      </w:r>
    </w:p>
    <w:p>
      <w:pPr>
        <w:spacing w:line="276" w:lineRule="auto"/>
        <w:jc w:val="left"/>
        <w:rPr>
          <w:rFonts w:asciiTheme="minorEastAsia" w:hAnsiTheme="minorEastAsia"/>
          <w:sz w:val="24"/>
        </w:rPr>
      </w:pPr>
      <w:r>
        <w:rPr>
          <w:rFonts w:hint="eastAsia" w:asciiTheme="minorEastAsia" w:hAnsiTheme="minorEastAsia" w:eastAsiaTheme="minorEastAsia"/>
          <w:sz w:val="24"/>
        </w:rPr>
        <w:t>合同解除后，发包人可以继续完成工程，和（或）安排第三人完成。发包人有权要求承包人将其为实施合同而订立的材料和设备的订货合同或任何服务合同利益转让给发包人，并在承包人收到解除合同通知后的14天内，依法办理转让手续。发包人和（或）第三人有权使用承包人在施工现场的材料、设备、临时工程、承包人文件和由承包人或以其名义编制的其他文件。</w:t>
      </w:r>
    </w:p>
    <w:p>
      <w:pPr>
        <w:spacing w:line="276" w:lineRule="auto"/>
        <w:jc w:val="left"/>
        <w:rPr>
          <w:rFonts w:asciiTheme="minorEastAsia" w:hAnsiTheme="minorEastAsia"/>
          <w:sz w:val="24"/>
        </w:rPr>
      </w:pPr>
      <w:r>
        <w:rPr>
          <w:rFonts w:hint="eastAsia" w:asciiTheme="minorEastAsia" w:hAnsiTheme="minorEastAsia" w:eastAsiaTheme="minorEastAsia"/>
          <w:sz w:val="24"/>
        </w:rPr>
        <w:t>16.2 由承包人解除合同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16.2.1 因发包人违约解除合同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承包人有权基于下列原因，以书面形式通知发包人解除合同，解除通知中应注明是根据第16.2.1项发出的，承包人应在发出正式解除合同通知14天前告知发包人其解除合同意向，除非发包人在收到该解除合同意向通知后14天内采取了补救措施，否则承包人可向发包人发出正式解除合同通知立即解除合同。解除日期应为发包人收到正式解除合同通知的日期，但在第(5)目的情况下，承包人无须提前告知发包人其解除合同意向，可直接发出正式解除合同通知立即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承包人就发包人未能遵守第2.5.2项关于发包人的资金安排发出通知后42天内，仍未收到合理的证明；</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（2） 在第14条规定的付款时间到期后42天内，承包人仍未收到应付款项； </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发包人实质上未能根据合同约定履行其义务，构成根本性违约；</w:t>
      </w:r>
    </w:p>
    <w:p>
      <w:pPr>
        <w:spacing w:line="276" w:lineRule="auto"/>
        <w:jc w:val="left"/>
        <w:rPr>
          <w:rFonts w:asciiTheme="minorEastAsia" w:hAnsiTheme="minorEastAsia"/>
          <w:sz w:val="24"/>
        </w:rPr>
      </w:pPr>
      <w:r>
        <w:rPr>
          <w:rFonts w:hint="eastAsia" w:asciiTheme="minorEastAsia" w:hAnsiTheme="minorEastAsia" w:eastAsiaTheme="minorEastAsia"/>
          <w:sz w:val="24"/>
        </w:rPr>
        <w:t>（4） 发承包双方订立本合同协议书后的84天内，承包人未收到根据第8.1款[开始工作]的开始工作通知；</w:t>
      </w:r>
    </w:p>
    <w:p>
      <w:pPr>
        <w:spacing w:line="276" w:lineRule="auto"/>
        <w:jc w:val="left"/>
        <w:rPr>
          <w:rFonts w:asciiTheme="minorEastAsia" w:hAnsiTheme="minorEastAsia"/>
          <w:sz w:val="24"/>
        </w:rPr>
      </w:pPr>
      <w:r>
        <w:rPr>
          <w:rFonts w:hint="eastAsia" w:asciiTheme="minorEastAsia" w:hAnsiTheme="minorEastAsia" w:eastAsiaTheme="minorEastAsia"/>
          <w:sz w:val="24"/>
        </w:rPr>
        <w:t>（5） 发包人破产、停业清理或进入清算程序，或情况表明发包人将进入破产和（或）清算程序或发包人资信严重恶化，已有对其财产的接管令或管理令，与债权人达成和解，或为其债权人的利益在财产接管人、受托人或管理人的监督下营业，或采取了任何行动或发生任何事件（根据有关适用法律）具有与前述行动或事件相似的效果；</w:t>
      </w:r>
    </w:p>
    <w:p>
      <w:pPr>
        <w:spacing w:line="276" w:lineRule="auto"/>
        <w:jc w:val="left"/>
        <w:rPr>
          <w:rFonts w:asciiTheme="minorEastAsia" w:hAnsiTheme="minorEastAsia"/>
          <w:sz w:val="24"/>
        </w:rPr>
      </w:pPr>
      <w:r>
        <w:rPr>
          <w:rFonts w:hint="eastAsia" w:asciiTheme="minorEastAsia" w:hAnsiTheme="minorEastAsia" w:eastAsiaTheme="minorEastAsia"/>
          <w:sz w:val="24"/>
        </w:rPr>
        <w:t>（6） 发包人未能遵守第2.5.3项的约定提交支付担保；</w:t>
      </w:r>
    </w:p>
    <w:p>
      <w:pPr>
        <w:spacing w:line="276" w:lineRule="auto"/>
        <w:jc w:val="left"/>
        <w:rPr>
          <w:rFonts w:asciiTheme="minorEastAsia" w:hAnsiTheme="minorEastAsia"/>
          <w:sz w:val="24"/>
        </w:rPr>
      </w:pPr>
      <w:r>
        <w:rPr>
          <w:rFonts w:hint="eastAsia" w:asciiTheme="minorEastAsia" w:hAnsiTheme="minorEastAsia" w:eastAsiaTheme="minorEastAsia"/>
          <w:sz w:val="24"/>
        </w:rPr>
        <w:t>（7） 发包人未能执行第15.1.2项[通知改正]的约定，致使合同目的不能实现的；</w:t>
      </w:r>
    </w:p>
    <w:p>
      <w:pPr>
        <w:spacing w:line="276" w:lineRule="auto"/>
        <w:jc w:val="left"/>
        <w:rPr>
          <w:rFonts w:asciiTheme="minorEastAsia" w:hAnsiTheme="minorEastAsia"/>
          <w:sz w:val="24"/>
        </w:rPr>
      </w:pPr>
      <w:r>
        <w:rPr>
          <w:rFonts w:hint="eastAsia" w:asciiTheme="minorEastAsia" w:hAnsiTheme="minorEastAsia" w:eastAsiaTheme="minorEastAsia"/>
          <w:sz w:val="24"/>
        </w:rPr>
        <w:t>（8） 因发包人的原因暂停工作超过56天且暂停影响到整个工程，或因发包人的原因暂停工作超过182天的；</w:t>
      </w:r>
    </w:p>
    <w:p>
      <w:pPr>
        <w:spacing w:line="276" w:lineRule="auto"/>
        <w:jc w:val="left"/>
        <w:rPr>
          <w:rFonts w:asciiTheme="minorEastAsia" w:hAnsiTheme="minorEastAsia"/>
          <w:sz w:val="24"/>
        </w:rPr>
      </w:pPr>
      <w:r>
        <w:rPr>
          <w:rFonts w:hint="eastAsia" w:asciiTheme="minorEastAsia" w:hAnsiTheme="minorEastAsia" w:eastAsiaTheme="minorEastAsia"/>
          <w:sz w:val="24"/>
        </w:rPr>
        <w:t>（9） 因发包人原因造成开始工作日期迟于承包人收到中标通知书（或在无中标通知书的情况下，订立本合同之日）后第84天的。</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接到承包人解除合同意向通知后14天内，发包人随后给予了付款，或同意复工、或继续履行其义务、或提供了支付担保等，承包人应尽快安排并恢复正常工作；因此造成工期延误的，竣工日期顺延；承包人因此增加的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16.2.2 因发包人违约解除合同后承包人的义务</w:t>
      </w:r>
    </w:p>
    <w:p>
      <w:pPr>
        <w:spacing w:line="276" w:lineRule="auto"/>
        <w:jc w:val="left"/>
        <w:rPr>
          <w:rFonts w:asciiTheme="minorEastAsia" w:hAnsiTheme="minorEastAsia"/>
          <w:sz w:val="24"/>
        </w:rPr>
      </w:pPr>
      <w:r>
        <w:rPr>
          <w:rFonts w:hint="eastAsia" w:asciiTheme="minorEastAsia" w:hAnsiTheme="minorEastAsia" w:eastAsiaTheme="minorEastAsia"/>
          <w:sz w:val="24"/>
        </w:rPr>
        <w:t>合同解除后，承包人应按以下约定执行：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（1） 除为保护生命、财产、工程安全的工作外，停止所有进一步的工作；承包人因执行该保护工作而产生费用的，由发包人承担；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（2） 向发包人移交承包人已获得支付的承包人文件、生产设备、材料和其他工作；</w:t>
      </w:r>
    </w:p>
    <w:p>
      <w:pPr>
        <w:spacing w:line="276" w:lineRule="auto"/>
        <w:jc w:val="left"/>
        <w:rPr>
          <w:rFonts w:asciiTheme="minorEastAsia" w:hAnsiTheme="minorEastAsia"/>
          <w:sz w:val="24"/>
        </w:rPr>
      </w:pPr>
      <w:r>
        <w:rPr>
          <w:rFonts w:hint="eastAsia" w:asciiTheme="minorEastAsia" w:hAnsiTheme="minorEastAsia" w:eastAsiaTheme="minorEastAsia"/>
          <w:sz w:val="24"/>
        </w:rPr>
        <w:t>（3） 从现场运走除为了安全需要以外的所有属于承包人的其他货物，并撤离现场。</w:t>
      </w:r>
    </w:p>
    <w:p>
      <w:pPr>
        <w:spacing w:line="276" w:lineRule="auto"/>
        <w:jc w:val="left"/>
        <w:rPr>
          <w:rFonts w:asciiTheme="minorEastAsia" w:hAnsiTheme="minorEastAsia"/>
          <w:sz w:val="24"/>
        </w:rPr>
      </w:pPr>
      <w:r>
        <w:rPr>
          <w:rFonts w:hint="eastAsia" w:asciiTheme="minorEastAsia" w:hAnsiTheme="minorEastAsia" w:eastAsiaTheme="minorEastAsia"/>
          <w:sz w:val="24"/>
        </w:rPr>
        <w:t>16.2.3 因发包人违约解除合同后的付款</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承包人按照本款约定解除合同的，发包人应在解除合同后28天内支付下列款项，并退还履约担保：</w:t>
      </w:r>
    </w:p>
    <w:p>
      <w:pPr>
        <w:spacing w:line="276" w:lineRule="auto"/>
        <w:jc w:val="left"/>
        <w:rPr>
          <w:rFonts w:asciiTheme="minorEastAsia" w:hAnsiTheme="minorEastAsia"/>
          <w:sz w:val="24"/>
        </w:rPr>
      </w:pPr>
      <w:r>
        <w:rPr>
          <w:rFonts w:hint="eastAsia" w:asciiTheme="minorEastAsia" w:hAnsiTheme="minorEastAsia" w:eastAsiaTheme="minorEastAsia"/>
          <w:sz w:val="24"/>
        </w:rPr>
        <w:t>（1） 合同解除前所完成工作的价款；</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承包人为工程施工订购并已付款的材料、工程设备和其他物品的价款；发包人付款后，该材料、工程设备和其他物品归发包人所有；</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承包人为完成工程所发生的，而发包人未支付的金额；</w:t>
      </w:r>
    </w:p>
    <w:p>
      <w:pPr>
        <w:spacing w:line="276" w:lineRule="auto"/>
        <w:jc w:val="left"/>
        <w:rPr>
          <w:rFonts w:asciiTheme="minorEastAsia" w:hAnsiTheme="minorEastAsia"/>
          <w:sz w:val="24"/>
        </w:rPr>
      </w:pPr>
      <w:r>
        <w:rPr>
          <w:rFonts w:hint="eastAsia" w:asciiTheme="minorEastAsia" w:hAnsiTheme="minorEastAsia" w:eastAsiaTheme="minorEastAsia"/>
          <w:sz w:val="24"/>
        </w:rPr>
        <w:t>（4） 承包人撤离施工现场以及遣散承包人人员的款项；</w:t>
      </w:r>
    </w:p>
    <w:p>
      <w:pPr>
        <w:spacing w:line="276" w:lineRule="auto"/>
        <w:jc w:val="left"/>
        <w:rPr>
          <w:rFonts w:asciiTheme="minorEastAsia" w:hAnsiTheme="minorEastAsia"/>
          <w:sz w:val="24"/>
        </w:rPr>
      </w:pPr>
      <w:r>
        <w:rPr>
          <w:rFonts w:hint="eastAsia" w:asciiTheme="minorEastAsia" w:hAnsiTheme="minorEastAsia" w:eastAsiaTheme="minorEastAsia"/>
          <w:sz w:val="24"/>
        </w:rPr>
        <w:t>（5） 按照合同约定在合同解除前应支付的违约金；</w:t>
      </w:r>
    </w:p>
    <w:p>
      <w:pPr>
        <w:spacing w:line="276" w:lineRule="auto"/>
        <w:jc w:val="left"/>
        <w:rPr>
          <w:rFonts w:asciiTheme="minorEastAsia" w:hAnsiTheme="minorEastAsia"/>
          <w:sz w:val="24"/>
        </w:rPr>
      </w:pPr>
      <w:r>
        <w:rPr>
          <w:rFonts w:hint="eastAsia" w:asciiTheme="minorEastAsia" w:hAnsiTheme="minorEastAsia" w:eastAsiaTheme="minorEastAsia"/>
          <w:sz w:val="24"/>
        </w:rPr>
        <w:t>（6） 按照合同约定应当支付给承包人的其他款项；</w:t>
      </w:r>
    </w:p>
    <w:p>
      <w:pPr>
        <w:spacing w:line="276" w:lineRule="auto"/>
        <w:jc w:val="left"/>
        <w:rPr>
          <w:rFonts w:asciiTheme="minorEastAsia" w:hAnsiTheme="minorEastAsia"/>
          <w:sz w:val="24"/>
        </w:rPr>
      </w:pPr>
      <w:r>
        <w:rPr>
          <w:rFonts w:hint="eastAsia" w:asciiTheme="minorEastAsia" w:hAnsiTheme="minorEastAsia" w:eastAsiaTheme="minorEastAsia"/>
          <w:sz w:val="24"/>
        </w:rPr>
        <w:t>（7） 按照合同约定应返还的质量保证金；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（8） 因解除合同给承包人造成的损失。</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承包人应妥善做好已完工程和与工程有关的已购材料、工程设备的保护和移交工作，并将施工设备和人员撤出施工现场，发包人应为承包人撤出提供必要条件。</w:t>
      </w:r>
    </w:p>
    <w:p>
      <w:pPr>
        <w:spacing w:line="276" w:lineRule="auto"/>
        <w:jc w:val="left"/>
        <w:rPr>
          <w:rFonts w:asciiTheme="minorEastAsia" w:hAnsiTheme="minorEastAsia"/>
          <w:sz w:val="24"/>
        </w:rPr>
      </w:pPr>
      <w:r>
        <w:rPr>
          <w:rFonts w:hint="eastAsia" w:asciiTheme="minorEastAsia" w:hAnsiTheme="minorEastAsia" w:eastAsiaTheme="minorEastAsia"/>
          <w:sz w:val="24"/>
        </w:rPr>
        <w:t>16.3 合同解除后的事项</w:t>
      </w:r>
    </w:p>
    <w:p>
      <w:pPr>
        <w:spacing w:line="276" w:lineRule="auto"/>
        <w:jc w:val="left"/>
        <w:rPr>
          <w:rFonts w:asciiTheme="minorEastAsia" w:hAnsiTheme="minorEastAsia"/>
          <w:sz w:val="24"/>
        </w:rPr>
      </w:pPr>
      <w:r>
        <w:rPr>
          <w:rFonts w:hint="eastAsia" w:asciiTheme="minorEastAsia" w:hAnsiTheme="minorEastAsia" w:eastAsiaTheme="minorEastAsia"/>
          <w:sz w:val="24"/>
        </w:rPr>
        <w:t>16.3.1 结算约定依然有效</w:t>
      </w:r>
    </w:p>
    <w:p>
      <w:pPr>
        <w:spacing w:line="276" w:lineRule="auto"/>
        <w:jc w:val="left"/>
        <w:rPr>
          <w:rFonts w:asciiTheme="minorEastAsia" w:hAnsiTheme="minorEastAsia"/>
          <w:sz w:val="24"/>
        </w:rPr>
      </w:pPr>
      <w:r>
        <w:rPr>
          <w:rFonts w:hint="eastAsia" w:asciiTheme="minorEastAsia" w:hAnsiTheme="minorEastAsia" w:eastAsiaTheme="minorEastAsia"/>
          <w:sz w:val="24"/>
        </w:rPr>
        <w:t>合同解除后，由发包人或由承包人解除合同的结算及结算后的付款约定仍然有效，直至解除合同的结算工作结清。</w:t>
      </w:r>
    </w:p>
    <w:p>
      <w:pPr>
        <w:spacing w:line="276" w:lineRule="auto"/>
        <w:jc w:val="left"/>
        <w:rPr>
          <w:rFonts w:asciiTheme="minorEastAsia" w:hAnsiTheme="minorEastAsia"/>
          <w:sz w:val="24"/>
        </w:rPr>
      </w:pPr>
      <w:r>
        <w:rPr>
          <w:rFonts w:hint="eastAsia" w:asciiTheme="minorEastAsia" w:hAnsiTheme="minorEastAsia" w:eastAsiaTheme="minorEastAsia"/>
          <w:sz w:val="24"/>
        </w:rPr>
        <w:t>16.3.2 解除合同的争议</w:t>
      </w:r>
    </w:p>
    <w:p>
      <w:pPr>
        <w:spacing w:line="276" w:lineRule="auto"/>
        <w:jc w:val="left"/>
        <w:rPr>
          <w:rFonts w:asciiTheme="minorEastAsia" w:hAnsiTheme="minorEastAsia"/>
          <w:sz w:val="24"/>
        </w:rPr>
      </w:pPr>
      <w:r>
        <w:rPr>
          <w:rFonts w:hint="eastAsia" w:asciiTheme="minorEastAsia" w:hAnsiTheme="minorEastAsia" w:eastAsiaTheme="minorEastAsia"/>
          <w:sz w:val="24"/>
        </w:rPr>
        <w:t>双方对解除合同或解除合同后的结算有争议的，按照第20条[争议解决]的约定处理。</w:t>
      </w:r>
    </w:p>
    <w:p>
      <w:pPr>
        <w:spacing w:line="276" w:lineRule="auto"/>
        <w:jc w:val="left"/>
        <w:rPr>
          <w:rFonts w:asciiTheme="minorEastAsia" w:hAnsiTheme="minorEastAsia"/>
          <w:b/>
          <w:sz w:val="24"/>
        </w:rPr>
      </w:pPr>
      <w:r>
        <w:rPr>
          <w:rFonts w:hint="eastAsia" w:asciiTheme="minorEastAsia" w:hAnsiTheme="minorEastAsia" w:eastAsiaTheme="minorEastAsia"/>
          <w:b/>
          <w:sz w:val="24"/>
        </w:rPr>
        <w:t>第17条 不可抗力</w:t>
      </w:r>
    </w:p>
    <w:p>
      <w:pPr>
        <w:spacing w:line="276" w:lineRule="auto"/>
        <w:jc w:val="left"/>
        <w:rPr>
          <w:rFonts w:asciiTheme="minorEastAsia" w:hAnsiTheme="minorEastAsia"/>
          <w:sz w:val="24"/>
        </w:rPr>
      </w:pPr>
      <w:r>
        <w:rPr>
          <w:rFonts w:hint="eastAsia" w:asciiTheme="minorEastAsia" w:hAnsiTheme="minorEastAsia" w:eastAsiaTheme="minorEastAsia"/>
          <w:sz w:val="24"/>
        </w:rPr>
        <w:t>17.1 不可抗力的定义</w:t>
      </w:r>
    </w:p>
    <w:p>
      <w:pPr>
        <w:spacing w:line="276" w:lineRule="auto"/>
        <w:jc w:val="left"/>
        <w:rPr>
          <w:rFonts w:asciiTheme="minorEastAsia" w:hAnsiTheme="minorEastAsia"/>
          <w:sz w:val="24"/>
        </w:rPr>
      </w:pPr>
      <w:r>
        <w:rPr>
          <w:rFonts w:hint="eastAsia" w:asciiTheme="minorEastAsia" w:hAnsiTheme="minorEastAsia" w:eastAsiaTheme="minorEastAsia"/>
          <w:sz w:val="24"/>
        </w:rPr>
        <w:t>不可抗力是指合同当事人在订立合同时不可预见，在合同履行过程中不可避免、不能克服且不能提前防备的自然灾害和社会性突发事件，如地震、海啸、瘟疫、骚乱、戒严、暴动、战争和专用合同条件中约定的其他情形。</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17.2 不可抗力的通知 </w:t>
      </w:r>
    </w:p>
    <w:p>
      <w:pPr>
        <w:spacing w:line="276" w:lineRule="auto"/>
        <w:jc w:val="left"/>
        <w:rPr>
          <w:rFonts w:asciiTheme="minorEastAsia" w:hAnsiTheme="minorEastAsia"/>
          <w:sz w:val="24"/>
        </w:rPr>
      </w:pPr>
      <w:r>
        <w:rPr>
          <w:rFonts w:hint="eastAsia" w:asciiTheme="minorEastAsia" w:hAnsiTheme="minorEastAsia" w:eastAsiaTheme="minorEastAsia"/>
          <w:sz w:val="24"/>
        </w:rPr>
        <w:t>合同一方当事人觉察或发现不可抗力事件发生，使其履行合同义务受到阻碍时，有义务立即通知合同另一方当事人和工程师，书面说明不可抗力和受阻碍的详细情况，并提供必要的证明。</w:t>
      </w:r>
    </w:p>
    <w:p>
      <w:pPr>
        <w:spacing w:line="276" w:lineRule="auto"/>
        <w:jc w:val="left"/>
        <w:rPr>
          <w:rFonts w:asciiTheme="minorEastAsia" w:hAnsiTheme="minorEastAsia"/>
          <w:sz w:val="24"/>
        </w:rPr>
      </w:pPr>
      <w:r>
        <w:rPr>
          <w:rFonts w:hint="eastAsia" w:asciiTheme="minorEastAsia" w:hAnsiTheme="minorEastAsia" w:eastAsiaTheme="minorEastAsia"/>
          <w:sz w:val="24"/>
        </w:rPr>
        <w:t>不可抗力持续发生的，合同一方当事人应每隔28天向合同另一方当事人和工程师提交中间报告，说明不可抗力和履行合同受阻的情况，并于不可抗力事件结束后28天内提交最终报告及有关资料。</w:t>
      </w:r>
    </w:p>
    <w:p>
      <w:pPr>
        <w:spacing w:line="276" w:lineRule="auto"/>
        <w:jc w:val="left"/>
        <w:rPr>
          <w:rFonts w:asciiTheme="minorEastAsia" w:hAnsiTheme="minorEastAsia"/>
          <w:sz w:val="24"/>
        </w:rPr>
      </w:pPr>
      <w:r>
        <w:rPr>
          <w:rFonts w:hint="eastAsia" w:asciiTheme="minorEastAsia" w:hAnsiTheme="minorEastAsia" w:eastAsiaTheme="minorEastAsia"/>
          <w:sz w:val="24"/>
        </w:rPr>
        <w:t>17.3 将损失减至最小的义务</w:t>
      </w:r>
    </w:p>
    <w:p>
      <w:pPr>
        <w:spacing w:line="276" w:lineRule="auto"/>
        <w:jc w:val="left"/>
        <w:rPr>
          <w:rFonts w:asciiTheme="minorEastAsia" w:hAnsiTheme="minorEastAsia"/>
          <w:sz w:val="24"/>
        </w:rPr>
      </w:pPr>
      <w:r>
        <w:rPr>
          <w:rFonts w:hint="eastAsia" w:asciiTheme="minorEastAsia" w:hAnsiTheme="minorEastAsia" w:eastAsiaTheme="minorEastAsia"/>
          <w:sz w:val="24"/>
        </w:rPr>
        <w:t>不可抗力发生后，合同当事人均应采取措施尽量避免和减少损失的扩大，使不可抗力对履行合同造成的损失减至最小。另一方全力协助并采取措施，需暂停实施的工作，立即停止。任何一方当事人没有采取有效措施导致损失扩大的，应对扩大的损失承担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17.4 不可抗力后果的承担 </w:t>
      </w:r>
    </w:p>
    <w:p>
      <w:pPr>
        <w:spacing w:line="276" w:lineRule="auto"/>
        <w:jc w:val="left"/>
        <w:rPr>
          <w:rFonts w:asciiTheme="minorEastAsia" w:hAnsiTheme="minorEastAsia"/>
          <w:sz w:val="24"/>
        </w:rPr>
      </w:pPr>
      <w:r>
        <w:rPr>
          <w:rFonts w:hint="eastAsia" w:asciiTheme="minorEastAsia" w:hAnsiTheme="minorEastAsia" w:eastAsiaTheme="minorEastAsia"/>
          <w:sz w:val="24"/>
        </w:rPr>
        <w:t>不可抗力导致的人员伤亡、财产损失、费用增加和（或）工期延误等后果，由合同当事人按以下原则承担：</w:t>
      </w:r>
    </w:p>
    <w:p>
      <w:pPr>
        <w:spacing w:line="276" w:lineRule="auto"/>
        <w:jc w:val="left"/>
        <w:rPr>
          <w:rFonts w:asciiTheme="minorEastAsia" w:hAnsiTheme="minorEastAsia"/>
          <w:sz w:val="24"/>
        </w:rPr>
      </w:pPr>
      <w:r>
        <w:rPr>
          <w:rFonts w:hint="eastAsia" w:asciiTheme="minorEastAsia" w:hAnsiTheme="minorEastAsia" w:eastAsiaTheme="minorEastAsia"/>
          <w:sz w:val="24"/>
        </w:rPr>
        <w:t>（1） 永久工程，包括已运至施工现场的材料和工程设备的损害，以及因工程损害造成的第三人人员伤亡和财产损失由发包人承担；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承包人提供的施工设备的损坏由承包人承担；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发包人和承包人各自承担其人员伤亡及其他财产损失；</w:t>
      </w:r>
    </w:p>
    <w:p>
      <w:pPr>
        <w:spacing w:line="276" w:lineRule="auto"/>
        <w:jc w:val="left"/>
        <w:rPr>
          <w:rFonts w:asciiTheme="minorEastAsia" w:hAnsiTheme="minorEastAsia"/>
          <w:sz w:val="24"/>
        </w:rPr>
      </w:pPr>
      <w:r>
        <w:rPr>
          <w:rFonts w:hint="eastAsia" w:asciiTheme="minorEastAsia" w:hAnsiTheme="minorEastAsia" w:eastAsiaTheme="minorEastAsia"/>
          <w:sz w:val="24"/>
        </w:rPr>
        <w:t>（4） 因不可抗力影响承包人履行合同约定的义务，已经引起或将引起工期延误的，应当顺延工期，由此导致承包人停工的费用损失由发包人和承包人合理分担，停工期间必须支付的现场必要的工人工资由发包人承担；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（5） 因不可抗力引起或将引起工期延误，发包人指示赶工的，由此增加的赶工费用由发包人承担；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（6） 承包人在停工期间按照工程师或发包人要求照管、清理和修复工程的费用由发包人承担。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不可抗力引起的后果及造成的损失由合同当事人按照法律规定及合同约定各自承担。不可抗力发生前已完成的工程应当按照合同约定进行支付。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17.5 不可抗力影响分包人 </w:t>
      </w:r>
    </w:p>
    <w:p>
      <w:pPr>
        <w:spacing w:line="276" w:lineRule="auto"/>
        <w:jc w:val="left"/>
        <w:rPr>
          <w:rFonts w:asciiTheme="minorEastAsia" w:hAnsiTheme="minorEastAsia"/>
          <w:sz w:val="24"/>
        </w:rPr>
      </w:pPr>
      <w:r>
        <w:rPr>
          <w:rFonts w:hint="eastAsia" w:asciiTheme="minorEastAsia" w:hAnsiTheme="minorEastAsia" w:eastAsiaTheme="minorEastAsia"/>
          <w:sz w:val="24"/>
        </w:rPr>
        <w:t>分包人根据分包合同的约定，有权获得更多或者更广的不可抗力而免除某些义务时，承包人不得以分包合同中不可抗力约定向发包人抗辩免除其义务。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17.6 因不可抗力解除合同 </w:t>
      </w:r>
    </w:p>
    <w:p>
      <w:pPr>
        <w:spacing w:line="276" w:lineRule="auto"/>
        <w:jc w:val="left"/>
        <w:rPr>
          <w:rFonts w:asciiTheme="minorEastAsia" w:hAnsiTheme="minorEastAsia"/>
          <w:sz w:val="24"/>
        </w:rPr>
      </w:pPr>
      <w:r>
        <w:rPr>
          <w:rFonts w:hint="eastAsia" w:asciiTheme="minorEastAsia" w:hAnsiTheme="minorEastAsia" w:eastAsiaTheme="minorEastAsia"/>
          <w:sz w:val="24"/>
        </w:rPr>
        <w:t>因单次不可抗力导致合同无法履行连续超过84天或累计超过140天的，发包人和承包人均有权解除合同。合同解除后，承包人应按照第10.5款[竣工退场]的规定进行。由双方当事人按照第3.6款[商定或确定]商定或确定发包人应支付的款项，该款项包括：</w:t>
      </w:r>
    </w:p>
    <w:p>
      <w:pPr>
        <w:spacing w:line="276" w:lineRule="auto"/>
        <w:jc w:val="left"/>
        <w:rPr>
          <w:rFonts w:asciiTheme="minorEastAsia" w:hAnsiTheme="minorEastAsia"/>
          <w:sz w:val="24"/>
        </w:rPr>
      </w:pPr>
      <w:r>
        <w:rPr>
          <w:rFonts w:hint="eastAsia" w:asciiTheme="minorEastAsia" w:hAnsiTheme="minorEastAsia" w:eastAsiaTheme="minorEastAsia"/>
          <w:sz w:val="24"/>
        </w:rPr>
        <w:t>（1） 合同解除前承包人已完成工作的价款；</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为工程订购的并已交付给承包人，或承包人有责任接受交付的材料、工程设备和其他物品的价款；当发包人支付上述费用后，此项材料、工程设备与其他物品应成为发包人的财产，承包人应将其交由发包人处理；</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发包人指示承包人退货或解除订货合同而产生的费用，或因不能退货或解除合同而产生的损失；</w:t>
      </w:r>
    </w:p>
    <w:p>
      <w:pPr>
        <w:spacing w:line="276" w:lineRule="auto"/>
        <w:jc w:val="left"/>
        <w:rPr>
          <w:rFonts w:asciiTheme="minorEastAsia" w:hAnsiTheme="minorEastAsia"/>
          <w:sz w:val="24"/>
        </w:rPr>
      </w:pPr>
      <w:r>
        <w:rPr>
          <w:rFonts w:hint="eastAsia" w:asciiTheme="minorEastAsia" w:hAnsiTheme="minorEastAsia" w:eastAsiaTheme="minorEastAsia"/>
          <w:sz w:val="24"/>
        </w:rPr>
        <w:t>（4） 承包人撤离施工现场以及遣散承包人人员的费用；</w:t>
      </w:r>
    </w:p>
    <w:p>
      <w:pPr>
        <w:spacing w:line="276" w:lineRule="auto"/>
        <w:jc w:val="left"/>
        <w:rPr>
          <w:rFonts w:asciiTheme="minorEastAsia" w:hAnsiTheme="minorEastAsia"/>
          <w:sz w:val="24"/>
        </w:rPr>
      </w:pPr>
      <w:r>
        <w:rPr>
          <w:rFonts w:hint="eastAsia" w:asciiTheme="minorEastAsia" w:hAnsiTheme="minorEastAsia" w:eastAsiaTheme="minorEastAsia"/>
          <w:sz w:val="24"/>
        </w:rPr>
        <w:t>（5） 按照合同约定在合同解除前应支付给承包人的其他款项；</w:t>
      </w:r>
    </w:p>
    <w:p>
      <w:pPr>
        <w:spacing w:line="276" w:lineRule="auto"/>
        <w:jc w:val="left"/>
        <w:rPr>
          <w:rFonts w:asciiTheme="minorEastAsia" w:hAnsiTheme="minorEastAsia"/>
          <w:sz w:val="24"/>
        </w:rPr>
      </w:pPr>
      <w:r>
        <w:rPr>
          <w:rFonts w:hint="eastAsia" w:asciiTheme="minorEastAsia" w:hAnsiTheme="minorEastAsia" w:eastAsiaTheme="minorEastAsia"/>
          <w:sz w:val="24"/>
        </w:rPr>
        <w:t>（6） 扣减承包人按照合同约定应向发包人支付的款项；</w:t>
      </w:r>
    </w:p>
    <w:p>
      <w:pPr>
        <w:spacing w:line="276" w:lineRule="auto"/>
        <w:jc w:val="left"/>
        <w:rPr>
          <w:rFonts w:asciiTheme="minorEastAsia" w:hAnsiTheme="minorEastAsia"/>
          <w:sz w:val="24"/>
        </w:rPr>
      </w:pPr>
      <w:r>
        <w:rPr>
          <w:rFonts w:hint="eastAsia" w:asciiTheme="minorEastAsia" w:hAnsiTheme="minorEastAsia" w:eastAsiaTheme="minorEastAsia"/>
          <w:sz w:val="24"/>
        </w:rPr>
        <w:t>（7） 双方商定或确定的其他款项。</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除专用合同条件另有约定外，合同解除后，发包人应当在商定或确定上述款项后28天内完成上述款项的支付。</w:t>
      </w:r>
    </w:p>
    <w:p>
      <w:pPr>
        <w:spacing w:line="276" w:lineRule="auto"/>
        <w:jc w:val="left"/>
        <w:rPr>
          <w:rFonts w:asciiTheme="minorEastAsia" w:hAnsiTheme="minorEastAsia"/>
          <w:sz w:val="24"/>
        </w:rPr>
      </w:pPr>
      <w:r>
        <w:rPr>
          <w:rFonts w:hint="eastAsia" w:asciiTheme="minorEastAsia" w:hAnsiTheme="minorEastAsia" w:eastAsiaTheme="minorEastAsia"/>
          <w:b/>
          <w:sz w:val="24"/>
        </w:rPr>
        <w:t>第18条 保险</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18.1 设计和工程保险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18.1.1 双方应按照专用合同条件的约定向双方同意的保险人投保建设工程设计责任险、建筑安装工程一切险等保险。具体的投保险种、保险范围、保险金额、保险费率、保险期限等有关内容应当在专用合同条件中明确约定。</w:t>
      </w:r>
    </w:p>
    <w:p>
      <w:pPr>
        <w:spacing w:line="276" w:lineRule="auto"/>
        <w:jc w:val="left"/>
        <w:rPr>
          <w:rFonts w:asciiTheme="minorEastAsia" w:hAnsiTheme="minorEastAsia"/>
          <w:sz w:val="24"/>
        </w:rPr>
      </w:pPr>
      <w:r>
        <w:rPr>
          <w:rFonts w:hint="eastAsia" w:asciiTheme="minorEastAsia" w:hAnsiTheme="minorEastAsia" w:eastAsiaTheme="minorEastAsia"/>
          <w:sz w:val="24"/>
        </w:rPr>
        <w:t>18.1.2 双方应按照专用合同条件的约定投保第三者责任险，并在缺陷责任期终止证书颁发前维持其持续有效。第三者责任险最低投保额应在专用合同条件内约定。</w:t>
      </w:r>
    </w:p>
    <w:p>
      <w:pPr>
        <w:spacing w:line="276" w:lineRule="auto"/>
        <w:jc w:val="left"/>
        <w:rPr>
          <w:rFonts w:asciiTheme="minorEastAsia" w:hAnsiTheme="minorEastAsia"/>
          <w:sz w:val="24"/>
        </w:rPr>
      </w:pPr>
      <w:r>
        <w:rPr>
          <w:rFonts w:hint="eastAsia" w:asciiTheme="minorEastAsia" w:hAnsiTheme="minorEastAsia" w:eastAsiaTheme="minorEastAsia"/>
          <w:sz w:val="24"/>
        </w:rPr>
        <w:t>18.2 工伤和意外伤害保险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18.2.1 发包人应依照法律规定为其在施工现场的雇用人员办理工伤保险，缴纳工伤保险费；并要求工程师及由发包人为履行合同聘请的第三方在施工现场的雇用人员依法办理工伤保险。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18.2.2 承包人应依照法律规定为其履行合同雇用的全部人员办理工伤保险，缴纳工伤保险费，并要求分包人及由承包人为履行合同聘请的第三方雇用的全部人员依法办理工伤保险。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18.2.3 发包人和承包人可以为其施工现场的全部人员办理意外伤害保险并支付保险费，包括其员工及为履行合同聘请的第三方的人员，具体事项由合同当事人在专用合同条件约定。</w:t>
      </w:r>
    </w:p>
    <w:p>
      <w:pPr>
        <w:spacing w:line="276" w:lineRule="auto"/>
        <w:jc w:val="left"/>
        <w:rPr>
          <w:rFonts w:asciiTheme="minorEastAsia" w:hAnsiTheme="minorEastAsia"/>
          <w:sz w:val="24"/>
        </w:rPr>
      </w:pPr>
      <w:r>
        <w:rPr>
          <w:rFonts w:hint="eastAsia" w:asciiTheme="minorEastAsia" w:hAnsiTheme="minorEastAsia" w:eastAsiaTheme="minorEastAsia"/>
          <w:sz w:val="24"/>
        </w:rPr>
        <w:t>18.3 货物保险</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承包人应按照专用合同条件的约定为运抵现场的施工设备、材料、工程设备和临时工程等办理财产保险，保险期限自上述货物运抵现场至其不再为工程所需要为止。</w:t>
      </w:r>
    </w:p>
    <w:p>
      <w:pPr>
        <w:spacing w:line="276" w:lineRule="auto"/>
        <w:jc w:val="left"/>
        <w:rPr>
          <w:rFonts w:asciiTheme="minorEastAsia" w:hAnsiTheme="minorEastAsia"/>
          <w:sz w:val="24"/>
        </w:rPr>
      </w:pPr>
      <w:r>
        <w:rPr>
          <w:rFonts w:hint="eastAsia" w:asciiTheme="minorEastAsia" w:hAnsiTheme="minorEastAsia" w:eastAsiaTheme="minorEastAsia"/>
          <w:sz w:val="24"/>
        </w:rPr>
        <w:t>18.4 其他保险</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应按照工程总承包模式所适用的法律法规和专用合同条件约定，投保其他保险并保持保险有效，其投保费用发包人自行承担。承包人应按照工程总承包模式所适用法律法规和专用合同条件约定投保相应保险并保持保险有效，其投保费用包含在合同价格中，但在合同执行过程中，新颁布适用的法律法规规定由承包人投保的强制保险，应根据本合同第13条[变更与调整]的约定增加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18.5 对各项保险的一般要求</w:t>
      </w:r>
    </w:p>
    <w:p>
      <w:pPr>
        <w:spacing w:line="276" w:lineRule="auto"/>
        <w:jc w:val="left"/>
        <w:rPr>
          <w:rFonts w:asciiTheme="minorEastAsia" w:hAnsiTheme="minorEastAsia"/>
          <w:sz w:val="24"/>
        </w:rPr>
      </w:pPr>
      <w:r>
        <w:rPr>
          <w:rFonts w:hint="eastAsia" w:asciiTheme="minorEastAsia" w:hAnsiTheme="minorEastAsia" w:eastAsiaTheme="minorEastAsia"/>
          <w:sz w:val="24"/>
        </w:rPr>
        <w:t>18.5.1 持续保险</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合同当事人应与保险人保持联系，使保险人能够随时了解工程实施中的变动，并确保按保险合同条款要求持续保险。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18.5.2 保险凭证</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合同当事人应及时向另一方当事人提交其已投保的各项保险的凭证和保险单复印件，保险单必须与专用合同条件约定的条件保持一致。</w:t>
      </w:r>
    </w:p>
    <w:p>
      <w:pPr>
        <w:spacing w:line="276" w:lineRule="auto"/>
        <w:jc w:val="left"/>
        <w:rPr>
          <w:rFonts w:asciiTheme="minorEastAsia" w:hAnsiTheme="minorEastAsia"/>
          <w:sz w:val="24"/>
        </w:rPr>
      </w:pPr>
      <w:r>
        <w:rPr>
          <w:rFonts w:hint="eastAsia" w:asciiTheme="minorEastAsia" w:hAnsiTheme="minorEastAsia" w:eastAsiaTheme="minorEastAsia"/>
          <w:sz w:val="24"/>
        </w:rPr>
        <w:t>18.5.3 未按约定投保的补救</w:t>
      </w:r>
    </w:p>
    <w:p>
      <w:pPr>
        <w:spacing w:line="276" w:lineRule="auto"/>
        <w:jc w:val="left"/>
        <w:rPr>
          <w:rFonts w:asciiTheme="minorEastAsia" w:hAnsiTheme="minorEastAsia"/>
          <w:sz w:val="24"/>
        </w:rPr>
      </w:pPr>
      <w:r>
        <w:rPr>
          <w:rFonts w:hint="eastAsia" w:asciiTheme="minorEastAsia" w:hAnsiTheme="minorEastAsia" w:eastAsiaTheme="minorEastAsia"/>
          <w:sz w:val="24"/>
        </w:rPr>
        <w:t>负有投保义务的一方当事人未按合同约定办理保险，或未能使保险持续有效的，则另一方当事人可代为办理，所需费用由负有投保义务的一方当事人承担。</w:t>
      </w:r>
    </w:p>
    <w:p>
      <w:pPr>
        <w:spacing w:line="276" w:lineRule="auto"/>
        <w:jc w:val="left"/>
        <w:rPr>
          <w:rFonts w:asciiTheme="minorEastAsia" w:hAnsiTheme="minorEastAsia"/>
          <w:sz w:val="24"/>
        </w:rPr>
      </w:pPr>
      <w:r>
        <w:rPr>
          <w:rFonts w:hint="eastAsia" w:asciiTheme="minorEastAsia" w:hAnsiTheme="minorEastAsia" w:eastAsiaTheme="minorEastAsia"/>
          <w:sz w:val="24"/>
        </w:rPr>
        <w:t>负有投保义务的一方当事人未按合同约定办理某项保险，导致受益人未能得到足额赔偿的，由负有投保义务的一方当事人负责按照原应从该项保险得到的保险金数额进行补足。</w:t>
      </w:r>
    </w:p>
    <w:p>
      <w:pPr>
        <w:spacing w:line="276" w:lineRule="auto"/>
        <w:jc w:val="left"/>
        <w:rPr>
          <w:rFonts w:asciiTheme="minorEastAsia" w:hAnsiTheme="minorEastAsia"/>
          <w:sz w:val="24"/>
        </w:rPr>
      </w:pPr>
      <w:r>
        <w:rPr>
          <w:rFonts w:hint="eastAsia" w:asciiTheme="minorEastAsia" w:hAnsiTheme="minorEastAsia" w:eastAsiaTheme="minorEastAsia"/>
          <w:sz w:val="24"/>
        </w:rPr>
        <w:t>18.5.4 通知义务</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除专用合同条件另有约定外，任何一方当事人变更除工伤保险之外的保险合同时，应事先征得另一方当事人同意，并通知工程师。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保险事故发生时，投保人应按照保险合同规定的条件和期限及时向保险人报告。发包人和承包人应当在知道保险事故发生后及时通知对方。</w:t>
      </w:r>
    </w:p>
    <w:p>
      <w:pPr>
        <w:spacing w:line="276" w:lineRule="auto"/>
        <w:jc w:val="left"/>
        <w:rPr>
          <w:rFonts w:asciiTheme="minorEastAsia" w:hAnsiTheme="minorEastAsia"/>
          <w:sz w:val="24"/>
        </w:rPr>
      </w:pPr>
      <w:r>
        <w:rPr>
          <w:rFonts w:hint="eastAsia" w:asciiTheme="minorEastAsia" w:hAnsiTheme="minorEastAsia" w:eastAsiaTheme="minorEastAsia"/>
          <w:sz w:val="24"/>
        </w:rPr>
        <w:t>双方按本条规定投保不减少双方在合同下的其他义务。</w:t>
      </w:r>
    </w:p>
    <w:p>
      <w:pPr>
        <w:spacing w:line="276" w:lineRule="auto"/>
        <w:jc w:val="left"/>
        <w:rPr>
          <w:rFonts w:asciiTheme="minorEastAsia" w:hAnsiTheme="minorEastAsia"/>
          <w:sz w:val="24"/>
        </w:rPr>
      </w:pPr>
      <w:r>
        <w:rPr>
          <w:rFonts w:hint="eastAsia" w:asciiTheme="minorEastAsia" w:hAnsiTheme="minorEastAsia" w:eastAsiaTheme="minorEastAsia"/>
          <w:b/>
          <w:sz w:val="24"/>
        </w:rPr>
        <w:t>第19条 索赔</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19.1 索赔的提出</w:t>
      </w:r>
    </w:p>
    <w:p>
      <w:pPr>
        <w:spacing w:line="276" w:lineRule="auto"/>
        <w:jc w:val="left"/>
        <w:rPr>
          <w:rFonts w:asciiTheme="minorEastAsia" w:hAnsiTheme="minorEastAsia"/>
          <w:sz w:val="24"/>
        </w:rPr>
      </w:pPr>
      <w:r>
        <w:rPr>
          <w:rFonts w:hint="eastAsia" w:asciiTheme="minorEastAsia" w:hAnsiTheme="minorEastAsia" w:eastAsiaTheme="minorEastAsia"/>
          <w:sz w:val="24"/>
        </w:rPr>
        <w:t>根据合同约定，任意一方认为有权得到追加/减少付款、延长缺陷责任期和（或）延长工期的，应按以下程序向对方提出索赔：</w:t>
      </w:r>
    </w:p>
    <w:p>
      <w:pPr>
        <w:spacing w:line="276" w:lineRule="auto"/>
        <w:jc w:val="left"/>
        <w:rPr>
          <w:rFonts w:asciiTheme="minorEastAsia" w:hAnsiTheme="minorEastAsia"/>
          <w:sz w:val="24"/>
        </w:rPr>
      </w:pPr>
      <w:r>
        <w:rPr>
          <w:rFonts w:hint="eastAsia" w:asciiTheme="minorEastAsia" w:hAnsiTheme="minorEastAsia" w:eastAsiaTheme="minorEastAsia"/>
          <w:sz w:val="24"/>
        </w:rPr>
        <w:t>（1） 索赔方应在知道或应当知道索赔事件发生后28天内，向对方递交索赔意向通知书，并说明发生索赔事件的事由；索赔方未在前述28天内发出索赔意向通知书的，丧失要求追加/减少付款、延长缺陷责任期和（或）延长工期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（2） 索赔方应在发出索赔意向通知书后28天内，向对方正式递交索赔报告；索赔报告应详细说明索赔理由以及要求追加的付款金额、延长缺陷责任期和（或）延长的工期，并附必要的记录和证明材料；</w:t>
      </w:r>
    </w:p>
    <w:p>
      <w:pPr>
        <w:spacing w:line="276" w:lineRule="auto"/>
        <w:jc w:val="left"/>
        <w:rPr>
          <w:rFonts w:asciiTheme="minorEastAsia" w:hAnsiTheme="minorEastAsia"/>
          <w:sz w:val="24"/>
        </w:rPr>
      </w:pPr>
      <w:r>
        <w:rPr>
          <w:rFonts w:hint="eastAsia" w:asciiTheme="minorEastAsia" w:hAnsiTheme="minorEastAsia" w:eastAsiaTheme="minorEastAsia"/>
          <w:sz w:val="24"/>
        </w:rPr>
        <w:t>（3） 索赔事件具有持续影响的，索赔方应每月递交延续索赔通知，说明持续影响的实际情况和记录，列出累计的追加付款金额、延长缺陷责任期和（或）工期延长天数；</w:t>
      </w:r>
    </w:p>
    <w:p>
      <w:pPr>
        <w:spacing w:line="276" w:lineRule="auto"/>
        <w:jc w:val="left"/>
        <w:rPr>
          <w:rFonts w:asciiTheme="minorEastAsia" w:hAnsiTheme="minorEastAsia"/>
          <w:sz w:val="24"/>
        </w:rPr>
      </w:pPr>
      <w:r>
        <w:rPr>
          <w:rFonts w:hint="eastAsia" w:asciiTheme="minorEastAsia" w:hAnsiTheme="minorEastAsia" w:eastAsiaTheme="minorEastAsia"/>
          <w:sz w:val="24"/>
        </w:rPr>
        <w:t>（4） 在索赔事件影响结束后28天内，索赔方应向对方递交最终索赔报告，说明最终要求索赔的追加付款金额、延长缺陷责任期和（或）延长的工期，并附必要的记录和证明材料。</w:t>
      </w:r>
    </w:p>
    <w:p>
      <w:pPr>
        <w:spacing w:line="276" w:lineRule="auto"/>
        <w:jc w:val="left"/>
        <w:rPr>
          <w:rFonts w:asciiTheme="minorEastAsia" w:hAnsiTheme="minorEastAsia"/>
          <w:sz w:val="24"/>
        </w:rPr>
      </w:pPr>
      <w:r>
        <w:rPr>
          <w:rFonts w:hint="eastAsia" w:asciiTheme="minorEastAsia" w:hAnsiTheme="minorEastAsia" w:eastAsiaTheme="minorEastAsia"/>
          <w:sz w:val="24"/>
        </w:rPr>
        <w:t>（5） 承包人作为索赔方时，其索赔意向通知书、索赔报告及相关索赔文件应向工程师提出；发包人作为索赔方时，其索赔意向通知书、索赔报告及相关索赔文件可自行向承包人提出或由工程师向承包人提出。</w:t>
      </w:r>
    </w:p>
    <w:p>
      <w:pPr>
        <w:spacing w:line="276" w:lineRule="auto"/>
        <w:jc w:val="left"/>
        <w:rPr>
          <w:rFonts w:asciiTheme="minorEastAsia" w:hAnsiTheme="minorEastAsia"/>
          <w:sz w:val="24"/>
        </w:rPr>
      </w:pPr>
      <w:r>
        <w:rPr>
          <w:rFonts w:hint="eastAsia" w:asciiTheme="minorEastAsia" w:hAnsiTheme="minorEastAsia" w:eastAsiaTheme="minorEastAsia"/>
          <w:sz w:val="24"/>
        </w:rPr>
        <w:t>19.2 承包人索赔的处理程序</w:t>
      </w:r>
    </w:p>
    <w:p>
      <w:pPr>
        <w:spacing w:line="276" w:lineRule="auto"/>
        <w:jc w:val="left"/>
        <w:rPr>
          <w:rFonts w:asciiTheme="minorEastAsia" w:hAnsiTheme="minorEastAsia"/>
          <w:sz w:val="24"/>
        </w:rPr>
      </w:pPr>
      <w:r>
        <w:rPr>
          <w:rFonts w:hint="eastAsia" w:asciiTheme="minorEastAsia" w:hAnsiTheme="minorEastAsia" w:eastAsiaTheme="minorEastAsia"/>
          <w:sz w:val="24"/>
        </w:rPr>
        <w:t>（1） 工程师收到承包人提交的索赔报告后，应及时审查索赔报告的内容、查验承包人的记录和证明材料，必要时工程师可要求承包人提交全部原始记录副本。</w:t>
      </w:r>
    </w:p>
    <w:p>
      <w:pPr>
        <w:spacing w:line="276" w:lineRule="auto"/>
        <w:jc w:val="left"/>
        <w:rPr>
          <w:rFonts w:asciiTheme="minorEastAsia" w:hAnsiTheme="minorEastAsia"/>
          <w:sz w:val="24"/>
        </w:rPr>
      </w:pPr>
      <w:r>
        <w:rPr>
          <w:rFonts w:hint="eastAsia" w:asciiTheme="minorEastAsia" w:hAnsiTheme="minorEastAsia" w:eastAsiaTheme="minorEastAsia"/>
          <w:sz w:val="24"/>
        </w:rPr>
        <w:t>（2） 工程师应按第3.6款[商定或确定]商定或确定追加的付款和（或）延长的工期，并在收到上述索赔报告或有关索赔的进一步证明材料后及时书面告知发包人，并在42天内，将发包人书面认可的索赔处理结果答复承包人。工程师在收到索赔报告或有关索赔的进一步证明材料后的42天内不予答复的，视为认可索赔。</w:t>
      </w:r>
    </w:p>
    <w:p>
      <w:pPr>
        <w:spacing w:line="276" w:lineRule="auto"/>
        <w:jc w:val="left"/>
        <w:rPr>
          <w:rFonts w:asciiTheme="minorEastAsia" w:hAnsiTheme="minorEastAsia"/>
          <w:sz w:val="24"/>
        </w:rPr>
      </w:pPr>
      <w:r>
        <w:rPr>
          <w:rFonts w:hint="eastAsia" w:asciiTheme="minorEastAsia" w:hAnsiTheme="minorEastAsia" w:eastAsiaTheme="minorEastAsia"/>
          <w:sz w:val="24"/>
        </w:rPr>
        <w:t>（3） 承包人接受索赔处理结果的，发包人应在作出索赔处理结果答复后28天内完成支付。承包人不接受索赔处理结果的，按照第20条[争议解决]约定处理。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19.3 发包人索赔的处理程序</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承包人收到发包人提交的索赔报告后，应及时审查索赔报告的内容、查验发包人证明材料；</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承包人应在收到上述索赔报告或有关索赔的进一步证明材料后42天内，将索赔处理结果答复发包人。承包人在收到索赔通知书或有关索赔的进一步证明材料后的42天内不予答复的，视为认可索赔。</w:t>
      </w:r>
    </w:p>
    <w:p>
      <w:pPr>
        <w:spacing w:line="276" w:lineRule="auto"/>
        <w:jc w:val="left"/>
        <w:rPr>
          <w:rFonts w:asciiTheme="minorEastAsia" w:hAnsiTheme="minorEastAsia"/>
          <w:sz w:val="24"/>
        </w:rPr>
      </w:pPr>
      <w:r>
        <w:rPr>
          <w:rFonts w:hint="eastAsia" w:asciiTheme="minorEastAsia" w:hAnsiTheme="minorEastAsia" w:eastAsiaTheme="minorEastAsia"/>
          <w:sz w:val="24"/>
        </w:rPr>
        <w:t>（3） 发包人接受索赔处理结果的，发包人可从应支付给承包人的合同价款中扣除赔付的金额或延长缺陷责任期；发包人不接受索赔处理结果的，按第20条[争议解决]约定处理。</w:t>
      </w:r>
    </w:p>
    <w:p>
      <w:pPr>
        <w:spacing w:line="276" w:lineRule="auto"/>
        <w:jc w:val="left"/>
        <w:rPr>
          <w:rFonts w:asciiTheme="minorEastAsia" w:hAnsiTheme="minorEastAsia"/>
          <w:sz w:val="24"/>
        </w:rPr>
      </w:pPr>
      <w:r>
        <w:rPr>
          <w:rFonts w:hint="eastAsia" w:asciiTheme="minorEastAsia" w:hAnsiTheme="minorEastAsia" w:eastAsiaTheme="minorEastAsia"/>
          <w:sz w:val="24"/>
        </w:rPr>
        <w:t>19.4 提出索赔的期限</w:t>
      </w:r>
    </w:p>
    <w:p>
      <w:pPr>
        <w:spacing w:line="276" w:lineRule="auto"/>
        <w:jc w:val="left"/>
        <w:rPr>
          <w:rFonts w:asciiTheme="minorEastAsia" w:hAnsiTheme="minorEastAsia"/>
          <w:sz w:val="24"/>
        </w:rPr>
      </w:pPr>
      <w:r>
        <w:rPr>
          <w:rFonts w:hint="eastAsia" w:asciiTheme="minorEastAsia" w:hAnsiTheme="minorEastAsia" w:eastAsiaTheme="minorEastAsia"/>
          <w:sz w:val="24"/>
        </w:rPr>
        <w:t>（1） 承包人按第14.5款[竣工结算]约定接收竣工付款证书后，应被认为已无权再提出在合同工程接收证书颁发前所发生的任何索赔。</w:t>
      </w:r>
    </w:p>
    <w:p>
      <w:pPr>
        <w:spacing w:line="276" w:lineRule="auto"/>
        <w:jc w:val="left"/>
        <w:rPr>
          <w:rFonts w:asciiTheme="minorEastAsia" w:hAnsiTheme="minorEastAsia"/>
          <w:sz w:val="24"/>
        </w:rPr>
      </w:pPr>
      <w:r>
        <w:rPr>
          <w:rFonts w:hint="eastAsia" w:asciiTheme="minorEastAsia" w:hAnsiTheme="minorEastAsia" w:eastAsiaTheme="minorEastAsia"/>
          <w:sz w:val="24"/>
        </w:rPr>
        <w:t>（2） 承包人按第14.7款[最终结清]提交的最终结清申请单中，只限于提出工程接收证书颁发后发生的索赔。提出索赔的期限均自接受最终结清证书时终止。</w:t>
      </w:r>
    </w:p>
    <w:p>
      <w:pPr>
        <w:spacing w:line="276" w:lineRule="auto"/>
        <w:jc w:val="left"/>
        <w:rPr>
          <w:rFonts w:asciiTheme="minorEastAsia" w:hAnsiTheme="minorEastAsia"/>
          <w:b/>
          <w:sz w:val="24"/>
        </w:rPr>
      </w:pPr>
      <w:r>
        <w:rPr>
          <w:rFonts w:hint="eastAsia" w:asciiTheme="minorEastAsia" w:hAnsiTheme="minorEastAsia" w:eastAsiaTheme="minorEastAsia"/>
          <w:b/>
          <w:sz w:val="24"/>
        </w:rPr>
        <w:t xml:space="preserve">第20条 争议解决 </w:t>
      </w:r>
    </w:p>
    <w:p>
      <w:pPr>
        <w:spacing w:line="276" w:lineRule="auto"/>
        <w:jc w:val="left"/>
        <w:rPr>
          <w:rFonts w:asciiTheme="minorEastAsia" w:hAnsiTheme="minorEastAsia"/>
          <w:sz w:val="24"/>
        </w:rPr>
      </w:pPr>
      <w:r>
        <w:rPr>
          <w:rFonts w:hint="eastAsia" w:asciiTheme="minorEastAsia" w:hAnsiTheme="minorEastAsia" w:eastAsiaTheme="minorEastAsia"/>
          <w:sz w:val="24"/>
        </w:rPr>
        <w:t>20.1 和解</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合同当事人可以就争议自行和解，自行和解达成协议的经双方签字并盖章后作为合同补充文件，双方均应遵照执行。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20.2 调解 </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合同当事人可以就争议请求建设行政主管部门、行业协会或其他第三方进行调解，调解达成协议的，经双方签字盖章后作为合同补充文件，双方均应遵照执行。</w:t>
      </w:r>
    </w:p>
    <w:p>
      <w:pPr>
        <w:spacing w:line="276" w:lineRule="auto"/>
        <w:jc w:val="left"/>
        <w:rPr>
          <w:rFonts w:asciiTheme="minorEastAsia" w:hAnsiTheme="minorEastAsia"/>
          <w:sz w:val="24"/>
        </w:rPr>
      </w:pPr>
      <w:r>
        <w:rPr>
          <w:rFonts w:hint="eastAsia" w:asciiTheme="minorEastAsia" w:hAnsiTheme="minorEastAsia" w:eastAsiaTheme="minorEastAsia"/>
          <w:sz w:val="24"/>
        </w:rPr>
        <w:t>20.3 争议评审</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合同当事人在专用合同条件中约定采取争议评审方式及评审规则解决争议的，按下列约定执行：</w:t>
      </w:r>
    </w:p>
    <w:p>
      <w:pPr>
        <w:spacing w:line="276" w:lineRule="auto"/>
        <w:jc w:val="left"/>
        <w:rPr>
          <w:rFonts w:asciiTheme="minorEastAsia" w:hAnsiTheme="minorEastAsia"/>
          <w:sz w:val="24"/>
        </w:rPr>
      </w:pPr>
      <w:r>
        <w:rPr>
          <w:rFonts w:hint="eastAsia" w:asciiTheme="minorEastAsia" w:hAnsiTheme="minorEastAsia" w:eastAsiaTheme="minorEastAsia"/>
          <w:sz w:val="24"/>
        </w:rPr>
        <w:t>20.3.1 争议评审小组的确定</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可以共同选择一名或三名争议评审员，组成争议评审小组。如专用合同条件未对成员人数进行约定，则应由三名成员组成。除专用合同条件另有约定外，合同当事人应当自合同订立后28天内，或者争议发生后14天内，选定争议评审员。</w:t>
      </w:r>
    </w:p>
    <w:p>
      <w:pPr>
        <w:spacing w:line="276" w:lineRule="auto"/>
        <w:jc w:val="left"/>
        <w:rPr>
          <w:rFonts w:asciiTheme="minorEastAsia" w:hAnsiTheme="minorEastAsia"/>
          <w:sz w:val="24"/>
        </w:rPr>
      </w:pPr>
      <w:r>
        <w:rPr>
          <w:rFonts w:hint="eastAsia" w:asciiTheme="minorEastAsia" w:hAnsiTheme="minorEastAsia" w:eastAsiaTheme="minorEastAsia"/>
          <w:sz w:val="24"/>
        </w:rPr>
        <w:t>选择一名争议评审员的，由合同当事人共同确定；选择三名争议评审员的，各自选定一名，第三名成员由合同当事人共同确定或由合同当事人委托已选定的争议评审员共同确定，为首席争议评审员。争议评审员为一人且合同当事人未能达成一致的，或争议评审员为三人且合同当事人就首席争议评审员未能达成一致的，由专用合同条件约定的评审机构指定。</w:t>
      </w:r>
    </w:p>
    <w:p>
      <w:pPr>
        <w:spacing w:line="276" w:lineRule="auto"/>
        <w:jc w:val="left"/>
        <w:rPr>
          <w:rFonts w:asciiTheme="minorEastAsia" w:hAnsiTheme="minorEastAsia"/>
          <w:sz w:val="24"/>
        </w:rPr>
      </w:pPr>
      <w:r>
        <w:rPr>
          <w:rFonts w:hint="eastAsia" w:asciiTheme="minorEastAsia" w:hAnsiTheme="minorEastAsia" w:eastAsiaTheme="minorEastAsia"/>
          <w:sz w:val="24"/>
        </w:rPr>
        <w:t>除专用合同条件另有约定外，争议评审员报酬由发包人和承包人各承担一半。</w:t>
      </w:r>
    </w:p>
    <w:p>
      <w:pPr>
        <w:spacing w:line="276" w:lineRule="auto"/>
        <w:jc w:val="left"/>
        <w:rPr>
          <w:rFonts w:asciiTheme="minorEastAsia" w:hAnsiTheme="minorEastAsia"/>
          <w:sz w:val="24"/>
        </w:rPr>
      </w:pPr>
      <w:r>
        <w:rPr>
          <w:rFonts w:hint="eastAsia" w:asciiTheme="minorEastAsia" w:hAnsiTheme="minorEastAsia" w:eastAsiaTheme="minorEastAsia"/>
          <w:sz w:val="24"/>
        </w:rPr>
        <w:t>20.3.2 争议的避免</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合同当事人协商一致，可以共同书面请求争议评审小组，就合同履行过程中可能出现争议的情况提供协助或进行非正式讨论，争议评审小组应给出公正的意见或建议。</w:t>
      </w:r>
    </w:p>
    <w:p>
      <w:pPr>
        <w:spacing w:line="276" w:lineRule="auto"/>
        <w:jc w:val="left"/>
        <w:rPr>
          <w:rFonts w:asciiTheme="minorEastAsia" w:hAnsiTheme="minorEastAsia"/>
          <w:sz w:val="24"/>
        </w:rPr>
      </w:pPr>
      <w:r>
        <w:rPr>
          <w:rFonts w:hint="eastAsia" w:asciiTheme="minorEastAsia" w:hAnsiTheme="minorEastAsia" w:eastAsiaTheme="minorEastAsia"/>
          <w:sz w:val="24"/>
        </w:rPr>
        <w:t>此类协助或非正式讨论可在任何会议、施工现场视察或其他场合进行，并且除专用合同条件另有约定外，发包人和承包人均应出席。</w:t>
      </w:r>
    </w:p>
    <w:p>
      <w:pPr>
        <w:spacing w:line="276" w:lineRule="auto"/>
        <w:jc w:val="left"/>
        <w:rPr>
          <w:rFonts w:asciiTheme="minorEastAsia" w:hAnsiTheme="minorEastAsia"/>
          <w:sz w:val="24"/>
        </w:rPr>
      </w:pPr>
      <w:r>
        <w:rPr>
          <w:rFonts w:hint="eastAsia" w:asciiTheme="minorEastAsia" w:hAnsiTheme="minorEastAsia" w:eastAsiaTheme="minorEastAsia"/>
          <w:sz w:val="24"/>
        </w:rPr>
        <w:t>争议评审小组在此类非正式讨论上给出的任何意见或建议，无论是口头还是书面的，对发包人和承包人不具有约束力，争议评审小组在之后的争议评审程序或决定中也不受此类意见或建议的约束。</w:t>
      </w:r>
    </w:p>
    <w:p>
      <w:pPr>
        <w:spacing w:line="276" w:lineRule="auto"/>
        <w:jc w:val="left"/>
        <w:rPr>
          <w:rFonts w:asciiTheme="minorEastAsia" w:hAnsiTheme="minorEastAsia"/>
          <w:sz w:val="24"/>
        </w:rPr>
      </w:pPr>
      <w:r>
        <w:rPr>
          <w:rFonts w:hint="eastAsia" w:asciiTheme="minorEastAsia" w:hAnsiTheme="minorEastAsia" w:eastAsiaTheme="minorEastAsia"/>
          <w:sz w:val="24"/>
        </w:rPr>
        <w:t>20.3.3 争议评审小组的决定</w:t>
      </w:r>
    </w:p>
    <w:p>
      <w:pPr>
        <w:spacing w:line="276" w:lineRule="auto"/>
        <w:jc w:val="left"/>
        <w:rPr>
          <w:rFonts w:asciiTheme="minorEastAsia" w:hAnsiTheme="minorEastAsia"/>
          <w:sz w:val="24"/>
        </w:rPr>
      </w:pPr>
      <w:r>
        <w:rPr>
          <w:rFonts w:hint="eastAsia" w:asciiTheme="minorEastAsia" w:hAnsiTheme="minorEastAsia" w:eastAsiaTheme="minorEastAsia"/>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或争议评审小组建议并经双方同意的其他期限内作出书面决定，并说明理由。合同当事人可以在专用合同条件中对本项事项另行约定。</w:t>
      </w:r>
    </w:p>
    <w:p>
      <w:pPr>
        <w:spacing w:line="276" w:lineRule="auto"/>
        <w:jc w:val="left"/>
        <w:rPr>
          <w:rFonts w:asciiTheme="minorEastAsia" w:hAnsiTheme="minorEastAsia"/>
          <w:sz w:val="24"/>
        </w:rPr>
      </w:pPr>
      <w:r>
        <w:rPr>
          <w:rFonts w:hint="eastAsia" w:asciiTheme="minorEastAsia" w:hAnsiTheme="minorEastAsia" w:eastAsiaTheme="minorEastAsia"/>
          <w:sz w:val="24"/>
        </w:rPr>
        <w:t>20.3.4 争议评审小组决定的效力</w:t>
      </w:r>
    </w:p>
    <w:p>
      <w:pPr>
        <w:spacing w:line="276" w:lineRule="auto"/>
        <w:jc w:val="left"/>
        <w:rPr>
          <w:rFonts w:asciiTheme="minorEastAsia" w:hAnsiTheme="minorEastAsia"/>
          <w:sz w:val="24"/>
        </w:rPr>
      </w:pPr>
      <w:r>
        <w:rPr>
          <w:rFonts w:hint="eastAsia" w:asciiTheme="minorEastAsia" w:hAnsiTheme="minorEastAsia" w:eastAsiaTheme="minorEastAsia"/>
          <w:sz w:val="24"/>
        </w:rPr>
        <w:t>争议评审小组作出的书面决定经合同当事人签字确认后，对双方具有约束力，双方应遵照执行。</w:t>
      </w:r>
    </w:p>
    <w:p>
      <w:pPr>
        <w:spacing w:line="276" w:lineRule="auto"/>
        <w:jc w:val="left"/>
        <w:rPr>
          <w:rFonts w:asciiTheme="minorEastAsia" w:hAnsiTheme="minorEastAsia"/>
          <w:sz w:val="24"/>
        </w:rPr>
      </w:pPr>
      <w:r>
        <w:rPr>
          <w:rFonts w:hint="eastAsia" w:asciiTheme="minorEastAsia" w:hAnsiTheme="minorEastAsia" w:eastAsiaTheme="minorEastAsia"/>
          <w:sz w:val="24"/>
        </w:rPr>
        <w:t>任何一方当事人不接受争议评审小组决定或不履行争议评审小组决定的，双方可选择采用其他争议解决方式。</w:t>
      </w:r>
    </w:p>
    <w:p>
      <w:pPr>
        <w:spacing w:line="276" w:lineRule="auto"/>
        <w:jc w:val="left"/>
        <w:rPr>
          <w:rFonts w:asciiTheme="minorEastAsia" w:hAnsiTheme="minorEastAsia"/>
          <w:sz w:val="24"/>
        </w:rPr>
      </w:pPr>
      <w:r>
        <w:rPr>
          <w:rFonts w:hint="eastAsia" w:asciiTheme="minorEastAsia" w:hAnsiTheme="minorEastAsia" w:eastAsiaTheme="minorEastAsia"/>
          <w:sz w:val="24"/>
        </w:rPr>
        <w:t>任何一方当事人不接受争议评审小组的决定，并不影响暂时执行争议评审小组的决定，直到在后续的采用其他争议解决方式中对争议评审小组的决定进行了改变。</w:t>
      </w:r>
    </w:p>
    <w:p>
      <w:pPr>
        <w:spacing w:line="276" w:lineRule="auto"/>
        <w:jc w:val="left"/>
        <w:rPr>
          <w:rFonts w:asciiTheme="minorEastAsia" w:hAnsiTheme="minorEastAsia"/>
          <w:sz w:val="24"/>
        </w:rPr>
      </w:pPr>
      <w:r>
        <w:rPr>
          <w:rFonts w:hint="eastAsia" w:asciiTheme="minorEastAsia" w:hAnsiTheme="minorEastAsia" w:eastAsiaTheme="minorEastAsia"/>
          <w:sz w:val="24"/>
        </w:rPr>
        <w:t>20.4 仲裁或诉讼</w:t>
      </w:r>
    </w:p>
    <w:p>
      <w:pPr>
        <w:spacing w:line="276" w:lineRule="auto"/>
        <w:jc w:val="left"/>
        <w:rPr>
          <w:rFonts w:asciiTheme="minorEastAsia" w:hAnsiTheme="minorEastAsia"/>
          <w:sz w:val="24"/>
        </w:rPr>
      </w:pPr>
      <w:r>
        <w:rPr>
          <w:rFonts w:hint="eastAsia" w:asciiTheme="minorEastAsia" w:hAnsiTheme="minorEastAsia" w:eastAsiaTheme="minorEastAsia"/>
          <w:sz w:val="24"/>
        </w:rPr>
        <w:t>因合同及合同有关事项产生的争议，合同当事人可以在专用合同条件中约定以下一种方式解决争议：</w:t>
      </w:r>
    </w:p>
    <w:p>
      <w:pPr>
        <w:spacing w:line="276" w:lineRule="auto"/>
        <w:jc w:val="left"/>
        <w:rPr>
          <w:rFonts w:asciiTheme="minorEastAsia" w:hAnsiTheme="minorEastAsia"/>
          <w:sz w:val="24"/>
        </w:rPr>
      </w:pPr>
      <w:r>
        <w:rPr>
          <w:rFonts w:hint="eastAsia" w:asciiTheme="minorEastAsia" w:hAnsiTheme="minorEastAsia" w:eastAsiaTheme="minorEastAsia"/>
          <w:sz w:val="24"/>
        </w:rPr>
        <w:t>（1） 向约定的仲裁委员会申请仲裁；</w:t>
      </w:r>
    </w:p>
    <w:p>
      <w:pPr>
        <w:spacing w:line="276" w:lineRule="auto"/>
        <w:jc w:val="left"/>
        <w:rPr>
          <w:rFonts w:asciiTheme="minorEastAsia" w:hAnsiTheme="minorEastAsia"/>
          <w:sz w:val="24"/>
        </w:rPr>
      </w:pPr>
      <w:r>
        <w:rPr>
          <w:rFonts w:hint="eastAsia" w:asciiTheme="minorEastAsia" w:hAnsiTheme="minorEastAsia" w:eastAsiaTheme="minorEastAsia"/>
          <w:sz w:val="24"/>
        </w:rPr>
        <w:t>（2） 向有管辖权的人民法院起诉。</w:t>
      </w:r>
    </w:p>
    <w:p>
      <w:pPr>
        <w:spacing w:line="276" w:lineRule="auto"/>
        <w:jc w:val="left"/>
        <w:rPr>
          <w:rFonts w:asciiTheme="minorEastAsia" w:hAnsiTheme="minorEastAsia"/>
          <w:sz w:val="24"/>
        </w:rPr>
      </w:pPr>
      <w:r>
        <w:rPr>
          <w:rFonts w:hint="eastAsia" w:asciiTheme="minorEastAsia" w:hAnsiTheme="minorEastAsia" w:eastAsiaTheme="minorEastAsia"/>
          <w:sz w:val="24"/>
        </w:rPr>
        <w:t>20.5 争议解决条款效力</w:t>
      </w:r>
    </w:p>
    <w:p>
      <w:pPr>
        <w:spacing w:line="276" w:lineRule="auto"/>
        <w:jc w:val="left"/>
        <w:rPr>
          <w:rFonts w:asciiTheme="minorEastAsia" w:hAnsiTheme="minorEastAsia"/>
          <w:sz w:val="24"/>
        </w:rPr>
      </w:pPr>
      <w:r>
        <w:rPr>
          <w:rFonts w:hint="eastAsia" w:asciiTheme="minorEastAsia" w:hAnsiTheme="minorEastAsia" w:eastAsiaTheme="minorEastAsia"/>
          <w:sz w:val="24"/>
        </w:rPr>
        <w:t>合同有关争议解决的条款独立存在，合同的不生效、无效、被撤销或者终止的，不影响合同中有关争议解决条款的效力。</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p>
    <w:p>
      <w:pPr>
        <w:spacing w:line="276" w:lineRule="auto"/>
        <w:jc w:val="center"/>
        <w:rPr>
          <w:rFonts w:asciiTheme="minorEastAsia" w:hAnsiTheme="minorEastAsia"/>
          <w:b/>
          <w:sz w:val="24"/>
        </w:rPr>
      </w:pPr>
      <w:r>
        <w:rPr>
          <w:sz w:val="24"/>
        </w:rPr>
        <w:br w:type="page"/>
      </w:r>
    </w:p>
    <w:p>
      <w:pPr>
        <w:pStyle w:val="3"/>
        <w:spacing w:line="276" w:lineRule="auto"/>
        <w:jc w:val="center"/>
        <w:rPr>
          <w:rFonts w:asciiTheme="minorEastAsia" w:hAnsiTheme="minorEastAsia"/>
          <w:sz w:val="24"/>
          <w:szCs w:val="24"/>
        </w:rPr>
      </w:pPr>
      <w:r>
        <w:rPr>
          <w:rFonts w:hint="eastAsia" w:asciiTheme="minorEastAsia" w:hAnsiTheme="minorEastAsia" w:eastAsiaTheme="minorEastAsia"/>
          <w:sz w:val="24"/>
          <w:szCs w:val="24"/>
        </w:rPr>
        <w:t>第三部分   专用合同条件</w:t>
      </w:r>
    </w:p>
    <w:p>
      <w:pPr>
        <w:spacing w:line="276" w:lineRule="auto"/>
        <w:jc w:val="center"/>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b/>
          <w:sz w:val="24"/>
        </w:rPr>
        <w:t>第1条 一般约定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 词语定义和解释</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1.1.1 合同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1.1.1.10 其他合同文件：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1.1.3 工程和设备</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1.1.3.5 单位/区段工程的范围：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1.1.3.9 作为施工场所组成部分的其他场所包括：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1.1.3.10 永久占地包括：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1.1.3.11 临时占地包括：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1.2 语言文字</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本合同除使用汉语外，还使用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语言。</w:t>
      </w:r>
    </w:p>
    <w:p>
      <w:pPr>
        <w:spacing w:line="276" w:lineRule="auto"/>
        <w:jc w:val="left"/>
        <w:rPr>
          <w:rFonts w:asciiTheme="minorEastAsia" w:hAnsiTheme="minorEastAsia"/>
          <w:sz w:val="24"/>
        </w:rPr>
      </w:pPr>
      <w:r>
        <w:rPr>
          <w:rFonts w:hint="eastAsia" w:asciiTheme="minorEastAsia" w:hAnsiTheme="minorEastAsia" w:eastAsiaTheme="minorEastAsia"/>
          <w:sz w:val="24"/>
        </w:rPr>
        <w:t>1.3 法律</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适用于合同的其他规范性文件：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 标准和规范</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1.4.1 适用于本合同的标准、规范（名称）包括：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1.4.2 发包人提供的国外标准、规范的名称：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；发包人提供的国外标准、规范的份数：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；发包人提供的国外标准、规范的时间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1.4.3 没有成文规范、标准规定的约定：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1.4.4 发包人对于工程的技术标准、功能要求：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1.5 合同文件的优先顺序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合同文件组成及优先顺序为：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1.6 文件的提供和照管</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1.6.1 发包人文件的提供</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发包人文件的提供期限、名称、数量和形式：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1.6.2 承包人文件的提供</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承包人文件的内容、提供期限、名称、数量和形式：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1.6.4 文件的照管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关于现场文件准备的约定：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1.7 联络</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1.7.2 发包人指定的送达方式（包括电子传输方式）：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发包人的送达地址：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承包人指定的送达方式（包括电子传输方式）：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承包人的送达地址：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1.10 知识产权</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1.10.1 由发包人（或以发包人名义）编制的《发包人要求》和其他文件的著作权归属：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1.10.2 由承包人（或以承包人名义）为实施工程所编制的文件、承包人完成的设计工作成果和建造完成的建筑物的知识产权归属：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1.10.4 承包人在投标文件中采用的专利、专有技术、技术秘密的使用费的承担方式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1.11 保密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双方订立的商业保密协议（名称）：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，作为本合同附件。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双方订立的技术保密协议（名称）：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，作为本合同附件。</w:t>
      </w:r>
    </w:p>
    <w:p>
      <w:pPr>
        <w:spacing w:line="276" w:lineRule="auto"/>
        <w:jc w:val="left"/>
        <w:rPr>
          <w:rFonts w:asciiTheme="minorEastAsia" w:hAnsiTheme="minorEastAsia"/>
          <w:sz w:val="24"/>
        </w:rPr>
      </w:pPr>
      <w:r>
        <w:rPr>
          <w:rFonts w:hint="eastAsia" w:asciiTheme="minorEastAsia" w:hAnsiTheme="minorEastAsia" w:eastAsiaTheme="minorEastAsia"/>
          <w:sz w:val="24"/>
        </w:rPr>
        <w:t>1.13 责任限制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承包人对发包人赔偿责任的最高限额为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1.14 建筑信息模型技术的应用</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关于建筑信息模型技术的开发、使用、存储、传输、交付及费用约定如下：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第2条 发包人</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2.2 提供施工现场和工作条件</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2.2.1 提供施工现场</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关于发包人提供施工现场的范围和期限：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2.2.2 提供工作条件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关于发包人应负责提供的工作条件包括：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2.3 提供基础资料</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关于发包人应提供的基础资料的范围和期限：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2.5 支付合同价款</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2.5.2 发包人提供资金来源证明及资金安排的期限要求：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2.5.3 发包人提供支付担保的形式、期限、金额（或比例）：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2.7 其他义务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发包人应履行的其他义务：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第3条 发包人的管理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3.1 发包人代表</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发包人代表的姓名：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发包人代表的身份证号：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发包人代表的职务：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发包人代表的联系电话：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发包人代表的电子邮箱：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发包人代表的通信地址：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发包人对发包人代表的授权范围如下：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发包人代表的职责：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3.2 发包人人员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发包人人员姓名：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发包人人员职务：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发包人人员职责：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3.3 工程师</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3.3.1 工程师名称：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；工程师监督管理范围、内容：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；工程师权限：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3.6 商定或确定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3.6.2 关于商定时间限制的具体约定：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3.6.3 关于商定或确定效力的具体约定：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；关于对工程师的确定提出异议的具体约定：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3.7 会议</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3.7.1 关于召开会议的具体约定：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3.7.2 关于保存和提供会议纪要的具体约定：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第4条 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4.1 承包人的一般义务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承包人应履行的其他义务：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4.2 履约担保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承包人是否提供履约担保：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履约担保的方式、金额及期限: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4.3 工程总承包项目经理</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4.3.1 工程总承包项目经理姓名：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执业资格或职称类型：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执业资格证或职称证号码：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联系电话：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电子邮箱：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通信地址：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承包人未提交劳动合同，以及没有为工程总承包项目经理缴纳社会保险证明的违约责任：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4.3.2 工程总承包项目经理每月在现场的时间要求：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工程总承包项目经理未经批准擅自离开施工现场的违约责任：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4.3.3 承包人对工程总承包项目经理的授权范围: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4.3.4 承包人擅自更换工程总承包项目经理的违约责任：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4.3.5 承包人无正当理由拒绝更换工程总承包项目经理的违约责任: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4.4 承包人人员</w:t>
      </w:r>
    </w:p>
    <w:p>
      <w:pPr>
        <w:spacing w:line="276" w:lineRule="auto"/>
        <w:jc w:val="left"/>
        <w:rPr>
          <w:rFonts w:asciiTheme="minorEastAsia" w:hAnsiTheme="minorEastAsia"/>
          <w:sz w:val="24"/>
        </w:rPr>
      </w:pPr>
      <w:r>
        <w:rPr>
          <w:rFonts w:hint="eastAsia" w:asciiTheme="minorEastAsia" w:hAnsiTheme="minorEastAsia" w:eastAsiaTheme="minorEastAsia"/>
          <w:sz w:val="24"/>
        </w:rPr>
        <w:t>4.4.1 人员安排</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承包人提交项目管理机构及施工现场人员安排的报告的期限：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承包人提交关键人员信息及注册执业资格等证明其具备担任关键人员能力的相关文件的期限：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4.4.2 关键人员更换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承包人擅自更换关键人员的违约责任：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承包人无正当理由拒绝撤换关键人员的违约责任：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4.4.3 现场管理关键人员在岗要求</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承包人现场管理关键人员离开施工现场的批准要求：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承包人现场管理关键人员擅自离开施工现场的违约责任：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4.5 分包</w:t>
      </w:r>
    </w:p>
    <w:p>
      <w:pPr>
        <w:spacing w:line="276" w:lineRule="auto"/>
        <w:jc w:val="left"/>
        <w:rPr>
          <w:rFonts w:asciiTheme="minorEastAsia" w:hAnsiTheme="minorEastAsia"/>
          <w:sz w:val="24"/>
        </w:rPr>
      </w:pPr>
      <w:r>
        <w:rPr>
          <w:rFonts w:hint="eastAsia" w:asciiTheme="minorEastAsia" w:hAnsiTheme="minorEastAsia" w:eastAsiaTheme="minorEastAsia"/>
          <w:sz w:val="24"/>
        </w:rPr>
        <w:t>4.5.1 一般约定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禁止分包的工程包括：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4.5.2 分包的确定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允许分包的工程包括：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其他关于分包的约定：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4.5.5 分包合同价款支付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关于分包合同价款支付的约定：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4.6 联合体</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4.6.2 联合体各成员的分工、费用收取、发票开具等事项：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4.7 承包人现场查勘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4.7.1 双方当事人对现场查勘的责任承担的约定：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4.8 不可预见的困难</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不可预见的困难包括：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第5条 设计</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5.2 承包人文件审查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5.2.1 承包人文件审查的期限：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5.2.2 审查会议的审查形式和时间安排为：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，审查会议的相关费用由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承担。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5.2.3 关于第三方审查单位的约定：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5.3 培训</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培训的时长为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，承包人应为培训提供的人员、设施和其它必要条件为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5.4 竣工文件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5.4.1 竣工文件的形式、提供的份数、技术标准以及其它相关要求：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5.4.3 关于竣工文件的其他约定：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5.5 操作和维修手册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5.5.3 对最终操作和维修手册的约定：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第6条 材料、工程设备</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6.1 实施方法</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双方当事人约定的实施方法、设备、设施和材料：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6.2 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6.2.1 发包人提供的材料和工程设备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发包人提供的材料和工程设备验收后，由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负责接收、运输和保管。</w:t>
      </w:r>
    </w:p>
    <w:p>
      <w:pPr>
        <w:spacing w:line="276" w:lineRule="auto"/>
        <w:jc w:val="left"/>
        <w:rPr>
          <w:rFonts w:asciiTheme="minorEastAsia" w:hAnsiTheme="minorEastAsia"/>
          <w:sz w:val="24"/>
        </w:rPr>
      </w:pPr>
      <w:r>
        <w:rPr>
          <w:rFonts w:hint="eastAsia" w:asciiTheme="minorEastAsia" w:hAnsiTheme="minorEastAsia" w:eastAsiaTheme="minorEastAsia"/>
          <w:sz w:val="24"/>
        </w:rPr>
        <w:t>6.2.2 承包人提供的材料和工程设备</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材料和工程设备的类别、估算数量：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竣工后试验的生产性材料的类别或（和）清单：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6.2.3 材料和工程设备的保管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发包人供应的材料和工程设备的保管费用由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承包人提交保管、维护方案的时间：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承担。</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发包人提供的库房、堆场、设施和设备：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6.3 样品</w:t>
      </w:r>
    </w:p>
    <w:p>
      <w:pPr>
        <w:spacing w:line="276" w:lineRule="auto"/>
        <w:jc w:val="left"/>
        <w:rPr>
          <w:rFonts w:asciiTheme="minorEastAsia" w:hAnsiTheme="minorEastAsia"/>
          <w:sz w:val="24"/>
        </w:rPr>
      </w:pPr>
      <w:r>
        <w:rPr>
          <w:rFonts w:hint="eastAsia" w:asciiTheme="minorEastAsia" w:hAnsiTheme="minorEastAsia" w:eastAsiaTheme="minorEastAsia"/>
          <w:sz w:val="24"/>
        </w:rPr>
        <w:t>6.3.1 样品的报送与封存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需要承包人报送样品的材料或工程设备，样品种类、名称、规格、数量：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6.4 质量检查</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6.4.1 工程质量要求</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工程质量的特殊标准或要求：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6.4.2 质量检查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除通用合同条件已列明的质量检查的地点外，发包人有权进行质量检查的其他地点：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6.4.3 隐蔽工程检查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关于隐蔽工程和中间验收的特别约定：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6.5 由承包人试验和检验</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6.5.1 试验设备与试验人员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试验的内容、时间和地点：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试验所需要的试验设备、取样装置、试验场所和试验条件：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试验和检验费用的计价原则：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第7条 施工</w:t>
      </w:r>
    </w:p>
    <w:p>
      <w:pPr>
        <w:spacing w:line="276" w:lineRule="auto"/>
        <w:jc w:val="left"/>
        <w:rPr>
          <w:rFonts w:asciiTheme="minorEastAsia" w:hAnsiTheme="minorEastAsia"/>
          <w:sz w:val="24"/>
        </w:rPr>
      </w:pPr>
      <w:r>
        <w:rPr>
          <w:rFonts w:hint="eastAsia" w:asciiTheme="minorEastAsia" w:hAnsiTheme="minorEastAsia" w:eastAsiaTheme="minorEastAsia"/>
          <w:sz w:val="24"/>
        </w:rPr>
        <w:t>7.1 交通运输</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7.1.1 出入现场的权利</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关于出入现场的权利的约定：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7.1.2 场外交通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关于场外交通的特别约定：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7.1.3 场内交通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关于场内交通的特别约定：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关于场内交通与场外交通边界的约定：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7.1.4 超大件和超重件的运输</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运输超大件或超重件所需的道路和桥梁临时加固改造费用和其他有关费用由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承担。</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7.2 施工设备和临时设施</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7.2.1 承包人提供的施工设备和临时设施</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临时设施的费用和临时占地手续和费用承担的特别约定：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7.2.2 发包人提供的施工设备和临时设施</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发包人提供的施工设备或临时设施范围：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7.3 现场合作</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关于现场合作费用的特别约定：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7.4 测量放线</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7.4.1 关于测量放线的特别约定的技术规范：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。施工控制网资料的告知期限：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7.5 现场劳动用工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7.5.2 合同当事人对建筑工人工资清偿事宜和违约责任的约定：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7.6 安全文明施工</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7.6.1 安全生产要求</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合同当事人对安全施工的要求：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7.6.3 文明施工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合同当事人对文明施工的要求：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7.9 临时性公用设施</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关于临时性公用设施的特别约定：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7.10 现场安保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承包人现场安保义务的特别约定：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第8条 工期和进度</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8.1 开始工作</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8.1.1 开始准备工作：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8.1.2 发包人可在计划开始工作之日起84日后发出开始工作通知的特殊情形：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8.2 竣工日期</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竣工日期的约定：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8.3 项目实施计划</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8.3.1 项目实施计划的内容</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项目实施计划的内容：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8.3.2 项目实施计划的提交和修改</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项目实施计划的提交及修改期限：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8.4 项目进度计划</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8.4.1 工程师在收到进度计划后确认或提出修改意见的期限：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8.4.2 进度计划的具体要求：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关键路径及关键路径变化的确定原则：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承包人提交项目进度计划的份数和时间：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8.4.3 进度计划的修订</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承包人提交修订项目进度计划申请报告的期限：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发包人批复修订项目进度计划申请报告的期限：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承包人答复发包人提出修订合同计划的期限：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8.5 进度报告</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进度报告的具体要求：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8.7 工期延误</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8.7.2 因承包人原因导致工期延误</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因承包人原因使竣工日期延误，每延误1日的误期赔偿金额为合同协议书的合同价格的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%或人民币金额为：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、累计最高赔偿金额为合同协议书的合同价格的：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%或人民币金额为：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8.7.3 行政审批迟延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行政审批报送的职责分工：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8.7.4 异常恶劣的气候条件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双方约定视为异常恶劣的气候条件的情形：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230" w:firstLineChars="96"/>
        <w:jc w:val="left"/>
        <w:rPr>
          <w:rFonts w:asciiTheme="minorEastAsia" w:hAnsiTheme="minorEastAsia"/>
          <w:sz w:val="24"/>
        </w:rPr>
      </w:pPr>
      <w:r>
        <w:rPr>
          <w:rFonts w:hint="eastAsia" w:asciiTheme="minorEastAsia" w:hAnsiTheme="minorEastAsia" w:eastAsiaTheme="minorEastAsia"/>
          <w:sz w:val="24"/>
        </w:rPr>
        <w:t xml:space="preserve"> 8.8 工期提前</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8.8.2 承包人提前竣工的奖励：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第9条 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9.1 竣工试验的义务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9.1.3 竣工试验的阶段、内容和顺序：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竣工试验的操作要求：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第10条 验收和工程接收</w:t>
      </w:r>
    </w:p>
    <w:p>
      <w:pPr>
        <w:spacing w:line="276" w:lineRule="auto"/>
        <w:jc w:val="left"/>
        <w:rPr>
          <w:rFonts w:asciiTheme="minorEastAsia" w:hAnsiTheme="minorEastAsia"/>
          <w:sz w:val="24"/>
        </w:rPr>
      </w:pPr>
      <w:r>
        <w:rPr>
          <w:rFonts w:hint="eastAsia" w:asciiTheme="minorEastAsia" w:hAnsiTheme="minorEastAsia" w:eastAsiaTheme="minorEastAsia"/>
          <w:sz w:val="24"/>
        </w:rPr>
        <w:t>10.1 竣工验收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10.1.2 关于竣工验收程序的约定：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发包人不按照合同约定组织竣工验收、颁发工程接受证书的违约金的计算方式：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10.3工程的接收</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10.3.1工程接收的先后顺序、时间安排和其他要求：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10.3.2 接受工程时承包人需提交竣工验收资料的类别、内容、份数和提交时间：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10.3.3 发包人逾期接收工程的违约责任：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10.3.4 承包人无正当理由不移交工程的违约责任：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10.4 接收证书</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10.4.1 工程接收证书颁发时间：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10.5 竣工退场</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10.5.1 竣工退场的相关约定：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10.5.3人员撤离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工程师同意需在缺陷责任期内继续工作和使用的人员、施工设备和临时工程的内容：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第11条 缺陷责任与保修</w:t>
      </w:r>
    </w:p>
    <w:p>
      <w:pPr>
        <w:spacing w:line="276" w:lineRule="auto"/>
        <w:jc w:val="left"/>
        <w:rPr>
          <w:rFonts w:asciiTheme="minorEastAsia" w:hAnsiTheme="minorEastAsia"/>
          <w:sz w:val="24"/>
        </w:rPr>
      </w:pPr>
      <w:r>
        <w:rPr>
          <w:rFonts w:hint="eastAsia" w:asciiTheme="minorEastAsia" w:hAnsiTheme="minorEastAsia" w:eastAsiaTheme="minorEastAsia"/>
          <w:sz w:val="24"/>
        </w:rPr>
        <w:t>11.2 缺陷责任期</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缺陷责任期的期限：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11.3 缺陷调查</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11.3.4 修复通知：</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承包人收到保修通知并到达工程现场的合理时间：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11.6 缺陷责任期终止证书</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承包人应于缺陷责任期届满后：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天内向发包人发出缺陷责任期届满通知，发包人应在收到缺陷责任期满通知后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天内核实承包人是否履行缺陷修复义务，承包人未能履行缺陷修复义务的，发包人有权扣除相应金额的维修费用。发包人应在收到缺陷责任期届满通知后 天内，向承包人颁发缺陷责任期终止证书。</w:t>
      </w:r>
    </w:p>
    <w:p>
      <w:pPr>
        <w:spacing w:line="276" w:lineRule="auto"/>
        <w:jc w:val="left"/>
        <w:rPr>
          <w:rFonts w:asciiTheme="minorEastAsia" w:hAnsiTheme="minorEastAsia"/>
          <w:sz w:val="24"/>
        </w:rPr>
      </w:pPr>
      <w:r>
        <w:rPr>
          <w:rFonts w:hint="eastAsia" w:asciiTheme="minorEastAsia" w:hAnsiTheme="minorEastAsia" w:eastAsiaTheme="minorEastAsia"/>
          <w:sz w:val="24"/>
        </w:rPr>
        <w:t>11.7 保修责任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工程质量保修范围、期限和责任为：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第12条 竣工后试验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本合同工程是否包含竣工后试验：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12.1 竣工后试验的程序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12.1.2 竣工后试验全部电力、水、污水处理、燃料、消耗品和材料，以及全部其他仪器、协助、文件或其他信息、设备、工具、劳力，启动工程设备，并组织安排有适当资质、经验和能力的工作人员等必要条件的提供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第13条 变更与调整</w:t>
      </w:r>
    </w:p>
    <w:p>
      <w:pPr>
        <w:spacing w:line="276" w:lineRule="auto"/>
        <w:jc w:val="left"/>
        <w:rPr>
          <w:rFonts w:asciiTheme="minorEastAsia" w:hAnsiTheme="minorEastAsia"/>
          <w:sz w:val="24"/>
        </w:rPr>
      </w:pPr>
      <w:r>
        <w:rPr>
          <w:rFonts w:hint="eastAsia" w:asciiTheme="minorEastAsia" w:hAnsiTheme="minorEastAsia" w:eastAsiaTheme="minorEastAsia"/>
          <w:sz w:val="24"/>
        </w:rPr>
        <w:t>13.2 承包人的合理化建议</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13.2.2 工程师应在收到承包人提交的合理化建议后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日内审查完毕并报送发包人，发现其中存在技术上的缺陷，应通知承包人修改。发包人应在收到工程师报送的合理化建议后 日内审批完毕。合理化建议经发包人批准的，工程师应及时发出变更指示，由此引起的合同价格调整按照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执行。发包人不同意变更的，工程师应书面通知承包人。</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13.2.3 承包人提出的合理化变更建议的利益分享约定：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13.3 变更程序</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13.3.3 变更估价</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13.3.3.1 变更估价原则</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关于变更估价原则的约定：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13.4 暂估价</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13.4.1 依法必须招标的暂估价项目</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承包人可以参与投标的暂估价项目范围：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承包人不得参与投标的暂估价项目范围：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招投标程序及其他约定： </w:t>
      </w:r>
      <w:r>
        <w:rPr>
          <w:rFonts w:hint="eastAsia" w:asciiTheme="minorEastAsia" w:hAnsiTheme="minorEastAsia" w:eastAsiaTheme="minorEastAsia"/>
          <w:b/>
          <w:sz w:val="24"/>
          <w:u w:val="single"/>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13.4.2 不属于依法必须招标的暂估价项目</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不属于依法必须招标的暂估价项目的协商及估价的约定：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13.5 暂列金额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其他关于暂列金额使用的约定：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13.8 市场价格波动引起的调整</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13.8.2 关于是否采用《价格指数权重表》的约定：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13.8.3 关于采用其他方式调整合同价款的约定： </w:t>
      </w:r>
      <w:r>
        <w:rPr>
          <w:rFonts w:hint="eastAsia" w:asciiTheme="minorEastAsia" w:hAnsiTheme="minorEastAsia" w:eastAsiaTheme="minorEastAsia"/>
          <w:b/>
          <w:sz w:val="24"/>
          <w:u w:val="single"/>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第14条 合同价格与支付</w:t>
      </w:r>
    </w:p>
    <w:p>
      <w:pPr>
        <w:spacing w:line="276" w:lineRule="auto"/>
        <w:jc w:val="left"/>
        <w:rPr>
          <w:rFonts w:asciiTheme="minorEastAsia" w:hAnsiTheme="minorEastAsia"/>
          <w:sz w:val="24"/>
        </w:rPr>
      </w:pPr>
      <w:r>
        <w:rPr>
          <w:rFonts w:hint="eastAsia" w:asciiTheme="minorEastAsia" w:hAnsiTheme="minorEastAsia" w:eastAsiaTheme="minorEastAsia"/>
          <w:sz w:val="24"/>
        </w:rPr>
        <w:t>14.1 合同价格形式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14.1.1 关于合同价格形式的约定：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14.1.2 关于合同价格调整的约定：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14.1.3 按实际完成的工程量支付工程价款的计量方法、估价方法：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14.2 预付款</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14.2.1 预付款支付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预付款的金额或比例为：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预付款支付期限：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预付款扣回的方式：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14.2.2预付款担保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提供预付款担保期限：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预付款担保形式：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14.3 工程进度款</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14.3.1 工程进度付款申请</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工程进度付款申请方式：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承包人提交进度付款申请单的格式、内容、份数和时间：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进度付款申请单应包括的内容：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14.3.2 进度付款审核和支付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进度付款的审核方式和支付的约定：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发包人应在进度款支付证书或临时进度款支付证书签发后的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天内完成支付，发包人逾期支付进度款的，应按照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支付违约金。</w:t>
      </w:r>
    </w:p>
    <w:p>
      <w:pPr>
        <w:spacing w:line="276" w:lineRule="auto"/>
        <w:jc w:val="left"/>
        <w:rPr>
          <w:rFonts w:asciiTheme="minorEastAsia" w:hAnsiTheme="minorEastAsia"/>
          <w:sz w:val="24"/>
        </w:rPr>
      </w:pPr>
      <w:r>
        <w:rPr>
          <w:rFonts w:hint="eastAsia" w:asciiTheme="minorEastAsia" w:hAnsiTheme="minorEastAsia" w:eastAsiaTheme="minorEastAsia"/>
          <w:sz w:val="24"/>
        </w:rPr>
        <w:t>14.4 付款计划表</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14.4.1 付款计划表的编制要求：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14.4.2 付款计划表的编制与审批</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付款计划表的编制：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14.5 竣工结算</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14.5.1 竣工结算申请</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承包人提交竣工结算申请的时间：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竣工结算申请的资料清单和份数：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竣工结算申请单的内容应包括：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14.5.2 竣工结算审核</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发包人审批竣工付款申请单的期限：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发包人完成竣工付款的期限：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关于竣工付款证书异议部分复核的方式和程序： </w:t>
      </w:r>
      <w:r>
        <w:rPr>
          <w:rFonts w:hint="eastAsia" w:asciiTheme="minorEastAsia" w:hAnsiTheme="minorEastAsia" w:eastAsiaTheme="minorEastAsia"/>
          <w:b/>
          <w:sz w:val="24"/>
          <w:u w:val="single"/>
        </w:rPr>
        <w:t xml:space="preserve">    承包人报送的工程竣工结算由发包人委托的审计单位审核,审减率超过承包人报审金额的5％时,超过5%的审减金额的审减效益收费由承包人承担(审增不抵销审减), 审减效益收费标准按照四川省川价发【2008】141号文件最高限费率执行（既5％）费率执行,审增部分本着谁收益谁付费的原则，由承包人承担，审增部分的收费费率同审减效益收费费率，以审增金额为基数计算。按照合同关系,审减效益收费和审增收费均由承包人直接支付给审计单位，付清该款项后才能与发包人办理财务结算并支付工程款。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14.6 质量保证金</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14.6.1 承包人提供质量保证金的方式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质量保证金采用以下第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种方式：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 工程质量保证担保，保证金额为：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(2)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%的工程款；</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(3) 其他方式：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14.6.2 质量保证金的预留</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质量保证金的预留采取以下第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种方式：</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 在支付工程进度款时逐次预留的质量保证金的比例：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，在此情形下，质量保证金的计算基数不包括预付款的支付、扣回以及价格调整的金额；</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 工程竣工结算时一次性预留专用合同条件第14.6.1项第(2)目约定的工程款预留比例的质量保证金；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(3) 其他预留方式: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关于质量保证金的补充约定: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14.7 最终结清</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14.7.1 最终结清申请单</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当事人双方关于最终结清申请的其他约定：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14.7.2 最终结清证书和支付</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当事人双方关于最终结清支付的其他约定：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第15条 违约</w:t>
      </w:r>
    </w:p>
    <w:p>
      <w:pPr>
        <w:spacing w:line="276" w:lineRule="auto"/>
        <w:jc w:val="left"/>
        <w:rPr>
          <w:rFonts w:asciiTheme="minorEastAsia" w:hAnsiTheme="minorEastAsia"/>
          <w:sz w:val="24"/>
        </w:rPr>
      </w:pPr>
      <w:r>
        <w:rPr>
          <w:rFonts w:hint="eastAsia" w:asciiTheme="minorEastAsia" w:hAnsiTheme="minorEastAsia" w:eastAsiaTheme="minorEastAsia"/>
          <w:sz w:val="24"/>
        </w:rPr>
        <w:t>15.1 发包人违约</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15.1.1 发包人违约的情形</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发包人违约的其他情形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15.1.3 发包人违约的责任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发包人违约责任的承担方式和计算方法：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15.2 承包人违约</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15.2.1 承包人违约的情形</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承包人违约的其他情形：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15.2.2 通知改正</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工程师通知承包人改正的合理期限是：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15.2.3 承包人违约的责任</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承包人违约责任的承担方式和计算方法：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第16条 合同解除</w:t>
      </w:r>
    </w:p>
    <w:p>
      <w:pPr>
        <w:spacing w:line="276" w:lineRule="auto"/>
        <w:jc w:val="left"/>
        <w:rPr>
          <w:rFonts w:asciiTheme="minorEastAsia" w:hAnsiTheme="minorEastAsia"/>
          <w:sz w:val="24"/>
        </w:rPr>
      </w:pPr>
      <w:r>
        <w:rPr>
          <w:rFonts w:hint="eastAsia" w:asciiTheme="minorEastAsia" w:hAnsiTheme="minorEastAsia" w:eastAsiaTheme="minorEastAsia"/>
          <w:sz w:val="24"/>
        </w:rPr>
        <w:t>16.1 由发包人解除合同</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16.1.1 因承包人违约解除合同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双方约定可由发包人解除合同的其他事由：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16.2 由承包人解除合同</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16.2.1 因发包人违约解除合同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双方约定可由承包人解除合同的其他事由：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第17条 不可抗力</w:t>
      </w:r>
    </w:p>
    <w:p>
      <w:pPr>
        <w:spacing w:line="276" w:lineRule="auto"/>
        <w:jc w:val="left"/>
        <w:rPr>
          <w:rFonts w:asciiTheme="minorEastAsia" w:hAnsiTheme="minorEastAsia"/>
          <w:sz w:val="24"/>
        </w:rPr>
      </w:pPr>
      <w:r>
        <w:rPr>
          <w:rFonts w:hint="eastAsia" w:asciiTheme="minorEastAsia" w:hAnsiTheme="minorEastAsia" w:eastAsiaTheme="minorEastAsia"/>
          <w:sz w:val="24"/>
        </w:rPr>
        <w:t>17.1 不可抗力的定义</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除通用合同条件约定的不可抗力事件之外，视为不可抗力的其他情形：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17.6 因不可抗力解除合同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合同解除后，发包人应当在商定或确定发包人应支付款项后的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天内完成款项的支付。</w:t>
      </w:r>
    </w:p>
    <w:p>
      <w:pPr>
        <w:spacing w:line="276" w:lineRule="auto"/>
        <w:jc w:val="left"/>
        <w:rPr>
          <w:rFonts w:asciiTheme="minorEastAsia" w:hAnsiTheme="minorEastAsia"/>
          <w:sz w:val="24"/>
        </w:rPr>
      </w:pPr>
      <w:r>
        <w:rPr>
          <w:rFonts w:hint="eastAsia" w:asciiTheme="minorEastAsia" w:hAnsiTheme="minorEastAsia" w:eastAsiaTheme="minorEastAsia"/>
          <w:b/>
          <w:sz w:val="24"/>
        </w:rPr>
        <w:t>第18条 保险</w:t>
      </w:r>
    </w:p>
    <w:p>
      <w:pPr>
        <w:spacing w:line="276" w:lineRule="auto"/>
        <w:jc w:val="left"/>
        <w:rPr>
          <w:rFonts w:asciiTheme="minorEastAsia" w:hAnsiTheme="minorEastAsia"/>
          <w:sz w:val="24"/>
        </w:rPr>
      </w:pPr>
      <w:r>
        <w:rPr>
          <w:rFonts w:hint="eastAsia" w:asciiTheme="minorEastAsia" w:hAnsiTheme="minorEastAsia" w:eastAsiaTheme="minorEastAsia"/>
          <w:sz w:val="24"/>
        </w:rPr>
        <w:t>18.1 设计和工程保险</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18.1.1 双方当事人关于设计和工程保险的特别约定：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18.1.2 双方当事人关于第三方责任险的特别约定：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18.2 工伤和意外伤害保险</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18.2.3 关于工伤保险和意外伤害保险的特别约定：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18.3 货物保险</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关于承包人应为其施工设备、材料、工程设备和临时工程等办理财产保险的特别约定：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18.4 其他保险</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关于其他保险的约定：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18.5 对各项保险的一般要求</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18.5.2 保险凭证</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保险单的条件：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18.5.4 通知义务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关于变更保险合同时的通知义务的约定：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b/>
          <w:sz w:val="24"/>
        </w:rPr>
        <w:t>第20条 争议解决</w:t>
      </w:r>
    </w:p>
    <w:p>
      <w:pPr>
        <w:spacing w:line="276" w:lineRule="auto"/>
        <w:jc w:val="left"/>
        <w:rPr>
          <w:rFonts w:asciiTheme="minorEastAsia" w:hAnsiTheme="minorEastAsia"/>
          <w:sz w:val="24"/>
        </w:rPr>
      </w:pPr>
      <w:r>
        <w:rPr>
          <w:rFonts w:hint="eastAsia" w:asciiTheme="minorEastAsia" w:hAnsiTheme="minorEastAsia" w:eastAsiaTheme="minorEastAsia"/>
          <w:sz w:val="24"/>
        </w:rPr>
        <w:t>20.3 争议评审</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合同当事人是否同意将工程争议提交争议评审小组决定：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20.3.1 争议评审小组的确定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争议评审小组成员的人数：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争议评审小组成员的确定：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选定争议避免/评审组的期限：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评审机构：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其他事项的约定：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争议评审员报酬的承担人：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20.3.2 争议的避免</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发包人和承包人是否均出席争议避免的非正式讨论：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20.3.3 争议评审小组的决定</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关于争议评审小组的决定的特别约定：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r>
        <w:rPr>
          <w:rFonts w:hint="eastAsia" w:asciiTheme="minorEastAsia" w:hAnsiTheme="minorEastAsia" w:eastAsiaTheme="minorEastAsia"/>
          <w:sz w:val="24"/>
        </w:rPr>
        <w:t>20.4 仲裁或诉讼</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因合同及合同有关事项发生的争议，按下列第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种方式解决：</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（1）向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仲裁委员会申请仲裁；</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（2）向 </w:t>
      </w:r>
      <w:r>
        <w:rPr>
          <w:rFonts w:hint="eastAsia" w:asciiTheme="minorEastAsia" w:hAnsiTheme="minorEastAsia" w:eastAsiaTheme="minorEastAsia"/>
          <w:b/>
          <w:sz w:val="24"/>
          <w:u w:val="single"/>
        </w:rPr>
        <w:t xml:space="preserve">        </w:t>
      </w:r>
      <w:r>
        <w:rPr>
          <w:rFonts w:hint="eastAsia" w:asciiTheme="minorEastAsia" w:hAnsiTheme="minorEastAsia" w:eastAsiaTheme="minorEastAsia"/>
          <w:sz w:val="24"/>
        </w:rPr>
        <w:t xml:space="preserve"> 人民法院起诉。</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其他补充内容：</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jc w:val="left"/>
        <w:rPr>
          <w:rFonts w:asciiTheme="minorEastAsia" w:hAnsiTheme="minorEastAsia"/>
          <w:sz w:val="24"/>
        </w:rPr>
      </w:pPr>
    </w:p>
    <w:p>
      <w:pPr>
        <w:spacing w:line="276" w:lineRule="auto"/>
        <w:jc w:val="center"/>
        <w:rPr>
          <w:rFonts w:asciiTheme="minorEastAsia" w:hAnsiTheme="minorEastAsia"/>
          <w:b/>
          <w:sz w:val="24"/>
        </w:rPr>
      </w:pPr>
      <w:r>
        <w:rPr>
          <w:sz w:val="24"/>
        </w:rPr>
        <w:br w:type="page"/>
      </w:r>
    </w:p>
    <w:p>
      <w:pPr>
        <w:spacing w:line="276" w:lineRule="auto"/>
        <w:jc w:val="left"/>
        <w:rPr>
          <w:rFonts w:asciiTheme="minorEastAsia" w:hAnsiTheme="minorEastAsia" w:eastAsiaTheme="minorEastAsia"/>
          <w:b/>
          <w:sz w:val="24"/>
        </w:rPr>
      </w:pPr>
      <w:r>
        <w:rPr>
          <w:rFonts w:hint="eastAsia" w:asciiTheme="minorEastAsia" w:hAnsiTheme="minorEastAsia" w:eastAsiaTheme="minorEastAsia"/>
          <w:b/>
          <w:sz w:val="24"/>
        </w:rPr>
        <w:t>专用合同条件附件</w:t>
      </w:r>
    </w:p>
    <w:p>
      <w:pPr>
        <w:spacing w:line="276" w:lineRule="auto"/>
        <w:jc w:val="left"/>
        <w:rPr>
          <w:rFonts w:asciiTheme="minorEastAsia" w:hAnsiTheme="minorEastAsia" w:eastAsiaTheme="minorEastAsia"/>
          <w:b/>
          <w:sz w:val="24"/>
        </w:rPr>
      </w:pP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附件1：发包人要求</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附件2：发包人供应材料设备一览表</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附件3：工程质量保修书</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附件4：主要建设工程文件目录</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附件5: 承包人主要管理人员表</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附件6: 价格指数权重表</w:t>
      </w:r>
    </w:p>
    <w:p>
      <w:pPr>
        <w:spacing w:line="276" w:lineRule="auto"/>
        <w:jc w:val="left"/>
        <w:rPr>
          <w:rFonts w:asciiTheme="minorEastAsia" w:hAnsiTheme="minorEastAsia"/>
          <w:sz w:val="24"/>
        </w:rPr>
      </w:pPr>
    </w:p>
    <w:p>
      <w:pPr>
        <w:spacing w:line="276" w:lineRule="auto"/>
        <w:ind w:firstLine="475" w:firstLineChars="198"/>
        <w:jc w:val="left"/>
        <w:rPr>
          <w:rFonts w:asciiTheme="minorEastAsia" w:hAnsiTheme="minorEastAsia"/>
          <w:sz w:val="24"/>
        </w:rPr>
      </w:pPr>
      <w:r>
        <w:rPr>
          <w:sz w:val="24"/>
        </w:rPr>
        <w:br w:type="page"/>
      </w: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附件1 《发包人要求》</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发包人要求》应尽可能清晰准确，对于可以进行定量评估的工作，《发包人要求》不仅应明确规定其产能、功能、用途、质量、环境、安全，并且要规定偏离的范围和计算方法，以及检验、试验、试运行的具体要求。对于承包人负责提供的有关设备和服务，对发包人人员进行培训和提供一些消耗品等，在《发包人要求》中应一并明确规定。</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《发包人要求》通常包括但不限于以下内容：</w:t>
      </w:r>
    </w:p>
    <w:p>
      <w:pPr>
        <w:spacing w:line="276" w:lineRule="auto"/>
        <w:jc w:val="left"/>
        <w:rPr>
          <w:rFonts w:asciiTheme="minorEastAsia" w:hAnsiTheme="minorEastAsia"/>
          <w:sz w:val="24"/>
        </w:rPr>
      </w:pPr>
      <w:r>
        <w:rPr>
          <w:rFonts w:hint="eastAsia" w:asciiTheme="minorEastAsia" w:hAnsiTheme="minorEastAsia" w:eastAsiaTheme="minorEastAsia"/>
          <w:sz w:val="24"/>
        </w:rPr>
        <w:t>一、功能要求</w:t>
      </w:r>
    </w:p>
    <w:p>
      <w:pPr>
        <w:spacing w:line="276" w:lineRule="auto"/>
        <w:jc w:val="left"/>
        <w:rPr>
          <w:rFonts w:asciiTheme="minorEastAsia" w:hAnsiTheme="minorEastAsia"/>
          <w:sz w:val="24"/>
        </w:rPr>
      </w:pPr>
      <w:r>
        <w:rPr>
          <w:rFonts w:hint="eastAsia" w:asciiTheme="minorEastAsia" w:hAnsiTheme="minorEastAsia" w:eastAsiaTheme="minorEastAsia"/>
          <w:sz w:val="24"/>
        </w:rPr>
        <w:t>（一）工程目的。</w:t>
      </w:r>
    </w:p>
    <w:p>
      <w:pPr>
        <w:spacing w:line="276" w:lineRule="auto"/>
        <w:jc w:val="left"/>
        <w:rPr>
          <w:rFonts w:asciiTheme="minorEastAsia" w:hAnsiTheme="minorEastAsia"/>
          <w:sz w:val="24"/>
        </w:rPr>
      </w:pPr>
      <w:r>
        <w:rPr>
          <w:rFonts w:hint="eastAsia" w:asciiTheme="minorEastAsia" w:hAnsiTheme="minorEastAsia" w:eastAsiaTheme="minorEastAsia"/>
          <w:sz w:val="24"/>
        </w:rPr>
        <w:t>（二）工程规模。</w:t>
      </w:r>
    </w:p>
    <w:p>
      <w:pPr>
        <w:spacing w:line="276" w:lineRule="auto"/>
        <w:jc w:val="left"/>
        <w:rPr>
          <w:rFonts w:asciiTheme="minorEastAsia" w:hAnsiTheme="minorEastAsia"/>
          <w:sz w:val="24"/>
        </w:rPr>
      </w:pPr>
      <w:r>
        <w:rPr>
          <w:rFonts w:hint="eastAsia" w:asciiTheme="minorEastAsia" w:hAnsiTheme="minorEastAsia" w:eastAsiaTheme="minorEastAsia"/>
          <w:sz w:val="24"/>
        </w:rPr>
        <w:t>（三）性能保证指标（性能保证表）。</w:t>
      </w:r>
    </w:p>
    <w:p>
      <w:pPr>
        <w:spacing w:line="276" w:lineRule="auto"/>
        <w:jc w:val="left"/>
        <w:rPr>
          <w:rFonts w:asciiTheme="minorEastAsia" w:hAnsiTheme="minorEastAsia"/>
          <w:sz w:val="24"/>
        </w:rPr>
      </w:pPr>
      <w:r>
        <w:rPr>
          <w:rFonts w:hint="eastAsia" w:asciiTheme="minorEastAsia" w:hAnsiTheme="minorEastAsia" w:eastAsiaTheme="minorEastAsia"/>
          <w:sz w:val="24"/>
        </w:rPr>
        <w:t>（四）产能保证指标。</w:t>
      </w:r>
    </w:p>
    <w:p>
      <w:pPr>
        <w:spacing w:line="276" w:lineRule="auto"/>
        <w:jc w:val="left"/>
        <w:rPr>
          <w:rFonts w:asciiTheme="minorEastAsia" w:hAnsiTheme="minorEastAsia"/>
          <w:sz w:val="24"/>
        </w:rPr>
      </w:pPr>
      <w:r>
        <w:rPr>
          <w:rFonts w:hint="eastAsia" w:asciiTheme="minorEastAsia" w:hAnsiTheme="minorEastAsia" w:eastAsiaTheme="minorEastAsia"/>
          <w:sz w:val="24"/>
        </w:rPr>
        <w:t>二、工程范围</w:t>
      </w:r>
    </w:p>
    <w:p>
      <w:pPr>
        <w:spacing w:line="276" w:lineRule="auto"/>
        <w:jc w:val="left"/>
        <w:rPr>
          <w:rFonts w:asciiTheme="minorEastAsia" w:hAnsiTheme="minorEastAsia"/>
          <w:sz w:val="24"/>
        </w:rPr>
      </w:pPr>
      <w:r>
        <w:rPr>
          <w:rFonts w:hint="eastAsia" w:asciiTheme="minorEastAsia" w:hAnsiTheme="minorEastAsia" w:eastAsiaTheme="minorEastAsia"/>
          <w:sz w:val="24"/>
        </w:rPr>
        <w:t>（一）概述</w:t>
      </w:r>
    </w:p>
    <w:p>
      <w:pPr>
        <w:spacing w:line="276" w:lineRule="auto"/>
        <w:jc w:val="left"/>
        <w:rPr>
          <w:rFonts w:asciiTheme="minorEastAsia" w:hAnsiTheme="minorEastAsia"/>
          <w:sz w:val="24"/>
        </w:rPr>
      </w:pPr>
      <w:r>
        <w:rPr>
          <w:rFonts w:hint="eastAsia" w:asciiTheme="minorEastAsia" w:hAnsiTheme="minorEastAsia" w:eastAsiaTheme="minorEastAsia"/>
          <w:sz w:val="24"/>
        </w:rPr>
        <w:t>（二）包括的工作</w:t>
      </w:r>
    </w:p>
    <w:p>
      <w:pPr>
        <w:spacing w:line="276" w:lineRule="auto"/>
        <w:jc w:val="left"/>
        <w:rPr>
          <w:rFonts w:asciiTheme="minorEastAsia" w:hAnsiTheme="minorEastAsia"/>
          <w:sz w:val="24"/>
        </w:rPr>
      </w:pPr>
      <w:r>
        <w:rPr>
          <w:rFonts w:hint="eastAsia" w:asciiTheme="minorEastAsia" w:hAnsiTheme="minorEastAsia" w:eastAsiaTheme="minorEastAsia"/>
          <w:sz w:val="24"/>
        </w:rPr>
        <w:t>1. 永久工程的设计、采购、施工范围。</w:t>
      </w:r>
    </w:p>
    <w:p>
      <w:pPr>
        <w:spacing w:line="276" w:lineRule="auto"/>
        <w:jc w:val="left"/>
        <w:rPr>
          <w:rFonts w:asciiTheme="minorEastAsia" w:hAnsiTheme="minorEastAsia"/>
          <w:sz w:val="24"/>
        </w:rPr>
      </w:pPr>
      <w:r>
        <w:rPr>
          <w:rFonts w:hint="eastAsia" w:asciiTheme="minorEastAsia" w:hAnsiTheme="minorEastAsia" w:eastAsiaTheme="minorEastAsia"/>
          <w:sz w:val="24"/>
        </w:rPr>
        <w:t>2. 临时工程的设计与施工范围。</w:t>
      </w:r>
    </w:p>
    <w:p>
      <w:pPr>
        <w:spacing w:line="276" w:lineRule="auto"/>
        <w:jc w:val="left"/>
        <w:rPr>
          <w:rFonts w:asciiTheme="minorEastAsia" w:hAnsiTheme="minorEastAsia"/>
          <w:sz w:val="24"/>
        </w:rPr>
      </w:pPr>
      <w:r>
        <w:rPr>
          <w:rFonts w:hint="eastAsia" w:asciiTheme="minorEastAsia" w:hAnsiTheme="minorEastAsia" w:eastAsiaTheme="minorEastAsia"/>
          <w:sz w:val="24"/>
        </w:rPr>
        <w:t>3. 竣工验收工作范围。</w:t>
      </w:r>
    </w:p>
    <w:p>
      <w:pPr>
        <w:spacing w:line="276" w:lineRule="auto"/>
        <w:jc w:val="left"/>
        <w:rPr>
          <w:rFonts w:asciiTheme="minorEastAsia" w:hAnsiTheme="minorEastAsia"/>
          <w:sz w:val="24"/>
        </w:rPr>
      </w:pPr>
      <w:r>
        <w:rPr>
          <w:rFonts w:hint="eastAsia" w:asciiTheme="minorEastAsia" w:hAnsiTheme="minorEastAsia" w:eastAsiaTheme="minorEastAsia"/>
          <w:sz w:val="24"/>
        </w:rPr>
        <w:t>4. 技术服务工作范围。</w:t>
      </w:r>
    </w:p>
    <w:p>
      <w:pPr>
        <w:spacing w:line="276" w:lineRule="auto"/>
        <w:jc w:val="left"/>
        <w:rPr>
          <w:rFonts w:asciiTheme="minorEastAsia" w:hAnsiTheme="minorEastAsia"/>
          <w:sz w:val="24"/>
        </w:rPr>
      </w:pPr>
      <w:r>
        <w:rPr>
          <w:rFonts w:hint="eastAsia" w:asciiTheme="minorEastAsia" w:hAnsiTheme="minorEastAsia" w:eastAsiaTheme="minorEastAsia"/>
          <w:sz w:val="24"/>
        </w:rPr>
        <w:t>5. 培训工作范围。</w:t>
      </w:r>
    </w:p>
    <w:p>
      <w:pPr>
        <w:spacing w:line="276" w:lineRule="auto"/>
        <w:jc w:val="left"/>
        <w:rPr>
          <w:rFonts w:asciiTheme="minorEastAsia" w:hAnsiTheme="minorEastAsia"/>
          <w:sz w:val="24"/>
        </w:rPr>
      </w:pPr>
      <w:r>
        <w:rPr>
          <w:rFonts w:hint="eastAsia" w:asciiTheme="minorEastAsia" w:hAnsiTheme="minorEastAsia" w:eastAsiaTheme="minorEastAsia"/>
          <w:sz w:val="24"/>
        </w:rPr>
        <w:t>6. 保修工作范围。</w:t>
      </w:r>
    </w:p>
    <w:p>
      <w:pPr>
        <w:spacing w:line="276" w:lineRule="auto"/>
        <w:jc w:val="left"/>
        <w:rPr>
          <w:rFonts w:asciiTheme="minorEastAsia" w:hAnsiTheme="minorEastAsia"/>
          <w:sz w:val="24"/>
        </w:rPr>
      </w:pPr>
      <w:r>
        <w:rPr>
          <w:rFonts w:hint="eastAsia" w:asciiTheme="minorEastAsia" w:hAnsiTheme="minorEastAsia" w:eastAsiaTheme="minorEastAsia"/>
          <w:sz w:val="24"/>
        </w:rPr>
        <w:t>（三）工作界区</w:t>
      </w:r>
    </w:p>
    <w:p>
      <w:pPr>
        <w:spacing w:line="276" w:lineRule="auto"/>
        <w:jc w:val="left"/>
        <w:rPr>
          <w:rFonts w:asciiTheme="minorEastAsia" w:hAnsiTheme="minorEastAsia"/>
          <w:sz w:val="24"/>
        </w:rPr>
      </w:pPr>
      <w:r>
        <w:rPr>
          <w:rFonts w:hint="eastAsia" w:asciiTheme="minorEastAsia" w:hAnsiTheme="minorEastAsia" w:eastAsiaTheme="minorEastAsia"/>
          <w:sz w:val="24"/>
        </w:rPr>
        <w:t>（四）发包人提供的现场条件</w:t>
      </w:r>
    </w:p>
    <w:p>
      <w:pPr>
        <w:spacing w:line="276" w:lineRule="auto"/>
        <w:jc w:val="left"/>
        <w:rPr>
          <w:rFonts w:asciiTheme="minorEastAsia" w:hAnsiTheme="minorEastAsia"/>
          <w:sz w:val="24"/>
        </w:rPr>
      </w:pPr>
      <w:r>
        <w:rPr>
          <w:rFonts w:hint="eastAsia" w:asciiTheme="minorEastAsia" w:hAnsiTheme="minorEastAsia" w:eastAsiaTheme="minorEastAsia"/>
          <w:sz w:val="24"/>
        </w:rPr>
        <w:t>1. 施工用电。</w:t>
      </w:r>
    </w:p>
    <w:p>
      <w:pPr>
        <w:spacing w:line="276" w:lineRule="auto"/>
        <w:jc w:val="left"/>
        <w:rPr>
          <w:rFonts w:asciiTheme="minorEastAsia" w:hAnsiTheme="minorEastAsia"/>
          <w:sz w:val="24"/>
        </w:rPr>
      </w:pPr>
      <w:r>
        <w:rPr>
          <w:rFonts w:hint="eastAsia" w:asciiTheme="minorEastAsia" w:hAnsiTheme="minorEastAsia" w:eastAsiaTheme="minorEastAsia"/>
          <w:sz w:val="24"/>
        </w:rPr>
        <w:t>2. 施工用水。</w:t>
      </w:r>
    </w:p>
    <w:p>
      <w:pPr>
        <w:spacing w:line="276" w:lineRule="auto"/>
        <w:jc w:val="left"/>
        <w:rPr>
          <w:rFonts w:asciiTheme="minorEastAsia" w:hAnsiTheme="minorEastAsia"/>
          <w:sz w:val="24"/>
        </w:rPr>
      </w:pPr>
      <w:r>
        <w:rPr>
          <w:rFonts w:hint="eastAsia" w:asciiTheme="minorEastAsia" w:hAnsiTheme="minorEastAsia" w:eastAsiaTheme="minorEastAsia"/>
          <w:sz w:val="24"/>
        </w:rPr>
        <w:t>3. 施工排水。</w:t>
      </w:r>
    </w:p>
    <w:p>
      <w:pPr>
        <w:spacing w:line="276" w:lineRule="auto"/>
        <w:jc w:val="left"/>
        <w:rPr>
          <w:rFonts w:asciiTheme="minorEastAsia" w:hAnsiTheme="minorEastAsia"/>
          <w:sz w:val="24"/>
        </w:rPr>
      </w:pPr>
      <w:r>
        <w:rPr>
          <w:rFonts w:hint="eastAsia" w:asciiTheme="minorEastAsia" w:hAnsiTheme="minorEastAsia" w:eastAsiaTheme="minorEastAsia"/>
          <w:sz w:val="24"/>
        </w:rPr>
        <w:t>4. 施工道路。</w:t>
      </w:r>
    </w:p>
    <w:p>
      <w:pPr>
        <w:spacing w:line="276" w:lineRule="auto"/>
        <w:jc w:val="left"/>
        <w:rPr>
          <w:rFonts w:asciiTheme="minorEastAsia" w:hAnsiTheme="minorEastAsia"/>
          <w:sz w:val="24"/>
        </w:rPr>
      </w:pPr>
      <w:r>
        <w:rPr>
          <w:rFonts w:hint="eastAsia" w:asciiTheme="minorEastAsia" w:hAnsiTheme="minorEastAsia" w:eastAsiaTheme="minorEastAsia"/>
          <w:sz w:val="24"/>
        </w:rPr>
        <w:t>（五）发包人提供的技术文件</w:t>
      </w:r>
    </w:p>
    <w:p>
      <w:pPr>
        <w:spacing w:line="276" w:lineRule="auto"/>
        <w:jc w:val="left"/>
        <w:rPr>
          <w:rFonts w:asciiTheme="minorEastAsia" w:hAnsiTheme="minorEastAsia"/>
          <w:sz w:val="24"/>
        </w:rPr>
      </w:pPr>
      <w:r>
        <w:rPr>
          <w:rFonts w:hint="eastAsia" w:asciiTheme="minorEastAsia" w:hAnsiTheme="minorEastAsia" w:eastAsiaTheme="minorEastAsia"/>
          <w:sz w:val="24"/>
        </w:rPr>
        <w:t>除另有批准外，承包人的工作需要遵照发包人的下列技术文件:</w:t>
      </w:r>
    </w:p>
    <w:p>
      <w:pPr>
        <w:spacing w:line="276" w:lineRule="auto"/>
        <w:jc w:val="left"/>
        <w:rPr>
          <w:rFonts w:asciiTheme="minorEastAsia" w:hAnsiTheme="minorEastAsia"/>
          <w:sz w:val="24"/>
        </w:rPr>
      </w:pPr>
      <w:r>
        <w:rPr>
          <w:rFonts w:hint="eastAsia" w:asciiTheme="minorEastAsia" w:hAnsiTheme="minorEastAsia" w:eastAsiaTheme="minorEastAsia"/>
          <w:sz w:val="24"/>
        </w:rPr>
        <w:t>1. 发包人需求任务书。</w:t>
      </w:r>
    </w:p>
    <w:p>
      <w:pPr>
        <w:spacing w:line="276" w:lineRule="auto"/>
        <w:jc w:val="left"/>
        <w:rPr>
          <w:rFonts w:asciiTheme="minorEastAsia" w:hAnsiTheme="minorEastAsia"/>
          <w:sz w:val="24"/>
        </w:rPr>
      </w:pPr>
      <w:r>
        <w:rPr>
          <w:rFonts w:hint="eastAsia" w:asciiTheme="minorEastAsia" w:hAnsiTheme="minorEastAsia" w:eastAsiaTheme="minorEastAsia"/>
          <w:sz w:val="24"/>
        </w:rPr>
        <w:t>2. 发包人已完成的设计文件。</w:t>
      </w:r>
    </w:p>
    <w:p>
      <w:pPr>
        <w:spacing w:line="276" w:lineRule="auto"/>
        <w:jc w:val="left"/>
        <w:rPr>
          <w:rFonts w:asciiTheme="minorEastAsia" w:hAnsiTheme="minorEastAsia"/>
          <w:sz w:val="24"/>
        </w:rPr>
      </w:pPr>
      <w:r>
        <w:rPr>
          <w:rFonts w:hint="eastAsia" w:asciiTheme="minorEastAsia" w:hAnsiTheme="minorEastAsia" w:eastAsiaTheme="minorEastAsia"/>
          <w:sz w:val="24"/>
        </w:rPr>
        <w:t>三、工艺安排或要求（如有）</w:t>
      </w:r>
    </w:p>
    <w:p>
      <w:pPr>
        <w:spacing w:line="276" w:lineRule="auto"/>
        <w:jc w:val="left"/>
        <w:rPr>
          <w:rFonts w:asciiTheme="minorEastAsia" w:hAnsiTheme="minorEastAsia"/>
          <w:sz w:val="24"/>
        </w:rPr>
      </w:pPr>
      <w:r>
        <w:rPr>
          <w:rFonts w:hint="eastAsia" w:asciiTheme="minorEastAsia" w:hAnsiTheme="minorEastAsia" w:eastAsiaTheme="minorEastAsia"/>
          <w:sz w:val="24"/>
        </w:rPr>
        <w:t>四、时间要求</w:t>
      </w:r>
    </w:p>
    <w:p>
      <w:pPr>
        <w:spacing w:line="276" w:lineRule="auto"/>
        <w:jc w:val="left"/>
        <w:rPr>
          <w:rFonts w:asciiTheme="minorEastAsia" w:hAnsiTheme="minorEastAsia"/>
          <w:sz w:val="24"/>
        </w:rPr>
      </w:pPr>
      <w:r>
        <w:rPr>
          <w:rFonts w:hint="eastAsia" w:asciiTheme="minorEastAsia" w:hAnsiTheme="minorEastAsia" w:eastAsiaTheme="minorEastAsia"/>
          <w:sz w:val="24"/>
        </w:rPr>
        <w:t>（一）开始工作时间。</w:t>
      </w:r>
    </w:p>
    <w:p>
      <w:pPr>
        <w:spacing w:line="276" w:lineRule="auto"/>
        <w:jc w:val="left"/>
        <w:rPr>
          <w:rFonts w:asciiTheme="minorEastAsia" w:hAnsiTheme="minorEastAsia"/>
          <w:sz w:val="24"/>
        </w:rPr>
      </w:pPr>
      <w:r>
        <w:rPr>
          <w:rFonts w:hint="eastAsia" w:asciiTheme="minorEastAsia" w:hAnsiTheme="minorEastAsia" w:eastAsiaTheme="minorEastAsia"/>
          <w:sz w:val="24"/>
        </w:rPr>
        <w:t>（二）设计完成时间。</w:t>
      </w:r>
    </w:p>
    <w:p>
      <w:pPr>
        <w:spacing w:line="276" w:lineRule="auto"/>
        <w:jc w:val="left"/>
        <w:rPr>
          <w:rFonts w:asciiTheme="minorEastAsia" w:hAnsiTheme="minorEastAsia"/>
          <w:sz w:val="24"/>
        </w:rPr>
      </w:pPr>
      <w:r>
        <w:rPr>
          <w:rFonts w:hint="eastAsia" w:asciiTheme="minorEastAsia" w:hAnsiTheme="minorEastAsia" w:eastAsiaTheme="minorEastAsia"/>
          <w:sz w:val="24"/>
        </w:rPr>
        <w:t>（三）进度计划。</w:t>
      </w:r>
    </w:p>
    <w:p>
      <w:pPr>
        <w:spacing w:line="276" w:lineRule="auto"/>
        <w:jc w:val="left"/>
        <w:rPr>
          <w:rFonts w:asciiTheme="minorEastAsia" w:hAnsiTheme="minorEastAsia"/>
          <w:sz w:val="24"/>
        </w:rPr>
      </w:pPr>
      <w:r>
        <w:rPr>
          <w:rFonts w:hint="eastAsia" w:asciiTheme="minorEastAsia" w:hAnsiTheme="minorEastAsia" w:eastAsiaTheme="minorEastAsia"/>
          <w:sz w:val="24"/>
        </w:rPr>
        <w:t>（四）竣工时间。</w:t>
      </w:r>
    </w:p>
    <w:p>
      <w:pPr>
        <w:spacing w:line="276" w:lineRule="auto"/>
        <w:jc w:val="left"/>
        <w:rPr>
          <w:rFonts w:asciiTheme="minorEastAsia" w:hAnsiTheme="minorEastAsia"/>
          <w:sz w:val="24"/>
        </w:rPr>
      </w:pPr>
      <w:r>
        <w:rPr>
          <w:rFonts w:hint="eastAsia" w:asciiTheme="minorEastAsia" w:hAnsiTheme="minorEastAsia" w:eastAsiaTheme="minorEastAsia"/>
          <w:sz w:val="24"/>
        </w:rPr>
        <w:t>（五）缺陷责任期。</w:t>
      </w:r>
    </w:p>
    <w:p>
      <w:pPr>
        <w:spacing w:line="276" w:lineRule="auto"/>
        <w:jc w:val="left"/>
        <w:rPr>
          <w:rFonts w:asciiTheme="minorEastAsia" w:hAnsiTheme="minorEastAsia"/>
          <w:sz w:val="24"/>
        </w:rPr>
      </w:pPr>
      <w:r>
        <w:rPr>
          <w:rFonts w:hint="eastAsia" w:asciiTheme="minorEastAsia" w:hAnsiTheme="minorEastAsia" w:eastAsiaTheme="minorEastAsia"/>
          <w:sz w:val="24"/>
        </w:rPr>
        <w:t>（六）其他时间要求。</w:t>
      </w:r>
    </w:p>
    <w:p>
      <w:pPr>
        <w:spacing w:line="276" w:lineRule="auto"/>
        <w:jc w:val="left"/>
        <w:rPr>
          <w:rFonts w:asciiTheme="minorEastAsia" w:hAnsiTheme="minorEastAsia"/>
          <w:sz w:val="24"/>
        </w:rPr>
      </w:pPr>
      <w:r>
        <w:rPr>
          <w:rFonts w:hint="eastAsia" w:asciiTheme="minorEastAsia" w:hAnsiTheme="minorEastAsia" w:eastAsiaTheme="minorEastAsia"/>
          <w:sz w:val="24"/>
        </w:rPr>
        <w:t>五、技术要求</w:t>
      </w:r>
    </w:p>
    <w:p>
      <w:pPr>
        <w:spacing w:line="276" w:lineRule="auto"/>
        <w:jc w:val="left"/>
        <w:rPr>
          <w:rFonts w:asciiTheme="minorEastAsia" w:hAnsiTheme="minorEastAsia"/>
          <w:sz w:val="24"/>
        </w:rPr>
      </w:pPr>
      <w:r>
        <w:rPr>
          <w:rFonts w:hint="eastAsia" w:asciiTheme="minorEastAsia" w:hAnsiTheme="minorEastAsia" w:eastAsiaTheme="minorEastAsia"/>
          <w:sz w:val="24"/>
        </w:rPr>
        <w:t>（一）设计阶段和设计任务。</w:t>
      </w:r>
    </w:p>
    <w:p>
      <w:pPr>
        <w:spacing w:line="276" w:lineRule="auto"/>
        <w:jc w:val="left"/>
        <w:rPr>
          <w:rFonts w:asciiTheme="minorEastAsia" w:hAnsiTheme="minorEastAsia"/>
          <w:sz w:val="24"/>
        </w:rPr>
      </w:pPr>
      <w:r>
        <w:rPr>
          <w:rFonts w:hint="eastAsia" w:asciiTheme="minorEastAsia" w:hAnsiTheme="minorEastAsia" w:eastAsiaTheme="minorEastAsia"/>
          <w:sz w:val="24"/>
        </w:rPr>
        <w:t>（二）设计标准和规范。</w:t>
      </w:r>
    </w:p>
    <w:p>
      <w:pPr>
        <w:spacing w:line="276" w:lineRule="auto"/>
        <w:jc w:val="left"/>
        <w:rPr>
          <w:rFonts w:asciiTheme="minorEastAsia" w:hAnsiTheme="minorEastAsia"/>
          <w:sz w:val="24"/>
        </w:rPr>
      </w:pPr>
      <w:r>
        <w:rPr>
          <w:rFonts w:hint="eastAsia" w:asciiTheme="minorEastAsia" w:hAnsiTheme="minorEastAsia" w:eastAsiaTheme="minorEastAsia"/>
          <w:sz w:val="24"/>
        </w:rPr>
        <w:t>（三）技术标准和要求。</w:t>
      </w:r>
    </w:p>
    <w:p>
      <w:pPr>
        <w:spacing w:line="276" w:lineRule="auto"/>
        <w:jc w:val="left"/>
        <w:rPr>
          <w:rFonts w:asciiTheme="minorEastAsia" w:hAnsiTheme="minorEastAsia"/>
          <w:sz w:val="24"/>
        </w:rPr>
      </w:pPr>
      <w:r>
        <w:rPr>
          <w:rFonts w:hint="eastAsia" w:asciiTheme="minorEastAsia" w:hAnsiTheme="minorEastAsia" w:eastAsiaTheme="minorEastAsia"/>
          <w:sz w:val="24"/>
        </w:rPr>
        <w:t>（四）质量标准。</w:t>
      </w:r>
    </w:p>
    <w:p>
      <w:pPr>
        <w:spacing w:line="276" w:lineRule="auto"/>
        <w:jc w:val="left"/>
        <w:rPr>
          <w:rFonts w:asciiTheme="minorEastAsia" w:hAnsiTheme="minorEastAsia"/>
          <w:sz w:val="24"/>
        </w:rPr>
      </w:pPr>
      <w:r>
        <w:rPr>
          <w:rFonts w:hint="eastAsia" w:asciiTheme="minorEastAsia" w:hAnsiTheme="minorEastAsia" w:eastAsiaTheme="minorEastAsia"/>
          <w:sz w:val="24"/>
        </w:rPr>
        <w:t>（五）设计、施工和设备监造、试验（如有）。</w:t>
      </w:r>
    </w:p>
    <w:p>
      <w:pPr>
        <w:spacing w:line="276" w:lineRule="auto"/>
        <w:jc w:val="left"/>
        <w:rPr>
          <w:rFonts w:asciiTheme="minorEastAsia" w:hAnsiTheme="minorEastAsia"/>
          <w:sz w:val="24"/>
        </w:rPr>
      </w:pPr>
      <w:r>
        <w:rPr>
          <w:rFonts w:hint="eastAsia" w:asciiTheme="minorEastAsia" w:hAnsiTheme="minorEastAsia" w:eastAsiaTheme="minorEastAsia"/>
          <w:sz w:val="24"/>
        </w:rPr>
        <w:t>（六）样品。</w:t>
      </w:r>
    </w:p>
    <w:p>
      <w:pPr>
        <w:spacing w:line="276" w:lineRule="auto"/>
        <w:jc w:val="left"/>
        <w:rPr>
          <w:rFonts w:asciiTheme="minorEastAsia" w:hAnsiTheme="minorEastAsia"/>
          <w:sz w:val="24"/>
        </w:rPr>
      </w:pPr>
      <w:r>
        <w:rPr>
          <w:rFonts w:hint="eastAsia" w:asciiTheme="minorEastAsia" w:hAnsiTheme="minorEastAsia" w:eastAsiaTheme="minorEastAsia"/>
          <w:sz w:val="24"/>
        </w:rPr>
        <w:t>（七）发包人提供的其他条件，如发包人或其委托的第三人提供的设计、工艺包、用于试验检验的工器具等，以及据此对承包人提出的予以配套的要求。</w:t>
      </w:r>
    </w:p>
    <w:p>
      <w:pPr>
        <w:spacing w:line="276" w:lineRule="auto"/>
        <w:jc w:val="left"/>
        <w:rPr>
          <w:rFonts w:asciiTheme="minorEastAsia" w:hAnsiTheme="minorEastAsia"/>
          <w:sz w:val="24"/>
        </w:rPr>
      </w:pPr>
      <w:r>
        <w:rPr>
          <w:rFonts w:hint="eastAsia" w:asciiTheme="minorEastAsia" w:hAnsiTheme="minorEastAsia" w:eastAsiaTheme="minorEastAsia"/>
          <w:sz w:val="24"/>
        </w:rPr>
        <w:t>六、竣工试验</w:t>
      </w:r>
    </w:p>
    <w:p>
      <w:pPr>
        <w:spacing w:line="276" w:lineRule="auto"/>
        <w:jc w:val="left"/>
        <w:rPr>
          <w:rFonts w:asciiTheme="minorEastAsia" w:hAnsiTheme="minorEastAsia"/>
          <w:sz w:val="24"/>
        </w:rPr>
      </w:pPr>
      <w:r>
        <w:rPr>
          <w:rFonts w:hint="eastAsia" w:asciiTheme="minorEastAsia" w:hAnsiTheme="minorEastAsia" w:eastAsiaTheme="minorEastAsia"/>
          <w:sz w:val="24"/>
        </w:rPr>
        <w:t>（一）第一阶段，如对单车试验等的要求，包括试验前准备。</w:t>
      </w:r>
    </w:p>
    <w:p>
      <w:pPr>
        <w:spacing w:line="276" w:lineRule="auto"/>
        <w:jc w:val="left"/>
        <w:rPr>
          <w:rFonts w:asciiTheme="minorEastAsia" w:hAnsiTheme="minorEastAsia"/>
          <w:sz w:val="24"/>
        </w:rPr>
      </w:pPr>
      <w:r>
        <w:rPr>
          <w:rFonts w:hint="eastAsia" w:asciiTheme="minorEastAsia" w:hAnsiTheme="minorEastAsia" w:eastAsiaTheme="minorEastAsia"/>
          <w:sz w:val="24"/>
        </w:rPr>
        <w:t>（二）第二阶段，如对联动试车、投料试车等的要求，包括人员、设备、材料、燃料、电力、消耗品、工具等必要条件。</w:t>
      </w:r>
    </w:p>
    <w:p>
      <w:pPr>
        <w:spacing w:line="276" w:lineRule="auto"/>
        <w:jc w:val="left"/>
        <w:rPr>
          <w:rFonts w:asciiTheme="minorEastAsia" w:hAnsiTheme="minorEastAsia"/>
          <w:sz w:val="24"/>
        </w:rPr>
      </w:pPr>
      <w:r>
        <w:rPr>
          <w:rFonts w:hint="eastAsia" w:asciiTheme="minorEastAsia" w:hAnsiTheme="minorEastAsia" w:eastAsiaTheme="minorEastAsia"/>
          <w:sz w:val="24"/>
        </w:rPr>
        <w:t>（三）第三阶段，如对性能测试及其他竣工试验的要求，包括产能指标、产品质量标准、运营指标、环保指标等。</w:t>
      </w:r>
    </w:p>
    <w:p>
      <w:pPr>
        <w:spacing w:line="276" w:lineRule="auto"/>
        <w:jc w:val="left"/>
        <w:rPr>
          <w:rFonts w:asciiTheme="minorEastAsia" w:hAnsiTheme="minorEastAsia"/>
          <w:sz w:val="24"/>
        </w:rPr>
      </w:pPr>
      <w:r>
        <w:rPr>
          <w:rFonts w:hint="eastAsia" w:asciiTheme="minorEastAsia" w:hAnsiTheme="minorEastAsia" w:eastAsiaTheme="minorEastAsia"/>
          <w:sz w:val="24"/>
        </w:rPr>
        <w:t>七、竣工验收</w:t>
      </w:r>
    </w:p>
    <w:p>
      <w:pPr>
        <w:spacing w:line="276" w:lineRule="auto"/>
        <w:jc w:val="left"/>
        <w:rPr>
          <w:rFonts w:asciiTheme="minorEastAsia" w:hAnsiTheme="minorEastAsia"/>
          <w:sz w:val="24"/>
        </w:rPr>
      </w:pPr>
      <w:r>
        <w:rPr>
          <w:rFonts w:hint="eastAsia" w:asciiTheme="minorEastAsia" w:hAnsiTheme="minorEastAsia" w:eastAsiaTheme="minorEastAsia"/>
          <w:sz w:val="24"/>
        </w:rPr>
        <w:t>八、竣工后试验（如有）</w:t>
      </w:r>
    </w:p>
    <w:p>
      <w:pPr>
        <w:spacing w:line="276" w:lineRule="auto"/>
        <w:jc w:val="left"/>
        <w:rPr>
          <w:rFonts w:asciiTheme="minorEastAsia" w:hAnsiTheme="minorEastAsia"/>
          <w:sz w:val="24"/>
        </w:rPr>
      </w:pPr>
      <w:r>
        <w:rPr>
          <w:rFonts w:hint="eastAsia" w:asciiTheme="minorEastAsia" w:hAnsiTheme="minorEastAsia" w:eastAsiaTheme="minorEastAsia"/>
          <w:sz w:val="24"/>
        </w:rPr>
        <w:t>九、文件要求</w:t>
      </w:r>
    </w:p>
    <w:p>
      <w:pPr>
        <w:spacing w:line="276" w:lineRule="auto"/>
        <w:jc w:val="left"/>
        <w:rPr>
          <w:rFonts w:asciiTheme="minorEastAsia" w:hAnsiTheme="minorEastAsia"/>
          <w:sz w:val="24"/>
        </w:rPr>
      </w:pPr>
      <w:r>
        <w:rPr>
          <w:rFonts w:hint="eastAsia" w:asciiTheme="minorEastAsia" w:hAnsiTheme="minorEastAsia" w:eastAsiaTheme="minorEastAsia"/>
          <w:sz w:val="24"/>
        </w:rPr>
        <w:t>（一）设计文件，及其相关审批、核准、备案要求。</w:t>
      </w:r>
    </w:p>
    <w:p>
      <w:pPr>
        <w:spacing w:line="276" w:lineRule="auto"/>
        <w:jc w:val="left"/>
        <w:rPr>
          <w:rFonts w:asciiTheme="minorEastAsia" w:hAnsiTheme="minorEastAsia"/>
          <w:sz w:val="24"/>
        </w:rPr>
      </w:pPr>
      <w:r>
        <w:rPr>
          <w:rFonts w:hint="eastAsia" w:asciiTheme="minorEastAsia" w:hAnsiTheme="minorEastAsia" w:eastAsiaTheme="minorEastAsia"/>
          <w:sz w:val="24"/>
        </w:rPr>
        <w:t>（二）沟通计划。</w:t>
      </w:r>
    </w:p>
    <w:p>
      <w:pPr>
        <w:spacing w:line="276" w:lineRule="auto"/>
        <w:jc w:val="left"/>
        <w:rPr>
          <w:rFonts w:asciiTheme="minorEastAsia" w:hAnsiTheme="minorEastAsia"/>
          <w:sz w:val="24"/>
        </w:rPr>
      </w:pPr>
      <w:r>
        <w:rPr>
          <w:rFonts w:hint="eastAsia" w:asciiTheme="minorEastAsia" w:hAnsiTheme="minorEastAsia" w:eastAsiaTheme="minorEastAsia"/>
          <w:sz w:val="24"/>
        </w:rPr>
        <w:t>（三）风险管理计划。</w:t>
      </w:r>
    </w:p>
    <w:p>
      <w:pPr>
        <w:spacing w:line="276" w:lineRule="auto"/>
        <w:jc w:val="left"/>
        <w:rPr>
          <w:rFonts w:asciiTheme="minorEastAsia" w:hAnsiTheme="minorEastAsia"/>
          <w:sz w:val="24"/>
        </w:rPr>
      </w:pPr>
      <w:r>
        <w:rPr>
          <w:rFonts w:hint="eastAsia" w:asciiTheme="minorEastAsia" w:hAnsiTheme="minorEastAsia" w:eastAsiaTheme="minorEastAsia"/>
          <w:sz w:val="24"/>
        </w:rPr>
        <w:t>（四）竣工文件和工程的其他记录。</w:t>
      </w:r>
    </w:p>
    <w:p>
      <w:pPr>
        <w:spacing w:line="276" w:lineRule="auto"/>
        <w:jc w:val="left"/>
        <w:rPr>
          <w:rFonts w:asciiTheme="minorEastAsia" w:hAnsiTheme="minorEastAsia"/>
          <w:sz w:val="24"/>
        </w:rPr>
      </w:pPr>
      <w:r>
        <w:rPr>
          <w:rFonts w:hint="eastAsia" w:asciiTheme="minorEastAsia" w:hAnsiTheme="minorEastAsia" w:eastAsiaTheme="minorEastAsia"/>
          <w:sz w:val="24"/>
        </w:rPr>
        <w:t>（五）操作和维修手册。</w:t>
      </w:r>
    </w:p>
    <w:p>
      <w:pPr>
        <w:spacing w:line="276" w:lineRule="auto"/>
        <w:jc w:val="left"/>
        <w:rPr>
          <w:rFonts w:asciiTheme="minorEastAsia" w:hAnsiTheme="minorEastAsia"/>
          <w:sz w:val="24"/>
        </w:rPr>
      </w:pPr>
      <w:r>
        <w:rPr>
          <w:rFonts w:hint="eastAsia" w:asciiTheme="minorEastAsia" w:hAnsiTheme="minorEastAsia" w:eastAsiaTheme="minorEastAsia"/>
          <w:sz w:val="24"/>
        </w:rPr>
        <w:t>（六）其他承包人文件。</w:t>
      </w:r>
    </w:p>
    <w:p>
      <w:pPr>
        <w:spacing w:line="276" w:lineRule="auto"/>
        <w:jc w:val="left"/>
        <w:rPr>
          <w:rFonts w:asciiTheme="minorEastAsia" w:hAnsiTheme="minorEastAsia"/>
          <w:sz w:val="24"/>
        </w:rPr>
      </w:pPr>
      <w:r>
        <w:rPr>
          <w:rFonts w:hint="eastAsia" w:asciiTheme="minorEastAsia" w:hAnsiTheme="minorEastAsia" w:eastAsiaTheme="minorEastAsia"/>
          <w:sz w:val="24"/>
        </w:rPr>
        <w:t>十、工程项目管理规定</w:t>
      </w:r>
    </w:p>
    <w:p>
      <w:pPr>
        <w:spacing w:line="276" w:lineRule="auto"/>
        <w:jc w:val="left"/>
        <w:rPr>
          <w:rFonts w:asciiTheme="minorEastAsia" w:hAnsiTheme="minorEastAsia"/>
          <w:sz w:val="24"/>
        </w:rPr>
      </w:pPr>
      <w:r>
        <w:rPr>
          <w:rFonts w:hint="eastAsia" w:asciiTheme="minorEastAsia" w:hAnsiTheme="minorEastAsia" w:eastAsiaTheme="minorEastAsia"/>
          <w:sz w:val="24"/>
        </w:rPr>
        <w:t>（一）质量。</w:t>
      </w:r>
    </w:p>
    <w:p>
      <w:pPr>
        <w:spacing w:line="276" w:lineRule="auto"/>
        <w:jc w:val="left"/>
        <w:rPr>
          <w:rFonts w:asciiTheme="minorEastAsia" w:hAnsiTheme="minorEastAsia"/>
          <w:sz w:val="24"/>
        </w:rPr>
      </w:pPr>
      <w:r>
        <w:rPr>
          <w:rFonts w:hint="eastAsia" w:asciiTheme="minorEastAsia" w:hAnsiTheme="minorEastAsia" w:eastAsiaTheme="minorEastAsia"/>
          <w:sz w:val="24"/>
        </w:rPr>
        <w:t>（二）进度，包括里程碑进度计划（如果有）。</w:t>
      </w:r>
    </w:p>
    <w:p>
      <w:pPr>
        <w:spacing w:line="276" w:lineRule="auto"/>
        <w:jc w:val="left"/>
        <w:rPr>
          <w:rFonts w:asciiTheme="minorEastAsia" w:hAnsiTheme="minorEastAsia"/>
          <w:sz w:val="24"/>
        </w:rPr>
      </w:pPr>
      <w:r>
        <w:rPr>
          <w:rFonts w:hint="eastAsia" w:asciiTheme="minorEastAsia" w:hAnsiTheme="minorEastAsia" w:eastAsiaTheme="minorEastAsia"/>
          <w:sz w:val="24"/>
        </w:rPr>
        <w:t>（三）支付。</w:t>
      </w:r>
    </w:p>
    <w:p>
      <w:pPr>
        <w:spacing w:line="276" w:lineRule="auto"/>
        <w:jc w:val="left"/>
        <w:rPr>
          <w:rFonts w:asciiTheme="minorEastAsia" w:hAnsiTheme="minorEastAsia"/>
          <w:sz w:val="24"/>
        </w:rPr>
      </w:pPr>
      <w:r>
        <w:rPr>
          <w:rFonts w:hint="eastAsia" w:asciiTheme="minorEastAsia" w:hAnsiTheme="minorEastAsia" w:eastAsiaTheme="minorEastAsia"/>
          <w:sz w:val="24"/>
        </w:rPr>
        <w:t>（四）HSE（健康、安全与环境管理体系）。</w:t>
      </w:r>
    </w:p>
    <w:p>
      <w:pPr>
        <w:spacing w:line="276" w:lineRule="auto"/>
        <w:jc w:val="left"/>
        <w:rPr>
          <w:rFonts w:asciiTheme="minorEastAsia" w:hAnsiTheme="minorEastAsia"/>
          <w:sz w:val="24"/>
        </w:rPr>
      </w:pPr>
      <w:r>
        <w:rPr>
          <w:rFonts w:hint="eastAsia" w:asciiTheme="minorEastAsia" w:hAnsiTheme="minorEastAsia" w:eastAsiaTheme="minorEastAsia"/>
          <w:sz w:val="24"/>
        </w:rPr>
        <w:t>（五）沟通。</w:t>
      </w:r>
    </w:p>
    <w:p>
      <w:pPr>
        <w:spacing w:line="276" w:lineRule="auto"/>
        <w:jc w:val="left"/>
        <w:rPr>
          <w:rFonts w:asciiTheme="minorEastAsia" w:hAnsiTheme="minorEastAsia"/>
          <w:sz w:val="24"/>
        </w:rPr>
      </w:pPr>
      <w:r>
        <w:rPr>
          <w:rFonts w:hint="eastAsia" w:asciiTheme="minorEastAsia" w:hAnsiTheme="minorEastAsia" w:eastAsiaTheme="minorEastAsia"/>
          <w:sz w:val="24"/>
        </w:rPr>
        <w:t>（六）变更。</w:t>
      </w:r>
    </w:p>
    <w:p>
      <w:pPr>
        <w:spacing w:line="276" w:lineRule="auto"/>
        <w:jc w:val="left"/>
        <w:rPr>
          <w:rFonts w:asciiTheme="minorEastAsia" w:hAnsiTheme="minorEastAsia"/>
          <w:sz w:val="24"/>
        </w:rPr>
      </w:pPr>
      <w:r>
        <w:rPr>
          <w:rFonts w:hint="eastAsia" w:asciiTheme="minorEastAsia" w:hAnsiTheme="minorEastAsia" w:eastAsiaTheme="minorEastAsia"/>
          <w:sz w:val="24"/>
        </w:rPr>
        <w:t>十一、其他要求</w:t>
      </w:r>
    </w:p>
    <w:p>
      <w:pPr>
        <w:spacing w:line="276" w:lineRule="auto"/>
        <w:jc w:val="left"/>
        <w:rPr>
          <w:rFonts w:asciiTheme="minorEastAsia" w:hAnsiTheme="minorEastAsia"/>
          <w:sz w:val="24"/>
        </w:rPr>
      </w:pPr>
      <w:r>
        <w:rPr>
          <w:rFonts w:hint="eastAsia" w:asciiTheme="minorEastAsia" w:hAnsiTheme="minorEastAsia" w:eastAsiaTheme="minorEastAsia"/>
          <w:sz w:val="24"/>
        </w:rPr>
        <w:t>（一）对承包人的主要人员资格要求。</w:t>
      </w:r>
    </w:p>
    <w:p>
      <w:pPr>
        <w:spacing w:line="276" w:lineRule="auto"/>
        <w:jc w:val="left"/>
        <w:rPr>
          <w:rFonts w:asciiTheme="minorEastAsia" w:hAnsiTheme="minorEastAsia"/>
          <w:sz w:val="24"/>
        </w:rPr>
      </w:pPr>
      <w:r>
        <w:rPr>
          <w:rFonts w:hint="eastAsia" w:asciiTheme="minorEastAsia" w:hAnsiTheme="minorEastAsia" w:eastAsiaTheme="minorEastAsia"/>
          <w:sz w:val="24"/>
        </w:rPr>
        <w:t>（二）相关审批、核准和备案手续的办理。</w:t>
      </w:r>
    </w:p>
    <w:p>
      <w:pPr>
        <w:spacing w:line="276" w:lineRule="auto"/>
        <w:jc w:val="left"/>
        <w:rPr>
          <w:rFonts w:asciiTheme="minorEastAsia" w:hAnsiTheme="minorEastAsia"/>
          <w:sz w:val="24"/>
        </w:rPr>
      </w:pPr>
      <w:r>
        <w:rPr>
          <w:rFonts w:hint="eastAsia" w:asciiTheme="minorEastAsia" w:hAnsiTheme="minorEastAsia" w:eastAsiaTheme="minorEastAsia"/>
          <w:sz w:val="24"/>
        </w:rPr>
        <w:t>（三）对项目业主人员的操作培训。</w:t>
      </w:r>
    </w:p>
    <w:p>
      <w:pPr>
        <w:spacing w:line="276" w:lineRule="auto"/>
        <w:jc w:val="left"/>
        <w:rPr>
          <w:rFonts w:asciiTheme="minorEastAsia" w:hAnsiTheme="minorEastAsia"/>
          <w:sz w:val="24"/>
        </w:rPr>
      </w:pPr>
      <w:r>
        <w:rPr>
          <w:rFonts w:hint="eastAsia" w:asciiTheme="minorEastAsia" w:hAnsiTheme="minorEastAsia" w:eastAsiaTheme="minorEastAsia"/>
          <w:sz w:val="24"/>
        </w:rPr>
        <w:t>（四）分包。</w:t>
      </w:r>
    </w:p>
    <w:p>
      <w:pPr>
        <w:spacing w:line="276" w:lineRule="auto"/>
        <w:jc w:val="left"/>
        <w:rPr>
          <w:rFonts w:asciiTheme="minorEastAsia" w:hAnsiTheme="minorEastAsia"/>
          <w:sz w:val="24"/>
        </w:rPr>
      </w:pPr>
      <w:r>
        <w:rPr>
          <w:rFonts w:hint="eastAsia" w:asciiTheme="minorEastAsia" w:hAnsiTheme="minorEastAsia" w:eastAsiaTheme="minorEastAsia"/>
          <w:sz w:val="24"/>
        </w:rPr>
        <w:t>（五）设备供应商。</w:t>
      </w:r>
    </w:p>
    <w:p>
      <w:pPr>
        <w:spacing w:line="276" w:lineRule="auto"/>
        <w:jc w:val="left"/>
        <w:rPr>
          <w:rFonts w:asciiTheme="minorEastAsia" w:hAnsiTheme="minorEastAsia"/>
          <w:sz w:val="24"/>
        </w:rPr>
      </w:pPr>
      <w:r>
        <w:rPr>
          <w:rFonts w:hint="eastAsia" w:asciiTheme="minorEastAsia" w:hAnsiTheme="minorEastAsia" w:eastAsiaTheme="minorEastAsia"/>
          <w:sz w:val="24"/>
        </w:rPr>
        <w:t>（六）缺陷责任期的服务要求。</w:t>
      </w:r>
    </w:p>
    <w:p>
      <w:pPr>
        <w:spacing w:line="276" w:lineRule="auto"/>
        <w:jc w:val="left"/>
        <w:rPr>
          <w:rFonts w:asciiTheme="minorEastAsia" w:hAnsiTheme="minorEastAsia"/>
          <w:sz w:val="24"/>
        </w:rPr>
      </w:pPr>
      <w:r>
        <w:rPr>
          <w:rFonts w:hint="eastAsia" w:asciiTheme="minorEastAsia" w:hAnsiTheme="minorEastAsia" w:eastAsiaTheme="minorEastAsia"/>
          <w:b/>
          <w:sz w:val="24"/>
        </w:rPr>
        <w:t>附件2 发包人供应材料设备一览表</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tbl>
      <w:tblPr>
        <w:tblStyle w:val="39"/>
        <w:tblW w:w="829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7"/>
        <w:gridCol w:w="1046"/>
        <w:gridCol w:w="1008"/>
        <w:gridCol w:w="510"/>
        <w:gridCol w:w="616"/>
        <w:gridCol w:w="936"/>
        <w:gridCol w:w="1015"/>
        <w:gridCol w:w="1015"/>
        <w:gridCol w:w="1015"/>
        <w:gridCol w:w="63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序号</w:t>
            </w:r>
          </w:p>
        </w:tc>
        <w:tc>
          <w:tcPr>
            <w:tcW w:w="1050"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材料、设备品种</w:t>
            </w:r>
          </w:p>
        </w:tc>
        <w:tc>
          <w:tcPr>
            <w:tcW w:w="1015"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规格型号</w:t>
            </w:r>
          </w:p>
        </w:tc>
        <w:tc>
          <w:tcPr>
            <w:tcW w:w="511"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单位</w:t>
            </w:r>
          </w:p>
        </w:tc>
        <w:tc>
          <w:tcPr>
            <w:tcW w:w="618"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数量</w:t>
            </w:r>
          </w:p>
        </w:tc>
        <w:tc>
          <w:tcPr>
            <w:tcW w:w="894"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单价（元）</w:t>
            </w:r>
          </w:p>
        </w:tc>
        <w:tc>
          <w:tcPr>
            <w:tcW w:w="1022"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质量等级</w:t>
            </w:r>
          </w:p>
        </w:tc>
        <w:tc>
          <w:tcPr>
            <w:tcW w:w="1022"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供应时间</w:t>
            </w:r>
          </w:p>
        </w:tc>
        <w:tc>
          <w:tcPr>
            <w:tcW w:w="1022"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送达地点</w:t>
            </w:r>
          </w:p>
        </w:tc>
        <w:tc>
          <w:tcPr>
            <w:tcW w:w="639"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7" w:type="dxa"/>
            <w:vAlign w:val="center"/>
          </w:tcPr>
          <w:p>
            <w:pPr>
              <w:spacing w:line="276" w:lineRule="auto"/>
              <w:jc w:val="left"/>
              <w:rPr>
                <w:rFonts w:asciiTheme="minorEastAsia" w:hAnsiTheme="minorEastAsia"/>
                <w:sz w:val="24"/>
              </w:rPr>
            </w:pPr>
          </w:p>
        </w:tc>
        <w:tc>
          <w:tcPr>
            <w:tcW w:w="1050" w:type="dxa"/>
            <w:vAlign w:val="center"/>
          </w:tcPr>
          <w:p>
            <w:pPr>
              <w:spacing w:line="276" w:lineRule="auto"/>
              <w:jc w:val="left"/>
              <w:rPr>
                <w:rFonts w:asciiTheme="minorEastAsia" w:hAnsiTheme="minorEastAsia"/>
                <w:sz w:val="24"/>
              </w:rPr>
            </w:pPr>
          </w:p>
        </w:tc>
        <w:tc>
          <w:tcPr>
            <w:tcW w:w="1015" w:type="dxa"/>
            <w:vAlign w:val="center"/>
          </w:tcPr>
          <w:p>
            <w:pPr>
              <w:spacing w:line="276" w:lineRule="auto"/>
              <w:jc w:val="left"/>
              <w:rPr>
                <w:rFonts w:asciiTheme="minorEastAsia" w:hAnsiTheme="minorEastAsia"/>
                <w:sz w:val="24"/>
              </w:rPr>
            </w:pPr>
          </w:p>
        </w:tc>
        <w:tc>
          <w:tcPr>
            <w:tcW w:w="511" w:type="dxa"/>
            <w:vAlign w:val="center"/>
          </w:tcPr>
          <w:p>
            <w:pPr>
              <w:spacing w:line="276" w:lineRule="auto"/>
              <w:jc w:val="left"/>
              <w:rPr>
                <w:rFonts w:asciiTheme="minorEastAsia" w:hAnsiTheme="minorEastAsia"/>
                <w:sz w:val="24"/>
              </w:rPr>
            </w:pPr>
          </w:p>
        </w:tc>
        <w:tc>
          <w:tcPr>
            <w:tcW w:w="618" w:type="dxa"/>
            <w:vAlign w:val="center"/>
          </w:tcPr>
          <w:p>
            <w:pPr>
              <w:spacing w:line="276" w:lineRule="auto"/>
              <w:jc w:val="left"/>
              <w:rPr>
                <w:rFonts w:asciiTheme="minorEastAsia" w:hAnsiTheme="minorEastAsia"/>
                <w:sz w:val="24"/>
              </w:rPr>
            </w:pPr>
          </w:p>
        </w:tc>
        <w:tc>
          <w:tcPr>
            <w:tcW w:w="894"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1022" w:type="dxa"/>
            <w:vAlign w:val="center"/>
          </w:tcPr>
          <w:p>
            <w:pPr>
              <w:spacing w:line="276" w:lineRule="auto"/>
              <w:jc w:val="left"/>
              <w:rPr>
                <w:rFonts w:asciiTheme="minorEastAsia" w:hAnsiTheme="minorEastAsia"/>
                <w:sz w:val="24"/>
              </w:rPr>
            </w:pPr>
          </w:p>
        </w:tc>
        <w:tc>
          <w:tcPr>
            <w:tcW w:w="639" w:type="dxa"/>
            <w:vAlign w:val="center"/>
          </w:tcPr>
          <w:p>
            <w:pPr>
              <w:spacing w:line="276" w:lineRule="auto"/>
              <w:jc w:val="left"/>
              <w:rPr>
                <w:rFonts w:asciiTheme="minorEastAsia" w:hAnsiTheme="minorEastAsia"/>
                <w:sz w:val="24"/>
              </w:rPr>
            </w:pPr>
          </w:p>
        </w:tc>
      </w:tr>
    </w:tbl>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 </w:t>
      </w:r>
      <w:r>
        <w:rPr>
          <w:sz w:val="24"/>
        </w:rPr>
        <w:drawing>
          <wp:inline distT="0" distB="0" distL="0" distR="0">
            <wp:extent cx="152400" cy="152400"/>
            <wp:effectExtent l="19050" t="0" r="0" b="0"/>
            <wp:docPr id="287102916" name="R0360dfe3034a4397" descr="R0360dfe3034a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102916" name="R0360dfe3034a4397" descr="R0360dfe3034a4397"/>
                    <pic:cNvPicPr>
                      <a:picLocks noChangeAspect="1"/>
                    </pic:cNvPicPr>
                  </pic:nvPicPr>
                  <pic:blipFill>
                    <a:blip r:embed="rId9" cstate="print"/>
                    <a:stretch>
                      <a:fillRect/>
                    </a:stretch>
                  </pic:blipFill>
                  <pic:spPr>
                    <a:xfrm>
                      <a:off x="0" y="0"/>
                      <a:ext cx="152400" cy="152400"/>
                    </a:xfrm>
                    <a:prstGeom prst="rect">
                      <a:avLst/>
                    </a:prstGeom>
                  </pic:spPr>
                </pic:pic>
              </a:graphicData>
            </a:graphic>
          </wp:inline>
        </w:drawing>
      </w:r>
    </w:p>
    <w:p>
      <w:pPr>
        <w:spacing w:line="276" w:lineRule="auto"/>
        <w:jc w:val="left"/>
        <w:rPr>
          <w:rFonts w:asciiTheme="minorEastAsia" w:hAnsiTheme="minorEastAsia"/>
          <w:sz w:val="24"/>
        </w:rPr>
      </w:pPr>
    </w:p>
    <w:p>
      <w:pPr>
        <w:spacing w:line="276" w:lineRule="auto"/>
        <w:jc w:val="center"/>
        <w:rPr>
          <w:rFonts w:asciiTheme="minorEastAsia" w:hAnsiTheme="minorEastAsia"/>
          <w:sz w:val="24"/>
        </w:rPr>
      </w:pPr>
      <w:r>
        <w:rPr>
          <w:sz w:val="24"/>
        </w:rPr>
        <w:br w:type="page"/>
      </w: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附件3 工程质量保修书</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发包人（全称）：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承包人（全称）：                                  </w:t>
      </w:r>
    </w:p>
    <w:p>
      <w:pPr>
        <w:spacing w:line="276" w:lineRule="auto"/>
        <w:jc w:val="left"/>
        <w:rPr>
          <w:rFonts w:asciiTheme="minorEastAsia" w:hAnsiTheme="minorEastAsia"/>
          <w:sz w:val="24"/>
        </w:rPr>
      </w:pPr>
      <w:r>
        <w:rPr>
          <w:rFonts w:hint="eastAsia" w:asciiTheme="minorEastAsia" w:hAnsiTheme="minorEastAsia" w:eastAsiaTheme="minorEastAsia"/>
          <w:sz w:val="24"/>
        </w:rPr>
        <w:t>发包人和承包人根据《中华人民共和国建筑法》和《建设工程质量管理条例》，经协商一致就                 （工程全称）订立工程质量保修书。</w:t>
      </w:r>
    </w:p>
    <w:p>
      <w:pPr>
        <w:spacing w:line="276" w:lineRule="auto"/>
        <w:jc w:val="left"/>
        <w:rPr>
          <w:rFonts w:asciiTheme="minorEastAsia" w:hAnsiTheme="minorEastAsia"/>
          <w:sz w:val="24"/>
        </w:rPr>
      </w:pPr>
      <w:r>
        <w:rPr>
          <w:rFonts w:hint="eastAsia" w:asciiTheme="minorEastAsia" w:hAnsiTheme="minorEastAsia" w:eastAsiaTheme="minorEastAsia"/>
          <w:sz w:val="24"/>
        </w:rPr>
        <w:t>一、工程质量保修范围和内容</w:t>
      </w:r>
    </w:p>
    <w:p>
      <w:pPr>
        <w:spacing w:line="276" w:lineRule="auto"/>
        <w:jc w:val="left"/>
        <w:rPr>
          <w:rFonts w:asciiTheme="minorEastAsia" w:hAnsiTheme="minorEastAsia"/>
          <w:sz w:val="24"/>
        </w:rPr>
      </w:pPr>
      <w:r>
        <w:rPr>
          <w:rFonts w:hint="eastAsia" w:asciiTheme="minorEastAsia" w:hAnsiTheme="minorEastAsia" w:eastAsiaTheme="minorEastAsia"/>
          <w:sz w:val="24"/>
        </w:rPr>
        <w:t>承包人在质量保修期内，按照有关法律规定和合同约定，承担工程质量保修责任。</w:t>
      </w:r>
    </w:p>
    <w:p>
      <w:pPr>
        <w:spacing w:line="276" w:lineRule="auto"/>
        <w:jc w:val="left"/>
        <w:rPr>
          <w:rFonts w:asciiTheme="minorEastAsia" w:hAnsiTheme="minorEastAsia"/>
          <w:sz w:val="24"/>
        </w:rPr>
      </w:pPr>
      <w:r>
        <w:rPr>
          <w:rFonts w:hint="eastAsia" w:asciiTheme="minorEastAsia" w:hAnsiTheme="minorEastAsia" w:eastAsiaTheme="minorEastAsia"/>
          <w:sz w:val="24"/>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p>
    <w:p>
      <w:pPr>
        <w:spacing w:line="276" w:lineRule="auto"/>
        <w:jc w:val="left"/>
        <w:rPr>
          <w:rFonts w:asciiTheme="minorEastAsia" w:hAnsiTheme="minorEastAsia"/>
          <w:sz w:val="24"/>
        </w:rPr>
      </w:pPr>
      <w:r>
        <w:rPr>
          <w:rFonts w:hint="eastAsia" w:asciiTheme="minorEastAsia" w:hAnsiTheme="minorEastAsia" w:eastAsiaTheme="minorEastAsia"/>
          <w:sz w:val="24"/>
        </w:rPr>
        <w:t>二、质量保修期</w:t>
      </w:r>
    </w:p>
    <w:p>
      <w:pPr>
        <w:spacing w:line="276" w:lineRule="auto"/>
        <w:jc w:val="left"/>
        <w:rPr>
          <w:rFonts w:asciiTheme="minorEastAsia" w:hAnsiTheme="minorEastAsia"/>
          <w:sz w:val="24"/>
        </w:rPr>
      </w:pPr>
      <w:r>
        <w:rPr>
          <w:rFonts w:hint="eastAsia" w:asciiTheme="minorEastAsia" w:hAnsiTheme="minorEastAsia" w:eastAsiaTheme="minorEastAsia"/>
          <w:sz w:val="24"/>
        </w:rPr>
        <w:t>根据《建设工程质量管理条例》及有关规定，工程的质量保修期如下：</w:t>
      </w:r>
    </w:p>
    <w:p>
      <w:pPr>
        <w:spacing w:line="276" w:lineRule="auto"/>
        <w:jc w:val="left"/>
        <w:rPr>
          <w:rFonts w:asciiTheme="minorEastAsia" w:hAnsiTheme="minorEastAsia"/>
          <w:sz w:val="24"/>
        </w:rPr>
      </w:pPr>
      <w:r>
        <w:rPr>
          <w:rFonts w:hint="eastAsia" w:asciiTheme="minorEastAsia" w:hAnsiTheme="minorEastAsia" w:eastAsiaTheme="minorEastAsia"/>
          <w:sz w:val="24"/>
        </w:rPr>
        <w:t>1．地基基础工程和主体结构工程为设计文件规定的工程合理使用年限；</w:t>
      </w:r>
    </w:p>
    <w:p>
      <w:pPr>
        <w:spacing w:line="276" w:lineRule="auto"/>
        <w:jc w:val="left"/>
        <w:rPr>
          <w:rFonts w:asciiTheme="minorEastAsia" w:hAnsiTheme="minorEastAsia"/>
          <w:sz w:val="24"/>
        </w:rPr>
      </w:pPr>
      <w:r>
        <w:rPr>
          <w:rFonts w:hint="eastAsia" w:asciiTheme="minorEastAsia" w:hAnsiTheme="minorEastAsia" w:eastAsiaTheme="minorEastAsia"/>
          <w:sz w:val="24"/>
        </w:rPr>
        <w:t>2．屋面防水工程、有防水要求的卫生间、房间和外墙面的防渗为       年；</w:t>
      </w:r>
    </w:p>
    <w:p>
      <w:pPr>
        <w:spacing w:line="276" w:lineRule="auto"/>
        <w:jc w:val="left"/>
        <w:rPr>
          <w:rFonts w:asciiTheme="minorEastAsia" w:hAnsiTheme="minorEastAsia"/>
          <w:sz w:val="24"/>
        </w:rPr>
      </w:pPr>
      <w:r>
        <w:rPr>
          <w:rFonts w:hint="eastAsia" w:asciiTheme="minorEastAsia" w:hAnsiTheme="minorEastAsia" w:eastAsiaTheme="minorEastAsia"/>
          <w:sz w:val="24"/>
        </w:rPr>
        <w:t>3．装修工程为         年；</w:t>
      </w:r>
    </w:p>
    <w:p>
      <w:pPr>
        <w:spacing w:line="276" w:lineRule="auto"/>
        <w:jc w:val="left"/>
        <w:rPr>
          <w:rFonts w:asciiTheme="minorEastAsia" w:hAnsiTheme="minorEastAsia"/>
          <w:sz w:val="24"/>
        </w:rPr>
      </w:pPr>
      <w:r>
        <w:rPr>
          <w:rFonts w:hint="eastAsia" w:asciiTheme="minorEastAsia" w:hAnsiTheme="minorEastAsia" w:eastAsiaTheme="minorEastAsia"/>
          <w:sz w:val="24"/>
        </w:rPr>
        <w:t>4．电气管线、给排水管道、设备安装工程为           年；</w:t>
      </w:r>
    </w:p>
    <w:p>
      <w:pPr>
        <w:spacing w:line="276" w:lineRule="auto"/>
        <w:jc w:val="left"/>
        <w:rPr>
          <w:rFonts w:asciiTheme="minorEastAsia" w:hAnsiTheme="minorEastAsia"/>
          <w:sz w:val="24"/>
        </w:rPr>
      </w:pPr>
      <w:r>
        <w:rPr>
          <w:rFonts w:hint="eastAsia" w:asciiTheme="minorEastAsia" w:hAnsiTheme="minorEastAsia" w:eastAsiaTheme="minorEastAsia"/>
          <w:sz w:val="24"/>
        </w:rPr>
        <w:t>5．供热与供冷系统为        个采暖期、供冷期；</w:t>
      </w:r>
    </w:p>
    <w:p>
      <w:pPr>
        <w:spacing w:line="276" w:lineRule="auto"/>
        <w:jc w:val="left"/>
        <w:rPr>
          <w:rFonts w:asciiTheme="minorEastAsia" w:hAnsiTheme="minorEastAsia"/>
          <w:sz w:val="24"/>
        </w:rPr>
      </w:pPr>
      <w:r>
        <w:rPr>
          <w:rFonts w:hint="eastAsia" w:asciiTheme="minorEastAsia" w:hAnsiTheme="minorEastAsia" w:eastAsiaTheme="minorEastAsia"/>
          <w:sz w:val="24"/>
        </w:rPr>
        <w:t>6．住宅小区内的给排水设施、道路等配套工程为         年；</w:t>
      </w:r>
    </w:p>
    <w:p>
      <w:pPr>
        <w:spacing w:line="276" w:lineRule="auto"/>
        <w:jc w:val="left"/>
        <w:rPr>
          <w:rFonts w:asciiTheme="minorEastAsia" w:hAnsiTheme="minorEastAsia"/>
          <w:sz w:val="24"/>
        </w:rPr>
      </w:pPr>
      <w:r>
        <w:rPr>
          <w:rFonts w:hint="eastAsia" w:asciiTheme="minorEastAsia" w:hAnsiTheme="minorEastAsia" w:eastAsiaTheme="minorEastAsia"/>
          <w:sz w:val="24"/>
        </w:rPr>
        <w:t>7．其他项目保修期限约定如下：                      。</w:t>
      </w:r>
    </w:p>
    <w:p>
      <w:pPr>
        <w:spacing w:line="276" w:lineRule="auto"/>
        <w:jc w:val="left"/>
        <w:rPr>
          <w:rFonts w:asciiTheme="minorEastAsia" w:hAnsiTheme="minorEastAsia"/>
          <w:sz w:val="24"/>
        </w:rPr>
      </w:pPr>
      <w:r>
        <w:rPr>
          <w:rFonts w:hint="eastAsia" w:asciiTheme="minorEastAsia" w:hAnsiTheme="minorEastAsia" w:eastAsiaTheme="minorEastAsia"/>
          <w:sz w:val="24"/>
        </w:rPr>
        <w:t>质量保修期自工程竣工验收合格之日起计算。</w:t>
      </w:r>
    </w:p>
    <w:p>
      <w:pPr>
        <w:spacing w:line="276" w:lineRule="auto"/>
        <w:jc w:val="left"/>
        <w:rPr>
          <w:rFonts w:asciiTheme="minorEastAsia" w:hAnsiTheme="minorEastAsia"/>
          <w:sz w:val="24"/>
        </w:rPr>
      </w:pPr>
      <w:r>
        <w:rPr>
          <w:rFonts w:hint="eastAsia" w:asciiTheme="minorEastAsia" w:hAnsiTheme="minorEastAsia" w:eastAsiaTheme="minorEastAsia"/>
          <w:sz w:val="24"/>
        </w:rPr>
        <w:t>三、缺陷责任期</w:t>
      </w:r>
    </w:p>
    <w:p>
      <w:pPr>
        <w:spacing w:line="276" w:lineRule="auto"/>
        <w:jc w:val="left"/>
        <w:rPr>
          <w:rFonts w:asciiTheme="minorEastAsia" w:hAnsiTheme="minorEastAsia"/>
          <w:sz w:val="24"/>
        </w:rPr>
      </w:pPr>
      <w:r>
        <w:rPr>
          <w:rFonts w:hint="eastAsia" w:asciiTheme="minorEastAsia" w:hAnsiTheme="minorEastAsia" w:eastAsiaTheme="minorEastAsia"/>
          <w:sz w:val="24"/>
        </w:rPr>
        <w:t>工程缺陷责任期为      个月，缺陷责任期自工程通过竣工验收之日起计算。单位/区段工程先于全部工程进行验收，单位/区段工程缺陷责任期自单位/区段工程验收合格之日起算。</w:t>
      </w:r>
    </w:p>
    <w:p>
      <w:pPr>
        <w:spacing w:line="276" w:lineRule="auto"/>
        <w:jc w:val="left"/>
        <w:rPr>
          <w:rFonts w:asciiTheme="minorEastAsia" w:hAnsiTheme="minorEastAsia"/>
          <w:sz w:val="24"/>
        </w:rPr>
      </w:pPr>
      <w:r>
        <w:rPr>
          <w:rFonts w:hint="eastAsia" w:asciiTheme="minorEastAsia" w:hAnsiTheme="minorEastAsia" w:eastAsiaTheme="minorEastAsia"/>
          <w:sz w:val="24"/>
        </w:rPr>
        <w:t>缺陷责任期终止后，发包人应返还剩余的质量保证金。</w:t>
      </w:r>
    </w:p>
    <w:p>
      <w:pPr>
        <w:spacing w:line="276" w:lineRule="auto"/>
        <w:jc w:val="left"/>
        <w:rPr>
          <w:rFonts w:asciiTheme="minorEastAsia" w:hAnsiTheme="minorEastAsia"/>
          <w:sz w:val="24"/>
        </w:rPr>
      </w:pPr>
      <w:r>
        <w:rPr>
          <w:rFonts w:hint="eastAsia" w:asciiTheme="minorEastAsia" w:hAnsiTheme="minorEastAsia" w:eastAsiaTheme="minorEastAsia"/>
          <w:sz w:val="24"/>
        </w:rPr>
        <w:t>四、质量保修责任</w:t>
      </w:r>
    </w:p>
    <w:p>
      <w:pPr>
        <w:spacing w:line="276" w:lineRule="auto"/>
        <w:jc w:val="left"/>
        <w:rPr>
          <w:rFonts w:asciiTheme="minorEastAsia" w:hAnsiTheme="minorEastAsia"/>
          <w:sz w:val="24"/>
        </w:rPr>
      </w:pPr>
      <w:r>
        <w:rPr>
          <w:rFonts w:hint="eastAsia" w:asciiTheme="minorEastAsia" w:hAnsiTheme="minorEastAsia" w:eastAsiaTheme="minorEastAsia"/>
          <w:sz w:val="24"/>
        </w:rPr>
        <w:t>1．属于保修范围、内容的项目，承包人应当在接到保修通知之日起7天内派人保修。承包人不在约定期限内派人保修的，发包人可以委托他人修理。</w:t>
      </w:r>
    </w:p>
    <w:p>
      <w:pPr>
        <w:spacing w:line="276" w:lineRule="auto"/>
        <w:jc w:val="left"/>
        <w:rPr>
          <w:rFonts w:asciiTheme="minorEastAsia" w:hAnsiTheme="minorEastAsia"/>
          <w:sz w:val="24"/>
        </w:rPr>
      </w:pPr>
      <w:r>
        <w:rPr>
          <w:rFonts w:hint="eastAsia" w:asciiTheme="minorEastAsia" w:hAnsiTheme="minorEastAsia" w:eastAsiaTheme="minorEastAsia"/>
          <w:sz w:val="24"/>
        </w:rPr>
        <w:t>2．发生紧急事故需抢修的，承包人在接到事故通知后，应当立即到达事故现场抢修。</w:t>
      </w:r>
    </w:p>
    <w:p>
      <w:pPr>
        <w:spacing w:line="276" w:lineRule="auto"/>
        <w:jc w:val="left"/>
        <w:rPr>
          <w:rFonts w:asciiTheme="minorEastAsia" w:hAnsiTheme="minorEastAsia"/>
          <w:sz w:val="24"/>
        </w:rPr>
      </w:pPr>
      <w:r>
        <w:rPr>
          <w:rFonts w:hint="eastAsia" w:asciiTheme="minorEastAsia" w:hAnsiTheme="minorEastAsia" w:eastAsiaTheme="minorEastAsia"/>
          <w:sz w:val="24"/>
        </w:rPr>
        <w:t>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p>
    <w:p>
      <w:pPr>
        <w:spacing w:line="276" w:lineRule="auto"/>
        <w:jc w:val="left"/>
        <w:rPr>
          <w:rFonts w:asciiTheme="minorEastAsia" w:hAnsiTheme="minorEastAsia"/>
          <w:sz w:val="24"/>
        </w:rPr>
      </w:pPr>
      <w:r>
        <w:rPr>
          <w:rFonts w:hint="eastAsia" w:asciiTheme="minorEastAsia" w:hAnsiTheme="minorEastAsia" w:eastAsiaTheme="minorEastAsia"/>
          <w:sz w:val="24"/>
        </w:rPr>
        <w:t>4．质量保修完成后，由发包人组织验收。</w:t>
      </w:r>
    </w:p>
    <w:p>
      <w:pPr>
        <w:spacing w:line="276" w:lineRule="auto"/>
        <w:jc w:val="left"/>
        <w:rPr>
          <w:rFonts w:asciiTheme="minorEastAsia" w:hAnsiTheme="minorEastAsia"/>
          <w:sz w:val="24"/>
        </w:rPr>
      </w:pPr>
      <w:r>
        <w:rPr>
          <w:rFonts w:hint="eastAsia" w:asciiTheme="minorEastAsia" w:hAnsiTheme="minorEastAsia" w:eastAsiaTheme="minorEastAsia"/>
          <w:sz w:val="24"/>
        </w:rPr>
        <w:t>五、保修费用</w:t>
      </w:r>
    </w:p>
    <w:p>
      <w:pPr>
        <w:spacing w:line="276" w:lineRule="auto"/>
        <w:jc w:val="left"/>
        <w:rPr>
          <w:rFonts w:asciiTheme="minorEastAsia" w:hAnsiTheme="minorEastAsia"/>
          <w:sz w:val="24"/>
        </w:rPr>
      </w:pPr>
      <w:r>
        <w:rPr>
          <w:rFonts w:hint="eastAsia" w:asciiTheme="minorEastAsia" w:hAnsiTheme="minorEastAsia" w:eastAsiaTheme="minorEastAsia"/>
          <w:sz w:val="24"/>
        </w:rPr>
        <w:t>保修费用由造成质量缺陷的责任方承担。</w:t>
      </w:r>
    </w:p>
    <w:p>
      <w:pPr>
        <w:spacing w:line="276" w:lineRule="auto"/>
        <w:jc w:val="left"/>
        <w:rPr>
          <w:rFonts w:asciiTheme="minorEastAsia" w:hAnsiTheme="minorEastAsia"/>
          <w:sz w:val="24"/>
        </w:rPr>
      </w:pPr>
      <w:r>
        <w:rPr>
          <w:rFonts w:hint="eastAsia" w:asciiTheme="minorEastAsia" w:hAnsiTheme="minorEastAsia" w:eastAsiaTheme="minorEastAsia"/>
          <w:sz w:val="24"/>
        </w:rPr>
        <w:t>六、双方约定的其他工程质量保修事项：                。</w:t>
      </w:r>
    </w:p>
    <w:p>
      <w:pPr>
        <w:spacing w:line="276" w:lineRule="auto"/>
        <w:jc w:val="left"/>
        <w:rPr>
          <w:rFonts w:asciiTheme="minorEastAsia" w:hAnsiTheme="minorEastAsia"/>
          <w:sz w:val="24"/>
        </w:rPr>
      </w:pPr>
      <w:r>
        <w:rPr>
          <w:rFonts w:hint="eastAsia" w:asciiTheme="minorEastAsia" w:hAnsiTheme="minorEastAsia" w:eastAsiaTheme="minorEastAsia"/>
          <w:sz w:val="24"/>
        </w:rPr>
        <w:t>工程质量保修书由发包人、承包人在工程竣工验收前共同签署，作为工程总承包合同附件，其有效期限至保修期满。</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发包人(公章)：               承包人(公章)：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地  址：                     地  址：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法定代表人(签字)：           法定代表人(签字)：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委托代理人(签字)：           委托代理人(签字)：       </w:t>
      </w:r>
    </w:p>
    <w:p>
      <w:pPr>
        <w:spacing w:line="276" w:lineRule="auto"/>
        <w:jc w:val="left"/>
        <w:rPr>
          <w:rFonts w:asciiTheme="minorEastAsia" w:hAnsiTheme="minorEastAsia"/>
          <w:sz w:val="24"/>
        </w:rPr>
      </w:pPr>
      <w:r>
        <w:rPr>
          <w:rFonts w:hint="eastAsia" w:asciiTheme="minorEastAsia" w:hAnsiTheme="minorEastAsia" w:eastAsiaTheme="minorEastAsia"/>
          <w:sz w:val="24"/>
        </w:rPr>
        <w:t>电  话：                     电  话：</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传  真：                     传  真：  </w:t>
      </w:r>
    </w:p>
    <w:p>
      <w:pPr>
        <w:spacing w:line="276" w:lineRule="auto"/>
        <w:jc w:val="left"/>
        <w:rPr>
          <w:rFonts w:asciiTheme="minorEastAsia" w:hAnsiTheme="minorEastAsia"/>
          <w:sz w:val="24"/>
        </w:rPr>
      </w:pPr>
      <w:r>
        <w:rPr>
          <w:rFonts w:hint="eastAsia" w:asciiTheme="minorEastAsia" w:hAnsiTheme="minorEastAsia" w:eastAsiaTheme="minorEastAsia"/>
          <w:sz w:val="24"/>
        </w:rPr>
        <w:t>开户银行：                   开户银行：</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账  号：                     账  号：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邮政编码：                   邮政编码：   </w:t>
      </w: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 </w:t>
      </w:r>
      <w:r>
        <w:rPr>
          <w:sz w:val="24"/>
        </w:rPr>
        <w:drawing>
          <wp:inline distT="0" distB="0" distL="0" distR="0">
            <wp:extent cx="152400" cy="152400"/>
            <wp:effectExtent l="19050" t="0" r="0" b="0"/>
            <wp:docPr id="890629786" name="R753b45b6c02840f4" descr="R753b45b6c02840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629786" name="R753b45b6c02840f4" descr="R753b45b6c02840f4"/>
                    <pic:cNvPicPr>
                      <a:picLocks noChangeAspect="1"/>
                    </pic:cNvPicPr>
                  </pic:nvPicPr>
                  <pic:blipFill>
                    <a:blip r:embed="rId9" cstate="print"/>
                    <a:stretch>
                      <a:fillRect/>
                    </a:stretch>
                  </pic:blipFill>
                  <pic:spPr>
                    <a:xfrm>
                      <a:off x="0" y="0"/>
                      <a:ext cx="152400" cy="152400"/>
                    </a:xfrm>
                    <a:prstGeom prst="rect">
                      <a:avLst/>
                    </a:prstGeom>
                  </pic:spPr>
                </pic:pic>
              </a:graphicData>
            </a:graphic>
          </wp:inline>
        </w:drawing>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sz w:val="24"/>
        </w:rPr>
        <w:br w:type="page"/>
      </w: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附件4 主要建设工程文件目录</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tbl>
      <w:tblPr>
        <w:tblStyle w:val="39"/>
        <w:tblW w:w="829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913"/>
        <w:gridCol w:w="1148"/>
        <w:gridCol w:w="1305"/>
        <w:gridCol w:w="1119"/>
        <w:gridCol w:w="1306"/>
        <w:gridCol w:w="150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文件名称</w:t>
            </w:r>
          </w:p>
        </w:tc>
        <w:tc>
          <w:tcPr>
            <w:tcW w:w="1148"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套数</w:t>
            </w:r>
          </w:p>
        </w:tc>
        <w:tc>
          <w:tcPr>
            <w:tcW w:w="1305"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费用（元）</w:t>
            </w:r>
          </w:p>
        </w:tc>
        <w:tc>
          <w:tcPr>
            <w:tcW w:w="1119"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质量</w:t>
            </w:r>
          </w:p>
        </w:tc>
        <w:tc>
          <w:tcPr>
            <w:tcW w:w="1305"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移交时间</w:t>
            </w:r>
          </w:p>
        </w:tc>
        <w:tc>
          <w:tcPr>
            <w:tcW w:w="150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责任人</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913" w:type="dxa"/>
            <w:vAlign w:val="center"/>
          </w:tcPr>
          <w:p>
            <w:pPr>
              <w:spacing w:line="276" w:lineRule="auto"/>
              <w:jc w:val="left"/>
              <w:rPr>
                <w:rFonts w:asciiTheme="minorEastAsia" w:hAnsiTheme="minorEastAsia"/>
                <w:sz w:val="24"/>
              </w:rPr>
            </w:pPr>
          </w:p>
        </w:tc>
        <w:tc>
          <w:tcPr>
            <w:tcW w:w="1148"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119" w:type="dxa"/>
            <w:vAlign w:val="center"/>
          </w:tcPr>
          <w:p>
            <w:pPr>
              <w:spacing w:line="276" w:lineRule="auto"/>
              <w:jc w:val="left"/>
              <w:rPr>
                <w:rFonts w:asciiTheme="minorEastAsia" w:hAnsiTheme="minorEastAsia"/>
                <w:sz w:val="24"/>
              </w:rPr>
            </w:pPr>
          </w:p>
        </w:tc>
        <w:tc>
          <w:tcPr>
            <w:tcW w:w="1305" w:type="dxa"/>
            <w:vAlign w:val="center"/>
          </w:tcPr>
          <w:p>
            <w:pPr>
              <w:spacing w:line="276" w:lineRule="auto"/>
              <w:jc w:val="left"/>
              <w:rPr>
                <w:rFonts w:asciiTheme="minorEastAsia" w:hAnsiTheme="minorEastAsia"/>
                <w:sz w:val="24"/>
              </w:rPr>
            </w:pPr>
          </w:p>
        </w:tc>
        <w:tc>
          <w:tcPr>
            <w:tcW w:w="1503" w:type="dxa"/>
            <w:vAlign w:val="center"/>
          </w:tcPr>
          <w:p>
            <w:pPr>
              <w:spacing w:line="276" w:lineRule="auto"/>
              <w:jc w:val="left"/>
              <w:rPr>
                <w:rFonts w:asciiTheme="minorEastAsia" w:hAnsiTheme="minorEastAsia"/>
                <w:sz w:val="24"/>
              </w:rPr>
            </w:pPr>
          </w:p>
        </w:tc>
      </w:tr>
    </w:tbl>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 </w:t>
      </w:r>
      <w:r>
        <w:rPr>
          <w:sz w:val="24"/>
        </w:rPr>
        <w:drawing>
          <wp:inline distT="0" distB="0" distL="0" distR="0">
            <wp:extent cx="152400" cy="152400"/>
            <wp:effectExtent l="19050" t="0" r="0" b="0"/>
            <wp:docPr id="396606105" name="R18bf1409ec774b09" descr="R18bf1409ec774b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606105" name="R18bf1409ec774b09" descr="R18bf1409ec774b09"/>
                    <pic:cNvPicPr>
                      <a:picLocks noChangeAspect="1"/>
                    </pic:cNvPicPr>
                  </pic:nvPicPr>
                  <pic:blipFill>
                    <a:blip r:embed="rId9" cstate="print"/>
                    <a:stretch>
                      <a:fillRect/>
                    </a:stretch>
                  </pic:blipFill>
                  <pic:spPr>
                    <a:xfrm>
                      <a:off x="0" y="0"/>
                      <a:ext cx="152400" cy="152400"/>
                    </a:xfrm>
                    <a:prstGeom prst="rect">
                      <a:avLst/>
                    </a:prstGeom>
                  </pic:spPr>
                </pic:pic>
              </a:graphicData>
            </a:graphic>
          </wp:inline>
        </w:drawing>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sz w:val="24"/>
        </w:rPr>
        <w:br w:type="page"/>
      </w: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附件5 承包人主要管理人员表</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tbl>
      <w:tblPr>
        <w:tblStyle w:val="39"/>
        <w:tblW w:w="829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73"/>
        <w:gridCol w:w="1294"/>
        <w:gridCol w:w="1035"/>
        <w:gridCol w:w="1035"/>
        <w:gridCol w:w="3558"/>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名    称</w:t>
            </w:r>
          </w:p>
        </w:tc>
        <w:tc>
          <w:tcPr>
            <w:tcW w:w="1294"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姓名</w:t>
            </w:r>
          </w:p>
        </w:tc>
        <w:tc>
          <w:tcPr>
            <w:tcW w:w="1035"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职务</w:t>
            </w:r>
          </w:p>
        </w:tc>
        <w:tc>
          <w:tcPr>
            <w:tcW w:w="1035"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职称</w:t>
            </w:r>
          </w:p>
        </w:tc>
        <w:tc>
          <w:tcPr>
            <w:tcW w:w="3556"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主要资历、经验及承担过的项目</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295" w:type="dxa"/>
            <w:gridSpan w:val="5"/>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一、总部人员</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项目主管</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left"/>
              <w:rPr>
                <w:rFonts w:asciiTheme="minorEastAsia" w:hAnsiTheme="minorEastAsia"/>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其他人员</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left"/>
              <w:rPr>
                <w:rFonts w:asciiTheme="minorEastAsia" w:hAnsiTheme="minorEastAsia"/>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295" w:type="dxa"/>
            <w:gridSpan w:val="5"/>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二、现场人员</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工程总承包</w:t>
            </w:r>
          </w:p>
          <w:p>
            <w:pPr>
              <w:spacing w:line="276" w:lineRule="auto"/>
              <w:jc w:val="center"/>
              <w:rPr>
                <w:rFonts w:asciiTheme="minorEastAsia" w:hAnsiTheme="minorEastAsia"/>
                <w:sz w:val="24"/>
              </w:rPr>
            </w:pPr>
            <w:r>
              <w:rPr>
                <w:rFonts w:hint="eastAsia" w:asciiTheme="minorEastAsia" w:hAnsiTheme="minorEastAsia" w:eastAsiaTheme="minorEastAsia"/>
                <w:sz w:val="24"/>
              </w:rPr>
              <w:t>项目经理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项目副经理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设计负责人</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采购负责人</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施工负责人</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技术负责人</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造价管理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质量管理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计划管理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安全管理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环境管理</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1373" w:type="dxa"/>
            <w:vMerge w:val="restart"/>
            <w:vAlign w:val="center"/>
          </w:tcPr>
          <w:p>
            <w:pPr>
              <w:spacing w:line="276" w:lineRule="auto"/>
              <w:jc w:val="center"/>
              <w:rPr>
                <w:rFonts w:asciiTheme="minorEastAsia" w:hAnsiTheme="minorEastAsia"/>
                <w:sz w:val="24"/>
              </w:rPr>
            </w:pPr>
            <w:r>
              <w:rPr>
                <w:rFonts w:hint="eastAsia" w:asciiTheme="minorEastAsia" w:hAnsiTheme="minorEastAsia" w:eastAsiaTheme="minorEastAsia"/>
                <w:sz w:val="24"/>
              </w:rPr>
              <w:t>其他人员</w:t>
            </w: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1294"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1035" w:type="dxa"/>
            <w:vAlign w:val="center"/>
          </w:tcPr>
          <w:p>
            <w:pPr>
              <w:spacing w:line="276" w:lineRule="auto"/>
              <w:jc w:val="left"/>
              <w:rPr>
                <w:rFonts w:asciiTheme="minorEastAsia" w:hAnsiTheme="minorEastAsia"/>
                <w:sz w:val="24"/>
              </w:rPr>
            </w:pPr>
          </w:p>
        </w:tc>
        <w:tc>
          <w:tcPr>
            <w:tcW w:w="3556" w:type="dxa"/>
            <w:vAlign w:val="center"/>
          </w:tcPr>
          <w:p>
            <w:pPr>
              <w:spacing w:line="276" w:lineRule="auto"/>
              <w:jc w:val="left"/>
              <w:rPr>
                <w:rFonts w:asciiTheme="minorEastAsia" w:hAnsiTheme="minorEastAsia"/>
                <w:sz w:val="24"/>
              </w:rPr>
            </w:pPr>
          </w:p>
        </w:tc>
      </w:tr>
    </w:tbl>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 </w:t>
      </w:r>
      <w:r>
        <w:rPr>
          <w:sz w:val="24"/>
        </w:rPr>
        <w:drawing>
          <wp:inline distT="0" distB="0" distL="0" distR="0">
            <wp:extent cx="152400" cy="152400"/>
            <wp:effectExtent l="19050" t="0" r="0" b="0"/>
            <wp:docPr id="348223946" name="R119393eef6ae4aa9" descr="R119393eef6ae4aa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23946" name="R119393eef6ae4aa9" descr="R119393eef6ae4aa9"/>
                    <pic:cNvPicPr>
                      <a:picLocks noChangeAspect="1"/>
                    </pic:cNvPicPr>
                  </pic:nvPicPr>
                  <pic:blipFill>
                    <a:blip r:embed="rId9" cstate="print"/>
                    <a:stretch>
                      <a:fillRect/>
                    </a:stretch>
                  </pic:blipFill>
                  <pic:spPr>
                    <a:xfrm>
                      <a:off x="0" y="0"/>
                      <a:ext cx="152400" cy="152400"/>
                    </a:xfrm>
                    <a:prstGeom prst="rect">
                      <a:avLst/>
                    </a:prstGeom>
                  </pic:spPr>
                </pic:pic>
              </a:graphicData>
            </a:graphic>
          </wp:inline>
        </w:drawing>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sz w:val="24"/>
        </w:rPr>
        <w:br w:type="page"/>
      </w: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附件6 价格指数权重表</w:t>
      </w:r>
    </w:p>
    <w:p>
      <w:pPr>
        <w:spacing w:line="276" w:lineRule="auto"/>
        <w:jc w:val="left"/>
        <w:rPr>
          <w:rFonts w:asciiTheme="minorEastAsia" w:hAnsiTheme="minorEastAsia"/>
          <w:sz w:val="24"/>
        </w:rPr>
      </w:pPr>
    </w:p>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tbl>
      <w:tblPr>
        <w:tblStyle w:val="39"/>
        <w:tblW w:w="8295"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7"/>
        <w:gridCol w:w="576"/>
        <w:gridCol w:w="864"/>
        <w:gridCol w:w="1198"/>
        <w:gridCol w:w="1065"/>
        <w:gridCol w:w="1199"/>
        <w:gridCol w:w="1214"/>
        <w:gridCol w:w="136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Merge w:val="restart"/>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序号</w:t>
            </w:r>
          </w:p>
        </w:tc>
        <w:tc>
          <w:tcPr>
            <w:tcW w:w="1440" w:type="dxa"/>
            <w:gridSpan w:val="2"/>
            <w:vMerge w:val="restart"/>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名称</w:t>
            </w:r>
          </w:p>
        </w:tc>
        <w:tc>
          <w:tcPr>
            <w:tcW w:w="2263" w:type="dxa"/>
            <w:gridSpan w:val="2"/>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变更权重B</w:t>
            </w:r>
          </w:p>
        </w:tc>
        <w:tc>
          <w:tcPr>
            <w:tcW w:w="2411" w:type="dxa"/>
            <w:gridSpan w:val="2"/>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基本价格指数F0</w:t>
            </w:r>
          </w:p>
        </w:tc>
        <w:tc>
          <w:tcPr>
            <w:tcW w:w="1361"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备注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0" w:type="dxa"/>
            <w:vMerge w:val="continue"/>
            <w:vAlign w:val="center"/>
          </w:tcPr>
          <w:p>
            <w:pPr>
              <w:spacing w:line="276" w:lineRule="auto"/>
              <w:rPr>
                <w:sz w:val="24"/>
              </w:rPr>
            </w:pPr>
          </w:p>
        </w:tc>
        <w:tc>
          <w:tcPr>
            <w:tcW w:w="0" w:type="dxa"/>
            <w:gridSpan w:val="2"/>
            <w:vMerge w:val="continue"/>
            <w:vAlign w:val="center"/>
          </w:tcPr>
          <w:p>
            <w:pPr>
              <w:spacing w:line="276" w:lineRule="auto"/>
              <w:rPr>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代号</w:t>
            </w:r>
          </w:p>
        </w:tc>
        <w:tc>
          <w:tcPr>
            <w:tcW w:w="1065"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权重</w:t>
            </w: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代号</w:t>
            </w:r>
          </w:p>
        </w:tc>
        <w:tc>
          <w:tcPr>
            <w:tcW w:w="1213"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指数</w:t>
            </w: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576" w:type="dxa"/>
            <w:vMerge w:val="restart"/>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变</w:t>
            </w:r>
          </w:p>
          <w:p>
            <w:pPr>
              <w:spacing w:line="276" w:lineRule="auto"/>
              <w:jc w:val="left"/>
              <w:rPr>
                <w:rFonts w:asciiTheme="minorEastAsia" w:hAnsiTheme="minorEastAsia"/>
                <w:sz w:val="24"/>
              </w:rPr>
            </w:pPr>
            <w:r>
              <w:rPr>
                <w:rFonts w:hint="eastAsia" w:asciiTheme="minorEastAsia" w:hAnsiTheme="minorEastAsia" w:eastAsiaTheme="minorEastAsia"/>
                <w:sz w:val="24"/>
              </w:rPr>
              <w:t>值</w:t>
            </w:r>
          </w:p>
          <w:p>
            <w:pPr>
              <w:spacing w:line="276" w:lineRule="auto"/>
              <w:jc w:val="left"/>
              <w:rPr>
                <w:rFonts w:asciiTheme="minorEastAsia" w:hAnsiTheme="minorEastAsia"/>
                <w:sz w:val="24"/>
              </w:rPr>
            </w:pPr>
            <w:r>
              <w:rPr>
                <w:rFonts w:hint="eastAsia" w:asciiTheme="minorEastAsia" w:hAnsiTheme="minorEastAsia" w:eastAsiaTheme="minorEastAsia"/>
                <w:sz w:val="24"/>
              </w:rPr>
              <w:t>部</w:t>
            </w:r>
          </w:p>
          <w:p>
            <w:pPr>
              <w:spacing w:line="276" w:lineRule="auto"/>
              <w:jc w:val="left"/>
              <w:rPr>
                <w:rFonts w:asciiTheme="minorEastAsia" w:hAnsiTheme="minorEastAsia"/>
                <w:sz w:val="24"/>
              </w:rPr>
            </w:pPr>
            <w:r>
              <w:rPr>
                <w:rFonts w:hint="eastAsia" w:asciiTheme="minorEastAsia" w:hAnsiTheme="minorEastAsia" w:eastAsiaTheme="minorEastAsia"/>
                <w:sz w:val="24"/>
              </w:rPr>
              <w:t>分</w:t>
            </w: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B1</w:t>
            </w: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F01</w:t>
            </w: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0" w:type="dxa"/>
            <w:vMerge w:val="continue"/>
            <w:vAlign w:val="center"/>
          </w:tcPr>
          <w:p>
            <w:pPr>
              <w:spacing w:line="276" w:lineRule="auto"/>
              <w:rPr>
                <w:sz w:val="24"/>
              </w:rPr>
            </w:pP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B2</w:t>
            </w: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F02</w:t>
            </w: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0" w:type="dxa"/>
            <w:vMerge w:val="continue"/>
            <w:vAlign w:val="center"/>
          </w:tcPr>
          <w:p>
            <w:pPr>
              <w:spacing w:line="276" w:lineRule="auto"/>
              <w:rPr>
                <w:sz w:val="24"/>
              </w:rPr>
            </w:pP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B3</w:t>
            </w: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F03</w:t>
            </w: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0" w:type="dxa"/>
            <w:vMerge w:val="continue"/>
            <w:vAlign w:val="center"/>
          </w:tcPr>
          <w:p>
            <w:pPr>
              <w:spacing w:line="276" w:lineRule="auto"/>
              <w:rPr>
                <w:sz w:val="24"/>
              </w:rPr>
            </w:pP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B4</w:t>
            </w: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F04</w:t>
            </w: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0" w:type="dxa"/>
            <w:vMerge w:val="continue"/>
            <w:vAlign w:val="center"/>
          </w:tcPr>
          <w:p>
            <w:pPr>
              <w:spacing w:line="276" w:lineRule="auto"/>
              <w:rPr>
                <w:sz w:val="24"/>
              </w:rPr>
            </w:pP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817" w:type="dxa"/>
            <w:vAlign w:val="center"/>
          </w:tcPr>
          <w:p>
            <w:pPr>
              <w:spacing w:line="276" w:lineRule="auto"/>
              <w:jc w:val="left"/>
              <w:rPr>
                <w:rFonts w:asciiTheme="minorEastAsia" w:hAnsiTheme="minorEastAsia"/>
                <w:sz w:val="24"/>
              </w:rPr>
            </w:pPr>
          </w:p>
        </w:tc>
        <w:tc>
          <w:tcPr>
            <w:tcW w:w="0" w:type="dxa"/>
            <w:vMerge w:val="continue"/>
            <w:vAlign w:val="center"/>
          </w:tcPr>
          <w:p>
            <w:pPr>
              <w:spacing w:line="276" w:lineRule="auto"/>
              <w:rPr>
                <w:sz w:val="24"/>
              </w:rPr>
            </w:pPr>
          </w:p>
        </w:tc>
        <w:tc>
          <w:tcPr>
            <w:tcW w:w="864"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257" w:type="dxa"/>
            <w:gridSpan w:val="3"/>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定值部分权重A</w:t>
            </w:r>
          </w:p>
        </w:tc>
        <w:tc>
          <w:tcPr>
            <w:tcW w:w="1198" w:type="dxa"/>
            <w:vAlign w:val="center"/>
          </w:tcPr>
          <w:p>
            <w:pPr>
              <w:spacing w:line="276" w:lineRule="auto"/>
              <w:jc w:val="left"/>
              <w:rPr>
                <w:rFonts w:asciiTheme="minorEastAsia" w:hAnsiTheme="minorEastAsia"/>
                <w:sz w:val="24"/>
              </w:rPr>
            </w:pPr>
          </w:p>
        </w:tc>
        <w:tc>
          <w:tcPr>
            <w:tcW w:w="1065" w:type="dxa"/>
            <w:vAlign w:val="center"/>
          </w:tcPr>
          <w:p>
            <w:pPr>
              <w:spacing w:line="276" w:lineRule="auto"/>
              <w:jc w:val="left"/>
              <w:rPr>
                <w:rFonts w:asciiTheme="minorEastAsia" w:hAnsiTheme="minorEastAsia"/>
                <w:sz w:val="24"/>
              </w:rPr>
            </w:pPr>
          </w:p>
        </w:tc>
        <w:tc>
          <w:tcPr>
            <w:tcW w:w="1198" w:type="dxa"/>
            <w:vAlign w:val="center"/>
          </w:tcPr>
          <w:p>
            <w:pPr>
              <w:spacing w:line="276" w:lineRule="auto"/>
              <w:jc w:val="left"/>
              <w:rPr>
                <w:rFonts w:asciiTheme="minorEastAsia" w:hAnsiTheme="minorEastAsia"/>
                <w:sz w:val="24"/>
              </w:rPr>
            </w:pPr>
          </w:p>
        </w:tc>
        <w:tc>
          <w:tcPr>
            <w:tcW w:w="1213" w:type="dxa"/>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2257" w:type="dxa"/>
            <w:gridSpan w:val="3"/>
            <w:vAlign w:val="center"/>
          </w:tcPr>
          <w:p>
            <w:pPr>
              <w:spacing w:line="276" w:lineRule="auto"/>
              <w:jc w:val="left"/>
              <w:rPr>
                <w:rFonts w:asciiTheme="minorEastAsia" w:hAnsiTheme="minorEastAsia"/>
                <w:sz w:val="24"/>
              </w:rPr>
            </w:pPr>
            <w:r>
              <w:rPr>
                <w:rFonts w:hint="eastAsia" w:asciiTheme="minorEastAsia" w:hAnsiTheme="minorEastAsia" w:eastAsiaTheme="minorEastAsia"/>
                <w:sz w:val="24"/>
              </w:rPr>
              <w:t>合计</w:t>
            </w:r>
          </w:p>
        </w:tc>
        <w:tc>
          <w:tcPr>
            <w:tcW w:w="2263" w:type="dxa"/>
            <w:gridSpan w:val="2"/>
            <w:vAlign w:val="center"/>
          </w:tcPr>
          <w:p>
            <w:pPr>
              <w:spacing w:line="276" w:lineRule="auto"/>
              <w:jc w:val="left"/>
              <w:rPr>
                <w:rFonts w:asciiTheme="minorEastAsia" w:hAnsiTheme="minorEastAsia"/>
                <w:sz w:val="24"/>
              </w:rPr>
            </w:pPr>
          </w:p>
        </w:tc>
        <w:tc>
          <w:tcPr>
            <w:tcW w:w="2411" w:type="dxa"/>
            <w:gridSpan w:val="2"/>
            <w:vAlign w:val="center"/>
          </w:tcPr>
          <w:p>
            <w:pPr>
              <w:spacing w:line="276" w:lineRule="auto"/>
              <w:jc w:val="left"/>
              <w:rPr>
                <w:rFonts w:asciiTheme="minorEastAsia" w:hAnsiTheme="minorEastAsia"/>
                <w:sz w:val="24"/>
              </w:rPr>
            </w:pPr>
          </w:p>
        </w:tc>
        <w:tc>
          <w:tcPr>
            <w:tcW w:w="1361" w:type="dxa"/>
            <w:vAlign w:val="center"/>
          </w:tcPr>
          <w:p>
            <w:pPr>
              <w:spacing w:line="276" w:lineRule="auto"/>
              <w:jc w:val="left"/>
              <w:rPr>
                <w:rFonts w:asciiTheme="minorEastAsia" w:hAnsiTheme="minorEastAsia"/>
                <w:sz w:val="24"/>
              </w:rPr>
            </w:pPr>
          </w:p>
        </w:tc>
      </w:tr>
    </w:tbl>
    <w:p>
      <w:pPr>
        <w:spacing w:line="276" w:lineRule="auto"/>
        <w:jc w:val="left"/>
        <w:rPr>
          <w:rFonts w:asciiTheme="minorEastAsia" w:hAnsiTheme="minorEastAsia"/>
          <w:sz w:val="24"/>
        </w:rPr>
      </w:pPr>
      <w:r>
        <w:rPr>
          <w:rFonts w:hint="eastAsia" w:asciiTheme="minorEastAsia" w:hAnsiTheme="minorEastAsia" w:eastAsiaTheme="minorEastAsia"/>
          <w:sz w:val="24"/>
        </w:rPr>
        <w:t xml:space="preserve">                                       </w:t>
      </w:r>
    </w:p>
    <w:p>
      <w:pPr>
        <w:spacing w:line="276" w:lineRule="auto"/>
        <w:ind w:firstLine="475" w:firstLineChars="198"/>
        <w:jc w:val="left"/>
        <w:rPr>
          <w:rFonts w:asciiTheme="minorEastAsia" w:hAnsiTheme="minorEastAsia"/>
          <w:sz w:val="24"/>
        </w:rPr>
      </w:pPr>
      <w:r>
        <w:rPr>
          <w:rFonts w:hint="eastAsia" w:asciiTheme="minorEastAsia" w:hAnsiTheme="minorEastAsia" w:eastAsiaTheme="minorEastAsia"/>
          <w:sz w:val="24"/>
        </w:rPr>
        <w:t xml:space="preserve">      附件: </w:t>
      </w:r>
      <w:r>
        <w:rPr>
          <w:sz w:val="24"/>
        </w:rPr>
        <w:drawing>
          <wp:inline distT="0" distB="0" distL="0" distR="0">
            <wp:extent cx="152400" cy="152400"/>
            <wp:effectExtent l="19050" t="0" r="0" b="0"/>
            <wp:docPr id="703970623" name="R7b564f15f1ce40d1" descr="R7b564f15f1ce40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70623" name="R7b564f15f1ce40d1" descr="R7b564f15f1ce40d1"/>
                    <pic:cNvPicPr>
                      <a:picLocks noChangeAspect="1"/>
                    </pic:cNvPicPr>
                  </pic:nvPicPr>
                  <pic:blipFill>
                    <a:blip r:embed="rId9" cstate="print"/>
                    <a:stretch>
                      <a:fillRect/>
                    </a:stretch>
                  </pic:blipFill>
                  <pic:spPr>
                    <a:xfrm>
                      <a:off x="0" y="0"/>
                      <a:ext cx="152400" cy="152400"/>
                    </a:xfrm>
                    <a:prstGeom prst="rect">
                      <a:avLst/>
                    </a:prstGeom>
                  </pic:spPr>
                </pic:pic>
              </a:graphicData>
            </a:graphic>
          </wp:inline>
        </w:drawing>
      </w:r>
    </w:p>
    <w:sectPr>
      <w:footerReference r:id="rId6" w:type="default"/>
      <w:type w:val="continuous"/>
      <w:pgSz w:w="11907" w:h="16840"/>
      <w:pgMar w:top="1440" w:right="1080" w:bottom="1440" w:left="1080" w:header="851" w:footer="992" w:gutter="0"/>
      <w:pgNumType w:fmt="numberInDash"/>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swiss"/>
    <w:pitch w:val="default"/>
    <w:sig w:usb0="80000287" w:usb1="280F3C52" w:usb2="00000016" w:usb3="00000000" w:csb0="0004001F" w:csb1="00000000"/>
  </w:font>
  <w:font w:name="MingLiU">
    <w:panose1 w:val="02020509000000000000"/>
    <w:charset w:val="88"/>
    <w:family w:val="modern"/>
    <w:pitch w:val="default"/>
    <w:sig w:usb0="A00002FF" w:usb1="28CFFCFA" w:usb2="00000016" w:usb3="00000000" w:csb0="0010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3613873"/>
    </w:sdtPr>
    <w:sdtContent>
      <w:p>
        <w:pPr>
          <w:pStyle w:val="26"/>
          <w:jc w:val="center"/>
        </w:pPr>
        <w:r>
          <w:fldChar w:fldCharType="begin"/>
        </w:r>
        <w:r>
          <w:instrText xml:space="preserve">PAGE   \* MERGEFORMAT</w:instrText>
        </w:r>
        <w:r>
          <w:fldChar w:fldCharType="separate"/>
        </w:r>
        <w:r>
          <w:rPr>
            <w:lang w:val="zh-CN"/>
          </w:rPr>
          <w:t>1</w:t>
        </w:r>
        <w:r>
          <w:fldChar w:fldCharType="end"/>
        </w:r>
      </w:p>
    </w:sdtContent>
  </w:sdt>
  <w:p>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1723438"/>
    </w:sdtPr>
    <w:sdtContent>
      <w:p>
        <w:pPr>
          <w:pStyle w:val="26"/>
          <w:jc w:val="center"/>
        </w:pPr>
        <w:r>
          <w:fldChar w:fldCharType="begin"/>
        </w:r>
        <w:r>
          <w:instrText xml:space="preserve">PAGE   \* MERGEFORMAT</w:instrText>
        </w:r>
        <w:r>
          <w:fldChar w:fldCharType="separate"/>
        </w:r>
        <w:r>
          <w:rPr>
            <w:lang w:val="zh-CN"/>
          </w:rPr>
          <w:t>20</w:t>
        </w:r>
        <w:r>
          <w:fldChar w:fldCharType="end"/>
        </w:r>
      </w:p>
    </w:sdtContent>
  </w:sdt>
  <w:p>
    <w:pPr>
      <w:pStyle w:val="2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4947591"/>
    </w:sdtPr>
    <w:sdtContent>
      <w:p>
        <w:pPr>
          <w:pStyle w:val="26"/>
          <w:jc w:val="center"/>
        </w:pPr>
        <w:r>
          <w:fldChar w:fldCharType="begin"/>
        </w:r>
        <w:r>
          <w:instrText xml:space="preserve">PAGE   \* MERGEFORMAT</w:instrText>
        </w:r>
        <w:r>
          <w:fldChar w:fldCharType="separate"/>
        </w:r>
        <w:r>
          <w:rPr>
            <w:lang w:val="zh-CN"/>
          </w:rPr>
          <w:t>-</w:t>
        </w:r>
        <w:r>
          <w:t xml:space="preserve"> 49 -</w:t>
        </w:r>
        <w:r>
          <w:fldChar w:fldCharType="end"/>
        </w:r>
      </w:p>
    </w:sdtContent>
  </w:sdt>
  <w:p>
    <w:pPr>
      <w:pStyle w:val="26"/>
      <w:rPr>
        <w:rFonts w:ascii="宋体" w:hAnsi="宋体"/>
        <w:sz w:val="28"/>
        <w:szCs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14" w:lineRule="auto"/>
      <w:rPr>
        <w:sz w:val="20"/>
      </w:rPr>
    </w:pPr>
    <w:r>
      <w:rPr>
        <w:sz w:val="24"/>
      </w:rPr>
      <mc:AlternateContent>
        <mc:Choice Requires="wps">
          <w:drawing>
            <wp:anchor distT="0" distB="0" distL="114300" distR="114300" simplePos="0" relativeHeight="251659264" behindDoc="1" locked="0" layoutInCell="1" allowOverlap="1">
              <wp:simplePos x="0" y="0"/>
              <wp:positionH relativeFrom="page">
                <wp:posOffset>3149600</wp:posOffset>
              </wp:positionH>
              <wp:positionV relativeFrom="page">
                <wp:posOffset>934720</wp:posOffset>
              </wp:positionV>
              <wp:extent cx="1224915" cy="356235"/>
              <wp:effectExtent l="0" t="1270" r="0" b="4445"/>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1224915" cy="356235"/>
                      </a:xfrm>
                      <a:prstGeom prst="rect">
                        <a:avLst/>
                      </a:prstGeom>
                      <a:noFill/>
                      <a:ln>
                        <a:noFill/>
                      </a:ln>
                    </wps:spPr>
                    <wps:txbx>
                      <w:txbxContent>
                        <w:p>
                          <w:pPr>
                            <w:spacing w:before="43" w:line="259" w:lineRule="exact"/>
                            <w:ind w:right="18"/>
                            <w:jc w:val="right"/>
                          </w:pP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48pt;margin-top:73.6pt;height:28.05pt;width:96.45pt;mso-position-horizontal-relative:page;mso-position-vertical-relative:page;z-index:-251657216;mso-width-relative:page;mso-height-relative:page;" filled="f" stroked="f" coordsize="21600,21600" o:gfxdata="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X5Xr+2gAAAAsBAAAPAAAAAAAAAAEAIAAAACIAAABkcnMvZG93bnJl&#10;di54bWxQSwECFAAUAAAACACHTuJALlz1LvsBAAAEBAAADgAAAAAAAAABACAAAAApAQAAZHJzL2Uy&#10;b0RvYy54bWxQSwUGAAAAAAYABgBZAQAAlgUAAAAA&#10;">
              <v:fill on="f" focussize="0,0"/>
              <v:stroke on="f"/>
              <v:imagedata o:title=""/>
              <o:lock v:ext="edit" aspectratio="f"/>
              <v:textbox inset="0mm,0mm,0mm,0mm">
                <w:txbxContent>
                  <w:p>
                    <w:pPr>
                      <w:spacing w:before="43" w:line="259" w:lineRule="exact"/>
                      <w:ind w:right="18"/>
                      <w:jc w:val="right"/>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B4330A"/>
    <w:multiLevelType w:val="multilevel"/>
    <w:tmpl w:val="55B4330A"/>
    <w:lvl w:ilvl="0" w:tentative="0">
      <w:start w:val="1"/>
      <w:numFmt w:val="decimal"/>
      <w:suff w:val="space"/>
      <w:lvlText w:val="16.%1"/>
      <w:lvlJc w:val="left"/>
      <w:pPr>
        <w:ind w:left="888" w:hanging="420"/>
      </w:pPr>
      <w:rPr>
        <w:rFonts w:hint="default" w:cs="Times New Roman"/>
        <w:b w:val="0"/>
        <w:color w:val="auto"/>
      </w:rPr>
    </w:lvl>
    <w:lvl w:ilvl="1" w:tentative="0">
      <w:start w:val="1"/>
      <w:numFmt w:val="lowerLetter"/>
      <w:lvlText w:val="%2)"/>
      <w:lvlJc w:val="left"/>
      <w:pPr>
        <w:ind w:left="1308" w:hanging="420"/>
      </w:pPr>
    </w:lvl>
    <w:lvl w:ilvl="2" w:tentative="0">
      <w:start w:val="1"/>
      <w:numFmt w:val="lowerRoman"/>
      <w:lvlText w:val="%3."/>
      <w:lvlJc w:val="right"/>
      <w:pPr>
        <w:ind w:left="1728" w:hanging="420"/>
      </w:pPr>
    </w:lvl>
    <w:lvl w:ilvl="3" w:tentative="0">
      <w:start w:val="1"/>
      <w:numFmt w:val="decimal"/>
      <w:lvlText w:val="%4."/>
      <w:lvlJc w:val="left"/>
      <w:pPr>
        <w:ind w:left="2148" w:hanging="420"/>
      </w:pPr>
    </w:lvl>
    <w:lvl w:ilvl="4" w:tentative="0">
      <w:start w:val="1"/>
      <w:numFmt w:val="lowerLetter"/>
      <w:lvlText w:val="%5)"/>
      <w:lvlJc w:val="left"/>
      <w:pPr>
        <w:ind w:left="2568" w:hanging="420"/>
      </w:pPr>
    </w:lvl>
    <w:lvl w:ilvl="5" w:tentative="0">
      <w:start w:val="1"/>
      <w:numFmt w:val="lowerRoman"/>
      <w:lvlText w:val="%6."/>
      <w:lvlJc w:val="right"/>
      <w:pPr>
        <w:ind w:left="2988" w:hanging="420"/>
      </w:pPr>
    </w:lvl>
    <w:lvl w:ilvl="6" w:tentative="0">
      <w:start w:val="1"/>
      <w:numFmt w:val="decimal"/>
      <w:lvlText w:val="%7."/>
      <w:lvlJc w:val="left"/>
      <w:pPr>
        <w:ind w:left="3408" w:hanging="420"/>
      </w:pPr>
    </w:lvl>
    <w:lvl w:ilvl="7" w:tentative="0">
      <w:start w:val="1"/>
      <w:numFmt w:val="lowerLetter"/>
      <w:lvlText w:val="%8)"/>
      <w:lvlJc w:val="left"/>
      <w:pPr>
        <w:ind w:left="3828" w:hanging="420"/>
      </w:pPr>
    </w:lvl>
    <w:lvl w:ilvl="8" w:tentative="0">
      <w:start w:val="1"/>
      <w:numFmt w:val="lowerRoman"/>
      <w:lvlText w:val="%9."/>
      <w:lvlJc w:val="right"/>
      <w:pPr>
        <w:ind w:left="4248" w:hanging="420"/>
      </w:pPr>
    </w:lvl>
  </w:abstractNum>
  <w:abstractNum w:abstractNumId="1">
    <w:nsid w:val="59C07086"/>
    <w:multiLevelType w:val="singleLevel"/>
    <w:tmpl w:val="59C07086"/>
    <w:lvl w:ilvl="0" w:tentative="0">
      <w:start w:val="1"/>
      <w:numFmt w:val="decimal"/>
      <w:suff w:val="nothing"/>
      <w:lvlText w:val="%1、"/>
      <w:lvlJc w:val="left"/>
    </w:lvl>
  </w:abstractNum>
  <w:abstractNum w:abstractNumId="2">
    <w:nsid w:val="711508C6"/>
    <w:multiLevelType w:val="multilevel"/>
    <w:tmpl w:val="711508C6"/>
    <w:lvl w:ilvl="0" w:tentative="0">
      <w:start w:val="1"/>
      <w:numFmt w:val="decimal"/>
      <w:lvlText w:val="%1."/>
      <w:lvlJc w:val="left"/>
      <w:pPr>
        <w:ind w:left="315" w:hanging="210"/>
      </w:pPr>
      <w:rPr>
        <w:rFonts w:hint="default"/>
      </w:rPr>
    </w:lvl>
    <w:lvl w:ilvl="1" w:tentative="0">
      <w:start w:val="1"/>
      <w:numFmt w:val="lowerLetter"/>
      <w:lvlText w:val="%2)"/>
      <w:lvlJc w:val="left"/>
      <w:pPr>
        <w:ind w:left="945" w:hanging="420"/>
      </w:pPr>
    </w:lvl>
    <w:lvl w:ilvl="2" w:tentative="0">
      <w:start w:val="1"/>
      <w:numFmt w:val="lowerRoman"/>
      <w:lvlText w:val="%3."/>
      <w:lvlJc w:val="right"/>
      <w:pPr>
        <w:ind w:left="1365" w:hanging="420"/>
      </w:pPr>
    </w:lvl>
    <w:lvl w:ilvl="3" w:tentative="0">
      <w:start w:val="1"/>
      <w:numFmt w:val="decimal"/>
      <w:lvlText w:val="%4."/>
      <w:lvlJc w:val="left"/>
      <w:pPr>
        <w:ind w:left="1785" w:hanging="420"/>
      </w:pPr>
    </w:lvl>
    <w:lvl w:ilvl="4" w:tentative="0">
      <w:start w:val="1"/>
      <w:numFmt w:val="lowerLetter"/>
      <w:lvlText w:val="%5)"/>
      <w:lvlJc w:val="left"/>
      <w:pPr>
        <w:ind w:left="2205" w:hanging="420"/>
      </w:pPr>
    </w:lvl>
    <w:lvl w:ilvl="5" w:tentative="0">
      <w:start w:val="1"/>
      <w:numFmt w:val="lowerRoman"/>
      <w:lvlText w:val="%6."/>
      <w:lvlJc w:val="right"/>
      <w:pPr>
        <w:ind w:left="2625" w:hanging="420"/>
      </w:pPr>
    </w:lvl>
    <w:lvl w:ilvl="6" w:tentative="0">
      <w:start w:val="1"/>
      <w:numFmt w:val="decimal"/>
      <w:lvlText w:val="%7."/>
      <w:lvlJc w:val="left"/>
      <w:pPr>
        <w:ind w:left="3045" w:hanging="420"/>
      </w:pPr>
    </w:lvl>
    <w:lvl w:ilvl="7" w:tentative="0">
      <w:start w:val="1"/>
      <w:numFmt w:val="lowerLetter"/>
      <w:lvlText w:val="%8)"/>
      <w:lvlJc w:val="left"/>
      <w:pPr>
        <w:ind w:left="3465" w:hanging="420"/>
      </w:pPr>
    </w:lvl>
    <w:lvl w:ilvl="8" w:tentative="0">
      <w:start w:val="1"/>
      <w:numFmt w:val="lowerRoman"/>
      <w:lvlText w:val="%9."/>
      <w:lvlJc w:val="right"/>
      <w:pPr>
        <w:ind w:left="3885"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BlOGFjOThmMzA0NjNmMDI3YWU1YjI4NjI3NzhiODAifQ=="/>
  </w:docVars>
  <w:rsids>
    <w:rsidRoot w:val="004963CF"/>
    <w:rsid w:val="000002C9"/>
    <w:rsid w:val="00001BA6"/>
    <w:rsid w:val="0000280D"/>
    <w:rsid w:val="000045B2"/>
    <w:rsid w:val="00005ED2"/>
    <w:rsid w:val="00007C75"/>
    <w:rsid w:val="000118D6"/>
    <w:rsid w:val="00011D5F"/>
    <w:rsid w:val="000142E9"/>
    <w:rsid w:val="0001445E"/>
    <w:rsid w:val="000159A0"/>
    <w:rsid w:val="000243AE"/>
    <w:rsid w:val="00025453"/>
    <w:rsid w:val="00026573"/>
    <w:rsid w:val="00027790"/>
    <w:rsid w:val="000320FB"/>
    <w:rsid w:val="000324D1"/>
    <w:rsid w:val="000352C0"/>
    <w:rsid w:val="000353EC"/>
    <w:rsid w:val="0003579C"/>
    <w:rsid w:val="000364FF"/>
    <w:rsid w:val="00036A7C"/>
    <w:rsid w:val="00037250"/>
    <w:rsid w:val="00043BB1"/>
    <w:rsid w:val="00043DEF"/>
    <w:rsid w:val="0004521C"/>
    <w:rsid w:val="00045F05"/>
    <w:rsid w:val="00047A99"/>
    <w:rsid w:val="00047C44"/>
    <w:rsid w:val="00052379"/>
    <w:rsid w:val="0005312C"/>
    <w:rsid w:val="0005711D"/>
    <w:rsid w:val="00063229"/>
    <w:rsid w:val="00065A79"/>
    <w:rsid w:val="00065B86"/>
    <w:rsid w:val="00075C45"/>
    <w:rsid w:val="000771C9"/>
    <w:rsid w:val="00077EFD"/>
    <w:rsid w:val="00080D90"/>
    <w:rsid w:val="00085618"/>
    <w:rsid w:val="00085C54"/>
    <w:rsid w:val="00086878"/>
    <w:rsid w:val="00090C38"/>
    <w:rsid w:val="0009349F"/>
    <w:rsid w:val="000944EF"/>
    <w:rsid w:val="00096CA4"/>
    <w:rsid w:val="00097C46"/>
    <w:rsid w:val="000A08BB"/>
    <w:rsid w:val="000A4C23"/>
    <w:rsid w:val="000A6257"/>
    <w:rsid w:val="000A6D1E"/>
    <w:rsid w:val="000A72B2"/>
    <w:rsid w:val="000B61D8"/>
    <w:rsid w:val="000B6A3F"/>
    <w:rsid w:val="000B718E"/>
    <w:rsid w:val="000B749A"/>
    <w:rsid w:val="000B7D6B"/>
    <w:rsid w:val="000C10A0"/>
    <w:rsid w:val="000C1FF6"/>
    <w:rsid w:val="000C339F"/>
    <w:rsid w:val="000C4C4B"/>
    <w:rsid w:val="000C4E57"/>
    <w:rsid w:val="000C65F1"/>
    <w:rsid w:val="000C6E82"/>
    <w:rsid w:val="000C6F5C"/>
    <w:rsid w:val="000D0B1C"/>
    <w:rsid w:val="000D1244"/>
    <w:rsid w:val="000D3DE4"/>
    <w:rsid w:val="000D4787"/>
    <w:rsid w:val="000E0F96"/>
    <w:rsid w:val="000E170E"/>
    <w:rsid w:val="000E1C7E"/>
    <w:rsid w:val="000E33B7"/>
    <w:rsid w:val="000E52D0"/>
    <w:rsid w:val="000E73EB"/>
    <w:rsid w:val="000F5193"/>
    <w:rsid w:val="000F5880"/>
    <w:rsid w:val="000F6146"/>
    <w:rsid w:val="000F6963"/>
    <w:rsid w:val="0010372F"/>
    <w:rsid w:val="00103B29"/>
    <w:rsid w:val="00103EF3"/>
    <w:rsid w:val="00104100"/>
    <w:rsid w:val="0010426D"/>
    <w:rsid w:val="001049D4"/>
    <w:rsid w:val="00105726"/>
    <w:rsid w:val="00110935"/>
    <w:rsid w:val="00114F40"/>
    <w:rsid w:val="0012037F"/>
    <w:rsid w:val="001205C1"/>
    <w:rsid w:val="001213E7"/>
    <w:rsid w:val="00123F7F"/>
    <w:rsid w:val="001258F3"/>
    <w:rsid w:val="00125C11"/>
    <w:rsid w:val="00133D1C"/>
    <w:rsid w:val="001345DB"/>
    <w:rsid w:val="00134E24"/>
    <w:rsid w:val="0013646E"/>
    <w:rsid w:val="00136E45"/>
    <w:rsid w:val="00137AD4"/>
    <w:rsid w:val="00141901"/>
    <w:rsid w:val="00146917"/>
    <w:rsid w:val="00151AF5"/>
    <w:rsid w:val="00154637"/>
    <w:rsid w:val="00155CAF"/>
    <w:rsid w:val="00161605"/>
    <w:rsid w:val="00163CFF"/>
    <w:rsid w:val="00164D5B"/>
    <w:rsid w:val="00170D1A"/>
    <w:rsid w:val="00171519"/>
    <w:rsid w:val="00176A98"/>
    <w:rsid w:val="00177983"/>
    <w:rsid w:val="0018155B"/>
    <w:rsid w:val="001841CB"/>
    <w:rsid w:val="0018628A"/>
    <w:rsid w:val="001870EF"/>
    <w:rsid w:val="001903C6"/>
    <w:rsid w:val="0019108A"/>
    <w:rsid w:val="001917C3"/>
    <w:rsid w:val="001921F2"/>
    <w:rsid w:val="00197F6D"/>
    <w:rsid w:val="001A4537"/>
    <w:rsid w:val="001A480A"/>
    <w:rsid w:val="001A5C81"/>
    <w:rsid w:val="001A644E"/>
    <w:rsid w:val="001B2A7C"/>
    <w:rsid w:val="001B5643"/>
    <w:rsid w:val="001C00B8"/>
    <w:rsid w:val="001C25E2"/>
    <w:rsid w:val="001C5AD3"/>
    <w:rsid w:val="001C5CD0"/>
    <w:rsid w:val="001C765F"/>
    <w:rsid w:val="001C7906"/>
    <w:rsid w:val="001D0597"/>
    <w:rsid w:val="001D1EC9"/>
    <w:rsid w:val="001D21A7"/>
    <w:rsid w:val="001D3712"/>
    <w:rsid w:val="001D4534"/>
    <w:rsid w:val="001D4AFE"/>
    <w:rsid w:val="001D6B0D"/>
    <w:rsid w:val="001D7434"/>
    <w:rsid w:val="001D7929"/>
    <w:rsid w:val="001D7D77"/>
    <w:rsid w:val="001E10B6"/>
    <w:rsid w:val="001E3951"/>
    <w:rsid w:val="001E40FC"/>
    <w:rsid w:val="001E4F12"/>
    <w:rsid w:val="001F0C43"/>
    <w:rsid w:val="001F4A11"/>
    <w:rsid w:val="001F50A2"/>
    <w:rsid w:val="001F5C91"/>
    <w:rsid w:val="001F5C93"/>
    <w:rsid w:val="002006F5"/>
    <w:rsid w:val="002009C2"/>
    <w:rsid w:val="002012D5"/>
    <w:rsid w:val="00201B60"/>
    <w:rsid w:val="002043D9"/>
    <w:rsid w:val="00215A5B"/>
    <w:rsid w:val="00217BAF"/>
    <w:rsid w:val="00221CF8"/>
    <w:rsid w:val="00226A46"/>
    <w:rsid w:val="002308E0"/>
    <w:rsid w:val="00231731"/>
    <w:rsid w:val="002319FD"/>
    <w:rsid w:val="002341E5"/>
    <w:rsid w:val="00234840"/>
    <w:rsid w:val="00240ACF"/>
    <w:rsid w:val="002426F2"/>
    <w:rsid w:val="00243EFE"/>
    <w:rsid w:val="002501A9"/>
    <w:rsid w:val="00251126"/>
    <w:rsid w:val="0025237B"/>
    <w:rsid w:val="002544FF"/>
    <w:rsid w:val="002555DB"/>
    <w:rsid w:val="002648D4"/>
    <w:rsid w:val="00266A70"/>
    <w:rsid w:val="0026792F"/>
    <w:rsid w:val="002743AF"/>
    <w:rsid w:val="0027469A"/>
    <w:rsid w:val="0027491E"/>
    <w:rsid w:val="00281F04"/>
    <w:rsid w:val="0028572A"/>
    <w:rsid w:val="00287133"/>
    <w:rsid w:val="002879B4"/>
    <w:rsid w:val="00292EB2"/>
    <w:rsid w:val="002951C3"/>
    <w:rsid w:val="00297823"/>
    <w:rsid w:val="00297E22"/>
    <w:rsid w:val="002A1CE0"/>
    <w:rsid w:val="002A1E25"/>
    <w:rsid w:val="002A20DF"/>
    <w:rsid w:val="002A242C"/>
    <w:rsid w:val="002A3902"/>
    <w:rsid w:val="002A70BB"/>
    <w:rsid w:val="002C2559"/>
    <w:rsid w:val="002C3295"/>
    <w:rsid w:val="002C5296"/>
    <w:rsid w:val="002C593F"/>
    <w:rsid w:val="002C6271"/>
    <w:rsid w:val="002C7030"/>
    <w:rsid w:val="002D1422"/>
    <w:rsid w:val="002D2264"/>
    <w:rsid w:val="002D4948"/>
    <w:rsid w:val="002D60CA"/>
    <w:rsid w:val="002E7B61"/>
    <w:rsid w:val="002F0B51"/>
    <w:rsid w:val="002F4A0D"/>
    <w:rsid w:val="002F59B1"/>
    <w:rsid w:val="00303F64"/>
    <w:rsid w:val="0030701B"/>
    <w:rsid w:val="003100A5"/>
    <w:rsid w:val="00310661"/>
    <w:rsid w:val="003106B2"/>
    <w:rsid w:val="00311633"/>
    <w:rsid w:val="00311C55"/>
    <w:rsid w:val="0031394A"/>
    <w:rsid w:val="003153A8"/>
    <w:rsid w:val="00316090"/>
    <w:rsid w:val="003178CB"/>
    <w:rsid w:val="00322F39"/>
    <w:rsid w:val="0032672E"/>
    <w:rsid w:val="00327C0C"/>
    <w:rsid w:val="0033016E"/>
    <w:rsid w:val="003303C0"/>
    <w:rsid w:val="0033168C"/>
    <w:rsid w:val="00332938"/>
    <w:rsid w:val="00334212"/>
    <w:rsid w:val="00336A15"/>
    <w:rsid w:val="0033743D"/>
    <w:rsid w:val="0033766F"/>
    <w:rsid w:val="003417F8"/>
    <w:rsid w:val="003424C9"/>
    <w:rsid w:val="00343E56"/>
    <w:rsid w:val="00344A9F"/>
    <w:rsid w:val="0034663D"/>
    <w:rsid w:val="003469FF"/>
    <w:rsid w:val="00346BEF"/>
    <w:rsid w:val="00346C9C"/>
    <w:rsid w:val="00346EE4"/>
    <w:rsid w:val="00347A30"/>
    <w:rsid w:val="00355F0C"/>
    <w:rsid w:val="003574CD"/>
    <w:rsid w:val="003579D0"/>
    <w:rsid w:val="00360133"/>
    <w:rsid w:val="00362402"/>
    <w:rsid w:val="00364CD9"/>
    <w:rsid w:val="00374B12"/>
    <w:rsid w:val="00375AFF"/>
    <w:rsid w:val="00376725"/>
    <w:rsid w:val="003803E0"/>
    <w:rsid w:val="00383128"/>
    <w:rsid w:val="00383B3D"/>
    <w:rsid w:val="0038506C"/>
    <w:rsid w:val="0038595B"/>
    <w:rsid w:val="003912FA"/>
    <w:rsid w:val="00391EA6"/>
    <w:rsid w:val="00393DF6"/>
    <w:rsid w:val="003946BC"/>
    <w:rsid w:val="00394768"/>
    <w:rsid w:val="003979AF"/>
    <w:rsid w:val="003A1458"/>
    <w:rsid w:val="003A3EBE"/>
    <w:rsid w:val="003A3ED5"/>
    <w:rsid w:val="003A63F4"/>
    <w:rsid w:val="003A6752"/>
    <w:rsid w:val="003B1A43"/>
    <w:rsid w:val="003B2363"/>
    <w:rsid w:val="003B2462"/>
    <w:rsid w:val="003B5A53"/>
    <w:rsid w:val="003B6C0D"/>
    <w:rsid w:val="003C0916"/>
    <w:rsid w:val="003C179C"/>
    <w:rsid w:val="003C2706"/>
    <w:rsid w:val="003C4379"/>
    <w:rsid w:val="003C46EC"/>
    <w:rsid w:val="003C4E7E"/>
    <w:rsid w:val="003C56B2"/>
    <w:rsid w:val="003D18C4"/>
    <w:rsid w:val="003D224D"/>
    <w:rsid w:val="003D378F"/>
    <w:rsid w:val="003D65A6"/>
    <w:rsid w:val="003D698E"/>
    <w:rsid w:val="003D6BBF"/>
    <w:rsid w:val="003E349F"/>
    <w:rsid w:val="003F3B66"/>
    <w:rsid w:val="003F6E87"/>
    <w:rsid w:val="003F7D73"/>
    <w:rsid w:val="0040095C"/>
    <w:rsid w:val="004014E2"/>
    <w:rsid w:val="00402669"/>
    <w:rsid w:val="00405873"/>
    <w:rsid w:val="004061B6"/>
    <w:rsid w:val="004077A1"/>
    <w:rsid w:val="004107F2"/>
    <w:rsid w:val="00416633"/>
    <w:rsid w:val="00417AD7"/>
    <w:rsid w:val="00420120"/>
    <w:rsid w:val="00425BFC"/>
    <w:rsid w:val="0042617A"/>
    <w:rsid w:val="00426A9B"/>
    <w:rsid w:val="00430C54"/>
    <w:rsid w:val="00434105"/>
    <w:rsid w:val="004348E7"/>
    <w:rsid w:val="004363C4"/>
    <w:rsid w:val="00437F74"/>
    <w:rsid w:val="00442AA5"/>
    <w:rsid w:val="00442FCA"/>
    <w:rsid w:val="0044301A"/>
    <w:rsid w:val="004433AB"/>
    <w:rsid w:val="00443672"/>
    <w:rsid w:val="00443F20"/>
    <w:rsid w:val="004446A1"/>
    <w:rsid w:val="004450CA"/>
    <w:rsid w:val="004467BC"/>
    <w:rsid w:val="00446C0D"/>
    <w:rsid w:val="00446D90"/>
    <w:rsid w:val="00454CC8"/>
    <w:rsid w:val="004555F3"/>
    <w:rsid w:val="00456B96"/>
    <w:rsid w:val="00465791"/>
    <w:rsid w:val="00472E4C"/>
    <w:rsid w:val="004738F5"/>
    <w:rsid w:val="00473D04"/>
    <w:rsid w:val="004761FA"/>
    <w:rsid w:val="0047791E"/>
    <w:rsid w:val="00480D96"/>
    <w:rsid w:val="00481777"/>
    <w:rsid w:val="00482521"/>
    <w:rsid w:val="00482650"/>
    <w:rsid w:val="00482832"/>
    <w:rsid w:val="00482974"/>
    <w:rsid w:val="004838F3"/>
    <w:rsid w:val="004851E2"/>
    <w:rsid w:val="00485E7C"/>
    <w:rsid w:val="00486B78"/>
    <w:rsid w:val="0049059C"/>
    <w:rsid w:val="00490C59"/>
    <w:rsid w:val="00491ECD"/>
    <w:rsid w:val="00492753"/>
    <w:rsid w:val="00492D02"/>
    <w:rsid w:val="00493269"/>
    <w:rsid w:val="004951B2"/>
    <w:rsid w:val="00495EAC"/>
    <w:rsid w:val="004963CF"/>
    <w:rsid w:val="00496CAE"/>
    <w:rsid w:val="004A02C0"/>
    <w:rsid w:val="004A070A"/>
    <w:rsid w:val="004A1EFE"/>
    <w:rsid w:val="004A3777"/>
    <w:rsid w:val="004A6CFC"/>
    <w:rsid w:val="004B1667"/>
    <w:rsid w:val="004B477A"/>
    <w:rsid w:val="004B7BA4"/>
    <w:rsid w:val="004C14A5"/>
    <w:rsid w:val="004C267B"/>
    <w:rsid w:val="004C31F7"/>
    <w:rsid w:val="004C41D4"/>
    <w:rsid w:val="004C5693"/>
    <w:rsid w:val="004C572D"/>
    <w:rsid w:val="004C59C0"/>
    <w:rsid w:val="004C67A5"/>
    <w:rsid w:val="004D027A"/>
    <w:rsid w:val="004D0A0A"/>
    <w:rsid w:val="004D120F"/>
    <w:rsid w:val="004D3E29"/>
    <w:rsid w:val="004D3E79"/>
    <w:rsid w:val="004D434E"/>
    <w:rsid w:val="004D4F9C"/>
    <w:rsid w:val="004D6236"/>
    <w:rsid w:val="004D6377"/>
    <w:rsid w:val="004D7F91"/>
    <w:rsid w:val="004E03AD"/>
    <w:rsid w:val="004E1559"/>
    <w:rsid w:val="004E2ED0"/>
    <w:rsid w:val="004E3F87"/>
    <w:rsid w:val="004E4275"/>
    <w:rsid w:val="004E47F7"/>
    <w:rsid w:val="004E4DF1"/>
    <w:rsid w:val="004E4EBD"/>
    <w:rsid w:val="004E502D"/>
    <w:rsid w:val="004F04C5"/>
    <w:rsid w:val="004F28B3"/>
    <w:rsid w:val="004F4AB4"/>
    <w:rsid w:val="0050027B"/>
    <w:rsid w:val="00500463"/>
    <w:rsid w:val="00500ADA"/>
    <w:rsid w:val="00501BC3"/>
    <w:rsid w:val="00503E6A"/>
    <w:rsid w:val="00510CF1"/>
    <w:rsid w:val="00511247"/>
    <w:rsid w:val="0051476C"/>
    <w:rsid w:val="00520C13"/>
    <w:rsid w:val="00521DA9"/>
    <w:rsid w:val="00521F55"/>
    <w:rsid w:val="00522F23"/>
    <w:rsid w:val="00525235"/>
    <w:rsid w:val="005257E2"/>
    <w:rsid w:val="00525ABD"/>
    <w:rsid w:val="0053209A"/>
    <w:rsid w:val="00533BD5"/>
    <w:rsid w:val="005344EC"/>
    <w:rsid w:val="00535B4B"/>
    <w:rsid w:val="00537C6E"/>
    <w:rsid w:val="00541304"/>
    <w:rsid w:val="00541E0D"/>
    <w:rsid w:val="00543B42"/>
    <w:rsid w:val="0054721D"/>
    <w:rsid w:val="00547CB7"/>
    <w:rsid w:val="00550F27"/>
    <w:rsid w:val="00551DE5"/>
    <w:rsid w:val="0055230B"/>
    <w:rsid w:val="00555B5B"/>
    <w:rsid w:val="00560EB0"/>
    <w:rsid w:val="00562F15"/>
    <w:rsid w:val="00566338"/>
    <w:rsid w:val="00570A02"/>
    <w:rsid w:val="00572583"/>
    <w:rsid w:val="0057394E"/>
    <w:rsid w:val="00573ED4"/>
    <w:rsid w:val="00575D04"/>
    <w:rsid w:val="005766C7"/>
    <w:rsid w:val="00584E64"/>
    <w:rsid w:val="005855BD"/>
    <w:rsid w:val="0058612A"/>
    <w:rsid w:val="005901DD"/>
    <w:rsid w:val="00596438"/>
    <w:rsid w:val="00597A44"/>
    <w:rsid w:val="005A1C32"/>
    <w:rsid w:val="005B0BF1"/>
    <w:rsid w:val="005B3CF2"/>
    <w:rsid w:val="005B7553"/>
    <w:rsid w:val="005B75E3"/>
    <w:rsid w:val="005C0CC4"/>
    <w:rsid w:val="005C6DC1"/>
    <w:rsid w:val="005C7991"/>
    <w:rsid w:val="005D16BA"/>
    <w:rsid w:val="005D326A"/>
    <w:rsid w:val="005D5133"/>
    <w:rsid w:val="005E1006"/>
    <w:rsid w:val="005E3748"/>
    <w:rsid w:val="005E3FE6"/>
    <w:rsid w:val="005E58C3"/>
    <w:rsid w:val="005E7728"/>
    <w:rsid w:val="005F082D"/>
    <w:rsid w:val="005F4FB1"/>
    <w:rsid w:val="005F5360"/>
    <w:rsid w:val="006040E4"/>
    <w:rsid w:val="006048F9"/>
    <w:rsid w:val="00606A73"/>
    <w:rsid w:val="00611C56"/>
    <w:rsid w:val="006129B1"/>
    <w:rsid w:val="0061340F"/>
    <w:rsid w:val="00614DB7"/>
    <w:rsid w:val="00615626"/>
    <w:rsid w:val="0061680F"/>
    <w:rsid w:val="00616DD2"/>
    <w:rsid w:val="006179DB"/>
    <w:rsid w:val="00620F31"/>
    <w:rsid w:val="00622578"/>
    <w:rsid w:val="00622975"/>
    <w:rsid w:val="00626F0F"/>
    <w:rsid w:val="0063088C"/>
    <w:rsid w:val="0063150C"/>
    <w:rsid w:val="00631927"/>
    <w:rsid w:val="00631994"/>
    <w:rsid w:val="006319C9"/>
    <w:rsid w:val="00631A9D"/>
    <w:rsid w:val="00632A06"/>
    <w:rsid w:val="00632B15"/>
    <w:rsid w:val="00633498"/>
    <w:rsid w:val="00635B24"/>
    <w:rsid w:val="006403EF"/>
    <w:rsid w:val="0064259D"/>
    <w:rsid w:val="00645411"/>
    <w:rsid w:val="00646734"/>
    <w:rsid w:val="00647B85"/>
    <w:rsid w:val="00653449"/>
    <w:rsid w:val="00662BF9"/>
    <w:rsid w:val="00664AFB"/>
    <w:rsid w:val="006662C3"/>
    <w:rsid w:val="00666814"/>
    <w:rsid w:val="00666DF3"/>
    <w:rsid w:val="0067248B"/>
    <w:rsid w:val="006728B1"/>
    <w:rsid w:val="00675FC0"/>
    <w:rsid w:val="00684FDE"/>
    <w:rsid w:val="00685B07"/>
    <w:rsid w:val="00692BB8"/>
    <w:rsid w:val="00695FFE"/>
    <w:rsid w:val="006972E5"/>
    <w:rsid w:val="00697650"/>
    <w:rsid w:val="006A6BD0"/>
    <w:rsid w:val="006A6E21"/>
    <w:rsid w:val="006A6F9A"/>
    <w:rsid w:val="006B1AF6"/>
    <w:rsid w:val="006B4996"/>
    <w:rsid w:val="006B697F"/>
    <w:rsid w:val="006B74C2"/>
    <w:rsid w:val="006C024C"/>
    <w:rsid w:val="006C1DE7"/>
    <w:rsid w:val="006C28E3"/>
    <w:rsid w:val="006D2388"/>
    <w:rsid w:val="006D4E2C"/>
    <w:rsid w:val="006D4FB4"/>
    <w:rsid w:val="006D58EF"/>
    <w:rsid w:val="006E3F97"/>
    <w:rsid w:val="006E40BE"/>
    <w:rsid w:val="006F25AD"/>
    <w:rsid w:val="006F2F68"/>
    <w:rsid w:val="006F3CBC"/>
    <w:rsid w:val="006F6A85"/>
    <w:rsid w:val="007024C5"/>
    <w:rsid w:val="00704ACE"/>
    <w:rsid w:val="00705EFB"/>
    <w:rsid w:val="00707171"/>
    <w:rsid w:val="00707B57"/>
    <w:rsid w:val="00707CC8"/>
    <w:rsid w:val="00707DDB"/>
    <w:rsid w:val="00712414"/>
    <w:rsid w:val="00712C9C"/>
    <w:rsid w:val="00712D9E"/>
    <w:rsid w:val="00715FBC"/>
    <w:rsid w:val="0071606D"/>
    <w:rsid w:val="00720397"/>
    <w:rsid w:val="007213C7"/>
    <w:rsid w:val="00721509"/>
    <w:rsid w:val="00726839"/>
    <w:rsid w:val="00727C02"/>
    <w:rsid w:val="00731D8B"/>
    <w:rsid w:val="00732BF6"/>
    <w:rsid w:val="00733C18"/>
    <w:rsid w:val="00735E22"/>
    <w:rsid w:val="00736154"/>
    <w:rsid w:val="007365B6"/>
    <w:rsid w:val="00736664"/>
    <w:rsid w:val="00736BD5"/>
    <w:rsid w:val="00740517"/>
    <w:rsid w:val="00743808"/>
    <w:rsid w:val="007439B7"/>
    <w:rsid w:val="00744571"/>
    <w:rsid w:val="00745651"/>
    <w:rsid w:val="00746CBE"/>
    <w:rsid w:val="007473CE"/>
    <w:rsid w:val="00750071"/>
    <w:rsid w:val="0075300D"/>
    <w:rsid w:val="00753021"/>
    <w:rsid w:val="0075414D"/>
    <w:rsid w:val="007547FD"/>
    <w:rsid w:val="00755173"/>
    <w:rsid w:val="007555E6"/>
    <w:rsid w:val="00755D75"/>
    <w:rsid w:val="00756733"/>
    <w:rsid w:val="00757150"/>
    <w:rsid w:val="00765880"/>
    <w:rsid w:val="00767158"/>
    <w:rsid w:val="00770513"/>
    <w:rsid w:val="00771618"/>
    <w:rsid w:val="00771A68"/>
    <w:rsid w:val="00774F0B"/>
    <w:rsid w:val="00780942"/>
    <w:rsid w:val="00782D8D"/>
    <w:rsid w:val="00782F0A"/>
    <w:rsid w:val="00787836"/>
    <w:rsid w:val="00791FB7"/>
    <w:rsid w:val="00792255"/>
    <w:rsid w:val="007923F3"/>
    <w:rsid w:val="00792C89"/>
    <w:rsid w:val="00797F2B"/>
    <w:rsid w:val="007A3BA9"/>
    <w:rsid w:val="007A6E39"/>
    <w:rsid w:val="007A7CC8"/>
    <w:rsid w:val="007B19ED"/>
    <w:rsid w:val="007B2D1C"/>
    <w:rsid w:val="007B3F84"/>
    <w:rsid w:val="007B406C"/>
    <w:rsid w:val="007B63C3"/>
    <w:rsid w:val="007C0464"/>
    <w:rsid w:val="007C12F0"/>
    <w:rsid w:val="007C4898"/>
    <w:rsid w:val="007D0A06"/>
    <w:rsid w:val="007D24F1"/>
    <w:rsid w:val="007D2E33"/>
    <w:rsid w:val="007D449D"/>
    <w:rsid w:val="007D5E44"/>
    <w:rsid w:val="007D64CD"/>
    <w:rsid w:val="007E051E"/>
    <w:rsid w:val="007E0A82"/>
    <w:rsid w:val="007E2E4C"/>
    <w:rsid w:val="007E4753"/>
    <w:rsid w:val="007E4A49"/>
    <w:rsid w:val="007E54E8"/>
    <w:rsid w:val="007E5DBE"/>
    <w:rsid w:val="007E6A4F"/>
    <w:rsid w:val="007E7C4E"/>
    <w:rsid w:val="007F1480"/>
    <w:rsid w:val="007F2519"/>
    <w:rsid w:val="007F2D50"/>
    <w:rsid w:val="007F303D"/>
    <w:rsid w:val="007F43AB"/>
    <w:rsid w:val="007F7603"/>
    <w:rsid w:val="00801DAA"/>
    <w:rsid w:val="008025CC"/>
    <w:rsid w:val="00802D23"/>
    <w:rsid w:val="00804B89"/>
    <w:rsid w:val="00807A8B"/>
    <w:rsid w:val="00810E2C"/>
    <w:rsid w:val="00811B2B"/>
    <w:rsid w:val="00817B72"/>
    <w:rsid w:val="00824867"/>
    <w:rsid w:val="00825FAC"/>
    <w:rsid w:val="00826238"/>
    <w:rsid w:val="008307DA"/>
    <w:rsid w:val="00835FAA"/>
    <w:rsid w:val="008361D1"/>
    <w:rsid w:val="008364B3"/>
    <w:rsid w:val="00840344"/>
    <w:rsid w:val="0084669E"/>
    <w:rsid w:val="008473C6"/>
    <w:rsid w:val="00847DF6"/>
    <w:rsid w:val="0085332F"/>
    <w:rsid w:val="00853EF5"/>
    <w:rsid w:val="008543FC"/>
    <w:rsid w:val="00861A09"/>
    <w:rsid w:val="00861CCA"/>
    <w:rsid w:val="00863C91"/>
    <w:rsid w:val="00867DBC"/>
    <w:rsid w:val="00867DBF"/>
    <w:rsid w:val="00871711"/>
    <w:rsid w:val="00872FAE"/>
    <w:rsid w:val="00874490"/>
    <w:rsid w:val="00876212"/>
    <w:rsid w:val="00883451"/>
    <w:rsid w:val="00883718"/>
    <w:rsid w:val="0088456C"/>
    <w:rsid w:val="00891A79"/>
    <w:rsid w:val="00891D4F"/>
    <w:rsid w:val="00893370"/>
    <w:rsid w:val="00896235"/>
    <w:rsid w:val="00897F4B"/>
    <w:rsid w:val="008A1654"/>
    <w:rsid w:val="008A3B46"/>
    <w:rsid w:val="008A4055"/>
    <w:rsid w:val="008A4104"/>
    <w:rsid w:val="008B235F"/>
    <w:rsid w:val="008B33EE"/>
    <w:rsid w:val="008B53A7"/>
    <w:rsid w:val="008B6027"/>
    <w:rsid w:val="008C28FE"/>
    <w:rsid w:val="008C2D28"/>
    <w:rsid w:val="008C35B7"/>
    <w:rsid w:val="008C555C"/>
    <w:rsid w:val="008D30E0"/>
    <w:rsid w:val="008D3D2F"/>
    <w:rsid w:val="008D6DE8"/>
    <w:rsid w:val="008E1560"/>
    <w:rsid w:val="008E6837"/>
    <w:rsid w:val="008E76F9"/>
    <w:rsid w:val="008E7B06"/>
    <w:rsid w:val="008F3394"/>
    <w:rsid w:val="008F3C56"/>
    <w:rsid w:val="008F3EAE"/>
    <w:rsid w:val="00902A91"/>
    <w:rsid w:val="00903C2D"/>
    <w:rsid w:val="009057D1"/>
    <w:rsid w:val="00905F6C"/>
    <w:rsid w:val="00906F56"/>
    <w:rsid w:val="009104E4"/>
    <w:rsid w:val="00910DBE"/>
    <w:rsid w:val="00911A22"/>
    <w:rsid w:val="0091261C"/>
    <w:rsid w:val="00913CF5"/>
    <w:rsid w:val="00921CA4"/>
    <w:rsid w:val="00931770"/>
    <w:rsid w:val="0094011F"/>
    <w:rsid w:val="009401D9"/>
    <w:rsid w:val="00942784"/>
    <w:rsid w:val="00943C4E"/>
    <w:rsid w:val="00943E92"/>
    <w:rsid w:val="00943FC8"/>
    <w:rsid w:val="0094682C"/>
    <w:rsid w:val="00946A45"/>
    <w:rsid w:val="009474C6"/>
    <w:rsid w:val="00950FE2"/>
    <w:rsid w:val="00957376"/>
    <w:rsid w:val="009576C4"/>
    <w:rsid w:val="009603F0"/>
    <w:rsid w:val="009630CD"/>
    <w:rsid w:val="00963FFE"/>
    <w:rsid w:val="009650A9"/>
    <w:rsid w:val="00966CFD"/>
    <w:rsid w:val="00970715"/>
    <w:rsid w:val="009738A3"/>
    <w:rsid w:val="00973CE2"/>
    <w:rsid w:val="00977A7F"/>
    <w:rsid w:val="00977FCE"/>
    <w:rsid w:val="0098092B"/>
    <w:rsid w:val="009837B6"/>
    <w:rsid w:val="00984B75"/>
    <w:rsid w:val="00987329"/>
    <w:rsid w:val="009902C2"/>
    <w:rsid w:val="00990AF7"/>
    <w:rsid w:val="00990B14"/>
    <w:rsid w:val="009925A2"/>
    <w:rsid w:val="00993C92"/>
    <w:rsid w:val="00994C73"/>
    <w:rsid w:val="00995C35"/>
    <w:rsid w:val="009A1E03"/>
    <w:rsid w:val="009A4CC6"/>
    <w:rsid w:val="009A4E64"/>
    <w:rsid w:val="009A525E"/>
    <w:rsid w:val="009B0035"/>
    <w:rsid w:val="009B73D0"/>
    <w:rsid w:val="009C03A1"/>
    <w:rsid w:val="009C1BF2"/>
    <w:rsid w:val="009C2043"/>
    <w:rsid w:val="009C2EB4"/>
    <w:rsid w:val="009C3725"/>
    <w:rsid w:val="009C3AB8"/>
    <w:rsid w:val="009C4F72"/>
    <w:rsid w:val="009C50E2"/>
    <w:rsid w:val="009C5AA8"/>
    <w:rsid w:val="009C5C44"/>
    <w:rsid w:val="009C7D3C"/>
    <w:rsid w:val="009D000D"/>
    <w:rsid w:val="009D06C3"/>
    <w:rsid w:val="009D18F6"/>
    <w:rsid w:val="009D494D"/>
    <w:rsid w:val="009D7ABD"/>
    <w:rsid w:val="009E0BDB"/>
    <w:rsid w:val="009E136E"/>
    <w:rsid w:val="009E1460"/>
    <w:rsid w:val="009E2CCC"/>
    <w:rsid w:val="009E2E93"/>
    <w:rsid w:val="009E3507"/>
    <w:rsid w:val="009E5CCC"/>
    <w:rsid w:val="009F18E5"/>
    <w:rsid w:val="009F75FC"/>
    <w:rsid w:val="00A002FC"/>
    <w:rsid w:val="00A01111"/>
    <w:rsid w:val="00A025A1"/>
    <w:rsid w:val="00A05154"/>
    <w:rsid w:val="00A12C0D"/>
    <w:rsid w:val="00A15330"/>
    <w:rsid w:val="00A15481"/>
    <w:rsid w:val="00A15956"/>
    <w:rsid w:val="00A17B37"/>
    <w:rsid w:val="00A2276B"/>
    <w:rsid w:val="00A23670"/>
    <w:rsid w:val="00A32984"/>
    <w:rsid w:val="00A36F3E"/>
    <w:rsid w:val="00A41BCD"/>
    <w:rsid w:val="00A43059"/>
    <w:rsid w:val="00A431DE"/>
    <w:rsid w:val="00A4627B"/>
    <w:rsid w:val="00A46884"/>
    <w:rsid w:val="00A5027D"/>
    <w:rsid w:val="00A50495"/>
    <w:rsid w:val="00A51FC4"/>
    <w:rsid w:val="00A546DC"/>
    <w:rsid w:val="00A55C4D"/>
    <w:rsid w:val="00A56DDC"/>
    <w:rsid w:val="00A574CF"/>
    <w:rsid w:val="00A57A08"/>
    <w:rsid w:val="00A60D54"/>
    <w:rsid w:val="00A630D2"/>
    <w:rsid w:val="00A65878"/>
    <w:rsid w:val="00A6590B"/>
    <w:rsid w:val="00A66F38"/>
    <w:rsid w:val="00A67E39"/>
    <w:rsid w:val="00A7043C"/>
    <w:rsid w:val="00A70485"/>
    <w:rsid w:val="00A73908"/>
    <w:rsid w:val="00A76DC8"/>
    <w:rsid w:val="00A77547"/>
    <w:rsid w:val="00A83B28"/>
    <w:rsid w:val="00A8579F"/>
    <w:rsid w:val="00A857D2"/>
    <w:rsid w:val="00A926A6"/>
    <w:rsid w:val="00A93343"/>
    <w:rsid w:val="00A93763"/>
    <w:rsid w:val="00A962F5"/>
    <w:rsid w:val="00A9695B"/>
    <w:rsid w:val="00A97DAE"/>
    <w:rsid w:val="00AA2BA1"/>
    <w:rsid w:val="00AB0590"/>
    <w:rsid w:val="00AB0CE0"/>
    <w:rsid w:val="00AB0CF6"/>
    <w:rsid w:val="00AB1C26"/>
    <w:rsid w:val="00AB2538"/>
    <w:rsid w:val="00AB6B45"/>
    <w:rsid w:val="00AC180A"/>
    <w:rsid w:val="00AC6041"/>
    <w:rsid w:val="00AC61F4"/>
    <w:rsid w:val="00AC6EF4"/>
    <w:rsid w:val="00AC700D"/>
    <w:rsid w:val="00AC73FE"/>
    <w:rsid w:val="00AD2DAA"/>
    <w:rsid w:val="00AD465A"/>
    <w:rsid w:val="00AD4C8E"/>
    <w:rsid w:val="00AD5082"/>
    <w:rsid w:val="00AD7058"/>
    <w:rsid w:val="00AD71E0"/>
    <w:rsid w:val="00AD74EF"/>
    <w:rsid w:val="00AE3590"/>
    <w:rsid w:val="00AE3A68"/>
    <w:rsid w:val="00AE415B"/>
    <w:rsid w:val="00AF0008"/>
    <w:rsid w:val="00AF0981"/>
    <w:rsid w:val="00AF62D3"/>
    <w:rsid w:val="00AF714F"/>
    <w:rsid w:val="00B004A7"/>
    <w:rsid w:val="00B00BF5"/>
    <w:rsid w:val="00B051BF"/>
    <w:rsid w:val="00B0665F"/>
    <w:rsid w:val="00B076D5"/>
    <w:rsid w:val="00B07D19"/>
    <w:rsid w:val="00B1082B"/>
    <w:rsid w:val="00B12650"/>
    <w:rsid w:val="00B135E0"/>
    <w:rsid w:val="00B15B19"/>
    <w:rsid w:val="00B231E5"/>
    <w:rsid w:val="00B24EF0"/>
    <w:rsid w:val="00B2578C"/>
    <w:rsid w:val="00B2689D"/>
    <w:rsid w:val="00B30284"/>
    <w:rsid w:val="00B31F58"/>
    <w:rsid w:val="00B327FB"/>
    <w:rsid w:val="00B331B6"/>
    <w:rsid w:val="00B354D8"/>
    <w:rsid w:val="00B4387F"/>
    <w:rsid w:val="00B46186"/>
    <w:rsid w:val="00B515A4"/>
    <w:rsid w:val="00B52797"/>
    <w:rsid w:val="00B54269"/>
    <w:rsid w:val="00B5573D"/>
    <w:rsid w:val="00B56D29"/>
    <w:rsid w:val="00B5784F"/>
    <w:rsid w:val="00B661D3"/>
    <w:rsid w:val="00B72C1E"/>
    <w:rsid w:val="00B73BDF"/>
    <w:rsid w:val="00B75582"/>
    <w:rsid w:val="00B75791"/>
    <w:rsid w:val="00B77422"/>
    <w:rsid w:val="00B803EC"/>
    <w:rsid w:val="00B82BE7"/>
    <w:rsid w:val="00B86024"/>
    <w:rsid w:val="00B86570"/>
    <w:rsid w:val="00B8697A"/>
    <w:rsid w:val="00B870A8"/>
    <w:rsid w:val="00B91E16"/>
    <w:rsid w:val="00B9311B"/>
    <w:rsid w:val="00B939AD"/>
    <w:rsid w:val="00B96371"/>
    <w:rsid w:val="00B975BA"/>
    <w:rsid w:val="00BA1042"/>
    <w:rsid w:val="00BA441B"/>
    <w:rsid w:val="00BA5AEA"/>
    <w:rsid w:val="00BA61C8"/>
    <w:rsid w:val="00BA7105"/>
    <w:rsid w:val="00BB14AA"/>
    <w:rsid w:val="00BB3E2C"/>
    <w:rsid w:val="00BB4054"/>
    <w:rsid w:val="00BB405C"/>
    <w:rsid w:val="00BB46B5"/>
    <w:rsid w:val="00BB7A29"/>
    <w:rsid w:val="00BB7CDA"/>
    <w:rsid w:val="00BB7DD0"/>
    <w:rsid w:val="00BC3250"/>
    <w:rsid w:val="00BD385F"/>
    <w:rsid w:val="00BD49D1"/>
    <w:rsid w:val="00BE09E0"/>
    <w:rsid w:val="00BE6519"/>
    <w:rsid w:val="00BE70C8"/>
    <w:rsid w:val="00BF0491"/>
    <w:rsid w:val="00BF3168"/>
    <w:rsid w:val="00BF3308"/>
    <w:rsid w:val="00BF36D1"/>
    <w:rsid w:val="00BF6749"/>
    <w:rsid w:val="00BF762C"/>
    <w:rsid w:val="00BF7963"/>
    <w:rsid w:val="00C00087"/>
    <w:rsid w:val="00C0298C"/>
    <w:rsid w:val="00C044C0"/>
    <w:rsid w:val="00C07A57"/>
    <w:rsid w:val="00C138CA"/>
    <w:rsid w:val="00C15543"/>
    <w:rsid w:val="00C16C57"/>
    <w:rsid w:val="00C1754E"/>
    <w:rsid w:val="00C25E70"/>
    <w:rsid w:val="00C33A40"/>
    <w:rsid w:val="00C33B6B"/>
    <w:rsid w:val="00C374DE"/>
    <w:rsid w:val="00C37B7E"/>
    <w:rsid w:val="00C4080F"/>
    <w:rsid w:val="00C4222F"/>
    <w:rsid w:val="00C50B1F"/>
    <w:rsid w:val="00C51F92"/>
    <w:rsid w:val="00C534CB"/>
    <w:rsid w:val="00C53947"/>
    <w:rsid w:val="00C557AF"/>
    <w:rsid w:val="00C56461"/>
    <w:rsid w:val="00C567B8"/>
    <w:rsid w:val="00C57C5E"/>
    <w:rsid w:val="00C628C1"/>
    <w:rsid w:val="00C658D1"/>
    <w:rsid w:val="00C6599F"/>
    <w:rsid w:val="00C66760"/>
    <w:rsid w:val="00C71C77"/>
    <w:rsid w:val="00C74787"/>
    <w:rsid w:val="00C7578A"/>
    <w:rsid w:val="00C76600"/>
    <w:rsid w:val="00C812A6"/>
    <w:rsid w:val="00C8314D"/>
    <w:rsid w:val="00C835FF"/>
    <w:rsid w:val="00C841F2"/>
    <w:rsid w:val="00C85AC4"/>
    <w:rsid w:val="00C873A5"/>
    <w:rsid w:val="00C876B1"/>
    <w:rsid w:val="00C87AC4"/>
    <w:rsid w:val="00C9313D"/>
    <w:rsid w:val="00C93A77"/>
    <w:rsid w:val="00C968D3"/>
    <w:rsid w:val="00CA13F9"/>
    <w:rsid w:val="00CA3CC2"/>
    <w:rsid w:val="00CA5EA7"/>
    <w:rsid w:val="00CB10E1"/>
    <w:rsid w:val="00CB2246"/>
    <w:rsid w:val="00CB37D8"/>
    <w:rsid w:val="00CB549B"/>
    <w:rsid w:val="00CB7399"/>
    <w:rsid w:val="00CC0153"/>
    <w:rsid w:val="00CC1C97"/>
    <w:rsid w:val="00CC251A"/>
    <w:rsid w:val="00CD0722"/>
    <w:rsid w:val="00CD3A30"/>
    <w:rsid w:val="00CD5805"/>
    <w:rsid w:val="00CD613A"/>
    <w:rsid w:val="00CD6A22"/>
    <w:rsid w:val="00CD7023"/>
    <w:rsid w:val="00CE2262"/>
    <w:rsid w:val="00CE2A64"/>
    <w:rsid w:val="00CE47AC"/>
    <w:rsid w:val="00CE4BC5"/>
    <w:rsid w:val="00CE750A"/>
    <w:rsid w:val="00CF1405"/>
    <w:rsid w:val="00CF1992"/>
    <w:rsid w:val="00D0009B"/>
    <w:rsid w:val="00D04054"/>
    <w:rsid w:val="00D06754"/>
    <w:rsid w:val="00D07170"/>
    <w:rsid w:val="00D078ED"/>
    <w:rsid w:val="00D11350"/>
    <w:rsid w:val="00D12BDA"/>
    <w:rsid w:val="00D23343"/>
    <w:rsid w:val="00D24B29"/>
    <w:rsid w:val="00D25ABA"/>
    <w:rsid w:val="00D26901"/>
    <w:rsid w:val="00D27546"/>
    <w:rsid w:val="00D34372"/>
    <w:rsid w:val="00D35CB0"/>
    <w:rsid w:val="00D370EC"/>
    <w:rsid w:val="00D45C92"/>
    <w:rsid w:val="00D46D54"/>
    <w:rsid w:val="00D51A0D"/>
    <w:rsid w:val="00D52443"/>
    <w:rsid w:val="00D527F5"/>
    <w:rsid w:val="00D52847"/>
    <w:rsid w:val="00D55C2A"/>
    <w:rsid w:val="00D55DE8"/>
    <w:rsid w:val="00D56067"/>
    <w:rsid w:val="00D5670C"/>
    <w:rsid w:val="00D57607"/>
    <w:rsid w:val="00D634C1"/>
    <w:rsid w:val="00D63DBE"/>
    <w:rsid w:val="00D64C14"/>
    <w:rsid w:val="00D656CD"/>
    <w:rsid w:val="00D6617F"/>
    <w:rsid w:val="00D764FC"/>
    <w:rsid w:val="00D7689F"/>
    <w:rsid w:val="00D77F36"/>
    <w:rsid w:val="00D8035B"/>
    <w:rsid w:val="00D80B1F"/>
    <w:rsid w:val="00D90791"/>
    <w:rsid w:val="00D921D3"/>
    <w:rsid w:val="00D93E99"/>
    <w:rsid w:val="00D93ECD"/>
    <w:rsid w:val="00D95626"/>
    <w:rsid w:val="00D96D8E"/>
    <w:rsid w:val="00DA0F64"/>
    <w:rsid w:val="00DA1500"/>
    <w:rsid w:val="00DA3599"/>
    <w:rsid w:val="00DA5BF9"/>
    <w:rsid w:val="00DA5CF4"/>
    <w:rsid w:val="00DA64FB"/>
    <w:rsid w:val="00DA7936"/>
    <w:rsid w:val="00DB14E2"/>
    <w:rsid w:val="00DB2204"/>
    <w:rsid w:val="00DB29CF"/>
    <w:rsid w:val="00DB2B46"/>
    <w:rsid w:val="00DB47C0"/>
    <w:rsid w:val="00DB596B"/>
    <w:rsid w:val="00DB65B5"/>
    <w:rsid w:val="00DB6DB2"/>
    <w:rsid w:val="00DB78D5"/>
    <w:rsid w:val="00DC5D97"/>
    <w:rsid w:val="00DC5FA6"/>
    <w:rsid w:val="00DC7658"/>
    <w:rsid w:val="00DC7825"/>
    <w:rsid w:val="00DD1BF1"/>
    <w:rsid w:val="00DD1D69"/>
    <w:rsid w:val="00DE226B"/>
    <w:rsid w:val="00DE35DB"/>
    <w:rsid w:val="00DE5202"/>
    <w:rsid w:val="00DE624E"/>
    <w:rsid w:val="00DE6917"/>
    <w:rsid w:val="00DF440E"/>
    <w:rsid w:val="00DF5879"/>
    <w:rsid w:val="00DF7115"/>
    <w:rsid w:val="00DF73ED"/>
    <w:rsid w:val="00DF7490"/>
    <w:rsid w:val="00E00770"/>
    <w:rsid w:val="00E00A3C"/>
    <w:rsid w:val="00E01456"/>
    <w:rsid w:val="00E06AF3"/>
    <w:rsid w:val="00E10726"/>
    <w:rsid w:val="00E116AE"/>
    <w:rsid w:val="00E12820"/>
    <w:rsid w:val="00E13E96"/>
    <w:rsid w:val="00E17605"/>
    <w:rsid w:val="00E202E8"/>
    <w:rsid w:val="00E25D61"/>
    <w:rsid w:val="00E27411"/>
    <w:rsid w:val="00E2783A"/>
    <w:rsid w:val="00E30712"/>
    <w:rsid w:val="00E30F14"/>
    <w:rsid w:val="00E326E1"/>
    <w:rsid w:val="00E346AD"/>
    <w:rsid w:val="00E3497A"/>
    <w:rsid w:val="00E34BE5"/>
    <w:rsid w:val="00E36393"/>
    <w:rsid w:val="00E45B0D"/>
    <w:rsid w:val="00E46120"/>
    <w:rsid w:val="00E51901"/>
    <w:rsid w:val="00E5243F"/>
    <w:rsid w:val="00E52560"/>
    <w:rsid w:val="00E54AD1"/>
    <w:rsid w:val="00E550A3"/>
    <w:rsid w:val="00E55F03"/>
    <w:rsid w:val="00E562C6"/>
    <w:rsid w:val="00E60426"/>
    <w:rsid w:val="00E60A6F"/>
    <w:rsid w:val="00E6285B"/>
    <w:rsid w:val="00E6342B"/>
    <w:rsid w:val="00E64518"/>
    <w:rsid w:val="00E656CD"/>
    <w:rsid w:val="00E65BD5"/>
    <w:rsid w:val="00E65F92"/>
    <w:rsid w:val="00E70206"/>
    <w:rsid w:val="00E736D1"/>
    <w:rsid w:val="00E73F61"/>
    <w:rsid w:val="00E74B72"/>
    <w:rsid w:val="00E76E56"/>
    <w:rsid w:val="00E82A7D"/>
    <w:rsid w:val="00E831E2"/>
    <w:rsid w:val="00E83C9F"/>
    <w:rsid w:val="00E857C8"/>
    <w:rsid w:val="00E858E2"/>
    <w:rsid w:val="00E90887"/>
    <w:rsid w:val="00E92E8E"/>
    <w:rsid w:val="00E94C79"/>
    <w:rsid w:val="00E97232"/>
    <w:rsid w:val="00EA0479"/>
    <w:rsid w:val="00EA5411"/>
    <w:rsid w:val="00EA63DB"/>
    <w:rsid w:val="00EA69A9"/>
    <w:rsid w:val="00EB26FD"/>
    <w:rsid w:val="00EB274C"/>
    <w:rsid w:val="00EB5E98"/>
    <w:rsid w:val="00EB6931"/>
    <w:rsid w:val="00EC0EEF"/>
    <w:rsid w:val="00EC1F63"/>
    <w:rsid w:val="00EC3156"/>
    <w:rsid w:val="00EC47F0"/>
    <w:rsid w:val="00EC4CC2"/>
    <w:rsid w:val="00EC6D2A"/>
    <w:rsid w:val="00ED4598"/>
    <w:rsid w:val="00ED46CD"/>
    <w:rsid w:val="00ED6409"/>
    <w:rsid w:val="00ED6829"/>
    <w:rsid w:val="00ED7B71"/>
    <w:rsid w:val="00EE0913"/>
    <w:rsid w:val="00EE0B1C"/>
    <w:rsid w:val="00EE355B"/>
    <w:rsid w:val="00EE378D"/>
    <w:rsid w:val="00EE5E27"/>
    <w:rsid w:val="00EE658B"/>
    <w:rsid w:val="00EE74BC"/>
    <w:rsid w:val="00EF0B77"/>
    <w:rsid w:val="00EF1834"/>
    <w:rsid w:val="00EF2081"/>
    <w:rsid w:val="00EF3013"/>
    <w:rsid w:val="00EF3703"/>
    <w:rsid w:val="00EF7B88"/>
    <w:rsid w:val="00F016C2"/>
    <w:rsid w:val="00F061CF"/>
    <w:rsid w:val="00F0635F"/>
    <w:rsid w:val="00F07925"/>
    <w:rsid w:val="00F104BE"/>
    <w:rsid w:val="00F114EC"/>
    <w:rsid w:val="00F1337C"/>
    <w:rsid w:val="00F159B0"/>
    <w:rsid w:val="00F16EB2"/>
    <w:rsid w:val="00F204C3"/>
    <w:rsid w:val="00F22017"/>
    <w:rsid w:val="00F2223F"/>
    <w:rsid w:val="00F26F0B"/>
    <w:rsid w:val="00F30AAE"/>
    <w:rsid w:val="00F31E7D"/>
    <w:rsid w:val="00F33FA4"/>
    <w:rsid w:val="00F36317"/>
    <w:rsid w:val="00F42626"/>
    <w:rsid w:val="00F46233"/>
    <w:rsid w:val="00F5361F"/>
    <w:rsid w:val="00F55394"/>
    <w:rsid w:val="00F600E9"/>
    <w:rsid w:val="00F60319"/>
    <w:rsid w:val="00F61406"/>
    <w:rsid w:val="00F62199"/>
    <w:rsid w:val="00F700F8"/>
    <w:rsid w:val="00F719AF"/>
    <w:rsid w:val="00F74B14"/>
    <w:rsid w:val="00F76EAF"/>
    <w:rsid w:val="00F810AD"/>
    <w:rsid w:val="00F825AA"/>
    <w:rsid w:val="00F82EFE"/>
    <w:rsid w:val="00F84104"/>
    <w:rsid w:val="00F84D6A"/>
    <w:rsid w:val="00F85751"/>
    <w:rsid w:val="00F85B99"/>
    <w:rsid w:val="00F86353"/>
    <w:rsid w:val="00F93F9F"/>
    <w:rsid w:val="00F95655"/>
    <w:rsid w:val="00F966CF"/>
    <w:rsid w:val="00F97ECF"/>
    <w:rsid w:val="00FA5AF9"/>
    <w:rsid w:val="00FB18CB"/>
    <w:rsid w:val="00FB2B5D"/>
    <w:rsid w:val="00FB2B6F"/>
    <w:rsid w:val="00FB42C2"/>
    <w:rsid w:val="00FB5830"/>
    <w:rsid w:val="00FB5E7B"/>
    <w:rsid w:val="00FB7783"/>
    <w:rsid w:val="00FC661C"/>
    <w:rsid w:val="00FC77E8"/>
    <w:rsid w:val="00FC7B11"/>
    <w:rsid w:val="00FD001B"/>
    <w:rsid w:val="00FD3702"/>
    <w:rsid w:val="00FD57AC"/>
    <w:rsid w:val="00FE1E07"/>
    <w:rsid w:val="00FE2306"/>
    <w:rsid w:val="00FE4BC6"/>
    <w:rsid w:val="00FF09C8"/>
    <w:rsid w:val="00FF1656"/>
    <w:rsid w:val="00FF1A92"/>
    <w:rsid w:val="00FF310E"/>
    <w:rsid w:val="00FF46B5"/>
    <w:rsid w:val="00FF7546"/>
    <w:rsid w:val="05015D85"/>
    <w:rsid w:val="08FB7B69"/>
    <w:rsid w:val="095837D1"/>
    <w:rsid w:val="0C06083B"/>
    <w:rsid w:val="0C1B20EA"/>
    <w:rsid w:val="0C3B1F34"/>
    <w:rsid w:val="0E4E4508"/>
    <w:rsid w:val="1BC05B5E"/>
    <w:rsid w:val="21153713"/>
    <w:rsid w:val="22286C0E"/>
    <w:rsid w:val="22F96DEE"/>
    <w:rsid w:val="23E5206A"/>
    <w:rsid w:val="25336373"/>
    <w:rsid w:val="27E97E2B"/>
    <w:rsid w:val="2C783060"/>
    <w:rsid w:val="2D6128FB"/>
    <w:rsid w:val="2FF84291"/>
    <w:rsid w:val="326C67DD"/>
    <w:rsid w:val="334E0780"/>
    <w:rsid w:val="3EDB7E66"/>
    <w:rsid w:val="49367F02"/>
    <w:rsid w:val="5463295C"/>
    <w:rsid w:val="681D48E0"/>
    <w:rsid w:val="6F87409D"/>
    <w:rsid w:val="7005545F"/>
    <w:rsid w:val="706D12CD"/>
    <w:rsid w:val="7A567F6D"/>
    <w:rsid w:val="7A8D74F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qFormat="1"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qFormat="1" w:unhideWhenUsed="0" w:uiPriority="99"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50"/>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51"/>
    <w:qFormat/>
    <w:uiPriority w:val="9"/>
    <w:pPr>
      <w:keepNext/>
      <w:keepLines/>
      <w:spacing w:before="260" w:after="260" w:line="416" w:lineRule="auto"/>
      <w:outlineLvl w:val="2"/>
    </w:pPr>
    <w:rPr>
      <w:b/>
      <w:bCs/>
      <w:sz w:val="32"/>
      <w:szCs w:val="32"/>
    </w:rPr>
  </w:style>
  <w:style w:type="paragraph" w:styleId="5">
    <w:name w:val="heading 4"/>
    <w:basedOn w:val="1"/>
    <w:next w:val="1"/>
    <w:link w:val="80"/>
    <w:qFormat/>
    <w:uiPriority w:val="9"/>
    <w:pPr>
      <w:keepNext/>
      <w:keepLines/>
      <w:spacing w:before="280" w:after="290" w:line="372" w:lineRule="auto"/>
      <w:outlineLvl w:val="3"/>
    </w:pPr>
    <w:rPr>
      <w:rFonts w:ascii="Arial" w:hAnsi="Arial" w:eastAsia="黑体"/>
      <w:b/>
      <w:sz w:val="28"/>
      <w:szCs w:val="20"/>
    </w:rPr>
  </w:style>
  <w:style w:type="paragraph" w:styleId="6">
    <w:name w:val="heading 5"/>
    <w:basedOn w:val="1"/>
    <w:next w:val="1"/>
    <w:link w:val="81"/>
    <w:qFormat/>
    <w:uiPriority w:val="9"/>
    <w:pPr>
      <w:keepNext/>
      <w:keepLines/>
      <w:spacing w:before="280" w:after="290" w:line="372" w:lineRule="auto"/>
      <w:outlineLvl w:val="4"/>
    </w:pPr>
    <w:rPr>
      <w:b/>
      <w:sz w:val="28"/>
      <w:szCs w:val="20"/>
    </w:rPr>
  </w:style>
  <w:style w:type="paragraph" w:styleId="7">
    <w:name w:val="heading 6"/>
    <w:basedOn w:val="1"/>
    <w:next w:val="1"/>
    <w:link w:val="82"/>
    <w:qFormat/>
    <w:uiPriority w:val="0"/>
    <w:pPr>
      <w:keepNext/>
      <w:keepLines/>
      <w:spacing w:before="240" w:after="64" w:line="317" w:lineRule="auto"/>
      <w:outlineLvl w:val="5"/>
    </w:pPr>
    <w:rPr>
      <w:rFonts w:ascii="Cambria" w:hAnsi="Cambria"/>
      <w:b/>
      <w:bCs/>
      <w:sz w:val="24"/>
    </w:rPr>
  </w:style>
  <w:style w:type="paragraph" w:styleId="8">
    <w:name w:val="heading 7"/>
    <w:basedOn w:val="1"/>
    <w:next w:val="1"/>
    <w:link w:val="83"/>
    <w:qFormat/>
    <w:uiPriority w:val="0"/>
    <w:pPr>
      <w:keepNext/>
      <w:keepLines/>
      <w:spacing w:before="240" w:after="64" w:line="317" w:lineRule="auto"/>
      <w:outlineLvl w:val="6"/>
    </w:pPr>
    <w:rPr>
      <w:rFonts w:ascii="Calibri" w:hAnsi="Calibri"/>
      <w:b/>
      <w:bCs/>
      <w:sz w:val="24"/>
    </w:rPr>
  </w:style>
  <w:style w:type="paragraph" w:styleId="9">
    <w:name w:val="heading 8"/>
    <w:basedOn w:val="1"/>
    <w:next w:val="1"/>
    <w:link w:val="84"/>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85"/>
    <w:qFormat/>
    <w:uiPriority w:val="0"/>
    <w:pPr>
      <w:keepNext/>
      <w:keepLines/>
      <w:spacing w:before="240" w:after="64" w:line="317" w:lineRule="auto"/>
      <w:outlineLvl w:val="8"/>
    </w:pPr>
    <w:rPr>
      <w:rFonts w:ascii="Cambria" w:hAnsi="Cambria"/>
      <w:szCs w:val="21"/>
    </w:rPr>
  </w:style>
  <w:style w:type="character" w:default="1" w:styleId="41">
    <w:name w:val="Default Paragraph Font"/>
    <w:semiHidden/>
    <w:unhideWhenUsed/>
    <w:uiPriority w:val="1"/>
  </w:style>
  <w:style w:type="table" w:default="1" w:styleId="39">
    <w:name w:val="Normal Table"/>
    <w:semiHidden/>
    <w:unhideWhenUsed/>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link w:val="62"/>
    <w:qFormat/>
    <w:uiPriority w:val="0"/>
    <w:pPr>
      <w:ind w:firstLine="420" w:firstLineChars="200"/>
    </w:pPr>
  </w:style>
  <w:style w:type="paragraph" w:styleId="13">
    <w:name w:val="caption"/>
    <w:basedOn w:val="1"/>
    <w:next w:val="1"/>
    <w:qFormat/>
    <w:uiPriority w:val="0"/>
    <w:pPr>
      <w:ind w:firstLine="6290" w:firstLineChars="2282"/>
    </w:pPr>
    <w:rPr>
      <w:b/>
      <w:color w:val="000080"/>
      <w:sz w:val="28"/>
      <w:szCs w:val="20"/>
    </w:rPr>
  </w:style>
  <w:style w:type="paragraph" w:styleId="14">
    <w:name w:val="Document Map"/>
    <w:basedOn w:val="1"/>
    <w:link w:val="74"/>
    <w:qFormat/>
    <w:uiPriority w:val="0"/>
    <w:rPr>
      <w:rFonts w:ascii="宋体"/>
      <w:sz w:val="18"/>
      <w:szCs w:val="18"/>
    </w:rPr>
  </w:style>
  <w:style w:type="paragraph" w:styleId="15">
    <w:name w:val="annotation text"/>
    <w:basedOn w:val="1"/>
    <w:link w:val="65"/>
    <w:qFormat/>
    <w:uiPriority w:val="0"/>
    <w:pPr>
      <w:jc w:val="left"/>
    </w:pPr>
    <w:rPr>
      <w:rFonts w:asciiTheme="minorHAnsi" w:hAnsiTheme="minorHAnsi" w:eastAsiaTheme="minorEastAsia" w:cstheme="minorBidi"/>
      <w:sz w:val="18"/>
      <w:szCs w:val="22"/>
    </w:rPr>
  </w:style>
  <w:style w:type="paragraph" w:styleId="16">
    <w:name w:val="Body Text"/>
    <w:basedOn w:val="1"/>
    <w:link w:val="75"/>
    <w:qFormat/>
    <w:uiPriority w:val="0"/>
    <w:pPr>
      <w:spacing w:after="120"/>
    </w:pPr>
  </w:style>
  <w:style w:type="paragraph" w:styleId="17">
    <w:name w:val="Body Text Indent"/>
    <w:basedOn w:val="1"/>
    <w:link w:val="52"/>
    <w:qFormat/>
    <w:uiPriority w:val="0"/>
    <w:pPr>
      <w:ind w:firstLine="630"/>
    </w:pPr>
    <w:rPr>
      <w:sz w:val="32"/>
      <w:szCs w:val="20"/>
    </w:rPr>
  </w:style>
  <w:style w:type="paragraph" w:styleId="18">
    <w:name w:val="index 4"/>
    <w:basedOn w:val="1"/>
    <w:next w:val="1"/>
    <w:qFormat/>
    <w:uiPriority w:val="0"/>
    <w:pPr>
      <w:ind w:left="600" w:leftChars="600"/>
    </w:pPr>
  </w:style>
  <w:style w:type="paragraph" w:styleId="19">
    <w:name w:val="toc 5"/>
    <w:basedOn w:val="1"/>
    <w:next w:val="1"/>
    <w:qFormat/>
    <w:uiPriority w:val="39"/>
    <w:pPr>
      <w:tabs>
        <w:tab w:val="right" w:leader="dot" w:pos="8296"/>
      </w:tabs>
      <w:ind w:left="1050" w:leftChars="500"/>
    </w:pPr>
    <w:rPr>
      <w:rFonts w:ascii="Calibri" w:hAnsi="Calibri"/>
      <w:szCs w:val="22"/>
    </w:rPr>
  </w:style>
  <w:style w:type="paragraph" w:styleId="20">
    <w:name w:val="toc 3"/>
    <w:basedOn w:val="1"/>
    <w:next w:val="1"/>
    <w:qFormat/>
    <w:uiPriority w:val="39"/>
    <w:pPr>
      <w:ind w:left="840" w:leftChars="400"/>
    </w:pPr>
    <w:rPr>
      <w:szCs w:val="20"/>
    </w:rPr>
  </w:style>
  <w:style w:type="paragraph" w:styleId="21">
    <w:name w:val="Plain Text"/>
    <w:basedOn w:val="1"/>
    <w:link w:val="67"/>
    <w:qFormat/>
    <w:uiPriority w:val="0"/>
    <w:pPr>
      <w:autoSpaceDE w:val="0"/>
      <w:autoSpaceDN w:val="0"/>
      <w:adjustRightInd w:val="0"/>
    </w:pPr>
    <w:rPr>
      <w:rFonts w:ascii="宋体" w:hAnsi="Tms Rmn" w:cstheme="minorBidi"/>
      <w:szCs w:val="22"/>
    </w:rPr>
  </w:style>
  <w:style w:type="paragraph" w:styleId="22">
    <w:name w:val="toc 8"/>
    <w:basedOn w:val="1"/>
    <w:next w:val="1"/>
    <w:qFormat/>
    <w:uiPriority w:val="39"/>
    <w:pPr>
      <w:ind w:left="2940" w:leftChars="1400"/>
    </w:pPr>
    <w:rPr>
      <w:rFonts w:ascii="Calibri" w:hAnsi="Calibri"/>
      <w:szCs w:val="22"/>
    </w:rPr>
  </w:style>
  <w:style w:type="paragraph" w:styleId="23">
    <w:name w:val="Date"/>
    <w:basedOn w:val="1"/>
    <w:next w:val="1"/>
    <w:link w:val="96"/>
    <w:qFormat/>
    <w:uiPriority w:val="0"/>
    <w:rPr>
      <w:szCs w:val="20"/>
    </w:rPr>
  </w:style>
  <w:style w:type="paragraph" w:styleId="24">
    <w:name w:val="Body Text Indent 2"/>
    <w:basedOn w:val="1"/>
    <w:link w:val="55"/>
    <w:qFormat/>
    <w:uiPriority w:val="0"/>
    <w:pPr>
      <w:spacing w:after="120" w:line="480" w:lineRule="auto"/>
      <w:ind w:left="420" w:leftChars="200"/>
    </w:pPr>
  </w:style>
  <w:style w:type="paragraph" w:styleId="25">
    <w:name w:val="Balloon Text"/>
    <w:basedOn w:val="1"/>
    <w:link w:val="61"/>
    <w:qFormat/>
    <w:uiPriority w:val="99"/>
    <w:rPr>
      <w:sz w:val="18"/>
      <w:szCs w:val="18"/>
    </w:rPr>
  </w:style>
  <w:style w:type="paragraph" w:styleId="26">
    <w:name w:val="footer"/>
    <w:basedOn w:val="1"/>
    <w:link w:val="48"/>
    <w:unhideWhenUsed/>
    <w:qFormat/>
    <w:uiPriority w:val="99"/>
    <w:pPr>
      <w:tabs>
        <w:tab w:val="center" w:pos="4153"/>
        <w:tab w:val="right" w:pos="8306"/>
      </w:tabs>
      <w:snapToGrid w:val="0"/>
      <w:jc w:val="left"/>
    </w:pPr>
    <w:rPr>
      <w:sz w:val="18"/>
      <w:szCs w:val="18"/>
    </w:rPr>
  </w:style>
  <w:style w:type="paragraph" w:styleId="27">
    <w:name w:val="header"/>
    <w:basedOn w:val="1"/>
    <w:link w:val="47"/>
    <w:unhideWhenUsed/>
    <w:qFormat/>
    <w:uiPriority w:val="99"/>
    <w:pPr>
      <w:pBdr>
        <w:bottom w:val="single" w:color="auto" w:sz="6" w:space="1"/>
      </w:pBdr>
      <w:tabs>
        <w:tab w:val="center" w:pos="4153"/>
        <w:tab w:val="right" w:pos="8306"/>
      </w:tabs>
      <w:snapToGrid w:val="0"/>
      <w:jc w:val="center"/>
    </w:pPr>
    <w:rPr>
      <w:sz w:val="18"/>
      <w:szCs w:val="18"/>
    </w:rPr>
  </w:style>
  <w:style w:type="paragraph" w:styleId="28">
    <w:name w:val="toc 1"/>
    <w:basedOn w:val="1"/>
    <w:next w:val="1"/>
    <w:qFormat/>
    <w:uiPriority w:val="39"/>
    <w:pPr>
      <w:spacing w:line="480" w:lineRule="auto"/>
    </w:pPr>
    <w:rPr>
      <w:sz w:val="24"/>
      <w:szCs w:val="20"/>
    </w:rPr>
  </w:style>
  <w:style w:type="paragraph" w:styleId="29">
    <w:name w:val="toc 4"/>
    <w:basedOn w:val="1"/>
    <w:next w:val="1"/>
    <w:qFormat/>
    <w:uiPriority w:val="39"/>
    <w:pPr>
      <w:tabs>
        <w:tab w:val="left" w:pos="1890"/>
        <w:tab w:val="right" w:leader="dot" w:pos="8296"/>
      </w:tabs>
      <w:ind w:left="630" w:leftChars="300"/>
    </w:pPr>
    <w:rPr>
      <w:rFonts w:ascii="Calibri" w:hAnsi="Calibri"/>
      <w:szCs w:val="22"/>
    </w:rPr>
  </w:style>
  <w:style w:type="paragraph" w:styleId="30">
    <w:name w:val="Subtitle"/>
    <w:basedOn w:val="1"/>
    <w:next w:val="1"/>
    <w:link w:val="134"/>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1">
    <w:name w:val="toc 6"/>
    <w:basedOn w:val="1"/>
    <w:next w:val="1"/>
    <w:qFormat/>
    <w:uiPriority w:val="39"/>
    <w:pPr>
      <w:ind w:left="2100" w:leftChars="1000"/>
    </w:pPr>
    <w:rPr>
      <w:rFonts w:ascii="Calibri" w:hAnsi="Calibri"/>
      <w:szCs w:val="22"/>
    </w:rPr>
  </w:style>
  <w:style w:type="paragraph" w:styleId="32">
    <w:name w:val="Body Text Indent 3"/>
    <w:basedOn w:val="1"/>
    <w:link w:val="56"/>
    <w:qFormat/>
    <w:uiPriority w:val="0"/>
    <w:pPr>
      <w:spacing w:after="120"/>
      <w:ind w:left="420" w:leftChars="200"/>
    </w:pPr>
    <w:rPr>
      <w:sz w:val="16"/>
      <w:szCs w:val="16"/>
    </w:rPr>
  </w:style>
  <w:style w:type="paragraph" w:styleId="33">
    <w:name w:val="index 7"/>
    <w:basedOn w:val="1"/>
    <w:next w:val="1"/>
    <w:semiHidden/>
    <w:unhideWhenUsed/>
    <w:qFormat/>
    <w:uiPriority w:val="99"/>
    <w:pPr>
      <w:ind w:left="1200" w:leftChars="1200"/>
    </w:pPr>
    <w:rPr>
      <w:szCs w:val="20"/>
    </w:rPr>
  </w:style>
  <w:style w:type="paragraph" w:styleId="34">
    <w:name w:val="toc 2"/>
    <w:basedOn w:val="1"/>
    <w:next w:val="1"/>
    <w:qFormat/>
    <w:uiPriority w:val="39"/>
    <w:pPr>
      <w:ind w:left="420" w:leftChars="200"/>
    </w:pPr>
    <w:rPr>
      <w:szCs w:val="20"/>
    </w:rPr>
  </w:style>
  <w:style w:type="paragraph" w:styleId="35">
    <w:name w:val="toc 9"/>
    <w:basedOn w:val="1"/>
    <w:next w:val="1"/>
    <w:qFormat/>
    <w:uiPriority w:val="39"/>
    <w:pPr>
      <w:ind w:left="3360" w:leftChars="1600"/>
    </w:pPr>
    <w:rPr>
      <w:rFonts w:ascii="Calibri" w:hAnsi="Calibri"/>
      <w:szCs w:val="22"/>
    </w:rPr>
  </w:style>
  <w:style w:type="paragraph" w:styleId="36">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7">
    <w:name w:val="Title"/>
    <w:basedOn w:val="1"/>
    <w:next w:val="1"/>
    <w:link w:val="91"/>
    <w:qFormat/>
    <w:uiPriority w:val="0"/>
    <w:pPr>
      <w:spacing w:before="240" w:after="60"/>
      <w:jc w:val="center"/>
      <w:outlineLvl w:val="0"/>
    </w:pPr>
    <w:rPr>
      <w:rFonts w:ascii="Cambria" w:hAnsi="Cambria" w:eastAsiaTheme="minorEastAsia" w:cstheme="minorBidi"/>
      <w:b/>
      <w:bCs/>
      <w:sz w:val="32"/>
      <w:szCs w:val="32"/>
    </w:rPr>
  </w:style>
  <w:style w:type="paragraph" w:styleId="38">
    <w:name w:val="annotation subject"/>
    <w:basedOn w:val="15"/>
    <w:next w:val="15"/>
    <w:link w:val="72"/>
    <w:qFormat/>
    <w:uiPriority w:val="0"/>
    <w:rPr>
      <w:b/>
      <w:bCs/>
      <w:sz w:val="21"/>
      <w:szCs w:val="24"/>
    </w:rPr>
  </w:style>
  <w:style w:type="table" w:styleId="40">
    <w:name w:val="Table Grid"/>
    <w:basedOn w:val="39"/>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2">
    <w:name w:val="Strong"/>
    <w:qFormat/>
    <w:uiPriority w:val="0"/>
    <w:rPr>
      <w:b/>
      <w:bCs/>
    </w:rPr>
  </w:style>
  <w:style w:type="character" w:styleId="43">
    <w:name w:val="page number"/>
    <w:basedOn w:val="41"/>
    <w:qFormat/>
    <w:uiPriority w:val="0"/>
  </w:style>
  <w:style w:type="character" w:styleId="44">
    <w:name w:val="Emphasis"/>
    <w:qFormat/>
    <w:uiPriority w:val="0"/>
    <w:rPr>
      <w:i/>
      <w:iCs/>
    </w:rPr>
  </w:style>
  <w:style w:type="character" w:styleId="45">
    <w:name w:val="Hyperlink"/>
    <w:qFormat/>
    <w:uiPriority w:val="99"/>
    <w:rPr>
      <w:color w:val="0000FF"/>
      <w:u w:val="single"/>
    </w:rPr>
  </w:style>
  <w:style w:type="character" w:styleId="46">
    <w:name w:val="annotation reference"/>
    <w:basedOn w:val="41"/>
    <w:qFormat/>
    <w:uiPriority w:val="99"/>
    <w:rPr>
      <w:sz w:val="21"/>
      <w:szCs w:val="21"/>
    </w:rPr>
  </w:style>
  <w:style w:type="character" w:customStyle="1" w:styleId="47">
    <w:name w:val="页眉 Char"/>
    <w:basedOn w:val="41"/>
    <w:link w:val="27"/>
    <w:qFormat/>
    <w:uiPriority w:val="99"/>
    <w:rPr>
      <w:sz w:val="18"/>
      <w:szCs w:val="18"/>
    </w:rPr>
  </w:style>
  <w:style w:type="character" w:customStyle="1" w:styleId="48">
    <w:name w:val="页脚 Char"/>
    <w:basedOn w:val="41"/>
    <w:link w:val="26"/>
    <w:qFormat/>
    <w:uiPriority w:val="99"/>
    <w:rPr>
      <w:sz w:val="18"/>
      <w:szCs w:val="18"/>
    </w:rPr>
  </w:style>
  <w:style w:type="character" w:customStyle="1" w:styleId="49">
    <w:name w:val="标题 1 Char"/>
    <w:basedOn w:val="41"/>
    <w:link w:val="2"/>
    <w:uiPriority w:val="9"/>
    <w:rPr>
      <w:rFonts w:ascii="Times New Roman" w:hAnsi="Times New Roman" w:eastAsia="宋体" w:cs="Times New Roman"/>
      <w:b/>
      <w:bCs/>
      <w:kern w:val="44"/>
      <w:sz w:val="44"/>
      <w:szCs w:val="44"/>
    </w:rPr>
  </w:style>
  <w:style w:type="character" w:customStyle="1" w:styleId="50">
    <w:name w:val="标题 2 Char"/>
    <w:basedOn w:val="41"/>
    <w:link w:val="3"/>
    <w:qFormat/>
    <w:uiPriority w:val="0"/>
    <w:rPr>
      <w:rFonts w:ascii="Arial" w:hAnsi="Arial" w:eastAsia="黑体" w:cs="Times New Roman"/>
      <w:b/>
      <w:bCs/>
      <w:sz w:val="32"/>
      <w:szCs w:val="32"/>
    </w:rPr>
  </w:style>
  <w:style w:type="character" w:customStyle="1" w:styleId="51">
    <w:name w:val="标题 3 Char"/>
    <w:basedOn w:val="41"/>
    <w:link w:val="4"/>
    <w:uiPriority w:val="0"/>
    <w:rPr>
      <w:rFonts w:ascii="Times New Roman" w:hAnsi="Times New Roman" w:eastAsia="宋体" w:cs="Times New Roman"/>
      <w:b/>
      <w:bCs/>
      <w:sz w:val="32"/>
      <w:szCs w:val="32"/>
    </w:rPr>
  </w:style>
  <w:style w:type="character" w:customStyle="1" w:styleId="52">
    <w:name w:val="正文文本缩进 Char"/>
    <w:basedOn w:val="41"/>
    <w:link w:val="17"/>
    <w:qFormat/>
    <w:uiPriority w:val="0"/>
    <w:rPr>
      <w:rFonts w:ascii="Times New Roman" w:hAnsi="Times New Roman" w:eastAsia="宋体" w:cs="Times New Roman"/>
      <w:sz w:val="32"/>
      <w:szCs w:val="20"/>
    </w:rPr>
  </w:style>
  <w:style w:type="paragraph" w:customStyle="1" w:styleId="53">
    <w:name w:val="正文首行缩进两字符"/>
    <w:basedOn w:val="1"/>
    <w:qFormat/>
    <w:uiPriority w:val="0"/>
    <w:pPr>
      <w:spacing w:line="360" w:lineRule="auto"/>
      <w:ind w:firstLine="200" w:firstLineChars="200"/>
    </w:pPr>
  </w:style>
  <w:style w:type="paragraph" w:customStyle="1" w:styleId="5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55">
    <w:name w:val="正文文本缩进 2 Char"/>
    <w:basedOn w:val="41"/>
    <w:link w:val="24"/>
    <w:uiPriority w:val="0"/>
    <w:rPr>
      <w:rFonts w:ascii="Times New Roman" w:hAnsi="Times New Roman" w:eastAsia="宋体" w:cs="Times New Roman"/>
      <w:szCs w:val="24"/>
    </w:rPr>
  </w:style>
  <w:style w:type="character" w:customStyle="1" w:styleId="56">
    <w:name w:val="正文文本缩进 3 Char"/>
    <w:basedOn w:val="41"/>
    <w:link w:val="32"/>
    <w:qFormat/>
    <w:uiPriority w:val="0"/>
    <w:rPr>
      <w:rFonts w:ascii="Times New Roman" w:hAnsi="Times New Roman" w:eastAsia="宋体" w:cs="Times New Roman"/>
      <w:sz w:val="16"/>
      <w:szCs w:val="16"/>
    </w:rPr>
  </w:style>
  <w:style w:type="paragraph" w:customStyle="1" w:styleId="5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58">
    <w:name w:val="表格"/>
    <w:basedOn w:val="1"/>
    <w:qFormat/>
    <w:uiPriority w:val="0"/>
    <w:pPr>
      <w:spacing w:line="400" w:lineRule="exact"/>
    </w:pPr>
    <w:rPr>
      <w:sz w:val="24"/>
    </w:rPr>
  </w:style>
  <w:style w:type="paragraph" w:customStyle="1" w:styleId="59">
    <w:name w:val="样式 首行缩进:  2 字符"/>
    <w:basedOn w:val="1"/>
    <w:qFormat/>
    <w:uiPriority w:val="0"/>
    <w:pPr>
      <w:spacing w:line="400" w:lineRule="exact"/>
      <w:ind w:firstLine="200" w:firstLineChars="200"/>
    </w:pPr>
    <w:rPr>
      <w:rFonts w:cs="宋体"/>
      <w:sz w:val="24"/>
    </w:rPr>
  </w:style>
  <w:style w:type="character" w:customStyle="1" w:styleId="60">
    <w:name w:val="（符号）邀请函中一、"/>
    <w:basedOn w:val="41"/>
    <w:uiPriority w:val="0"/>
    <w:rPr>
      <w:rFonts w:ascii="黑体" w:hAnsi="黑体" w:eastAsia="黑体"/>
      <w:b/>
      <w:bCs/>
      <w:sz w:val="24"/>
    </w:rPr>
  </w:style>
  <w:style w:type="character" w:customStyle="1" w:styleId="61">
    <w:name w:val="批注框文本 Char"/>
    <w:basedOn w:val="41"/>
    <w:link w:val="25"/>
    <w:qFormat/>
    <w:uiPriority w:val="99"/>
    <w:rPr>
      <w:rFonts w:ascii="Times New Roman" w:hAnsi="Times New Roman" w:eastAsia="宋体" w:cs="Times New Roman"/>
      <w:sz w:val="18"/>
      <w:szCs w:val="18"/>
    </w:rPr>
  </w:style>
  <w:style w:type="character" w:customStyle="1" w:styleId="62">
    <w:name w:val="正文缩进 Char"/>
    <w:link w:val="12"/>
    <w:qFormat/>
    <w:uiPriority w:val="0"/>
    <w:rPr>
      <w:rFonts w:ascii="Times New Roman" w:hAnsi="Times New Roman" w:eastAsia="宋体" w:cs="Times New Roman"/>
      <w:szCs w:val="24"/>
    </w:rPr>
  </w:style>
  <w:style w:type="character" w:customStyle="1" w:styleId="63">
    <w:name w:val="Char Char9"/>
    <w:qFormat/>
    <w:uiPriority w:val="0"/>
    <w:rPr>
      <w:kern w:val="2"/>
      <w:sz w:val="21"/>
    </w:rPr>
  </w:style>
  <w:style w:type="character" w:customStyle="1" w:styleId="64">
    <w:name w:val="批注文字 Char"/>
    <w:qFormat/>
    <w:uiPriority w:val="0"/>
    <w:rPr>
      <w:sz w:val="18"/>
    </w:rPr>
  </w:style>
  <w:style w:type="character" w:customStyle="1" w:styleId="65">
    <w:name w:val="批注文字 Char1"/>
    <w:basedOn w:val="41"/>
    <w:link w:val="15"/>
    <w:qFormat/>
    <w:uiPriority w:val="0"/>
    <w:rPr>
      <w:rFonts w:ascii="Times New Roman" w:hAnsi="Times New Roman" w:eastAsia="宋体" w:cs="Times New Roman"/>
      <w:szCs w:val="24"/>
    </w:rPr>
  </w:style>
  <w:style w:type="character" w:customStyle="1" w:styleId="66">
    <w:name w:val="纯文本 Char"/>
    <w:unhideWhenUsed/>
    <w:qFormat/>
    <w:uiPriority w:val="0"/>
    <w:rPr>
      <w:rFonts w:ascii="宋体" w:hAnsi="Tms Rmn" w:eastAsia="宋体"/>
    </w:rPr>
  </w:style>
  <w:style w:type="character" w:customStyle="1" w:styleId="67">
    <w:name w:val="纯文本 Char1"/>
    <w:basedOn w:val="41"/>
    <w:link w:val="21"/>
    <w:qFormat/>
    <w:uiPriority w:val="99"/>
    <w:rPr>
      <w:rFonts w:ascii="宋体" w:hAnsi="Courier New" w:eastAsia="宋体" w:cs="Courier New"/>
      <w:szCs w:val="21"/>
    </w:rPr>
  </w:style>
  <w:style w:type="paragraph" w:customStyle="1" w:styleId="68">
    <w:name w:val="GW-正文"/>
    <w:basedOn w:val="1"/>
    <w:link w:val="69"/>
    <w:qFormat/>
    <w:uiPriority w:val="0"/>
    <w:pPr>
      <w:spacing w:line="360" w:lineRule="auto"/>
      <w:ind w:firstLine="200" w:firstLineChars="200"/>
    </w:pPr>
    <w:rPr>
      <w:rFonts w:eastAsia="仿宋_GB2312"/>
      <w:sz w:val="24"/>
    </w:rPr>
  </w:style>
  <w:style w:type="character" w:customStyle="1" w:styleId="69">
    <w:name w:val="GW-正文 Char"/>
    <w:link w:val="68"/>
    <w:qFormat/>
    <w:uiPriority w:val="0"/>
    <w:rPr>
      <w:rFonts w:ascii="Times New Roman" w:hAnsi="Times New Roman" w:eastAsia="仿宋_GB2312" w:cs="Times New Roman"/>
      <w:sz w:val="24"/>
      <w:szCs w:val="24"/>
    </w:rPr>
  </w:style>
  <w:style w:type="paragraph" w:styleId="70">
    <w:name w:val="List Paragraph"/>
    <w:basedOn w:val="1"/>
    <w:link w:val="71"/>
    <w:qFormat/>
    <w:uiPriority w:val="1"/>
    <w:pPr>
      <w:ind w:firstLine="420" w:firstLineChars="200"/>
    </w:pPr>
  </w:style>
  <w:style w:type="character" w:customStyle="1" w:styleId="71">
    <w:name w:val="列出段落 Char"/>
    <w:link w:val="70"/>
    <w:qFormat/>
    <w:uiPriority w:val="0"/>
    <w:rPr>
      <w:rFonts w:ascii="Times New Roman" w:hAnsi="Times New Roman" w:eastAsia="宋体" w:cs="Times New Roman"/>
      <w:szCs w:val="24"/>
    </w:rPr>
  </w:style>
  <w:style w:type="character" w:customStyle="1" w:styleId="72">
    <w:name w:val="批注主题 Char"/>
    <w:basedOn w:val="65"/>
    <w:link w:val="38"/>
    <w:qFormat/>
    <w:uiPriority w:val="0"/>
    <w:rPr>
      <w:rFonts w:ascii="Times New Roman" w:hAnsi="Times New Roman" w:eastAsia="宋体" w:cs="Times New Roman"/>
      <w:b/>
      <w:bCs/>
      <w:szCs w:val="24"/>
    </w:rPr>
  </w:style>
  <w:style w:type="paragraph" w:customStyle="1" w:styleId="73">
    <w:name w:val="Char Char Char Char Char Char Char Char Char Char Char Char Char Char1 Char Char Char Char"/>
    <w:basedOn w:val="1"/>
    <w:qFormat/>
    <w:uiPriority w:val="0"/>
    <w:rPr>
      <w:szCs w:val="21"/>
    </w:rPr>
  </w:style>
  <w:style w:type="character" w:customStyle="1" w:styleId="74">
    <w:name w:val="文档结构图 Char"/>
    <w:basedOn w:val="41"/>
    <w:link w:val="14"/>
    <w:qFormat/>
    <w:uiPriority w:val="0"/>
    <w:rPr>
      <w:rFonts w:ascii="宋体" w:hAnsi="Times New Roman" w:eastAsia="宋体" w:cs="Times New Roman"/>
      <w:sz w:val="18"/>
      <w:szCs w:val="18"/>
    </w:rPr>
  </w:style>
  <w:style w:type="character" w:customStyle="1" w:styleId="75">
    <w:name w:val="正文文本 Char"/>
    <w:basedOn w:val="41"/>
    <w:link w:val="16"/>
    <w:qFormat/>
    <w:uiPriority w:val="0"/>
    <w:rPr>
      <w:rFonts w:ascii="Times New Roman" w:hAnsi="Times New Roman" w:eastAsia="宋体" w:cs="Times New Roman"/>
      <w:szCs w:val="24"/>
    </w:rPr>
  </w:style>
  <w:style w:type="paragraph" w:customStyle="1" w:styleId="76">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77">
    <w:name w:val="font31"/>
    <w:basedOn w:val="41"/>
    <w:qFormat/>
    <w:uiPriority w:val="0"/>
    <w:rPr>
      <w:rFonts w:hint="eastAsia" w:ascii="宋体" w:hAnsi="宋体" w:eastAsia="宋体" w:cs="宋体"/>
      <w:color w:val="000000"/>
      <w:sz w:val="21"/>
      <w:szCs w:val="21"/>
      <w:u w:val="none"/>
    </w:rPr>
  </w:style>
  <w:style w:type="character" w:customStyle="1" w:styleId="78">
    <w:name w:val="正文缩进 Char1"/>
    <w:qFormat/>
    <w:locked/>
    <w:uiPriority w:val="0"/>
    <w:rPr>
      <w:rFonts w:eastAsia="宋体"/>
      <w:kern w:val="2"/>
      <w:sz w:val="21"/>
      <w:szCs w:val="24"/>
      <w:lang w:val="en-US" w:eastAsia="zh-CN" w:bidi="ar-SA"/>
    </w:rPr>
  </w:style>
  <w:style w:type="paragraph" w:customStyle="1" w:styleId="79">
    <w:name w:val="Plain Text1"/>
    <w:basedOn w:val="1"/>
    <w:qFormat/>
    <w:uiPriority w:val="0"/>
    <w:pPr>
      <w:adjustRightInd w:val="0"/>
      <w:jc w:val="left"/>
      <w:textAlignment w:val="baseline"/>
    </w:pPr>
    <w:rPr>
      <w:rFonts w:ascii="宋体" w:hAnsi="Courier New"/>
      <w:sz w:val="24"/>
      <w:szCs w:val="20"/>
    </w:rPr>
  </w:style>
  <w:style w:type="character" w:customStyle="1" w:styleId="80">
    <w:name w:val="标题 4 Char"/>
    <w:basedOn w:val="41"/>
    <w:link w:val="5"/>
    <w:qFormat/>
    <w:uiPriority w:val="0"/>
    <w:rPr>
      <w:rFonts w:ascii="Arial" w:hAnsi="Arial" w:eastAsia="黑体" w:cs="Times New Roman"/>
      <w:b/>
      <w:kern w:val="2"/>
      <w:sz w:val="28"/>
    </w:rPr>
  </w:style>
  <w:style w:type="character" w:customStyle="1" w:styleId="81">
    <w:name w:val="标题 5 Char"/>
    <w:basedOn w:val="41"/>
    <w:link w:val="6"/>
    <w:qFormat/>
    <w:uiPriority w:val="0"/>
    <w:rPr>
      <w:rFonts w:ascii="Times New Roman" w:hAnsi="Times New Roman" w:eastAsia="宋体" w:cs="Times New Roman"/>
      <w:b/>
      <w:kern w:val="2"/>
      <w:sz w:val="28"/>
    </w:rPr>
  </w:style>
  <w:style w:type="character" w:customStyle="1" w:styleId="82">
    <w:name w:val="标题 6 Char"/>
    <w:basedOn w:val="41"/>
    <w:link w:val="7"/>
    <w:uiPriority w:val="0"/>
    <w:rPr>
      <w:rFonts w:ascii="Cambria" w:hAnsi="Cambria" w:eastAsia="宋体" w:cs="Times New Roman"/>
      <w:b/>
      <w:bCs/>
      <w:kern w:val="2"/>
      <w:sz w:val="24"/>
      <w:szCs w:val="24"/>
    </w:rPr>
  </w:style>
  <w:style w:type="character" w:customStyle="1" w:styleId="83">
    <w:name w:val="标题 7 Char"/>
    <w:basedOn w:val="41"/>
    <w:link w:val="8"/>
    <w:qFormat/>
    <w:uiPriority w:val="0"/>
    <w:rPr>
      <w:rFonts w:ascii="Calibri" w:hAnsi="Calibri" w:eastAsia="宋体" w:cs="Times New Roman"/>
      <w:b/>
      <w:bCs/>
      <w:kern w:val="2"/>
      <w:sz w:val="24"/>
      <w:szCs w:val="24"/>
    </w:rPr>
  </w:style>
  <w:style w:type="character" w:customStyle="1" w:styleId="84">
    <w:name w:val="标题 8 Char"/>
    <w:basedOn w:val="41"/>
    <w:link w:val="9"/>
    <w:qFormat/>
    <w:uiPriority w:val="0"/>
    <w:rPr>
      <w:rFonts w:ascii="Cambria" w:hAnsi="Cambria" w:eastAsia="宋体" w:cs="Times New Roman"/>
      <w:kern w:val="2"/>
      <w:sz w:val="24"/>
      <w:szCs w:val="24"/>
    </w:rPr>
  </w:style>
  <w:style w:type="character" w:customStyle="1" w:styleId="85">
    <w:name w:val="标题 9 Char"/>
    <w:basedOn w:val="41"/>
    <w:link w:val="10"/>
    <w:qFormat/>
    <w:uiPriority w:val="0"/>
    <w:rPr>
      <w:rFonts w:ascii="Cambria" w:hAnsi="Cambria" w:eastAsia="宋体" w:cs="Times New Roman"/>
      <w:kern w:val="2"/>
      <w:sz w:val="21"/>
      <w:szCs w:val="21"/>
    </w:rPr>
  </w:style>
  <w:style w:type="character" w:customStyle="1" w:styleId="86">
    <w:name w:val="Char Char3"/>
    <w:qFormat/>
    <w:uiPriority w:val="0"/>
    <w:rPr>
      <w:rFonts w:ascii="Arial" w:hAnsi="Arial" w:eastAsia="黑体"/>
      <w:b/>
      <w:kern w:val="2"/>
      <w:sz w:val="32"/>
      <w:lang w:val="en-US" w:eastAsia="zh-CN"/>
    </w:rPr>
  </w:style>
  <w:style w:type="character" w:customStyle="1" w:styleId="87">
    <w:name w:val="Char Char Char"/>
    <w:link w:val="88"/>
    <w:qFormat/>
    <w:uiPriority w:val="0"/>
    <w:rPr>
      <w:rFonts w:ascii="Arial" w:hAnsi="Arial" w:eastAsia="黑体"/>
      <w:b/>
      <w:kern w:val="2"/>
      <w:sz w:val="32"/>
    </w:rPr>
  </w:style>
  <w:style w:type="paragraph" w:customStyle="1" w:styleId="88">
    <w:name w:val="Char"/>
    <w:basedOn w:val="1"/>
    <w:link w:val="87"/>
    <w:qFormat/>
    <w:uiPriority w:val="0"/>
    <w:rPr>
      <w:rFonts w:ascii="Arial" w:hAnsi="Arial" w:eastAsia="黑体" w:cstheme="minorBidi"/>
      <w:b/>
      <w:sz w:val="32"/>
      <w:szCs w:val="20"/>
    </w:rPr>
  </w:style>
  <w:style w:type="character" w:customStyle="1" w:styleId="89">
    <w:name w:val="无间距字符"/>
    <w:link w:val="90"/>
    <w:qFormat/>
    <w:uiPriority w:val="0"/>
    <w:rPr>
      <w:rFonts w:ascii="Calibri" w:hAnsi="Calibri"/>
      <w:sz w:val="22"/>
    </w:rPr>
  </w:style>
  <w:style w:type="paragraph" w:customStyle="1" w:styleId="90">
    <w:name w:val="无间距"/>
    <w:link w:val="89"/>
    <w:qFormat/>
    <w:uiPriority w:val="0"/>
    <w:rPr>
      <w:rFonts w:ascii="Calibri" w:hAnsi="Calibri" w:eastAsiaTheme="minorEastAsia" w:cstheme="minorBidi"/>
      <w:sz w:val="22"/>
      <w:lang w:val="en-US" w:eastAsia="zh-CN" w:bidi="ar-SA"/>
    </w:rPr>
  </w:style>
  <w:style w:type="character" w:customStyle="1" w:styleId="91">
    <w:name w:val="标题 Char"/>
    <w:link w:val="37"/>
    <w:qFormat/>
    <w:uiPriority w:val="0"/>
    <w:rPr>
      <w:rFonts w:ascii="Cambria" w:hAnsi="Cambria"/>
      <w:b/>
      <w:bCs/>
      <w:kern w:val="2"/>
      <w:sz w:val="32"/>
      <w:szCs w:val="32"/>
    </w:rPr>
  </w:style>
  <w:style w:type="character" w:customStyle="1" w:styleId="92">
    <w:name w:val="tdrownotice1"/>
    <w:uiPriority w:val="0"/>
    <w:rPr>
      <w:sz w:val="22"/>
    </w:rPr>
  </w:style>
  <w:style w:type="character" w:customStyle="1" w:styleId="93">
    <w:name w:val="页眉 Char1"/>
    <w:basedOn w:val="41"/>
    <w:semiHidden/>
    <w:qFormat/>
    <w:uiPriority w:val="99"/>
    <w:rPr>
      <w:kern w:val="2"/>
      <w:sz w:val="18"/>
      <w:szCs w:val="18"/>
    </w:rPr>
  </w:style>
  <w:style w:type="character" w:customStyle="1" w:styleId="94">
    <w:name w:val="正文文本缩进 Char1"/>
    <w:basedOn w:val="41"/>
    <w:semiHidden/>
    <w:qFormat/>
    <w:uiPriority w:val="99"/>
    <w:rPr>
      <w:kern w:val="2"/>
      <w:sz w:val="21"/>
    </w:rPr>
  </w:style>
  <w:style w:type="character" w:customStyle="1" w:styleId="95">
    <w:name w:val="批注主题 Char1"/>
    <w:basedOn w:val="65"/>
    <w:qFormat/>
    <w:uiPriority w:val="0"/>
    <w:rPr>
      <w:rFonts w:ascii="Times New Roman" w:hAnsi="Times New Roman" w:eastAsia="宋体" w:cs="Times New Roman"/>
      <w:b/>
      <w:bCs/>
      <w:kern w:val="2"/>
      <w:sz w:val="21"/>
      <w:szCs w:val="24"/>
    </w:rPr>
  </w:style>
  <w:style w:type="character" w:customStyle="1" w:styleId="96">
    <w:name w:val="日期 Char"/>
    <w:basedOn w:val="41"/>
    <w:link w:val="23"/>
    <w:qFormat/>
    <w:uiPriority w:val="0"/>
    <w:rPr>
      <w:rFonts w:ascii="Times New Roman" w:hAnsi="Times New Roman" w:eastAsia="宋体" w:cs="Times New Roman"/>
      <w:kern w:val="2"/>
      <w:sz w:val="21"/>
    </w:rPr>
  </w:style>
  <w:style w:type="character" w:customStyle="1" w:styleId="97">
    <w:name w:val="标题 Char1"/>
    <w:basedOn w:val="41"/>
    <w:qFormat/>
    <w:uiPriority w:val="10"/>
    <w:rPr>
      <w:rFonts w:eastAsia="宋体" w:asciiTheme="majorHAnsi" w:hAnsiTheme="majorHAnsi" w:cstheme="majorBidi"/>
      <w:b/>
      <w:bCs/>
      <w:kern w:val="2"/>
      <w:sz w:val="32"/>
      <w:szCs w:val="32"/>
    </w:rPr>
  </w:style>
  <w:style w:type="character" w:customStyle="1" w:styleId="98">
    <w:name w:val="页脚 Char1"/>
    <w:basedOn w:val="41"/>
    <w:semiHidden/>
    <w:qFormat/>
    <w:uiPriority w:val="99"/>
    <w:rPr>
      <w:kern w:val="2"/>
      <w:sz w:val="18"/>
      <w:szCs w:val="18"/>
    </w:rPr>
  </w:style>
  <w:style w:type="paragraph" w:customStyle="1" w:styleId="99">
    <w:name w:val="Char1"/>
    <w:basedOn w:val="1"/>
    <w:qFormat/>
    <w:uiPriority w:val="0"/>
    <w:rPr>
      <w:szCs w:val="20"/>
    </w:rPr>
  </w:style>
  <w:style w:type="paragraph" w:customStyle="1" w:styleId="100">
    <w:name w:val="样式 标题 2 + Times New Roman 四号 非加粗 段前: 5 磅 段后: 0 磅 行距: 固定值 20..."/>
    <w:basedOn w:val="3"/>
    <w:qFormat/>
    <w:uiPriority w:val="0"/>
    <w:pPr>
      <w:spacing w:before="100" w:after="0" w:line="400" w:lineRule="exact"/>
    </w:pPr>
    <w:rPr>
      <w:rFonts w:ascii="Times New Roman" w:hAnsi="Times New Roman"/>
      <w:b w:val="0"/>
      <w:bCs w:val="0"/>
      <w:sz w:val="28"/>
      <w:szCs w:val="20"/>
    </w:rPr>
  </w:style>
  <w:style w:type="paragraph" w:customStyle="1" w:styleId="101">
    <w:name w:val="样式 首行缩进:  2 字符1"/>
    <w:basedOn w:val="1"/>
    <w:qFormat/>
    <w:uiPriority w:val="0"/>
    <w:pPr>
      <w:spacing w:line="400" w:lineRule="exact"/>
      <w:ind w:firstLine="200" w:firstLineChars="200"/>
    </w:pPr>
    <w:rPr>
      <w:sz w:val="24"/>
      <w:szCs w:val="20"/>
    </w:rPr>
  </w:style>
  <w:style w:type="paragraph" w:customStyle="1" w:styleId="102">
    <w:name w:val="Char2"/>
    <w:basedOn w:val="1"/>
    <w:qFormat/>
    <w:uiPriority w:val="0"/>
    <w:rPr>
      <w:szCs w:val="20"/>
    </w:rPr>
  </w:style>
  <w:style w:type="paragraph" w:customStyle="1" w:styleId="103">
    <w:name w:val="Char Char Char Char Char Char Char"/>
    <w:basedOn w:val="1"/>
    <w:qFormat/>
    <w:uiPriority w:val="0"/>
    <w:rPr>
      <w:szCs w:val="20"/>
    </w:rPr>
  </w:style>
  <w:style w:type="paragraph" w:customStyle="1" w:styleId="104">
    <w:name w:val="bf.1"/>
    <w:basedOn w:val="12"/>
    <w:qFormat/>
    <w:uiPriority w:val="0"/>
    <w:pPr>
      <w:autoSpaceDE w:val="0"/>
      <w:autoSpaceDN w:val="0"/>
      <w:adjustRightInd w:val="0"/>
      <w:spacing w:before="50" w:after="100" w:line="500" w:lineRule="exact"/>
      <w:ind w:firstLine="0" w:firstLineChars="0"/>
    </w:pPr>
    <w:rPr>
      <w:rFonts w:ascii="仿宋_GB2312" w:hAnsi="宋体" w:eastAsia="仿宋_GB2312"/>
      <w:color w:val="000000"/>
      <w:sz w:val="24"/>
      <w:szCs w:val="20"/>
    </w:rPr>
  </w:style>
  <w:style w:type="paragraph" w:customStyle="1" w:styleId="105">
    <w:name w:val="第一章"/>
    <w:basedOn w:val="1"/>
    <w:next w:val="1"/>
    <w:qFormat/>
    <w:uiPriority w:val="0"/>
    <w:pPr>
      <w:tabs>
        <w:tab w:val="left" w:pos="0"/>
      </w:tabs>
      <w:spacing w:line="360" w:lineRule="auto"/>
      <w:ind w:hanging="500" w:hangingChars="500"/>
    </w:pPr>
    <w:rPr>
      <w:rFonts w:eastAsia="黑体"/>
      <w:sz w:val="44"/>
      <w:szCs w:val="20"/>
    </w:rPr>
  </w:style>
  <w:style w:type="paragraph" w:customStyle="1" w:styleId="106">
    <w:name w:val="blockquote"/>
    <w:basedOn w:val="1"/>
    <w:qFormat/>
    <w:uiPriority w:val="0"/>
    <w:pPr>
      <w:widowControl/>
      <w:spacing w:before="100" w:beforeAutospacing="1" w:after="100" w:afterAutospacing="1"/>
    </w:pPr>
    <w:rPr>
      <w:rFonts w:ascii="宋体" w:hAnsi="宋体"/>
      <w:kern w:val="0"/>
      <w:sz w:val="24"/>
      <w:szCs w:val="20"/>
    </w:rPr>
  </w:style>
  <w:style w:type="paragraph" w:customStyle="1" w:styleId="107">
    <w:name w:val="样式1"/>
    <w:basedOn w:val="2"/>
    <w:qFormat/>
    <w:uiPriority w:val="0"/>
    <w:pPr>
      <w:spacing w:line="576" w:lineRule="auto"/>
    </w:pPr>
    <w:rPr>
      <w:bCs w:val="0"/>
      <w:szCs w:val="20"/>
    </w:rPr>
  </w:style>
  <w:style w:type="paragraph" w:customStyle="1" w:styleId="108">
    <w:name w:val="Char Char1 Char"/>
    <w:basedOn w:val="1"/>
    <w:qFormat/>
    <w:uiPriority w:val="0"/>
    <w:rPr>
      <w:szCs w:val="20"/>
    </w:rPr>
  </w:style>
  <w:style w:type="paragraph" w:customStyle="1" w:styleId="109">
    <w:name w:val="Char Char Char Char"/>
    <w:basedOn w:val="1"/>
    <w:qFormat/>
    <w:uiPriority w:val="0"/>
    <w:rPr>
      <w:szCs w:val="20"/>
    </w:rPr>
  </w:style>
  <w:style w:type="paragraph" w:customStyle="1" w:styleId="110">
    <w:name w:val="样式3"/>
    <w:basedOn w:val="2"/>
    <w:qFormat/>
    <w:uiPriority w:val="0"/>
    <w:pPr>
      <w:spacing w:line="576" w:lineRule="auto"/>
    </w:pPr>
    <w:rPr>
      <w:bCs w:val="0"/>
      <w:szCs w:val="20"/>
    </w:rPr>
  </w:style>
  <w:style w:type="paragraph" w:customStyle="1" w:styleId="111">
    <w:name w:val="p0"/>
    <w:basedOn w:val="1"/>
    <w:qFormat/>
    <w:uiPriority w:val="0"/>
    <w:pPr>
      <w:widowControl/>
    </w:pPr>
    <w:rPr>
      <w:kern w:val="0"/>
      <w:szCs w:val="21"/>
    </w:rPr>
  </w:style>
  <w:style w:type="paragraph" w:customStyle="1" w:styleId="112">
    <w:name w:val="Char Char Char Char Char Char Char Char Char Char Char Char Char"/>
    <w:basedOn w:val="1"/>
    <w:qFormat/>
    <w:uiPriority w:val="0"/>
    <w:pPr>
      <w:widowControl/>
      <w:spacing w:after="160" w:line="240" w:lineRule="exact"/>
      <w:jc w:val="left"/>
    </w:pPr>
  </w:style>
  <w:style w:type="paragraph" w:customStyle="1" w:styleId="113">
    <w:name w:val="样式2"/>
    <w:basedOn w:val="1"/>
    <w:qFormat/>
    <w:uiPriority w:val="0"/>
    <w:pPr>
      <w:ind w:firstLine="420" w:firstLineChars="150"/>
    </w:pPr>
    <w:rPr>
      <w:sz w:val="24"/>
      <w:szCs w:val="20"/>
      <w:lang w:val="en-GB"/>
    </w:rPr>
  </w:style>
  <w:style w:type="paragraph" w:customStyle="1" w:styleId="114">
    <w:name w:val="Blockquote"/>
    <w:basedOn w:val="1"/>
    <w:qFormat/>
    <w:uiPriority w:val="0"/>
    <w:pPr>
      <w:autoSpaceDE w:val="0"/>
      <w:autoSpaceDN w:val="0"/>
      <w:adjustRightInd w:val="0"/>
      <w:spacing w:before="100" w:after="100"/>
      <w:ind w:left="360"/>
    </w:pPr>
    <w:rPr>
      <w:kern w:val="0"/>
      <w:sz w:val="24"/>
      <w:szCs w:val="20"/>
    </w:rPr>
  </w:style>
  <w:style w:type="paragraph" w:customStyle="1" w:styleId="115">
    <w:name w:val="Char1 Char Char Char"/>
    <w:basedOn w:val="1"/>
    <w:qFormat/>
    <w:uiPriority w:val="0"/>
    <w:rPr>
      <w:szCs w:val="20"/>
    </w:rPr>
  </w:style>
  <w:style w:type="character" w:customStyle="1" w:styleId="116">
    <w:name w:val="正文文本 Char1"/>
    <w:qFormat/>
    <w:uiPriority w:val="0"/>
    <w:rPr>
      <w:kern w:val="2"/>
      <w:sz w:val="21"/>
      <w:szCs w:val="22"/>
    </w:rPr>
  </w:style>
  <w:style w:type="character" w:customStyle="1" w:styleId="117">
    <w:name w:val="明显引用 Char"/>
    <w:link w:val="118"/>
    <w:qFormat/>
    <w:uiPriority w:val="0"/>
    <w:rPr>
      <w:b/>
      <w:bCs/>
      <w:i/>
      <w:iCs/>
      <w:color w:val="4F81BD"/>
      <w:kern w:val="2"/>
      <w:sz w:val="21"/>
      <w:szCs w:val="22"/>
    </w:rPr>
  </w:style>
  <w:style w:type="paragraph" w:styleId="118">
    <w:name w:val="Intense Quote"/>
    <w:basedOn w:val="1"/>
    <w:next w:val="1"/>
    <w:link w:val="117"/>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119">
    <w:name w:val="不明显强调1"/>
    <w:qFormat/>
    <w:uiPriority w:val="0"/>
    <w:rPr>
      <w:i/>
      <w:iCs/>
      <w:color w:val="808080"/>
    </w:rPr>
  </w:style>
  <w:style w:type="character" w:customStyle="1" w:styleId="120">
    <w:name w:val="标题4 Char Char"/>
    <w:link w:val="121"/>
    <w:qFormat/>
    <w:uiPriority w:val="0"/>
    <w:rPr>
      <w:rFonts w:ascii="Arial" w:hAnsi="Arial"/>
      <w:b/>
      <w:bCs/>
      <w:sz w:val="24"/>
      <w:szCs w:val="32"/>
    </w:rPr>
  </w:style>
  <w:style w:type="paragraph" w:customStyle="1" w:styleId="121">
    <w:name w:val="标题4"/>
    <w:basedOn w:val="3"/>
    <w:next w:val="18"/>
    <w:link w:val="120"/>
    <w:uiPriority w:val="0"/>
    <w:pPr>
      <w:spacing w:line="413" w:lineRule="auto"/>
    </w:pPr>
    <w:rPr>
      <w:rFonts w:eastAsiaTheme="minorEastAsia" w:cstheme="minorBidi"/>
      <w:kern w:val="0"/>
      <w:sz w:val="24"/>
    </w:rPr>
  </w:style>
  <w:style w:type="character" w:customStyle="1" w:styleId="122">
    <w:name w:val="标题5 Char Char"/>
    <w:link w:val="123"/>
    <w:uiPriority w:val="0"/>
    <w:rPr>
      <w:rFonts w:ascii="Arial" w:hAnsi="Arial"/>
      <w:b/>
      <w:bCs/>
      <w:sz w:val="24"/>
      <w:szCs w:val="32"/>
    </w:rPr>
  </w:style>
  <w:style w:type="paragraph" w:customStyle="1" w:styleId="123">
    <w:name w:val="标题5"/>
    <w:basedOn w:val="4"/>
    <w:link w:val="122"/>
    <w:qFormat/>
    <w:uiPriority w:val="0"/>
    <w:pPr>
      <w:spacing w:line="413" w:lineRule="auto"/>
    </w:pPr>
    <w:rPr>
      <w:rFonts w:ascii="Arial" w:hAnsi="Arial" w:eastAsiaTheme="minorEastAsia" w:cstheme="minorBidi"/>
      <w:kern w:val="0"/>
      <w:sz w:val="24"/>
    </w:rPr>
  </w:style>
  <w:style w:type="character" w:customStyle="1" w:styleId="124">
    <w:name w:val="明显参考1"/>
    <w:qFormat/>
    <w:uiPriority w:val="0"/>
    <w:rPr>
      <w:b/>
      <w:bCs/>
      <w:smallCaps/>
      <w:color w:val="C0504D"/>
      <w:spacing w:val="5"/>
      <w:u w:val="single"/>
    </w:rPr>
  </w:style>
  <w:style w:type="character" w:customStyle="1" w:styleId="125">
    <w:name w:val="书籍标题1"/>
    <w:qFormat/>
    <w:uiPriority w:val="0"/>
    <w:rPr>
      <w:b/>
      <w:bCs/>
      <w:smallCaps/>
      <w:spacing w:val="5"/>
    </w:rPr>
  </w:style>
  <w:style w:type="character" w:customStyle="1" w:styleId="126">
    <w:name w:val="批注框文本 Char1"/>
    <w:qFormat/>
    <w:uiPriority w:val="0"/>
    <w:rPr>
      <w:kern w:val="2"/>
      <w:sz w:val="18"/>
      <w:szCs w:val="18"/>
    </w:rPr>
  </w:style>
  <w:style w:type="character" w:customStyle="1" w:styleId="127">
    <w:name w:val="引用 Char"/>
    <w:link w:val="128"/>
    <w:qFormat/>
    <w:uiPriority w:val="99"/>
    <w:rPr>
      <w:i/>
      <w:iCs/>
      <w:color w:val="000000"/>
      <w:kern w:val="2"/>
      <w:sz w:val="21"/>
      <w:szCs w:val="22"/>
    </w:rPr>
  </w:style>
  <w:style w:type="paragraph" w:styleId="128">
    <w:name w:val="Quote"/>
    <w:basedOn w:val="1"/>
    <w:next w:val="1"/>
    <w:link w:val="127"/>
    <w:qFormat/>
    <w:uiPriority w:val="99"/>
    <w:rPr>
      <w:rFonts w:asciiTheme="minorHAnsi" w:hAnsiTheme="minorHAnsi" w:eastAsiaTheme="minorEastAsia" w:cstheme="minorBidi"/>
      <w:i/>
      <w:iCs/>
      <w:color w:val="000000"/>
      <w:szCs w:val="22"/>
    </w:rPr>
  </w:style>
  <w:style w:type="character" w:customStyle="1" w:styleId="129">
    <w:name w:val="日期 Char1"/>
    <w:qFormat/>
    <w:uiPriority w:val="0"/>
    <w:rPr>
      <w:kern w:val="2"/>
      <w:sz w:val="21"/>
      <w:szCs w:val="22"/>
    </w:rPr>
  </w:style>
  <w:style w:type="character" w:customStyle="1" w:styleId="130">
    <w:name w:val="明显强调1"/>
    <w:qFormat/>
    <w:uiPriority w:val="0"/>
    <w:rPr>
      <w:b/>
      <w:bCs/>
      <w:i/>
      <w:iCs/>
      <w:color w:val="4F81BD"/>
    </w:rPr>
  </w:style>
  <w:style w:type="character" w:customStyle="1" w:styleId="131">
    <w:name w:val="textcontents"/>
    <w:qFormat/>
    <w:uiPriority w:val="0"/>
    <w:rPr>
      <w:rFonts w:cs="Times New Roman"/>
    </w:rPr>
  </w:style>
  <w:style w:type="character" w:customStyle="1" w:styleId="132">
    <w:name w:val="不明显参考1"/>
    <w:qFormat/>
    <w:uiPriority w:val="0"/>
    <w:rPr>
      <w:smallCaps/>
      <w:color w:val="C0504D"/>
      <w:u w:val="single"/>
    </w:rPr>
  </w:style>
  <w:style w:type="character" w:customStyle="1" w:styleId="133">
    <w:name w:val="批注文字 Char Char"/>
    <w:qFormat/>
    <w:uiPriority w:val="0"/>
    <w:rPr>
      <w:rFonts w:ascii="宋体" w:hAnsi="Times New Roman" w:eastAsia="宋体" w:cs="Times New Roman"/>
      <w:sz w:val="28"/>
      <w:szCs w:val="20"/>
    </w:rPr>
  </w:style>
  <w:style w:type="character" w:customStyle="1" w:styleId="134">
    <w:name w:val="副标题 Char"/>
    <w:link w:val="30"/>
    <w:uiPriority w:val="0"/>
    <w:rPr>
      <w:rFonts w:ascii="Cambria" w:hAnsi="Cambria"/>
      <w:b/>
      <w:bCs/>
      <w:kern w:val="28"/>
      <w:sz w:val="32"/>
      <w:szCs w:val="32"/>
    </w:rPr>
  </w:style>
  <w:style w:type="character" w:customStyle="1" w:styleId="135">
    <w:name w:val="文档结构图 Char1"/>
    <w:qFormat/>
    <w:uiPriority w:val="0"/>
    <w:rPr>
      <w:rFonts w:ascii="宋体"/>
      <w:kern w:val="2"/>
      <w:sz w:val="18"/>
      <w:szCs w:val="18"/>
    </w:rPr>
  </w:style>
  <w:style w:type="paragraph" w:customStyle="1" w:styleId="136">
    <w:name w:val="修订2"/>
    <w:qFormat/>
    <w:uiPriority w:val="0"/>
    <w:rPr>
      <w:rFonts w:ascii="Times New Roman" w:hAnsi="Times New Roman" w:eastAsia="宋体" w:cs="Times New Roman"/>
      <w:kern w:val="2"/>
      <w:sz w:val="21"/>
      <w:szCs w:val="24"/>
      <w:lang w:val="en-US" w:eastAsia="zh-CN" w:bidi="ar-SA"/>
    </w:rPr>
  </w:style>
  <w:style w:type="character" w:customStyle="1" w:styleId="137">
    <w:name w:val="批注框文本 Char2"/>
    <w:semiHidden/>
    <w:qFormat/>
    <w:uiPriority w:val="99"/>
    <w:rPr>
      <w:kern w:val="2"/>
      <w:sz w:val="18"/>
      <w:szCs w:val="18"/>
    </w:rPr>
  </w:style>
  <w:style w:type="character" w:customStyle="1" w:styleId="138">
    <w:name w:val="批注主题 Char2"/>
    <w:semiHidden/>
    <w:qFormat/>
    <w:uiPriority w:val="99"/>
    <w:rPr>
      <w:b/>
      <w:bCs/>
      <w:kern w:val="2"/>
      <w:sz w:val="21"/>
      <w:szCs w:val="22"/>
    </w:rPr>
  </w:style>
  <w:style w:type="character" w:customStyle="1" w:styleId="139">
    <w:name w:val="文档结构图 Char2"/>
    <w:semiHidden/>
    <w:qFormat/>
    <w:uiPriority w:val="99"/>
    <w:rPr>
      <w:rFonts w:ascii="宋体"/>
      <w:kern w:val="2"/>
      <w:sz w:val="18"/>
      <w:szCs w:val="18"/>
    </w:rPr>
  </w:style>
  <w:style w:type="character" w:customStyle="1" w:styleId="140">
    <w:name w:val="日期 Char2"/>
    <w:semiHidden/>
    <w:uiPriority w:val="99"/>
    <w:rPr>
      <w:kern w:val="2"/>
      <w:sz w:val="21"/>
      <w:szCs w:val="22"/>
    </w:rPr>
  </w:style>
  <w:style w:type="character" w:customStyle="1" w:styleId="141">
    <w:name w:val="正文文本 Char2"/>
    <w:basedOn w:val="41"/>
    <w:semiHidden/>
    <w:qFormat/>
    <w:uiPriority w:val="99"/>
    <w:rPr>
      <w:kern w:val="2"/>
      <w:sz w:val="21"/>
    </w:rPr>
  </w:style>
  <w:style w:type="paragraph" w:customStyle="1" w:styleId="142">
    <w:name w:val="TOC 标题1"/>
    <w:basedOn w:val="2"/>
    <w:next w:val="1"/>
    <w:qFormat/>
    <w:uiPriority w:val="39"/>
    <w:pPr>
      <w:spacing w:line="576" w:lineRule="auto"/>
      <w:outlineLvl w:val="9"/>
    </w:pPr>
    <w:rPr>
      <w:rFonts w:ascii="Calibri" w:hAnsi="Calibri"/>
    </w:rPr>
  </w:style>
  <w:style w:type="character" w:customStyle="1" w:styleId="143">
    <w:name w:val="副标题 Char1"/>
    <w:basedOn w:val="41"/>
    <w:qFormat/>
    <w:uiPriority w:val="11"/>
    <w:rPr>
      <w:rFonts w:eastAsia="宋体" w:asciiTheme="majorHAnsi" w:hAnsiTheme="majorHAnsi" w:cstheme="majorBidi"/>
      <w:b/>
      <w:bCs/>
      <w:kern w:val="28"/>
      <w:sz w:val="32"/>
      <w:szCs w:val="32"/>
    </w:rPr>
  </w:style>
  <w:style w:type="character" w:customStyle="1" w:styleId="144">
    <w:name w:val="明显引用 Char1"/>
    <w:basedOn w:val="41"/>
    <w:qFormat/>
    <w:uiPriority w:val="30"/>
    <w:rPr>
      <w:rFonts w:ascii="Times New Roman" w:hAnsi="Times New Roman" w:eastAsia="宋体" w:cs="Times New Roman"/>
      <w:b/>
      <w:bCs/>
      <w:i/>
      <w:iCs/>
      <w:color w:val="4F81BD" w:themeColor="accent1"/>
      <w:kern w:val="2"/>
      <w:sz w:val="21"/>
      <w:szCs w:val="24"/>
      <w14:textFill>
        <w14:solidFill>
          <w14:schemeClr w14:val="accent1"/>
        </w14:solidFill>
      </w14:textFill>
    </w:rPr>
  </w:style>
  <w:style w:type="paragraph" w:customStyle="1" w:styleId="145">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146">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styleId="147">
    <w:name w:val="No Spacing"/>
    <w:qFormat/>
    <w:uiPriority w:val="0"/>
    <w:pPr>
      <w:widowControl w:val="0"/>
      <w:jc w:val="both"/>
    </w:pPr>
    <w:rPr>
      <w:rFonts w:ascii="Calibri" w:hAnsi="Calibri" w:eastAsia="宋体" w:cs="Times New Roman"/>
      <w:kern w:val="2"/>
      <w:sz w:val="21"/>
      <w:szCs w:val="22"/>
      <w:lang w:val="en-US" w:eastAsia="zh-CN" w:bidi="ar-SA"/>
    </w:rPr>
  </w:style>
  <w:style w:type="character" w:customStyle="1" w:styleId="148">
    <w:name w:val="引用 Char1"/>
    <w:basedOn w:val="41"/>
    <w:qFormat/>
    <w:uiPriority w:val="29"/>
    <w:rPr>
      <w:rFonts w:ascii="Times New Roman" w:hAnsi="Times New Roman" w:eastAsia="宋体" w:cs="Times New Roman"/>
      <w:i/>
      <w:iCs/>
      <w:color w:val="000000" w:themeColor="text1"/>
      <w:kern w:val="2"/>
      <w:sz w:val="21"/>
      <w:szCs w:val="24"/>
      <w14:textFill>
        <w14:solidFill>
          <w14:schemeClr w14:val="tx1"/>
        </w14:solidFill>
      </w14:textFill>
    </w:rPr>
  </w:style>
  <w:style w:type="paragraph" w:customStyle="1" w:styleId="149">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50">
    <w:name w:val="封面标准名称"/>
    <w:qFormat/>
    <w:uiPriority w:val="99"/>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character" w:customStyle="1" w:styleId="151">
    <w:name w:val="font91"/>
    <w:qFormat/>
    <w:uiPriority w:val="0"/>
    <w:rPr>
      <w:rFonts w:hint="eastAsia" w:ascii="宋体" w:hAnsi="宋体" w:eastAsia="宋体" w:cs="宋体"/>
      <w:color w:val="FF0000"/>
      <w:sz w:val="21"/>
      <w:szCs w:val="21"/>
      <w:u w:val="single"/>
    </w:rPr>
  </w:style>
  <w:style w:type="paragraph" w:customStyle="1" w:styleId="152">
    <w:name w:val="Table Paragraph"/>
    <w:basedOn w:val="1"/>
    <w:qFormat/>
    <w:uiPriority w:val="1"/>
    <w:pPr>
      <w:autoSpaceDE w:val="0"/>
      <w:autoSpaceDN w:val="0"/>
      <w:jc w:val="left"/>
    </w:pPr>
    <w:rPr>
      <w:rFonts w:ascii="宋体" w:hAnsi="宋体" w:cs="宋体" w:eastAsiaTheme="minorEastAsia"/>
      <w:kern w:val="0"/>
      <w:sz w:val="22"/>
      <w:szCs w:val="22"/>
      <w:lang w:val="zh-CN" w:bidi="zh-CN"/>
    </w:rPr>
  </w:style>
  <w:style w:type="table" w:customStyle="1" w:styleId="153">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54">
    <w:name w:val="List Paragraph1"/>
    <w:basedOn w:val="1"/>
    <w:qFormat/>
    <w:uiPriority w:val="0"/>
    <w:pPr>
      <w:spacing w:line="460" w:lineRule="exact"/>
      <w:ind w:firstLine="420" w:firstLineChars="200"/>
    </w:pPr>
    <w:rPr>
      <w:rFonts w:ascii="等线" w:hAnsi="等线"/>
      <w:sz w:val="24"/>
    </w:rPr>
  </w:style>
  <w:style w:type="paragraph" w:customStyle="1" w:styleId="155">
    <w:name w:val="Normal_0"/>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156">
    <w:name w:val="Heading 1_0"/>
    <w:basedOn w:val="155"/>
    <w:next w:val="155"/>
    <w:qFormat/>
    <w:uiPriority w:val="9"/>
    <w:pPr>
      <w:keepNext/>
      <w:keepLines/>
      <w:spacing w:line="360" w:lineRule="auto"/>
      <w:outlineLvl w:val="0"/>
    </w:pPr>
    <w:rPr>
      <w:b/>
      <w:bCs/>
      <w:kern w:val="44"/>
      <w:sz w:val="36"/>
      <w:szCs w:val="44"/>
    </w:rPr>
  </w:style>
  <w:style w:type="paragraph" w:customStyle="1" w:styleId="157">
    <w:name w:val="正文2"/>
    <w:qFormat/>
    <w:uiPriority w:val="0"/>
    <w:pPr>
      <w:jc w:val="both"/>
    </w:pPr>
    <w:rPr>
      <w:rFonts w:ascii="宋体" w:hAnsi="宋体" w:eastAsia="宋体" w:cs="宋体"/>
      <w:kern w:val="2"/>
      <w:sz w:val="21"/>
      <w:szCs w:val="21"/>
      <w:lang w:val="en-US" w:eastAsia="zh-CN" w:bidi="ar-SA"/>
    </w:rPr>
  </w:style>
  <w:style w:type="paragraph" w:customStyle="1" w:styleId="158">
    <w:name w:val="CD正文"/>
    <w:basedOn w:val="1"/>
    <w:qFormat/>
    <w:uiPriority w:val="99"/>
    <w:pPr>
      <w:spacing w:line="360" w:lineRule="auto"/>
      <w:ind w:firstLine="493"/>
    </w:pPr>
    <w:rPr>
      <w:sz w:val="30"/>
      <w:szCs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6D6DE6-4774-4A8F-B4E6-111CADA2BF4C}">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159</Pages>
  <Words>112816</Words>
  <Characters>118451</Characters>
  <Lines>915</Lines>
  <Paragraphs>257</Paragraphs>
  <TotalTime>316</TotalTime>
  <ScaleCrop>false</ScaleCrop>
  <LinksUpToDate>false</LinksUpToDate>
  <CharactersWithSpaces>124269</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2022-05-07T06:26:00Z</dcterms:created>
  <dc:creator>刘春阳</dc:creator>
  <cp:lastModifiedBy>中恒</cp:lastModifiedBy>
  <dcterms:modified xsi:type="dcterms:W3CDTF">2022-05-23T02:48:07Z</dcterms:modified>
  <cp:revision>91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9EACA1FB355C435EBD9C383E127BF8EF</vt:lpwstr>
  </property>
</Properties>
</file>