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164A2C">
      <w:pPr>
        <w:topLinePunct/>
        <w:autoSpaceDE w:val="0"/>
        <w:autoSpaceDN w:val="0"/>
        <w:jc w:val="center"/>
        <w:rPr>
          <w:rFonts w:hint="eastAsia" w:ascii="宋体" w:hAnsi="宋体" w:eastAsia="宋体" w:cs="宋体"/>
          <w:b/>
          <w:color w:val="auto"/>
          <w:sz w:val="32"/>
          <w:szCs w:val="32"/>
          <w:highlight w:val="none"/>
        </w:rPr>
      </w:pPr>
    </w:p>
    <w:p w14:paraId="0170320C">
      <w:pPr>
        <w:pStyle w:val="2"/>
        <w:rPr>
          <w:rFonts w:hint="eastAsia" w:ascii="宋体" w:hAnsi="宋体" w:eastAsia="宋体" w:cs="宋体"/>
          <w:color w:val="auto"/>
          <w:sz w:val="32"/>
          <w:szCs w:val="32"/>
          <w:highlight w:val="none"/>
        </w:rPr>
      </w:pPr>
    </w:p>
    <w:p w14:paraId="3163FA4B">
      <w:pPr>
        <w:rPr>
          <w:rFonts w:hint="eastAsia" w:ascii="宋体" w:hAnsi="宋体" w:eastAsia="宋体" w:cs="宋体"/>
          <w:color w:val="auto"/>
          <w:highlight w:val="none"/>
        </w:rPr>
      </w:pPr>
    </w:p>
    <w:p w14:paraId="44417108">
      <w:pPr>
        <w:topLinePunct/>
        <w:autoSpaceDE w:val="0"/>
        <w:autoSpaceDN w:val="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招 标 文 件</w:t>
      </w:r>
    </w:p>
    <w:p w14:paraId="1BFF76CB">
      <w:pPr>
        <w:topLinePunct/>
        <w:autoSpaceDE w:val="0"/>
        <w:autoSpaceDN w:val="0"/>
        <w:spacing w:line="60" w:lineRule="exact"/>
        <w:jc w:val="center"/>
        <w:rPr>
          <w:rFonts w:hint="eastAsia" w:ascii="宋体" w:hAnsi="宋体" w:eastAsia="宋体" w:cs="宋体"/>
          <w:bCs/>
          <w:color w:val="auto"/>
          <w:sz w:val="32"/>
          <w:szCs w:val="32"/>
          <w:highlight w:val="none"/>
        </w:rPr>
      </w:pPr>
    </w:p>
    <w:p w14:paraId="29AAAB7D">
      <w:pPr>
        <w:topLinePunct/>
        <w:autoSpaceDE w:val="0"/>
        <w:autoSpaceDN w:val="0"/>
        <w:snapToGrid w:val="0"/>
        <w:jc w:val="center"/>
        <w:outlineLvl w:val="0"/>
        <w:rPr>
          <w:rFonts w:hint="eastAsia" w:ascii="宋体" w:hAnsi="宋体" w:eastAsia="宋体" w:cs="宋体"/>
          <w:bCs/>
          <w:color w:val="auto"/>
          <w:sz w:val="32"/>
          <w:szCs w:val="32"/>
          <w:highlight w:val="none"/>
        </w:rPr>
      </w:pPr>
      <w:bookmarkStart w:id="0" w:name="_Toc16529"/>
      <w:r>
        <w:rPr>
          <w:rFonts w:hint="eastAsia" w:ascii="宋体" w:hAnsi="宋体" w:eastAsia="宋体" w:cs="宋体"/>
          <w:bCs/>
          <w:color w:val="auto"/>
          <w:sz w:val="32"/>
          <w:szCs w:val="32"/>
          <w:highlight w:val="none"/>
        </w:rPr>
        <w:t>（商务部分）</w:t>
      </w:r>
      <w:bookmarkEnd w:id="0"/>
    </w:p>
    <w:p w14:paraId="575ECEF7">
      <w:pPr>
        <w:topLinePunct/>
        <w:autoSpaceDE w:val="0"/>
        <w:autoSpaceDN w:val="0"/>
        <w:snapToGrid w:val="0"/>
        <w:rPr>
          <w:rFonts w:hint="eastAsia" w:ascii="宋体" w:hAnsi="宋体" w:eastAsia="宋体" w:cs="宋体"/>
          <w:bCs/>
          <w:color w:val="auto"/>
          <w:sz w:val="32"/>
          <w:szCs w:val="32"/>
          <w:highlight w:val="none"/>
        </w:rPr>
      </w:pPr>
    </w:p>
    <w:p w14:paraId="686F8031">
      <w:pPr>
        <w:jc w:val="center"/>
        <w:rPr>
          <w:rFonts w:hint="eastAsia" w:ascii="宋体" w:hAnsi="宋体" w:eastAsia="宋体" w:cs="宋体"/>
          <w:color w:val="auto"/>
          <w:sz w:val="24"/>
          <w:szCs w:val="24"/>
          <w:highlight w:val="none"/>
        </w:rPr>
      </w:pPr>
    </w:p>
    <w:p w14:paraId="4FB05A8E">
      <w:pPr>
        <w:keepNext w:val="0"/>
        <w:keepLines w:val="0"/>
        <w:pageBreakBefore w:val="0"/>
        <w:widowControl w:val="0"/>
        <w:kinsoku/>
        <w:wordWrap/>
        <w:overflowPunct/>
        <w:bidi w:val="0"/>
        <w:adjustRightInd/>
        <w:snapToGrid/>
        <w:spacing w:line="480" w:lineRule="auto"/>
        <w:jc w:val="center"/>
        <w:textAlignment w:val="auto"/>
        <w:rPr>
          <w:rFonts w:hint="eastAsia" w:ascii="宋体" w:hAnsi="宋体" w:eastAsia="宋体" w:cs="宋体"/>
          <w:color w:val="auto"/>
          <w:sz w:val="24"/>
          <w:szCs w:val="24"/>
          <w:highlight w:val="none"/>
        </w:rPr>
      </w:pPr>
    </w:p>
    <w:p w14:paraId="728D6BD4">
      <w:pPr>
        <w:pStyle w:val="2"/>
        <w:rPr>
          <w:rFonts w:hint="eastAsia" w:ascii="宋体" w:hAnsi="宋体" w:eastAsia="宋体" w:cs="宋体"/>
          <w:color w:val="auto"/>
          <w:sz w:val="24"/>
          <w:szCs w:val="24"/>
          <w:highlight w:val="none"/>
        </w:rPr>
      </w:pPr>
    </w:p>
    <w:p w14:paraId="7CE7AAF4">
      <w:pPr>
        <w:rPr>
          <w:rFonts w:hint="eastAsia"/>
          <w:color w:val="auto"/>
          <w:highlight w:val="none"/>
        </w:rPr>
      </w:pPr>
    </w:p>
    <w:p w14:paraId="4CC0CC28">
      <w:pPr>
        <w:keepNext w:val="0"/>
        <w:keepLines w:val="0"/>
        <w:pageBreakBefore w:val="0"/>
        <w:widowControl w:val="0"/>
        <w:kinsoku/>
        <w:wordWrap/>
        <w:overflowPunct/>
        <w:bidi w:val="0"/>
        <w:adjustRightInd/>
        <w:snapToGrid/>
        <w:spacing w:line="480" w:lineRule="auto"/>
        <w:ind w:left="2109" w:leftChars="400" w:hanging="1269" w:hangingChars="529"/>
        <w:jc w:val="left"/>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项目名称：</w:t>
      </w:r>
      <w:r>
        <w:rPr>
          <w:rFonts w:hint="eastAsia" w:ascii="宋体" w:hAnsi="宋体" w:cs="宋体"/>
          <w:color w:val="auto"/>
          <w:sz w:val="24"/>
          <w:szCs w:val="24"/>
          <w:highlight w:val="none"/>
          <w:u w:val="none"/>
          <w:lang w:val="en-US" w:eastAsia="zh-CN"/>
        </w:rPr>
        <w:t>广西税务2026年电子发票服务平台等相关系统运行维护</w:t>
      </w:r>
    </w:p>
    <w:p w14:paraId="79E488CD">
      <w:pPr>
        <w:keepNext w:val="0"/>
        <w:keepLines w:val="0"/>
        <w:pageBreakBefore w:val="0"/>
        <w:widowControl w:val="0"/>
        <w:kinsoku/>
        <w:wordWrap/>
        <w:overflowPunct/>
        <w:bidi w:val="0"/>
        <w:adjustRightInd/>
        <w:snapToGrid/>
        <w:spacing w:line="480" w:lineRule="auto"/>
        <w:ind w:left="1430" w:leftChars="400" w:hanging="590" w:hangingChars="246"/>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项目编号：</w:t>
      </w:r>
      <w:r>
        <w:rPr>
          <w:rFonts w:hint="eastAsia" w:ascii="宋体" w:hAnsi="宋体" w:cs="宋体"/>
          <w:color w:val="auto"/>
          <w:sz w:val="24"/>
          <w:szCs w:val="24"/>
          <w:highlight w:val="none"/>
          <w:u w:val="none"/>
          <w:lang w:eastAsia="zh-CN"/>
        </w:rPr>
        <w:t>GX2026-DLGK-C0048-B00</w:t>
      </w:r>
    </w:p>
    <w:p w14:paraId="2B1DD0EE">
      <w:pPr>
        <w:keepNext w:val="0"/>
        <w:keepLines w:val="0"/>
        <w:pageBreakBefore w:val="0"/>
        <w:widowControl w:val="0"/>
        <w:kinsoku/>
        <w:wordWrap/>
        <w:overflowPunct/>
        <w:bidi w:val="0"/>
        <w:adjustRightInd/>
        <w:snapToGrid/>
        <w:spacing w:line="480" w:lineRule="auto"/>
        <w:ind w:left="1430" w:leftChars="400" w:hanging="590" w:hangingChars="246"/>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采 购 人：国家税务总局广西壮族自治区税务局</w:t>
      </w:r>
    </w:p>
    <w:p w14:paraId="6C8999A6">
      <w:pPr>
        <w:keepNext w:val="0"/>
        <w:keepLines w:val="0"/>
        <w:pageBreakBefore w:val="0"/>
        <w:widowControl w:val="0"/>
        <w:kinsoku/>
        <w:wordWrap/>
        <w:overflowPunct/>
        <w:bidi w:val="0"/>
        <w:adjustRightInd/>
        <w:snapToGrid/>
        <w:spacing w:line="480" w:lineRule="auto"/>
        <w:ind w:left="1430" w:leftChars="400" w:hanging="590" w:hangingChars="246"/>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采购代理机构：</w:t>
      </w:r>
      <w:r>
        <w:rPr>
          <w:rFonts w:hint="eastAsia" w:ascii="宋体" w:hAnsi="宋体" w:eastAsia="宋体" w:cs="宋体"/>
          <w:color w:val="auto"/>
          <w:sz w:val="24"/>
          <w:szCs w:val="24"/>
          <w:highlight w:val="none"/>
          <w:u w:val="none"/>
          <w:lang w:val="en-US" w:eastAsia="zh-CN"/>
        </w:rPr>
        <w:t>广西建设工程机电设备招标中心有限公司</w:t>
      </w:r>
    </w:p>
    <w:p w14:paraId="18FCB3B8">
      <w:pPr>
        <w:keepNext w:val="0"/>
        <w:keepLines w:val="0"/>
        <w:pageBreakBefore w:val="0"/>
        <w:widowControl w:val="0"/>
        <w:kinsoku/>
        <w:wordWrap/>
        <w:overflowPunct/>
        <w:topLinePunct/>
        <w:autoSpaceDE w:val="0"/>
        <w:autoSpaceDN w:val="0"/>
        <w:bidi w:val="0"/>
        <w:adjustRightInd/>
        <w:snapToGrid/>
        <w:spacing w:line="480" w:lineRule="auto"/>
        <w:ind w:left="1430" w:leftChars="400" w:hanging="590" w:hangingChars="246"/>
        <w:jc w:val="left"/>
        <w:textAlignment w:val="auto"/>
        <w:rPr>
          <w:rFonts w:hint="eastAsia" w:ascii="宋体" w:hAnsi="宋体" w:eastAsia="宋体" w:cs="宋体"/>
          <w:color w:val="auto"/>
          <w:sz w:val="24"/>
          <w:szCs w:val="24"/>
          <w:highlight w:val="none"/>
        </w:rPr>
      </w:pPr>
    </w:p>
    <w:p w14:paraId="33680680">
      <w:pPr>
        <w:keepNext w:val="0"/>
        <w:keepLines w:val="0"/>
        <w:pageBreakBefore w:val="0"/>
        <w:widowControl w:val="0"/>
        <w:kinsoku/>
        <w:wordWrap/>
        <w:overflowPunct/>
        <w:topLinePunct/>
        <w:autoSpaceDE w:val="0"/>
        <w:autoSpaceDN w:val="0"/>
        <w:bidi w:val="0"/>
        <w:adjustRightInd/>
        <w:snapToGrid/>
        <w:spacing w:line="480" w:lineRule="auto"/>
        <w:jc w:val="center"/>
        <w:textAlignment w:val="auto"/>
        <w:rPr>
          <w:rFonts w:hint="eastAsia" w:ascii="宋体" w:hAnsi="宋体" w:eastAsia="宋体" w:cs="宋体"/>
          <w:color w:val="auto"/>
          <w:sz w:val="24"/>
          <w:szCs w:val="24"/>
          <w:highlight w:val="none"/>
        </w:rPr>
      </w:pPr>
    </w:p>
    <w:p w14:paraId="3317F4DA">
      <w:pPr>
        <w:keepNext w:val="0"/>
        <w:keepLines w:val="0"/>
        <w:pageBreakBefore w:val="0"/>
        <w:widowControl w:val="0"/>
        <w:kinsoku/>
        <w:wordWrap/>
        <w:overflowPunct/>
        <w:topLinePunct/>
        <w:autoSpaceDE w:val="0"/>
        <w:autoSpaceDN w:val="0"/>
        <w:bidi w:val="0"/>
        <w:adjustRightInd/>
        <w:snapToGrid/>
        <w:spacing w:line="48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国家税务总局广西壮族自治区税务局</w:t>
      </w:r>
    </w:p>
    <w:p w14:paraId="6F7E7E21">
      <w:pPr>
        <w:keepNext w:val="0"/>
        <w:keepLines w:val="0"/>
        <w:pageBreakBefore w:val="0"/>
        <w:widowControl w:val="0"/>
        <w:kinsoku/>
        <w:wordWrap/>
        <w:overflowPunct/>
        <w:topLinePunct/>
        <w:autoSpaceDE w:val="0"/>
        <w:autoSpaceDN w:val="0"/>
        <w:bidi w:val="0"/>
        <w:adjustRightInd/>
        <w:snapToGrid/>
        <w:spacing w:line="480" w:lineRule="auto"/>
        <w:jc w:val="center"/>
        <w:textAlignment w:val="auto"/>
        <w:rPr>
          <w:rFonts w:hint="eastAsia" w:ascii="宋体" w:hAnsi="宋体" w:eastAsia="宋体" w:cs="宋体"/>
          <w:color w:val="auto"/>
          <w:sz w:val="24"/>
          <w:szCs w:val="24"/>
          <w:highlight w:val="none"/>
        </w:rPr>
      </w:pPr>
    </w:p>
    <w:p w14:paraId="41D539FE">
      <w:pPr>
        <w:keepNext w:val="0"/>
        <w:keepLines w:val="0"/>
        <w:pageBreakBefore w:val="0"/>
        <w:widowControl w:val="0"/>
        <w:kinsoku/>
        <w:wordWrap/>
        <w:overflowPunct/>
        <w:bidi w:val="0"/>
        <w:adjustRightInd/>
        <w:snapToGrid/>
        <w:spacing w:line="48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9月29日</w:t>
      </w:r>
    </w:p>
    <w:p w14:paraId="79D90D26">
      <w:pPr>
        <w:rPr>
          <w:rFonts w:hint="eastAsia" w:ascii="宋体" w:hAnsi="宋体" w:eastAsia="宋体" w:cs="宋体"/>
          <w:color w:val="auto"/>
          <w:sz w:val="32"/>
          <w:szCs w:val="32"/>
          <w:highlight w:val="none"/>
        </w:rPr>
      </w:pPr>
    </w:p>
    <w:p w14:paraId="33D1D134">
      <w:pPr>
        <w:rPr>
          <w:rFonts w:hint="eastAsia" w:ascii="宋体" w:hAnsi="宋体" w:eastAsia="宋体" w:cs="宋体"/>
          <w:color w:val="auto"/>
          <w:sz w:val="32"/>
          <w:szCs w:val="32"/>
          <w:highlight w:val="none"/>
        </w:rPr>
      </w:pPr>
    </w:p>
    <w:p w14:paraId="55D8C868">
      <w:pPr>
        <w:rPr>
          <w:rFonts w:hint="eastAsia" w:ascii="宋体" w:hAnsi="宋体" w:eastAsia="宋体" w:cs="宋体"/>
          <w:color w:val="auto"/>
          <w:sz w:val="32"/>
          <w:szCs w:val="32"/>
          <w:highlight w:val="none"/>
        </w:rPr>
        <w:sectPr>
          <w:footerReference r:id="rId4" w:type="default"/>
          <w:pgSz w:w="11906" w:h="16838"/>
          <w:pgMar w:top="1440" w:right="1752" w:bottom="1440" w:left="1752" w:header="851" w:footer="992" w:gutter="0"/>
          <w:pgBorders>
            <w:top w:val="none" w:sz="0" w:space="0"/>
            <w:left w:val="none" w:sz="0" w:space="0"/>
            <w:bottom w:val="none" w:sz="0" w:space="0"/>
            <w:right w:val="none" w:sz="0" w:space="0"/>
          </w:pgBorders>
          <w:cols w:space="720" w:num="1"/>
          <w:docGrid w:type="lines" w:linePitch="312" w:charSpace="0"/>
        </w:sectPr>
      </w:pPr>
    </w:p>
    <w:p w14:paraId="4ACF8075">
      <w:pPr>
        <w:jc w:val="center"/>
        <w:outlineLvl w:val="0"/>
        <w:rPr>
          <w:rFonts w:hint="eastAsia" w:ascii="宋体" w:hAnsi="宋体" w:eastAsia="宋体" w:cs="宋体"/>
          <w:color w:val="auto"/>
          <w:sz w:val="28"/>
          <w:szCs w:val="28"/>
          <w:highlight w:val="none"/>
        </w:rPr>
      </w:pPr>
      <w:bookmarkStart w:id="1" w:name="_Toc25946"/>
      <w:bookmarkStart w:id="2" w:name="_Toc15925"/>
      <w:bookmarkStart w:id="3" w:name="_Toc31381"/>
      <w:bookmarkStart w:id="4" w:name="_Toc15195"/>
      <w:bookmarkStart w:id="5" w:name="_Toc16275"/>
      <w:bookmarkStart w:id="6" w:name="_Toc22483"/>
      <w:r>
        <w:rPr>
          <w:rFonts w:hint="eastAsia" w:ascii="宋体" w:hAnsi="宋体" w:eastAsia="宋体" w:cs="宋体"/>
          <w:color w:val="auto"/>
          <w:sz w:val="28"/>
          <w:szCs w:val="28"/>
          <w:highlight w:val="none"/>
          <w:lang w:val="zh-CN"/>
        </w:rPr>
        <w:t>目  录</w:t>
      </w:r>
      <w:bookmarkEnd w:id="1"/>
      <w:bookmarkEnd w:id="2"/>
      <w:bookmarkEnd w:id="3"/>
      <w:bookmarkEnd w:id="4"/>
      <w:bookmarkEnd w:id="5"/>
      <w:bookmarkEnd w:id="6"/>
    </w:p>
    <w:p w14:paraId="167146B4">
      <w:pPr>
        <w:pStyle w:val="17"/>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_Toc16529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（商务部分）</w:t>
      </w:r>
      <w:r>
        <w:rPr>
          <w:color w:val="auto"/>
          <w:highlight w:val="none"/>
        </w:rPr>
        <w:tab/>
      </w:r>
      <w:r>
        <w:rPr>
          <w:color w:val="auto"/>
          <w:highlight w:val="none"/>
        </w:rPr>
        <w:fldChar w:fldCharType="begin"/>
      </w:r>
      <w:r>
        <w:rPr>
          <w:color w:val="auto"/>
          <w:highlight w:val="none"/>
        </w:rPr>
        <w:instrText xml:space="preserve"> PAGEREF _Toc16529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cs="宋体"/>
          <w:color w:val="auto"/>
          <w:highlight w:val="none"/>
        </w:rPr>
        <w:fldChar w:fldCharType="end"/>
      </w:r>
    </w:p>
    <w:p w14:paraId="384D4C42">
      <w:pPr>
        <w:pStyle w:val="17"/>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_Toc7309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8"/>
          <w:highlight w:val="none"/>
        </w:rPr>
        <w:t xml:space="preserve">第一章  </w:t>
      </w:r>
      <w:r>
        <w:rPr>
          <w:rFonts w:hint="eastAsia" w:ascii="宋体" w:hAnsi="宋体" w:cs="宋体"/>
          <w:bCs w:val="0"/>
          <w:color w:val="auto"/>
          <w:szCs w:val="28"/>
          <w:highlight w:val="none"/>
          <w:lang w:eastAsia="zh-CN"/>
        </w:rPr>
        <w:t>招标公告</w:t>
      </w:r>
      <w:r>
        <w:rPr>
          <w:color w:val="auto"/>
          <w:highlight w:val="none"/>
        </w:rPr>
        <w:tab/>
      </w:r>
      <w:r>
        <w:rPr>
          <w:color w:val="auto"/>
          <w:highlight w:val="none"/>
        </w:rPr>
        <w:fldChar w:fldCharType="begin"/>
      </w:r>
      <w:r>
        <w:rPr>
          <w:color w:val="auto"/>
          <w:highlight w:val="none"/>
        </w:rPr>
        <w:instrText xml:space="preserve"> PAGEREF _Toc7309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eastAsia="宋体" w:cs="宋体"/>
          <w:color w:val="auto"/>
          <w:highlight w:val="none"/>
        </w:rPr>
        <w:fldChar w:fldCharType="end"/>
      </w:r>
    </w:p>
    <w:p w14:paraId="5BF60FA4">
      <w:pPr>
        <w:pStyle w:val="17"/>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_Toc25979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8"/>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_Toc25979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color w:val="auto"/>
          <w:highlight w:val="none"/>
        </w:rPr>
        <w:fldChar w:fldCharType="end"/>
      </w:r>
    </w:p>
    <w:p w14:paraId="10389708">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_Toc24977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_Toc24977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color w:val="auto"/>
          <w:highlight w:val="none"/>
        </w:rPr>
        <w:fldChar w:fldCharType="end"/>
      </w:r>
    </w:p>
    <w:p w14:paraId="19717474">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_Toc16739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一、总则</w:t>
      </w:r>
      <w:r>
        <w:rPr>
          <w:color w:val="auto"/>
          <w:highlight w:val="none"/>
        </w:rPr>
        <w:tab/>
      </w:r>
      <w:r>
        <w:rPr>
          <w:color w:val="auto"/>
          <w:highlight w:val="none"/>
        </w:rPr>
        <w:fldChar w:fldCharType="begin"/>
      </w:r>
      <w:r>
        <w:rPr>
          <w:color w:val="auto"/>
          <w:highlight w:val="none"/>
        </w:rPr>
        <w:instrText xml:space="preserve"> PAGEREF _Toc16739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color w:val="auto"/>
          <w:highlight w:val="none"/>
        </w:rPr>
        <w:fldChar w:fldCharType="end"/>
      </w:r>
    </w:p>
    <w:p w14:paraId="48F2A536">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_Toc23454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二、招标文件</w:t>
      </w:r>
      <w:r>
        <w:rPr>
          <w:color w:val="auto"/>
          <w:highlight w:val="none"/>
        </w:rPr>
        <w:tab/>
      </w:r>
      <w:r>
        <w:rPr>
          <w:color w:val="auto"/>
          <w:highlight w:val="none"/>
        </w:rPr>
        <w:fldChar w:fldCharType="begin"/>
      </w:r>
      <w:r>
        <w:rPr>
          <w:color w:val="auto"/>
          <w:highlight w:val="none"/>
        </w:rPr>
        <w:instrText xml:space="preserve"> PAGEREF _Toc23454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highlight w:val="none"/>
        </w:rPr>
        <w:fldChar w:fldCharType="end"/>
      </w:r>
    </w:p>
    <w:p w14:paraId="6318A686">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_Toc32264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三、投标文件</w:t>
      </w:r>
      <w:r>
        <w:rPr>
          <w:color w:val="auto"/>
          <w:highlight w:val="none"/>
        </w:rPr>
        <w:tab/>
      </w:r>
      <w:r>
        <w:rPr>
          <w:color w:val="auto"/>
          <w:highlight w:val="none"/>
        </w:rPr>
        <w:fldChar w:fldCharType="begin"/>
      </w:r>
      <w:r>
        <w:rPr>
          <w:color w:val="auto"/>
          <w:highlight w:val="none"/>
        </w:rPr>
        <w:instrText xml:space="preserve"> PAGEREF _Toc32264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color w:val="auto"/>
          <w:highlight w:val="none"/>
        </w:rPr>
        <w:fldChar w:fldCharType="end"/>
      </w:r>
    </w:p>
    <w:p w14:paraId="27BC162D">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_Toc10475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四、投标文件递交</w:t>
      </w:r>
      <w:r>
        <w:rPr>
          <w:color w:val="auto"/>
          <w:highlight w:val="none"/>
        </w:rPr>
        <w:tab/>
      </w:r>
      <w:r>
        <w:rPr>
          <w:color w:val="auto"/>
          <w:highlight w:val="none"/>
        </w:rPr>
        <w:fldChar w:fldCharType="begin"/>
      </w:r>
      <w:r>
        <w:rPr>
          <w:color w:val="auto"/>
          <w:highlight w:val="none"/>
        </w:rPr>
        <w:instrText xml:space="preserve"> PAGEREF _Toc10475 \h </w:instrText>
      </w:r>
      <w:r>
        <w:rPr>
          <w:color w:val="auto"/>
          <w:highlight w:val="none"/>
        </w:rPr>
        <w:fldChar w:fldCharType="separate"/>
      </w:r>
      <w:r>
        <w:rPr>
          <w:color w:val="auto"/>
          <w:highlight w:val="none"/>
        </w:rPr>
        <w:t>21</w:t>
      </w:r>
      <w:r>
        <w:rPr>
          <w:color w:val="auto"/>
          <w:highlight w:val="none"/>
        </w:rPr>
        <w:fldChar w:fldCharType="end"/>
      </w:r>
      <w:r>
        <w:rPr>
          <w:rFonts w:hint="eastAsia" w:ascii="宋体" w:hAnsi="宋体" w:eastAsia="宋体" w:cs="宋体"/>
          <w:color w:val="auto"/>
          <w:highlight w:val="none"/>
        </w:rPr>
        <w:fldChar w:fldCharType="end"/>
      </w:r>
    </w:p>
    <w:p w14:paraId="2C6988B3">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_Toc402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五、开标与评标</w:t>
      </w:r>
      <w:r>
        <w:rPr>
          <w:color w:val="auto"/>
          <w:highlight w:val="none"/>
        </w:rPr>
        <w:tab/>
      </w:r>
      <w:r>
        <w:rPr>
          <w:color w:val="auto"/>
          <w:highlight w:val="none"/>
        </w:rPr>
        <w:fldChar w:fldCharType="begin"/>
      </w:r>
      <w:r>
        <w:rPr>
          <w:color w:val="auto"/>
          <w:highlight w:val="none"/>
        </w:rPr>
        <w:instrText xml:space="preserve"> PAGEREF _Toc402 \h </w:instrText>
      </w:r>
      <w:r>
        <w:rPr>
          <w:color w:val="auto"/>
          <w:highlight w:val="none"/>
        </w:rPr>
        <w:fldChar w:fldCharType="separate"/>
      </w:r>
      <w:r>
        <w:rPr>
          <w:color w:val="auto"/>
          <w:highlight w:val="none"/>
        </w:rPr>
        <w:t>21</w:t>
      </w:r>
      <w:r>
        <w:rPr>
          <w:color w:val="auto"/>
          <w:highlight w:val="none"/>
        </w:rPr>
        <w:fldChar w:fldCharType="end"/>
      </w:r>
      <w:r>
        <w:rPr>
          <w:rFonts w:hint="eastAsia" w:ascii="宋体" w:hAnsi="宋体" w:eastAsia="宋体" w:cs="宋体"/>
          <w:color w:val="auto"/>
          <w:highlight w:val="none"/>
        </w:rPr>
        <w:fldChar w:fldCharType="end"/>
      </w:r>
    </w:p>
    <w:p w14:paraId="190881B9">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_Toc31901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六、中标和合同</w:t>
      </w:r>
      <w:r>
        <w:rPr>
          <w:color w:val="auto"/>
          <w:highlight w:val="none"/>
        </w:rPr>
        <w:tab/>
      </w:r>
      <w:r>
        <w:rPr>
          <w:color w:val="auto"/>
          <w:highlight w:val="none"/>
        </w:rPr>
        <w:fldChar w:fldCharType="begin"/>
      </w:r>
      <w:r>
        <w:rPr>
          <w:color w:val="auto"/>
          <w:highlight w:val="none"/>
        </w:rPr>
        <w:instrText xml:space="preserve"> PAGEREF _Toc31901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59A4C5EE">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_Toc2470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七、询问和质疑</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7F1AC572">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_Toc121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4"/>
          <w:highlight w:val="none"/>
        </w:rPr>
        <w:t>八、其他</w:t>
      </w:r>
      <w:r>
        <w:rPr>
          <w:color w:val="auto"/>
          <w:highlight w:val="none"/>
        </w:rPr>
        <w:tab/>
      </w:r>
      <w:r>
        <w:rPr>
          <w:color w:val="auto"/>
          <w:highlight w:val="none"/>
        </w:rPr>
        <w:fldChar w:fldCharType="begin"/>
      </w:r>
      <w:r>
        <w:rPr>
          <w:color w:val="auto"/>
          <w:highlight w:val="none"/>
        </w:rPr>
        <w:instrText xml:space="preserve"> PAGEREF _Toc121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eastAsia="宋体" w:cs="宋体"/>
          <w:color w:val="auto"/>
          <w:highlight w:val="none"/>
        </w:rPr>
        <w:fldChar w:fldCharType="end"/>
      </w:r>
    </w:p>
    <w:p w14:paraId="4B1A6D98">
      <w:pPr>
        <w:pStyle w:val="17"/>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_Toc14566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8"/>
          <w:highlight w:val="none"/>
        </w:rPr>
        <w:t>第三章  评标方法及标准</w:t>
      </w:r>
      <w:r>
        <w:rPr>
          <w:color w:val="auto"/>
          <w:highlight w:val="none"/>
        </w:rPr>
        <w:tab/>
      </w:r>
      <w:r>
        <w:rPr>
          <w:color w:val="auto"/>
          <w:highlight w:val="none"/>
        </w:rPr>
        <w:fldChar w:fldCharType="begin"/>
      </w:r>
      <w:r>
        <w:rPr>
          <w:color w:val="auto"/>
          <w:highlight w:val="none"/>
        </w:rPr>
        <w:instrText xml:space="preserve"> PAGEREF _Toc14566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color w:val="auto"/>
          <w:highlight w:val="none"/>
        </w:rPr>
        <w:fldChar w:fldCharType="end"/>
      </w:r>
    </w:p>
    <w:p w14:paraId="587FC1BF">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_Toc5341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1.评标方法</w:t>
      </w:r>
      <w:r>
        <w:rPr>
          <w:color w:val="auto"/>
          <w:highlight w:val="none"/>
        </w:rPr>
        <w:tab/>
      </w:r>
      <w:r>
        <w:rPr>
          <w:color w:val="auto"/>
          <w:highlight w:val="none"/>
        </w:rPr>
        <w:fldChar w:fldCharType="begin"/>
      </w:r>
      <w:r>
        <w:rPr>
          <w:color w:val="auto"/>
          <w:highlight w:val="none"/>
        </w:rPr>
        <w:instrText xml:space="preserve"> PAGEREF _Toc5341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color w:val="auto"/>
          <w:highlight w:val="none"/>
        </w:rPr>
        <w:fldChar w:fldCharType="end"/>
      </w:r>
    </w:p>
    <w:p w14:paraId="44A23C42">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_Toc7536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2.评标标准</w:t>
      </w:r>
      <w:r>
        <w:rPr>
          <w:color w:val="auto"/>
          <w:highlight w:val="none"/>
        </w:rPr>
        <w:tab/>
      </w:r>
      <w:r>
        <w:rPr>
          <w:color w:val="auto"/>
          <w:highlight w:val="none"/>
        </w:rPr>
        <w:fldChar w:fldCharType="begin"/>
      </w:r>
      <w:r>
        <w:rPr>
          <w:color w:val="auto"/>
          <w:highlight w:val="none"/>
        </w:rPr>
        <w:instrText xml:space="preserve"> PAGEREF _Toc7536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color w:val="auto"/>
          <w:highlight w:val="none"/>
        </w:rPr>
        <w:fldChar w:fldCharType="end"/>
      </w:r>
    </w:p>
    <w:p w14:paraId="61ED044B">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_Toc27072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3.评委构成：</w:t>
      </w:r>
      <w:r>
        <w:rPr>
          <w:color w:val="auto"/>
          <w:highlight w:val="none"/>
        </w:rPr>
        <w:tab/>
      </w:r>
      <w:r>
        <w:rPr>
          <w:color w:val="auto"/>
          <w:highlight w:val="none"/>
        </w:rPr>
        <w:fldChar w:fldCharType="begin"/>
      </w:r>
      <w:r>
        <w:rPr>
          <w:color w:val="auto"/>
          <w:highlight w:val="none"/>
        </w:rPr>
        <w:instrText xml:space="preserve"> PAGEREF _Toc27072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color w:val="auto"/>
          <w:highlight w:val="none"/>
        </w:rPr>
        <w:fldChar w:fldCharType="end"/>
      </w:r>
    </w:p>
    <w:p w14:paraId="4D3768C1">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_Toc24681 </w:instrText>
      </w:r>
      <w:r>
        <w:rPr>
          <w:rFonts w:hint="eastAsia" w:ascii="宋体" w:hAnsi="宋体" w:eastAsia="宋体" w:cs="宋体"/>
          <w:color w:val="auto"/>
          <w:highlight w:val="none"/>
        </w:rPr>
        <w:fldChar w:fldCharType="separate"/>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评审标准如下表：</w:t>
      </w:r>
      <w:r>
        <w:rPr>
          <w:color w:val="auto"/>
          <w:highlight w:val="none"/>
        </w:rPr>
        <w:tab/>
      </w:r>
      <w:r>
        <w:rPr>
          <w:color w:val="auto"/>
          <w:highlight w:val="none"/>
        </w:rPr>
        <w:fldChar w:fldCharType="begin"/>
      </w:r>
      <w:r>
        <w:rPr>
          <w:color w:val="auto"/>
          <w:highlight w:val="none"/>
        </w:rPr>
        <w:instrText xml:space="preserve"> PAGEREF _Toc24681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color w:val="auto"/>
          <w:highlight w:val="none"/>
        </w:rPr>
        <w:fldChar w:fldCharType="end"/>
      </w:r>
    </w:p>
    <w:p w14:paraId="1F2E9A3F">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_Toc145 </w:instrText>
      </w:r>
      <w:r>
        <w:rPr>
          <w:rFonts w:hint="eastAsia" w:ascii="宋体" w:hAnsi="宋体" w:eastAsia="宋体" w:cs="宋体"/>
          <w:color w:val="auto"/>
          <w:highlight w:val="none"/>
        </w:rPr>
        <w:fldChar w:fldCharType="separate"/>
      </w:r>
      <w:r>
        <w:rPr>
          <w:rFonts w:hint="eastAsia" w:ascii="宋体" w:hAnsi="宋体" w:cs="宋体"/>
          <w:bCs/>
          <w:color w:val="auto"/>
          <w:szCs w:val="21"/>
          <w:highlight w:val="none"/>
          <w:lang w:val="en-US" w:eastAsia="zh-CN"/>
        </w:rPr>
        <w:t>5.</w:t>
      </w:r>
      <w:r>
        <w:rPr>
          <w:rFonts w:hint="eastAsia" w:ascii="宋体" w:hAnsi="宋体" w:eastAsia="宋体" w:cs="宋体"/>
          <w:bCs/>
          <w:color w:val="auto"/>
          <w:szCs w:val="21"/>
          <w:highlight w:val="none"/>
        </w:rPr>
        <w:t>落实政府采购政策进行价格调整的规则：</w:t>
      </w:r>
      <w:r>
        <w:rPr>
          <w:color w:val="auto"/>
          <w:highlight w:val="none"/>
        </w:rPr>
        <w:tab/>
      </w:r>
      <w:r>
        <w:rPr>
          <w:color w:val="auto"/>
          <w:highlight w:val="none"/>
        </w:rPr>
        <w:fldChar w:fldCharType="begin"/>
      </w:r>
      <w:r>
        <w:rPr>
          <w:color w:val="auto"/>
          <w:highlight w:val="none"/>
        </w:rPr>
        <w:instrText xml:space="preserve"> PAGEREF _Toc145 \h </w:instrText>
      </w:r>
      <w:r>
        <w:rPr>
          <w:color w:val="auto"/>
          <w:highlight w:val="none"/>
        </w:rPr>
        <w:fldChar w:fldCharType="separate"/>
      </w:r>
      <w:r>
        <w:rPr>
          <w:color w:val="auto"/>
          <w:highlight w:val="none"/>
        </w:rPr>
        <w:t>31</w:t>
      </w:r>
      <w:r>
        <w:rPr>
          <w:color w:val="auto"/>
          <w:highlight w:val="none"/>
        </w:rPr>
        <w:fldChar w:fldCharType="end"/>
      </w:r>
      <w:r>
        <w:rPr>
          <w:rFonts w:hint="eastAsia" w:ascii="宋体" w:hAnsi="宋体" w:eastAsia="宋体" w:cs="宋体"/>
          <w:color w:val="auto"/>
          <w:highlight w:val="none"/>
        </w:rPr>
        <w:fldChar w:fldCharType="end"/>
      </w:r>
    </w:p>
    <w:p w14:paraId="448AB288">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_Toc3803 </w:instrText>
      </w:r>
      <w:r>
        <w:rPr>
          <w:rFonts w:hint="eastAsia" w:ascii="宋体" w:hAnsi="宋体" w:eastAsia="宋体" w:cs="宋体"/>
          <w:color w:val="auto"/>
          <w:highlight w:val="none"/>
        </w:rPr>
        <w:fldChar w:fldCharType="separate"/>
      </w: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推荐中标候选人</w:t>
      </w:r>
      <w:r>
        <w:rPr>
          <w:color w:val="auto"/>
          <w:highlight w:val="none"/>
        </w:rPr>
        <w:tab/>
      </w:r>
      <w:r>
        <w:rPr>
          <w:color w:val="auto"/>
          <w:highlight w:val="none"/>
        </w:rPr>
        <w:fldChar w:fldCharType="begin"/>
      </w:r>
      <w:r>
        <w:rPr>
          <w:color w:val="auto"/>
          <w:highlight w:val="none"/>
        </w:rPr>
        <w:instrText xml:space="preserve"> PAGEREF _Toc3803 \h </w:instrText>
      </w:r>
      <w:r>
        <w:rPr>
          <w:color w:val="auto"/>
          <w:highlight w:val="none"/>
        </w:rPr>
        <w:fldChar w:fldCharType="separate"/>
      </w:r>
      <w:r>
        <w:rPr>
          <w:color w:val="auto"/>
          <w:highlight w:val="none"/>
        </w:rPr>
        <w:t>32</w:t>
      </w:r>
      <w:r>
        <w:rPr>
          <w:color w:val="auto"/>
          <w:highlight w:val="none"/>
        </w:rPr>
        <w:fldChar w:fldCharType="end"/>
      </w:r>
      <w:r>
        <w:rPr>
          <w:rFonts w:hint="eastAsia" w:ascii="宋体" w:hAnsi="宋体" w:eastAsia="宋体" w:cs="宋体"/>
          <w:color w:val="auto"/>
          <w:highlight w:val="none"/>
        </w:rPr>
        <w:fldChar w:fldCharType="end"/>
      </w:r>
    </w:p>
    <w:p w14:paraId="2E55558A">
      <w:pPr>
        <w:pStyle w:val="17"/>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_Toc26155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8"/>
          <w:highlight w:val="none"/>
        </w:rPr>
        <w:t>第四章  政府采购合同文本</w:t>
      </w:r>
      <w:r>
        <w:rPr>
          <w:color w:val="auto"/>
          <w:highlight w:val="none"/>
        </w:rPr>
        <w:tab/>
      </w:r>
      <w:r>
        <w:rPr>
          <w:color w:val="auto"/>
          <w:highlight w:val="none"/>
        </w:rPr>
        <w:fldChar w:fldCharType="begin"/>
      </w:r>
      <w:r>
        <w:rPr>
          <w:color w:val="auto"/>
          <w:highlight w:val="none"/>
        </w:rPr>
        <w:instrText xml:space="preserve"> PAGEREF _Toc26155 \h </w:instrText>
      </w:r>
      <w:r>
        <w:rPr>
          <w:color w:val="auto"/>
          <w:highlight w:val="none"/>
        </w:rPr>
        <w:fldChar w:fldCharType="separate"/>
      </w:r>
      <w:r>
        <w:rPr>
          <w:color w:val="auto"/>
          <w:highlight w:val="none"/>
        </w:rPr>
        <w:t>33</w:t>
      </w:r>
      <w:r>
        <w:rPr>
          <w:color w:val="auto"/>
          <w:highlight w:val="none"/>
        </w:rPr>
        <w:fldChar w:fldCharType="end"/>
      </w:r>
      <w:r>
        <w:rPr>
          <w:rFonts w:hint="eastAsia" w:ascii="宋体" w:hAnsi="宋体" w:eastAsia="宋体" w:cs="宋体"/>
          <w:color w:val="auto"/>
          <w:highlight w:val="none"/>
        </w:rPr>
        <w:fldChar w:fldCharType="end"/>
      </w:r>
    </w:p>
    <w:p w14:paraId="5D681DB7">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_Toc11876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合同条款前附表</w:t>
      </w:r>
      <w:r>
        <w:rPr>
          <w:color w:val="auto"/>
          <w:highlight w:val="none"/>
        </w:rPr>
        <w:tab/>
      </w:r>
      <w:r>
        <w:rPr>
          <w:color w:val="auto"/>
          <w:highlight w:val="none"/>
        </w:rPr>
        <w:fldChar w:fldCharType="begin"/>
      </w:r>
      <w:r>
        <w:rPr>
          <w:color w:val="auto"/>
          <w:highlight w:val="none"/>
        </w:rPr>
        <w:instrText xml:space="preserve"> PAGEREF _Toc11876 \h </w:instrText>
      </w:r>
      <w:r>
        <w:rPr>
          <w:color w:val="auto"/>
          <w:highlight w:val="none"/>
        </w:rPr>
        <w:fldChar w:fldCharType="separate"/>
      </w:r>
      <w:r>
        <w:rPr>
          <w:color w:val="auto"/>
          <w:highlight w:val="none"/>
        </w:rPr>
        <w:t>34</w:t>
      </w:r>
      <w:r>
        <w:rPr>
          <w:color w:val="auto"/>
          <w:highlight w:val="none"/>
        </w:rPr>
        <w:fldChar w:fldCharType="end"/>
      </w:r>
      <w:r>
        <w:rPr>
          <w:rFonts w:hint="eastAsia" w:ascii="宋体" w:hAnsi="宋体" w:eastAsia="宋体" w:cs="宋体"/>
          <w:color w:val="auto"/>
          <w:highlight w:val="none"/>
        </w:rPr>
        <w:fldChar w:fldCharType="end"/>
      </w:r>
    </w:p>
    <w:p w14:paraId="22F32923">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_Toc11569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一   合  同</w:t>
      </w:r>
      <w:r>
        <w:rPr>
          <w:color w:val="auto"/>
          <w:highlight w:val="none"/>
        </w:rPr>
        <w:tab/>
      </w:r>
      <w:r>
        <w:rPr>
          <w:color w:val="auto"/>
          <w:highlight w:val="none"/>
        </w:rPr>
        <w:fldChar w:fldCharType="begin"/>
      </w:r>
      <w:r>
        <w:rPr>
          <w:color w:val="auto"/>
          <w:highlight w:val="none"/>
        </w:rPr>
        <w:instrText xml:space="preserve"> PAGEREF _Toc11569 \h </w:instrText>
      </w:r>
      <w:r>
        <w:rPr>
          <w:color w:val="auto"/>
          <w:highlight w:val="none"/>
        </w:rPr>
        <w:fldChar w:fldCharType="separate"/>
      </w:r>
      <w:r>
        <w:rPr>
          <w:color w:val="auto"/>
          <w:highlight w:val="none"/>
        </w:rPr>
        <w:t>37</w:t>
      </w:r>
      <w:r>
        <w:rPr>
          <w:color w:val="auto"/>
          <w:highlight w:val="none"/>
        </w:rPr>
        <w:fldChar w:fldCharType="end"/>
      </w:r>
      <w:r>
        <w:rPr>
          <w:rFonts w:hint="eastAsia" w:ascii="宋体" w:hAnsi="宋体" w:eastAsia="宋体" w:cs="宋体"/>
          <w:color w:val="auto"/>
          <w:highlight w:val="none"/>
        </w:rPr>
        <w:fldChar w:fldCharType="end"/>
      </w:r>
    </w:p>
    <w:p w14:paraId="7A011D8A">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_Toc9358 </w:instrText>
      </w:r>
      <w:r>
        <w:rPr>
          <w:rFonts w:hint="eastAsia" w:ascii="宋体" w:hAnsi="宋体" w:eastAsia="宋体" w:cs="宋体"/>
          <w:color w:val="auto"/>
          <w:highlight w:val="none"/>
        </w:rPr>
        <w:fldChar w:fldCharType="separate"/>
      </w:r>
      <w:r>
        <w:rPr>
          <w:rFonts w:ascii="Times New Roman" w:hAnsi="Times New Roman" w:eastAsia="宋体" w:cs="Times New Roman"/>
          <w:color w:val="auto"/>
          <w:highlight w:val="none"/>
        </w:rPr>
        <w:t>二   合 同 通 用 条 款</w:t>
      </w:r>
      <w:r>
        <w:rPr>
          <w:color w:val="auto"/>
          <w:highlight w:val="none"/>
        </w:rPr>
        <w:tab/>
      </w:r>
      <w:r>
        <w:rPr>
          <w:color w:val="auto"/>
          <w:highlight w:val="none"/>
        </w:rPr>
        <w:fldChar w:fldCharType="begin"/>
      </w:r>
      <w:r>
        <w:rPr>
          <w:color w:val="auto"/>
          <w:highlight w:val="none"/>
        </w:rPr>
        <w:instrText xml:space="preserve"> PAGEREF _Toc9358 \h </w:instrText>
      </w:r>
      <w:r>
        <w:rPr>
          <w:color w:val="auto"/>
          <w:highlight w:val="none"/>
        </w:rPr>
        <w:fldChar w:fldCharType="separate"/>
      </w:r>
      <w:r>
        <w:rPr>
          <w:color w:val="auto"/>
          <w:highlight w:val="none"/>
        </w:rPr>
        <w:t>39</w:t>
      </w:r>
      <w:r>
        <w:rPr>
          <w:color w:val="auto"/>
          <w:highlight w:val="none"/>
        </w:rPr>
        <w:fldChar w:fldCharType="end"/>
      </w:r>
      <w:r>
        <w:rPr>
          <w:rFonts w:hint="eastAsia" w:ascii="宋体" w:hAnsi="宋体" w:eastAsia="宋体" w:cs="宋体"/>
          <w:color w:val="auto"/>
          <w:highlight w:val="none"/>
        </w:rPr>
        <w:fldChar w:fldCharType="end"/>
      </w:r>
    </w:p>
    <w:p w14:paraId="13BB6869">
      <w:pPr>
        <w:pStyle w:val="17"/>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_Toc13463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8"/>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_Toc13463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eastAsia="宋体" w:cs="宋体"/>
          <w:color w:val="auto"/>
          <w:highlight w:val="none"/>
        </w:rPr>
        <w:fldChar w:fldCharType="end"/>
      </w:r>
    </w:p>
    <w:p w14:paraId="34EBE185">
      <w:pPr>
        <w:pStyle w:val="17"/>
        <w:tabs>
          <w:tab w:val="right" w:leader="dot" w:pos="8402"/>
        </w:tabs>
        <w:rPr>
          <w:rFonts w:hint="eastAsia" w:ascii="宋体" w:hAnsi="宋体" w:eastAsia="宋体" w:cs="宋体"/>
          <w:color w:val="auto"/>
          <w:highlight w:val="none"/>
        </w:rPr>
      </w:pPr>
    </w:p>
    <w:p w14:paraId="1F31FF29">
      <w:pPr>
        <w:pStyle w:val="17"/>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_Toc11376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（技术部分）</w:t>
      </w:r>
      <w:r>
        <w:rPr>
          <w:color w:val="auto"/>
          <w:highlight w:val="none"/>
        </w:rPr>
        <w:tab/>
      </w:r>
      <w:r>
        <w:rPr>
          <w:color w:val="auto"/>
          <w:highlight w:val="none"/>
        </w:rPr>
        <w:fldChar w:fldCharType="begin"/>
      </w:r>
      <w:r>
        <w:rPr>
          <w:color w:val="auto"/>
          <w:highlight w:val="none"/>
        </w:rPr>
        <w:instrText xml:space="preserve"> PAGEREF _Toc11376 \h </w:instrText>
      </w:r>
      <w:r>
        <w:rPr>
          <w:color w:val="auto"/>
          <w:highlight w:val="none"/>
        </w:rPr>
        <w:fldChar w:fldCharType="separate"/>
      </w:r>
      <w:r>
        <w:rPr>
          <w:color w:val="auto"/>
          <w:highlight w:val="none"/>
        </w:rPr>
        <w:t>82</w:t>
      </w:r>
      <w:r>
        <w:rPr>
          <w:color w:val="auto"/>
          <w:highlight w:val="none"/>
        </w:rPr>
        <w:fldChar w:fldCharType="end"/>
      </w:r>
      <w:r>
        <w:rPr>
          <w:rFonts w:hint="eastAsia" w:ascii="宋体" w:hAnsi="宋体" w:eastAsia="宋体" w:cs="宋体"/>
          <w:color w:val="auto"/>
          <w:highlight w:val="none"/>
        </w:rPr>
        <w:fldChar w:fldCharType="end"/>
      </w:r>
    </w:p>
    <w:p w14:paraId="7046586D">
      <w:pPr>
        <w:pStyle w:val="17"/>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_Toc27804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8"/>
          <w:highlight w:val="none"/>
        </w:rPr>
        <w:t>第六章  项目采购需求</w:t>
      </w:r>
      <w:r>
        <w:rPr>
          <w:color w:val="auto"/>
          <w:highlight w:val="none"/>
        </w:rPr>
        <w:tab/>
      </w:r>
      <w:r>
        <w:rPr>
          <w:color w:val="auto"/>
          <w:highlight w:val="none"/>
        </w:rPr>
        <w:fldChar w:fldCharType="begin"/>
      </w:r>
      <w:r>
        <w:rPr>
          <w:color w:val="auto"/>
          <w:highlight w:val="none"/>
        </w:rPr>
        <w:instrText xml:space="preserve"> PAGEREF _Toc27804 \h </w:instrText>
      </w:r>
      <w:r>
        <w:rPr>
          <w:color w:val="auto"/>
          <w:highlight w:val="none"/>
        </w:rPr>
        <w:fldChar w:fldCharType="separate"/>
      </w:r>
      <w:r>
        <w:rPr>
          <w:color w:val="auto"/>
          <w:highlight w:val="none"/>
        </w:rPr>
        <w:t>83</w:t>
      </w:r>
      <w:r>
        <w:rPr>
          <w:color w:val="auto"/>
          <w:highlight w:val="none"/>
        </w:rPr>
        <w:fldChar w:fldCharType="end"/>
      </w:r>
      <w:r>
        <w:rPr>
          <w:rFonts w:hint="eastAsia" w:ascii="宋体" w:hAnsi="宋体" w:eastAsia="宋体" w:cs="宋体"/>
          <w:color w:val="auto"/>
          <w:highlight w:val="none"/>
        </w:rPr>
        <w:fldChar w:fldCharType="end"/>
      </w:r>
    </w:p>
    <w:p w14:paraId="243CB72E">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_Toc1075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一、项目概况</w:t>
      </w:r>
      <w:r>
        <w:rPr>
          <w:color w:val="auto"/>
          <w:highlight w:val="none"/>
        </w:rPr>
        <w:tab/>
      </w:r>
      <w:r>
        <w:rPr>
          <w:color w:val="auto"/>
          <w:highlight w:val="none"/>
        </w:rPr>
        <w:fldChar w:fldCharType="begin"/>
      </w:r>
      <w:r>
        <w:rPr>
          <w:color w:val="auto"/>
          <w:highlight w:val="none"/>
        </w:rPr>
        <w:instrText xml:space="preserve"> PAGEREF _Toc1075 \h </w:instrText>
      </w:r>
      <w:r>
        <w:rPr>
          <w:color w:val="auto"/>
          <w:highlight w:val="none"/>
        </w:rPr>
        <w:fldChar w:fldCharType="separate"/>
      </w:r>
      <w:r>
        <w:rPr>
          <w:color w:val="auto"/>
          <w:highlight w:val="none"/>
        </w:rPr>
        <w:t>83</w:t>
      </w:r>
      <w:r>
        <w:rPr>
          <w:color w:val="auto"/>
          <w:highlight w:val="none"/>
        </w:rPr>
        <w:fldChar w:fldCharType="end"/>
      </w:r>
      <w:r>
        <w:rPr>
          <w:rFonts w:hint="eastAsia" w:ascii="宋体" w:hAnsi="宋体" w:eastAsia="宋体" w:cs="宋体"/>
          <w:color w:val="auto"/>
          <w:highlight w:val="none"/>
        </w:rPr>
        <w:fldChar w:fldCharType="end"/>
      </w:r>
    </w:p>
    <w:p w14:paraId="419104E8">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_Toc21119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32"/>
          <w:highlight w:val="none"/>
        </w:rPr>
        <w:t>二、技术要求</w:t>
      </w:r>
      <w:r>
        <w:rPr>
          <w:color w:val="auto"/>
          <w:highlight w:val="none"/>
        </w:rPr>
        <w:tab/>
      </w:r>
      <w:r>
        <w:rPr>
          <w:color w:val="auto"/>
          <w:highlight w:val="none"/>
        </w:rPr>
        <w:fldChar w:fldCharType="begin"/>
      </w:r>
      <w:r>
        <w:rPr>
          <w:color w:val="auto"/>
          <w:highlight w:val="none"/>
        </w:rPr>
        <w:instrText xml:space="preserve"> PAGEREF _Toc21119 \h </w:instrText>
      </w:r>
      <w:r>
        <w:rPr>
          <w:color w:val="auto"/>
          <w:highlight w:val="none"/>
        </w:rPr>
        <w:fldChar w:fldCharType="separate"/>
      </w:r>
      <w:r>
        <w:rPr>
          <w:color w:val="auto"/>
          <w:highlight w:val="none"/>
        </w:rPr>
        <w:t>83</w:t>
      </w:r>
      <w:r>
        <w:rPr>
          <w:color w:val="auto"/>
          <w:highlight w:val="none"/>
        </w:rPr>
        <w:fldChar w:fldCharType="end"/>
      </w:r>
      <w:r>
        <w:rPr>
          <w:rFonts w:hint="eastAsia" w:ascii="宋体" w:hAnsi="宋体" w:eastAsia="宋体" w:cs="宋体"/>
          <w:color w:val="auto"/>
          <w:highlight w:val="none"/>
        </w:rPr>
        <w:fldChar w:fldCharType="end"/>
      </w:r>
    </w:p>
    <w:p w14:paraId="282AA572">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_Toc6512 </w:instrText>
      </w:r>
      <w:r>
        <w:rPr>
          <w:rFonts w:hint="eastAsia" w:ascii="宋体" w:hAnsi="宋体" w:eastAsia="宋体" w:cs="宋体"/>
          <w:color w:val="auto"/>
          <w:highlight w:val="none"/>
        </w:rPr>
        <w:fldChar w:fldCharType="separate"/>
      </w:r>
      <w:r>
        <w:rPr>
          <w:rFonts w:hint="eastAsia" w:ascii="宋体" w:hAnsi="宋体" w:eastAsia="宋体" w:cs="宋体"/>
          <w:bCs/>
          <w:color w:val="auto"/>
          <w:kern w:val="2"/>
          <w:szCs w:val="32"/>
          <w:highlight w:val="none"/>
          <w:lang w:val="en-US" w:eastAsia="zh-CN" w:bidi="ar-SA"/>
        </w:rPr>
        <w:t>三、</w:t>
      </w:r>
      <w:r>
        <w:rPr>
          <w:rFonts w:hint="eastAsia" w:ascii="宋体" w:hAnsi="宋体" w:eastAsia="宋体" w:cs="宋体"/>
          <w:bCs/>
          <w:color w:val="auto"/>
          <w:szCs w:val="32"/>
          <w:highlight w:val="none"/>
          <w:lang w:val="en-US" w:eastAsia="zh-CN"/>
        </w:rPr>
        <w:t>商务要求</w:t>
      </w:r>
      <w:r>
        <w:rPr>
          <w:color w:val="auto"/>
          <w:highlight w:val="none"/>
        </w:rPr>
        <w:tab/>
      </w:r>
      <w:r>
        <w:rPr>
          <w:color w:val="auto"/>
          <w:highlight w:val="none"/>
        </w:rPr>
        <w:fldChar w:fldCharType="begin"/>
      </w:r>
      <w:r>
        <w:rPr>
          <w:color w:val="auto"/>
          <w:highlight w:val="none"/>
        </w:rPr>
        <w:instrText xml:space="preserve"> PAGEREF _Toc6512 \h </w:instrText>
      </w:r>
      <w:r>
        <w:rPr>
          <w:color w:val="auto"/>
          <w:highlight w:val="none"/>
        </w:rPr>
        <w:fldChar w:fldCharType="separate"/>
      </w:r>
      <w:r>
        <w:rPr>
          <w:color w:val="auto"/>
          <w:highlight w:val="none"/>
        </w:rPr>
        <w:t>312</w:t>
      </w:r>
      <w:r>
        <w:rPr>
          <w:color w:val="auto"/>
          <w:highlight w:val="none"/>
        </w:rPr>
        <w:fldChar w:fldCharType="end"/>
      </w:r>
      <w:r>
        <w:rPr>
          <w:rFonts w:hint="eastAsia" w:ascii="宋体" w:hAnsi="宋体" w:eastAsia="宋体" w:cs="宋体"/>
          <w:color w:val="auto"/>
          <w:highlight w:val="none"/>
        </w:rPr>
        <w:fldChar w:fldCharType="end"/>
      </w:r>
    </w:p>
    <w:p w14:paraId="668452BB">
      <w:pPr>
        <w:pStyle w:val="19"/>
        <w:tabs>
          <w:tab w:val="right" w:leader="dot" w:pos="8402"/>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_Toc21006 </w:instrText>
      </w:r>
      <w:r>
        <w:rPr>
          <w:rFonts w:hint="eastAsia" w:ascii="宋体" w:hAnsi="宋体" w:eastAsia="宋体" w:cs="宋体"/>
          <w:color w:val="auto"/>
          <w:highlight w:val="none"/>
        </w:rPr>
        <w:fldChar w:fldCharType="separate"/>
      </w:r>
      <w:r>
        <w:rPr>
          <w:rFonts w:hint="eastAsia" w:ascii="宋体" w:hAnsi="宋体" w:eastAsia="宋体" w:cs="宋体"/>
          <w:bCs/>
          <w:color w:val="auto"/>
          <w:kern w:val="2"/>
          <w:szCs w:val="32"/>
          <w:highlight w:val="none"/>
          <w:lang w:val="en-US" w:eastAsia="zh-CN" w:bidi="ar-SA"/>
        </w:rPr>
        <w:t>四、</w:t>
      </w:r>
      <w:r>
        <w:rPr>
          <w:rFonts w:hint="eastAsia" w:ascii="宋体" w:hAnsi="宋体" w:eastAsia="宋体" w:cs="宋体"/>
          <w:bCs/>
          <w:color w:val="auto"/>
          <w:szCs w:val="32"/>
          <w:highlight w:val="none"/>
          <w:lang w:val="en-US" w:eastAsia="zh-CN"/>
        </w:rPr>
        <w:t>其他</w:t>
      </w:r>
      <w:r>
        <w:rPr>
          <w:color w:val="auto"/>
          <w:highlight w:val="none"/>
        </w:rPr>
        <w:tab/>
      </w:r>
      <w:r>
        <w:rPr>
          <w:color w:val="auto"/>
          <w:highlight w:val="none"/>
        </w:rPr>
        <w:fldChar w:fldCharType="begin"/>
      </w:r>
      <w:r>
        <w:rPr>
          <w:color w:val="auto"/>
          <w:highlight w:val="none"/>
        </w:rPr>
        <w:instrText xml:space="preserve"> PAGEREF _Toc21006 \h </w:instrText>
      </w:r>
      <w:r>
        <w:rPr>
          <w:color w:val="auto"/>
          <w:highlight w:val="none"/>
        </w:rPr>
        <w:fldChar w:fldCharType="separate"/>
      </w:r>
      <w:r>
        <w:rPr>
          <w:color w:val="auto"/>
          <w:highlight w:val="none"/>
        </w:rPr>
        <w:t>312</w:t>
      </w:r>
      <w:r>
        <w:rPr>
          <w:color w:val="auto"/>
          <w:highlight w:val="none"/>
        </w:rPr>
        <w:fldChar w:fldCharType="end"/>
      </w:r>
      <w:r>
        <w:rPr>
          <w:rFonts w:hint="eastAsia" w:ascii="宋体" w:hAnsi="宋体" w:eastAsia="宋体" w:cs="宋体"/>
          <w:color w:val="auto"/>
          <w:highlight w:val="none"/>
        </w:rPr>
        <w:fldChar w:fldCharType="end"/>
      </w:r>
    </w:p>
    <w:p w14:paraId="41BDDF27">
      <w:pPr>
        <w:pStyle w:val="19"/>
        <w:tabs>
          <w:tab w:val="right" w:leader="dot" w:pos="8402"/>
        </w:tabs>
        <w:rPr>
          <w:color w:val="auto"/>
          <w:highlight w:val="none"/>
        </w:rPr>
      </w:pPr>
      <w:r>
        <w:rPr>
          <w:rFonts w:hint="eastAsia"/>
          <w:color w:val="auto"/>
          <w:highlight w:val="none"/>
        </w:rPr>
        <w:fldChar w:fldCharType="begin"/>
      </w:r>
      <w:r>
        <w:rPr>
          <w:rFonts w:hint="eastAsia"/>
          <w:color w:val="auto"/>
          <w:highlight w:val="none"/>
        </w:rPr>
        <w:instrText xml:space="preserve"> HYPERLINK \l _Toc30494 </w:instrText>
      </w:r>
      <w:r>
        <w:rPr>
          <w:rFonts w:hint="eastAsia"/>
          <w:color w:val="auto"/>
          <w:highlight w:val="none"/>
        </w:rPr>
        <w:fldChar w:fldCharType="separate"/>
      </w:r>
      <w:r>
        <w:rPr>
          <w:rFonts w:hint="eastAsia"/>
          <w:color w:val="auto"/>
          <w:highlight w:val="none"/>
          <w:lang w:val="en-US" w:eastAsia="zh-CN"/>
        </w:rPr>
        <w:t>附件1</w:t>
      </w:r>
      <w:r>
        <w:rPr>
          <w:color w:val="auto"/>
          <w:highlight w:val="none"/>
        </w:rPr>
        <w:tab/>
      </w:r>
      <w:r>
        <w:rPr>
          <w:color w:val="auto"/>
          <w:highlight w:val="none"/>
        </w:rPr>
        <w:fldChar w:fldCharType="begin"/>
      </w:r>
      <w:r>
        <w:rPr>
          <w:color w:val="auto"/>
          <w:highlight w:val="none"/>
        </w:rPr>
        <w:instrText xml:space="preserve"> PAGEREF _Toc30494 \h </w:instrText>
      </w:r>
      <w:r>
        <w:rPr>
          <w:color w:val="auto"/>
          <w:highlight w:val="none"/>
        </w:rPr>
        <w:fldChar w:fldCharType="separate"/>
      </w:r>
      <w:r>
        <w:rPr>
          <w:color w:val="auto"/>
          <w:highlight w:val="none"/>
        </w:rPr>
        <w:t>313</w:t>
      </w:r>
      <w:r>
        <w:rPr>
          <w:color w:val="auto"/>
          <w:highlight w:val="none"/>
        </w:rPr>
        <w:fldChar w:fldCharType="end"/>
      </w:r>
      <w:r>
        <w:rPr>
          <w:rFonts w:hint="eastAsia"/>
          <w:color w:val="auto"/>
          <w:highlight w:val="none"/>
        </w:rPr>
        <w:fldChar w:fldCharType="end"/>
      </w:r>
    </w:p>
    <w:p w14:paraId="5BADAA25">
      <w:pPr>
        <w:pStyle w:val="19"/>
        <w:tabs>
          <w:tab w:val="right" w:leader="dot" w:pos="8402"/>
        </w:tabs>
        <w:rPr>
          <w:rFonts w:hint="default"/>
          <w:color w:val="auto"/>
          <w:highlight w:val="none"/>
          <w:lang w:val="en-US" w:eastAsia="zh-CN"/>
        </w:rPr>
      </w:pPr>
      <w:r>
        <w:rPr>
          <w:rFonts w:hint="eastAsia"/>
          <w:color w:val="auto"/>
          <w:highlight w:val="none"/>
        </w:rPr>
        <w:fldChar w:fldCharType="begin"/>
      </w:r>
      <w:r>
        <w:rPr>
          <w:rFonts w:hint="eastAsia"/>
          <w:color w:val="auto"/>
          <w:highlight w:val="none"/>
        </w:rPr>
        <w:instrText xml:space="preserve"> HYPERLINK \l _Toc24547 </w:instrText>
      </w:r>
      <w:r>
        <w:rPr>
          <w:rFonts w:hint="eastAsia"/>
          <w:color w:val="auto"/>
          <w:highlight w:val="none"/>
        </w:rPr>
        <w:fldChar w:fldCharType="separate"/>
      </w:r>
      <w:r>
        <w:rPr>
          <w:rFonts w:hint="eastAsia"/>
          <w:color w:val="auto"/>
          <w:highlight w:val="none"/>
          <w:lang w:val="en-US" w:eastAsia="zh-CN"/>
        </w:rPr>
        <w:t>附件2</w:t>
      </w:r>
      <w:r>
        <w:rPr>
          <w:color w:val="auto"/>
          <w:highlight w:val="none"/>
        </w:rPr>
        <w:tab/>
      </w:r>
      <w:r>
        <w:rPr>
          <w:rFonts w:hint="eastAsia"/>
          <w:color w:val="auto"/>
          <w:highlight w:val="none"/>
          <w:lang w:val="en-US" w:eastAsia="zh-CN"/>
        </w:rPr>
        <w:t>2</w:t>
      </w:r>
      <w:r>
        <w:rPr>
          <w:rFonts w:hint="eastAsia"/>
          <w:color w:val="auto"/>
          <w:highlight w:val="none"/>
        </w:rPr>
        <w:fldChar w:fldCharType="end"/>
      </w:r>
      <w:r>
        <w:rPr>
          <w:rFonts w:hint="eastAsia"/>
          <w:color w:val="auto"/>
          <w:highlight w:val="none"/>
          <w:lang w:val="en-US" w:eastAsia="zh-CN"/>
        </w:rPr>
        <w:t>32</w:t>
      </w:r>
    </w:p>
    <w:p w14:paraId="283A9781">
      <w:pPr>
        <w:pStyle w:val="19"/>
        <w:tabs>
          <w:tab w:val="right" w:leader="dot" w:pos="8402"/>
        </w:tabs>
        <w:rPr>
          <w:rFonts w:hint="default"/>
          <w:color w:val="auto"/>
          <w:highlight w:val="none"/>
          <w:lang w:val="en-US" w:eastAsia="zh-CN"/>
        </w:rPr>
      </w:pPr>
      <w:r>
        <w:rPr>
          <w:rFonts w:hint="eastAsia"/>
          <w:color w:val="auto"/>
          <w:highlight w:val="none"/>
        </w:rPr>
        <w:fldChar w:fldCharType="begin"/>
      </w:r>
      <w:r>
        <w:rPr>
          <w:rFonts w:hint="eastAsia"/>
          <w:color w:val="auto"/>
          <w:highlight w:val="none"/>
        </w:rPr>
        <w:instrText xml:space="preserve"> HYPERLINK \l _Toc4009 </w:instrText>
      </w:r>
      <w:r>
        <w:rPr>
          <w:rFonts w:hint="eastAsia"/>
          <w:color w:val="auto"/>
          <w:highlight w:val="none"/>
        </w:rPr>
        <w:fldChar w:fldCharType="separate"/>
      </w:r>
      <w:r>
        <w:rPr>
          <w:rFonts w:hint="eastAsia"/>
          <w:color w:val="auto"/>
          <w:highlight w:val="none"/>
          <w:lang w:eastAsia="zh-CN"/>
        </w:rPr>
        <w:t>附件</w:t>
      </w:r>
      <w:r>
        <w:rPr>
          <w:rFonts w:hint="eastAsia"/>
          <w:color w:val="auto"/>
          <w:highlight w:val="none"/>
          <w:lang w:val="en-US" w:eastAsia="zh-CN"/>
        </w:rPr>
        <w:t>3</w:t>
      </w:r>
      <w:r>
        <w:rPr>
          <w:color w:val="auto"/>
          <w:highlight w:val="none"/>
        </w:rPr>
        <w:tab/>
      </w:r>
      <w:r>
        <w:rPr>
          <w:rFonts w:hint="eastAsia"/>
          <w:color w:val="auto"/>
          <w:highlight w:val="none"/>
          <w:lang w:val="en-US" w:eastAsia="zh-CN"/>
        </w:rPr>
        <w:t>2</w:t>
      </w:r>
      <w:r>
        <w:rPr>
          <w:rFonts w:hint="eastAsia"/>
          <w:color w:val="auto"/>
          <w:highlight w:val="none"/>
        </w:rPr>
        <w:fldChar w:fldCharType="end"/>
      </w:r>
      <w:r>
        <w:rPr>
          <w:rFonts w:hint="eastAsia"/>
          <w:color w:val="auto"/>
          <w:highlight w:val="none"/>
          <w:lang w:val="en-US" w:eastAsia="zh-CN"/>
        </w:rPr>
        <w:t>33</w:t>
      </w:r>
    </w:p>
    <w:p w14:paraId="6727DF7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0EF82566">
      <w:pPr>
        <w:rPr>
          <w:rFonts w:hint="eastAsia" w:ascii="宋体" w:hAnsi="宋体" w:eastAsia="宋体" w:cs="宋体"/>
          <w:color w:val="auto"/>
          <w:highlight w:val="none"/>
        </w:rPr>
        <w:sectPr>
          <w:footerReference r:id="rId8" w:type="first"/>
          <w:footerReference r:id="rId6" w:type="default"/>
          <w:headerReference r:id="rId5" w:type="even"/>
          <w:footerReference r:id="rId7" w:type="even"/>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06F80031">
      <w:pPr>
        <w:jc w:val="center"/>
        <w:outlineLvl w:val="0"/>
        <w:rPr>
          <w:rFonts w:hint="eastAsia" w:ascii="宋体" w:hAnsi="宋体" w:eastAsia="宋体" w:cs="宋体"/>
          <w:b w:val="0"/>
          <w:bCs w:val="0"/>
          <w:color w:val="auto"/>
          <w:sz w:val="28"/>
          <w:szCs w:val="28"/>
          <w:highlight w:val="none"/>
          <w:lang w:eastAsia="zh-CN"/>
        </w:rPr>
      </w:pPr>
      <w:bookmarkStart w:id="7" w:name="_Toc7309"/>
      <w:r>
        <w:rPr>
          <w:rFonts w:hint="eastAsia" w:ascii="宋体" w:hAnsi="宋体" w:eastAsia="宋体" w:cs="宋体"/>
          <w:b w:val="0"/>
          <w:bCs w:val="0"/>
          <w:color w:val="auto"/>
          <w:sz w:val="28"/>
          <w:szCs w:val="28"/>
          <w:highlight w:val="none"/>
        </w:rPr>
        <w:t xml:space="preserve">第一章  </w:t>
      </w:r>
      <w:bookmarkEnd w:id="7"/>
      <w:r>
        <w:rPr>
          <w:rFonts w:hint="eastAsia" w:ascii="宋体" w:hAnsi="宋体" w:cs="宋体"/>
          <w:b w:val="0"/>
          <w:bCs w:val="0"/>
          <w:color w:val="auto"/>
          <w:sz w:val="28"/>
          <w:szCs w:val="28"/>
          <w:highlight w:val="none"/>
          <w:lang w:eastAsia="zh-CN"/>
        </w:rPr>
        <w:t>招标公告</w:t>
      </w:r>
    </w:p>
    <w:p w14:paraId="72B63768">
      <w:pPr>
        <w:pBdr>
          <w:top w:val="single" w:color="auto" w:sz="4" w:space="1"/>
          <w:left w:val="single" w:color="auto" w:sz="4" w:space="4"/>
          <w:bottom w:val="single" w:color="auto" w:sz="4" w:space="1"/>
          <w:right w:val="single" w:color="auto" w:sz="4" w:space="4"/>
        </w:pBdr>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项目概况</w:t>
      </w:r>
    </w:p>
    <w:p w14:paraId="006F25D5">
      <w:pPr>
        <w:pBdr>
          <w:top w:val="single" w:color="auto" w:sz="4" w:space="1"/>
          <w:left w:val="single" w:color="auto" w:sz="4" w:space="4"/>
          <w:bottom w:val="single" w:color="auto" w:sz="4" w:space="1"/>
          <w:right w:val="single" w:color="auto" w:sz="4" w:space="4"/>
        </w:pBdr>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u w:val="single"/>
          <w:lang w:val="en-US" w:eastAsia="zh-CN"/>
        </w:rPr>
        <w:t>广西税务2026年电子发票服务平台等相关系统运行维护</w:t>
      </w:r>
      <w:r>
        <w:rPr>
          <w:rFonts w:hint="eastAsia" w:ascii="宋体" w:hAnsi="宋体" w:cs="宋体"/>
          <w:color w:val="auto"/>
          <w:szCs w:val="21"/>
          <w:highlight w:val="none"/>
          <w:u w:val="none"/>
          <w:lang w:val="en-US" w:eastAsia="zh-CN"/>
        </w:rPr>
        <w:t>项目</w:t>
      </w:r>
      <w:r>
        <w:rPr>
          <w:rFonts w:hint="eastAsia" w:ascii="宋体" w:hAnsi="宋体" w:eastAsia="宋体" w:cs="宋体"/>
          <w:color w:val="auto"/>
          <w:szCs w:val="21"/>
          <w:highlight w:val="none"/>
        </w:rPr>
        <w:t>的潜在投标人应在</w:t>
      </w:r>
      <w:r>
        <w:rPr>
          <w:rFonts w:hint="eastAsia" w:ascii="宋体" w:hAnsi="宋体" w:eastAsia="宋体" w:cs="宋体"/>
          <w:color w:val="auto"/>
          <w:sz w:val="21"/>
          <w:szCs w:val="21"/>
          <w:highlight w:val="none"/>
          <w:u w:val="single"/>
        </w:rPr>
        <w:t>广西阳光采购服务平台</w:t>
      </w:r>
      <w:r>
        <w:rPr>
          <w:rFonts w:hint="eastAsia" w:ascii="宋体" w:hAnsi="宋体" w:eastAsia="宋体" w:cs="宋体"/>
          <w:color w:val="auto"/>
          <w:szCs w:val="21"/>
          <w:highlight w:val="none"/>
        </w:rPr>
        <w:t>（行政事业国资专区）获取招标文件，并于</w:t>
      </w:r>
      <w:r>
        <w:rPr>
          <w:rFonts w:hint="eastAsia" w:ascii="宋体" w:hAnsi="宋体" w:eastAsia="宋体" w:cs="宋体"/>
          <w:color w:val="auto"/>
          <w:szCs w:val="21"/>
          <w:highlight w:val="none"/>
          <w:u w:val="single"/>
          <w:lang w:val="en-US" w:eastAsia="zh-CN"/>
        </w:rPr>
        <w:t>202</w:t>
      </w:r>
      <w:r>
        <w:rPr>
          <w:rFonts w:hint="eastAsia" w:ascii="宋体" w:hAnsi="宋体" w:cs="宋体"/>
          <w:color w:val="auto"/>
          <w:szCs w:val="21"/>
          <w:highlight w:val="none"/>
          <w:u w:val="single"/>
          <w:lang w:val="en-US" w:eastAsia="zh-CN"/>
        </w:rPr>
        <w:t>6</w:t>
      </w:r>
      <w:r>
        <w:rPr>
          <w:rFonts w:hint="eastAsia" w:ascii="宋体" w:hAnsi="宋体" w:eastAsia="宋体" w:cs="宋体"/>
          <w:bCs/>
          <w:color w:val="auto"/>
          <w:szCs w:val="21"/>
          <w:highlight w:val="none"/>
          <w:u w:val="single"/>
        </w:rPr>
        <w:t>年</w:t>
      </w:r>
      <w:r>
        <w:rPr>
          <w:rFonts w:hint="eastAsia" w:ascii="宋体" w:hAnsi="宋体" w:cs="宋体"/>
          <w:bCs/>
          <w:color w:val="auto"/>
          <w:szCs w:val="21"/>
          <w:highlight w:val="none"/>
          <w:u w:val="single"/>
          <w:lang w:val="en-US" w:eastAsia="zh-CN"/>
        </w:rPr>
        <w:t>10月20日</w:t>
      </w:r>
      <w:r>
        <w:rPr>
          <w:rFonts w:hint="eastAsia" w:ascii="宋体" w:hAnsi="宋体" w:eastAsia="宋体" w:cs="宋体"/>
          <w:bCs/>
          <w:color w:val="auto"/>
          <w:szCs w:val="21"/>
          <w:highlight w:val="none"/>
          <w:u w:val="single"/>
          <w:lang w:val="en-US" w:eastAsia="zh-CN"/>
        </w:rPr>
        <w:t>9</w:t>
      </w:r>
      <w:r>
        <w:rPr>
          <w:rFonts w:hint="eastAsia" w:ascii="宋体" w:hAnsi="宋体" w:eastAsia="宋体" w:cs="宋体"/>
          <w:bCs/>
          <w:color w:val="auto"/>
          <w:szCs w:val="21"/>
          <w:highlight w:val="none"/>
          <w:u w:val="single"/>
        </w:rPr>
        <w:t>点</w:t>
      </w:r>
      <w:r>
        <w:rPr>
          <w:rFonts w:hint="eastAsia" w:ascii="宋体" w:hAnsi="宋体" w:eastAsia="宋体" w:cs="宋体"/>
          <w:bCs/>
          <w:color w:val="auto"/>
          <w:szCs w:val="21"/>
          <w:highlight w:val="none"/>
          <w:u w:val="single"/>
          <w:lang w:val="en-US" w:eastAsia="zh-CN"/>
        </w:rPr>
        <w:t>30</w:t>
      </w:r>
      <w:r>
        <w:rPr>
          <w:rFonts w:hint="eastAsia" w:ascii="宋体" w:hAnsi="宋体" w:eastAsia="宋体" w:cs="宋体"/>
          <w:bCs/>
          <w:color w:val="auto"/>
          <w:szCs w:val="21"/>
          <w:highlight w:val="none"/>
          <w:u w:val="single"/>
        </w:rPr>
        <w:t>分</w:t>
      </w:r>
      <w:r>
        <w:rPr>
          <w:rFonts w:hint="eastAsia" w:ascii="宋体" w:hAnsi="宋体" w:eastAsia="宋体" w:cs="宋体"/>
          <w:bCs/>
          <w:color w:val="auto"/>
          <w:szCs w:val="21"/>
          <w:highlight w:val="none"/>
          <w:u w:val="none"/>
        </w:rPr>
        <w:t>（</w:t>
      </w:r>
      <w:r>
        <w:rPr>
          <w:rFonts w:hint="eastAsia" w:ascii="宋体" w:hAnsi="宋体" w:eastAsia="宋体" w:cs="宋体"/>
          <w:bCs/>
          <w:color w:val="auto"/>
          <w:szCs w:val="21"/>
          <w:highlight w:val="none"/>
        </w:rPr>
        <w:t>北京时间）前递交投标文件</w:t>
      </w:r>
      <w:r>
        <w:rPr>
          <w:rFonts w:hint="eastAsia" w:ascii="宋体" w:hAnsi="宋体" w:eastAsia="宋体" w:cs="宋体"/>
          <w:color w:val="auto"/>
          <w:szCs w:val="21"/>
          <w:highlight w:val="none"/>
        </w:rPr>
        <w:t>。</w:t>
      </w:r>
    </w:p>
    <w:p w14:paraId="4DD40C29">
      <w:pPr>
        <w:snapToGrid w:val="0"/>
        <w:spacing w:before="156" w:beforeLines="50" w:after="156" w:afterLines="5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一、项目基本情况</w:t>
      </w:r>
    </w:p>
    <w:p w14:paraId="1438A238">
      <w:pPr>
        <w:snapToGrid w:val="0"/>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项目编号：</w:t>
      </w:r>
      <w:r>
        <w:rPr>
          <w:rFonts w:hint="eastAsia" w:ascii="宋体" w:hAnsi="宋体" w:cs="宋体"/>
          <w:color w:val="auto"/>
          <w:szCs w:val="21"/>
          <w:highlight w:val="none"/>
          <w:lang w:eastAsia="zh-CN"/>
        </w:rPr>
        <w:t>GX2026-DLGK-C0048-B00</w:t>
      </w:r>
    </w:p>
    <w:p w14:paraId="5F2098DC">
      <w:pPr>
        <w:snapToGrid w:val="0"/>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cs="宋体"/>
          <w:color w:val="auto"/>
          <w:szCs w:val="21"/>
          <w:highlight w:val="none"/>
          <w:lang w:val="en-US" w:eastAsia="zh-CN"/>
        </w:rPr>
        <w:t>广西税务2026年电子发票服务平台等相关系统运行维护</w:t>
      </w:r>
    </w:p>
    <w:p w14:paraId="2D7FD823">
      <w:pPr>
        <w:snapToGrid w:val="0"/>
        <w:spacing w:line="44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预算金额：</w:t>
      </w:r>
      <w:r>
        <w:rPr>
          <w:rFonts w:hint="eastAsia" w:ascii="宋体" w:hAnsi="宋体" w:eastAsia="宋体" w:cs="宋体"/>
          <w:color w:val="auto"/>
          <w:sz w:val="21"/>
          <w:szCs w:val="21"/>
          <w:highlight w:val="none"/>
        </w:rPr>
        <w:t>人民币（大写）</w:t>
      </w:r>
      <w:r>
        <w:rPr>
          <w:rFonts w:hint="eastAsia" w:ascii="宋体" w:hAnsi="宋体" w:cs="宋体"/>
          <w:color w:val="auto"/>
          <w:sz w:val="21"/>
          <w:szCs w:val="21"/>
          <w:highlight w:val="none"/>
          <w:lang w:val="en-US" w:eastAsia="zh-CN"/>
        </w:rPr>
        <w:t>壹仟玖佰陆拾肆万肆仟柒佰</w:t>
      </w:r>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19644700</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w:t>
      </w:r>
    </w:p>
    <w:p w14:paraId="4F749E16">
      <w:pPr>
        <w:snapToGrid w:val="0"/>
        <w:spacing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人民币（大写）</w:t>
      </w:r>
      <w:r>
        <w:rPr>
          <w:rFonts w:hint="eastAsia" w:ascii="宋体" w:hAnsi="宋体" w:cs="宋体"/>
          <w:color w:val="auto"/>
          <w:sz w:val="21"/>
          <w:szCs w:val="21"/>
          <w:highlight w:val="none"/>
          <w:lang w:val="en-US" w:eastAsia="zh-CN"/>
        </w:rPr>
        <w:t>壹仟玖佰陆拾肆万肆仟柒佰</w:t>
      </w:r>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19644700</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w:t>
      </w:r>
    </w:p>
    <w:p w14:paraId="25AA69A5">
      <w:pPr>
        <w:snapToGrid w:val="0"/>
        <w:spacing w:line="440" w:lineRule="exact"/>
        <w:ind w:firstLine="420" w:firstLineChars="200"/>
        <w:rPr>
          <w:rFonts w:hint="eastAsia"/>
          <w:color w:val="auto"/>
          <w:highlight w:val="none"/>
          <w:lang w:eastAsia="zh-CN"/>
        </w:rPr>
      </w:pPr>
      <w:r>
        <w:rPr>
          <w:rFonts w:hint="eastAsia" w:ascii="宋体" w:hAnsi="宋体" w:eastAsia="宋体" w:cs="宋体"/>
          <w:color w:val="auto"/>
          <w:szCs w:val="21"/>
          <w:highlight w:val="none"/>
        </w:rPr>
        <w:t>采购需求：</w:t>
      </w:r>
      <w:bookmarkStart w:id="8" w:name="采购需求概况_requireRemarks"/>
      <w:r>
        <w:rPr>
          <w:rFonts w:hint="eastAsia" w:ascii="宋体" w:hAnsi="宋体" w:cs="宋体"/>
          <w:color w:val="auto"/>
          <w:szCs w:val="21"/>
          <w:highlight w:val="none"/>
          <w:lang w:val="en-US" w:eastAsia="zh-CN"/>
        </w:rPr>
        <w:t>本项目采购内容为广西税务2026年电子发票服务平台等相关系统运行维护服务，以确保系统平稳运行。工作内容包括：电子发票服务平台、全国统一规范电子税务局、税务人智慧办公平台、决策管理指挥平台、统一身份管理平台、金四多云运维管理平台、金税云平台、征纳互动平台、应用支撑平台等9个金税四期核心系统的运行维护工作。本项目要求运维人员提供7×24小时技术支持服务；工作日，提供5×8小时驻场技术服务。具体内容详见招标文件。</w:t>
      </w:r>
      <w:bookmarkEnd w:id="8"/>
    </w:p>
    <w:p w14:paraId="690A3A4C">
      <w:pPr>
        <w:snapToGrid w:val="0"/>
        <w:spacing w:line="440" w:lineRule="exact"/>
        <w:ind w:firstLine="420" w:firstLineChars="200"/>
        <w:rPr>
          <w:rFonts w:hint="default" w:ascii="宋体" w:hAnsi="宋体" w:cs="宋体"/>
          <w:color w:val="auto"/>
          <w:sz w:val="21"/>
          <w:szCs w:val="21"/>
          <w:highlight w:val="none"/>
          <w:lang w:val="en-US" w:eastAsia="zh-CN"/>
        </w:rPr>
      </w:pPr>
      <w:r>
        <w:rPr>
          <w:rFonts w:hint="eastAsia" w:ascii="宋体" w:hAnsi="宋体" w:eastAsia="宋体" w:cs="宋体"/>
          <w:color w:val="auto"/>
          <w:szCs w:val="21"/>
          <w:highlight w:val="none"/>
        </w:rPr>
        <w:t>合同履行期限：</w:t>
      </w:r>
      <w:r>
        <w:rPr>
          <w:rFonts w:hint="eastAsia" w:ascii="宋体" w:hAnsi="宋体" w:cs="宋体"/>
          <w:color w:val="auto"/>
          <w:sz w:val="21"/>
          <w:szCs w:val="21"/>
          <w:highlight w:val="none"/>
          <w:lang w:val="en-US" w:eastAsia="zh-CN"/>
        </w:rPr>
        <w:t>1年。</w:t>
      </w:r>
    </w:p>
    <w:p w14:paraId="15321E17">
      <w:pPr>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cs="宋体"/>
          <w:color w:val="auto"/>
          <w:szCs w:val="21"/>
          <w:highlight w:val="none"/>
          <w:lang w:val="en-US" w:eastAsia="zh-CN"/>
        </w:rPr>
        <w:t>接受</w:t>
      </w:r>
      <w:r>
        <w:rPr>
          <w:rFonts w:hint="eastAsia" w:ascii="宋体" w:hAnsi="宋体" w:eastAsia="宋体" w:cs="宋体"/>
          <w:color w:val="auto"/>
          <w:szCs w:val="21"/>
          <w:highlight w:val="none"/>
        </w:rPr>
        <w:t>联合体投标。</w:t>
      </w:r>
    </w:p>
    <w:p w14:paraId="1185E082">
      <w:pPr>
        <w:numPr>
          <w:ilvl w:val="0"/>
          <w:numId w:val="4"/>
        </w:numPr>
        <w:snapToGrid w:val="0"/>
        <w:spacing w:before="156" w:beforeLines="50" w:after="156" w:afterLines="5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申请人的资格要求</w:t>
      </w:r>
    </w:p>
    <w:p w14:paraId="4BC66BB8">
      <w:pPr>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符合国家</w:t>
      </w:r>
      <w:r>
        <w:rPr>
          <w:rFonts w:hint="eastAsia" w:ascii="宋体" w:hAnsi="宋体" w:eastAsia="宋体" w:cs="宋体"/>
          <w:color w:val="auto"/>
          <w:sz w:val="21"/>
          <w:szCs w:val="21"/>
          <w:highlight w:val="none"/>
        </w:rPr>
        <w:t>有关</w:t>
      </w:r>
      <w:r>
        <w:rPr>
          <w:rFonts w:hint="eastAsia" w:ascii="宋体" w:hAnsi="宋体" w:eastAsia="宋体" w:cs="宋体"/>
          <w:color w:val="auto"/>
          <w:sz w:val="21"/>
          <w:szCs w:val="21"/>
          <w:highlight w:val="none"/>
          <w:lang w:val="zh-CN"/>
        </w:rPr>
        <w:t>法律规定，在中国境内（指关境内）注册</w:t>
      </w:r>
      <w:r>
        <w:rPr>
          <w:rFonts w:hint="eastAsia" w:ascii="宋体" w:hAnsi="宋体" w:eastAsia="宋体" w:cs="宋体"/>
          <w:color w:val="auto"/>
          <w:sz w:val="21"/>
          <w:szCs w:val="21"/>
          <w:highlight w:val="none"/>
        </w:rPr>
        <w:t>。</w:t>
      </w:r>
    </w:p>
    <w:p w14:paraId="7D527F0C">
      <w:pPr>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.满足《中华人民共和国政府采购法》第二十二条规定；</w:t>
      </w:r>
    </w:p>
    <w:p w14:paraId="6DF89B7C">
      <w:pPr>
        <w:snapToGrid w:val="0"/>
        <w:spacing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.落实政府采购政策需满足的资格要求：</w:t>
      </w:r>
      <w:r>
        <w:rPr>
          <w:rFonts w:hint="eastAsia" w:ascii="宋体" w:hAnsi="宋体" w:eastAsia="宋体" w:cs="宋体"/>
          <w:color w:val="auto"/>
          <w:sz w:val="21"/>
          <w:szCs w:val="21"/>
          <w:highlight w:val="none"/>
        </w:rPr>
        <w:t>符合《政府采购促进中小企业发展管理办法》（财库﹝2020﹞46号）、《关于政府采购支持监狱企业发展有关问题的通知》(财库〔2014〕68号)、《关于促进残疾人就业政府采购政策的通知》(财库〔2017〕141号)等规定的条件的小微企业或监狱企业或残疾人福利性单位</w:t>
      </w:r>
      <w:r>
        <w:rPr>
          <w:rFonts w:hint="eastAsia" w:ascii="宋体" w:hAnsi="宋体" w:eastAsia="宋体" w:cs="宋体"/>
          <w:color w:val="auto"/>
          <w:sz w:val="21"/>
          <w:szCs w:val="21"/>
          <w:highlight w:val="none"/>
          <w:lang w:val="en-US" w:eastAsia="zh-CN"/>
        </w:rPr>
        <w:t>，享受评审中价格扣除等促进中小企业发展的政府采购政策</w:t>
      </w:r>
      <w:r>
        <w:rPr>
          <w:rFonts w:hint="eastAsia" w:ascii="宋体" w:hAnsi="宋体" w:cs="宋体"/>
          <w:color w:val="auto"/>
          <w:sz w:val="21"/>
          <w:szCs w:val="21"/>
          <w:highlight w:val="none"/>
          <w:lang w:val="en-US" w:eastAsia="zh-CN"/>
        </w:rPr>
        <w:t>。</w:t>
      </w:r>
    </w:p>
    <w:p w14:paraId="44485EE6">
      <w:pPr>
        <w:snapToGrid w:val="0"/>
        <w:spacing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本项目所有标段采购标的对应的中小企业所属行业：</w:t>
      </w:r>
      <w:r>
        <w:rPr>
          <w:rFonts w:hint="eastAsia" w:ascii="宋体" w:hAnsi="宋体" w:cs="宋体"/>
          <w:color w:val="auto"/>
          <w:sz w:val="21"/>
          <w:szCs w:val="21"/>
          <w:highlight w:val="none"/>
          <w:lang w:val="en-US" w:eastAsia="zh-CN"/>
        </w:rPr>
        <w:t>软件和信息技术服务业</w:t>
      </w:r>
      <w:r>
        <w:rPr>
          <w:rFonts w:hint="eastAsia" w:ascii="宋体" w:hAnsi="宋体" w:eastAsia="宋体" w:cs="宋体"/>
          <w:color w:val="auto"/>
          <w:sz w:val="21"/>
          <w:szCs w:val="21"/>
          <w:highlight w:val="none"/>
          <w:lang w:val="en-US" w:eastAsia="zh-CN"/>
        </w:rPr>
        <w:t>。</w:t>
      </w:r>
    </w:p>
    <w:p w14:paraId="0DF36385">
      <w:pPr>
        <w:snapToGrid w:val="0"/>
        <w:spacing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4.本项目的特定资格要求：</w:t>
      </w:r>
      <w:r>
        <w:rPr>
          <w:rFonts w:hint="eastAsia" w:ascii="宋体" w:hAnsi="宋体" w:cs="宋体"/>
          <w:color w:val="auto"/>
          <w:sz w:val="21"/>
          <w:szCs w:val="21"/>
          <w:highlight w:val="none"/>
          <w:lang w:val="en-US" w:eastAsia="zh-CN"/>
        </w:rPr>
        <w:t>无</w:t>
      </w:r>
    </w:p>
    <w:p w14:paraId="0964F74E">
      <w:pPr>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对在“信用中国”网站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www.creditchina.gov.cn</w:t>
      </w:r>
      <w:r>
        <w:rPr>
          <w:rFonts w:hint="eastAsia" w:ascii="宋体" w:hAnsi="宋体" w:eastAsia="宋体" w:cs="宋体"/>
          <w:color w:val="auto"/>
          <w:szCs w:val="21"/>
          <w:highlight w:val="none"/>
          <w:lang w:eastAsia="zh-CN"/>
        </w:rPr>
        <w:t>&gt;、</w:t>
      </w:r>
      <w:r>
        <w:rPr>
          <w:rFonts w:hint="eastAsia" w:ascii="宋体" w:hAnsi="宋体" w:eastAsia="宋体" w:cs="宋体"/>
          <w:color w:val="auto"/>
          <w:szCs w:val="21"/>
          <w:highlight w:val="none"/>
        </w:rPr>
        <w:t>中国政府采购网</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www.ccgp.gov.cn</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等渠道被列入失信被执行人、重大税收违法失信主体、政府采购严重违法失信行为记录名单及其他不符合《中华人民共和国政府采购法》第二十二条规定条件的供应商，不得参与政府采购活动。</w:t>
      </w:r>
    </w:p>
    <w:p w14:paraId="55135833">
      <w:pPr>
        <w:snapToGri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6.单</w:t>
      </w:r>
      <w:r>
        <w:rPr>
          <w:rFonts w:hint="eastAsia" w:ascii="宋体" w:hAnsi="宋体" w:eastAsia="宋体" w:cs="宋体"/>
          <w:color w:val="auto"/>
          <w:sz w:val="21"/>
          <w:szCs w:val="21"/>
          <w:highlight w:val="none"/>
        </w:rPr>
        <w:t>位负责人为同一人或者存在直接控股、管理关系的不同供应商，不得参加同一合同项下的政府采购活动。</w:t>
      </w:r>
    </w:p>
    <w:p w14:paraId="7D9FF63C">
      <w:pPr>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为本项目提供整体设计、规范编制或者项目管理、监理、检测等服务的供应商，不得再参加本次政府采购活动。</w:t>
      </w:r>
    </w:p>
    <w:p w14:paraId="4277D1F1">
      <w:pPr>
        <w:snapToGrid w:val="0"/>
        <w:spacing w:before="156" w:beforeLines="50" w:after="156" w:afterLines="5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三、获取招标文件</w:t>
      </w:r>
    </w:p>
    <w:p w14:paraId="4440B5D8">
      <w:pPr>
        <w:snapToGrid w:val="0"/>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时间：</w:t>
      </w:r>
      <w:r>
        <w:rPr>
          <w:rFonts w:hint="eastAsia" w:ascii="宋体" w:hAnsi="宋体" w:cs="宋体"/>
          <w:color w:val="auto"/>
          <w:szCs w:val="21"/>
          <w:highlight w:val="none"/>
          <w:lang w:val="en-US" w:eastAsia="zh-CN"/>
        </w:rPr>
        <w:t>2026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9月29日</w:t>
      </w:r>
      <w:r>
        <w:rPr>
          <w:rFonts w:hint="eastAsia" w:ascii="宋体" w:hAnsi="宋体" w:eastAsia="宋体" w:cs="宋体"/>
          <w:color w:val="auto"/>
          <w:szCs w:val="21"/>
          <w:highlight w:val="none"/>
        </w:rPr>
        <w:t>至</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202</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10月12日</w:t>
      </w:r>
      <w:r>
        <w:rPr>
          <w:rFonts w:hint="eastAsia" w:ascii="宋体" w:hAnsi="宋体" w:eastAsia="宋体" w:cs="宋体"/>
          <w:i w:val="0"/>
          <w:iCs/>
          <w:color w:val="auto"/>
          <w:szCs w:val="21"/>
          <w:highlight w:val="none"/>
          <w:u w:val="single"/>
        </w:rPr>
        <w:t>（提供期限自本公告发布之日起不得少于5个工作日）</w:t>
      </w:r>
      <w:r>
        <w:rPr>
          <w:rFonts w:hint="eastAsia" w:ascii="宋体" w:hAnsi="宋体" w:eastAsia="宋体" w:cs="宋体"/>
          <w:color w:val="auto"/>
          <w:szCs w:val="21"/>
          <w:highlight w:val="none"/>
        </w:rPr>
        <w:t>，每天上午</w:t>
      </w:r>
      <w:r>
        <w:rPr>
          <w:rFonts w:hint="eastAsia" w:ascii="宋体" w:hAnsi="宋体" w:eastAsia="宋体" w:cs="宋体"/>
          <w:color w:val="auto"/>
          <w:szCs w:val="21"/>
          <w:highlight w:val="none"/>
          <w:lang w:val="en-US" w:eastAsia="zh-CN"/>
        </w:rPr>
        <w:t>8：00</w:t>
      </w:r>
      <w:r>
        <w:rPr>
          <w:rFonts w:hint="eastAsia" w:ascii="宋体" w:hAnsi="宋体" w:eastAsia="宋体" w:cs="宋体"/>
          <w:color w:val="auto"/>
          <w:szCs w:val="21"/>
          <w:highlight w:val="none"/>
        </w:rPr>
        <w:t>至</w:t>
      </w:r>
      <w:r>
        <w:rPr>
          <w:rFonts w:hint="eastAsia" w:ascii="宋体" w:hAnsi="宋体" w:eastAsia="宋体" w:cs="宋体"/>
          <w:color w:val="auto"/>
          <w:szCs w:val="21"/>
          <w:highlight w:val="none"/>
          <w:lang w:val="en-US" w:eastAsia="zh-CN"/>
        </w:rPr>
        <w:t>12：00</w:t>
      </w:r>
      <w:r>
        <w:rPr>
          <w:rFonts w:hint="eastAsia" w:ascii="宋体" w:hAnsi="宋体" w:eastAsia="宋体" w:cs="宋体"/>
          <w:color w:val="auto"/>
          <w:szCs w:val="21"/>
          <w:highlight w:val="none"/>
        </w:rPr>
        <w:t>，下午</w:t>
      </w:r>
      <w:r>
        <w:rPr>
          <w:rFonts w:hint="eastAsia" w:ascii="宋体" w:hAnsi="宋体" w:eastAsia="宋体" w:cs="宋体"/>
          <w:color w:val="auto"/>
          <w:szCs w:val="21"/>
          <w:highlight w:val="none"/>
          <w:lang w:val="en-US" w:eastAsia="zh-CN"/>
        </w:rPr>
        <w:t>3：00</w:t>
      </w:r>
      <w:r>
        <w:rPr>
          <w:rFonts w:hint="eastAsia" w:ascii="宋体" w:hAnsi="宋体" w:eastAsia="宋体" w:cs="宋体"/>
          <w:color w:val="auto"/>
          <w:szCs w:val="21"/>
          <w:highlight w:val="none"/>
        </w:rPr>
        <w:t>至</w:t>
      </w:r>
      <w:r>
        <w:rPr>
          <w:rFonts w:hint="eastAsia" w:ascii="宋体" w:hAnsi="宋体" w:eastAsia="宋体" w:cs="宋体"/>
          <w:color w:val="auto"/>
          <w:szCs w:val="21"/>
          <w:highlight w:val="none"/>
          <w:lang w:val="en-US" w:eastAsia="zh-CN"/>
        </w:rPr>
        <w:t>6：00</w:t>
      </w:r>
      <w:r>
        <w:rPr>
          <w:rFonts w:hint="eastAsia" w:ascii="宋体" w:hAnsi="宋体" w:eastAsia="宋体" w:cs="宋体"/>
          <w:color w:val="auto"/>
          <w:szCs w:val="21"/>
          <w:highlight w:val="none"/>
        </w:rPr>
        <w:t>（北京时间，法定节假日除外）</w:t>
      </w:r>
      <w:r>
        <w:rPr>
          <w:rFonts w:hint="eastAsia" w:ascii="宋体" w:hAnsi="宋体" w:eastAsia="宋体" w:cs="宋体"/>
          <w:color w:val="auto"/>
          <w:szCs w:val="21"/>
          <w:highlight w:val="none"/>
          <w:lang w:eastAsia="zh-CN"/>
        </w:rPr>
        <w:t>。</w:t>
      </w:r>
    </w:p>
    <w:p w14:paraId="2B844A2E">
      <w:pPr>
        <w:snapToGrid w:val="0"/>
        <w:spacing w:line="440" w:lineRule="exact"/>
        <w:ind w:firstLine="42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地点：广西阳光采购服务平台（行政事业国资专区）（</w:t>
      </w:r>
      <w:r>
        <w:rPr>
          <w:rFonts w:hint="eastAsia" w:ascii="宋体" w:hAnsi="宋体" w:eastAsia="宋体" w:cs="宋体"/>
          <w:color w:val="auto"/>
          <w:szCs w:val="21"/>
          <w:highlight w:val="none"/>
          <w:lang w:eastAsia="zh-CN"/>
        </w:rPr>
        <w:t>https://xz.gxygcg.com</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p>
    <w:p w14:paraId="1A06053D">
      <w:pPr>
        <w:snapToGrid w:val="0"/>
        <w:spacing w:line="440" w:lineRule="exact"/>
        <w:ind w:firstLine="42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方式：网上获取，供应商请登录广西阳光采购服务平台（行政事业国资专区）（</w:t>
      </w:r>
      <w:r>
        <w:rPr>
          <w:rFonts w:hint="eastAsia" w:ascii="宋体" w:hAnsi="宋体" w:eastAsia="宋体" w:cs="宋体"/>
          <w:color w:val="auto"/>
          <w:szCs w:val="21"/>
          <w:highlight w:val="none"/>
          <w:lang w:eastAsia="zh-CN"/>
        </w:rPr>
        <w:t>https://xz.gxygcg.com</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bidi="ar"/>
        </w:rPr>
        <w:t>购买</w:t>
      </w:r>
      <w:r>
        <w:rPr>
          <w:rFonts w:hint="eastAsia" w:ascii="宋体" w:hAnsi="宋体" w:eastAsia="宋体" w:cs="宋体"/>
          <w:color w:val="auto"/>
          <w:szCs w:val="21"/>
          <w:highlight w:val="none"/>
        </w:rPr>
        <w:t>及下载</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lang w:bidi="ar"/>
        </w:rPr>
        <w:t>文件</w:t>
      </w:r>
      <w:r>
        <w:rPr>
          <w:rFonts w:hint="eastAsia" w:ascii="宋体" w:hAnsi="宋体" w:eastAsia="宋体" w:cs="宋体"/>
          <w:color w:val="auto"/>
          <w:szCs w:val="21"/>
          <w:highlight w:val="none"/>
          <w:lang w:eastAsia="zh-CN" w:bidi="ar"/>
        </w:rPr>
        <w:t>。</w:t>
      </w:r>
    </w:p>
    <w:p w14:paraId="53C98C74">
      <w:pPr>
        <w:snapToGrid w:val="0"/>
        <w:spacing w:line="440" w:lineRule="exact"/>
        <w:ind w:firstLine="420" w:firstLineChars="200"/>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rPr>
        <w:t>售价：¥250.00元，缴后</w:t>
      </w:r>
      <w:r>
        <w:rPr>
          <w:rFonts w:hint="eastAsia" w:ascii="宋体" w:hAnsi="宋体" w:eastAsia="宋体" w:cs="宋体"/>
          <w:color w:val="auto"/>
          <w:szCs w:val="21"/>
          <w:highlight w:val="none"/>
          <w:lang w:bidi="ar"/>
        </w:rPr>
        <w:t>不退</w:t>
      </w:r>
      <w:r>
        <w:rPr>
          <w:rFonts w:hint="eastAsia" w:ascii="宋体" w:hAnsi="宋体" w:eastAsia="宋体" w:cs="宋体"/>
          <w:color w:val="auto"/>
          <w:szCs w:val="21"/>
          <w:highlight w:val="none"/>
          <w:lang w:eastAsia="zh-CN" w:bidi="ar"/>
        </w:rPr>
        <w:t>。</w:t>
      </w:r>
    </w:p>
    <w:p w14:paraId="3DD2B5D3">
      <w:pPr>
        <w:keepNext w:val="0"/>
        <w:keepLines w:val="0"/>
        <w:pageBreakBefore w:val="0"/>
        <w:shd w:val="clear"/>
        <w:kinsoku/>
        <w:overflowPunct/>
        <w:autoSpaceDE/>
        <w:autoSpaceDN/>
        <w:bidi w:val="0"/>
        <w:adjustRightInd/>
        <w:snapToGrid w:val="0"/>
        <w:spacing w:before="0" w:beforeAutospacing="0" w:after="0" w:afterAutospacing="0" w:line="44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注册与登录：</w:t>
      </w:r>
    </w:p>
    <w:p w14:paraId="4D7B354A">
      <w:pPr>
        <w:keepNext w:val="0"/>
        <w:keepLines w:val="0"/>
        <w:pageBreakBefore w:val="0"/>
        <w:shd w:val="clear"/>
        <w:kinsoku/>
        <w:overflowPunct/>
        <w:autoSpaceDE/>
        <w:autoSpaceDN/>
        <w:bidi w:val="0"/>
        <w:adjustRightInd/>
        <w:snapToGrid w:val="0"/>
        <w:spacing w:before="0" w:beforeAutospacing="0" w:after="0" w:afterAutospacing="0" w:line="44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①注册：打开广西阳光采购服务平台（行政事业国资专区）官网（</w:t>
      </w:r>
      <w:r>
        <w:rPr>
          <w:rFonts w:hint="eastAsia" w:ascii="宋体" w:hAnsi="宋体" w:eastAsia="宋体" w:cs="宋体"/>
          <w:color w:val="auto"/>
          <w:szCs w:val="21"/>
          <w:highlight w:val="none"/>
          <w:lang w:eastAsia="zh-CN"/>
        </w:rPr>
        <w:t>https://xz.gxygcg.com</w:t>
      </w:r>
      <w:r>
        <w:rPr>
          <w:rFonts w:hint="eastAsia" w:ascii="宋体" w:hAnsi="宋体" w:eastAsia="宋体" w:cs="宋体"/>
          <w:color w:val="auto"/>
          <w:szCs w:val="21"/>
          <w:highlight w:val="none"/>
        </w:rPr>
        <w:t>），进入门户首页点击“立即注册”，依“供应商操作手册”完善企业注册信息。</w:t>
      </w:r>
    </w:p>
    <w:p w14:paraId="48ABFF68">
      <w:pPr>
        <w:keepNext w:val="0"/>
        <w:keepLines w:val="0"/>
        <w:pageBreakBefore w:val="0"/>
        <w:shd w:val="clear"/>
        <w:kinsoku/>
        <w:overflowPunct/>
        <w:autoSpaceDE/>
        <w:autoSpaceDN/>
        <w:bidi w:val="0"/>
        <w:adjustRightInd/>
        <w:snapToGrid w:val="0"/>
        <w:spacing w:before="0" w:beforeAutospacing="0" w:after="0" w:afterAutospacing="0" w:line="44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②登录：访问</w:t>
      </w:r>
      <w:r>
        <w:rPr>
          <w:rFonts w:hint="eastAsia" w:ascii="宋体" w:hAnsi="宋体" w:eastAsia="宋体" w:cs="宋体"/>
          <w:color w:val="auto"/>
          <w:szCs w:val="21"/>
          <w:highlight w:val="none"/>
          <w:lang w:eastAsia="zh-CN"/>
        </w:rPr>
        <w:t>https://xz.gxygcg.com</w:t>
      </w:r>
      <w:r>
        <w:rPr>
          <w:rFonts w:hint="eastAsia" w:ascii="宋体" w:hAnsi="宋体" w:eastAsia="宋体" w:cs="宋体"/>
          <w:color w:val="auto"/>
          <w:szCs w:val="21"/>
          <w:highlight w:val="none"/>
        </w:rPr>
        <w:t>，在门户首页“平台登录入口”处点击“供应商”按钮，输入账号密码登录。</w:t>
      </w:r>
    </w:p>
    <w:p w14:paraId="17849EAA">
      <w:pPr>
        <w:keepNext w:val="0"/>
        <w:keepLines w:val="0"/>
        <w:pageBreakBefore w:val="0"/>
        <w:shd w:val="clear"/>
        <w:kinsoku/>
        <w:overflowPunct/>
        <w:autoSpaceDE/>
        <w:autoSpaceDN/>
        <w:bidi w:val="0"/>
        <w:adjustRightInd/>
        <w:snapToGrid w:val="0"/>
        <w:spacing w:before="0" w:beforeAutospacing="0" w:after="0" w:afterAutospacing="0" w:line="44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③费用缴纳及文件获取：登录后，在系统左侧“我的项目”找到参与项目列表，点击“进入项目”。</w:t>
      </w:r>
    </w:p>
    <w:p w14:paraId="5E0CFEF4">
      <w:pPr>
        <w:keepNext w:val="0"/>
        <w:keepLines w:val="0"/>
        <w:pageBreakBefore w:val="0"/>
        <w:shd w:val="clear"/>
        <w:kinsoku/>
        <w:overflowPunct/>
        <w:autoSpaceDE/>
        <w:autoSpaceDN/>
        <w:bidi w:val="0"/>
        <w:adjustRightInd/>
        <w:snapToGrid w:val="0"/>
        <w:spacing w:before="0" w:beforeAutospacing="0" w:after="0" w:afterAutospacing="0" w:line="44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系统服务费缴纳：点击“支付系统服务费”，选在线缴纳进入支付详情页，点击“申请开票”确认信息后，再点“支付”生成二维码，用微信、支付宝或云闪付扫码支付。</w:t>
      </w:r>
    </w:p>
    <w:p w14:paraId="7F5759A4">
      <w:pPr>
        <w:keepNext w:val="0"/>
        <w:keepLines w:val="0"/>
        <w:pageBreakBefore w:val="0"/>
        <w:shd w:val="clear"/>
        <w:kinsoku/>
        <w:overflowPunct/>
        <w:autoSpaceDE/>
        <w:autoSpaceDN/>
        <w:bidi w:val="0"/>
        <w:adjustRightInd/>
        <w:snapToGrid w:val="0"/>
        <w:spacing w:before="0" w:beforeAutospacing="0" w:after="0" w:afterAutospacing="0" w:line="44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招标文件费缴纳：点击“支付文件费用”，按系统服务费缴纳方式操作。</w:t>
      </w:r>
    </w:p>
    <w:p w14:paraId="13DD2196">
      <w:pPr>
        <w:keepNext w:val="0"/>
        <w:keepLines w:val="0"/>
        <w:pageBreakBefore w:val="0"/>
        <w:shd w:val="clear"/>
        <w:kinsoku/>
        <w:overflowPunct/>
        <w:autoSpaceDE/>
        <w:autoSpaceDN/>
        <w:bidi w:val="0"/>
        <w:adjustRightInd/>
        <w:snapToGrid w:val="0"/>
        <w:spacing w:before="0" w:beforeAutospacing="0" w:after="0" w:afterAutospacing="0" w:line="440" w:lineRule="exact"/>
        <w:ind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④下载文件：招标文件费缴清后，点击“下载”，按提示获取文件，未付服务费或文件费无法下载。</w:t>
      </w:r>
    </w:p>
    <w:p w14:paraId="697B39EB">
      <w:pPr>
        <w:keepNext w:val="0"/>
        <w:keepLines w:val="0"/>
        <w:pageBreakBefore w:val="0"/>
        <w:shd w:val="clear"/>
        <w:kinsoku/>
        <w:wordWrap w:val="0"/>
        <w:overflowPunct/>
        <w:autoSpaceDE/>
        <w:autoSpaceDN/>
        <w:bidi w:val="0"/>
        <w:adjustRightInd/>
        <w:snapToGrid w:val="0"/>
        <w:spacing w:before="0" w:beforeAutospacing="0" w:after="0" w:afterAutospacing="0" w:line="440" w:lineRule="exact"/>
        <w:ind w:firstLine="420" w:firstLineChars="200"/>
        <w:textAlignment w:val="auto"/>
        <w:outlineLvl w:val="9"/>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⑤操作手册获取：详见</w:t>
      </w:r>
      <w:r>
        <w:rPr>
          <w:rFonts w:hint="eastAsia" w:ascii="宋体" w:hAnsi="宋体" w:eastAsia="宋体" w:cs="宋体"/>
          <w:color w:val="auto"/>
          <w:szCs w:val="21"/>
          <w:highlight w:val="none"/>
          <w:u w:val="single"/>
        </w:rPr>
        <w:fldChar w:fldCharType="begin"/>
      </w:r>
      <w:r>
        <w:rPr>
          <w:rFonts w:hint="eastAsia" w:ascii="宋体" w:hAnsi="宋体" w:eastAsia="宋体" w:cs="宋体"/>
          <w:color w:val="auto"/>
          <w:szCs w:val="21"/>
          <w:highlight w:val="none"/>
          <w:u w:val="single"/>
        </w:rPr>
        <w:instrText xml:space="preserve"> HYPERLINK "https://ygcgxz.bbwcq.com/detail/10326/9284?timemap=1732882522782。" </w:instrText>
      </w:r>
      <w:r>
        <w:rPr>
          <w:rFonts w:hint="eastAsia" w:ascii="宋体" w:hAnsi="宋体" w:eastAsia="宋体" w:cs="宋体"/>
          <w:color w:val="auto"/>
          <w:szCs w:val="21"/>
          <w:highlight w:val="none"/>
          <w:u w:val="single"/>
        </w:rPr>
        <w:fldChar w:fldCharType="separate"/>
      </w:r>
      <w:r>
        <w:rPr>
          <w:rStyle w:val="29"/>
          <w:rFonts w:hint="eastAsia" w:ascii="宋体" w:hAnsi="宋体" w:cs="宋体"/>
          <w:color w:val="auto"/>
          <w:szCs w:val="21"/>
          <w:highlight w:val="none"/>
          <w:lang w:eastAsia="zh-CN"/>
        </w:rPr>
        <w:t>https://xz.gxygcg.com/detail/14578/9284?timemap=1765444416006</w:t>
      </w:r>
      <w:r>
        <w:rPr>
          <w:rFonts w:hint="eastAsia" w:ascii="宋体" w:hAnsi="宋体" w:eastAsia="宋体" w:cs="宋体"/>
          <w:color w:val="auto"/>
          <w:szCs w:val="21"/>
          <w:highlight w:val="none"/>
          <w:u w:val="single"/>
        </w:rPr>
        <w:fldChar w:fldCharType="end"/>
      </w:r>
      <w:r>
        <w:rPr>
          <w:rFonts w:hint="eastAsia" w:ascii="宋体" w:hAnsi="宋体" w:eastAsia="宋体" w:cs="宋体"/>
          <w:color w:val="auto"/>
          <w:szCs w:val="21"/>
          <w:highlight w:val="none"/>
          <w:u w:val="none"/>
        </w:rPr>
        <w:t>。</w:t>
      </w:r>
    </w:p>
    <w:p w14:paraId="1751FC1B">
      <w:pPr>
        <w:keepNext w:val="0"/>
        <w:keepLines w:val="0"/>
        <w:pageBreakBefore w:val="0"/>
        <w:shd w:val="clear"/>
        <w:kinsoku/>
        <w:wordWrap w:val="0"/>
        <w:overflowPunct/>
        <w:autoSpaceDE/>
        <w:autoSpaceDN/>
        <w:bidi w:val="0"/>
        <w:adjustRightInd/>
        <w:snapToGrid w:val="0"/>
        <w:spacing w:before="0" w:beforeAutospacing="0" w:after="0" w:afterAutospacing="0" w:line="440" w:lineRule="exact"/>
        <w:ind w:firstLine="422" w:firstLineChars="200"/>
        <w:textAlignment w:val="auto"/>
        <w:outlineLvl w:val="9"/>
        <w:rPr>
          <w:rFonts w:hint="eastAsia"/>
          <w:b/>
          <w:bCs/>
          <w:color w:val="auto"/>
          <w:highlight w:val="none"/>
          <w:u w:val="none"/>
          <w:lang w:eastAsia="zh-CN"/>
        </w:rPr>
      </w:pPr>
      <w:r>
        <w:rPr>
          <w:rFonts w:hint="eastAsia" w:ascii="宋体" w:hAnsi="宋体" w:eastAsia="宋体" w:cs="宋体"/>
          <w:b/>
          <w:bCs/>
          <w:color w:val="auto"/>
          <w:szCs w:val="21"/>
          <w:highlight w:val="none"/>
          <w:u w:val="none"/>
        </w:rPr>
        <w:t>如有疑问，请与平台客服联系：0771-5581051、5715031</w:t>
      </w:r>
    </w:p>
    <w:p w14:paraId="53C396F3">
      <w:pPr>
        <w:snapToGrid w:val="0"/>
        <w:spacing w:before="156" w:beforeLines="50" w:after="156" w:afterLines="5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四、提交投标文件截止时间、开标时间和地点</w:t>
      </w:r>
    </w:p>
    <w:p w14:paraId="6F42C792">
      <w:pPr>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1.投标文件递交截止时间及开标时间：</w:t>
      </w:r>
      <w:r>
        <w:rPr>
          <w:rFonts w:hint="eastAsia" w:ascii="宋体" w:hAnsi="宋体" w:eastAsia="宋体" w:cs="宋体"/>
          <w:color w:val="auto"/>
          <w:szCs w:val="21"/>
          <w:highlight w:val="none"/>
          <w:lang w:val="en-US" w:eastAsia="zh-CN"/>
        </w:rPr>
        <w:t>20</w:t>
      </w:r>
      <w:r>
        <w:rPr>
          <w:rFonts w:hint="eastAsia" w:ascii="宋体" w:hAnsi="宋体" w:cs="宋体"/>
          <w:color w:val="auto"/>
          <w:szCs w:val="21"/>
          <w:highlight w:val="none"/>
          <w:lang w:val="en-US" w:eastAsia="zh-CN"/>
        </w:rPr>
        <w:t>26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10月20日</w:t>
      </w:r>
      <w:r>
        <w:rPr>
          <w:rFonts w:hint="eastAsia" w:ascii="宋体" w:hAnsi="宋体" w:eastAsia="宋体" w:cs="宋体"/>
          <w:color w:val="auto"/>
          <w:szCs w:val="21"/>
          <w:highlight w:val="none"/>
        </w:rPr>
        <w:t>9时30分00秒（北京时间）。（注：投标文件递交起止时间：</w:t>
      </w:r>
      <w:r>
        <w:rPr>
          <w:rFonts w:hint="eastAsia" w:ascii="宋体" w:hAnsi="宋体" w:eastAsia="宋体" w:cs="宋体"/>
          <w:color w:val="auto"/>
          <w:szCs w:val="21"/>
          <w:highlight w:val="none"/>
          <w:lang w:val="en-US" w:eastAsia="zh-CN"/>
        </w:rPr>
        <w:t>202</w:t>
      </w:r>
      <w:r>
        <w:rPr>
          <w:rFonts w:hint="eastAsia" w:ascii="宋体" w:hAnsi="宋体" w:cs="宋体"/>
          <w:color w:val="auto"/>
          <w:szCs w:val="21"/>
          <w:highlight w:val="none"/>
          <w:lang w:val="en-US" w:eastAsia="zh-CN"/>
        </w:rPr>
        <w:t xml:space="preserve">6 </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10月20日</w:t>
      </w:r>
      <w:r>
        <w:rPr>
          <w:rFonts w:hint="eastAsia" w:ascii="宋体" w:hAnsi="宋体" w:eastAsia="宋体" w:cs="宋体"/>
          <w:color w:val="auto"/>
          <w:szCs w:val="21"/>
          <w:highlight w:val="none"/>
        </w:rPr>
        <w:t>8时30分00秒至9时30分00秒）</w:t>
      </w:r>
    </w:p>
    <w:p w14:paraId="4091AC31">
      <w:pPr>
        <w:snapToGrid w:val="0"/>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2.地点：</w:t>
      </w:r>
      <w:r>
        <w:rPr>
          <w:rFonts w:hint="eastAsia" w:ascii="宋体" w:hAnsi="宋体" w:eastAsia="宋体" w:cs="宋体"/>
          <w:i w:val="0"/>
          <w:iCs w:val="0"/>
          <w:caps w:val="0"/>
          <w:color w:val="auto"/>
          <w:spacing w:val="0"/>
          <w:sz w:val="21"/>
          <w:szCs w:val="21"/>
          <w:highlight w:val="none"/>
          <w:shd w:val="clear"/>
        </w:rPr>
        <w:t>南宁市青秀区枫林路18号广西国资交易中心（具体以电子屏幕开标项目场地安排信息为准）</w:t>
      </w:r>
      <w:r>
        <w:rPr>
          <w:rFonts w:hint="eastAsia" w:ascii="宋体" w:hAnsi="宋体" w:eastAsia="宋体" w:cs="宋体"/>
          <w:color w:val="auto"/>
          <w:szCs w:val="21"/>
          <w:highlight w:val="none"/>
        </w:rPr>
        <w:t>；投标人应在投标文件递交截止时间前，将投标文件密封送达投标地点，未在规定时间内送达或未按照招标文件要求密封的投标文件，将予以拒收。</w:t>
      </w:r>
    </w:p>
    <w:p w14:paraId="5063366B">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五、公告期限</w:t>
      </w:r>
    </w:p>
    <w:p w14:paraId="69D105AE">
      <w:pPr>
        <w:keepNext w:val="0"/>
        <w:keepLines w:val="0"/>
        <w:pageBreakBefore w:val="0"/>
        <w:widowControl/>
        <w:kinsoku/>
        <w:wordWrap/>
        <w:overflowPunct/>
        <w:topLinePunct w:val="0"/>
        <w:autoSpaceDE/>
        <w:autoSpaceDN/>
        <w:bidi w:val="0"/>
        <w:adjustRightInd/>
        <w:snapToGrid w:val="0"/>
        <w:spacing w:line="440" w:lineRule="exact"/>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1FC4D5C1">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六、其他补充事宜</w:t>
      </w:r>
    </w:p>
    <w:p w14:paraId="639D7196">
      <w:pPr>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1.公告媒体：本招标公告在中国政府采购网（http://www.ccgp.gov.cn）、国家税务总局广西壮族自治区税务局（http://guangxi.chinatax.gov.cn/）、广西阳光采购服务平台（行政事业国资专区）（</w:t>
      </w:r>
      <w:r>
        <w:rPr>
          <w:rFonts w:hint="eastAsia" w:ascii="宋体" w:hAnsi="宋体" w:cs="宋体"/>
          <w:color w:val="auto"/>
          <w:szCs w:val="21"/>
          <w:highlight w:val="none"/>
          <w:lang w:eastAsia="zh-CN"/>
        </w:rPr>
        <w:t>https://xz.gxygcg.com</w:t>
      </w:r>
      <w:r>
        <w:rPr>
          <w:rFonts w:hint="eastAsia" w:ascii="宋体" w:hAnsi="宋体" w:eastAsia="宋体" w:cs="宋体"/>
          <w:color w:val="auto"/>
          <w:szCs w:val="21"/>
          <w:highlight w:val="none"/>
        </w:rPr>
        <w:t>）</w:t>
      </w:r>
      <w:r>
        <w:rPr>
          <w:rFonts w:hint="eastAsia" w:ascii="宋体" w:hAnsi="宋体" w:eastAsia="宋体" w:cs="宋体"/>
          <w:color w:val="auto"/>
          <w:sz w:val="21"/>
          <w:szCs w:val="21"/>
          <w:highlight w:val="none"/>
          <w:lang w:eastAsia="zh-CN"/>
        </w:rPr>
        <w:t>、广西招标</w:t>
      </w:r>
      <w:r>
        <w:rPr>
          <w:rFonts w:hint="eastAsia" w:ascii="宋体" w:hAnsi="宋体" w:eastAsia="宋体" w:cs="宋体"/>
          <w:color w:val="auto"/>
          <w:sz w:val="21"/>
          <w:szCs w:val="21"/>
          <w:highlight w:val="none"/>
        </w:rPr>
        <w:t>网（http://www.guangxibid.com.cn/）</w:t>
      </w:r>
      <w:r>
        <w:rPr>
          <w:rFonts w:hint="eastAsia" w:ascii="宋体" w:hAnsi="宋体" w:eastAsia="宋体" w:cs="宋体"/>
          <w:color w:val="auto"/>
          <w:szCs w:val="21"/>
          <w:highlight w:val="none"/>
        </w:rPr>
        <w:t>上发布。</w:t>
      </w:r>
    </w:p>
    <w:p w14:paraId="103C58BD">
      <w:pPr>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2.本项目需要落实的政府采购支持节能环保、中小企业、监狱企业、残疾人福利性单位等政策：（1）政府采购促进中小企业发展。（2）政府采购促进残疾人就业政策。（3）政府采购支持监狱企业发展。</w:t>
      </w:r>
    </w:p>
    <w:p w14:paraId="1DAFD0D2">
      <w:pPr>
        <w:snapToGrid w:val="0"/>
        <w:spacing w:before="156" w:beforeLines="50" w:after="156" w:afterLines="50"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七、对本次招标提出询问，请按以下方式联系。</w:t>
      </w:r>
    </w:p>
    <w:p w14:paraId="630FB90B">
      <w:pPr>
        <w:widowControl/>
        <w:snapToGrid w:val="0"/>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1.采购人信息</w:t>
      </w:r>
    </w:p>
    <w:p w14:paraId="2ED6F57D">
      <w:pPr>
        <w:widowControl/>
        <w:snapToGrid w:val="0"/>
        <w:spacing w:line="440" w:lineRule="exact"/>
        <w:ind w:firstLine="420" w:firstLineChars="20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名    称：国家税务总局广西壮族自治区税务局</w:t>
      </w:r>
    </w:p>
    <w:p w14:paraId="39C18C5E">
      <w:pPr>
        <w:widowControl/>
        <w:snapToGrid w:val="0"/>
        <w:spacing w:line="440" w:lineRule="exact"/>
        <w:ind w:firstLine="420" w:firstLineChars="20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地    址：南宁市青秀区民族大道105号</w:t>
      </w:r>
    </w:p>
    <w:p w14:paraId="4CB36163">
      <w:pPr>
        <w:widowControl/>
        <w:snapToGrid w:val="0"/>
        <w:spacing w:line="440" w:lineRule="exact"/>
        <w:ind w:firstLine="420" w:firstLineChars="200"/>
        <w:jc w:val="left"/>
        <w:rPr>
          <w:rFonts w:hint="default"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联系方式：</w:t>
      </w:r>
      <w:r>
        <w:rPr>
          <w:rFonts w:hint="eastAsia" w:ascii="宋体" w:hAnsi="宋体" w:cs="宋体"/>
          <w:color w:val="auto"/>
          <w:szCs w:val="21"/>
          <w:highlight w:val="none"/>
          <w:u w:val="none"/>
          <w:lang w:eastAsia="zh-CN"/>
        </w:rPr>
        <w:t>梁峰瑜</w:t>
      </w:r>
      <w:r>
        <w:rPr>
          <w:rFonts w:hint="eastAsia" w:ascii="宋体" w:hAnsi="宋体" w:cs="宋体"/>
          <w:color w:val="auto"/>
          <w:szCs w:val="21"/>
          <w:highlight w:val="none"/>
          <w:u w:val="none"/>
          <w:lang w:val="en-US" w:eastAsia="zh-CN"/>
        </w:rPr>
        <w:t xml:space="preserve"> 0771-5562132</w:t>
      </w:r>
    </w:p>
    <w:p w14:paraId="696DB540">
      <w:pPr>
        <w:widowControl/>
        <w:snapToGrid w:val="0"/>
        <w:spacing w:line="440" w:lineRule="exact"/>
        <w:ind w:firstLine="420" w:firstLineChars="20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2.采购代理机构信息</w:t>
      </w:r>
    </w:p>
    <w:p w14:paraId="5151CDD6">
      <w:pPr>
        <w:widowControl/>
        <w:snapToGrid w:val="0"/>
        <w:spacing w:line="440" w:lineRule="exact"/>
        <w:ind w:firstLine="420" w:firstLineChars="20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名    称：</w:t>
      </w:r>
      <w:r>
        <w:rPr>
          <w:rFonts w:hint="eastAsia" w:ascii="宋体" w:hAnsi="宋体" w:eastAsia="宋体" w:cs="宋体"/>
          <w:color w:val="auto"/>
          <w:szCs w:val="21"/>
          <w:highlight w:val="none"/>
          <w:u w:val="none"/>
          <w:lang w:val="en-US" w:eastAsia="zh-CN"/>
        </w:rPr>
        <w:t>广西建设工程机电设备招标中心有限公司</w:t>
      </w:r>
    </w:p>
    <w:p w14:paraId="3400865D">
      <w:pPr>
        <w:widowControl/>
        <w:snapToGrid w:val="0"/>
        <w:spacing w:line="440" w:lineRule="exact"/>
        <w:ind w:firstLine="420" w:firstLineChars="20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地  　址：</w:t>
      </w:r>
      <w:r>
        <w:rPr>
          <w:rFonts w:hint="eastAsia" w:ascii="宋体" w:hAnsi="宋体" w:cs="宋体"/>
          <w:bCs/>
          <w:color w:val="auto"/>
          <w:sz w:val="21"/>
          <w:szCs w:val="21"/>
          <w:highlight w:val="none"/>
          <w:u w:val="none"/>
          <w:lang w:val="en-US" w:eastAsia="zh-CN"/>
        </w:rPr>
        <w:t>南宁市青秀区枫林路18号广西国资交易中心3层</w:t>
      </w:r>
    </w:p>
    <w:p w14:paraId="5B73751A">
      <w:pPr>
        <w:widowControl/>
        <w:snapToGrid w:val="0"/>
        <w:spacing w:line="440" w:lineRule="exact"/>
        <w:ind w:firstLine="420" w:firstLineChars="20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联系方式：</w:t>
      </w:r>
      <w:r>
        <w:rPr>
          <w:rFonts w:hint="eastAsia" w:ascii="宋体" w:hAnsi="宋体" w:eastAsia="宋体" w:cs="宋体"/>
          <w:bCs/>
          <w:color w:val="auto"/>
          <w:sz w:val="21"/>
          <w:szCs w:val="21"/>
          <w:highlight w:val="none"/>
          <w:u w:val="none"/>
          <w:lang w:val="en-US" w:eastAsia="zh-CN"/>
        </w:rPr>
        <w:t>0771-</w:t>
      </w:r>
      <w:r>
        <w:rPr>
          <w:rFonts w:hint="eastAsia" w:ascii="宋体" w:hAnsi="宋体" w:cs="宋体"/>
          <w:bCs/>
          <w:color w:val="auto"/>
          <w:sz w:val="21"/>
          <w:szCs w:val="21"/>
          <w:highlight w:val="none"/>
          <w:u w:val="none"/>
          <w:lang w:val="en-US" w:eastAsia="zh-CN"/>
        </w:rPr>
        <w:t>2807659、2819799</w:t>
      </w:r>
    </w:p>
    <w:p w14:paraId="49F6B1F5">
      <w:pPr>
        <w:widowControl/>
        <w:snapToGrid w:val="0"/>
        <w:spacing w:line="440" w:lineRule="exact"/>
        <w:ind w:firstLine="420" w:firstLineChars="20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3.项目联系方式</w:t>
      </w:r>
    </w:p>
    <w:p w14:paraId="06832210">
      <w:pPr>
        <w:widowControl/>
        <w:snapToGrid w:val="0"/>
        <w:spacing w:line="440" w:lineRule="exact"/>
        <w:ind w:firstLine="420" w:firstLineChars="200"/>
        <w:jc w:val="left"/>
        <w:rPr>
          <w:rFonts w:hint="default"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项目联系人：</w:t>
      </w:r>
      <w:r>
        <w:rPr>
          <w:rFonts w:hint="eastAsia" w:ascii="宋体" w:hAnsi="宋体" w:eastAsia="宋体" w:cs="宋体"/>
          <w:bCs/>
          <w:color w:val="auto"/>
          <w:sz w:val="21"/>
          <w:szCs w:val="21"/>
          <w:highlight w:val="none"/>
          <w:u w:val="none"/>
          <w:lang w:val="en-US" w:eastAsia="zh-CN"/>
        </w:rPr>
        <w:t>黄天懿</w:t>
      </w:r>
      <w:r>
        <w:rPr>
          <w:rFonts w:hint="eastAsia"/>
          <w:color w:val="auto"/>
          <w:highlight w:val="none"/>
          <w:u w:val="none"/>
          <w:lang w:eastAsia="zh-CN"/>
        </w:rPr>
        <w:t>、吴兴红、</w:t>
      </w:r>
      <w:r>
        <w:rPr>
          <w:rFonts w:hint="eastAsia"/>
          <w:color w:val="auto"/>
          <w:highlight w:val="none"/>
          <w:u w:val="none"/>
          <w:lang w:val="en-US" w:eastAsia="zh-CN"/>
        </w:rPr>
        <w:t>刘风</w:t>
      </w:r>
    </w:p>
    <w:p w14:paraId="7447F524">
      <w:pPr>
        <w:widowControl/>
        <w:snapToGrid w:val="0"/>
        <w:spacing w:line="440" w:lineRule="exact"/>
        <w:ind w:firstLine="420" w:firstLineChars="20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电　    话：</w:t>
      </w:r>
      <w:r>
        <w:rPr>
          <w:rFonts w:hint="eastAsia" w:ascii="宋体" w:hAnsi="宋体" w:eastAsia="宋体" w:cs="宋体"/>
          <w:bCs/>
          <w:color w:val="auto"/>
          <w:sz w:val="21"/>
          <w:szCs w:val="21"/>
          <w:highlight w:val="none"/>
          <w:u w:val="none"/>
          <w:lang w:val="en-US" w:eastAsia="zh-CN"/>
        </w:rPr>
        <w:t>0771-</w:t>
      </w:r>
      <w:r>
        <w:rPr>
          <w:rFonts w:hint="eastAsia" w:ascii="宋体" w:hAnsi="宋体" w:cs="宋体"/>
          <w:bCs/>
          <w:color w:val="auto"/>
          <w:sz w:val="21"/>
          <w:szCs w:val="21"/>
          <w:highlight w:val="none"/>
          <w:u w:val="none"/>
          <w:lang w:val="en-US" w:eastAsia="zh-CN"/>
        </w:rPr>
        <w:t>2807659、2819799</w:t>
      </w:r>
    </w:p>
    <w:p w14:paraId="3445B38C">
      <w:pPr>
        <w:spacing w:line="360" w:lineRule="auto"/>
        <w:rPr>
          <w:rFonts w:hint="eastAsia" w:ascii="宋体" w:hAnsi="宋体" w:eastAsia="宋体" w:cs="宋体"/>
          <w:color w:val="auto"/>
          <w:highlight w:val="none"/>
        </w:rPr>
      </w:pPr>
    </w:p>
    <w:p w14:paraId="0254C562">
      <w:pPr>
        <w:pStyle w:val="2"/>
        <w:rPr>
          <w:rFonts w:hint="eastAsia"/>
          <w:color w:val="auto"/>
          <w:highlight w:val="none"/>
        </w:rPr>
        <w:sectPr>
          <w:footerReference r:id="rId10" w:type="first"/>
          <w:footerReference r:id="rId9" w:type="default"/>
          <w:pgSz w:w="11906" w:h="16838"/>
          <w:pgMar w:top="1440" w:right="1752" w:bottom="1440" w:left="1752"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0BC213D0">
      <w:pPr>
        <w:jc w:val="center"/>
        <w:outlineLvl w:val="0"/>
        <w:rPr>
          <w:rFonts w:hint="eastAsia" w:ascii="宋体" w:hAnsi="宋体" w:eastAsia="宋体" w:cs="宋体"/>
          <w:b/>
          <w:bCs/>
          <w:color w:val="auto"/>
          <w:sz w:val="28"/>
          <w:szCs w:val="28"/>
          <w:highlight w:val="none"/>
        </w:rPr>
      </w:pPr>
      <w:bookmarkStart w:id="9" w:name="_Toc25979"/>
      <w:r>
        <w:rPr>
          <w:rFonts w:hint="eastAsia" w:ascii="宋体" w:hAnsi="宋体" w:eastAsia="宋体" w:cs="宋体"/>
          <w:b/>
          <w:bCs/>
          <w:color w:val="auto"/>
          <w:sz w:val="28"/>
          <w:szCs w:val="28"/>
          <w:highlight w:val="none"/>
        </w:rPr>
        <w:t>第二章　投标人须知</w:t>
      </w:r>
      <w:bookmarkEnd w:id="9"/>
    </w:p>
    <w:p w14:paraId="1FBD49B7">
      <w:pPr>
        <w:jc w:val="center"/>
        <w:outlineLvl w:val="1"/>
        <w:rPr>
          <w:rFonts w:hint="eastAsia" w:ascii="宋体" w:hAnsi="宋体" w:eastAsia="宋体" w:cs="宋体"/>
          <w:b/>
          <w:bCs/>
          <w:color w:val="auto"/>
          <w:sz w:val="24"/>
          <w:szCs w:val="24"/>
          <w:highlight w:val="none"/>
        </w:rPr>
      </w:pPr>
      <w:bookmarkStart w:id="10" w:name="_Toc24977"/>
      <w:r>
        <w:rPr>
          <w:rFonts w:hint="eastAsia" w:ascii="宋体" w:hAnsi="宋体" w:eastAsia="宋体" w:cs="宋体"/>
          <w:b/>
          <w:bCs/>
          <w:color w:val="auto"/>
          <w:sz w:val="24"/>
          <w:szCs w:val="24"/>
          <w:highlight w:val="none"/>
        </w:rPr>
        <w:t>投标人须知前附表</w:t>
      </w:r>
      <w:bookmarkEnd w:id="10"/>
    </w:p>
    <w:tbl>
      <w:tblPr>
        <w:tblStyle w:val="23"/>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
        <w:gridCol w:w="1984"/>
        <w:gridCol w:w="851"/>
        <w:gridCol w:w="5207"/>
      </w:tblGrid>
      <w:tr w14:paraId="3DA69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34EC7E89">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 号</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FF2E9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类  别</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1947BE84">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     容</w:t>
            </w:r>
          </w:p>
        </w:tc>
      </w:tr>
      <w:tr w14:paraId="1A55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restart"/>
            <w:tcBorders>
              <w:top w:val="single" w:color="auto" w:sz="4" w:space="0"/>
              <w:left w:val="single" w:color="auto" w:sz="4" w:space="0"/>
              <w:right w:val="single" w:color="auto" w:sz="4" w:space="0"/>
            </w:tcBorders>
            <w:noWrap w:val="0"/>
            <w:vAlign w:val="center"/>
          </w:tcPr>
          <w:p w14:paraId="2D79A0A0">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984" w:type="dxa"/>
            <w:vMerge w:val="restart"/>
            <w:tcBorders>
              <w:top w:val="single" w:color="auto" w:sz="4" w:space="0"/>
              <w:left w:val="single" w:color="auto" w:sz="4" w:space="0"/>
              <w:right w:val="single" w:color="auto" w:sz="4" w:space="0"/>
            </w:tcBorders>
            <w:noWrap w:val="0"/>
            <w:vAlign w:val="center"/>
          </w:tcPr>
          <w:p w14:paraId="6CC1DC8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项目名称、编号、预算及最高限价</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0774AF83">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cs="宋体"/>
                <w:color w:val="auto"/>
                <w:szCs w:val="21"/>
                <w:highlight w:val="none"/>
                <w:lang w:val="en-US" w:eastAsia="zh-CN"/>
              </w:rPr>
              <w:t>广西税务2026年电子发票服务平台等相关系统运行维护</w:t>
            </w:r>
          </w:p>
        </w:tc>
      </w:tr>
      <w:tr w14:paraId="7182E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07" w:type="dxa"/>
            <w:vMerge w:val="continue"/>
            <w:tcBorders>
              <w:left w:val="single" w:color="auto" w:sz="4" w:space="0"/>
              <w:right w:val="single" w:color="auto" w:sz="4" w:space="0"/>
            </w:tcBorders>
            <w:noWrap w:val="0"/>
            <w:vAlign w:val="center"/>
          </w:tcPr>
          <w:p w14:paraId="74D946F5">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1984" w:type="dxa"/>
            <w:vMerge w:val="continue"/>
            <w:tcBorders>
              <w:left w:val="single" w:color="auto" w:sz="4" w:space="0"/>
              <w:right w:val="single" w:color="auto" w:sz="4" w:space="0"/>
            </w:tcBorders>
            <w:noWrap w:val="0"/>
            <w:vAlign w:val="center"/>
          </w:tcPr>
          <w:p w14:paraId="354A05C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05A00B44">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项目编号：</w:t>
            </w:r>
            <w:r>
              <w:rPr>
                <w:rFonts w:hint="eastAsia" w:ascii="宋体" w:hAnsi="宋体" w:cs="宋体"/>
                <w:color w:val="auto"/>
                <w:szCs w:val="21"/>
                <w:highlight w:val="none"/>
                <w:lang w:eastAsia="zh-CN"/>
              </w:rPr>
              <w:t>GX2026-DLGK-C0048-B00</w:t>
            </w:r>
          </w:p>
        </w:tc>
      </w:tr>
      <w:tr w14:paraId="41D6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continue"/>
            <w:tcBorders>
              <w:left w:val="single" w:color="auto" w:sz="4" w:space="0"/>
              <w:right w:val="single" w:color="auto" w:sz="4" w:space="0"/>
            </w:tcBorders>
            <w:noWrap w:val="0"/>
            <w:vAlign w:val="center"/>
          </w:tcPr>
          <w:p w14:paraId="75F76943">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1984" w:type="dxa"/>
            <w:vMerge w:val="continue"/>
            <w:tcBorders>
              <w:left w:val="single" w:color="auto" w:sz="4" w:space="0"/>
              <w:right w:val="single" w:color="auto" w:sz="4" w:space="0"/>
            </w:tcBorders>
            <w:noWrap w:val="0"/>
            <w:vAlign w:val="center"/>
          </w:tcPr>
          <w:p w14:paraId="3633AECF">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20A224BB">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项目预算：</w:t>
            </w:r>
            <w:r>
              <w:rPr>
                <w:rFonts w:hint="eastAsia" w:ascii="宋体" w:hAnsi="宋体" w:eastAsia="宋体" w:cs="宋体"/>
                <w:color w:val="auto"/>
                <w:sz w:val="21"/>
                <w:szCs w:val="21"/>
                <w:highlight w:val="none"/>
                <w:lang w:eastAsia="zh-CN"/>
              </w:rPr>
              <w:t>人民币（大写）</w:t>
            </w:r>
            <w:r>
              <w:rPr>
                <w:rFonts w:hint="eastAsia" w:ascii="宋体" w:hAnsi="宋体" w:cs="宋体"/>
                <w:color w:val="auto"/>
                <w:sz w:val="21"/>
                <w:szCs w:val="21"/>
                <w:highlight w:val="none"/>
                <w:lang w:val="en-US" w:eastAsia="zh-CN"/>
              </w:rPr>
              <w:t>壹仟玖佰陆拾肆万肆仟柒佰</w:t>
            </w:r>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19644700</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lang w:eastAsia="zh-CN"/>
              </w:rPr>
              <w:t>）</w:t>
            </w:r>
          </w:p>
        </w:tc>
      </w:tr>
      <w:tr w14:paraId="029C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continue"/>
            <w:tcBorders>
              <w:left w:val="single" w:color="auto" w:sz="4" w:space="0"/>
              <w:bottom w:val="single" w:color="auto" w:sz="4" w:space="0"/>
              <w:right w:val="single" w:color="auto" w:sz="4" w:space="0"/>
            </w:tcBorders>
            <w:noWrap w:val="0"/>
            <w:vAlign w:val="center"/>
          </w:tcPr>
          <w:p w14:paraId="3D039FF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1984" w:type="dxa"/>
            <w:vMerge w:val="continue"/>
            <w:tcBorders>
              <w:left w:val="single" w:color="auto" w:sz="4" w:space="0"/>
              <w:bottom w:val="single" w:color="auto" w:sz="4" w:space="0"/>
              <w:right w:val="single" w:color="auto" w:sz="4" w:space="0"/>
            </w:tcBorders>
            <w:noWrap w:val="0"/>
            <w:vAlign w:val="center"/>
          </w:tcPr>
          <w:p w14:paraId="02664277">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22B308B5">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w:t>
            </w:r>
            <w:r>
              <w:rPr>
                <w:rFonts w:hint="eastAsia" w:ascii="宋体" w:hAnsi="宋体" w:eastAsia="宋体" w:cs="宋体"/>
                <w:color w:val="auto"/>
                <w:sz w:val="21"/>
                <w:szCs w:val="21"/>
                <w:highlight w:val="none"/>
                <w:lang w:eastAsia="zh-CN"/>
              </w:rPr>
              <w:t>人民币（大写）</w:t>
            </w:r>
            <w:r>
              <w:rPr>
                <w:rFonts w:hint="eastAsia" w:ascii="宋体" w:hAnsi="宋体" w:cs="宋体"/>
                <w:color w:val="auto"/>
                <w:sz w:val="21"/>
                <w:szCs w:val="21"/>
                <w:highlight w:val="none"/>
                <w:lang w:val="en-US" w:eastAsia="zh-CN"/>
              </w:rPr>
              <w:t>壹仟玖佰陆拾肆万肆仟柒佰</w:t>
            </w:r>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19644700</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lang w:eastAsia="zh-CN"/>
              </w:rPr>
              <w:t>）</w:t>
            </w:r>
          </w:p>
        </w:tc>
      </w:tr>
      <w:tr w14:paraId="6016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62031BEB">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7DCFFA5">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采购需求</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51D7B001">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详见《招标文件（技术部分）》</w:t>
            </w:r>
          </w:p>
        </w:tc>
      </w:tr>
      <w:tr w14:paraId="7116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33819C39">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0983EBE">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项目属性</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类别</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lang w:val="en-US" w:eastAsia="zh-CN"/>
              </w:rPr>
              <w:t xml:space="preserve"> </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52ECB317">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项目属性：</w:t>
            </w:r>
            <w:r>
              <w:rPr>
                <w:rFonts w:hint="eastAsia" w:ascii="宋体" w:hAnsi="宋体" w:cs="宋体"/>
                <w:color w:val="auto"/>
                <w:szCs w:val="21"/>
                <w:highlight w:val="none"/>
                <w:lang w:eastAsia="zh-CN"/>
              </w:rPr>
              <w:t>□</w:t>
            </w:r>
            <w:r>
              <w:rPr>
                <w:rFonts w:hint="eastAsia" w:ascii="宋体" w:hAnsi="宋体" w:eastAsia="宋体" w:cs="宋体"/>
                <w:color w:val="auto"/>
                <w:highlight w:val="none"/>
              </w:rPr>
              <w:t xml:space="preserve">货物           </w:t>
            </w:r>
            <w:r>
              <w:rPr>
                <w:rFonts w:hint="eastAsia" w:ascii="宋体" w:hAnsi="宋体" w:eastAsia="宋体" w:cs="宋体"/>
                <w:color w:val="auto"/>
                <w:szCs w:val="21"/>
                <w:highlight w:val="none"/>
                <w:lang w:eastAsia="zh-CN"/>
              </w:rPr>
              <w:t>☑</w:t>
            </w:r>
            <w:r>
              <w:rPr>
                <w:rFonts w:hint="eastAsia" w:ascii="宋体" w:hAnsi="宋体" w:eastAsia="宋体" w:cs="宋体"/>
                <w:color w:val="auto"/>
                <w:highlight w:val="none"/>
              </w:rPr>
              <w:t>服务</w:t>
            </w:r>
          </w:p>
          <w:p w14:paraId="222F5A0D">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项目类别：</w:t>
            </w:r>
            <w:r>
              <w:rPr>
                <w:rFonts w:hint="eastAsia" w:ascii="宋体" w:hAnsi="宋体" w:eastAsia="宋体" w:cs="宋体"/>
                <w:color w:val="auto"/>
                <w:szCs w:val="21"/>
                <w:highlight w:val="none"/>
                <w:lang w:eastAsia="zh-CN"/>
              </w:rPr>
              <w:t>☑</w:t>
            </w:r>
            <w:r>
              <w:rPr>
                <w:rFonts w:hint="eastAsia" w:ascii="宋体" w:hAnsi="宋体" w:eastAsia="宋体" w:cs="宋体"/>
                <w:color w:val="auto"/>
                <w:highlight w:val="none"/>
              </w:rPr>
              <w:t xml:space="preserve">信息化项目     </w:t>
            </w:r>
            <w:r>
              <w:rPr>
                <w:rFonts w:hint="eastAsia" w:ascii="宋体" w:hAnsi="宋体" w:cs="宋体"/>
                <w:color w:val="auto"/>
                <w:szCs w:val="21"/>
                <w:highlight w:val="none"/>
                <w:lang w:eastAsia="zh-CN"/>
              </w:rPr>
              <w:t>□</w:t>
            </w:r>
            <w:r>
              <w:rPr>
                <w:rFonts w:hint="eastAsia" w:ascii="宋体" w:hAnsi="宋体" w:eastAsia="宋体" w:cs="宋体"/>
                <w:color w:val="auto"/>
                <w:highlight w:val="none"/>
              </w:rPr>
              <w:t>非信息化项目</w:t>
            </w:r>
          </w:p>
          <w:p w14:paraId="68707A90">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线上采购项目</w:t>
            </w: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eastAsia="zh-CN"/>
              </w:rPr>
              <w:t>□</w:t>
            </w:r>
            <w:r>
              <w:rPr>
                <w:rFonts w:hint="eastAsia" w:ascii="宋体" w:hAnsi="宋体" w:eastAsia="宋体" w:cs="宋体"/>
                <w:color w:val="auto"/>
                <w:highlight w:val="none"/>
                <w:lang w:eastAsia="zh-CN"/>
              </w:rPr>
              <w:t>是</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lang w:eastAsia="zh-CN"/>
              </w:rPr>
              <w:t>☑</w:t>
            </w:r>
            <w:r>
              <w:rPr>
                <w:rFonts w:hint="eastAsia" w:ascii="宋体" w:hAnsi="宋体" w:eastAsia="宋体" w:cs="宋体"/>
                <w:color w:val="auto"/>
                <w:highlight w:val="none"/>
                <w:lang w:eastAsia="zh-CN"/>
              </w:rPr>
              <w:t>否</w:t>
            </w:r>
          </w:p>
        </w:tc>
      </w:tr>
      <w:tr w14:paraId="67D8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75BA72D6">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6F02EBB">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606BC4F4">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u w:val="single"/>
              </w:rPr>
              <w:t xml:space="preserve">国家税务总局广西壮族自治区税务局 </w:t>
            </w:r>
          </w:p>
          <w:p w14:paraId="39C5A933">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南宁市青秀区民族大道105号</w:t>
            </w:r>
          </w:p>
          <w:p w14:paraId="5DD7E880">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Cs/>
                <w:color w:val="auto"/>
                <w:szCs w:val="21"/>
                <w:highlight w:val="none"/>
                <w:u w:val="single"/>
                <w:lang w:val="en-US"/>
              </w:rPr>
            </w:pPr>
            <w:r>
              <w:rPr>
                <w:rFonts w:hint="eastAsia" w:ascii="宋体" w:hAnsi="宋体" w:eastAsia="宋体" w:cs="宋体"/>
                <w:color w:val="auto"/>
                <w:szCs w:val="21"/>
                <w:highlight w:val="none"/>
              </w:rPr>
              <w:t>联系</w:t>
            </w:r>
            <w:r>
              <w:rPr>
                <w:rFonts w:hint="eastAsia" w:ascii="宋体" w:hAnsi="宋体" w:cs="宋体"/>
                <w:color w:val="auto"/>
                <w:szCs w:val="21"/>
                <w:highlight w:val="none"/>
                <w:lang w:eastAsia="zh-CN"/>
              </w:rPr>
              <w:t>人</w:t>
            </w:r>
            <w:r>
              <w:rPr>
                <w:rFonts w:hint="eastAsia" w:ascii="宋体" w:hAnsi="宋体" w:eastAsia="宋体" w:cs="宋体"/>
                <w:bCs/>
                <w:color w:val="auto"/>
                <w:szCs w:val="21"/>
                <w:highlight w:val="none"/>
              </w:rPr>
              <w:t>：</w:t>
            </w:r>
            <w:r>
              <w:rPr>
                <w:rFonts w:hint="eastAsia" w:ascii="宋体" w:hAnsi="宋体" w:cs="宋体"/>
                <w:bCs/>
                <w:color w:val="auto"/>
                <w:szCs w:val="21"/>
                <w:highlight w:val="none"/>
                <w:u w:val="single"/>
                <w:lang w:eastAsia="zh-CN"/>
              </w:rPr>
              <w:t>梁峰瑜</w:t>
            </w:r>
          </w:p>
          <w:p w14:paraId="766893E0">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联系方式：</w:t>
            </w:r>
            <w:r>
              <w:rPr>
                <w:rFonts w:hint="eastAsia" w:ascii="宋体" w:hAnsi="宋体" w:cs="宋体"/>
                <w:color w:val="auto"/>
                <w:szCs w:val="21"/>
                <w:highlight w:val="none"/>
                <w:u w:val="single"/>
                <w:lang w:val="en-US" w:eastAsia="zh-CN"/>
              </w:rPr>
              <w:t>0771-5562132</w:t>
            </w:r>
          </w:p>
        </w:tc>
      </w:tr>
      <w:tr w14:paraId="0D5B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276F9065">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40BCBCC">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7BFA251E">
            <w:pPr>
              <w:keepNext w:val="0"/>
              <w:keepLines w:val="0"/>
              <w:pageBreakBefore w:val="0"/>
              <w:widowControl/>
              <w:shd w:val="clear"/>
              <w:kinsoku/>
              <w:wordWrap/>
              <w:overflowPunct/>
              <w:topLinePunct/>
              <w:autoSpaceDE/>
              <w:autoSpaceDN/>
              <w:bidi w:val="0"/>
              <w:adjustRightInd w:val="0"/>
              <w:snapToGrid w:val="0"/>
              <w:spacing w:before="60" w:beforeAutospacing="0" w:afterAutospacing="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r>
              <w:rPr>
                <w:rFonts w:hint="eastAsia" w:ascii="宋体" w:hAnsi="宋体" w:cs="宋体"/>
                <w:color w:val="auto"/>
                <w:sz w:val="21"/>
                <w:szCs w:val="21"/>
                <w:highlight w:val="none"/>
                <w:u w:val="single"/>
                <w:lang w:eastAsia="zh-CN"/>
              </w:rPr>
              <w:t>广西建设工程机电设备招标中心有限公司</w:t>
            </w:r>
          </w:p>
          <w:p w14:paraId="350CBC30">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rPr>
              <w:t>地址：</w:t>
            </w:r>
            <w:r>
              <w:rPr>
                <w:rFonts w:hint="eastAsia" w:ascii="宋体" w:hAnsi="宋体" w:cs="宋体"/>
                <w:b w:val="0"/>
                <w:bCs/>
                <w:color w:val="auto"/>
                <w:sz w:val="21"/>
                <w:szCs w:val="21"/>
                <w:highlight w:val="none"/>
                <w:u w:val="single"/>
                <w:lang w:eastAsia="zh-CN"/>
              </w:rPr>
              <w:t>南宁市青秀区枫林路18号广西国资交易中心3层</w:t>
            </w:r>
          </w:p>
          <w:p w14:paraId="0027ABCA">
            <w:pPr>
              <w:keepNext w:val="0"/>
              <w:keepLines w:val="0"/>
              <w:pageBreakBefore w:val="0"/>
              <w:widowControl/>
              <w:shd w:val="clear"/>
              <w:kinsoku/>
              <w:wordWrap/>
              <w:overflowPunct/>
              <w:topLinePunct/>
              <w:autoSpaceDE/>
              <w:autoSpaceDN/>
              <w:bidi w:val="0"/>
              <w:adjustRightInd w:val="0"/>
              <w:snapToGrid w:val="0"/>
              <w:spacing w:before="60" w:beforeAutospacing="0" w:afterAutospacing="0" w:line="336" w:lineRule="auto"/>
              <w:jc w:val="left"/>
              <w:textAlignment w:val="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联系</w:t>
            </w:r>
            <w:r>
              <w:rPr>
                <w:rFonts w:hint="eastAsia" w:ascii="宋体" w:hAnsi="宋体" w:cs="宋体"/>
                <w:color w:val="auto"/>
                <w:sz w:val="21"/>
                <w:szCs w:val="21"/>
                <w:highlight w:val="none"/>
                <w:lang w:val="en-US" w:eastAsia="zh-CN"/>
              </w:rPr>
              <w:t>人</w:t>
            </w:r>
            <w:r>
              <w:rPr>
                <w:rFonts w:hint="eastAsia" w:ascii="宋体" w:hAnsi="宋体" w:eastAsia="宋体" w:cs="宋体"/>
                <w:color w:val="auto"/>
                <w:sz w:val="21"/>
                <w:szCs w:val="21"/>
                <w:highlight w:val="none"/>
              </w:rPr>
              <w:t>：</w:t>
            </w:r>
            <w:r>
              <w:rPr>
                <w:rFonts w:hint="eastAsia" w:ascii="宋体" w:hAnsi="宋体" w:eastAsia="宋体" w:cs="宋体"/>
                <w:b w:val="0"/>
                <w:bCs/>
                <w:color w:val="auto"/>
                <w:highlight w:val="none"/>
                <w:u w:val="single"/>
              </w:rPr>
              <w:t>黄天懿</w:t>
            </w:r>
            <w:r>
              <w:rPr>
                <w:rFonts w:hint="eastAsia" w:ascii="宋体" w:hAnsi="宋体" w:cs="宋体"/>
                <w:b w:val="0"/>
                <w:bCs/>
                <w:color w:val="auto"/>
                <w:highlight w:val="none"/>
                <w:u w:val="single"/>
                <w:lang w:eastAsia="zh-CN"/>
              </w:rPr>
              <w:t>、吴兴红、</w:t>
            </w:r>
            <w:r>
              <w:rPr>
                <w:rFonts w:hint="eastAsia" w:ascii="宋体" w:hAnsi="宋体" w:cs="宋体"/>
                <w:b w:val="0"/>
                <w:bCs/>
                <w:color w:val="auto"/>
                <w:highlight w:val="none"/>
                <w:u w:val="single"/>
                <w:lang w:val="en-US" w:eastAsia="zh-CN"/>
              </w:rPr>
              <w:t>刘风</w:t>
            </w:r>
          </w:p>
          <w:p w14:paraId="42FD4D11">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cs="宋体"/>
                <w:snapToGrid/>
                <w:color w:val="auto"/>
                <w:kern w:val="2"/>
                <w:sz w:val="21"/>
                <w:szCs w:val="21"/>
                <w:highlight w:val="none"/>
                <w:lang w:val="en-US" w:eastAsia="zh-CN" w:bidi="ar-SA"/>
              </w:rPr>
            </w:pPr>
            <w:r>
              <w:rPr>
                <w:rFonts w:hint="eastAsia" w:ascii="宋体" w:hAnsi="宋体" w:eastAsia="宋体" w:cs="宋体"/>
                <w:color w:val="auto"/>
                <w:sz w:val="21"/>
                <w:szCs w:val="21"/>
                <w:highlight w:val="none"/>
              </w:rPr>
              <w:t>联系方式：</w:t>
            </w:r>
            <w:r>
              <w:rPr>
                <w:rFonts w:hint="eastAsia" w:ascii="宋体" w:hAnsi="宋体" w:cs="宋体"/>
                <w:snapToGrid/>
                <w:color w:val="auto"/>
                <w:kern w:val="2"/>
                <w:sz w:val="21"/>
                <w:szCs w:val="21"/>
                <w:highlight w:val="none"/>
                <w:u w:val="single"/>
                <w:lang w:val="en-US" w:eastAsia="zh-CN" w:bidi="ar-SA"/>
              </w:rPr>
              <w:t>0771-2807659、2819799</w:t>
            </w:r>
          </w:p>
          <w:p w14:paraId="73C8D352">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邮箱：</w:t>
            </w:r>
            <w:r>
              <w:rPr>
                <w:rFonts w:hint="eastAsia" w:ascii="宋体" w:hAnsi="宋体" w:eastAsia="宋体" w:cs="宋体"/>
                <w:color w:val="auto"/>
                <w:szCs w:val="21"/>
                <w:highlight w:val="none"/>
                <w:u w:val="single"/>
                <w:lang w:val="en-US" w:eastAsia="zh-CN"/>
              </w:rPr>
              <w:t>zbzx</w:t>
            </w:r>
            <w:r>
              <w:rPr>
                <w:rFonts w:hint="eastAsia" w:ascii="宋体" w:hAnsi="宋体" w:cs="宋体"/>
                <w:color w:val="auto"/>
                <w:szCs w:val="21"/>
                <w:highlight w:val="none"/>
                <w:u w:val="single"/>
                <w:lang w:val="en-US" w:eastAsia="zh-CN"/>
              </w:rPr>
              <w:t>2807659@</w:t>
            </w:r>
            <w:r>
              <w:rPr>
                <w:rFonts w:hint="eastAsia" w:ascii="宋体" w:hAnsi="宋体" w:eastAsia="宋体" w:cs="宋体"/>
                <w:color w:val="auto"/>
                <w:szCs w:val="21"/>
                <w:highlight w:val="none"/>
                <w:u w:val="single"/>
                <w:lang w:val="en-US" w:eastAsia="zh-CN"/>
              </w:rPr>
              <w:t>163.com</w:t>
            </w:r>
          </w:p>
        </w:tc>
      </w:tr>
      <w:tr w14:paraId="3F5A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0D08FC29">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B5D4FCC">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投标人资格要求</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168E6836">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1.符合国家有关法律规定，在中国境内（指关境内）注册。</w:t>
            </w:r>
          </w:p>
          <w:p w14:paraId="7C434614">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2.具备《</w:t>
            </w:r>
            <w:r>
              <w:rPr>
                <w:rFonts w:hint="eastAsia" w:ascii="宋体" w:hAnsi="宋体" w:cs="宋体"/>
                <w:color w:val="auto"/>
                <w:highlight w:val="none"/>
                <w:lang w:val="en-US" w:eastAsia="zh-CN"/>
              </w:rPr>
              <w:t>中华人民共和国</w:t>
            </w:r>
            <w:r>
              <w:rPr>
                <w:rFonts w:hint="eastAsia" w:ascii="宋体" w:hAnsi="宋体" w:eastAsia="宋体" w:cs="宋体"/>
                <w:color w:val="auto"/>
                <w:highlight w:val="none"/>
                <w:lang w:val="zh-CN"/>
              </w:rPr>
              <w:t>政府采购法》第二十二条的规定：</w:t>
            </w:r>
          </w:p>
          <w:p w14:paraId="24205BDF">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（1）具有独立承担民事责任的能力；</w:t>
            </w:r>
          </w:p>
          <w:p w14:paraId="73018636">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（2）具有良好的商业信誉和健全的财务会计制度；</w:t>
            </w:r>
          </w:p>
          <w:p w14:paraId="343ACACA">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（3）具有履行合同所必需的设备和专业技术能力；</w:t>
            </w:r>
          </w:p>
          <w:p w14:paraId="448F9FDD">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（4）有依法缴纳税收和社会保障资金的良好记录；</w:t>
            </w:r>
          </w:p>
          <w:p w14:paraId="2648D38D">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（5）参加政府采购活动前三年内，在经营活动中没有重大违法记录；</w:t>
            </w:r>
          </w:p>
          <w:p w14:paraId="446DD797">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（6）法律、行政法规规定的其他条件。</w:t>
            </w:r>
          </w:p>
          <w:p w14:paraId="03B8C682">
            <w:pPr>
              <w:keepNext w:val="0"/>
              <w:keepLines w:val="0"/>
              <w:pageBreakBefore w:val="0"/>
              <w:widowControl/>
              <w:kinsoku/>
              <w:wordWrap/>
              <w:overflowPunct/>
              <w:topLinePunct/>
              <w:autoSpaceDE/>
              <w:autoSpaceDN/>
              <w:bidi w:val="0"/>
              <w:adjustRightInd w:val="0"/>
              <w:snapToGrid w:val="0"/>
              <w:spacing w:before="60" w:line="336" w:lineRule="auto"/>
              <w:ind w:left="0" w:right="0" w:firstLine="0"/>
              <w:jc w:val="left"/>
              <w:textAlignment w:val="auto"/>
              <w:rPr>
                <w:rFonts w:hint="eastAsia" w:ascii="宋体" w:hAnsi="宋体" w:eastAsia="宋体" w:cs="宋体"/>
                <w:color w:val="auto"/>
                <w:sz w:val="21"/>
                <w:szCs w:val="22"/>
                <w:highlight w:val="none"/>
                <w:lang w:val="zh-CN"/>
              </w:rPr>
            </w:pPr>
            <w:r>
              <w:rPr>
                <w:rFonts w:hint="eastAsia" w:ascii="宋体" w:hAnsi="宋体" w:eastAsia="宋体" w:cs="宋体"/>
                <w:color w:val="auto"/>
                <w:highlight w:val="none"/>
                <w:lang w:val="zh-CN" w:eastAsia="zh-CN"/>
              </w:rPr>
              <w:t>3</w:t>
            </w:r>
            <w:r>
              <w:rPr>
                <w:rFonts w:hint="eastAsia" w:ascii="宋体" w:hAnsi="宋体" w:eastAsia="宋体" w:cs="宋体"/>
                <w:color w:val="auto"/>
                <w:highlight w:val="none"/>
                <w:lang w:val="zh-CN"/>
              </w:rPr>
              <w:t>.落实政府采购政策需满足的资格要求：</w:t>
            </w:r>
            <w:r>
              <w:rPr>
                <w:rFonts w:hint="eastAsia" w:ascii="宋体" w:hAnsi="宋体" w:eastAsia="宋体" w:cs="宋体"/>
                <w:color w:val="auto"/>
                <w:sz w:val="21"/>
                <w:szCs w:val="21"/>
                <w:highlight w:val="none"/>
              </w:rPr>
              <w:t>符合《政府采购促进中小企业发展管理办法》（财库﹝2020﹞46号）、《关于政府采购支持监狱企业发展有关问题的通知》(财库〔2014〕68号)、《关于促进残疾人就业政府采购政策的通知》(财库〔2017〕141号)等规定的条件的小微企业或监狱企业或残疾人福利性单位</w:t>
            </w:r>
            <w:r>
              <w:rPr>
                <w:rFonts w:hint="eastAsia" w:ascii="宋体" w:hAnsi="宋体" w:eastAsia="宋体" w:cs="宋体"/>
                <w:color w:val="auto"/>
                <w:sz w:val="21"/>
                <w:szCs w:val="21"/>
                <w:highlight w:val="none"/>
                <w:lang w:val="en-US" w:eastAsia="zh-CN"/>
              </w:rPr>
              <w:t>，享受评审中价格扣除等促进中小企业发展的政府采购政策</w:t>
            </w:r>
            <w:r>
              <w:rPr>
                <w:rFonts w:hint="eastAsia" w:ascii="宋体" w:hAnsi="宋体" w:cs="宋体"/>
                <w:color w:val="auto"/>
                <w:sz w:val="21"/>
                <w:szCs w:val="21"/>
                <w:highlight w:val="none"/>
                <w:lang w:val="en-US" w:eastAsia="zh-CN"/>
              </w:rPr>
              <w:t>。</w:t>
            </w:r>
          </w:p>
          <w:p w14:paraId="58422947">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rPr>
            </w:pPr>
            <w:r>
              <w:rPr>
                <w:rFonts w:hint="eastAsia" w:ascii="宋体" w:hAnsi="宋体" w:eastAsia="宋体" w:cs="宋体"/>
                <w:color w:val="auto"/>
                <w:szCs w:val="21"/>
                <w:highlight w:val="none"/>
                <w:lang w:val="en-US" w:eastAsia="zh-CN"/>
              </w:rPr>
              <w:t>本项目</w:t>
            </w:r>
            <w:r>
              <w:rPr>
                <w:rFonts w:hint="eastAsia" w:ascii="宋体" w:hAnsi="宋体" w:cs="宋体"/>
                <w:color w:val="auto"/>
                <w:szCs w:val="21"/>
                <w:highlight w:val="none"/>
                <w:lang w:val="en-US" w:eastAsia="zh-CN"/>
              </w:rPr>
              <w:t>所有标段</w:t>
            </w:r>
            <w:r>
              <w:rPr>
                <w:rFonts w:hint="eastAsia" w:ascii="宋体" w:hAnsi="宋体" w:eastAsia="宋体" w:cs="宋体"/>
                <w:color w:val="auto"/>
                <w:szCs w:val="21"/>
                <w:highlight w:val="none"/>
                <w:lang w:val="en-US" w:eastAsia="zh-CN"/>
              </w:rPr>
              <w:t>采购标的对应的中小企业所属行业：</w:t>
            </w:r>
            <w:r>
              <w:rPr>
                <w:rFonts w:hint="eastAsia"/>
                <w:color w:val="auto"/>
                <w:highlight w:val="none"/>
                <w:lang w:eastAsia="zh-CN"/>
              </w:rPr>
              <w:t>软件和信息技术服务业</w:t>
            </w:r>
            <w:r>
              <w:rPr>
                <w:rFonts w:hint="eastAsia" w:ascii="宋体" w:hAnsi="宋体" w:eastAsia="宋体" w:cs="宋体"/>
                <w:color w:val="auto"/>
                <w:szCs w:val="22"/>
                <w:highlight w:val="none"/>
                <w:lang w:val="zh-CN" w:eastAsia="zh-CN"/>
              </w:rPr>
              <w:t>。</w:t>
            </w:r>
          </w:p>
          <w:p w14:paraId="31BE59ED">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4.</w:t>
            </w:r>
            <w:r>
              <w:rPr>
                <w:rFonts w:hint="eastAsia" w:ascii="宋体" w:hAnsi="宋体" w:eastAsia="宋体" w:cs="宋体"/>
                <w:color w:val="auto"/>
                <w:highlight w:val="none"/>
                <w:lang w:val="zh-CN"/>
              </w:rPr>
              <w:t>本项目的特定资格要求：</w:t>
            </w:r>
            <w:r>
              <w:rPr>
                <w:rFonts w:hint="eastAsia" w:ascii="宋体" w:hAnsi="宋体" w:cs="宋体"/>
                <w:color w:val="auto"/>
                <w:spacing w:val="0"/>
                <w:highlight w:val="none"/>
                <w:lang w:val="en-US" w:eastAsia="zh-CN"/>
              </w:rPr>
              <w:t>无</w:t>
            </w:r>
          </w:p>
          <w:p w14:paraId="7F9190E1">
            <w:pPr>
              <w:keepNext w:val="0"/>
              <w:keepLines w:val="0"/>
              <w:pageBreakBefore w:val="0"/>
              <w:widowControl/>
              <w:numPr>
                <w:ilvl w:val="0"/>
                <w:numId w:val="0"/>
              </w:numPr>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 w:val="21"/>
                <w:szCs w:val="22"/>
                <w:highlight w:val="none"/>
                <w:lang w:val="zh-CN"/>
              </w:rPr>
            </w:pPr>
            <w:r>
              <w:rPr>
                <w:rFonts w:hint="eastAsia" w:ascii="宋体" w:hAnsi="宋体" w:eastAsia="宋体" w:cs="宋体"/>
                <w:color w:val="auto"/>
                <w:sz w:val="21"/>
                <w:szCs w:val="22"/>
                <w:highlight w:val="none"/>
                <w:lang w:val="zh-CN" w:eastAsia="zh-CN"/>
              </w:rPr>
              <w:t>5.</w:t>
            </w:r>
            <w:r>
              <w:rPr>
                <w:rFonts w:hint="eastAsia" w:ascii="宋体" w:hAnsi="宋体" w:eastAsia="宋体" w:cs="宋体"/>
                <w:color w:val="auto"/>
                <w:sz w:val="21"/>
                <w:szCs w:val="22"/>
                <w:highlight w:val="none"/>
                <w:lang w:val="zh-CN"/>
              </w:rPr>
              <w:t>对在“信用中国”网站</w:t>
            </w:r>
            <w:r>
              <w:rPr>
                <w:rFonts w:hint="eastAsia" w:ascii="宋体" w:hAnsi="宋体" w:eastAsia="宋体" w:cs="宋体"/>
                <w:color w:val="auto"/>
                <w:sz w:val="21"/>
                <w:szCs w:val="22"/>
                <w:highlight w:val="none"/>
                <w:lang w:val="zh-CN" w:eastAsia="zh-CN"/>
              </w:rPr>
              <w:t>〈</w:t>
            </w:r>
            <w:r>
              <w:rPr>
                <w:rFonts w:hint="eastAsia" w:ascii="宋体" w:hAnsi="宋体" w:eastAsia="宋体" w:cs="宋体"/>
                <w:color w:val="auto"/>
                <w:sz w:val="21"/>
                <w:szCs w:val="22"/>
                <w:highlight w:val="none"/>
                <w:lang w:val="zh-CN"/>
              </w:rPr>
              <w:t>www.creditchina.gov.cn</w:t>
            </w:r>
            <w:r>
              <w:rPr>
                <w:rFonts w:hint="eastAsia" w:ascii="宋体" w:hAnsi="宋体" w:eastAsia="宋体" w:cs="宋体"/>
                <w:color w:val="auto"/>
                <w:sz w:val="21"/>
                <w:szCs w:val="22"/>
                <w:highlight w:val="none"/>
                <w:lang w:val="zh-CN" w:eastAsia="zh-CN"/>
              </w:rPr>
              <w:t>&gt;</w:t>
            </w:r>
            <w:r>
              <w:rPr>
                <w:rFonts w:hint="eastAsia" w:ascii="宋体" w:hAnsi="宋体" w:eastAsia="宋体" w:cs="宋体"/>
                <w:color w:val="auto"/>
                <w:sz w:val="21"/>
                <w:szCs w:val="22"/>
                <w:highlight w:val="none"/>
                <w:lang w:val="zh-CN"/>
              </w:rPr>
              <w:t>中国政府采购网</w:t>
            </w:r>
            <w:r>
              <w:rPr>
                <w:rFonts w:hint="eastAsia" w:ascii="宋体" w:hAnsi="宋体" w:eastAsia="宋体" w:cs="宋体"/>
                <w:color w:val="auto"/>
                <w:sz w:val="21"/>
                <w:szCs w:val="22"/>
                <w:highlight w:val="none"/>
                <w:lang w:val="zh-CN" w:eastAsia="zh-CN"/>
              </w:rPr>
              <w:t>〈</w:t>
            </w:r>
            <w:r>
              <w:rPr>
                <w:rFonts w:hint="eastAsia" w:ascii="宋体" w:hAnsi="宋体" w:eastAsia="宋体" w:cs="宋体"/>
                <w:color w:val="auto"/>
                <w:sz w:val="21"/>
                <w:szCs w:val="22"/>
                <w:highlight w:val="none"/>
                <w:lang w:val="zh-CN"/>
              </w:rPr>
              <w:t>www.ccgp.gov.cn</w:t>
            </w:r>
            <w:r>
              <w:rPr>
                <w:rFonts w:hint="eastAsia" w:ascii="宋体" w:hAnsi="宋体" w:eastAsia="宋体" w:cs="宋体"/>
                <w:color w:val="auto"/>
                <w:sz w:val="21"/>
                <w:szCs w:val="22"/>
                <w:highlight w:val="none"/>
                <w:lang w:val="zh-CN" w:eastAsia="zh-CN"/>
              </w:rPr>
              <w:t>〉</w:t>
            </w:r>
            <w:r>
              <w:rPr>
                <w:rFonts w:hint="eastAsia" w:ascii="宋体" w:hAnsi="宋体" w:eastAsia="宋体" w:cs="宋体"/>
                <w:color w:val="auto"/>
                <w:sz w:val="21"/>
                <w:szCs w:val="22"/>
                <w:highlight w:val="none"/>
                <w:lang w:val="zh-CN"/>
              </w:rPr>
              <w:t>等渠道被列入失信被执行人、重大税收违法失信主体、政府采购严重违法失信行为记录名单及其他不符合《中华人民共和国政府采购法》第二十二条规定条件的供应商，不得参与政府采购活动。</w:t>
            </w:r>
          </w:p>
          <w:p w14:paraId="3922C65B">
            <w:pPr>
              <w:keepNext w:val="0"/>
              <w:keepLines w:val="0"/>
              <w:pageBreakBefore w:val="0"/>
              <w:widowControl/>
              <w:numPr>
                <w:ilvl w:val="0"/>
                <w:numId w:val="0"/>
              </w:numPr>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 w:val="21"/>
                <w:szCs w:val="22"/>
                <w:highlight w:val="none"/>
                <w:lang w:val="zh-CN"/>
              </w:rPr>
            </w:pPr>
            <w:r>
              <w:rPr>
                <w:rFonts w:hint="eastAsia" w:ascii="宋体" w:hAnsi="宋体" w:eastAsia="宋体" w:cs="宋体"/>
                <w:color w:val="auto"/>
                <w:sz w:val="21"/>
                <w:szCs w:val="22"/>
                <w:highlight w:val="none"/>
                <w:lang w:val="zh-CN" w:eastAsia="zh-CN"/>
              </w:rPr>
              <w:t>6.</w:t>
            </w:r>
            <w:r>
              <w:rPr>
                <w:rFonts w:hint="eastAsia" w:ascii="宋体" w:hAnsi="宋体" w:eastAsia="宋体" w:cs="宋体"/>
                <w:color w:val="auto"/>
                <w:sz w:val="21"/>
                <w:szCs w:val="22"/>
                <w:highlight w:val="none"/>
                <w:lang w:val="zh-CN"/>
              </w:rPr>
              <w:t>单位负责人为同一人或者存在直接控股、管理关系的不同供应商，不得参加同一合同项下的政府采购活动。</w:t>
            </w:r>
          </w:p>
          <w:p w14:paraId="1FFADB15">
            <w:pPr>
              <w:keepNext w:val="0"/>
              <w:keepLines w:val="0"/>
              <w:pageBreakBefore w:val="0"/>
              <w:widowControl/>
              <w:numPr>
                <w:ilvl w:val="0"/>
                <w:numId w:val="0"/>
              </w:numPr>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lang w:val="zh-CN" w:eastAsia="zh-CN"/>
              </w:rPr>
              <w:t>7.</w:t>
            </w:r>
            <w:r>
              <w:rPr>
                <w:rFonts w:hint="eastAsia" w:ascii="宋体" w:hAnsi="宋体" w:eastAsia="宋体" w:cs="宋体"/>
                <w:color w:val="auto"/>
                <w:sz w:val="21"/>
                <w:szCs w:val="22"/>
                <w:highlight w:val="none"/>
                <w:lang w:val="zh-CN"/>
              </w:rPr>
              <w:t>为本项目提供整体设计、规范编制或者项目管理、监理、检测等服务的供应商，不得再参加本次政府采购活动。</w:t>
            </w:r>
          </w:p>
        </w:tc>
      </w:tr>
      <w:tr w14:paraId="036AD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495DC9F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0A84873">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是否接受联合体投标</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68F2FA5C">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不接受</w:t>
            </w:r>
          </w:p>
          <w:p w14:paraId="3C1A8527">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接受（接受联合体投标且投标人为联合体的，投标人应提供联合体协议；否则无须提供。）</w:t>
            </w:r>
          </w:p>
        </w:tc>
      </w:tr>
      <w:tr w14:paraId="1186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7892764E">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F232C16">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采购标的对应的中小企业划分标准所属行业</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30CEE0C6">
            <w:pPr>
              <w:pStyle w:val="10"/>
              <w:keepNext w:val="0"/>
              <w:keepLines w:val="0"/>
              <w:pageBreakBefore w:val="0"/>
              <w:widowControl/>
              <w:kinsoku/>
              <w:wordWrap/>
              <w:overflowPunct/>
              <w:topLinePunct/>
              <w:autoSpaceDE/>
              <w:autoSpaceDN/>
              <w:bidi w:val="0"/>
              <w:snapToGrid w:val="0"/>
              <w:spacing w:before="60" w:line="336" w:lineRule="auto"/>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软件和信息技术服务业</w:t>
            </w:r>
          </w:p>
        </w:tc>
      </w:tr>
      <w:tr w14:paraId="715CB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tcBorders>
              <w:top w:val="single" w:color="auto" w:sz="4" w:space="0"/>
              <w:left w:val="single" w:color="auto" w:sz="4" w:space="0"/>
              <w:bottom w:val="single" w:color="auto" w:sz="4" w:space="0"/>
              <w:right w:val="single" w:color="auto" w:sz="4" w:space="0"/>
            </w:tcBorders>
            <w:noWrap w:val="0"/>
            <w:vAlign w:val="center"/>
          </w:tcPr>
          <w:p w14:paraId="4D3E6781">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A3B2B4F">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非主体、非关键性工作分包</w:t>
            </w:r>
          </w:p>
        </w:tc>
        <w:tc>
          <w:tcPr>
            <w:tcW w:w="6058" w:type="dxa"/>
            <w:gridSpan w:val="2"/>
            <w:tcBorders>
              <w:top w:val="single" w:color="auto" w:sz="4" w:space="0"/>
              <w:left w:val="single" w:color="auto" w:sz="4" w:space="0"/>
              <w:bottom w:val="single" w:color="auto" w:sz="4" w:space="0"/>
              <w:right w:val="single" w:color="auto" w:sz="4" w:space="0"/>
            </w:tcBorders>
            <w:noWrap w:val="0"/>
            <w:vAlign w:val="center"/>
          </w:tcPr>
          <w:p w14:paraId="0BABA1A7">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是否允许中标人将本项目的非主体、非关键性工作进行分包：</w:t>
            </w:r>
          </w:p>
          <w:p w14:paraId="67F5E25E">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采购包1：</w:t>
            </w:r>
          </w:p>
          <w:p w14:paraId="3C2776BE">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不允许</w:t>
            </w:r>
          </w:p>
          <w:p w14:paraId="1B68F81F">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i/>
                <w:color w:val="auto"/>
                <w:szCs w:val="21"/>
                <w:highlight w:val="none"/>
                <w:u w:val="single"/>
              </w:rPr>
            </w:pPr>
            <w:r>
              <w:rPr>
                <w:rFonts w:hint="eastAsia" w:ascii="宋体" w:hAnsi="宋体" w:eastAsia="宋体" w:cs="宋体"/>
                <w:color w:val="auto"/>
                <w:szCs w:val="21"/>
                <w:highlight w:val="none"/>
              </w:rPr>
              <w:t>□允许，</w:t>
            </w:r>
            <w:r>
              <w:rPr>
                <w:rFonts w:hint="eastAsia" w:ascii="宋体" w:hAnsi="宋体" w:eastAsia="宋体" w:cs="宋体"/>
                <w:i/>
                <w:color w:val="auto"/>
                <w:szCs w:val="21"/>
                <w:highlight w:val="none"/>
                <w:u w:val="single"/>
              </w:rPr>
              <w:t>（写明可以分包履行的具体内容、金额或者比例）</w:t>
            </w:r>
          </w:p>
          <w:p w14:paraId="69F0999B">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采购包2：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p>
        </w:tc>
      </w:tr>
      <w:tr w14:paraId="1C159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12F88B9D">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984" w:type="dxa"/>
            <w:noWrap w:val="0"/>
            <w:vAlign w:val="center"/>
          </w:tcPr>
          <w:p w14:paraId="08097285">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核心产品</w:t>
            </w:r>
          </w:p>
        </w:tc>
        <w:tc>
          <w:tcPr>
            <w:tcW w:w="6058" w:type="dxa"/>
            <w:gridSpan w:val="2"/>
            <w:noWrap w:val="0"/>
            <w:vAlign w:val="center"/>
          </w:tcPr>
          <w:p w14:paraId="1855ADB3">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货物类项目填写此栏</w:t>
            </w:r>
          </w:p>
          <w:p w14:paraId="389621BF">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无</w:t>
            </w:r>
          </w:p>
          <w:p w14:paraId="15296582">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有</w:t>
            </w:r>
          </w:p>
          <w:p w14:paraId="5B93662A">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产品名称：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p>
          <w:p w14:paraId="17C5F921">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宋体" w:hAnsi="宋体" w:eastAsia="宋体" w:cs="宋体"/>
                <w:b/>
                <w:bCs/>
                <w:color w:val="auto"/>
                <w:szCs w:val="21"/>
                <w:highlight w:val="none"/>
                <w:u w:val="single"/>
                <w:lang w:val="zh-CN"/>
              </w:rPr>
              <w:t xml:space="preserve">         </w:t>
            </w:r>
            <w:r>
              <w:rPr>
                <w:rFonts w:hint="eastAsia" w:ascii="宋体" w:hAnsi="宋体" w:eastAsia="宋体" w:cs="宋体"/>
                <w:b/>
                <w:bCs/>
                <w:color w:val="auto"/>
                <w:szCs w:val="21"/>
                <w:highlight w:val="none"/>
                <w:lang w:val="zh-CN"/>
              </w:rPr>
              <w:t>的方式确定一个参加评标的投标人，招标文件未规定的采取随机抽取方式确定，其他投标无效。</w:t>
            </w:r>
          </w:p>
          <w:p w14:paraId="358C62E9">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lang w:val="zh-CN"/>
              </w:rPr>
              <w:t>采用综合评分法的采购项目，多家投标人提供的核心产品品牌相同，且通过资格审查、符合性审查的，按一家投标人计算，评审后得分最高的同品牌投标人获得中标人推荐资格，（</w:t>
            </w:r>
            <w:r>
              <w:rPr>
                <w:rFonts w:hint="eastAsia" w:ascii="宋体" w:hAnsi="宋体" w:eastAsia="宋体" w:cs="宋体"/>
                <w:b/>
                <w:color w:val="auto"/>
                <w:szCs w:val="21"/>
                <w:highlight w:val="none"/>
              </w:rPr>
              <w:t>评审得分相同的，由采购人或者采购人委托评标委员会按照</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的方式确定一个投标人获得中标人推荐资格，招标文件未规定的采取随机抽取方式确定</w:t>
            </w:r>
            <w:r>
              <w:rPr>
                <w:rFonts w:hint="eastAsia" w:ascii="宋体" w:hAnsi="宋体" w:eastAsia="宋体" w:cs="宋体"/>
                <w:b/>
                <w:bCs/>
                <w:color w:val="auto"/>
                <w:szCs w:val="21"/>
                <w:highlight w:val="none"/>
                <w:lang w:val="zh-CN"/>
              </w:rPr>
              <w:t>），其他同品牌投标人不作为中标候选人。</w:t>
            </w:r>
          </w:p>
        </w:tc>
      </w:tr>
      <w:tr w14:paraId="214F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1239BB84">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984" w:type="dxa"/>
            <w:noWrap w:val="0"/>
            <w:vAlign w:val="center"/>
          </w:tcPr>
          <w:p w14:paraId="2E90DB63">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采购进口产品</w:t>
            </w:r>
          </w:p>
        </w:tc>
        <w:tc>
          <w:tcPr>
            <w:tcW w:w="6058" w:type="dxa"/>
            <w:gridSpan w:val="2"/>
            <w:noWrap w:val="0"/>
            <w:vAlign w:val="center"/>
          </w:tcPr>
          <w:p w14:paraId="2EF1FCBF">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本采购项目拒绝进口产品参加投标</w:t>
            </w:r>
          </w:p>
          <w:p w14:paraId="2CCC083C">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本采购项目已经财政部审核同意购买进口产品</w:t>
            </w:r>
          </w:p>
          <w:p w14:paraId="703577DE">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其他_____</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_______</w:t>
            </w:r>
          </w:p>
        </w:tc>
      </w:tr>
      <w:tr w14:paraId="7875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36314774">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984" w:type="dxa"/>
            <w:noWrap w:val="0"/>
            <w:vAlign w:val="center"/>
          </w:tcPr>
          <w:p w14:paraId="32C7163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信息发布媒体</w:t>
            </w:r>
          </w:p>
        </w:tc>
        <w:tc>
          <w:tcPr>
            <w:tcW w:w="6058" w:type="dxa"/>
            <w:gridSpan w:val="2"/>
            <w:noWrap w:val="0"/>
            <w:vAlign w:val="center"/>
          </w:tcPr>
          <w:p w14:paraId="2016ADF3">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（1）中国政府采购网（</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"http://www.ccgp.gov.cn"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www.ccgp.gov.cn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w:t>
            </w:r>
          </w:p>
          <w:p w14:paraId="48B938D6">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Cs w:val="21"/>
                <w:highlight w:val="none"/>
              </w:rPr>
              <w:t>（2）</w:t>
            </w:r>
            <w:r>
              <w:rPr>
                <w:rFonts w:hint="eastAsia" w:ascii="宋体" w:hAnsi="宋体" w:eastAsia="宋体" w:cs="宋体"/>
                <w:color w:val="auto"/>
                <w:kern w:val="2"/>
                <w:sz w:val="21"/>
                <w:szCs w:val="21"/>
                <w:highlight w:val="none"/>
                <w:lang w:val="en-US" w:eastAsia="zh-CN" w:bidi="ar"/>
              </w:rPr>
              <w:t>国家税务总局广西壮族自治区税务局网（http://guangxi.chinatax.gov.cn/）</w:t>
            </w:r>
          </w:p>
          <w:p w14:paraId="240085E1">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广西招标网（http://www.guangxibid.com.cn/）</w:t>
            </w:r>
          </w:p>
          <w:p w14:paraId="2A412E1E">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default" w:eastAsia="宋体"/>
                <w:color w:val="auto"/>
                <w:highlight w:val="none"/>
                <w:lang w:val="en-US"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广西阳光采购服务平台（行政事业国资专区）（</w:t>
            </w:r>
            <w:r>
              <w:rPr>
                <w:rFonts w:hint="eastAsia" w:ascii="宋体" w:hAnsi="宋体" w:cs="宋体"/>
                <w:color w:val="auto"/>
                <w:szCs w:val="21"/>
                <w:highlight w:val="none"/>
                <w:lang w:eastAsia="zh-CN"/>
              </w:rPr>
              <w:t>https://xz.gxygcg.com</w:t>
            </w:r>
            <w:r>
              <w:rPr>
                <w:rFonts w:hint="eastAsia" w:ascii="宋体" w:hAnsi="宋体" w:eastAsia="宋体" w:cs="宋体"/>
                <w:color w:val="auto"/>
                <w:szCs w:val="21"/>
                <w:highlight w:val="none"/>
              </w:rPr>
              <w:t>）</w:t>
            </w:r>
          </w:p>
        </w:tc>
      </w:tr>
      <w:tr w14:paraId="6777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648D33B8">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984" w:type="dxa"/>
            <w:noWrap w:val="0"/>
            <w:vAlign w:val="center"/>
          </w:tcPr>
          <w:p w14:paraId="461B52AF">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获取招标文件</w:t>
            </w:r>
          </w:p>
          <w:p w14:paraId="113F15B3">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时间、地点和</w:t>
            </w:r>
          </w:p>
          <w:p w14:paraId="4DA698DE">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方式等</w:t>
            </w:r>
          </w:p>
        </w:tc>
        <w:tc>
          <w:tcPr>
            <w:tcW w:w="6058" w:type="dxa"/>
            <w:gridSpan w:val="2"/>
            <w:noWrap w:val="0"/>
            <w:vAlign w:val="center"/>
          </w:tcPr>
          <w:p w14:paraId="38A82632">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时间</w:t>
            </w: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u w:val="none"/>
                <w:lang w:val="en-US" w:eastAsia="zh-CN"/>
              </w:rPr>
              <w:t>202</w:t>
            </w:r>
            <w:r>
              <w:rPr>
                <w:rFonts w:hint="eastAsia" w:ascii="宋体" w:hAnsi="宋体" w:cs="宋体"/>
                <w:color w:val="auto"/>
                <w:szCs w:val="21"/>
                <w:highlight w:val="none"/>
                <w:u w:val="none"/>
                <w:lang w:val="en-US" w:eastAsia="zh-CN"/>
              </w:rPr>
              <w:t>6</w:t>
            </w:r>
            <w:r>
              <w:rPr>
                <w:rFonts w:hint="eastAsia" w:ascii="宋体" w:hAnsi="宋体" w:eastAsia="宋体" w:cs="宋体"/>
                <w:bCs/>
                <w:color w:val="auto"/>
                <w:szCs w:val="21"/>
                <w:highlight w:val="none"/>
                <w:u w:val="none"/>
              </w:rPr>
              <w:t>年</w:t>
            </w:r>
            <w:r>
              <w:rPr>
                <w:rFonts w:hint="eastAsia" w:ascii="宋体" w:hAnsi="宋体" w:cs="宋体"/>
                <w:bCs/>
                <w:color w:val="auto"/>
                <w:szCs w:val="21"/>
                <w:highlight w:val="none"/>
                <w:u w:val="none"/>
                <w:lang w:val="en-US" w:eastAsia="zh-CN"/>
              </w:rPr>
              <w:t>9月29日</w:t>
            </w:r>
            <w:r>
              <w:rPr>
                <w:rFonts w:hint="eastAsia" w:ascii="宋体" w:hAnsi="宋体" w:eastAsia="宋体" w:cs="宋体"/>
                <w:bCs/>
                <w:color w:val="auto"/>
                <w:szCs w:val="21"/>
                <w:highlight w:val="none"/>
                <w:u w:val="none"/>
              </w:rPr>
              <w:t>至</w:t>
            </w:r>
            <w:r>
              <w:rPr>
                <w:rFonts w:hint="eastAsia" w:ascii="宋体" w:hAnsi="宋体" w:eastAsia="宋体" w:cs="宋体"/>
                <w:color w:val="auto"/>
                <w:szCs w:val="21"/>
                <w:highlight w:val="none"/>
                <w:u w:val="none"/>
                <w:lang w:val="en-US" w:eastAsia="zh-CN"/>
              </w:rPr>
              <w:t>202</w:t>
            </w:r>
            <w:r>
              <w:rPr>
                <w:rFonts w:hint="eastAsia" w:ascii="宋体" w:hAnsi="宋体" w:cs="宋体"/>
                <w:color w:val="auto"/>
                <w:szCs w:val="21"/>
                <w:highlight w:val="none"/>
                <w:u w:val="none"/>
                <w:lang w:val="en-US" w:eastAsia="zh-CN"/>
              </w:rPr>
              <w:t>6</w:t>
            </w:r>
            <w:r>
              <w:rPr>
                <w:rFonts w:hint="eastAsia" w:ascii="宋体" w:hAnsi="宋体" w:eastAsia="宋体" w:cs="宋体"/>
                <w:bCs/>
                <w:color w:val="auto"/>
                <w:szCs w:val="21"/>
                <w:highlight w:val="none"/>
                <w:u w:val="none"/>
              </w:rPr>
              <w:t>年</w:t>
            </w:r>
            <w:r>
              <w:rPr>
                <w:rFonts w:hint="eastAsia" w:ascii="宋体" w:hAnsi="宋体" w:cs="宋体"/>
                <w:bCs/>
                <w:color w:val="auto"/>
                <w:szCs w:val="21"/>
                <w:highlight w:val="none"/>
                <w:u w:val="none"/>
                <w:lang w:val="en-US" w:eastAsia="zh-CN"/>
              </w:rPr>
              <w:t>10月12日</w:t>
            </w:r>
            <w:r>
              <w:rPr>
                <w:rFonts w:hint="eastAsia" w:ascii="宋体" w:hAnsi="宋体" w:eastAsia="宋体" w:cs="宋体"/>
                <w:color w:val="auto"/>
                <w:sz w:val="21"/>
                <w:szCs w:val="21"/>
                <w:highlight w:val="none"/>
              </w:rPr>
              <w:t>每天上午8：00至12：00，下午3：00至6：00（北京时间，法定节假日除外）</w:t>
            </w:r>
          </w:p>
          <w:p w14:paraId="25E2ED49">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地点：</w:t>
            </w:r>
            <w:r>
              <w:rPr>
                <w:rFonts w:hint="eastAsia" w:ascii="宋体" w:hAnsi="宋体" w:eastAsia="宋体" w:cs="宋体"/>
                <w:color w:val="auto"/>
                <w:sz w:val="21"/>
                <w:szCs w:val="21"/>
                <w:highlight w:val="none"/>
              </w:rPr>
              <w:t>广西阳光采购服务平台（行政事业国资专区）（</w:t>
            </w:r>
            <w:r>
              <w:rPr>
                <w:rFonts w:hint="eastAsia" w:ascii="宋体" w:hAnsi="宋体" w:cs="宋体"/>
                <w:color w:val="auto"/>
                <w:sz w:val="21"/>
                <w:szCs w:val="21"/>
                <w:highlight w:val="none"/>
                <w:lang w:eastAsia="zh-CN"/>
              </w:rPr>
              <w:t>https://xz.gxygcg.com</w:t>
            </w:r>
            <w:r>
              <w:rPr>
                <w:rFonts w:hint="eastAsia" w:ascii="宋体" w:hAnsi="宋体" w:eastAsia="宋体" w:cs="宋体"/>
                <w:color w:val="auto"/>
                <w:sz w:val="21"/>
                <w:szCs w:val="21"/>
                <w:highlight w:val="none"/>
              </w:rPr>
              <w:t>）</w:t>
            </w:r>
          </w:p>
          <w:p w14:paraId="7189E635">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方式：</w:t>
            </w:r>
            <w:r>
              <w:rPr>
                <w:rFonts w:hint="eastAsia" w:ascii="宋体" w:hAnsi="宋体" w:eastAsia="宋体" w:cs="宋体"/>
                <w:color w:val="auto"/>
                <w:sz w:val="21"/>
                <w:szCs w:val="21"/>
                <w:highlight w:val="none"/>
              </w:rPr>
              <w:t>供应商请登录广西阳光采购服务平台（行政事业国资专区）（</w:t>
            </w:r>
            <w:r>
              <w:rPr>
                <w:rFonts w:hint="eastAsia" w:ascii="宋体" w:hAnsi="宋体" w:cs="宋体"/>
                <w:color w:val="auto"/>
                <w:sz w:val="21"/>
                <w:szCs w:val="21"/>
                <w:highlight w:val="none"/>
                <w:lang w:eastAsia="zh-CN"/>
              </w:rPr>
              <w:t>https://xz.gxygcg.com</w:t>
            </w:r>
            <w:r>
              <w:rPr>
                <w:rFonts w:hint="eastAsia" w:ascii="宋体" w:hAnsi="宋体" w:eastAsia="宋体" w:cs="宋体"/>
                <w:color w:val="auto"/>
                <w:sz w:val="21"/>
                <w:szCs w:val="21"/>
                <w:highlight w:val="none"/>
              </w:rPr>
              <w:t>）购买及下载招标文件</w:t>
            </w:r>
          </w:p>
        </w:tc>
      </w:tr>
      <w:tr w14:paraId="69D1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45233684">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984" w:type="dxa"/>
            <w:noWrap w:val="0"/>
            <w:vAlign w:val="center"/>
          </w:tcPr>
          <w:p w14:paraId="110D754D">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现场考察</w:t>
            </w:r>
          </w:p>
        </w:tc>
        <w:tc>
          <w:tcPr>
            <w:tcW w:w="6058" w:type="dxa"/>
            <w:gridSpan w:val="2"/>
            <w:noWrap w:val="0"/>
            <w:vAlign w:val="center"/>
          </w:tcPr>
          <w:p w14:paraId="3DDD2BB8">
            <w:pPr>
              <w:keepNext w:val="0"/>
              <w:keepLines w:val="0"/>
              <w:pageBreakBefore w:val="0"/>
              <w:widowControl/>
              <w:tabs>
                <w:tab w:val="left" w:pos="0"/>
                <w:tab w:val="left" w:pos="420"/>
              </w:tabs>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不组织现场考察</w:t>
            </w:r>
          </w:p>
          <w:p w14:paraId="4F03D4FE">
            <w:pPr>
              <w:keepNext w:val="0"/>
              <w:keepLines w:val="0"/>
              <w:pageBreakBefore w:val="0"/>
              <w:widowControl/>
              <w:tabs>
                <w:tab w:val="left" w:pos="0"/>
                <w:tab w:val="left" w:pos="420"/>
              </w:tabs>
              <w:kinsoku/>
              <w:wordWrap/>
              <w:overflowPunct/>
              <w:topLinePunct/>
              <w:autoSpaceDE/>
              <w:autoSpaceDN/>
              <w:bidi w:val="0"/>
              <w:adjustRightInd w:val="0"/>
              <w:snapToGrid w:val="0"/>
              <w:spacing w:before="60" w:line="336" w:lineRule="auto"/>
              <w:textAlignment w:val="auto"/>
              <w:rPr>
                <w:rFonts w:hint="eastAsia" w:ascii="宋体" w:hAnsi="宋体" w:eastAsia="宋体" w:cs="宋体"/>
                <w:bCs/>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bCs/>
                <w:color w:val="auto"/>
                <w:szCs w:val="21"/>
                <w:highlight w:val="none"/>
              </w:rPr>
              <w:t>组织现场考察：</w:t>
            </w:r>
          </w:p>
          <w:p w14:paraId="7EDE6B63">
            <w:pPr>
              <w:keepNext w:val="0"/>
              <w:keepLines w:val="0"/>
              <w:pageBreakBefore w:val="0"/>
              <w:widowControl/>
              <w:tabs>
                <w:tab w:val="left" w:pos="0"/>
                <w:tab w:val="left" w:pos="420"/>
              </w:tabs>
              <w:kinsoku/>
              <w:wordWrap/>
              <w:overflowPunct/>
              <w:topLinePunct/>
              <w:autoSpaceDE/>
              <w:autoSpaceDN/>
              <w:bidi w:val="0"/>
              <w:adjustRightInd w:val="0"/>
              <w:snapToGrid w:val="0"/>
              <w:spacing w:before="60" w:line="336" w:lineRule="auto"/>
              <w:textAlignment w:val="auto"/>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时间：</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日</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（北京时间）</w:t>
            </w:r>
          </w:p>
          <w:p w14:paraId="2677677A">
            <w:pPr>
              <w:keepNext w:val="0"/>
              <w:keepLines w:val="0"/>
              <w:pageBreakBefore w:val="0"/>
              <w:widowControl/>
              <w:tabs>
                <w:tab w:val="left" w:pos="0"/>
                <w:tab w:val="left" w:pos="420"/>
              </w:tabs>
              <w:kinsoku/>
              <w:wordWrap/>
              <w:overflowPunct/>
              <w:topLinePunct/>
              <w:autoSpaceDE/>
              <w:autoSpaceDN/>
              <w:bidi w:val="0"/>
              <w:adjustRightInd w:val="0"/>
              <w:snapToGrid w:val="0"/>
              <w:spacing w:before="60" w:line="336" w:lineRule="auto"/>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地点：</w:t>
            </w:r>
            <w:r>
              <w:rPr>
                <w:rFonts w:hint="eastAsia" w:ascii="宋体" w:hAnsi="宋体" w:eastAsia="宋体" w:cs="宋体"/>
                <w:b/>
                <w:color w:val="auto"/>
                <w:szCs w:val="21"/>
                <w:highlight w:val="none"/>
                <w:u w:val="single"/>
              </w:rPr>
              <w:t xml:space="preserve">                 </w:t>
            </w:r>
          </w:p>
          <w:p w14:paraId="0376DD95">
            <w:pPr>
              <w:keepNext w:val="0"/>
              <w:keepLines w:val="0"/>
              <w:pageBreakBefore w:val="0"/>
              <w:widowControl/>
              <w:tabs>
                <w:tab w:val="left" w:pos="0"/>
                <w:tab w:val="left" w:pos="420"/>
              </w:tabs>
              <w:kinsoku/>
              <w:wordWrap/>
              <w:overflowPunct/>
              <w:topLinePunct/>
              <w:autoSpaceDE/>
              <w:autoSpaceDN/>
              <w:bidi w:val="0"/>
              <w:adjustRightInd w:val="0"/>
              <w:snapToGrid w:val="0"/>
              <w:spacing w:before="60" w:line="336" w:lineRule="auto"/>
              <w:textAlignment w:val="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联系人：</w:t>
            </w:r>
            <w:r>
              <w:rPr>
                <w:rFonts w:hint="eastAsia" w:ascii="宋体" w:hAnsi="宋体" w:eastAsia="宋体" w:cs="宋体"/>
                <w:b/>
                <w:color w:val="auto"/>
                <w:szCs w:val="21"/>
                <w:highlight w:val="none"/>
                <w:u w:val="single"/>
              </w:rPr>
              <w:t xml:space="preserve">               </w:t>
            </w:r>
          </w:p>
          <w:p w14:paraId="25C2C350">
            <w:pPr>
              <w:keepNext w:val="0"/>
              <w:keepLines w:val="0"/>
              <w:pageBreakBefore w:val="0"/>
              <w:widowControl/>
              <w:tabs>
                <w:tab w:val="left" w:pos="0"/>
                <w:tab w:val="left" w:pos="420"/>
              </w:tabs>
              <w:kinsoku/>
              <w:wordWrap/>
              <w:overflowPunct/>
              <w:topLinePunct/>
              <w:autoSpaceDE/>
              <w:autoSpaceDN/>
              <w:bidi w:val="0"/>
              <w:adjustRightInd w:val="0"/>
              <w:snapToGrid w:val="0"/>
              <w:spacing w:before="60" w:line="336" w:lineRule="auto"/>
              <w:textAlignment w:val="auto"/>
              <w:rPr>
                <w:rFonts w:hint="eastAsia" w:ascii="宋体" w:hAnsi="宋体" w:eastAsia="宋体" w:cs="宋体"/>
                <w:bCs/>
                <w:color w:val="auto"/>
                <w:szCs w:val="21"/>
                <w:highlight w:val="none"/>
                <w:u w:val="single"/>
              </w:rPr>
            </w:pPr>
            <w:r>
              <w:rPr>
                <w:rFonts w:hint="eastAsia" w:ascii="宋体" w:hAnsi="宋体" w:eastAsia="宋体" w:cs="宋体"/>
                <w:b/>
                <w:color w:val="auto"/>
                <w:szCs w:val="21"/>
                <w:highlight w:val="none"/>
              </w:rPr>
              <w:t>联系电话：</w:t>
            </w:r>
            <w:r>
              <w:rPr>
                <w:rFonts w:hint="eastAsia" w:ascii="宋体" w:hAnsi="宋体" w:eastAsia="宋体" w:cs="宋体"/>
                <w:color w:val="auto"/>
                <w:szCs w:val="21"/>
                <w:highlight w:val="none"/>
                <w:u w:val="single"/>
              </w:rPr>
              <w:t xml:space="preserve">             </w:t>
            </w:r>
          </w:p>
          <w:p w14:paraId="3B90ACBE">
            <w:pPr>
              <w:keepNext w:val="0"/>
              <w:keepLines w:val="0"/>
              <w:pageBreakBefore w:val="0"/>
              <w:widowControl/>
              <w:tabs>
                <w:tab w:val="left" w:pos="0"/>
                <w:tab w:val="left" w:pos="420"/>
              </w:tabs>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要求：</w:t>
            </w:r>
            <w:r>
              <w:rPr>
                <w:rFonts w:hint="eastAsia" w:ascii="宋体" w:hAnsi="宋体" w:eastAsia="宋体" w:cs="宋体"/>
                <w:color w:val="auto"/>
                <w:szCs w:val="21"/>
                <w:highlight w:val="none"/>
                <w:u w:val="single"/>
              </w:rPr>
              <w:t xml:space="preserve">                 </w:t>
            </w:r>
          </w:p>
        </w:tc>
      </w:tr>
      <w:tr w14:paraId="5D41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3FE2878E">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1984" w:type="dxa"/>
            <w:noWrap w:val="0"/>
            <w:vAlign w:val="center"/>
          </w:tcPr>
          <w:p w14:paraId="46F17DCB">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样品</w:t>
            </w:r>
          </w:p>
        </w:tc>
        <w:tc>
          <w:tcPr>
            <w:tcW w:w="6058" w:type="dxa"/>
            <w:gridSpan w:val="2"/>
            <w:noWrap w:val="0"/>
            <w:vAlign w:val="center"/>
          </w:tcPr>
          <w:p w14:paraId="159DA396">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不要求提供</w:t>
            </w:r>
          </w:p>
          <w:p w14:paraId="47F96F2F">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Cs/>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bCs/>
                <w:color w:val="auto"/>
                <w:szCs w:val="21"/>
                <w:highlight w:val="none"/>
              </w:rPr>
              <w:t>要求提供：</w:t>
            </w:r>
          </w:p>
          <w:p w14:paraId="7B643EE7">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1.样品制作的标准和要求：____________________</w:t>
            </w:r>
          </w:p>
          <w:p w14:paraId="4DECD926">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2.样品检测报告：(□否；□是，检测机构的要求、检测内容详见第六章项目采购需求)</w:t>
            </w:r>
          </w:p>
          <w:p w14:paraId="6AFDCC2A">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3.样品的评审方法及评审标准：内容详见第三章评标办法及标准</w:t>
            </w:r>
          </w:p>
        </w:tc>
      </w:tr>
      <w:tr w14:paraId="47BC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restart"/>
            <w:noWrap w:val="0"/>
            <w:vAlign w:val="center"/>
          </w:tcPr>
          <w:p w14:paraId="0E942287">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1984" w:type="dxa"/>
            <w:vMerge w:val="restart"/>
            <w:noWrap w:val="0"/>
            <w:vAlign w:val="center"/>
          </w:tcPr>
          <w:p w14:paraId="06D8EF99">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投标文件组成</w:t>
            </w:r>
          </w:p>
        </w:tc>
        <w:tc>
          <w:tcPr>
            <w:tcW w:w="851" w:type="dxa"/>
            <w:vMerge w:val="restart"/>
            <w:noWrap w:val="0"/>
            <w:vAlign w:val="center"/>
          </w:tcPr>
          <w:p w14:paraId="30BEDD5F">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商务部</w:t>
            </w:r>
            <w:r>
              <w:rPr>
                <w:rFonts w:hint="eastAsia" w:ascii="宋体" w:hAnsi="宋体" w:eastAsia="宋体" w:cs="宋体"/>
                <w:bCs/>
                <w:color w:val="auto"/>
                <w:szCs w:val="21"/>
                <w:highlight w:val="none"/>
              </w:rPr>
              <w:t>分</w:t>
            </w:r>
          </w:p>
        </w:tc>
        <w:tc>
          <w:tcPr>
            <w:tcW w:w="5207" w:type="dxa"/>
            <w:noWrap w:val="0"/>
            <w:vAlign w:val="center"/>
          </w:tcPr>
          <w:p w14:paraId="2A5EFE35">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一、资格证明文件：</w:t>
            </w:r>
          </w:p>
          <w:p w14:paraId="6F9DF24A">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 w:val="21"/>
                <w:szCs w:val="21"/>
                <w:highlight w:val="none"/>
                <w:lang w:val="en-US" w:eastAsia="zh-CN"/>
              </w:rPr>
              <w:t>投标人基本情况（附</w:t>
            </w:r>
            <w:r>
              <w:rPr>
                <w:rFonts w:hint="eastAsia" w:ascii="宋体" w:hAnsi="宋体" w:eastAsia="宋体" w:cs="宋体"/>
                <w:color w:val="auto"/>
                <w:sz w:val="21"/>
                <w:szCs w:val="21"/>
                <w:highlight w:val="none"/>
              </w:rPr>
              <w:t>法人或者其他组织的营业执照等证明文件复印件</w:t>
            </w:r>
            <w:r>
              <w:rPr>
                <w:rFonts w:hint="eastAsia" w:ascii="宋体" w:hAnsi="宋体" w:eastAsia="宋体" w:cs="宋体"/>
                <w:color w:val="auto"/>
                <w:sz w:val="21"/>
                <w:szCs w:val="21"/>
                <w:highlight w:val="none"/>
                <w:lang w:val="en-US" w:eastAsia="zh-CN"/>
              </w:rPr>
              <w:t>；投标人如为</w:t>
            </w:r>
            <w:r>
              <w:rPr>
                <w:rFonts w:hint="eastAsia" w:ascii="宋体" w:hAnsi="宋体" w:eastAsia="宋体" w:cs="宋体"/>
                <w:color w:val="auto"/>
                <w:sz w:val="21"/>
                <w:szCs w:val="21"/>
                <w:highlight w:val="none"/>
              </w:rPr>
              <w:t>自然人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提供自然人</w:t>
            </w:r>
            <w:r>
              <w:rPr>
                <w:rFonts w:hint="eastAsia" w:ascii="宋体" w:hAnsi="宋体" w:eastAsia="宋体" w:cs="宋体"/>
                <w:color w:val="auto"/>
                <w:sz w:val="21"/>
                <w:szCs w:val="21"/>
                <w:highlight w:val="none"/>
              </w:rPr>
              <w:t>的身份证明复印件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highlight w:val="none"/>
              </w:rPr>
              <w:t>；</w:t>
            </w:r>
          </w:p>
          <w:p w14:paraId="2D2CF482">
            <w:pPr>
              <w:keepNext w:val="0"/>
              <w:keepLines w:val="0"/>
              <w:pageBreakBefore w:val="0"/>
              <w:widowControl/>
              <w:kinsoku/>
              <w:wordWrap/>
              <w:overflowPunct/>
              <w:topLinePunct/>
              <w:autoSpaceDE/>
              <w:autoSpaceDN/>
              <w:bidi w:val="0"/>
              <w:adjustRightInd w:val="0"/>
              <w:snapToGrid w:val="0"/>
              <w:spacing w:before="60" w:line="336" w:lineRule="auto"/>
              <w:ind w:left="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2.★财务状况报告：</w:t>
            </w:r>
            <w:r>
              <w:rPr>
                <w:rFonts w:hint="eastAsia" w:ascii="宋体" w:hAnsi="宋体" w:cs="宋体"/>
                <w:color w:val="auto"/>
                <w:highlight w:val="none"/>
                <w:lang w:val="en-US" w:eastAsia="zh-CN"/>
              </w:rPr>
              <w:t>2025年度</w:t>
            </w:r>
            <w:r>
              <w:rPr>
                <w:rFonts w:hint="eastAsia" w:ascii="宋体" w:hAnsi="宋体" w:eastAsia="宋体" w:cs="宋体"/>
                <w:color w:val="auto"/>
                <w:highlight w:val="none"/>
                <w:lang w:eastAsia="zh-CN"/>
              </w:rPr>
              <w:t>的</w:t>
            </w:r>
            <w:r>
              <w:rPr>
                <w:rFonts w:hint="eastAsia" w:ascii="宋体" w:hAnsi="宋体" w:eastAsia="宋体" w:cs="宋体"/>
                <w:color w:val="auto"/>
                <w:sz w:val="21"/>
                <w:szCs w:val="21"/>
                <w:highlight w:val="none"/>
              </w:rPr>
              <w:t>经会计师事务所审计的财务报告（须</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加盖会计师事务所公章及注册会计师签章的</w:t>
            </w:r>
            <w:r>
              <w:rPr>
                <w:rFonts w:hint="eastAsia" w:ascii="宋体" w:hAnsi="宋体" w:eastAsia="宋体" w:cs="宋体"/>
                <w:color w:val="auto"/>
                <w:sz w:val="21"/>
                <w:szCs w:val="21"/>
                <w:highlight w:val="none"/>
                <w:lang w:val="en-US" w:eastAsia="zh-CN"/>
              </w:rPr>
              <w:t>复印</w:t>
            </w:r>
            <w:r>
              <w:rPr>
                <w:rFonts w:hint="eastAsia" w:ascii="宋体" w:hAnsi="宋体" w:eastAsia="宋体" w:cs="宋体"/>
                <w:color w:val="auto"/>
                <w:sz w:val="21"/>
                <w:szCs w:val="21"/>
                <w:highlight w:val="none"/>
              </w:rPr>
              <w:t>件）；没有经审计的财务报告的，可以提供基本开户银行出具的资信证明复印件；</w:t>
            </w:r>
            <w:r>
              <w:rPr>
                <w:rFonts w:hint="eastAsia" w:ascii="宋体" w:hAnsi="宋体" w:eastAsia="宋体" w:cs="宋体"/>
                <w:color w:val="auto"/>
                <w:szCs w:val="21"/>
                <w:highlight w:val="none"/>
              </w:rPr>
              <w:t>如供应商为投标当年新成立公司的，应提供于公司成立之日后的财务状况报告</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其中，上述财务状况报告包括：</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执行《企业会计准则》的，提供资产负债表、利润表、现金流量表、所有者权益变动表及其附注（以下称“四表一注”）；</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执行《小企业会计准则》的，提供资产负债表、利润表、现金流量表及其附注（以下称“三表一注”）；</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执行《政府会计制度》的，提供资产负债表、收入费用表和净资产变动表及其附注</w:t>
            </w:r>
            <w:r>
              <w:rPr>
                <w:rFonts w:hint="eastAsia" w:ascii="宋体" w:hAnsi="宋体" w:eastAsia="宋体" w:cs="宋体"/>
                <w:color w:val="auto"/>
                <w:szCs w:val="21"/>
                <w:highlight w:val="none"/>
                <w:lang w:eastAsia="zh-CN"/>
              </w:rPr>
              <w:t>。</w:t>
            </w:r>
          </w:p>
          <w:p w14:paraId="4CF77D3E">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cs="宋体" w:eastAsiaTheme="minorEastAsia"/>
                <w:color w:val="auto"/>
                <w:highlight w:val="none"/>
                <w:lang w:eastAsia="zh-CN"/>
              </w:rPr>
            </w:pPr>
            <w:r>
              <w:rPr>
                <w:rFonts w:hint="eastAsia" w:ascii="宋体" w:hAnsi="宋体" w:eastAsia="宋体" w:cs="宋体"/>
                <w:color w:val="auto"/>
                <w:sz w:val="21"/>
                <w:szCs w:val="21"/>
                <w:highlight w:val="none"/>
              </w:rPr>
              <w:t>3.</w:t>
            </w:r>
            <w:r>
              <w:rPr>
                <w:rFonts w:hint="eastAsia" w:asciiTheme="minorEastAsia" w:hAnsiTheme="minorEastAsia" w:eastAsiaTheme="minorEastAsia" w:cstheme="minorEastAsia"/>
                <w:color w:val="auto"/>
                <w:sz w:val="21"/>
                <w:szCs w:val="21"/>
                <w:highlight w:val="none"/>
              </w:rPr>
              <w:t>★依法缴纳税收：</w:t>
            </w:r>
            <w:r>
              <w:rPr>
                <w:rFonts w:hint="eastAsia" w:asciiTheme="minorEastAsia" w:hAnsiTheme="minorEastAsia" w:eastAsiaTheme="minorEastAsia" w:cstheme="minorEastAsia"/>
                <w:color w:val="auto"/>
                <w:sz w:val="21"/>
                <w:szCs w:val="21"/>
                <w:highlight w:val="none"/>
                <w:lang w:val="en-US" w:eastAsia="zh-CN"/>
              </w:rPr>
              <w:t>2025年9月</w:t>
            </w:r>
            <w:r>
              <w:rPr>
                <w:rFonts w:hint="eastAsia" w:asciiTheme="minorEastAsia" w:hAnsiTheme="minorEastAsia" w:eastAsiaTheme="minorEastAsia" w:cstheme="minorEastAsia"/>
                <w:color w:val="auto"/>
                <w:highlight w:val="none"/>
              </w:rPr>
              <w:t>以来不少于2个月依法缴纳税收（不包括个人所得税）的相关材料，如依法免税或不需要纳税的，则应提供相应证明材料（复印件）</w:t>
            </w:r>
            <w:r>
              <w:rPr>
                <w:rFonts w:hint="eastAsia" w:asciiTheme="minorEastAsia" w:hAnsiTheme="minorEastAsia" w:eastAsiaTheme="minorEastAsia" w:cstheme="minorEastAsia"/>
                <w:color w:val="auto"/>
                <w:highlight w:val="none"/>
                <w:lang w:eastAsia="zh-CN"/>
              </w:rPr>
              <w:t>。如投标人成立时间不足</w:t>
            </w:r>
            <w:r>
              <w:rPr>
                <w:rFonts w:hint="eastAsia" w:asciiTheme="minorEastAsia" w:hAnsiTheme="minorEastAsia" w:eastAsiaTheme="minorEastAsia" w:cstheme="minorEastAsia"/>
                <w:color w:val="auto"/>
                <w:highlight w:val="none"/>
                <w:lang w:val="en-US" w:eastAsia="zh-CN"/>
              </w:rPr>
              <w:t>2个月的，按照实际提供证明材料（成立不足1个月而导致未纳税的，请提供说明材料）</w:t>
            </w:r>
          </w:p>
          <w:p w14:paraId="1E857825">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w:t>
            </w:r>
            <w:r>
              <w:rPr>
                <w:rFonts w:ascii="Times New Roman" w:hAnsi="Times New Roman"/>
                <w:color w:val="auto"/>
                <w:szCs w:val="21"/>
                <w:highlight w:val="none"/>
              </w:rPr>
              <w:t>★社会保障资金：</w:t>
            </w:r>
            <w:r>
              <w:rPr>
                <w:rFonts w:hint="eastAsia" w:asciiTheme="minorEastAsia" w:hAnsiTheme="minorEastAsia" w:cstheme="minorEastAsia"/>
                <w:color w:val="auto"/>
                <w:szCs w:val="21"/>
                <w:highlight w:val="none"/>
                <w:lang w:val="en-US" w:eastAsia="zh-CN"/>
              </w:rPr>
              <w:t>2025年9月</w:t>
            </w:r>
            <w:r>
              <w:rPr>
                <w:rFonts w:hint="eastAsia" w:asciiTheme="minorEastAsia" w:hAnsiTheme="minorEastAsia" w:cstheme="minorEastAsia"/>
                <w:color w:val="auto"/>
                <w:szCs w:val="21"/>
                <w:highlight w:val="none"/>
              </w:rPr>
              <w:t>以来不少于2个月依法缴纳社会保障资金的相关材料，如依法不需要缴纳社会保障资金的，则应提供相应证明材料（复印件）</w:t>
            </w:r>
            <w:r>
              <w:rPr>
                <w:rFonts w:hint="eastAsia" w:ascii="宋体" w:hAnsi="宋体" w:eastAsia="宋体" w:cs="宋体"/>
                <w:color w:val="auto"/>
                <w:highlight w:val="none"/>
                <w:lang w:eastAsia="zh-CN"/>
              </w:rPr>
              <w:t>。</w:t>
            </w:r>
            <w:r>
              <w:rPr>
                <w:rFonts w:hint="eastAsia" w:asciiTheme="minorEastAsia" w:hAnsiTheme="minorEastAsia" w:eastAsiaTheme="minorEastAsia" w:cstheme="minorEastAsia"/>
                <w:color w:val="auto"/>
                <w:highlight w:val="none"/>
                <w:lang w:eastAsia="zh-CN"/>
              </w:rPr>
              <w:t>如投标人成立时间不足</w:t>
            </w:r>
            <w:r>
              <w:rPr>
                <w:rFonts w:hint="eastAsia" w:asciiTheme="minorEastAsia" w:hAnsiTheme="minorEastAsia" w:eastAsiaTheme="minorEastAsia" w:cstheme="minorEastAsia"/>
                <w:color w:val="auto"/>
                <w:highlight w:val="none"/>
                <w:lang w:val="en-US" w:eastAsia="zh-CN"/>
              </w:rPr>
              <w:t>2个月的，按照实际提供证明材料（成立不足1个月而导致未纳税的，请提供说明材料）</w:t>
            </w:r>
          </w:p>
          <w:p w14:paraId="2624EAD3">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5.★具备履行合同所必需的设备和专业技术能力的</w:t>
            </w:r>
            <w:r>
              <w:rPr>
                <w:rFonts w:hint="eastAsia" w:ascii="宋体" w:hAnsi="宋体" w:cs="宋体"/>
                <w:color w:val="auto"/>
                <w:szCs w:val="21"/>
                <w:highlight w:val="none"/>
                <w:lang w:eastAsia="zh-CN"/>
              </w:rPr>
              <w:t>书面声明</w:t>
            </w:r>
            <w:r>
              <w:rPr>
                <w:rFonts w:hint="eastAsia" w:ascii="宋体" w:hAnsi="宋体" w:eastAsia="宋体" w:cs="宋体"/>
                <w:color w:val="auto"/>
                <w:szCs w:val="21"/>
                <w:highlight w:val="none"/>
                <w:lang w:eastAsia="zh-CN"/>
              </w:rPr>
              <w:t>。</w:t>
            </w:r>
          </w:p>
          <w:p w14:paraId="04C75882">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color w:val="auto"/>
                <w:szCs w:val="21"/>
                <w:highlight w:val="none"/>
              </w:rPr>
              <w:t>6.★</w:t>
            </w:r>
            <w:r>
              <w:rPr>
                <w:rFonts w:ascii="宋体" w:hAnsi="宋体" w:eastAsia="宋体" w:cs="宋体"/>
                <w:b w:val="0"/>
                <w:color w:val="auto"/>
                <w:sz w:val="21"/>
                <w:highlight w:val="none"/>
                <w:u w:val="none"/>
              </w:rPr>
              <w:t>参加本项目投标前三年内，在经营活动中没有重大违法记录（指供应商因违法经营受到刑事处罚或者责令停产停业、吊销许可证或者执照、较大数额罚款等行政处罚）的书面声明</w:t>
            </w:r>
            <w:r>
              <w:rPr>
                <w:rFonts w:hint="eastAsia" w:ascii="宋体" w:hAnsi="宋体" w:eastAsia="宋体" w:cs="宋体"/>
                <w:color w:val="auto"/>
                <w:szCs w:val="21"/>
                <w:highlight w:val="none"/>
                <w:lang w:eastAsia="zh-CN"/>
              </w:rPr>
              <w:t>。</w:t>
            </w:r>
          </w:p>
          <w:p w14:paraId="42C0B926">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default" w:eastAsia="宋体"/>
                <w:color w:val="auto"/>
                <w:highlight w:val="none"/>
                <w:lang w:val="en-US" w:eastAsia="zh-CN"/>
              </w:rPr>
            </w:pPr>
            <w:r>
              <w:rPr>
                <w:rFonts w:hint="eastAsia" w:ascii="宋体" w:hAnsi="宋体" w:cs="宋体"/>
                <w:b w:val="0"/>
                <w:color w:val="auto"/>
                <w:kern w:val="2"/>
                <w:sz w:val="21"/>
                <w:szCs w:val="21"/>
                <w:highlight w:val="none"/>
                <w:lang w:val="en-US" w:eastAsia="zh-CN" w:bidi="ar-SA"/>
              </w:rPr>
              <w:t>7</w:t>
            </w:r>
            <w:r>
              <w:rPr>
                <w:rFonts w:hint="eastAsia" w:ascii="宋体" w:hAnsi="宋体" w:eastAsia="宋体" w:cs="宋体"/>
                <w:b w:val="0"/>
                <w:color w:val="auto"/>
                <w:kern w:val="2"/>
                <w:sz w:val="21"/>
                <w:szCs w:val="21"/>
                <w:highlight w:val="none"/>
                <w:lang w:val="en-US" w:eastAsia="zh-CN" w:bidi="ar-SA"/>
              </w:rPr>
              <w:t>.</w:t>
            </w:r>
            <w:r>
              <w:rPr>
                <w:rFonts w:hint="eastAsia" w:ascii="宋体" w:hAnsi="宋体" w:eastAsia="宋体" w:cs="宋体"/>
                <w:color w:val="auto"/>
                <w:szCs w:val="21"/>
                <w:highlight w:val="none"/>
              </w:rPr>
              <w:t>具备法律、行政法规规定的其他条件的证明材料</w:t>
            </w:r>
            <w:r>
              <w:rPr>
                <w:rFonts w:hint="eastAsia" w:ascii="宋体" w:hAnsi="宋体" w:eastAsia="宋体" w:cs="宋体"/>
                <w:color w:val="auto"/>
                <w:highlight w:val="none"/>
                <w:lang w:eastAsia="zh-CN"/>
              </w:rPr>
              <w:t>。</w:t>
            </w:r>
          </w:p>
        </w:tc>
      </w:tr>
      <w:tr w14:paraId="1A378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continue"/>
            <w:noWrap w:val="0"/>
            <w:vAlign w:val="center"/>
          </w:tcPr>
          <w:p w14:paraId="19E6BA5B">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p>
        </w:tc>
        <w:tc>
          <w:tcPr>
            <w:tcW w:w="1984" w:type="dxa"/>
            <w:vMerge w:val="continue"/>
            <w:noWrap w:val="0"/>
            <w:vAlign w:val="center"/>
          </w:tcPr>
          <w:p w14:paraId="482B2885">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p>
        </w:tc>
        <w:tc>
          <w:tcPr>
            <w:tcW w:w="851" w:type="dxa"/>
            <w:vMerge w:val="continue"/>
            <w:noWrap w:val="0"/>
            <w:vAlign w:val="center"/>
          </w:tcPr>
          <w:p w14:paraId="41F49F22">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b/>
                <w:bCs/>
                <w:color w:val="auto"/>
                <w:szCs w:val="21"/>
                <w:highlight w:val="none"/>
              </w:rPr>
            </w:pPr>
          </w:p>
        </w:tc>
        <w:tc>
          <w:tcPr>
            <w:tcW w:w="5207" w:type="dxa"/>
            <w:noWrap w:val="0"/>
            <w:vAlign w:val="center"/>
          </w:tcPr>
          <w:p w14:paraId="06DB5A6D">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二、开标一览表：</w:t>
            </w:r>
          </w:p>
          <w:p w14:paraId="1CB182E1">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1.★投标报价表；</w:t>
            </w:r>
          </w:p>
          <w:p w14:paraId="12C1B8DB">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highlight w:val="none"/>
                <w:lang w:val="en-US" w:eastAsia="zh-CN"/>
              </w:rPr>
              <w:t>分项价格表</w:t>
            </w:r>
          </w:p>
        </w:tc>
      </w:tr>
      <w:tr w14:paraId="44C2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continue"/>
            <w:noWrap w:val="0"/>
            <w:vAlign w:val="center"/>
          </w:tcPr>
          <w:p w14:paraId="388B0911">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p>
        </w:tc>
        <w:tc>
          <w:tcPr>
            <w:tcW w:w="1984" w:type="dxa"/>
            <w:vMerge w:val="continue"/>
            <w:noWrap w:val="0"/>
            <w:vAlign w:val="center"/>
          </w:tcPr>
          <w:p w14:paraId="3F66560E">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p>
        </w:tc>
        <w:tc>
          <w:tcPr>
            <w:tcW w:w="851" w:type="dxa"/>
            <w:vMerge w:val="continue"/>
            <w:noWrap w:val="0"/>
            <w:vAlign w:val="center"/>
          </w:tcPr>
          <w:p w14:paraId="20B8E9DD">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b/>
                <w:bCs/>
                <w:color w:val="auto"/>
                <w:szCs w:val="21"/>
                <w:highlight w:val="none"/>
              </w:rPr>
            </w:pPr>
          </w:p>
        </w:tc>
        <w:tc>
          <w:tcPr>
            <w:tcW w:w="5207" w:type="dxa"/>
            <w:noWrap w:val="0"/>
            <w:vAlign w:val="center"/>
          </w:tcPr>
          <w:p w14:paraId="3B4A5EA7">
            <w:pPr>
              <w:keepNext w:val="0"/>
              <w:keepLines w:val="0"/>
              <w:pageBreakBefore w:val="0"/>
              <w:widowControl/>
              <w:shd w:val="clear"/>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三、其他文件及资料：</w:t>
            </w:r>
          </w:p>
          <w:p w14:paraId="0295E798">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1.★法定代表人授权委托书(适用于被授权投标代表参与投标活动的，加盖公章)或法定代表人身份证明 (适用于法定代表人参加投标活动的，加盖公章)；</w:t>
            </w:r>
          </w:p>
          <w:p w14:paraId="42468433">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加盖公章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3889BF3A">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 w:val="21"/>
                <w:szCs w:val="21"/>
                <w:highlight w:val="none"/>
              </w:rPr>
              <w:t>★</w:t>
            </w:r>
            <w:r>
              <w:rPr>
                <w:rFonts w:hint="eastAsia" w:ascii="宋体" w:hAnsi="宋体" w:eastAsia="宋体" w:cs="宋体"/>
                <w:color w:val="auto"/>
                <w:szCs w:val="21"/>
                <w:highlight w:val="none"/>
              </w:rPr>
              <w:t>商务条款偏离表；</w:t>
            </w:r>
          </w:p>
          <w:p w14:paraId="5AA74694">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w:t>
            </w:r>
            <w:r>
              <w:rPr>
                <w:rFonts w:hint="default" w:ascii="Times New Roman" w:hAnsi="Times New Roman" w:eastAsia="宋体" w:cs="Times New Roman"/>
                <w:color w:val="auto"/>
                <w:sz w:val="21"/>
                <w:szCs w:val="21"/>
                <w:highlight w:val="none"/>
              </w:rPr>
              <w:t>★</w:t>
            </w:r>
            <w:r>
              <w:rPr>
                <w:rFonts w:hint="eastAsia"/>
                <w:color w:val="auto"/>
                <w:szCs w:val="21"/>
                <w:highlight w:val="none"/>
              </w:rPr>
              <w:t>供应商公平参与市场竞争承诺函</w:t>
            </w:r>
            <w:r>
              <w:rPr>
                <w:rFonts w:hint="eastAsia"/>
                <w:color w:val="auto"/>
                <w:szCs w:val="21"/>
                <w:highlight w:val="none"/>
                <w:lang w:eastAsia="zh-CN"/>
              </w:rPr>
              <w:t>；</w:t>
            </w:r>
          </w:p>
          <w:p w14:paraId="22B3DB92">
            <w:pPr>
              <w:widowControl/>
              <w:topLinePunct/>
              <w:adjustRightInd w:val="0"/>
              <w:snapToGrid w:val="0"/>
              <w:spacing w:before="60" w:line="33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.中小企业声明函（中小企业投标的，应按照《政府采购促进中小企业发展管理办法》（财库﹝2020﹞46 号印发）《关于印发中小企业划型标准规定的通知》 （工信部联企业〔2011〕300号）如实填写并提交此函）；</w:t>
            </w:r>
          </w:p>
          <w:p w14:paraId="7DDA7019">
            <w:pPr>
              <w:widowControl/>
              <w:topLinePunct/>
              <w:adjustRightInd w:val="0"/>
              <w:snapToGrid w:val="0"/>
              <w:spacing w:before="60" w:line="33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.监狱企业证明文件[监狱企业投标的，应提交省级以上监狱管理局、戒毒管理局（含新疆生产建设兵团）出具的证明文件]；</w:t>
            </w:r>
          </w:p>
          <w:p w14:paraId="0C7303B6">
            <w:pPr>
              <w:widowControl/>
              <w:topLinePunct/>
              <w:adjustRightInd w:val="0"/>
              <w:snapToGrid w:val="0"/>
              <w:spacing w:before="60" w:line="336"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.残疾人福利性单位声明函（残疾人福利性单位投标的，应提交此函）；</w:t>
            </w:r>
          </w:p>
          <w:p w14:paraId="20405E8A">
            <w:pPr>
              <w:widowControl/>
              <w:topLinePunct/>
              <w:adjustRightInd w:val="0"/>
              <w:snapToGrid w:val="0"/>
              <w:spacing w:before="60" w:line="336" w:lineRule="auto"/>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符合本国产品标准的相关证明材料（提供本国产品投标的，应按照《国务院办公厅关于在政府采购中实施本国产品标准及相关政策的通知》（国办发〔2025〕34号）如实填写并提交《关于符合本国产品标准的声明函》或财政部会同有关部门规定的有关证明文件）；</w:t>
            </w:r>
          </w:p>
          <w:p w14:paraId="1E771CF6">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.本国产品占全部产品成本之和比例的承诺（采购项目含有多种产品的，供应商在投标（响应）文件中，对其提供的本国产品占其提供的全部产品之和比例是否达到80%做出承诺，格式自拟）；</w:t>
            </w:r>
          </w:p>
          <w:p w14:paraId="6D4740A4">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投标人认为需要提供的其它说明和资料。</w:t>
            </w:r>
          </w:p>
          <w:p w14:paraId="3E8C3862">
            <w:pPr>
              <w:pStyle w:val="2"/>
              <w:rPr>
                <w:rFonts w:hint="default" w:eastAsia="宋体"/>
                <w:color w:val="auto"/>
                <w:highlight w:val="none"/>
                <w:lang w:val="en-US" w:eastAsia="zh-CN"/>
              </w:rPr>
            </w:pP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rPr>
              <w:t>★投标保证金提交凭证（如要求提交投标保证金的则必须提供，否则按无效投标处理）</w:t>
            </w:r>
            <w:r>
              <w:rPr>
                <w:rFonts w:hint="eastAsia" w:ascii="宋体" w:hAnsi="宋体" w:eastAsia="宋体" w:cs="宋体"/>
                <w:color w:val="auto"/>
                <w:szCs w:val="21"/>
                <w:highlight w:val="none"/>
                <w:lang w:eastAsia="zh-CN"/>
              </w:rPr>
              <w:t>；</w:t>
            </w:r>
          </w:p>
        </w:tc>
      </w:tr>
      <w:tr w14:paraId="56D01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continue"/>
            <w:noWrap w:val="0"/>
            <w:vAlign w:val="center"/>
          </w:tcPr>
          <w:p w14:paraId="6407A274">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1984" w:type="dxa"/>
            <w:vMerge w:val="continue"/>
            <w:noWrap w:val="0"/>
            <w:vAlign w:val="center"/>
          </w:tcPr>
          <w:p w14:paraId="23864AEC">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851" w:type="dxa"/>
            <w:noWrap w:val="0"/>
            <w:vAlign w:val="center"/>
          </w:tcPr>
          <w:p w14:paraId="3B4AF684">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技术部分</w:t>
            </w:r>
          </w:p>
        </w:tc>
        <w:tc>
          <w:tcPr>
            <w:tcW w:w="5207" w:type="dxa"/>
            <w:noWrap w:val="0"/>
            <w:vAlign w:val="center"/>
          </w:tcPr>
          <w:p w14:paraId="3104B44C">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highlight w:val="none"/>
              </w:rPr>
              <w:t>★</w:t>
            </w:r>
            <w:r>
              <w:rPr>
                <w:rFonts w:hint="eastAsia" w:ascii="宋体" w:hAnsi="宋体" w:eastAsia="宋体" w:cs="宋体"/>
                <w:color w:val="auto"/>
                <w:szCs w:val="21"/>
                <w:highlight w:val="none"/>
              </w:rPr>
              <w:t>技术条款偏离表；</w:t>
            </w:r>
          </w:p>
          <w:p w14:paraId="20328B8E">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本项目服务方案（包括但不限于项目需求理解、运行维护方案、管理方案、配合验收方案等）</w:t>
            </w:r>
            <w:r>
              <w:rPr>
                <w:rFonts w:hint="eastAsia" w:ascii="宋体" w:hAnsi="宋体" w:eastAsia="宋体" w:cs="宋体"/>
                <w:color w:val="auto"/>
                <w:szCs w:val="21"/>
                <w:highlight w:val="none"/>
              </w:rPr>
              <w:t>；</w:t>
            </w:r>
          </w:p>
          <w:p w14:paraId="17C40A12">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3.拟投入技术力量一览表</w:t>
            </w:r>
            <w:r>
              <w:rPr>
                <w:rFonts w:hint="eastAsia" w:ascii="宋体" w:hAnsi="宋体" w:cs="宋体"/>
                <w:color w:val="auto"/>
                <w:szCs w:val="21"/>
                <w:highlight w:val="none"/>
                <w:lang w:eastAsia="zh-CN"/>
              </w:rPr>
              <w:t>；</w:t>
            </w:r>
          </w:p>
          <w:p w14:paraId="4B38E468">
            <w:pPr>
              <w:keepNext w:val="0"/>
              <w:keepLines w:val="0"/>
              <w:pageBreakBefore w:val="0"/>
              <w:widowControl/>
              <w:tabs>
                <w:tab w:val="left" w:pos="0"/>
                <w:tab w:val="left" w:pos="220"/>
              </w:tabs>
              <w:kinsoku/>
              <w:wordWrap/>
              <w:overflowPunct/>
              <w:topLinePunct/>
              <w:autoSpaceDE/>
              <w:autoSpaceDN/>
              <w:bidi w:val="0"/>
              <w:adjustRightInd w:val="0"/>
              <w:snapToGrid w:val="0"/>
              <w:spacing w:before="60" w:line="336" w:lineRule="auto"/>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4.人员稳定性承诺（格式自拟）；</w:t>
            </w:r>
          </w:p>
          <w:p w14:paraId="47F2978A">
            <w:pPr>
              <w:keepNext w:val="0"/>
              <w:keepLines w:val="0"/>
              <w:pageBreakBefore w:val="0"/>
              <w:widowControl/>
              <w:tabs>
                <w:tab w:val="left" w:pos="0"/>
                <w:tab w:val="left" w:pos="220"/>
              </w:tabs>
              <w:kinsoku/>
              <w:wordWrap/>
              <w:overflowPunct/>
              <w:topLinePunct/>
              <w:autoSpaceDE/>
              <w:autoSpaceDN/>
              <w:bidi w:val="0"/>
              <w:adjustRightInd w:val="0"/>
              <w:snapToGrid w:val="0"/>
              <w:spacing w:before="60" w:line="336" w:lineRule="auto"/>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5.满足指标要求情况（相关内容在《技术条款偏离表》中予以响应）；</w:t>
            </w:r>
          </w:p>
          <w:p w14:paraId="1D9C6791">
            <w:pPr>
              <w:keepNext w:val="0"/>
              <w:keepLines w:val="0"/>
              <w:pageBreakBefore w:val="0"/>
              <w:widowControl/>
              <w:tabs>
                <w:tab w:val="left" w:pos="0"/>
                <w:tab w:val="left" w:pos="220"/>
              </w:tabs>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投标人认为需要提供的其它说明和资料。</w:t>
            </w:r>
          </w:p>
        </w:tc>
      </w:tr>
      <w:tr w14:paraId="589E6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continue"/>
            <w:noWrap w:val="0"/>
            <w:vAlign w:val="center"/>
          </w:tcPr>
          <w:p w14:paraId="18A57367">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p>
        </w:tc>
        <w:tc>
          <w:tcPr>
            <w:tcW w:w="1984" w:type="dxa"/>
            <w:vMerge w:val="continue"/>
            <w:noWrap w:val="0"/>
            <w:vAlign w:val="center"/>
          </w:tcPr>
          <w:p w14:paraId="461E28C0">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p>
        </w:tc>
        <w:tc>
          <w:tcPr>
            <w:tcW w:w="6058" w:type="dxa"/>
            <w:gridSpan w:val="2"/>
            <w:noWrap w:val="0"/>
            <w:vAlign w:val="center"/>
          </w:tcPr>
          <w:p w14:paraId="32F2BBFC">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1.以上带★的文件及资料未提供或提供的无效，则投标无效。</w:t>
            </w:r>
          </w:p>
          <w:p w14:paraId="0A5BE23C">
            <w:pPr>
              <w:pStyle w:val="10"/>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2</w:t>
            </w:r>
            <w:r>
              <w:rPr>
                <w:rFonts w:hint="eastAsia" w:ascii="宋体" w:hAnsi="宋体" w:cs="宋体"/>
                <w:b/>
                <w:color w:val="auto"/>
                <w:kern w:val="2"/>
                <w:sz w:val="21"/>
                <w:szCs w:val="21"/>
                <w:highlight w:val="none"/>
                <w:lang w:val="en-US" w:eastAsia="zh-CN" w:bidi="ar-SA"/>
              </w:rPr>
              <w:t>.</w:t>
            </w:r>
            <w:r>
              <w:rPr>
                <w:rFonts w:hint="eastAsia" w:ascii="宋体" w:hAnsi="宋体" w:eastAsia="宋体" w:cs="宋体"/>
                <w:b/>
                <w:color w:val="auto"/>
                <w:kern w:val="2"/>
                <w:sz w:val="21"/>
                <w:szCs w:val="21"/>
                <w:highlight w:val="none"/>
                <w:lang w:val="en-US" w:eastAsia="zh-CN" w:bidi="ar-SA"/>
              </w:rPr>
              <w:t>以上带★的文件，必须加盖投标人公章，否则按无效投标处理。</w:t>
            </w:r>
          </w:p>
          <w:p w14:paraId="5BDE5EAA">
            <w:pPr>
              <w:pStyle w:val="10"/>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3.要求提供扫描件的，扫描件与照片、图片等电子文件效力相等。</w:t>
            </w:r>
          </w:p>
        </w:tc>
      </w:tr>
      <w:tr w14:paraId="71D8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75F2233F">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1984" w:type="dxa"/>
            <w:noWrap w:val="0"/>
            <w:vAlign w:val="center"/>
          </w:tcPr>
          <w:p w14:paraId="610EED84">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058" w:type="dxa"/>
            <w:gridSpan w:val="2"/>
            <w:noWrap w:val="0"/>
            <w:vAlign w:val="center"/>
          </w:tcPr>
          <w:p w14:paraId="0BFC51BE">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从提交投标文件的截止之日起计算</w:t>
            </w:r>
            <w:r>
              <w:rPr>
                <w:rFonts w:hint="eastAsia" w:ascii="宋体" w:hAnsi="宋体" w:cs="宋体"/>
                <w:color w:val="auto"/>
                <w:szCs w:val="21"/>
                <w:highlight w:val="none"/>
                <w:u w:val="single"/>
                <w:lang w:val="en-US" w:eastAsia="zh-CN"/>
              </w:rPr>
              <w:t>120</w:t>
            </w:r>
            <w:r>
              <w:rPr>
                <w:rFonts w:hint="eastAsia" w:ascii="宋体" w:hAnsi="宋体" w:eastAsia="宋体" w:cs="宋体"/>
                <w:color w:val="auto"/>
                <w:szCs w:val="21"/>
                <w:highlight w:val="none"/>
              </w:rPr>
              <w:t>日历日。</w:t>
            </w:r>
          </w:p>
        </w:tc>
      </w:tr>
      <w:tr w14:paraId="2D8B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467C7631">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1984" w:type="dxa"/>
            <w:noWrap w:val="0"/>
            <w:vAlign w:val="center"/>
          </w:tcPr>
          <w:p w14:paraId="77F361F2">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提交投标文件方式、截止时间、开标时间、地点</w:t>
            </w:r>
          </w:p>
        </w:tc>
        <w:tc>
          <w:tcPr>
            <w:tcW w:w="6058" w:type="dxa"/>
            <w:gridSpan w:val="2"/>
            <w:noWrap w:val="0"/>
            <w:vAlign w:val="center"/>
          </w:tcPr>
          <w:p w14:paraId="10BE123E">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提交方式：（</w:t>
            </w:r>
            <w:r>
              <w:rPr>
                <w:rFonts w:hint="eastAsia" w:ascii="宋体" w:hAnsi="宋体" w:eastAsia="宋体" w:cs="宋体"/>
                <w:color w:val="auto"/>
                <w:szCs w:val="21"/>
                <w:highlight w:val="none"/>
                <w:u w:val="single"/>
              </w:rPr>
              <w:t>纸质文件提交）</w:t>
            </w:r>
          </w:p>
          <w:p w14:paraId="3644021D">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投标截止时间和开标时间：</w:t>
            </w:r>
            <w:r>
              <w:rPr>
                <w:rFonts w:hint="eastAsia" w:ascii="宋体" w:hAnsi="宋体" w:eastAsia="宋体" w:cs="宋体"/>
                <w:color w:val="auto"/>
                <w:szCs w:val="21"/>
                <w:highlight w:val="none"/>
                <w:u w:val="single"/>
                <w:lang w:val="en-US" w:eastAsia="zh-CN"/>
              </w:rPr>
              <w:t>202</w:t>
            </w:r>
            <w:r>
              <w:rPr>
                <w:rFonts w:hint="eastAsia" w:ascii="宋体" w:hAnsi="宋体" w:cs="宋体"/>
                <w:color w:val="auto"/>
                <w:szCs w:val="21"/>
                <w:highlight w:val="none"/>
                <w:u w:val="single"/>
                <w:lang w:val="en-US" w:eastAsia="zh-CN"/>
              </w:rPr>
              <w:t>6</w:t>
            </w:r>
            <w:r>
              <w:rPr>
                <w:rFonts w:hint="eastAsia" w:ascii="宋体" w:hAnsi="宋体" w:eastAsia="宋体" w:cs="宋体"/>
                <w:bCs/>
                <w:color w:val="auto"/>
                <w:szCs w:val="21"/>
                <w:highlight w:val="none"/>
                <w:u w:val="single"/>
              </w:rPr>
              <w:t>年</w:t>
            </w:r>
            <w:r>
              <w:rPr>
                <w:rFonts w:hint="eastAsia" w:ascii="宋体" w:hAnsi="宋体" w:cs="宋体"/>
                <w:bCs/>
                <w:color w:val="auto"/>
                <w:szCs w:val="21"/>
                <w:highlight w:val="none"/>
                <w:u w:val="single"/>
                <w:lang w:val="en-US" w:eastAsia="zh-CN"/>
              </w:rPr>
              <w:t>10月20日</w:t>
            </w:r>
            <w:r>
              <w:rPr>
                <w:rFonts w:hint="eastAsia" w:ascii="宋体" w:hAnsi="宋体" w:eastAsia="宋体" w:cs="宋体"/>
                <w:color w:val="auto"/>
                <w:szCs w:val="21"/>
                <w:highlight w:val="none"/>
                <w:u w:val="single"/>
                <w:lang w:val="en-US" w:eastAsia="zh-CN"/>
              </w:rPr>
              <w:t>上</w:t>
            </w:r>
            <w:r>
              <w:rPr>
                <w:rFonts w:hint="eastAsia" w:ascii="宋体" w:hAnsi="宋体" w:eastAsia="宋体" w:cs="宋体"/>
                <w:bCs/>
                <w:color w:val="auto"/>
                <w:szCs w:val="21"/>
                <w:highlight w:val="none"/>
                <w:u w:val="single"/>
              </w:rPr>
              <w:t>午</w:t>
            </w:r>
            <w:r>
              <w:rPr>
                <w:rFonts w:hint="eastAsia" w:ascii="宋体" w:hAnsi="宋体" w:eastAsia="宋体" w:cs="宋体"/>
                <w:color w:val="auto"/>
                <w:szCs w:val="21"/>
                <w:highlight w:val="none"/>
                <w:u w:val="single"/>
                <w:lang w:val="en-US" w:eastAsia="zh-CN"/>
              </w:rPr>
              <w:t>9时30分</w:t>
            </w:r>
            <w:r>
              <w:rPr>
                <w:rFonts w:hint="eastAsia" w:ascii="宋体" w:hAnsi="宋体" w:eastAsia="宋体" w:cs="宋体"/>
                <w:color w:val="auto"/>
                <w:szCs w:val="21"/>
                <w:highlight w:val="none"/>
              </w:rPr>
              <w:t>（北京时间）</w:t>
            </w:r>
          </w:p>
          <w:p w14:paraId="29941E81">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开标方式：（</w:t>
            </w:r>
            <w:r>
              <w:rPr>
                <w:rFonts w:hint="eastAsia" w:ascii="宋体" w:hAnsi="宋体" w:eastAsia="宋体" w:cs="宋体"/>
                <w:color w:val="auto"/>
                <w:szCs w:val="21"/>
                <w:highlight w:val="none"/>
                <w:u w:val="single"/>
              </w:rPr>
              <w:t>线下开标）</w:t>
            </w:r>
          </w:p>
          <w:p w14:paraId="52BBBFAB">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提交投标文件地点：</w:t>
            </w:r>
            <w:r>
              <w:rPr>
                <w:rFonts w:hint="eastAsia" w:ascii="宋体" w:hAnsi="宋体" w:eastAsia="宋体" w:cs="宋体"/>
                <w:b w:val="0"/>
                <w:bCs/>
                <w:color w:val="auto"/>
                <w:sz w:val="21"/>
                <w:szCs w:val="21"/>
                <w:highlight w:val="none"/>
                <w:u w:val="single"/>
                <w:lang w:val="en-US" w:eastAsia="zh-CN"/>
              </w:rPr>
              <w:t>南宁市青秀区枫林路18号广西国资交易中心开标室</w:t>
            </w:r>
          </w:p>
          <w:p w14:paraId="73862A7E">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开标地点：</w:t>
            </w:r>
            <w:r>
              <w:rPr>
                <w:rFonts w:hint="eastAsia" w:ascii="宋体" w:hAnsi="宋体" w:eastAsia="宋体" w:cs="宋体"/>
                <w:b w:val="0"/>
                <w:bCs/>
                <w:color w:val="auto"/>
                <w:sz w:val="21"/>
                <w:szCs w:val="21"/>
                <w:highlight w:val="none"/>
                <w:u w:val="single"/>
                <w:lang w:val="en-US" w:eastAsia="zh-CN"/>
              </w:rPr>
              <w:t>南宁市青秀区枫林路18号广西国资交易中心开标室</w:t>
            </w:r>
          </w:p>
          <w:p w14:paraId="0D4D6BDC">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联系电话：</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0771-</w:t>
            </w:r>
            <w:r>
              <w:rPr>
                <w:rFonts w:hint="eastAsia" w:ascii="宋体" w:hAnsi="宋体" w:cs="宋体"/>
                <w:b/>
                <w:color w:val="auto"/>
                <w:szCs w:val="21"/>
                <w:highlight w:val="none"/>
                <w:u w:val="single"/>
                <w:lang w:val="en-US" w:eastAsia="zh-CN"/>
              </w:rPr>
              <w:t>2807659、2819799</w:t>
            </w:r>
          </w:p>
        </w:tc>
      </w:tr>
      <w:tr w14:paraId="1A266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4674E2F1">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1984" w:type="dxa"/>
            <w:noWrap w:val="0"/>
            <w:vAlign w:val="center"/>
          </w:tcPr>
          <w:p w14:paraId="0B234114">
            <w:pPr>
              <w:keepNext w:val="0"/>
              <w:keepLines w:val="0"/>
              <w:pageBreakBefore w:val="0"/>
              <w:widowControl/>
              <w:tabs>
                <w:tab w:val="left" w:pos="1875"/>
              </w:tabs>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投标保证金</w:t>
            </w:r>
          </w:p>
        </w:tc>
        <w:tc>
          <w:tcPr>
            <w:tcW w:w="6058" w:type="dxa"/>
            <w:gridSpan w:val="2"/>
            <w:noWrap w:val="0"/>
            <w:vAlign w:val="center"/>
          </w:tcPr>
          <w:p w14:paraId="2C3C50A1">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snapToGrid w:val="0"/>
                <w:color w:val="auto"/>
                <w:szCs w:val="21"/>
                <w:highlight w:val="none"/>
                <w:lang w:val="zh-CN"/>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不要求提供</w:t>
            </w:r>
          </w:p>
          <w:p w14:paraId="1C8732AA">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要求提供：</w:t>
            </w:r>
          </w:p>
          <w:p w14:paraId="0CA1B5C5">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（1）金额：人民币</w:t>
            </w:r>
            <w:r>
              <w:rPr>
                <w:rFonts w:hint="eastAsia" w:ascii="宋体" w:hAnsi="宋体" w:cs="宋体"/>
                <w:color w:val="auto"/>
                <w:szCs w:val="21"/>
                <w:highlight w:val="none"/>
                <w:lang w:val="en-US" w:eastAsia="zh-CN"/>
              </w:rPr>
              <w:t>（大写）壹拾玖万元整</w:t>
            </w:r>
            <w:r>
              <w:rPr>
                <w:rFonts w:hint="eastAsia" w:ascii="宋体" w:hAnsi="宋体" w:eastAsia="宋体" w:cs="宋体"/>
                <w:color w:val="auto"/>
                <w:szCs w:val="21"/>
                <w:highlight w:val="none"/>
                <w:lang w:val="en-US" w:eastAsia="zh-CN"/>
              </w:rPr>
              <w:t>（</w:t>
            </w:r>
            <w:r>
              <w:rPr>
                <w:rFonts w:hint="default" w:ascii="Arial" w:hAnsi="Arial" w:eastAsia="宋体" w:cs="Arial"/>
                <w:color w:val="auto"/>
                <w:szCs w:val="21"/>
                <w:highlight w:val="none"/>
                <w:lang w:val="en-US" w:eastAsia="zh-CN"/>
              </w:rPr>
              <w:t>¥</w:t>
            </w:r>
            <w:r>
              <w:rPr>
                <w:rFonts w:hint="eastAsia" w:ascii="宋体" w:hAnsi="宋体" w:cs="宋体"/>
                <w:color w:val="auto"/>
                <w:szCs w:val="21"/>
                <w:highlight w:val="none"/>
                <w:lang w:val="en-US" w:eastAsia="zh-CN"/>
              </w:rPr>
              <w:t>190000.00</w:t>
            </w:r>
            <w:r>
              <w:rPr>
                <w:rFonts w:hint="eastAsia" w:ascii="宋体" w:hAnsi="宋体" w:eastAsia="宋体" w:cs="宋体"/>
                <w:color w:val="auto"/>
                <w:szCs w:val="21"/>
                <w:highlight w:val="none"/>
                <w:lang w:val="en-US" w:eastAsia="zh-CN"/>
              </w:rPr>
              <w:t>）</w:t>
            </w:r>
          </w:p>
          <w:p w14:paraId="1341601B">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（2）提交方式：</w:t>
            </w:r>
            <w:r>
              <w:rPr>
                <w:rFonts w:hint="eastAsia" w:ascii="宋体" w:hAnsi="宋体" w:eastAsia="宋体" w:cs="宋体"/>
                <w:color w:val="auto"/>
                <w:sz w:val="21"/>
                <w:szCs w:val="21"/>
                <w:highlight w:val="none"/>
              </w:rPr>
              <w:t>银行转账、支票、汇票、本票或者金融、担保机构出具的保函，禁止采用现钞方式。采用银行转账方式的，在提交</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文件截止时间前交至采购代理机构指定账户并且到账；采用支票、汇票、本票或者保函等方式的，在提交</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文件截止时间前，供应商必须递交单独密封的支票、汇票、本票或者保函原件。否则视为无效</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rPr>
              <w:t>保证金。</w:t>
            </w:r>
          </w:p>
          <w:p w14:paraId="1E888C07">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收款账户：</w:t>
            </w:r>
            <w:r>
              <w:rPr>
                <w:rFonts w:hint="eastAsia" w:ascii="宋体" w:hAnsi="宋体" w:eastAsia="宋体" w:cs="宋体"/>
                <w:color w:val="auto"/>
                <w:sz w:val="21"/>
                <w:szCs w:val="21"/>
                <w:highlight w:val="none"/>
                <w:u w:val="single"/>
                <w:lang w:val="en-US" w:eastAsia="zh-CN"/>
              </w:rPr>
              <w:t>广西建设工程机电设备招标中心有限公司</w:t>
            </w:r>
          </w:p>
          <w:p w14:paraId="7C7A060B">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开户银行：</w:t>
            </w:r>
            <w:r>
              <w:rPr>
                <w:rFonts w:hint="eastAsia" w:ascii="宋体" w:hAnsi="宋体" w:eastAsia="宋体" w:cs="宋体"/>
                <w:color w:val="auto"/>
                <w:sz w:val="21"/>
                <w:szCs w:val="21"/>
                <w:highlight w:val="none"/>
                <w:u w:val="single"/>
                <w:lang w:val="en-US" w:eastAsia="zh-CN"/>
              </w:rPr>
              <w:t>招商银行南宁分行营业部</w:t>
            </w:r>
          </w:p>
          <w:p w14:paraId="27917324">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lang w:val="en-US" w:eastAsia="zh-CN"/>
              </w:rPr>
              <w:t xml:space="preserve">银行账户： </w:t>
            </w:r>
            <w:r>
              <w:rPr>
                <w:rFonts w:hint="eastAsia" w:ascii="宋体" w:hAnsi="宋体" w:eastAsia="宋体" w:cs="宋体"/>
                <w:color w:val="auto"/>
                <w:sz w:val="21"/>
                <w:szCs w:val="21"/>
                <w:highlight w:val="none"/>
                <w:u w:val="single"/>
                <w:lang w:val="en-US" w:eastAsia="zh-CN"/>
              </w:rPr>
              <w:t>7719 0142 3310 201</w:t>
            </w:r>
          </w:p>
        </w:tc>
      </w:tr>
      <w:tr w14:paraId="3A1A7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restart"/>
            <w:noWrap w:val="0"/>
            <w:vAlign w:val="center"/>
          </w:tcPr>
          <w:p w14:paraId="7050952F">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1984" w:type="dxa"/>
            <w:vMerge w:val="restart"/>
            <w:noWrap w:val="0"/>
            <w:vAlign w:val="center"/>
          </w:tcPr>
          <w:p w14:paraId="4B1B18DE">
            <w:pPr>
              <w:keepNext w:val="0"/>
              <w:keepLines w:val="0"/>
              <w:pageBreakBefore w:val="0"/>
              <w:widowControl/>
              <w:tabs>
                <w:tab w:val="left" w:pos="1875"/>
              </w:tabs>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ascii="Times New Roman" w:hAnsi="Times New Roman"/>
                <w:color w:val="auto"/>
                <w:szCs w:val="21"/>
                <w:highlight w:val="none"/>
              </w:rPr>
              <w:t>投标保证金</w:t>
            </w:r>
            <w:r>
              <w:rPr>
                <w:rFonts w:hint="eastAsia" w:ascii="Times New Roman" w:hAnsi="Times New Roman"/>
                <w:color w:val="auto"/>
                <w:szCs w:val="21"/>
                <w:highlight w:val="none"/>
                <w:lang w:eastAsia="zh-CN"/>
              </w:rPr>
              <w:t>退还方式以及</w:t>
            </w:r>
            <w:r>
              <w:rPr>
                <w:rFonts w:ascii="Times New Roman" w:hAnsi="Times New Roman"/>
                <w:color w:val="auto"/>
                <w:szCs w:val="21"/>
                <w:highlight w:val="none"/>
              </w:rPr>
              <w:t>不予退还的情形</w:t>
            </w:r>
          </w:p>
        </w:tc>
        <w:tc>
          <w:tcPr>
            <w:tcW w:w="6058" w:type="dxa"/>
            <w:gridSpan w:val="2"/>
            <w:noWrap w:val="0"/>
            <w:vAlign w:val="center"/>
          </w:tcPr>
          <w:p w14:paraId="4EA000E6">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ascii="Times New Roman" w:hAnsi="Times New Roman" w:cs="Times New Roman"/>
                <w:color w:val="auto"/>
                <w:szCs w:val="21"/>
                <w:highlight w:val="none"/>
                <w:u w:val="single"/>
                <w:lang w:val="en-US" w:eastAsia="zh-CN"/>
              </w:rPr>
            </w:pPr>
            <w:r>
              <w:rPr>
                <w:rFonts w:hint="eastAsia" w:ascii="Times New Roman" w:hAnsi="Times New Roman" w:cs="Times New Roman"/>
                <w:color w:val="auto"/>
                <w:szCs w:val="21"/>
                <w:highlight w:val="none"/>
                <w:u w:val="single"/>
                <w:lang w:val="en-US" w:eastAsia="zh-CN"/>
              </w:rPr>
              <w:t>未中标的投标人的投标保证金，将在中标通知书发出后</w:t>
            </w:r>
            <w:r>
              <w:rPr>
                <w:rFonts w:ascii="Times New Roman" w:hAnsi="Times New Roman" w:cs="Times New Roman"/>
                <w:color w:val="auto"/>
                <w:szCs w:val="21"/>
                <w:highlight w:val="none"/>
                <w:u w:val="single"/>
                <w:lang w:val="en-US" w:eastAsia="zh-CN"/>
              </w:rPr>
              <w:t>5</w:t>
            </w:r>
            <w:r>
              <w:rPr>
                <w:rFonts w:hint="eastAsia" w:ascii="Times New Roman" w:hAnsi="Times New Roman" w:cs="Times New Roman"/>
                <w:color w:val="auto"/>
                <w:szCs w:val="21"/>
                <w:highlight w:val="none"/>
                <w:u w:val="single"/>
                <w:lang w:val="en-US" w:eastAsia="zh-CN"/>
              </w:rPr>
              <w:t>个工作日内退还。</w:t>
            </w:r>
          </w:p>
          <w:p w14:paraId="2365B016">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ascii="Times New Roman" w:hAnsi="Times New Roman"/>
                <w:color w:val="auto"/>
                <w:szCs w:val="21"/>
                <w:highlight w:val="none"/>
                <w:u w:val="single"/>
              </w:rPr>
            </w:pPr>
            <w:r>
              <w:rPr>
                <w:rFonts w:hint="eastAsia" w:ascii="Times New Roman" w:hAnsi="Times New Roman" w:cs="Times New Roman"/>
                <w:color w:val="auto"/>
                <w:szCs w:val="21"/>
                <w:highlight w:val="none"/>
                <w:u w:val="single"/>
                <w:lang w:val="en-US" w:eastAsia="zh-CN"/>
              </w:rPr>
              <w:t>中标人的投标保证金，将在政府采购合同签订后</w:t>
            </w:r>
            <w:r>
              <w:rPr>
                <w:rFonts w:ascii="Times New Roman" w:hAnsi="Times New Roman" w:cs="Times New Roman"/>
                <w:color w:val="auto"/>
                <w:szCs w:val="21"/>
                <w:highlight w:val="none"/>
                <w:u w:val="single"/>
                <w:lang w:val="en-US" w:eastAsia="zh-CN"/>
              </w:rPr>
              <w:t>5</w:t>
            </w:r>
            <w:r>
              <w:rPr>
                <w:rFonts w:hint="eastAsia" w:ascii="Times New Roman" w:hAnsi="Times New Roman" w:cs="Times New Roman"/>
                <w:color w:val="auto"/>
                <w:szCs w:val="21"/>
                <w:highlight w:val="none"/>
                <w:u w:val="single"/>
                <w:lang w:val="en-US" w:eastAsia="zh-CN"/>
              </w:rPr>
              <w:t>个工作日内退还。</w:t>
            </w:r>
          </w:p>
          <w:p w14:paraId="2B9B7066">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有下列情形之一的，投标保证金将不予退还：</w:t>
            </w:r>
          </w:p>
          <w:p w14:paraId="6FCAD7EA">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（1）投标人串通投标或有视为串通投标情形之一的；</w:t>
            </w:r>
          </w:p>
          <w:p w14:paraId="1F4E1200">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（2）投标人提供虚假材料；</w:t>
            </w:r>
          </w:p>
          <w:p w14:paraId="64E6BF6E">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（3）投标人采取不正当手段诋毁、排挤其他投标人；</w:t>
            </w:r>
          </w:p>
          <w:p w14:paraId="12471C7F">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（4）投标截止时间后，投标人在投标有效期内撤销投标文件；</w:t>
            </w:r>
          </w:p>
          <w:p w14:paraId="6E454B7E">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（5）中标人有下列情形之一的：</w:t>
            </w:r>
          </w:p>
          <w:p w14:paraId="7833BF51">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a.除不可抗力外，因中标人自身原因未在中标通知书要求的期限内与采购人签订政府采购合同；</w:t>
            </w:r>
          </w:p>
          <w:p w14:paraId="2D70FFE0">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b.未按照招标文件、投标文件的约定签订政府采购合同或提交履约保证金。</w:t>
            </w:r>
          </w:p>
          <w:p w14:paraId="3A816203">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注：若上述投标保证金不予退还情形给采购人（采购代理机构）造成损失，则投标人还</w:t>
            </w:r>
            <w:r>
              <w:rPr>
                <w:rFonts w:hint="eastAsia" w:ascii="宋体" w:hAnsi="宋体" w:eastAsia="宋体" w:cs="宋体"/>
                <w:color w:val="auto"/>
                <w:szCs w:val="21"/>
                <w:highlight w:val="none"/>
                <w:lang w:val="en-US" w:eastAsia="zh-CN"/>
              </w:rPr>
              <w:t>应另行赔偿采购人（采购代理机构）损失</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损失范围包括但不限于重新采购产生的费用、项目延误损失等</w:t>
            </w:r>
            <w:r>
              <w:rPr>
                <w:rFonts w:hint="eastAsia" w:ascii="宋体" w:hAnsi="宋体" w:eastAsia="宋体" w:cs="宋体"/>
                <w:color w:val="auto"/>
                <w:szCs w:val="21"/>
                <w:highlight w:val="none"/>
              </w:rPr>
              <w:t>。</w:t>
            </w:r>
          </w:p>
        </w:tc>
      </w:tr>
      <w:tr w14:paraId="75FA2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continue"/>
            <w:noWrap w:val="0"/>
            <w:vAlign w:val="center"/>
          </w:tcPr>
          <w:p w14:paraId="488BDB6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1984" w:type="dxa"/>
            <w:vMerge w:val="continue"/>
            <w:noWrap w:val="0"/>
            <w:vAlign w:val="center"/>
          </w:tcPr>
          <w:p w14:paraId="6F25DE8C">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6058" w:type="dxa"/>
            <w:gridSpan w:val="2"/>
            <w:noWrap w:val="0"/>
            <w:vAlign w:val="center"/>
          </w:tcPr>
          <w:p w14:paraId="22B4A2DD">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其他不予退还投标保证金的情形：</w:t>
            </w:r>
            <w:r>
              <w:rPr>
                <w:rFonts w:hint="eastAsia" w:ascii="宋体" w:hAnsi="宋体" w:eastAsia="宋体" w:cs="宋体"/>
                <w:color w:val="auto"/>
                <w:szCs w:val="21"/>
                <w:highlight w:val="none"/>
                <w:u w:val="single"/>
              </w:rPr>
              <w:t xml:space="preserve">                  </w:t>
            </w:r>
          </w:p>
        </w:tc>
      </w:tr>
      <w:tr w14:paraId="281D9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2424E53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1984" w:type="dxa"/>
            <w:noWrap w:val="0"/>
            <w:vAlign w:val="center"/>
          </w:tcPr>
          <w:p w14:paraId="1EF3CFD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信用记录审查</w:t>
            </w:r>
          </w:p>
        </w:tc>
        <w:tc>
          <w:tcPr>
            <w:tcW w:w="6058" w:type="dxa"/>
            <w:gridSpan w:val="2"/>
            <w:noWrap w:val="0"/>
            <w:vAlign w:val="center"/>
          </w:tcPr>
          <w:p w14:paraId="622B6128">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snapToGrid w:val="0"/>
                <w:color w:val="auto"/>
                <w:szCs w:val="21"/>
                <w:highlight w:val="none"/>
              </w:rPr>
            </w:pPr>
            <w:r>
              <w:rPr>
                <w:rFonts w:hint="eastAsia" w:ascii="宋体" w:hAnsi="宋体" w:eastAsia="宋体" w:cs="宋体"/>
                <w:color w:val="auto"/>
                <w:szCs w:val="21"/>
                <w:highlight w:val="none"/>
              </w:rPr>
              <w:t>根据《财政部关于在政府采购活动中查询及使用信用记录有关问题的通知》（财库〔2016〕125号）规定，开标结束后，采购人、采购代理机构将通过“信用中国”网站（www.creditchina.gov.cn）、中国政府采购网（</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"http://www.ccgp.gov.cn"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www.ccgp.gov.cn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），对投标人截止到投标截止时间的信用记录进行审查，对列入失信被执行人、</w:t>
            </w:r>
            <w:r>
              <w:rPr>
                <w:rFonts w:hint="eastAsia" w:ascii="宋体" w:hAnsi="宋体" w:eastAsia="宋体" w:cs="宋体"/>
                <w:color w:val="auto"/>
                <w:highlight w:val="none"/>
              </w:rPr>
              <w:t>重大税收违法失信主体</w:t>
            </w:r>
            <w:r>
              <w:rPr>
                <w:rFonts w:hint="eastAsia" w:ascii="宋体" w:hAnsi="宋体" w:eastAsia="宋体" w:cs="宋体"/>
                <w:color w:val="auto"/>
                <w:szCs w:val="21"/>
                <w:highlight w:val="none"/>
              </w:rPr>
              <w:t>、政府采购严重违法失信行为记录名单及其他不符合《中华人民共和国政府采购法》第二十二条规定条件的投标人，其投标将被拒绝。</w:t>
            </w:r>
          </w:p>
          <w:p w14:paraId="1A8EC3B8">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本次查询的信用记录仅限于本项目使用，查询结果将留存在采购档案中。</w:t>
            </w:r>
          </w:p>
          <w:p w14:paraId="4B5215F0">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在上述指定网站不能查询信用信息的投标人，应提供相关证明材料（原件加盖公章）。</w:t>
            </w:r>
          </w:p>
        </w:tc>
      </w:tr>
      <w:tr w14:paraId="0F59F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70022282">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1984" w:type="dxa"/>
            <w:noWrap w:val="0"/>
            <w:vAlign w:val="center"/>
          </w:tcPr>
          <w:p w14:paraId="2FD13FFE">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支持中小型</w:t>
            </w:r>
          </w:p>
          <w:p w14:paraId="7601528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企业发展</w:t>
            </w:r>
          </w:p>
        </w:tc>
        <w:tc>
          <w:tcPr>
            <w:tcW w:w="6058" w:type="dxa"/>
            <w:gridSpan w:val="2"/>
            <w:noWrap w:val="0"/>
            <w:vAlign w:val="center"/>
          </w:tcPr>
          <w:p w14:paraId="0E4DB9C4">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根据《政府采购促进中小型企业发展管理办法》（财库〔2020〕46号），鼓励中小企业参加本项目采购活动。</w:t>
            </w:r>
          </w:p>
          <w:p w14:paraId="60FB8EB0">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在货物采购项目中，满足所有标的均由中小企业制造，即所有标的均由中小企业生产且使用该中小企业商号或者注册商标的，可享受中小企业扶持政策。</w:t>
            </w:r>
          </w:p>
          <w:p w14:paraId="5268D101">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在服务采购项目中，满足服务由中小企业承接，即提供服务的人员为中小企业依照《中华人民共和国劳动合同法》订立劳动合同的从业人员的，可享受中小企业扶持政策。</w:t>
            </w:r>
          </w:p>
          <w:p w14:paraId="4E163A4C">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w:t>
            </w:r>
          </w:p>
          <w:p w14:paraId="471F33CA">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专门面向中小企业采购项目。</w:t>
            </w:r>
          </w:p>
          <w:p w14:paraId="2ADC1B6E">
            <w:pPr>
              <w:pStyle w:val="2"/>
              <w:keepNext w:val="0"/>
              <w:keepLines w:val="0"/>
              <w:widowControl/>
              <w:suppressLineNumbers w:val="0"/>
              <w:shd w:val="clear"/>
              <w:topLinePunct/>
              <w:spacing w:afterLines="0" w:line="400" w:lineRule="exact"/>
              <w:ind w:left="0" w:right="0"/>
              <w:rPr>
                <w:rFonts w:hint="eastAsia" w:ascii="宋体" w:hAnsi="宋体" w:eastAsia="宋体" w:cs="宋体"/>
                <w:color w:val="auto"/>
                <w:highlight w:val="none"/>
              </w:rPr>
            </w:pPr>
            <w:r>
              <w:rPr>
                <w:rFonts w:hint="eastAsia" w:ascii="宋体" w:hAnsi="宋体" w:eastAsia="宋体" w:cs="宋体"/>
                <w:b w:val="0"/>
                <w:color w:val="auto"/>
                <w:kern w:val="2"/>
                <w:sz w:val="21"/>
                <w:szCs w:val="21"/>
                <w:highlight w:val="none"/>
                <w:lang w:val="en-US" w:eastAsia="zh-CN" w:bidi="ar-SA"/>
              </w:rPr>
              <w:t>本项目为</w:t>
            </w:r>
            <w:r>
              <w:rPr>
                <w:rFonts w:hint="eastAsia" w:ascii="宋体" w:hAnsi="宋体" w:cs="宋体"/>
                <w:b w:val="0"/>
                <w:color w:val="auto"/>
                <w:kern w:val="2"/>
                <w:sz w:val="21"/>
                <w:szCs w:val="21"/>
                <w:highlight w:val="none"/>
                <w:lang w:val="en-US" w:eastAsia="zh-CN" w:bidi="ar-SA"/>
              </w:rPr>
              <w:t>专门面向中小</w:t>
            </w:r>
            <w:r>
              <w:rPr>
                <w:rFonts w:hint="eastAsia" w:ascii="宋体" w:hAnsi="宋体" w:eastAsia="宋体" w:cs="宋体"/>
                <w:b w:val="0"/>
                <w:color w:val="auto"/>
                <w:kern w:val="2"/>
                <w:sz w:val="21"/>
                <w:szCs w:val="21"/>
                <w:highlight w:val="none"/>
                <w:lang w:val="en-US" w:eastAsia="zh-CN" w:bidi="ar-SA"/>
              </w:rPr>
              <w:t>企业项目，小微企业、监狱企业、残疾人福利性单位不再执行价格评审优惠的扶持政策。</w:t>
            </w:r>
          </w:p>
          <w:p w14:paraId="2FFDBBF6">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预留份额面向中小企业采购项目</w:t>
            </w:r>
            <w:r>
              <w:rPr>
                <w:rFonts w:hint="eastAsia" w:ascii="宋体" w:hAnsi="宋体" w:eastAsia="宋体" w:cs="宋体"/>
                <w:color w:val="auto"/>
                <w:szCs w:val="21"/>
                <w:highlight w:val="none"/>
                <w:u w:val="single"/>
              </w:rPr>
              <w:t>（说明：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611CCBCC">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非专门面向中小企业采购项目。对小型和微型企业的投标价格给予</w:t>
            </w:r>
            <w:r>
              <w:rPr>
                <w:rFonts w:hint="eastAsia" w:ascii="宋体" w:hAnsi="宋体" w:eastAsia="宋体" w:cs="宋体"/>
                <w:color w:val="auto"/>
                <w:szCs w:val="21"/>
                <w:highlight w:val="none"/>
                <w:u w:val="single"/>
                <w:lang w:val="en-US" w:eastAsia="zh-CN"/>
              </w:rPr>
              <w:t>15</w:t>
            </w:r>
            <w:r>
              <w:rPr>
                <w:rFonts w:hint="eastAsia" w:ascii="宋体" w:hAnsi="宋体" w:eastAsia="宋体" w:cs="宋体"/>
                <w:color w:val="auto"/>
                <w:szCs w:val="21"/>
                <w:highlight w:val="none"/>
              </w:rPr>
              <w:t>%的扣除，用扣除后的价格参与评审。</w:t>
            </w:r>
          </w:p>
        </w:tc>
      </w:tr>
      <w:tr w14:paraId="62D8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7670862B">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1984" w:type="dxa"/>
            <w:noWrap w:val="0"/>
            <w:vAlign w:val="center"/>
          </w:tcPr>
          <w:p w14:paraId="656CAAB1">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支持监狱企业发展</w:t>
            </w:r>
          </w:p>
        </w:tc>
        <w:tc>
          <w:tcPr>
            <w:tcW w:w="6058" w:type="dxa"/>
            <w:gridSpan w:val="2"/>
            <w:noWrap w:val="0"/>
            <w:vAlign w:val="center"/>
          </w:tcPr>
          <w:p w14:paraId="016186BD">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根据《关于政府采购支持监狱企业发展有关问题的通知》（财库〔2014〕68号），监狱企业视同小型、微型企业，按照</w:t>
            </w:r>
            <w:r>
              <w:rPr>
                <w:rFonts w:hint="eastAsia" w:ascii="宋体" w:hAnsi="宋体" w:eastAsia="宋体" w:cs="宋体"/>
                <w:b/>
                <w:bCs/>
                <w:color w:val="auto"/>
                <w:szCs w:val="21"/>
                <w:highlight w:val="none"/>
              </w:rPr>
              <w:t>投标人须知前附表第22项享受政府采购促进中小企业发展的政府采购政策。</w:t>
            </w:r>
          </w:p>
        </w:tc>
      </w:tr>
      <w:tr w14:paraId="32A94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74A3A005">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1984" w:type="dxa"/>
            <w:noWrap w:val="0"/>
            <w:vAlign w:val="center"/>
          </w:tcPr>
          <w:p w14:paraId="10F843F1">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促进残疾人</w:t>
            </w:r>
          </w:p>
          <w:p w14:paraId="01B1AC48">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就业</w:t>
            </w:r>
          </w:p>
        </w:tc>
        <w:tc>
          <w:tcPr>
            <w:tcW w:w="6058" w:type="dxa"/>
            <w:gridSpan w:val="2"/>
            <w:noWrap w:val="0"/>
            <w:vAlign w:val="center"/>
          </w:tcPr>
          <w:p w14:paraId="1E2F581E">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根据《关于促进残疾人就业政府采购政策的通知》（财库〔2017〕141号），残疾人福利性单位视同小型、微型企业，按照</w:t>
            </w:r>
            <w:r>
              <w:rPr>
                <w:rFonts w:hint="eastAsia" w:ascii="宋体" w:hAnsi="宋体" w:eastAsia="宋体" w:cs="宋体"/>
                <w:b/>
                <w:bCs/>
                <w:color w:val="auto"/>
                <w:szCs w:val="21"/>
                <w:highlight w:val="none"/>
              </w:rPr>
              <w:t>投标人须知前附表第22项享受政府采购促进中小企业发展的政府采购政策。</w:t>
            </w:r>
          </w:p>
        </w:tc>
      </w:tr>
      <w:tr w14:paraId="22CF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ign w:val="center"/>
          </w:tcPr>
          <w:p w14:paraId="7D534EAB">
            <w:pPr>
              <w:topLinePunct/>
              <w:autoSpaceDE w:val="0"/>
              <w:autoSpaceDN w:val="0"/>
              <w:adjustRightInd w:val="0"/>
              <w:snapToGrid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imes New Roman" w:hAnsi="Times New Roman"/>
                <w:color w:val="auto"/>
                <w:szCs w:val="21"/>
                <w:highlight w:val="none"/>
                <w:lang w:val="en-US" w:eastAsia="zh-CN"/>
              </w:rPr>
              <w:t>25</w:t>
            </w:r>
          </w:p>
        </w:tc>
        <w:tc>
          <w:tcPr>
            <w:tcW w:w="1984" w:type="dxa"/>
            <w:noWrap/>
            <w:vAlign w:val="center"/>
          </w:tcPr>
          <w:p w14:paraId="125D06E6">
            <w:pPr>
              <w:spacing w:before="48" w:after="48" w:line="240" w:lineRule="auto"/>
              <w:jc w:val="center"/>
              <w:rPr>
                <w:rFonts w:hint="eastAsia" w:asciiTheme="minorEastAsia" w:hAnsiTheme="minorEastAsia" w:eastAsiaTheme="minorEastAsia" w:cstheme="minorEastAsia"/>
                <w:color w:val="auto"/>
                <w:sz w:val="21"/>
                <w:szCs w:val="21"/>
                <w:highlight w:val="none"/>
              </w:rPr>
            </w:pPr>
            <w:r>
              <w:rPr>
                <w:rFonts w:ascii="宋体" w:hAnsi="宋体" w:eastAsia="宋体" w:cs="宋体"/>
                <w:b w:val="0"/>
                <w:color w:val="auto"/>
                <w:sz w:val="21"/>
                <w:highlight w:val="none"/>
                <w:u w:val="none"/>
              </w:rPr>
              <w:t>支持本国产品</w:t>
            </w:r>
          </w:p>
        </w:tc>
        <w:tc>
          <w:tcPr>
            <w:tcW w:w="6058" w:type="dxa"/>
            <w:gridSpan w:val="2"/>
            <w:noWrap/>
            <w:vAlign w:val="center"/>
          </w:tcPr>
          <w:p w14:paraId="49E952E9">
            <w:pPr>
              <w:adjustRightInd w:val="0"/>
              <w:snapToGrid w:val="0"/>
              <w:spacing w:line="360" w:lineRule="auto"/>
              <w:jc w:val="left"/>
              <w:rPr>
                <w:rFonts w:ascii="Times New Roman" w:hAnsi="Times New Roman"/>
                <w:color w:val="auto"/>
                <w:szCs w:val="21"/>
                <w:highlight w:val="none"/>
              </w:rPr>
            </w:pPr>
            <w:r>
              <w:rPr>
                <w:rFonts w:ascii="Times New Roman" w:hAnsi="Times New Roman"/>
                <w:color w:val="auto"/>
                <w:szCs w:val="21"/>
                <w:highlight w:val="none"/>
              </w:rPr>
              <w:t>根据《国务院办公厅关于在政府采购中实施本国产品标准及相关政策的通知》（国办发〔2025〕34号），鼓励供应商提供本国产品参加本项目采购活动。</w:t>
            </w:r>
          </w:p>
          <w:p w14:paraId="4E0A2FCC">
            <w:pPr>
              <w:adjustRightInd w:val="0"/>
              <w:snapToGrid w:val="0"/>
              <w:spacing w:line="360" w:lineRule="auto"/>
              <w:jc w:val="left"/>
              <w:rPr>
                <w:rFonts w:ascii="Times New Roman" w:hAnsi="Times New Roman"/>
                <w:color w:val="auto"/>
                <w:szCs w:val="21"/>
                <w:highlight w:val="none"/>
              </w:rPr>
            </w:pPr>
            <w:r>
              <w:rPr>
                <w:rFonts w:ascii="Times New Roman" w:hAnsi="Times New Roman"/>
                <w:color w:val="auto"/>
                <w:szCs w:val="21"/>
                <w:highlight w:val="none"/>
              </w:rPr>
              <w:t>（1）既有本国产品又有非本国产品参与竞争的，对本国产品的报价给予20%的价格扣除，用扣除后的价格参与评审；</w:t>
            </w:r>
          </w:p>
          <w:p w14:paraId="15611648">
            <w:pPr>
              <w:adjustRightInd w:val="0"/>
              <w:snapToGrid w:val="0"/>
              <w:spacing w:line="360" w:lineRule="auto"/>
              <w:jc w:val="left"/>
              <w:rPr>
                <w:rFonts w:ascii="Times New Roman" w:hAnsi="Times New Roman"/>
                <w:color w:val="auto"/>
                <w:szCs w:val="21"/>
                <w:highlight w:val="none"/>
              </w:rPr>
            </w:pPr>
            <w:r>
              <w:rPr>
                <w:rFonts w:ascii="Times New Roman" w:hAnsi="Times New Roman"/>
                <w:color w:val="auto"/>
                <w:szCs w:val="21"/>
                <w:highlight w:val="none"/>
              </w:rPr>
              <w:t>（2）采购项目或采购包中含有多种产品，投标人提供的本国产品成本之和占该投标人提供的全部产品成本之和的比例达到80%以上时，对该投标人提供的全部产品的总报价给予20%的价格扣除，用扣除后的价格参与评审。</w:t>
            </w:r>
          </w:p>
          <w:p w14:paraId="50188422">
            <w:pPr>
              <w:adjustRightInd w:val="0"/>
              <w:snapToGrid w:val="0"/>
              <w:spacing w:line="360" w:lineRule="auto"/>
              <w:jc w:val="left"/>
              <w:rPr>
                <w:rFonts w:hint="eastAsia" w:asciiTheme="minorEastAsia" w:hAnsiTheme="minorEastAsia" w:eastAsiaTheme="minorEastAsia" w:cstheme="minorEastAsia"/>
                <w:color w:val="auto"/>
                <w:sz w:val="21"/>
                <w:szCs w:val="21"/>
                <w:highlight w:val="none"/>
              </w:rPr>
            </w:pPr>
            <w:r>
              <w:rPr>
                <w:rFonts w:ascii="Times New Roman" w:hAnsi="Times New Roman"/>
                <w:color w:val="auto"/>
                <w:szCs w:val="21"/>
                <w:highlight w:val="none"/>
              </w:rPr>
              <w:t>评审中需对供应商出具的《关于符合本国产品标准的声明函》进行审查，审查要求按照《关于贯彻落实〈国务院办公厅关于在政府采购中实施本国产品标准及相关政策的通知〉的意见》（财库〔2025〕30号）执行。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要求的，供应商提供的相关产品视为不符合本国产品标准。</w:t>
            </w:r>
          </w:p>
        </w:tc>
      </w:tr>
      <w:tr w14:paraId="49FC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ign w:val="center"/>
          </w:tcPr>
          <w:p w14:paraId="58B5F93D">
            <w:pPr>
              <w:spacing w:before="48" w:after="48" w:line="240" w:lineRule="auto"/>
              <w:jc w:val="center"/>
              <w:rPr>
                <w:rFonts w:hint="eastAsia" w:asciiTheme="minorEastAsia" w:hAnsiTheme="minorEastAsia" w:eastAsiaTheme="minorEastAsia" w:cstheme="minorEastAsia"/>
                <w:color w:val="auto"/>
                <w:sz w:val="21"/>
                <w:szCs w:val="21"/>
                <w:highlight w:val="none"/>
              </w:rPr>
            </w:pPr>
            <w:r>
              <w:rPr>
                <w:rFonts w:ascii="宋体" w:hAnsi="宋体" w:eastAsia="宋体" w:cs="宋体"/>
                <w:b w:val="0"/>
                <w:color w:val="auto"/>
                <w:sz w:val="21"/>
                <w:highlight w:val="none"/>
                <w:u w:val="none"/>
              </w:rPr>
              <w:t>2</w:t>
            </w:r>
            <w:r>
              <w:rPr>
                <w:rFonts w:hint="eastAsia" w:ascii="宋体" w:hAnsi="宋体" w:cs="宋体"/>
                <w:b w:val="0"/>
                <w:color w:val="auto"/>
                <w:sz w:val="21"/>
                <w:highlight w:val="none"/>
                <w:u w:val="none"/>
                <w:lang w:val="en-US" w:eastAsia="zh-CN"/>
              </w:rPr>
              <w:t>6</w:t>
            </w:r>
          </w:p>
        </w:tc>
        <w:tc>
          <w:tcPr>
            <w:tcW w:w="1984" w:type="dxa"/>
            <w:noWrap/>
            <w:vAlign w:val="center"/>
          </w:tcPr>
          <w:p w14:paraId="2E1857F0">
            <w:pPr>
              <w:spacing w:before="48" w:after="48" w:line="240" w:lineRule="auto"/>
              <w:jc w:val="center"/>
              <w:rPr>
                <w:rFonts w:hint="eastAsia" w:asciiTheme="minorEastAsia" w:hAnsiTheme="minorEastAsia" w:eastAsiaTheme="minorEastAsia" w:cstheme="minorEastAsia"/>
                <w:color w:val="auto"/>
                <w:sz w:val="21"/>
                <w:szCs w:val="21"/>
                <w:highlight w:val="none"/>
              </w:rPr>
            </w:pPr>
            <w:r>
              <w:rPr>
                <w:rFonts w:ascii="宋体" w:hAnsi="宋体" w:eastAsia="宋体" w:cs="宋体"/>
                <w:b w:val="0"/>
                <w:color w:val="auto"/>
                <w:sz w:val="21"/>
                <w:highlight w:val="none"/>
                <w:u w:val="none"/>
              </w:rPr>
              <w:t>节能环保要求</w:t>
            </w:r>
          </w:p>
        </w:tc>
        <w:tc>
          <w:tcPr>
            <w:tcW w:w="6058" w:type="dxa"/>
            <w:gridSpan w:val="2"/>
            <w:noWrap/>
            <w:vAlign w:val="center"/>
          </w:tcPr>
          <w:p w14:paraId="4C53F51D">
            <w:pPr>
              <w:adjustRightInd w:val="0"/>
              <w:snapToGrid w:val="0"/>
              <w:spacing w:line="360" w:lineRule="auto"/>
              <w:jc w:val="left"/>
              <w:rPr>
                <w:rFonts w:ascii="Times New Roman" w:hAnsi="Times New Roman"/>
                <w:color w:val="auto"/>
                <w:szCs w:val="21"/>
                <w:highlight w:val="none"/>
              </w:rPr>
            </w:pPr>
            <w:r>
              <w:rPr>
                <w:rFonts w:ascii="Times New Roman" w:hAnsi="Times New Roman"/>
                <w:color w:val="auto"/>
                <w:szCs w:val="21"/>
                <w:highlight w:val="none"/>
              </w:rPr>
              <w:t>严格执行《财政部 发展改革委 生态环境部 市场监管总局关于调整优化节能产品、环境标志产品政府采购执行机制的通知》（财库〔2019〕9号）。</w:t>
            </w:r>
          </w:p>
          <w:p w14:paraId="2E5DAC05">
            <w:pPr>
              <w:adjustRightInd w:val="0"/>
              <w:snapToGrid w:val="0"/>
              <w:spacing w:line="360" w:lineRule="auto"/>
              <w:jc w:val="left"/>
              <w:rPr>
                <w:rFonts w:ascii="Times New Roman" w:hAnsi="Times New Roman"/>
                <w:color w:val="auto"/>
                <w:szCs w:val="21"/>
                <w:highlight w:val="none"/>
              </w:rPr>
            </w:pPr>
            <w:r>
              <w:rPr>
                <w:rFonts w:ascii="Times New Roman" w:hAnsi="Times New Roman"/>
                <w:color w:val="auto"/>
                <w:szCs w:val="21"/>
                <w:highlight w:val="none"/>
              </w:rPr>
              <w:t>（1）★本次投标产品属于政府强制采购产品类别的，须按照要求提供依据国家确定的认证机构出具的、处于有效期之内的节能产品认证证书</w:t>
            </w:r>
            <w:r>
              <w:rPr>
                <w:rFonts w:hint="eastAsia" w:ascii="Times New Roman" w:hAnsi="Times New Roman"/>
                <w:color w:val="auto"/>
                <w:szCs w:val="21"/>
                <w:highlight w:val="none"/>
                <w:lang w:eastAsia="zh-CN"/>
              </w:rPr>
              <w:t>复印件</w:t>
            </w:r>
            <w:r>
              <w:rPr>
                <w:rFonts w:ascii="Times New Roman" w:hAnsi="Times New Roman"/>
                <w:color w:val="auto"/>
                <w:szCs w:val="21"/>
                <w:highlight w:val="none"/>
              </w:rPr>
              <w:t>（线上采购项目提供扫描件，下同），否则投标无效；</w:t>
            </w:r>
          </w:p>
          <w:p w14:paraId="2C02A833">
            <w:pPr>
              <w:adjustRightInd w:val="0"/>
              <w:snapToGrid w:val="0"/>
              <w:spacing w:line="360" w:lineRule="auto"/>
              <w:jc w:val="left"/>
              <w:rPr>
                <w:rFonts w:ascii="Times New Roman" w:hAnsi="Times New Roman"/>
                <w:color w:val="auto"/>
                <w:szCs w:val="21"/>
                <w:highlight w:val="none"/>
              </w:rPr>
            </w:pPr>
            <w:r>
              <w:rPr>
                <w:rFonts w:ascii="Times New Roman" w:hAnsi="Times New Roman"/>
                <w:color w:val="auto"/>
                <w:szCs w:val="21"/>
                <w:highlight w:val="none"/>
              </w:rPr>
              <w:t>（2）属于政府优先采购产品类别的，须按照要求提供依据国家确定的认证机构出具的、处于有效期之内的节能产品或环境标志产品认证证书</w:t>
            </w:r>
            <w:r>
              <w:rPr>
                <w:rFonts w:hint="eastAsia" w:ascii="Times New Roman" w:hAnsi="Times New Roman"/>
                <w:color w:val="auto"/>
                <w:szCs w:val="21"/>
                <w:highlight w:val="none"/>
                <w:lang w:eastAsia="zh-CN"/>
              </w:rPr>
              <w:t>复印件</w:t>
            </w:r>
            <w:r>
              <w:rPr>
                <w:rFonts w:ascii="Times New Roman" w:hAnsi="Times New Roman"/>
                <w:color w:val="auto"/>
                <w:szCs w:val="21"/>
                <w:highlight w:val="none"/>
              </w:rPr>
              <w:t>，否则不予认定。</w:t>
            </w:r>
          </w:p>
          <w:p w14:paraId="01F0F044">
            <w:pPr>
              <w:adjustRightInd w:val="0"/>
              <w:snapToGrid w:val="0"/>
              <w:spacing w:line="360" w:lineRule="auto"/>
              <w:jc w:val="left"/>
              <w:rPr>
                <w:rFonts w:ascii="Times New Roman" w:hAnsi="Times New Roman"/>
                <w:color w:val="auto"/>
                <w:szCs w:val="21"/>
                <w:highlight w:val="none"/>
              </w:rPr>
            </w:pPr>
            <w:r>
              <w:rPr>
                <w:rFonts w:ascii="Times New Roman" w:hAnsi="Times New Roman"/>
                <w:color w:val="auto"/>
                <w:szCs w:val="21"/>
                <w:highlight w:val="none"/>
              </w:rPr>
              <w:t>本项目中强制采购节能产品的货物名称：</w:t>
            </w:r>
          </w:p>
          <w:p w14:paraId="08D27533">
            <w:pPr>
              <w:adjustRightInd w:val="0"/>
              <w:snapToGrid w:val="0"/>
              <w:spacing w:line="360" w:lineRule="auto"/>
              <w:jc w:val="left"/>
              <w:rPr>
                <w:rFonts w:hint="eastAsia" w:asciiTheme="minorEastAsia" w:hAnsiTheme="minorEastAsia" w:eastAsiaTheme="minorEastAsia" w:cstheme="minorEastAsia"/>
                <w:color w:val="auto"/>
                <w:sz w:val="21"/>
                <w:szCs w:val="21"/>
                <w:highlight w:val="none"/>
              </w:rPr>
            </w:pPr>
            <w:r>
              <w:rPr>
                <w:rFonts w:ascii="Times New Roman" w:hAnsi="Times New Roman"/>
                <w:color w:val="auto"/>
                <w:szCs w:val="21"/>
                <w:highlight w:val="none"/>
              </w:rPr>
              <w:t>采购包1：            。</w:t>
            </w:r>
          </w:p>
        </w:tc>
      </w:tr>
      <w:tr w14:paraId="58C9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907" w:type="dxa"/>
            <w:vMerge w:val="restart"/>
            <w:noWrap w:val="0"/>
            <w:vAlign w:val="center"/>
          </w:tcPr>
          <w:p w14:paraId="2A2CE5F9">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27</w:t>
            </w:r>
          </w:p>
        </w:tc>
        <w:tc>
          <w:tcPr>
            <w:tcW w:w="1984" w:type="dxa"/>
            <w:vMerge w:val="restart"/>
            <w:noWrap w:val="0"/>
            <w:vAlign w:val="center"/>
          </w:tcPr>
          <w:p w14:paraId="769DA2C0">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其他法律法规强制性规定或扶持政策</w:t>
            </w:r>
          </w:p>
        </w:tc>
        <w:tc>
          <w:tcPr>
            <w:tcW w:w="6058" w:type="dxa"/>
            <w:gridSpan w:val="2"/>
            <w:noWrap w:val="0"/>
            <w:vAlign w:val="center"/>
          </w:tcPr>
          <w:p w14:paraId="3C683542">
            <w:pPr>
              <w:keepNext w:val="0"/>
              <w:keepLines w:val="0"/>
              <w:pageBreakBefore w:val="0"/>
              <w:widowControl/>
              <w:kinsoku/>
              <w:wordWrap/>
              <w:overflowPunct/>
              <w:topLinePunct/>
              <w:autoSpaceDE/>
              <w:autoSpaceDN/>
              <w:bidi w:val="0"/>
              <w:adjustRightInd w:val="0"/>
              <w:snapToGrid w:val="0"/>
              <w:spacing w:before="60" w:line="336" w:lineRule="auto"/>
              <w:ind w:firstLine="420" w:firstLineChars="200"/>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1.</w:t>
            </w:r>
            <w:r>
              <w:rPr>
                <w:rFonts w:hint="eastAsia" w:ascii="宋体" w:hAnsi="宋体" w:eastAsia="宋体" w:cs="宋体"/>
                <w:color w:val="auto"/>
                <w:highlight w:val="none"/>
              </w:rPr>
              <w:t>依据《中华人民共和国网络安全法》、《关于调整网络安全专用产品安全管理有关事项的公告》（2023年第1号）、《关于调整&lt;网络关键设备和网络安全专用产品目录&gt;的公告》（2023年第2号）、《国家认监委 工业和信息化部 公安部 国家互联网信息办公室关于发布承担网络关键设备和网络安全专用产品安全认证和安全检测任务机构名录（第一批）的公告》（2018年第12号）、《关于统一发布网络关键设备和网络安全专用产品安全认证和安全检测结果的公告》（2022年第1号）：自2023年</w:t>
            </w:r>
            <w:r>
              <w:rPr>
                <w:rFonts w:hint="eastAsia" w:ascii="宋体" w:hAnsi="宋体" w:cs="宋体"/>
                <w:color w:val="auto"/>
                <w:highlight w:val="none"/>
                <w:lang w:val="en-US" w:eastAsia="zh-CN"/>
              </w:rPr>
              <w:t>7</w:t>
            </w:r>
            <w:r>
              <w:rPr>
                <w:rFonts w:hint="eastAsia" w:ascii="宋体" w:hAnsi="宋体" w:cs="宋体"/>
                <w:color w:val="auto"/>
                <w:highlight w:val="none"/>
                <w:lang w:eastAsia="zh-CN"/>
              </w:rPr>
              <w:t>月1日</w:t>
            </w:r>
            <w:r>
              <w:rPr>
                <w:rFonts w:hint="eastAsia" w:ascii="宋体" w:hAnsi="宋体" w:eastAsia="宋体" w:cs="宋体"/>
                <w:color w:val="auto"/>
                <w:highlight w:val="none"/>
              </w:rPr>
              <w:t>起，列入《网络关键设备和网络安全专用产品目录》的“网络安全专用产品”，应当按照《信息安全技术网络安全专用产品安全技术要求》等相关国家标准的强制性要求，对网络安全专用产品进行安全认证或安全检测，投标人必须在投标文件中提供由具备资格的机构出具的安全认证合格证书或者安全检测合格证书（加盖投标人公章）；已获得《计算机信息系统安全专用产品销售许可证》的产品，在有效期内可继续销售或者提供。如属于《网络关键设备和网络安全专用产品目录》中“二、网络安全专用产品”内“产品类别”中的所描述的产品，但不属于所列“产品描述”情形的，应提供相应的说明及证明材料。</w:t>
            </w:r>
          </w:p>
          <w:p w14:paraId="70D1AEB6">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本项目中采购信息安全认证</w:t>
            </w:r>
            <w:r>
              <w:rPr>
                <w:rFonts w:hint="eastAsia" w:ascii="宋体" w:hAnsi="宋体" w:eastAsia="宋体" w:cs="宋体"/>
                <w:color w:val="auto"/>
                <w:highlight w:val="none"/>
                <w:lang w:eastAsia="zh-CN"/>
              </w:rPr>
              <w:t>或安全检测</w:t>
            </w:r>
            <w:r>
              <w:rPr>
                <w:rFonts w:hint="eastAsia" w:ascii="宋体" w:hAnsi="宋体" w:eastAsia="宋体" w:cs="宋体"/>
                <w:color w:val="auto"/>
                <w:highlight w:val="none"/>
              </w:rPr>
              <w:t>的货物名称：</w:t>
            </w:r>
          </w:p>
          <w:p w14:paraId="76D7067A">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采购包1：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B6AA588">
            <w:pPr>
              <w:spacing w:before="48" w:after="48" w:line="240" w:lineRule="auto"/>
              <w:ind w:firstLineChars="200"/>
              <w:jc w:val="left"/>
              <w:rPr>
                <w:rFonts w:ascii="宋体" w:hAnsi="宋体" w:eastAsia="宋体" w:cs="宋体"/>
                <w:b w:val="0"/>
                <w:color w:val="auto"/>
                <w:sz w:val="21"/>
                <w:highlight w:val="none"/>
                <w:u w:val="none"/>
              </w:rPr>
            </w:pPr>
            <w:r>
              <w:rPr>
                <w:rFonts w:hint="eastAsia" w:ascii="宋体" w:hAnsi="宋体" w:cs="宋体"/>
                <w:b w:val="0"/>
                <w:color w:val="auto"/>
                <w:sz w:val="21"/>
                <w:highlight w:val="none"/>
                <w:u w:val="none"/>
                <w:lang w:val="en-US" w:eastAsia="zh-CN"/>
              </w:rPr>
              <w:t>2</w:t>
            </w:r>
            <w:r>
              <w:rPr>
                <w:rFonts w:ascii="宋体" w:hAnsi="宋体" w:eastAsia="宋体" w:cs="宋体"/>
                <w:b w:val="0"/>
                <w:color w:val="auto"/>
                <w:sz w:val="21"/>
                <w:highlight w:val="none"/>
                <w:u w:val="none"/>
              </w:rPr>
              <w:t>.本项目中如涉及商品包装和快递包装的，其包装需求标准应不低于《关于印发&lt;商品包装政府采购需求标准（试行）&gt;、&lt;快递包装政府采购需求标准（试行）&gt;的通知》（财办库〔2020〕123号）规定的包装要求，如有其他包装需求，详见采购文件技术部分相关章节。</w:t>
            </w:r>
          </w:p>
          <w:p w14:paraId="290D5945">
            <w:pPr>
              <w:spacing w:before="48" w:after="48" w:line="240" w:lineRule="auto"/>
              <w:ind w:firstLineChars="200"/>
              <w:jc w:val="left"/>
              <w:rPr>
                <w:rFonts w:ascii="宋体" w:hAnsi="宋体" w:eastAsia="宋体" w:cs="宋体"/>
                <w:b w:val="0"/>
                <w:color w:val="auto"/>
                <w:sz w:val="21"/>
                <w:highlight w:val="none"/>
                <w:u w:val="none"/>
              </w:rPr>
            </w:pPr>
            <w:r>
              <w:rPr>
                <w:rFonts w:ascii="宋体" w:hAnsi="宋体" w:eastAsia="宋体" w:cs="宋体"/>
                <w:b w:val="0"/>
                <w:color w:val="auto"/>
                <w:sz w:val="21"/>
                <w:highlight w:val="none"/>
                <w:u w:val="none"/>
              </w:rPr>
              <w:t>3.本项目中如涉及国家强制性产品认证证书（CCC认证证书）、电信设备进网许可证、无线电发射设备核准证等市场准入类资质的，应严格执行国家相关法律法规的要求。</w:t>
            </w:r>
          </w:p>
          <w:p w14:paraId="1CB2B020">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highlight w:val="none"/>
              </w:rPr>
            </w:pPr>
            <w:r>
              <w:rPr>
                <w:rFonts w:ascii="宋体" w:hAnsi="宋体" w:eastAsia="宋体" w:cs="宋体"/>
                <w:b w:val="0"/>
                <w:color w:val="auto"/>
                <w:sz w:val="21"/>
                <w:highlight w:val="none"/>
                <w:u w:val="none"/>
              </w:rPr>
              <w:t>在履约验收中，采购人将按照采购文件、中标/成交供应商响应文件、采购合同等对中标/成交供应商提供的货物和服务进行验收，必要时依法依规开展相应检测、认证。</w:t>
            </w:r>
          </w:p>
        </w:tc>
      </w:tr>
      <w:tr w14:paraId="6CC9C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Merge w:val="continue"/>
            <w:noWrap w:val="0"/>
            <w:vAlign w:val="center"/>
          </w:tcPr>
          <w:p w14:paraId="44E11B1D">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1984" w:type="dxa"/>
            <w:vMerge w:val="continue"/>
            <w:noWrap w:val="0"/>
            <w:vAlign w:val="center"/>
          </w:tcPr>
          <w:p w14:paraId="163AC4B1">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p>
        </w:tc>
        <w:tc>
          <w:tcPr>
            <w:tcW w:w="6058" w:type="dxa"/>
            <w:gridSpan w:val="2"/>
            <w:noWrap w:val="0"/>
            <w:vAlign w:val="center"/>
          </w:tcPr>
          <w:p w14:paraId="41A0D039">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其他法律法规强制性规定或扶持政策：</w:t>
            </w:r>
          </w:p>
          <w:p w14:paraId="65DB0608">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采购包1：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tc>
      </w:tr>
      <w:tr w14:paraId="37125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1004ED82">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28</w:t>
            </w:r>
          </w:p>
        </w:tc>
        <w:tc>
          <w:tcPr>
            <w:tcW w:w="1984" w:type="dxa"/>
            <w:noWrap w:val="0"/>
            <w:vAlign w:val="center"/>
          </w:tcPr>
          <w:p w14:paraId="4748C0C0">
            <w:pPr>
              <w:keepNext w:val="0"/>
              <w:keepLines w:val="0"/>
              <w:pageBreakBefore w:val="0"/>
              <w:widowControl/>
              <w:tabs>
                <w:tab w:val="left" w:pos="1875"/>
              </w:tabs>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评标方法</w:t>
            </w:r>
          </w:p>
          <w:p w14:paraId="74A532B4">
            <w:pPr>
              <w:keepNext w:val="0"/>
              <w:keepLines w:val="0"/>
              <w:pageBreakBefore w:val="0"/>
              <w:widowControl/>
              <w:tabs>
                <w:tab w:val="left" w:pos="1875"/>
              </w:tabs>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及分值</w:t>
            </w:r>
          </w:p>
        </w:tc>
        <w:tc>
          <w:tcPr>
            <w:tcW w:w="6058" w:type="dxa"/>
            <w:gridSpan w:val="2"/>
            <w:noWrap w:val="0"/>
            <w:vAlign w:val="center"/>
          </w:tcPr>
          <w:p w14:paraId="1F705E0D">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rPr>
            </w:pPr>
            <w:r>
              <w:rPr>
                <w:rFonts w:hint="eastAsia" w:ascii="宋体" w:hAnsi="宋体" w:cs="宋体"/>
                <w:color w:val="auto"/>
                <w:szCs w:val="21"/>
                <w:highlight w:val="none"/>
                <w:lang w:eastAsia="zh-CN"/>
              </w:rPr>
              <w:t>□</w:t>
            </w:r>
            <w:r>
              <w:rPr>
                <w:rFonts w:hint="eastAsia" w:ascii="宋体" w:hAnsi="宋体" w:eastAsia="宋体" w:cs="宋体"/>
                <w:color w:val="auto"/>
                <w:highlight w:val="none"/>
              </w:rPr>
              <w:t>本项目采用最低评标价法，详见招标文件商务部分第三章。</w:t>
            </w:r>
          </w:p>
          <w:p w14:paraId="6A0B30BD">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highlight w:val="none"/>
              </w:rPr>
              <w:t>本项目采用综合评分法，其中价格分值为</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分，其他因素分值为</w:t>
            </w:r>
            <w:r>
              <w:rPr>
                <w:rFonts w:hint="eastAsia" w:ascii="宋体" w:hAnsi="宋体" w:eastAsia="宋体" w:cs="宋体"/>
                <w:color w:val="auto"/>
                <w:highlight w:val="none"/>
                <w:lang w:val="en-US" w:eastAsia="zh-CN"/>
              </w:rPr>
              <w:t>90</w:t>
            </w:r>
            <w:r>
              <w:rPr>
                <w:rFonts w:hint="eastAsia" w:ascii="宋体" w:hAnsi="宋体" w:eastAsia="宋体" w:cs="宋体"/>
                <w:color w:val="auto"/>
                <w:highlight w:val="none"/>
              </w:rPr>
              <w:t>分，详见招标文件商务部分第三章。</w:t>
            </w:r>
            <w:r>
              <w:rPr>
                <w:rFonts w:hint="eastAsia"/>
                <w:color w:val="auto"/>
                <w:highlight w:val="none"/>
                <w:lang w:eastAsia="zh-CN"/>
              </w:rPr>
              <w:t>（</w:t>
            </w:r>
            <w:r>
              <w:rPr>
                <w:rFonts w:hint="eastAsia"/>
                <w:color w:val="auto"/>
                <w:highlight w:val="none"/>
                <w:lang w:val="en-US" w:eastAsia="zh-CN"/>
              </w:rPr>
              <w:t>注：定标原则：</w:t>
            </w:r>
            <w:r>
              <w:rPr>
                <w:rFonts w:hint="eastAsia" w:hAnsi="宋体"/>
                <w:color w:val="auto"/>
                <w:highlight w:val="none"/>
                <w:u w:val="single"/>
              </w:rPr>
              <w:t>得分相同时，以投标报价由低到高顺序排列；得分相同且投标报价相同的，按</w:t>
            </w:r>
            <w:r>
              <w:rPr>
                <w:rFonts w:hint="eastAsia" w:hAnsi="宋体" w:cs="MingLiU_HKSCS"/>
                <w:color w:val="auto"/>
                <w:highlight w:val="none"/>
                <w:u w:val="single"/>
              </w:rPr>
              <w:t>技术指标优劣顺序排列</w:t>
            </w:r>
            <w:r>
              <w:rPr>
                <w:rFonts w:hint="eastAsia" w:hAnsi="宋体" w:cs="MingLiU_HKSCS"/>
                <w:color w:val="auto"/>
                <w:highlight w:val="none"/>
                <w:u w:val="single"/>
                <w:lang w:eastAsia="zh-CN"/>
              </w:rPr>
              <w:t>）</w:t>
            </w:r>
          </w:p>
        </w:tc>
      </w:tr>
      <w:tr w14:paraId="6242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5E7BD17E">
            <w:pPr>
              <w:spacing w:before="48" w:after="48" w:line="240" w:lineRule="auto"/>
              <w:jc w:val="center"/>
              <w:rPr>
                <w:rFonts w:hint="default" w:ascii="宋体" w:hAnsi="宋体" w:eastAsia="宋体" w:cs="宋体"/>
                <w:color w:val="auto"/>
                <w:szCs w:val="21"/>
                <w:highlight w:val="none"/>
                <w:lang w:val="en-US"/>
              </w:rPr>
            </w:pPr>
            <w:r>
              <w:rPr>
                <w:rFonts w:ascii="宋体" w:hAnsi="宋体" w:eastAsia="宋体" w:cs="宋体"/>
                <w:b w:val="0"/>
                <w:color w:val="auto"/>
                <w:sz w:val="21"/>
                <w:highlight w:val="none"/>
                <w:u w:val="none"/>
              </w:rPr>
              <w:t>2</w:t>
            </w:r>
            <w:r>
              <w:rPr>
                <w:rFonts w:hint="eastAsia" w:ascii="宋体" w:hAnsi="宋体" w:cs="宋体"/>
                <w:b w:val="0"/>
                <w:color w:val="auto"/>
                <w:sz w:val="21"/>
                <w:highlight w:val="none"/>
                <w:u w:val="none"/>
                <w:lang w:val="en-US" w:eastAsia="zh-CN"/>
              </w:rPr>
              <w:t>9</w:t>
            </w:r>
          </w:p>
        </w:tc>
        <w:tc>
          <w:tcPr>
            <w:tcW w:w="1984" w:type="dxa"/>
            <w:noWrap w:val="0"/>
            <w:vAlign w:val="center"/>
          </w:tcPr>
          <w:p w14:paraId="4D31F101">
            <w:pPr>
              <w:spacing w:before="48" w:after="48" w:line="240" w:lineRule="auto"/>
              <w:jc w:val="center"/>
              <w:rPr>
                <w:rFonts w:ascii="宋体" w:hAnsi="宋体" w:eastAsia="宋体" w:cs="宋体"/>
                <w:b w:val="0"/>
                <w:color w:val="auto"/>
                <w:sz w:val="21"/>
                <w:highlight w:val="none"/>
                <w:u w:val="none"/>
              </w:rPr>
            </w:pPr>
            <w:r>
              <w:rPr>
                <w:rFonts w:ascii="宋体" w:hAnsi="宋体" w:eastAsia="宋体" w:cs="宋体"/>
                <w:b w:val="0"/>
                <w:color w:val="auto"/>
                <w:sz w:val="21"/>
                <w:highlight w:val="none"/>
                <w:u w:val="none"/>
              </w:rPr>
              <w:t>合同类型和定价</w:t>
            </w:r>
          </w:p>
          <w:p w14:paraId="7A9190A9">
            <w:pPr>
              <w:spacing w:before="48" w:after="48" w:line="240" w:lineRule="auto"/>
              <w:jc w:val="center"/>
              <w:rPr>
                <w:rFonts w:hint="eastAsia" w:ascii="宋体" w:hAnsi="宋体" w:eastAsia="宋体" w:cs="宋体"/>
                <w:color w:val="auto"/>
                <w:szCs w:val="21"/>
                <w:highlight w:val="none"/>
              </w:rPr>
            </w:pPr>
            <w:r>
              <w:rPr>
                <w:rFonts w:ascii="宋体" w:hAnsi="宋体" w:eastAsia="宋体" w:cs="宋体"/>
                <w:b w:val="0"/>
                <w:color w:val="auto"/>
                <w:sz w:val="21"/>
                <w:highlight w:val="none"/>
                <w:u w:val="none"/>
              </w:rPr>
              <w:t>方式</w:t>
            </w:r>
          </w:p>
        </w:tc>
        <w:tc>
          <w:tcPr>
            <w:tcW w:w="6058" w:type="dxa"/>
            <w:gridSpan w:val="2"/>
            <w:noWrap w:val="0"/>
            <w:vAlign w:val="center"/>
          </w:tcPr>
          <w:p w14:paraId="63E03A57">
            <w:pPr>
              <w:spacing w:before="48" w:after="48" w:line="240" w:lineRule="auto"/>
              <w:ind w:firstLine="420" w:firstLineChars="200"/>
              <w:jc w:val="left"/>
              <w:rPr>
                <w:rFonts w:hint="eastAsia" w:ascii="宋体" w:hAnsi="宋体" w:eastAsia="宋体" w:cs="宋体"/>
                <w:color w:val="auto"/>
                <w:szCs w:val="21"/>
                <w:highlight w:val="none"/>
                <w:lang w:val="en-US" w:eastAsia="zh-CN"/>
              </w:rPr>
            </w:pPr>
            <w:r>
              <w:rPr>
                <w:rFonts w:ascii="宋体" w:hAnsi="宋体" w:eastAsia="宋体" w:cs="宋体"/>
                <w:b w:val="0"/>
                <w:color w:val="auto"/>
                <w:sz w:val="21"/>
                <w:highlight w:val="none"/>
                <w:u w:val="none"/>
              </w:rPr>
              <w:t>本项目拟签</w:t>
            </w:r>
            <w:r>
              <w:rPr>
                <w:rFonts w:hint="eastAsia" w:ascii="Times New Roman" w:hAnsi="Times New Roman"/>
                <w:color w:val="auto"/>
                <w:szCs w:val="21"/>
                <w:highlight w:val="none"/>
                <w:u w:val="single"/>
                <w:lang w:val="en-US" w:eastAsia="zh-CN"/>
              </w:rPr>
              <w:t>固定总价</w:t>
            </w:r>
            <w:r>
              <w:rPr>
                <w:rFonts w:ascii="宋体" w:hAnsi="宋体" w:eastAsia="宋体" w:cs="宋体"/>
                <w:b w:val="0"/>
                <w:color w:val="auto"/>
                <w:sz w:val="21"/>
                <w:highlight w:val="none"/>
                <w:u w:val="none"/>
              </w:rPr>
              <w:t>合同。</w:t>
            </w:r>
          </w:p>
        </w:tc>
      </w:tr>
      <w:tr w14:paraId="6D647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314E6E1B">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30</w:t>
            </w:r>
          </w:p>
        </w:tc>
        <w:tc>
          <w:tcPr>
            <w:tcW w:w="1984" w:type="dxa"/>
            <w:noWrap w:val="0"/>
            <w:vAlign w:val="center"/>
          </w:tcPr>
          <w:p w14:paraId="2EE2B39C">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履约保证金</w:t>
            </w:r>
          </w:p>
        </w:tc>
        <w:tc>
          <w:tcPr>
            <w:tcW w:w="6058" w:type="dxa"/>
            <w:gridSpan w:val="2"/>
            <w:noWrap w:val="0"/>
            <w:vAlign w:val="center"/>
          </w:tcPr>
          <w:p w14:paraId="51725248">
            <w:pPr>
              <w:keepNext w:val="0"/>
              <w:keepLines w:val="0"/>
              <w:pageBreakBefore w:val="0"/>
              <w:widowControl/>
              <w:kinsoku/>
              <w:wordWrap/>
              <w:overflowPunct/>
              <w:topLinePunct/>
              <w:autoSpaceDE/>
              <w:autoSpaceDN/>
              <w:bidi w:val="0"/>
              <w:adjustRightInd w:val="0"/>
              <w:snapToGrid w:val="0"/>
              <w:spacing w:before="60" w:line="336" w:lineRule="auto"/>
              <w:jc w:val="left"/>
              <w:textAlignment w:val="auto"/>
              <w:rPr>
                <w:rFonts w:hint="eastAsia" w:ascii="宋体" w:hAnsi="宋体" w:eastAsia="宋体" w:cs="宋体"/>
                <w:color w:val="auto"/>
                <w:highlight w:val="none"/>
              </w:rPr>
            </w:pPr>
            <w:r>
              <w:rPr>
                <w:rFonts w:hint="eastAsia" w:ascii="宋体" w:hAnsi="宋体" w:cs="宋体"/>
                <w:color w:val="auto"/>
                <w:szCs w:val="21"/>
                <w:highlight w:val="none"/>
                <w:lang w:eastAsia="zh-CN"/>
              </w:rPr>
              <w:t>☑</w:t>
            </w:r>
            <w:r>
              <w:rPr>
                <w:rFonts w:hint="eastAsia" w:ascii="宋体" w:hAnsi="宋体" w:eastAsia="宋体" w:cs="宋体"/>
                <w:color w:val="auto"/>
                <w:highlight w:val="none"/>
              </w:rPr>
              <w:t>不要求提供</w:t>
            </w:r>
          </w:p>
          <w:p w14:paraId="4FA8FDDF">
            <w:pPr>
              <w:pStyle w:val="12"/>
              <w:keepNext w:val="0"/>
              <w:keepLines w:val="0"/>
              <w:pageBreakBefore w:val="0"/>
              <w:widowControl/>
              <w:kinsoku/>
              <w:wordWrap/>
              <w:overflowPunct/>
              <w:topLinePunct/>
              <w:autoSpaceDE/>
              <w:autoSpaceDN/>
              <w:bidi w:val="0"/>
              <w:snapToGrid w:val="0"/>
              <w:spacing w:before="60" w:line="336" w:lineRule="auto"/>
              <w:jc w:val="left"/>
              <w:textAlignment w:val="auto"/>
              <w:rPr>
                <w:rFonts w:hint="eastAsia" w:ascii="宋体" w:hAnsi="宋体" w:eastAsia="宋体" w:cs="宋体"/>
                <w:color w:val="auto"/>
                <w:szCs w:val="24"/>
                <w:highlight w:val="none"/>
              </w:rPr>
            </w:pPr>
            <w:r>
              <w:rPr>
                <w:rFonts w:hint="eastAsia" w:ascii="宋体" w:hAnsi="宋体" w:cs="宋体"/>
                <w:color w:val="auto"/>
                <w:szCs w:val="21"/>
                <w:highlight w:val="none"/>
                <w:lang w:eastAsia="zh-CN"/>
              </w:rPr>
              <w:t>□</w:t>
            </w:r>
            <w:r>
              <w:rPr>
                <w:rFonts w:hint="eastAsia" w:ascii="宋体" w:hAnsi="宋体" w:eastAsia="宋体" w:cs="宋体"/>
                <w:color w:val="auto"/>
                <w:highlight w:val="none"/>
              </w:rPr>
              <w:t>要求提供，履约保证金的数额不得超过采购合同</w:t>
            </w:r>
            <w:r>
              <w:rPr>
                <w:rFonts w:hint="eastAsia" w:ascii="宋体" w:hAnsi="宋体" w:eastAsia="宋体" w:cs="宋体"/>
                <w:color w:val="auto"/>
                <w:highlight w:val="none"/>
                <w:lang w:eastAsia="zh-CN"/>
              </w:rPr>
              <w:t>总</w:t>
            </w:r>
            <w:r>
              <w:rPr>
                <w:rFonts w:hint="eastAsia" w:ascii="宋体" w:hAnsi="宋体" w:eastAsia="宋体" w:cs="宋体"/>
                <w:color w:val="auto"/>
                <w:highlight w:val="none"/>
              </w:rPr>
              <w:t>金额的10%，本项目履约保证金为合同</w:t>
            </w:r>
            <w:r>
              <w:rPr>
                <w:rFonts w:hint="eastAsia" w:ascii="宋体" w:hAnsi="宋体" w:eastAsia="宋体" w:cs="宋体"/>
                <w:color w:val="auto"/>
                <w:highlight w:val="none"/>
                <w:lang w:eastAsia="zh-CN"/>
              </w:rPr>
              <w:t>总</w:t>
            </w:r>
            <w:r>
              <w:rPr>
                <w:rFonts w:hint="eastAsia" w:ascii="宋体" w:hAnsi="宋体" w:eastAsia="宋体" w:cs="宋体"/>
                <w:color w:val="auto"/>
                <w:highlight w:val="none"/>
              </w:rPr>
              <w:t>金额的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%（取整到元），</w:t>
            </w:r>
            <w:r>
              <w:rPr>
                <w:rFonts w:hint="eastAsia" w:ascii="宋体" w:hAnsi="宋体" w:eastAsia="宋体" w:cs="宋体"/>
                <w:color w:val="auto"/>
                <w:szCs w:val="24"/>
                <w:highlight w:val="none"/>
                <w:lang w:eastAsia="zh-CN"/>
              </w:rPr>
              <w:t>中标人</w:t>
            </w:r>
            <w:r>
              <w:rPr>
                <w:rFonts w:hint="eastAsia" w:ascii="宋体" w:hAnsi="宋体" w:eastAsia="宋体" w:cs="宋体"/>
                <w:color w:val="auto"/>
                <w:szCs w:val="24"/>
                <w:highlight w:val="none"/>
              </w:rPr>
              <w:t>在签订合同前应提交履约保证金，否则，不予签订合同。提交方式为支票、汇票、本票或者金融机构、担保机构出具的保函等非现金形式。采用转账、电汇方式的，由</w:t>
            </w:r>
            <w:r>
              <w:rPr>
                <w:rFonts w:hint="eastAsia" w:ascii="宋体" w:hAnsi="宋体" w:eastAsia="宋体" w:cs="宋体"/>
                <w:color w:val="auto"/>
                <w:szCs w:val="24"/>
                <w:highlight w:val="none"/>
                <w:lang w:eastAsia="zh-CN"/>
              </w:rPr>
              <w:t>中标人</w:t>
            </w:r>
            <w:r>
              <w:rPr>
                <w:rFonts w:hint="eastAsia" w:ascii="宋体" w:hAnsi="宋体" w:eastAsia="宋体" w:cs="宋体"/>
                <w:color w:val="auto"/>
                <w:szCs w:val="24"/>
                <w:highlight w:val="none"/>
              </w:rPr>
              <w:t>在签订合同前按规定的金额从</w:t>
            </w:r>
            <w:r>
              <w:rPr>
                <w:rFonts w:hint="eastAsia" w:ascii="宋体" w:hAnsi="宋体" w:eastAsia="宋体" w:cs="宋体"/>
                <w:color w:val="auto"/>
                <w:szCs w:val="24"/>
                <w:highlight w:val="none"/>
                <w:lang w:eastAsia="zh-CN"/>
              </w:rPr>
              <w:t>中标人</w:t>
            </w:r>
            <w:r>
              <w:rPr>
                <w:rFonts w:hint="eastAsia" w:ascii="宋体" w:hAnsi="宋体" w:eastAsia="宋体" w:cs="宋体"/>
                <w:color w:val="auto"/>
                <w:szCs w:val="24"/>
                <w:highlight w:val="none"/>
              </w:rPr>
              <w:t>银行账户直接缴入</w:t>
            </w:r>
            <w:r>
              <w:rPr>
                <w:rFonts w:hint="eastAsia" w:ascii="宋体" w:hAnsi="宋体" w:eastAsia="宋体" w:cs="宋体"/>
                <w:color w:val="auto"/>
                <w:szCs w:val="24"/>
                <w:highlight w:val="none"/>
                <w:lang w:eastAsia="zh-CN"/>
              </w:rPr>
              <w:t>采购人</w:t>
            </w:r>
            <w:r>
              <w:rPr>
                <w:rFonts w:hint="eastAsia" w:ascii="宋体" w:hAnsi="宋体" w:eastAsia="宋体" w:cs="宋体"/>
                <w:color w:val="auto"/>
                <w:szCs w:val="24"/>
                <w:highlight w:val="none"/>
              </w:rPr>
              <w:t>账户。</w:t>
            </w:r>
          </w:p>
          <w:p w14:paraId="13A7C788">
            <w:pPr>
              <w:pStyle w:val="12"/>
              <w:keepNext w:val="0"/>
              <w:keepLines w:val="0"/>
              <w:pageBreakBefore w:val="0"/>
              <w:widowControl/>
              <w:kinsoku/>
              <w:wordWrap/>
              <w:overflowPunct/>
              <w:topLinePunct/>
              <w:autoSpaceDE/>
              <w:autoSpaceDN/>
              <w:bidi w:val="0"/>
              <w:snapToGrid w:val="0"/>
              <w:spacing w:before="60" w:line="336" w:lineRule="auto"/>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合同期满，</w:t>
            </w:r>
            <w:r>
              <w:rPr>
                <w:rFonts w:hint="eastAsia" w:ascii="宋体" w:hAnsi="宋体" w:eastAsia="宋体" w:cs="宋体"/>
                <w:color w:val="auto"/>
                <w:szCs w:val="24"/>
                <w:highlight w:val="none"/>
                <w:lang w:eastAsia="zh-CN"/>
              </w:rPr>
              <w:t>中标人应提供</w:t>
            </w:r>
            <w:r>
              <w:rPr>
                <w:rFonts w:hint="eastAsia" w:ascii="宋体" w:hAnsi="宋体" w:eastAsia="宋体" w:cs="宋体"/>
                <w:color w:val="auto"/>
                <w:szCs w:val="24"/>
                <w:highlight w:val="none"/>
              </w:rPr>
              <w:t>履约保证金返还申请（格式另附）、合同或合同关键页复印件、合同约定的其他资料</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涉及验收的，应同时提交</w:t>
            </w:r>
            <w:r>
              <w:rPr>
                <w:rFonts w:hint="eastAsia" w:ascii="宋体" w:hAnsi="宋体" w:eastAsia="宋体" w:cs="宋体"/>
                <w:color w:val="auto"/>
                <w:szCs w:val="24"/>
                <w:highlight w:val="none"/>
                <w:lang w:eastAsia="zh-CN"/>
              </w:rPr>
              <w:t>采购人</w:t>
            </w:r>
            <w:r>
              <w:rPr>
                <w:rFonts w:hint="eastAsia" w:ascii="宋体" w:hAnsi="宋体" w:eastAsia="宋体" w:cs="宋体"/>
                <w:color w:val="auto"/>
                <w:szCs w:val="24"/>
                <w:highlight w:val="none"/>
              </w:rPr>
              <w:t>需求部门出具的项目终验意见或质量保证期（服务期）满验收意见。</w:t>
            </w:r>
          </w:p>
          <w:p w14:paraId="4F3E8F08">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满足履约保证金返还条件且双方对核实结果无异议的，自完成核实之日起30日内，采购人根据项目验收意见扣除应扣除的款项（如有）后，原路无息返还履约保证金。</w:t>
            </w:r>
          </w:p>
          <w:p w14:paraId="051BF56A">
            <w:pPr>
              <w:keepNext w:val="0"/>
              <w:keepLines w:val="0"/>
              <w:pageBreakBefore w:val="0"/>
              <w:widowControl/>
              <w:kinsoku/>
              <w:wordWrap/>
              <w:overflowPunct/>
              <w:topLinePunct/>
              <w:autoSpaceDE/>
              <w:autoSpaceDN/>
              <w:bidi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采购人账户</w:t>
            </w:r>
            <w:r>
              <w:rPr>
                <w:rFonts w:hint="eastAsia" w:ascii="宋体" w:hAnsi="宋体" w:eastAsia="宋体" w:cs="宋体"/>
                <w:color w:val="auto"/>
                <w:szCs w:val="21"/>
                <w:highlight w:val="none"/>
              </w:rPr>
              <w:t>：</w:t>
            </w:r>
          </w:p>
          <w:p w14:paraId="7D7E424C">
            <w:pPr>
              <w:keepNext w:val="0"/>
              <w:keepLines w:val="0"/>
              <w:pageBreakBefore w:val="0"/>
              <w:widowControl/>
              <w:kinsoku/>
              <w:wordWrap/>
              <w:overflowPunct/>
              <w:topLinePunct/>
              <w:autoSpaceDE/>
              <w:autoSpaceDN/>
              <w:bidi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p w14:paraId="7641140B">
            <w:pPr>
              <w:keepNext w:val="0"/>
              <w:keepLines w:val="0"/>
              <w:pageBreakBefore w:val="0"/>
              <w:widowControl/>
              <w:kinsoku/>
              <w:wordWrap/>
              <w:overflowPunct/>
              <w:topLinePunct/>
              <w:autoSpaceDE/>
              <w:autoSpaceDN/>
              <w:bidi w:val="0"/>
              <w:snapToGrid w:val="0"/>
              <w:spacing w:before="60" w:line="336"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银行账号：</w:t>
            </w:r>
          </w:p>
          <w:p w14:paraId="4E23909E">
            <w:pPr>
              <w:pStyle w:val="2"/>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注：以电汇方式递交履约保证金须在电汇凭据附言栏中写明采购编号、包号及用途(履约保证金)。</w:t>
            </w:r>
          </w:p>
        </w:tc>
      </w:tr>
      <w:tr w14:paraId="2F8D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15746B56">
            <w:pPr>
              <w:spacing w:before="48" w:after="48" w:line="240" w:lineRule="auto"/>
              <w:jc w:val="center"/>
              <w:rPr>
                <w:rFonts w:hint="default" w:ascii="宋体" w:hAnsi="宋体" w:eastAsia="宋体" w:cs="宋体"/>
                <w:color w:val="auto"/>
                <w:szCs w:val="21"/>
                <w:highlight w:val="none"/>
                <w:lang w:val="en-US"/>
              </w:rPr>
            </w:pPr>
            <w:r>
              <w:rPr>
                <w:rFonts w:hint="eastAsia" w:ascii="宋体" w:hAnsi="宋体" w:cs="宋体"/>
                <w:b w:val="0"/>
                <w:color w:val="auto"/>
                <w:sz w:val="21"/>
                <w:highlight w:val="none"/>
                <w:u w:val="none"/>
                <w:lang w:val="en-US" w:eastAsia="zh-CN"/>
              </w:rPr>
              <w:t>31</w:t>
            </w:r>
          </w:p>
        </w:tc>
        <w:tc>
          <w:tcPr>
            <w:tcW w:w="1984" w:type="dxa"/>
            <w:noWrap w:val="0"/>
            <w:vAlign w:val="center"/>
          </w:tcPr>
          <w:p w14:paraId="0E5BB02D">
            <w:pPr>
              <w:spacing w:before="48" w:after="48" w:line="240" w:lineRule="auto"/>
              <w:jc w:val="center"/>
              <w:rPr>
                <w:rFonts w:hint="eastAsia" w:ascii="宋体" w:hAnsi="宋体" w:eastAsia="宋体" w:cs="宋体"/>
                <w:color w:val="auto"/>
                <w:szCs w:val="21"/>
                <w:highlight w:val="none"/>
              </w:rPr>
            </w:pPr>
            <w:r>
              <w:rPr>
                <w:rFonts w:ascii="宋体" w:hAnsi="宋体" w:eastAsia="宋体" w:cs="宋体"/>
                <w:b w:val="0"/>
                <w:color w:val="auto"/>
                <w:sz w:val="21"/>
                <w:highlight w:val="none"/>
                <w:u w:val="none"/>
              </w:rPr>
              <w:t>付款安排</w:t>
            </w:r>
          </w:p>
        </w:tc>
        <w:tc>
          <w:tcPr>
            <w:tcW w:w="6058" w:type="dxa"/>
            <w:gridSpan w:val="2"/>
            <w:noWrap w:val="0"/>
            <w:vAlign w:val="center"/>
          </w:tcPr>
          <w:p w14:paraId="6D8F40B5">
            <w:pPr>
              <w:spacing w:before="48" w:after="48" w:line="240" w:lineRule="auto"/>
              <w:jc w:val="both"/>
              <w:rPr>
                <w:rFonts w:hint="eastAsia" w:ascii="宋体" w:hAnsi="宋体" w:eastAsia="宋体" w:cs="宋体"/>
                <w:color w:val="auto"/>
                <w:highlight w:val="none"/>
              </w:rPr>
            </w:pPr>
            <w:r>
              <w:rPr>
                <w:rFonts w:hint="default" w:ascii="宋体" w:hAnsi="宋体" w:eastAsia="宋体" w:cs="宋体"/>
                <w:b w:val="0"/>
                <w:color w:val="auto"/>
                <w:sz w:val="21"/>
                <w:highlight w:val="none"/>
                <w:u w:val="none"/>
                <w:lang w:eastAsia="zh-CN"/>
              </w:rPr>
              <w:t>详见《</w:t>
            </w:r>
            <w:r>
              <w:rPr>
                <w:rFonts w:hint="eastAsia" w:ascii="宋体" w:hAnsi="宋体" w:eastAsia="宋体" w:cs="宋体"/>
                <w:b w:val="0"/>
                <w:color w:val="auto"/>
                <w:sz w:val="21"/>
                <w:highlight w:val="none"/>
                <w:u w:val="none"/>
              </w:rPr>
              <w:t>第四章  政府采购合同文本</w:t>
            </w:r>
            <w:r>
              <w:rPr>
                <w:rFonts w:hint="default" w:ascii="宋体" w:hAnsi="宋体" w:eastAsia="宋体" w:cs="宋体"/>
                <w:b w:val="0"/>
                <w:color w:val="auto"/>
                <w:sz w:val="21"/>
                <w:highlight w:val="none"/>
                <w:u w:val="none"/>
                <w:lang w:eastAsia="zh-CN"/>
              </w:rPr>
              <w:t>》</w:t>
            </w:r>
          </w:p>
        </w:tc>
      </w:tr>
      <w:tr w14:paraId="75205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 w:type="dxa"/>
            <w:noWrap w:val="0"/>
            <w:vAlign w:val="center"/>
          </w:tcPr>
          <w:p w14:paraId="1D81DDA4">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32</w:t>
            </w:r>
          </w:p>
        </w:tc>
        <w:tc>
          <w:tcPr>
            <w:tcW w:w="1984" w:type="dxa"/>
            <w:noWrap w:val="0"/>
            <w:vAlign w:val="center"/>
          </w:tcPr>
          <w:p w14:paraId="55AF410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接收质疑的方式、部门、电话和通讯地址</w:t>
            </w:r>
          </w:p>
        </w:tc>
        <w:tc>
          <w:tcPr>
            <w:tcW w:w="6058" w:type="dxa"/>
            <w:gridSpan w:val="2"/>
            <w:noWrap w:val="0"/>
            <w:vAlign w:val="center"/>
          </w:tcPr>
          <w:p w14:paraId="4C9CB373">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质疑联系方式：</w:t>
            </w:r>
          </w:p>
          <w:p w14:paraId="58930958">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（1）接收质疑函的方式：</w:t>
            </w:r>
            <w:r>
              <w:rPr>
                <w:rFonts w:hint="eastAsia" w:ascii="宋体" w:hAnsi="宋体" w:cs="宋体"/>
                <w:color w:val="auto"/>
                <w:szCs w:val="21"/>
                <w:highlight w:val="none"/>
                <w:lang w:eastAsia="zh-CN"/>
              </w:rPr>
              <w:t>书面</w:t>
            </w:r>
            <w:r>
              <w:rPr>
                <w:rFonts w:hint="eastAsia" w:ascii="宋体" w:hAnsi="宋体" w:cs="宋体"/>
                <w:color w:val="auto"/>
                <w:szCs w:val="21"/>
                <w:highlight w:val="none"/>
                <w:lang w:val="en-US" w:eastAsia="zh-CN"/>
              </w:rPr>
              <w:t>形式</w:t>
            </w:r>
          </w:p>
          <w:p w14:paraId="2336CB0E">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（2）联系部门：</w:t>
            </w:r>
            <w:r>
              <w:rPr>
                <w:rFonts w:hint="eastAsia" w:ascii="宋体" w:hAnsi="宋体" w:cs="宋体"/>
                <w:color w:val="auto"/>
                <w:sz w:val="21"/>
                <w:szCs w:val="21"/>
                <w:highlight w:val="none"/>
                <w:u w:val="single"/>
                <w:lang w:eastAsia="zh-CN"/>
              </w:rPr>
              <w:t>广西建设工程机电设备招标中心有限公司</w:t>
            </w:r>
          </w:p>
          <w:p w14:paraId="2ECCD1F8">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（3）联系电话：</w:t>
            </w:r>
            <w:r>
              <w:rPr>
                <w:rFonts w:hint="eastAsia" w:ascii="宋体" w:hAnsi="宋体" w:eastAsia="宋体" w:cs="宋体"/>
                <w:color w:val="auto"/>
                <w:sz w:val="21"/>
                <w:szCs w:val="21"/>
                <w:highlight w:val="none"/>
                <w:u w:val="single"/>
                <w:lang w:eastAsia="zh-CN"/>
              </w:rPr>
              <w:t>0771-</w:t>
            </w:r>
            <w:r>
              <w:rPr>
                <w:rFonts w:hint="eastAsia" w:ascii="宋体" w:hAnsi="宋体" w:cs="宋体"/>
                <w:color w:val="auto"/>
                <w:sz w:val="21"/>
                <w:szCs w:val="21"/>
                <w:highlight w:val="none"/>
                <w:u w:val="single"/>
                <w:lang w:eastAsia="zh-CN"/>
              </w:rPr>
              <w:t>2807659、2819799</w:t>
            </w:r>
          </w:p>
          <w:p w14:paraId="225ED1B1">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（4）通讯地址：</w:t>
            </w:r>
            <w:r>
              <w:rPr>
                <w:rFonts w:hint="eastAsia" w:ascii="宋体" w:hAnsi="宋体" w:cs="宋体"/>
                <w:bCs/>
                <w:color w:val="auto"/>
                <w:sz w:val="21"/>
                <w:szCs w:val="21"/>
                <w:highlight w:val="none"/>
                <w:u w:val="single"/>
                <w:lang w:val="en-US" w:eastAsia="zh-CN"/>
              </w:rPr>
              <w:t>南宁市青秀区枫林路18号广西国资交易中心3层</w:t>
            </w:r>
          </w:p>
          <w:p w14:paraId="15FF5730">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（5）电子邮箱：</w:t>
            </w:r>
            <w:r>
              <w:rPr>
                <w:rFonts w:hint="eastAsia" w:ascii="宋体" w:hAnsi="宋体" w:eastAsia="宋体" w:cs="宋体"/>
                <w:color w:val="auto"/>
                <w:sz w:val="21"/>
                <w:szCs w:val="21"/>
                <w:highlight w:val="none"/>
                <w:u w:val="single"/>
                <w:lang w:eastAsia="zh-CN"/>
              </w:rPr>
              <w:t>zbzx</w:t>
            </w:r>
            <w:r>
              <w:rPr>
                <w:rFonts w:hint="eastAsia" w:ascii="宋体" w:hAnsi="宋体" w:cs="宋体"/>
                <w:color w:val="auto"/>
                <w:sz w:val="21"/>
                <w:szCs w:val="21"/>
                <w:highlight w:val="none"/>
                <w:u w:val="single"/>
                <w:lang w:eastAsia="zh-CN"/>
              </w:rPr>
              <w:t>2807659@</w:t>
            </w:r>
            <w:r>
              <w:rPr>
                <w:rFonts w:hint="eastAsia" w:ascii="宋体" w:hAnsi="宋体" w:eastAsia="宋体" w:cs="宋体"/>
                <w:color w:val="auto"/>
                <w:sz w:val="21"/>
                <w:szCs w:val="21"/>
                <w:highlight w:val="none"/>
                <w:u w:val="single"/>
                <w:lang w:eastAsia="zh-CN"/>
              </w:rPr>
              <w:t xml:space="preserve">163.com </w:t>
            </w:r>
          </w:p>
        </w:tc>
      </w:tr>
      <w:tr w14:paraId="4B23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6E809CEE">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33</w:t>
            </w:r>
          </w:p>
        </w:tc>
        <w:tc>
          <w:tcPr>
            <w:tcW w:w="1984" w:type="dxa"/>
            <w:noWrap w:val="0"/>
            <w:vAlign w:val="center"/>
          </w:tcPr>
          <w:p w14:paraId="1330C57A">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需提交的投标文件份数</w:t>
            </w:r>
          </w:p>
        </w:tc>
        <w:tc>
          <w:tcPr>
            <w:tcW w:w="6058" w:type="dxa"/>
            <w:gridSpan w:val="2"/>
            <w:noWrap w:val="0"/>
            <w:vAlign w:val="center"/>
          </w:tcPr>
          <w:p w14:paraId="1D05E0B7">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需提交的投标文件份数：</w:t>
            </w:r>
          </w:p>
          <w:p w14:paraId="36B93070">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（1）正本</w:t>
            </w:r>
            <w:r>
              <w:rPr>
                <w:rFonts w:hint="eastAsia" w:ascii="宋体" w:hAnsi="宋体" w:cs="宋体"/>
                <w:b/>
                <w:bCs/>
                <w:color w:val="auto"/>
                <w:szCs w:val="21"/>
                <w:highlight w:val="none"/>
                <w:u w:val="single"/>
                <w:lang w:val="en-US" w:eastAsia="zh-CN"/>
              </w:rPr>
              <w:t xml:space="preserve"> 壹 </w:t>
            </w:r>
            <w:r>
              <w:rPr>
                <w:rFonts w:hint="eastAsia" w:ascii="宋体" w:hAnsi="宋体" w:eastAsia="宋体" w:cs="宋体"/>
                <w:b/>
                <w:bCs/>
                <w:color w:val="auto"/>
                <w:szCs w:val="21"/>
                <w:highlight w:val="none"/>
              </w:rPr>
              <w:t>份、副本</w:t>
            </w:r>
            <w:r>
              <w:rPr>
                <w:rFonts w:hint="eastAsia" w:ascii="宋体" w:hAnsi="宋体" w:cs="宋体"/>
                <w:b/>
                <w:bCs/>
                <w:color w:val="auto"/>
                <w:szCs w:val="21"/>
                <w:highlight w:val="none"/>
                <w:u w:val="single"/>
                <w:lang w:val="en-US" w:eastAsia="zh-CN"/>
              </w:rPr>
              <w:t xml:space="preserve"> 肆 </w:t>
            </w:r>
            <w:r>
              <w:rPr>
                <w:rFonts w:hint="eastAsia" w:ascii="宋体" w:hAnsi="宋体" w:eastAsia="宋体" w:cs="宋体"/>
                <w:b/>
                <w:bCs/>
                <w:color w:val="auto"/>
                <w:szCs w:val="21"/>
                <w:highlight w:val="none"/>
              </w:rPr>
              <w:t>份。</w:t>
            </w:r>
          </w:p>
          <w:p w14:paraId="33029D4A">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w:t>
            </w:r>
            <w:r>
              <w:rPr>
                <w:rFonts w:hint="eastAsia" w:ascii="宋体" w:hAnsi="宋体" w:eastAsia="宋体" w:cs="宋体"/>
                <w:b/>
                <w:bCs/>
                <w:color w:val="auto"/>
                <w:szCs w:val="21"/>
                <w:highlight w:val="none"/>
                <w:lang w:eastAsia="zh-CN"/>
              </w:rPr>
              <w:t>签字盖章的</w:t>
            </w:r>
            <w:r>
              <w:rPr>
                <w:rFonts w:hint="eastAsia" w:ascii="宋体" w:hAnsi="宋体" w:eastAsia="宋体" w:cs="宋体"/>
                <w:b/>
                <w:bCs/>
                <w:color w:val="auto"/>
                <w:szCs w:val="21"/>
                <w:highlight w:val="none"/>
              </w:rPr>
              <w:t>电子文件</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u w:val="single"/>
                <w:lang w:val="en-US" w:eastAsia="zh-CN"/>
              </w:rPr>
              <w:t>壹</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份（</w:t>
            </w:r>
            <w:r>
              <w:rPr>
                <w:rFonts w:hint="eastAsia" w:ascii="宋体" w:hAnsi="宋体" w:eastAsia="宋体" w:cs="宋体"/>
                <w:b/>
                <w:bCs/>
                <w:color w:val="auto"/>
                <w:szCs w:val="21"/>
                <w:highlight w:val="none"/>
                <w:lang w:val="en-US" w:eastAsia="zh-CN"/>
              </w:rPr>
              <w:t>PDF格式</w:t>
            </w:r>
            <w:r>
              <w:rPr>
                <w:rFonts w:hint="eastAsia" w:ascii="宋体" w:hAnsi="宋体" w:eastAsia="宋体" w:cs="宋体"/>
                <w:b/>
                <w:bCs/>
                <w:color w:val="auto"/>
                <w:szCs w:val="21"/>
                <w:highlight w:val="none"/>
              </w:rPr>
              <w:t>）。</w:t>
            </w:r>
            <w:r>
              <w:rPr>
                <w:rFonts w:hint="eastAsia" w:ascii="宋体" w:hAnsi="宋体" w:eastAsia="宋体" w:cs="宋体"/>
                <w:b/>
                <w:bCs/>
                <w:color w:val="auto"/>
                <w:highlight w:val="none"/>
              </w:rPr>
              <w:t>采用U盘方式提交。</w:t>
            </w:r>
          </w:p>
        </w:tc>
      </w:tr>
      <w:tr w14:paraId="0C41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313EB4A0">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34</w:t>
            </w:r>
          </w:p>
        </w:tc>
        <w:tc>
          <w:tcPr>
            <w:tcW w:w="1984" w:type="dxa"/>
            <w:noWrap w:val="0"/>
            <w:vAlign w:val="center"/>
          </w:tcPr>
          <w:p w14:paraId="35C4D258">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代理费用</w:t>
            </w:r>
          </w:p>
        </w:tc>
        <w:tc>
          <w:tcPr>
            <w:tcW w:w="6058" w:type="dxa"/>
            <w:gridSpan w:val="2"/>
            <w:noWrap w:val="0"/>
            <w:vAlign w:val="center"/>
          </w:tcPr>
          <w:p w14:paraId="7C3B0ABD">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代理费用：</w:t>
            </w:r>
          </w:p>
          <w:p w14:paraId="55D00E7E">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（1）本项目代理费用由</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中标人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支付。</w:t>
            </w:r>
          </w:p>
          <w:p w14:paraId="172C7521">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（2）代理费用收取方式及标准：</w:t>
            </w:r>
          </w:p>
          <w:p w14:paraId="5E5F9E49">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根据《国家发展改革委关于进一步放开建设项目专业服务价格的通知》（发改价格</w:t>
            </w:r>
            <w:r>
              <w:rPr>
                <w:rFonts w:hint="eastAsia" w:ascii="宋体" w:hAnsi="宋体" w:eastAsia="宋体" w:cs="宋体"/>
                <w:color w:val="auto"/>
                <w:highlight w:val="none"/>
              </w:rPr>
              <w:t>〔20</w:t>
            </w: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299号</w:t>
            </w:r>
            <w:r>
              <w:rPr>
                <w:rFonts w:hint="eastAsia" w:ascii="宋体" w:hAnsi="宋体" w:eastAsia="宋体" w:cs="宋体"/>
                <w:color w:val="auto"/>
                <w:highlight w:val="none"/>
                <w:lang w:eastAsia="zh-CN"/>
              </w:rPr>
              <w:t>）文件规定，代理费已放开为市场调节价，不再执行政府指导价管理。本项目代理费参照</w:t>
            </w:r>
            <w:r>
              <w:rPr>
                <w:rFonts w:hint="eastAsia" w:ascii="宋体" w:hAnsi="宋体" w:eastAsia="宋体" w:cs="宋体"/>
                <w:color w:val="auto"/>
                <w:highlight w:val="none"/>
              </w:rPr>
              <w:t>国家发展计划委员会《招标代理服务费管理暂行办法》（计价格〔2002〕1980号）、《国家发改委关于降低部分建设项目收费标准规范收费行为等有关问题的通知》（发改价格〔2011〕534号）</w:t>
            </w:r>
            <w:r>
              <w:rPr>
                <w:rFonts w:hint="eastAsia" w:ascii="宋体" w:hAnsi="宋体" w:eastAsia="宋体" w:cs="宋体"/>
                <w:color w:val="auto"/>
                <w:highlight w:val="none"/>
                <w:lang w:eastAsia="zh-CN"/>
              </w:rPr>
              <w:t>收费标准核算。</w:t>
            </w:r>
          </w:p>
          <w:p w14:paraId="1AB5A62C">
            <w:pPr>
              <w:keepNext w:val="0"/>
              <w:keepLines w:val="0"/>
              <w:pageBreakBefore w:val="0"/>
              <w:kinsoku/>
              <w:wordWrap/>
              <w:overflowPunct/>
              <w:topLinePunct w:val="0"/>
              <w:bidi w:val="0"/>
              <w:adjustRightInd w:val="0"/>
              <w:spacing w:line="240" w:lineRule="auto"/>
              <w:ind w:left="0" w:firstLine="420" w:firstLineChars="20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采购代理服务费标准费率：</w:t>
            </w:r>
          </w:p>
          <w:tbl>
            <w:tblPr>
              <w:tblStyle w:val="23"/>
              <w:tblpPr w:leftFromText="180" w:rightFromText="180" w:vertAnchor="text" w:horzAnchor="page" w:tblpX="2400" w:tblpY="25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5"/>
              <w:gridCol w:w="1834"/>
              <w:gridCol w:w="1803"/>
              <w:gridCol w:w="1606"/>
            </w:tblGrid>
            <w:tr w14:paraId="25D64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2455" w:type="dxa"/>
                  <w:tcBorders>
                    <w:tl2br w:val="single" w:color="auto" w:sz="4" w:space="0"/>
                  </w:tcBorders>
                </w:tcPr>
                <w:p w14:paraId="4C2EC544">
                  <w:pPr>
                    <w:keepNext w:val="0"/>
                    <w:keepLines w:val="0"/>
                    <w:pageBreakBefore w:val="0"/>
                    <w:kinsoku/>
                    <w:wordWrap/>
                    <w:overflowPunct/>
                    <w:topLinePunct w:val="0"/>
                    <w:bidi w:val="0"/>
                    <w:adjustRightInd w:val="0"/>
                    <w:spacing w:line="240" w:lineRule="auto"/>
                    <w:ind w:left="0" w:hanging="1365" w:hangingChars="65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            费率</w:t>
                  </w:r>
                </w:p>
                <w:p w14:paraId="0AB36693">
                  <w:pPr>
                    <w:keepNext w:val="0"/>
                    <w:keepLines w:val="0"/>
                    <w:pageBreakBefore w:val="0"/>
                    <w:kinsoku/>
                    <w:wordWrap/>
                    <w:overflowPunct/>
                    <w:topLinePunct w:val="0"/>
                    <w:bidi w:val="0"/>
                    <w:adjustRightInd w:val="0"/>
                    <w:spacing w:line="240" w:lineRule="auto"/>
                    <w:ind w:left="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中标金额</w:t>
                  </w:r>
                </w:p>
              </w:tc>
              <w:tc>
                <w:tcPr>
                  <w:tcW w:w="1834" w:type="dxa"/>
                  <w:vAlign w:val="center"/>
                </w:tcPr>
                <w:p w14:paraId="003BD6B3">
                  <w:pPr>
                    <w:keepNext w:val="0"/>
                    <w:keepLines w:val="0"/>
                    <w:pageBreakBefore w:val="0"/>
                    <w:kinsoku/>
                    <w:wordWrap/>
                    <w:overflowPunct/>
                    <w:topLinePunct w:val="0"/>
                    <w:bidi w:val="0"/>
                    <w:adjustRightInd w:val="0"/>
                    <w:spacing w:line="240" w:lineRule="auto"/>
                    <w:ind w:left="0" w:firstLine="105" w:firstLineChars="5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货物招标</w:t>
                  </w:r>
                </w:p>
              </w:tc>
              <w:tc>
                <w:tcPr>
                  <w:tcW w:w="1803" w:type="dxa"/>
                  <w:vAlign w:val="center"/>
                </w:tcPr>
                <w:p w14:paraId="4FBE54DB">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服务招标</w:t>
                  </w:r>
                </w:p>
              </w:tc>
              <w:tc>
                <w:tcPr>
                  <w:tcW w:w="1606" w:type="dxa"/>
                  <w:vAlign w:val="center"/>
                </w:tcPr>
                <w:p w14:paraId="2611E5A0">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工程招标</w:t>
                  </w:r>
                </w:p>
              </w:tc>
            </w:tr>
            <w:tr w14:paraId="2C66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455" w:type="dxa"/>
                  <w:vAlign w:val="center"/>
                </w:tcPr>
                <w:p w14:paraId="5F845988">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100万元以下</w:t>
                  </w:r>
                </w:p>
              </w:tc>
              <w:tc>
                <w:tcPr>
                  <w:tcW w:w="1834" w:type="dxa"/>
                  <w:vAlign w:val="center"/>
                </w:tcPr>
                <w:p w14:paraId="7B93F546">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1.5%</w:t>
                  </w:r>
                </w:p>
              </w:tc>
              <w:tc>
                <w:tcPr>
                  <w:tcW w:w="1803" w:type="dxa"/>
                  <w:vAlign w:val="center"/>
                </w:tcPr>
                <w:p w14:paraId="16FE4D99">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1.5%</w:t>
                  </w:r>
                </w:p>
              </w:tc>
              <w:tc>
                <w:tcPr>
                  <w:tcW w:w="1606" w:type="dxa"/>
                  <w:vAlign w:val="center"/>
                </w:tcPr>
                <w:p w14:paraId="2839468B">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1.0%</w:t>
                  </w:r>
                </w:p>
              </w:tc>
            </w:tr>
            <w:tr w14:paraId="0820B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455" w:type="dxa"/>
                  <w:vAlign w:val="center"/>
                </w:tcPr>
                <w:p w14:paraId="6F423FF8">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100～500万元</w:t>
                  </w:r>
                </w:p>
              </w:tc>
              <w:tc>
                <w:tcPr>
                  <w:tcW w:w="1834" w:type="dxa"/>
                  <w:vAlign w:val="center"/>
                </w:tcPr>
                <w:p w14:paraId="5F76BBDC">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1.1%</w:t>
                  </w:r>
                </w:p>
              </w:tc>
              <w:tc>
                <w:tcPr>
                  <w:tcW w:w="1803" w:type="dxa"/>
                  <w:vAlign w:val="center"/>
                </w:tcPr>
                <w:p w14:paraId="1A708C8C">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0.8%</w:t>
                  </w:r>
                </w:p>
              </w:tc>
              <w:tc>
                <w:tcPr>
                  <w:tcW w:w="1606" w:type="dxa"/>
                  <w:vAlign w:val="center"/>
                </w:tcPr>
                <w:p w14:paraId="02EF97A2">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0.7%</w:t>
                  </w:r>
                </w:p>
              </w:tc>
            </w:tr>
            <w:tr w14:paraId="01B1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455" w:type="dxa"/>
                  <w:vAlign w:val="center"/>
                </w:tcPr>
                <w:p w14:paraId="7CD5D166">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500～1000万元</w:t>
                  </w:r>
                </w:p>
              </w:tc>
              <w:tc>
                <w:tcPr>
                  <w:tcW w:w="1834" w:type="dxa"/>
                  <w:vAlign w:val="center"/>
                </w:tcPr>
                <w:p w14:paraId="5AA5F777">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0.8%</w:t>
                  </w:r>
                </w:p>
              </w:tc>
              <w:tc>
                <w:tcPr>
                  <w:tcW w:w="1803" w:type="dxa"/>
                  <w:vAlign w:val="center"/>
                </w:tcPr>
                <w:p w14:paraId="53509AF1">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0.45%</w:t>
                  </w:r>
                </w:p>
              </w:tc>
              <w:tc>
                <w:tcPr>
                  <w:tcW w:w="1606" w:type="dxa"/>
                  <w:vAlign w:val="center"/>
                </w:tcPr>
                <w:p w14:paraId="4BE6DBFF">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0.55%</w:t>
                  </w:r>
                </w:p>
              </w:tc>
            </w:tr>
            <w:tr w14:paraId="4706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455" w:type="dxa"/>
                  <w:vAlign w:val="center"/>
                </w:tcPr>
                <w:p w14:paraId="700CCC3B">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1000～5000万元</w:t>
                  </w:r>
                </w:p>
              </w:tc>
              <w:tc>
                <w:tcPr>
                  <w:tcW w:w="1834" w:type="dxa"/>
                  <w:vAlign w:val="center"/>
                </w:tcPr>
                <w:p w14:paraId="230E44D7">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0.5%</w:t>
                  </w:r>
                </w:p>
              </w:tc>
              <w:tc>
                <w:tcPr>
                  <w:tcW w:w="1803" w:type="dxa"/>
                  <w:vAlign w:val="center"/>
                </w:tcPr>
                <w:p w14:paraId="37E863FA">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0.25%</w:t>
                  </w:r>
                </w:p>
              </w:tc>
              <w:tc>
                <w:tcPr>
                  <w:tcW w:w="1606" w:type="dxa"/>
                  <w:vAlign w:val="center"/>
                </w:tcPr>
                <w:p w14:paraId="4279CF18">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0.35%</w:t>
                  </w:r>
                </w:p>
              </w:tc>
            </w:tr>
            <w:tr w14:paraId="3D4D3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455" w:type="dxa"/>
                  <w:vAlign w:val="center"/>
                </w:tcPr>
                <w:p w14:paraId="6D21153C">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5000万元～1亿元</w:t>
                  </w:r>
                </w:p>
              </w:tc>
              <w:tc>
                <w:tcPr>
                  <w:tcW w:w="1834" w:type="dxa"/>
                  <w:vAlign w:val="center"/>
                </w:tcPr>
                <w:p w14:paraId="4711FCD9">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0.25%</w:t>
                  </w:r>
                </w:p>
              </w:tc>
              <w:tc>
                <w:tcPr>
                  <w:tcW w:w="1803" w:type="dxa"/>
                  <w:vAlign w:val="center"/>
                </w:tcPr>
                <w:p w14:paraId="409B80BA">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0.1%</w:t>
                  </w:r>
                </w:p>
              </w:tc>
              <w:tc>
                <w:tcPr>
                  <w:tcW w:w="1606" w:type="dxa"/>
                  <w:vAlign w:val="center"/>
                </w:tcPr>
                <w:p w14:paraId="743996E0">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0.2%</w:t>
                  </w:r>
                </w:p>
              </w:tc>
            </w:tr>
            <w:tr w14:paraId="335AC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2455" w:type="dxa"/>
                  <w:vAlign w:val="center"/>
                </w:tcPr>
                <w:p w14:paraId="058FF3A4">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1～5亿元</w:t>
                  </w:r>
                </w:p>
              </w:tc>
              <w:tc>
                <w:tcPr>
                  <w:tcW w:w="1834" w:type="dxa"/>
                  <w:vAlign w:val="center"/>
                </w:tcPr>
                <w:p w14:paraId="5D2C53AF">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0.05%</w:t>
                  </w:r>
                </w:p>
              </w:tc>
              <w:tc>
                <w:tcPr>
                  <w:tcW w:w="1803" w:type="dxa"/>
                  <w:vAlign w:val="center"/>
                </w:tcPr>
                <w:p w14:paraId="7EBFCE6A">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0.05%</w:t>
                  </w:r>
                </w:p>
              </w:tc>
              <w:tc>
                <w:tcPr>
                  <w:tcW w:w="1606" w:type="dxa"/>
                  <w:vAlign w:val="center"/>
                </w:tcPr>
                <w:p w14:paraId="4E03BA18">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0.05%</w:t>
                  </w:r>
                </w:p>
              </w:tc>
            </w:tr>
            <w:tr w14:paraId="0E7B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455" w:type="dxa"/>
                  <w:vAlign w:val="center"/>
                </w:tcPr>
                <w:p w14:paraId="3DE87E73">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5～10亿元</w:t>
                  </w:r>
                </w:p>
              </w:tc>
              <w:tc>
                <w:tcPr>
                  <w:tcW w:w="1834" w:type="dxa"/>
                  <w:vAlign w:val="center"/>
                </w:tcPr>
                <w:p w14:paraId="55469B5D">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0.035%</w:t>
                  </w:r>
                </w:p>
              </w:tc>
              <w:tc>
                <w:tcPr>
                  <w:tcW w:w="1803" w:type="dxa"/>
                  <w:vAlign w:val="center"/>
                </w:tcPr>
                <w:p w14:paraId="633A8AFA">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0.035%</w:t>
                  </w:r>
                </w:p>
              </w:tc>
              <w:tc>
                <w:tcPr>
                  <w:tcW w:w="1606" w:type="dxa"/>
                  <w:vAlign w:val="center"/>
                </w:tcPr>
                <w:p w14:paraId="3D31C952">
                  <w:pPr>
                    <w:keepNext w:val="0"/>
                    <w:keepLines w:val="0"/>
                    <w:pageBreakBefore w:val="0"/>
                    <w:kinsoku/>
                    <w:wordWrap/>
                    <w:overflowPunct/>
                    <w:topLinePunct w:val="0"/>
                    <w:bidi w:val="0"/>
                    <w:adjustRightInd w:val="0"/>
                    <w:spacing w:line="240" w:lineRule="auto"/>
                    <w:ind w:left="0"/>
                    <w:jc w:val="center"/>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0.035%</w:t>
                  </w:r>
                </w:p>
              </w:tc>
            </w:tr>
          </w:tbl>
          <w:p w14:paraId="53E45635">
            <w:pPr>
              <w:keepNext w:val="0"/>
              <w:keepLines w:val="0"/>
              <w:pageBreakBefore w:val="0"/>
              <w:kinsoku/>
              <w:wordWrap/>
              <w:overflowPunct/>
              <w:topLinePunct w:val="0"/>
              <w:bidi w:val="0"/>
              <w:adjustRightInd w:val="0"/>
              <w:spacing w:line="240" w:lineRule="auto"/>
              <w:ind w:left="0" w:firstLine="420" w:firstLineChars="20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注：采购代理服务收费按差额定率累进法计算。</w:t>
            </w:r>
          </w:p>
          <w:p w14:paraId="73FF9822">
            <w:pPr>
              <w:keepNext w:val="0"/>
              <w:keepLines w:val="0"/>
              <w:pageBreakBefore w:val="0"/>
              <w:kinsoku/>
              <w:wordWrap/>
              <w:overflowPunct/>
              <w:topLinePunct w:val="0"/>
              <w:bidi w:val="0"/>
              <w:adjustRightInd w:val="0"/>
              <w:spacing w:line="240" w:lineRule="auto"/>
              <w:ind w:left="0" w:firstLine="420" w:firstLineChars="20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例如：广西税务系统某</w:t>
            </w:r>
            <w:r>
              <w:rPr>
                <w:rFonts w:hint="eastAsia" w:ascii="宋体" w:hAnsi="宋体" w:eastAsia="宋体" w:cs="宋体"/>
                <w:color w:val="auto"/>
                <w:sz w:val="21"/>
                <w:szCs w:val="24"/>
                <w:highlight w:val="none"/>
                <w:lang w:val="en-US" w:eastAsia="zh-CN"/>
              </w:rPr>
              <w:t>服务</w:t>
            </w:r>
            <w:r>
              <w:rPr>
                <w:rFonts w:hint="eastAsia" w:ascii="宋体" w:hAnsi="宋体" w:eastAsia="宋体" w:cs="宋体"/>
                <w:color w:val="auto"/>
                <w:sz w:val="21"/>
                <w:szCs w:val="24"/>
                <w:highlight w:val="none"/>
              </w:rPr>
              <w:t>招标代理业务中标金额为6000万元，计算招标代理服务收费额如下：</w:t>
            </w:r>
          </w:p>
          <w:p w14:paraId="31D837A9">
            <w:pPr>
              <w:keepNext w:val="0"/>
              <w:keepLines w:val="0"/>
              <w:pageBreakBefore w:val="0"/>
              <w:kinsoku/>
              <w:wordWrap/>
              <w:overflowPunct/>
              <w:topLinePunct w:val="0"/>
              <w:bidi w:val="0"/>
              <w:adjustRightInd w:val="0"/>
              <w:spacing w:line="240" w:lineRule="auto"/>
              <w:ind w:left="0" w:firstLine="420" w:firstLineChars="20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100万元×1.</w:t>
            </w:r>
            <w:r>
              <w:rPr>
                <w:rFonts w:hint="eastAsia" w:ascii="宋体" w:hAnsi="宋体" w:eastAsia="宋体" w:cs="宋体"/>
                <w:color w:val="auto"/>
                <w:sz w:val="21"/>
                <w:szCs w:val="24"/>
                <w:highlight w:val="none"/>
                <w:lang w:val="en-US" w:eastAsia="zh-CN"/>
              </w:rPr>
              <w:t>5</w:t>
            </w:r>
            <w:r>
              <w:rPr>
                <w:rFonts w:hint="eastAsia" w:ascii="宋体" w:hAnsi="宋体" w:eastAsia="宋体" w:cs="宋体"/>
                <w:color w:val="auto"/>
                <w:sz w:val="21"/>
                <w:szCs w:val="24"/>
                <w:highlight w:val="none"/>
              </w:rPr>
              <w:t>%=1</w:t>
            </w:r>
            <w:r>
              <w:rPr>
                <w:rFonts w:hint="eastAsia" w:ascii="宋体" w:hAnsi="宋体" w:eastAsia="宋体" w:cs="宋体"/>
                <w:color w:val="auto"/>
                <w:sz w:val="21"/>
                <w:szCs w:val="24"/>
                <w:highlight w:val="none"/>
                <w:lang w:val="en-US" w:eastAsia="zh-CN"/>
              </w:rPr>
              <w:t>.5</w:t>
            </w:r>
            <w:r>
              <w:rPr>
                <w:rFonts w:hint="eastAsia" w:ascii="宋体" w:hAnsi="宋体" w:eastAsia="宋体" w:cs="宋体"/>
                <w:color w:val="auto"/>
                <w:sz w:val="21"/>
                <w:szCs w:val="24"/>
                <w:highlight w:val="none"/>
              </w:rPr>
              <w:t>万元</w:t>
            </w:r>
          </w:p>
          <w:p w14:paraId="13FE7869">
            <w:pPr>
              <w:keepNext w:val="0"/>
              <w:keepLines w:val="0"/>
              <w:pageBreakBefore w:val="0"/>
              <w:kinsoku/>
              <w:wordWrap/>
              <w:overflowPunct/>
              <w:topLinePunct w:val="0"/>
              <w:bidi w:val="0"/>
              <w:adjustRightInd w:val="0"/>
              <w:spacing w:line="240" w:lineRule="auto"/>
              <w:ind w:left="0" w:firstLine="420" w:firstLineChars="20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（500-100）万元×0.</w:t>
            </w:r>
            <w:r>
              <w:rPr>
                <w:rFonts w:hint="eastAsia" w:ascii="宋体" w:hAnsi="宋体" w:eastAsia="宋体" w:cs="宋体"/>
                <w:color w:val="auto"/>
                <w:sz w:val="21"/>
                <w:szCs w:val="24"/>
                <w:highlight w:val="none"/>
                <w:lang w:val="en-US" w:eastAsia="zh-CN"/>
              </w:rPr>
              <w:t>8</w:t>
            </w: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3.2</w:t>
            </w:r>
            <w:r>
              <w:rPr>
                <w:rFonts w:hint="eastAsia" w:ascii="宋体" w:hAnsi="宋体" w:eastAsia="宋体" w:cs="宋体"/>
                <w:color w:val="auto"/>
                <w:sz w:val="21"/>
                <w:szCs w:val="24"/>
                <w:highlight w:val="none"/>
              </w:rPr>
              <w:t>万元</w:t>
            </w:r>
          </w:p>
          <w:p w14:paraId="7D33CA1D">
            <w:pPr>
              <w:keepNext w:val="0"/>
              <w:keepLines w:val="0"/>
              <w:pageBreakBefore w:val="0"/>
              <w:kinsoku/>
              <w:wordWrap/>
              <w:overflowPunct/>
              <w:topLinePunct w:val="0"/>
              <w:bidi w:val="0"/>
              <w:adjustRightInd w:val="0"/>
              <w:spacing w:line="240" w:lineRule="auto"/>
              <w:ind w:left="0" w:firstLine="420" w:firstLineChars="20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（1000-500）万元×0.</w:t>
            </w:r>
            <w:r>
              <w:rPr>
                <w:rFonts w:hint="eastAsia" w:ascii="宋体" w:hAnsi="宋体" w:eastAsia="宋体" w:cs="宋体"/>
                <w:color w:val="auto"/>
                <w:sz w:val="21"/>
                <w:szCs w:val="24"/>
                <w:highlight w:val="none"/>
                <w:lang w:val="en-US" w:eastAsia="zh-CN"/>
              </w:rPr>
              <w:t>4</w:t>
            </w:r>
            <w:r>
              <w:rPr>
                <w:rFonts w:hint="eastAsia" w:ascii="宋体" w:hAnsi="宋体" w:eastAsia="宋体" w:cs="宋体"/>
                <w:color w:val="auto"/>
                <w:sz w:val="21"/>
                <w:szCs w:val="24"/>
                <w:highlight w:val="none"/>
              </w:rPr>
              <w:t>5%=2.</w:t>
            </w:r>
            <w:r>
              <w:rPr>
                <w:rFonts w:hint="eastAsia" w:ascii="宋体" w:hAnsi="宋体" w:eastAsia="宋体" w:cs="宋体"/>
                <w:color w:val="auto"/>
                <w:sz w:val="21"/>
                <w:szCs w:val="24"/>
                <w:highlight w:val="none"/>
                <w:lang w:val="en-US" w:eastAsia="zh-CN"/>
              </w:rPr>
              <w:t>25</w:t>
            </w:r>
            <w:r>
              <w:rPr>
                <w:rFonts w:hint="eastAsia" w:ascii="宋体" w:hAnsi="宋体" w:eastAsia="宋体" w:cs="宋体"/>
                <w:color w:val="auto"/>
                <w:sz w:val="21"/>
                <w:szCs w:val="24"/>
                <w:highlight w:val="none"/>
              </w:rPr>
              <w:t>万元</w:t>
            </w:r>
          </w:p>
          <w:p w14:paraId="7FBC1735">
            <w:pPr>
              <w:keepNext w:val="0"/>
              <w:keepLines w:val="0"/>
              <w:pageBreakBefore w:val="0"/>
              <w:kinsoku/>
              <w:wordWrap/>
              <w:overflowPunct/>
              <w:topLinePunct w:val="0"/>
              <w:bidi w:val="0"/>
              <w:adjustRightInd w:val="0"/>
              <w:spacing w:line="240" w:lineRule="auto"/>
              <w:ind w:left="0" w:firstLine="420" w:firstLineChars="20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（5000-1000）万元×0.</w:t>
            </w:r>
            <w:r>
              <w:rPr>
                <w:rFonts w:hint="eastAsia" w:ascii="宋体" w:hAnsi="宋体" w:eastAsia="宋体" w:cs="宋体"/>
                <w:color w:val="auto"/>
                <w:sz w:val="21"/>
                <w:szCs w:val="24"/>
                <w:highlight w:val="none"/>
                <w:lang w:val="en-US" w:eastAsia="zh-CN"/>
              </w:rPr>
              <w:t>2</w:t>
            </w:r>
            <w:r>
              <w:rPr>
                <w:rFonts w:hint="eastAsia" w:ascii="宋体" w:hAnsi="宋体" w:eastAsia="宋体" w:cs="宋体"/>
                <w:color w:val="auto"/>
                <w:sz w:val="21"/>
                <w:szCs w:val="24"/>
                <w:highlight w:val="none"/>
              </w:rPr>
              <w:t>5%=1</w:t>
            </w:r>
            <w:r>
              <w:rPr>
                <w:rFonts w:hint="eastAsia" w:ascii="宋体" w:hAnsi="宋体" w:eastAsia="宋体" w:cs="宋体"/>
                <w:color w:val="auto"/>
                <w:sz w:val="21"/>
                <w:szCs w:val="24"/>
                <w:highlight w:val="none"/>
                <w:lang w:val="en-US" w:eastAsia="zh-CN"/>
              </w:rPr>
              <w:t>0</w:t>
            </w:r>
            <w:r>
              <w:rPr>
                <w:rFonts w:hint="eastAsia" w:ascii="宋体" w:hAnsi="宋体" w:eastAsia="宋体" w:cs="宋体"/>
                <w:color w:val="auto"/>
                <w:sz w:val="21"/>
                <w:szCs w:val="24"/>
                <w:highlight w:val="none"/>
              </w:rPr>
              <w:t>万元</w:t>
            </w:r>
          </w:p>
          <w:p w14:paraId="5776C1F5">
            <w:pPr>
              <w:keepNext w:val="0"/>
              <w:keepLines w:val="0"/>
              <w:pageBreakBefore w:val="0"/>
              <w:kinsoku/>
              <w:wordWrap/>
              <w:overflowPunct/>
              <w:topLinePunct w:val="0"/>
              <w:bidi w:val="0"/>
              <w:adjustRightInd w:val="0"/>
              <w:spacing w:line="240" w:lineRule="auto"/>
              <w:ind w:left="0" w:firstLine="420" w:firstLineChars="200"/>
              <w:jc w:val="left"/>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（6000-5000）万元×0.</w:t>
            </w:r>
            <w:r>
              <w:rPr>
                <w:rFonts w:hint="eastAsia" w:ascii="宋体" w:hAnsi="宋体" w:eastAsia="宋体" w:cs="宋体"/>
                <w:color w:val="auto"/>
                <w:sz w:val="21"/>
                <w:szCs w:val="24"/>
                <w:highlight w:val="none"/>
                <w:lang w:val="en-US" w:eastAsia="zh-CN"/>
              </w:rPr>
              <w:t>1</w:t>
            </w: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1</w:t>
            </w:r>
            <w:r>
              <w:rPr>
                <w:rFonts w:hint="eastAsia" w:ascii="宋体" w:hAnsi="宋体" w:eastAsia="宋体" w:cs="宋体"/>
                <w:color w:val="auto"/>
                <w:sz w:val="21"/>
                <w:szCs w:val="24"/>
                <w:highlight w:val="none"/>
              </w:rPr>
              <w:t>万元</w:t>
            </w:r>
          </w:p>
          <w:p w14:paraId="4C5A8A97">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sz w:val="21"/>
                <w:szCs w:val="24"/>
                <w:highlight w:val="none"/>
              </w:rPr>
              <w:t>合计收费（标准费率）=1</w:t>
            </w:r>
            <w:r>
              <w:rPr>
                <w:rFonts w:hint="eastAsia" w:ascii="宋体" w:hAnsi="宋体" w:eastAsia="宋体" w:cs="宋体"/>
                <w:color w:val="auto"/>
                <w:sz w:val="21"/>
                <w:szCs w:val="24"/>
                <w:highlight w:val="none"/>
                <w:lang w:val="en-US" w:eastAsia="zh-CN"/>
              </w:rPr>
              <w:t>.5</w:t>
            </w: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3.2</w:t>
            </w:r>
            <w:r>
              <w:rPr>
                <w:rFonts w:hint="eastAsia" w:ascii="宋体" w:hAnsi="宋体" w:eastAsia="宋体" w:cs="宋体"/>
                <w:color w:val="auto"/>
                <w:sz w:val="21"/>
                <w:szCs w:val="24"/>
                <w:highlight w:val="none"/>
              </w:rPr>
              <w:t>+2.</w:t>
            </w:r>
            <w:r>
              <w:rPr>
                <w:rFonts w:hint="eastAsia" w:ascii="宋体" w:hAnsi="宋体" w:eastAsia="宋体" w:cs="宋体"/>
                <w:color w:val="auto"/>
                <w:sz w:val="21"/>
                <w:szCs w:val="24"/>
                <w:highlight w:val="none"/>
                <w:lang w:val="en-US" w:eastAsia="zh-CN"/>
              </w:rPr>
              <w:t>2</w:t>
            </w:r>
            <w:r>
              <w:rPr>
                <w:rFonts w:hint="eastAsia" w:ascii="宋体" w:hAnsi="宋体" w:eastAsia="宋体" w:cs="宋体"/>
                <w:color w:val="auto"/>
                <w:sz w:val="21"/>
                <w:szCs w:val="24"/>
                <w:highlight w:val="none"/>
              </w:rPr>
              <w:t>5+1</w:t>
            </w:r>
            <w:r>
              <w:rPr>
                <w:rFonts w:hint="eastAsia" w:ascii="宋体" w:hAnsi="宋体" w:eastAsia="宋体" w:cs="宋体"/>
                <w:color w:val="auto"/>
                <w:sz w:val="21"/>
                <w:szCs w:val="24"/>
                <w:highlight w:val="none"/>
                <w:lang w:val="en-US" w:eastAsia="zh-CN"/>
              </w:rPr>
              <w:t>0</w:t>
            </w: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1</w:t>
            </w: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17.95</w:t>
            </w:r>
            <w:r>
              <w:rPr>
                <w:rFonts w:hint="eastAsia" w:ascii="宋体" w:hAnsi="宋体" w:eastAsia="宋体" w:cs="宋体"/>
                <w:color w:val="auto"/>
                <w:sz w:val="21"/>
                <w:szCs w:val="24"/>
                <w:highlight w:val="none"/>
              </w:rPr>
              <w:t>（万元）</w:t>
            </w:r>
          </w:p>
          <w:p w14:paraId="21B8AAA9">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hAnsi="宋体" w:cs="宋体"/>
                <w:color w:val="auto"/>
                <w:highlight w:val="none"/>
                <w:lang w:val="en-US" w:eastAsia="zh-CN"/>
              </w:rPr>
              <w:t>3</w:t>
            </w:r>
            <w:r>
              <w:rPr>
                <w:rFonts w:hint="eastAsia" w:ascii="宋体" w:hAnsi="宋体" w:eastAsia="宋体" w:cs="宋体"/>
                <w:color w:val="auto"/>
                <w:highlight w:val="none"/>
              </w:rPr>
              <w:t>）代理费用汇到如下指定账户：</w:t>
            </w:r>
          </w:p>
          <w:p w14:paraId="4E59AC80">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开户名称：</w:t>
            </w:r>
            <w:r>
              <w:rPr>
                <w:rFonts w:hint="eastAsia" w:ascii="宋体" w:hAnsi="宋体" w:eastAsia="宋体" w:cs="宋体"/>
                <w:color w:val="auto"/>
                <w:kern w:val="2"/>
                <w:szCs w:val="22"/>
                <w:highlight w:val="none"/>
              </w:rPr>
              <w:t>广西建设工程机电设备招标中心有限公司</w:t>
            </w:r>
          </w:p>
          <w:p w14:paraId="54946614">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开户银行：</w:t>
            </w:r>
            <w:r>
              <w:rPr>
                <w:rFonts w:hint="eastAsia" w:ascii="宋体" w:hAnsi="宋体" w:eastAsia="宋体" w:cs="宋体"/>
                <w:color w:val="auto"/>
                <w:kern w:val="2"/>
                <w:szCs w:val="22"/>
                <w:highlight w:val="none"/>
              </w:rPr>
              <w:t>招商银行南宁分行营业部</w:t>
            </w:r>
          </w:p>
          <w:p w14:paraId="5D5D2A88">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highlight w:val="none"/>
              </w:rPr>
              <w:t>银行账号：</w:t>
            </w:r>
            <w:r>
              <w:rPr>
                <w:rFonts w:hint="eastAsia" w:ascii="宋体" w:hAnsi="宋体" w:eastAsia="宋体" w:cs="宋体"/>
                <w:color w:val="auto"/>
                <w:kern w:val="2"/>
                <w:szCs w:val="22"/>
                <w:highlight w:val="none"/>
              </w:rPr>
              <w:t xml:space="preserve"> 7719 0142 3310 201</w:t>
            </w:r>
          </w:p>
        </w:tc>
      </w:tr>
      <w:tr w14:paraId="57C4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noWrap w:val="0"/>
            <w:vAlign w:val="center"/>
          </w:tcPr>
          <w:p w14:paraId="4503610F">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35</w:t>
            </w:r>
          </w:p>
        </w:tc>
        <w:tc>
          <w:tcPr>
            <w:tcW w:w="1984" w:type="dxa"/>
            <w:noWrap w:val="0"/>
            <w:vAlign w:val="center"/>
          </w:tcPr>
          <w:p w14:paraId="0A8E6765">
            <w:pPr>
              <w:keepNext w:val="0"/>
              <w:keepLines w:val="0"/>
              <w:pageBreakBefore w:val="0"/>
              <w:widowControl/>
              <w:kinsoku/>
              <w:wordWrap/>
              <w:overflowPunct/>
              <w:topLinePunct/>
              <w:autoSpaceDE/>
              <w:autoSpaceDN/>
              <w:bidi w:val="0"/>
              <w:adjustRightInd w:val="0"/>
              <w:snapToGrid w:val="0"/>
              <w:spacing w:before="60" w:line="336"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其他补充事项</w:t>
            </w:r>
          </w:p>
        </w:tc>
        <w:tc>
          <w:tcPr>
            <w:tcW w:w="6058" w:type="dxa"/>
            <w:gridSpan w:val="2"/>
            <w:noWrap w:val="0"/>
            <w:vAlign w:val="center"/>
          </w:tcPr>
          <w:p w14:paraId="49C9DBB5">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招标文件中描述投标人的“公章”是指根据我国对公章的管理规定，用投标人法定主体行为名称制作的印章，除本招标文件有特殊规定外，投标人的财务章、部门章、分公司章、工会章、合同章、投标专用章、业务专用章等其它形式印章均不能代替公章。</w:t>
            </w:r>
          </w:p>
          <w:p w14:paraId="11284857">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本招标文件中描述投标人的“签字”是指投标人的法定代表人（负责人）或被授权人亲自在招标文件规定签署处亲笔写上个人的名字的行为，私章、签字章、印鉴、影印等其它形式均不能代替亲笔签字。</w:t>
            </w:r>
          </w:p>
          <w:p w14:paraId="2FBF4A8F">
            <w:pPr>
              <w:keepNext w:val="0"/>
              <w:keepLines w:val="0"/>
              <w:pageBreakBefore w:val="0"/>
              <w:widowControl/>
              <w:kinsoku/>
              <w:wordWrap/>
              <w:overflowPunct/>
              <w:topLinePunct/>
              <w:autoSpaceDE/>
              <w:autoSpaceDN/>
              <w:bidi w:val="0"/>
              <w:snapToGrid w:val="0"/>
              <w:spacing w:before="60" w:line="336" w:lineRule="auto"/>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lang w:val="en-US" w:eastAsia="zh-CN"/>
              </w:rPr>
              <w:t>3</w:t>
            </w:r>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rPr>
              <w:t>中标供应商享受中小企业扶持政策的，采购人、采购代理机构应当随中标结果公开中标供应商的《中小企业声明函》。</w:t>
            </w:r>
          </w:p>
          <w:p w14:paraId="25FF3051">
            <w:pPr>
              <w:keepNext w:val="0"/>
              <w:keepLines w:val="0"/>
              <w:pageBreakBefore w:val="0"/>
              <w:widowControl/>
              <w:kinsoku/>
              <w:wordWrap/>
              <w:overflowPunct/>
              <w:topLinePunct/>
              <w:autoSpaceDE/>
              <w:autoSpaceDN/>
              <w:bidi w:val="0"/>
              <w:adjustRightInd w:val="0"/>
              <w:snapToGrid w:val="0"/>
              <w:spacing w:before="60" w:line="336"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lang w:val="en-US" w:eastAsia="zh-CN"/>
              </w:rPr>
              <w:t>4</w:t>
            </w:r>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rPr>
              <w:t>中标供应商为残疾人福利性单位的，采购人或者其委托的采购代理机构应当随中标结果同时公告其《残疾人福利性单位声明函》，接受社会监督。</w:t>
            </w:r>
          </w:p>
        </w:tc>
      </w:tr>
    </w:tbl>
    <w:p w14:paraId="27656772">
      <w:pPr>
        <w:rPr>
          <w:rFonts w:hint="eastAsia" w:ascii="宋体" w:hAnsi="宋体" w:eastAsia="宋体" w:cs="宋体"/>
          <w:color w:val="auto"/>
          <w:highlight w:val="none"/>
        </w:rPr>
      </w:pPr>
    </w:p>
    <w:p w14:paraId="7DF12FAC">
      <w:pPr>
        <w:rPr>
          <w:rFonts w:hint="eastAsia" w:ascii="宋体" w:hAnsi="宋体" w:eastAsia="宋体" w:cs="宋体"/>
          <w:color w:val="auto"/>
          <w:highlight w:val="none"/>
        </w:rPr>
        <w:sectPr>
          <w:pgSz w:w="11906" w:h="16838"/>
          <w:pgMar w:top="1440" w:right="1752" w:bottom="1440" w:left="1752"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35111EB7">
      <w:pPr>
        <w:spacing w:line="240" w:lineRule="auto"/>
        <w:ind w:firstLine="0" w:firstLineChars="0"/>
        <w:jc w:val="center"/>
        <w:outlineLvl w:val="1"/>
        <w:rPr>
          <w:rFonts w:hint="eastAsia" w:ascii="宋体" w:hAnsi="宋体" w:eastAsia="宋体" w:cs="宋体"/>
          <w:b/>
          <w:bCs/>
          <w:color w:val="auto"/>
          <w:sz w:val="24"/>
          <w:szCs w:val="24"/>
          <w:highlight w:val="none"/>
        </w:rPr>
      </w:pPr>
      <w:bookmarkStart w:id="11" w:name="_Toc16739"/>
      <w:r>
        <w:rPr>
          <w:rFonts w:hint="eastAsia" w:ascii="宋体" w:hAnsi="宋体" w:eastAsia="宋体" w:cs="宋体"/>
          <w:b/>
          <w:bCs/>
          <w:color w:val="auto"/>
          <w:sz w:val="24"/>
          <w:szCs w:val="24"/>
          <w:highlight w:val="none"/>
        </w:rPr>
        <w:t>一、总则</w:t>
      </w:r>
      <w:bookmarkEnd w:id="11"/>
    </w:p>
    <w:p w14:paraId="1E6AF5BA">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1.预算资金及来源</w:t>
      </w:r>
    </w:p>
    <w:p w14:paraId="590B8A1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本项目已批准立项。</w:t>
      </w:r>
    </w:p>
    <w:p w14:paraId="29FC76A3">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本项目预算资金见</w:t>
      </w:r>
      <w:r>
        <w:rPr>
          <w:rFonts w:hint="eastAsia" w:ascii="宋体" w:hAnsi="宋体" w:eastAsia="宋体" w:cs="宋体"/>
          <w:b/>
          <w:bCs/>
          <w:color w:val="auto"/>
          <w:szCs w:val="21"/>
          <w:highlight w:val="none"/>
        </w:rPr>
        <w:t>投标人须知前附表</w:t>
      </w:r>
      <w:r>
        <w:rPr>
          <w:rFonts w:hint="eastAsia" w:ascii="宋体" w:hAnsi="宋体" w:eastAsia="宋体" w:cs="宋体"/>
          <w:color w:val="auto"/>
          <w:szCs w:val="21"/>
          <w:highlight w:val="none"/>
        </w:rPr>
        <w:t>，已列入预算。</w:t>
      </w:r>
    </w:p>
    <w:p w14:paraId="6B3518D8">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2.合格的产品和服务</w:t>
      </w:r>
    </w:p>
    <w:p w14:paraId="219F449B">
      <w:pPr>
        <w:tabs>
          <w:tab w:val="left" w:pos="216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本项目所涉及的所有产品和服务均应来自中国境内（指关境内），合同金额的支付也仅限于这些产品和服务。</w:t>
      </w:r>
    </w:p>
    <w:p w14:paraId="689530FF">
      <w:pPr>
        <w:tabs>
          <w:tab w:val="left" w:pos="216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合格的产品和服务即</w:t>
      </w:r>
      <w:r>
        <w:rPr>
          <w:rFonts w:hint="eastAsia" w:ascii="宋体" w:hAnsi="宋体" w:eastAsia="宋体" w:cs="宋体"/>
          <w:b/>
          <w:bCs/>
          <w:color w:val="auto"/>
          <w:szCs w:val="21"/>
          <w:highlight w:val="none"/>
        </w:rPr>
        <w:t>采购需求</w:t>
      </w:r>
      <w:r>
        <w:rPr>
          <w:rFonts w:hint="eastAsia" w:ascii="宋体" w:hAnsi="宋体" w:eastAsia="宋体" w:cs="宋体"/>
          <w:color w:val="auto"/>
          <w:szCs w:val="21"/>
          <w:highlight w:val="none"/>
        </w:rPr>
        <w:t>见</w:t>
      </w:r>
      <w:r>
        <w:rPr>
          <w:rFonts w:hint="eastAsia" w:ascii="宋体" w:hAnsi="宋体" w:eastAsia="宋体" w:cs="宋体"/>
          <w:b/>
          <w:color w:val="auto"/>
          <w:szCs w:val="21"/>
          <w:highlight w:val="none"/>
        </w:rPr>
        <w:t>招标文件（技术部分）。</w:t>
      </w:r>
    </w:p>
    <w:p w14:paraId="2B69E36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 投标人应保证所提供的产品及服务免受第三方提出侵犯其知识产权（专利权、商标权、工业设计权及使用权）的请求及起诉。</w:t>
      </w:r>
    </w:p>
    <w:p w14:paraId="3D904290">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3.合格的投标人</w:t>
      </w:r>
    </w:p>
    <w:p w14:paraId="12169887">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3.1一般规定</w:t>
      </w:r>
    </w:p>
    <w:p w14:paraId="3A520E51">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3.1.1投标人应遵守《政府采购法》及其实施条例、《政府采购货物和服务招标投标管理办法》、《政府采购质疑和投诉办法》及有关政府采购的规定，同时还应遵守有关法律、法规和规章的强制性规定。</w:t>
      </w:r>
    </w:p>
    <w:p w14:paraId="525583DC">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3.1.2投标人的资格要求及本项目的特定资格要求见</w:t>
      </w:r>
      <w:r>
        <w:rPr>
          <w:rFonts w:hint="eastAsia" w:ascii="宋体" w:hAnsi="宋体" w:eastAsia="宋体" w:cs="宋体"/>
          <w:b/>
          <w:color w:val="auto"/>
          <w:sz w:val="21"/>
          <w:szCs w:val="21"/>
          <w:highlight w:val="none"/>
        </w:rPr>
        <w:t>投标人须知前附表</w:t>
      </w:r>
      <w:r>
        <w:rPr>
          <w:rFonts w:hint="eastAsia" w:ascii="宋体" w:hAnsi="宋体" w:eastAsia="宋体" w:cs="宋体"/>
          <w:color w:val="auto"/>
          <w:sz w:val="21"/>
          <w:szCs w:val="21"/>
          <w:highlight w:val="none"/>
        </w:rPr>
        <w:t>。</w:t>
      </w:r>
    </w:p>
    <w:p w14:paraId="6CC1266D">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3.1.3资格条件中所称“重大违法记录”，是指投标人因违法经营受到刑事处罚或者责令停产停业、吊销许可证或者执照、较大数额罚款等行政处罚。</w:t>
      </w:r>
    </w:p>
    <w:p w14:paraId="256534D0">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投标人在参加政府采购活动前3年内因违法经营被禁止在一定期限内参加政府采购活动，期限届满的，可以参加政府采购活动。</w:t>
      </w:r>
    </w:p>
    <w:p w14:paraId="15CCAF6A">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“较大数额罚款”认定为200万元以上的罚款，法律、行政法规以及国务院有关部门明确规定相关领域“较大数额罚款”标准高于200万元的，从其规定。</w:t>
      </w:r>
    </w:p>
    <w:p w14:paraId="65219458">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3.1.4信用记录要求</w:t>
      </w:r>
    </w:p>
    <w:p w14:paraId="3798FB5C">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采购代理机构应当通过“信用中国”网站（www.creditchina.gov.cn）、中国政府采购网（www.ccgp.gov.cn）等渠道查询投标人的信用记录，并对投标人信用记录进行甄别，对列入失信被执行人、重大税收违法失信主体、政府采购严重违法失信行为记录名单及其他不符合《中华人民共和国政府采购法》第二十二条规定条件的投标人，应当拒绝其参与政府采购活动。</w:t>
      </w:r>
    </w:p>
    <w:p w14:paraId="7E5CB5EE">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7C377CD5">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3.2联合体</w:t>
      </w:r>
    </w:p>
    <w:p w14:paraId="711765EA">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3.2.1本项目接受联合体投标，则两个以上的自然人、法人或者其他组织可以组成一个联合体，以一个投标人的身份共同参加政府采购。</w:t>
      </w:r>
    </w:p>
    <w:p w14:paraId="339F2B07">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3.2.2以联合体形式参加投标的，联合体各方应按第二章要求提供资格条件材料。</w:t>
      </w:r>
    </w:p>
    <w:p w14:paraId="1E2A7854">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3.2.3联合体中有同类资质的投标人按照联合体分工承担相同工作的，应当按照资质等级较低的投标人确定资质等级。</w:t>
      </w:r>
    </w:p>
    <w:p w14:paraId="26E3A95B">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3.2.4联合体应当提交联合协议，载明联合体各方承担的工作和义务。</w:t>
      </w:r>
    </w:p>
    <w:p w14:paraId="7810A076">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3.2.5联合体各方应当共同与采购人签订采购合同，就采购合同约定的事项对采购人承担连带责任。</w:t>
      </w:r>
    </w:p>
    <w:p w14:paraId="3B06675E">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3.2.6以联合体形式参加政府采购活动的，联合体各方不得再单独参加或者与其他投标人另外组成联合体参加同一合同项下的政府采购活动。</w:t>
      </w:r>
    </w:p>
    <w:p w14:paraId="637C9A21">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3.3禁止规定</w:t>
      </w:r>
    </w:p>
    <w:p w14:paraId="57D91827">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3.3.1单位负责人为同一人或者存在直接控股、管理关系的不同投标人，不得参加同一</w:t>
      </w:r>
      <w:r>
        <w:rPr>
          <w:rFonts w:hint="eastAsia" w:ascii="宋体" w:hAnsi="宋体" w:cs="宋体"/>
          <w:color w:val="auto"/>
          <w:sz w:val="21"/>
          <w:szCs w:val="21"/>
          <w:highlight w:val="none"/>
          <w:lang w:val="en-US" w:eastAsia="zh-CN"/>
        </w:rPr>
        <w:t>合同项下</w:t>
      </w:r>
      <w:r>
        <w:rPr>
          <w:rFonts w:hint="eastAsia" w:ascii="宋体" w:hAnsi="宋体" w:eastAsia="宋体" w:cs="宋体"/>
          <w:color w:val="auto"/>
          <w:sz w:val="21"/>
          <w:szCs w:val="21"/>
          <w:highlight w:val="none"/>
        </w:rPr>
        <w:t>的政府采购活动。</w:t>
      </w:r>
      <w:r>
        <w:rPr>
          <w:rFonts w:hint="eastAsia" w:ascii="宋体" w:hAnsi="宋体" w:eastAsia="宋体" w:cs="宋体"/>
          <w:b/>
          <w:bCs/>
          <w:color w:val="auto"/>
          <w:sz w:val="21"/>
          <w:szCs w:val="21"/>
          <w:highlight w:val="none"/>
        </w:rPr>
        <w:t>否则投标均无效。</w:t>
      </w:r>
    </w:p>
    <w:p w14:paraId="1ECFCED8">
      <w:pPr>
        <w:pStyle w:val="35"/>
        <w:widowControl w:val="0"/>
        <w:spacing w:line="360" w:lineRule="auto"/>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3.3.2为采购项目提供整体设计、规范编制或者项目管理、监理、检测等服务的供应商，不得再参加该采购项目的其他采购活动。否则投标无效。</w:t>
      </w:r>
    </w:p>
    <w:p w14:paraId="0CC8FA88">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4.投标费用</w:t>
      </w:r>
    </w:p>
    <w:p w14:paraId="427FA258">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投标人应承担所有与编写、提交投标文件有关的费用，不论招标的结果如何，采购人在任何情况下均无义务和责任承担这些费用。</w:t>
      </w:r>
    </w:p>
    <w:p w14:paraId="3F711DE7">
      <w:pPr>
        <w:spacing w:line="240" w:lineRule="auto"/>
        <w:ind w:firstLine="0" w:firstLineChars="0"/>
        <w:jc w:val="center"/>
        <w:outlineLvl w:val="1"/>
        <w:rPr>
          <w:rFonts w:hint="eastAsia" w:ascii="宋体" w:hAnsi="宋体" w:eastAsia="宋体" w:cs="宋体"/>
          <w:b/>
          <w:bCs/>
          <w:color w:val="auto"/>
          <w:sz w:val="24"/>
          <w:szCs w:val="24"/>
          <w:highlight w:val="none"/>
        </w:rPr>
      </w:pPr>
      <w:bookmarkStart w:id="12" w:name="_Toc23454"/>
      <w:r>
        <w:rPr>
          <w:rFonts w:hint="eastAsia" w:ascii="宋体" w:hAnsi="宋体" w:eastAsia="宋体" w:cs="宋体"/>
          <w:b/>
          <w:bCs/>
          <w:color w:val="auto"/>
          <w:sz w:val="24"/>
          <w:szCs w:val="24"/>
          <w:highlight w:val="none"/>
        </w:rPr>
        <w:t>二、招标文件</w:t>
      </w:r>
      <w:bookmarkEnd w:id="12"/>
    </w:p>
    <w:p w14:paraId="5D6B5A18">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5.招标文件构成</w:t>
      </w:r>
    </w:p>
    <w:p w14:paraId="68F43CB6">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第一部分 商务部分</w:t>
      </w:r>
    </w:p>
    <w:p w14:paraId="5549C55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招标公告</w:t>
      </w:r>
    </w:p>
    <w:p w14:paraId="636407C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（2）投标人须知</w:t>
      </w:r>
    </w:p>
    <w:p w14:paraId="1E13410D">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（3）评标方法及标准</w:t>
      </w:r>
    </w:p>
    <w:p w14:paraId="5D4D9A9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（4）政府采购合同文本</w:t>
      </w:r>
    </w:p>
    <w:p w14:paraId="43FF504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（5）投标文件格式</w:t>
      </w:r>
    </w:p>
    <w:p w14:paraId="2BA0A766">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第二部分 技术部分</w:t>
      </w:r>
    </w:p>
    <w:p w14:paraId="1ABB5D47">
      <w:pPr>
        <w:pageBreakBefore w:val="0"/>
        <w:kinsoku/>
        <w:wordWrap/>
        <w:topLinePunct/>
        <w:autoSpaceDE w:val="0"/>
        <w:autoSpaceDN w:val="0"/>
        <w:bidi w:val="0"/>
        <w:adjustRightInd w:val="0"/>
        <w:snapToGrid w:val="0"/>
        <w:spacing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）项目采购需求</w:t>
      </w:r>
    </w:p>
    <w:p w14:paraId="31AAA5F8">
      <w:pPr>
        <w:topLinePunct/>
        <w:autoSpaceDE w:val="0"/>
        <w:autoSpaceDN w:val="0"/>
        <w:adjustRightInd w:val="0"/>
        <w:snapToGrid w:val="0"/>
        <w:spacing w:line="360" w:lineRule="auto"/>
        <w:ind w:firstLine="413" w:firstLineChars="19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6.招标文件询问、澄清或修改</w:t>
      </w:r>
    </w:p>
    <w:p w14:paraId="67FEB6B3">
      <w:pPr>
        <w:widowControl/>
        <w:topLinePunct/>
        <w:autoSpaceDE w:val="0"/>
        <w:autoSpaceDN w:val="0"/>
        <w:adjustRightInd w:val="0"/>
        <w:snapToGrid w:val="0"/>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6.1 投标人对招标文件如有疑问的，可以向采购人或者采购代理机构提出询问，采购人或者采购代理机构应当在3个工作日内作出答复</w:t>
      </w:r>
      <w:r>
        <w:rPr>
          <w:rFonts w:hint="eastAsia" w:ascii="宋体" w:hAnsi="宋体" w:eastAsia="宋体" w:cs="宋体"/>
          <w:bCs/>
          <w:color w:val="auto"/>
          <w:szCs w:val="21"/>
          <w:highlight w:val="none"/>
        </w:rPr>
        <w:t>，但答复的内容不得涉及商业秘密。</w:t>
      </w:r>
      <w:r>
        <w:rPr>
          <w:rFonts w:hint="eastAsia" w:ascii="宋体" w:hAnsi="宋体" w:eastAsia="宋体" w:cs="宋体"/>
          <w:color w:val="auto"/>
          <w:szCs w:val="21"/>
          <w:highlight w:val="none"/>
        </w:rPr>
        <w:t>如有必要，采购人或者</w:t>
      </w:r>
      <w:r>
        <w:rPr>
          <w:rFonts w:hint="eastAsia" w:ascii="Times New Roman" w:hAnsi="Times New Roman"/>
          <w:color w:val="auto"/>
          <w:szCs w:val="21"/>
          <w:highlight w:val="none"/>
          <w:lang w:eastAsia="zh-CN"/>
        </w:rPr>
        <w:t>受采购人委托的</w:t>
      </w:r>
      <w:r>
        <w:rPr>
          <w:rFonts w:hint="eastAsia" w:ascii="宋体" w:hAnsi="宋体" w:eastAsia="宋体" w:cs="宋体"/>
          <w:color w:val="auto"/>
          <w:szCs w:val="21"/>
          <w:highlight w:val="none"/>
        </w:rPr>
        <w:t>采购代理机构可对招标文件进行澄清或者修改。</w:t>
      </w:r>
    </w:p>
    <w:p w14:paraId="37436C4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采购人或者</w:t>
      </w:r>
      <w:r>
        <w:rPr>
          <w:rFonts w:hint="eastAsia" w:ascii="Times New Roman" w:hAnsi="Times New Roman"/>
          <w:color w:val="auto"/>
          <w:szCs w:val="21"/>
          <w:highlight w:val="none"/>
          <w:lang w:eastAsia="zh-CN"/>
        </w:rPr>
        <w:t>受采购人委托的</w:t>
      </w:r>
      <w:r>
        <w:rPr>
          <w:rFonts w:hint="eastAsia" w:ascii="宋体" w:hAnsi="宋体" w:eastAsia="宋体" w:cs="宋体"/>
          <w:color w:val="auto"/>
          <w:szCs w:val="21"/>
          <w:highlight w:val="none"/>
        </w:rPr>
        <w:t>采购代理机构可主动对招标文件进行必要的澄清或者修改，但不得改变采购标的和资格条件。</w:t>
      </w:r>
    </w:p>
    <w:p w14:paraId="44BE32A9">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 澄清或者修改应当在原公告发布媒体上发布澄清公告，线上采购项目还应通过国家税务总局政府采购评审管理系统（以下简称“评审管理系统”）通知所有获取招标文件的潜在投标人。</w:t>
      </w:r>
    </w:p>
    <w:p w14:paraId="2C861B7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6.4 澄清或者修改的内容可能影响投标文件编制的，采购人或者采购代理机构应当在投标截止时间至少15日前，以书面形式或通过评审管理系统（适用于线上采购，下同）通知所有获取招标文件的潜在投标人；不足15日的，采购人或者采购代理机构应当顺延提交投标文件的截止时间。</w:t>
      </w:r>
    </w:p>
    <w:p w14:paraId="2956B79F">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6.5 澄清或者修改的内容为招标文件的组成部分。</w:t>
      </w:r>
    </w:p>
    <w:p w14:paraId="5F8EBCF0">
      <w:pPr>
        <w:spacing w:line="240" w:lineRule="auto"/>
        <w:ind w:firstLine="0" w:firstLineChars="0"/>
        <w:jc w:val="center"/>
        <w:outlineLvl w:val="1"/>
        <w:rPr>
          <w:rFonts w:hint="eastAsia" w:ascii="宋体" w:hAnsi="宋体" w:eastAsia="宋体" w:cs="宋体"/>
          <w:b/>
          <w:bCs/>
          <w:color w:val="auto"/>
          <w:sz w:val="24"/>
          <w:szCs w:val="24"/>
          <w:highlight w:val="none"/>
        </w:rPr>
      </w:pPr>
      <w:bookmarkStart w:id="13" w:name="_Toc32264"/>
      <w:r>
        <w:rPr>
          <w:rFonts w:hint="eastAsia" w:ascii="宋体" w:hAnsi="宋体" w:eastAsia="宋体" w:cs="宋体"/>
          <w:b/>
          <w:bCs/>
          <w:color w:val="auto"/>
          <w:sz w:val="24"/>
          <w:szCs w:val="24"/>
          <w:highlight w:val="none"/>
        </w:rPr>
        <w:t>三、投标文件</w:t>
      </w:r>
      <w:bookmarkEnd w:id="13"/>
    </w:p>
    <w:p w14:paraId="54401740">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投标文件编制</w:t>
      </w:r>
    </w:p>
    <w:p w14:paraId="390FBAEC">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7.1投标文件的编制</w:t>
      </w:r>
    </w:p>
    <w:p w14:paraId="162BF6B2">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7.1.1投标人应先仔细阅读招标文件的全部内容后</w:t>
      </w:r>
      <w:r>
        <w:rPr>
          <w:rFonts w:hint="eastAsia" w:ascii="Times New Roman" w:hAnsi="Times New Roman" w:eastAsia="宋体" w:cs="Times New Roman"/>
          <w:color w:val="auto"/>
          <w:kern w:val="0"/>
          <w:sz w:val="21"/>
          <w:szCs w:val="21"/>
          <w:highlight w:val="none"/>
          <w:lang w:val="en-US" w:eastAsia="zh-CN" w:bidi="ar-SA"/>
        </w:rPr>
        <w:t>，按照招标文件的要求编制投标文件。投标文件应当对招标文件提出的要求和条件作出明确响应。任何对招标文件的忽略或误解，不能作为投标文件存在缺陷或瑕疵的理由，其风险由投标人承担。</w:t>
      </w:r>
    </w:p>
    <w:p w14:paraId="08A78FC3">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7.1.2投标文件应满足招标文件提出的实质性要求和条件，并保证其所提交的全部资料是不可割离且真实、有效、准确、完整和不具有任何误导性的，否则造成不利后果由投标人承担责任。</w:t>
      </w:r>
    </w:p>
    <w:p w14:paraId="12BC2E7B">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7.2投标文件的语言</w:t>
      </w:r>
    </w:p>
    <w:p w14:paraId="7E3F6469">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7.2.1除招标文件另有规定外，投标文件应使用中文文本并使用中文简化字，若有不同文本，以中文简化字文本为准。</w:t>
      </w:r>
    </w:p>
    <w:p w14:paraId="5020AC64">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7.2.2投标文件提供的全部资料中，若属于非中文描述的，应同时提供中文简化字译本。</w:t>
      </w:r>
    </w:p>
    <w:p w14:paraId="5588EDE9">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7.2.3除在招标文件的要求中另有规定外，投标文件计量单位应使用中华人民共和国法定计量单位。</w:t>
      </w:r>
    </w:p>
    <w:p w14:paraId="2B9E66D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w:t>
      </w:r>
      <w:r>
        <w:rPr>
          <w:rFonts w:hint="eastAsia" w:ascii="Times New Roman" w:hAnsi="Times New Roman"/>
          <w:color w:val="auto"/>
          <w:szCs w:val="21"/>
          <w:highlight w:val="none"/>
          <w:lang w:eastAsia="zh-CN"/>
        </w:rPr>
        <w:t>线上采购项目</w:t>
      </w:r>
      <w:r>
        <w:rPr>
          <w:rFonts w:hint="eastAsia" w:ascii="宋体" w:hAnsi="宋体" w:eastAsia="宋体" w:cs="宋体"/>
          <w:color w:val="auto"/>
          <w:szCs w:val="21"/>
          <w:highlight w:val="none"/>
        </w:rPr>
        <w:t>投标人制作投标文件前须提前办理数字证书和电子签章，办理方式和注意事项详见网站《供应商操作手册》。供应商在国家税务总局集中采购中心网站（https://swcg.chinatax.gov.cn） “下载中心”下载并安装“供应商投标工具”，使用投标工具编制投标文件。（线上采购项目适用）</w:t>
      </w:r>
    </w:p>
    <w:p w14:paraId="4A89FBFF">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8.投标文件的组成</w:t>
      </w:r>
    </w:p>
    <w:p w14:paraId="566DD1A0">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投标文件包括商务部分和技术部分。</w:t>
      </w:r>
    </w:p>
    <w:p w14:paraId="6ADA797D">
      <w:pPr>
        <w:topLinePunct/>
        <w:autoSpaceDE w:val="0"/>
        <w:autoSpaceDN w:val="0"/>
        <w:adjustRightInd w:val="0"/>
        <w:snapToGrid w:val="0"/>
        <w:spacing w:line="360" w:lineRule="auto"/>
        <w:ind w:firstLine="428" w:firstLineChars="204"/>
        <w:rPr>
          <w:rFonts w:hint="eastAsia" w:ascii="宋体" w:hAnsi="宋体" w:eastAsia="宋体" w:cs="宋体"/>
          <w:color w:val="auto"/>
          <w:szCs w:val="21"/>
          <w:highlight w:val="none"/>
        </w:rPr>
      </w:pPr>
      <w:r>
        <w:rPr>
          <w:rFonts w:hint="eastAsia" w:ascii="宋体" w:hAnsi="宋体" w:eastAsia="宋体" w:cs="宋体"/>
          <w:color w:val="auto"/>
          <w:szCs w:val="21"/>
          <w:highlight w:val="none"/>
        </w:rPr>
        <w:t>8.2 投标文件</w:t>
      </w:r>
      <w:r>
        <w:rPr>
          <w:rFonts w:hint="eastAsia" w:ascii="宋体" w:hAnsi="宋体" w:eastAsia="宋体" w:cs="宋体"/>
          <w:b/>
          <w:bCs/>
          <w:color w:val="auto"/>
          <w:szCs w:val="21"/>
          <w:highlight w:val="none"/>
        </w:rPr>
        <w:t>商务部分</w:t>
      </w:r>
      <w:r>
        <w:rPr>
          <w:rFonts w:hint="eastAsia" w:ascii="宋体" w:hAnsi="宋体" w:eastAsia="宋体" w:cs="宋体"/>
          <w:color w:val="auto"/>
          <w:szCs w:val="21"/>
          <w:highlight w:val="none"/>
        </w:rPr>
        <w:t>主要包括的文件和资料：</w:t>
      </w:r>
    </w:p>
    <w:p w14:paraId="3AC37F16">
      <w:pPr>
        <w:topLinePunct/>
        <w:autoSpaceDE w:val="0"/>
        <w:autoSpaceDN w:val="0"/>
        <w:adjustRightInd w:val="0"/>
        <w:snapToGrid w:val="0"/>
        <w:spacing w:line="360" w:lineRule="auto"/>
        <w:ind w:firstLine="428" w:firstLineChars="204"/>
        <w:rPr>
          <w:rFonts w:hint="eastAsia" w:ascii="宋体" w:hAnsi="宋体" w:eastAsia="宋体" w:cs="宋体"/>
          <w:color w:val="auto"/>
          <w:szCs w:val="21"/>
          <w:highlight w:val="none"/>
        </w:rPr>
      </w:pPr>
      <w:r>
        <w:rPr>
          <w:rFonts w:hint="eastAsia" w:ascii="宋体" w:hAnsi="宋体" w:eastAsia="宋体" w:cs="宋体"/>
          <w:color w:val="auto"/>
          <w:szCs w:val="21"/>
          <w:highlight w:val="none"/>
        </w:rPr>
        <w:t>8.2.1 资格证明文件，见</w:t>
      </w:r>
      <w:r>
        <w:rPr>
          <w:rFonts w:hint="eastAsia" w:ascii="宋体" w:hAnsi="宋体" w:eastAsia="宋体" w:cs="宋体"/>
          <w:b/>
          <w:color w:val="auto"/>
          <w:szCs w:val="21"/>
          <w:highlight w:val="none"/>
        </w:rPr>
        <w:t>投标人须知前附表。</w:t>
      </w:r>
    </w:p>
    <w:p w14:paraId="3C353EB7">
      <w:pPr>
        <w:overflowPunct w:val="0"/>
        <w:autoSpaceDE w:val="0"/>
        <w:autoSpaceDN w:val="0"/>
        <w:adjustRightInd w:val="0"/>
        <w:snapToGrid w:val="0"/>
        <w:spacing w:line="360" w:lineRule="auto"/>
        <w:ind w:firstLine="426" w:firstLineChars="203"/>
        <w:rPr>
          <w:rFonts w:hint="eastAsia" w:ascii="宋体" w:hAnsi="宋体" w:eastAsia="宋体" w:cs="宋体"/>
          <w:color w:val="auto"/>
          <w:szCs w:val="21"/>
          <w:highlight w:val="none"/>
        </w:rPr>
      </w:pPr>
      <w:r>
        <w:rPr>
          <w:rFonts w:hint="eastAsia" w:ascii="宋体" w:hAnsi="宋体" w:eastAsia="宋体" w:cs="宋体"/>
          <w:color w:val="auto"/>
          <w:szCs w:val="21"/>
          <w:highlight w:val="none"/>
        </w:rPr>
        <w:t>8.2.2 其他文件及资料，见</w:t>
      </w:r>
      <w:r>
        <w:rPr>
          <w:rFonts w:hint="eastAsia" w:ascii="宋体" w:hAnsi="宋体" w:eastAsia="宋体" w:cs="宋体"/>
          <w:b/>
          <w:color w:val="auto"/>
          <w:szCs w:val="21"/>
          <w:highlight w:val="none"/>
        </w:rPr>
        <w:t>投标人须知前附表。</w:t>
      </w:r>
    </w:p>
    <w:p w14:paraId="798BF76C">
      <w:pPr>
        <w:overflowPunct w:val="0"/>
        <w:autoSpaceDE w:val="0"/>
        <w:autoSpaceDN w:val="0"/>
        <w:adjustRightInd w:val="0"/>
        <w:snapToGrid w:val="0"/>
        <w:spacing w:line="360" w:lineRule="auto"/>
        <w:ind w:firstLine="426" w:firstLineChars="203"/>
        <w:rPr>
          <w:rFonts w:hint="eastAsia" w:ascii="宋体" w:hAnsi="宋体" w:eastAsia="宋体" w:cs="宋体"/>
          <w:color w:val="auto"/>
          <w:szCs w:val="21"/>
          <w:highlight w:val="none"/>
        </w:rPr>
      </w:pPr>
      <w:r>
        <w:rPr>
          <w:rFonts w:hint="eastAsia" w:ascii="宋体" w:hAnsi="宋体" w:eastAsia="宋体" w:cs="宋体"/>
          <w:color w:val="auto"/>
          <w:szCs w:val="21"/>
          <w:highlight w:val="none"/>
        </w:rPr>
        <w:t>8.3 投标文件</w:t>
      </w:r>
      <w:r>
        <w:rPr>
          <w:rFonts w:hint="eastAsia" w:ascii="宋体" w:hAnsi="宋体" w:eastAsia="宋体" w:cs="宋体"/>
          <w:b/>
          <w:bCs/>
          <w:color w:val="auto"/>
          <w:szCs w:val="21"/>
          <w:highlight w:val="none"/>
        </w:rPr>
        <w:t>技术部分</w:t>
      </w:r>
      <w:r>
        <w:rPr>
          <w:rFonts w:hint="eastAsia" w:ascii="宋体" w:hAnsi="宋体" w:eastAsia="宋体" w:cs="宋体"/>
          <w:color w:val="auto"/>
          <w:szCs w:val="21"/>
          <w:highlight w:val="none"/>
        </w:rPr>
        <w:t>主要包括的文件及资料，见</w:t>
      </w:r>
      <w:r>
        <w:rPr>
          <w:rFonts w:hint="eastAsia" w:ascii="宋体" w:hAnsi="宋体" w:eastAsia="宋体" w:cs="宋体"/>
          <w:b/>
          <w:color w:val="auto"/>
          <w:szCs w:val="21"/>
          <w:highlight w:val="none"/>
        </w:rPr>
        <w:t>投标人须知前附表。</w:t>
      </w:r>
    </w:p>
    <w:p w14:paraId="33C470C2">
      <w:pPr>
        <w:overflowPunct w:val="0"/>
        <w:autoSpaceDE w:val="0"/>
        <w:autoSpaceDN w:val="0"/>
        <w:adjustRightInd w:val="0"/>
        <w:snapToGrid w:val="0"/>
        <w:spacing w:line="360" w:lineRule="auto"/>
        <w:ind w:firstLine="426" w:firstLineChars="203"/>
        <w:rPr>
          <w:rFonts w:hint="eastAsia" w:ascii="宋体" w:hAnsi="宋体" w:eastAsia="宋体" w:cs="宋体"/>
          <w:color w:val="auto"/>
          <w:szCs w:val="21"/>
          <w:highlight w:val="none"/>
        </w:rPr>
      </w:pPr>
      <w:r>
        <w:rPr>
          <w:rFonts w:hint="eastAsia" w:ascii="宋体" w:hAnsi="宋体" w:eastAsia="宋体" w:cs="宋体"/>
          <w:color w:val="auto"/>
          <w:szCs w:val="21"/>
          <w:highlight w:val="none"/>
        </w:rPr>
        <w:t>8.4 证明资料如标明有效期的，必须在有效期内。</w:t>
      </w:r>
    </w:p>
    <w:p w14:paraId="6C7D86BE">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9.报价要求</w:t>
      </w:r>
    </w:p>
    <w:p w14:paraId="4448487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除招标文件另有规定外，投标应以人民币报价，线上采购项目还须按照投标工具的流程和提示编制并上传投标报价表。</w:t>
      </w:r>
    </w:p>
    <w:p w14:paraId="5395388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 本项目不接受任何形式的赠送、“零”报价和折扣报价。</w:t>
      </w:r>
    </w:p>
    <w:p w14:paraId="4CC5B0B1">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本项目以投标报价为依据计算价格分。投标报价应包括招标文件中要求投标人承担所有工作内容的全部费用。</w:t>
      </w:r>
    </w:p>
    <w:p w14:paraId="2830B539">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9.4 最低报价不能作为中标的保证。</w:t>
      </w:r>
    </w:p>
    <w:p w14:paraId="4CF6764A">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9.5 异常低价审查：</w:t>
      </w:r>
    </w:p>
    <w:p w14:paraId="5C3E1EEA">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9.5.1 政府采购评审中出现下列情形之一的，评审委员会应当启动异常低价投标（响应）审查程序：</w:t>
      </w:r>
    </w:p>
    <w:p w14:paraId="480E3A23">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9.5.1.1 投标（响应）报价低于全部通过符合性审查供应商投标（响应）报价平均值50%的，即投标（响应）报价&lt;全部通过符合性审查供应商投标（响应）报价平均值×50%；</w:t>
      </w:r>
    </w:p>
    <w:p w14:paraId="379ACECB">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9.5.1.2 投标（响应）报价低于通过符合性审查的次低报价供应商投标（响应）报价50%的，即投标（响应）报价&lt;通过符合性审查的次低报价供应商投标（响应）报价×50%；</w:t>
      </w:r>
    </w:p>
    <w:p w14:paraId="60D8CCE9">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9.5.1.3 投标（响应）报价低于采购项目最高限价45%的，即投标（响应）报价&lt;采购项目最高限价×45%；</w:t>
      </w:r>
    </w:p>
    <w:p w14:paraId="0AB1FBF6">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9.5.1.4 评审委员会基于专业判断，认为供应商报价过低，有可能影响产品质量或者不能诚信履约的其他情形。</w:t>
      </w:r>
    </w:p>
    <w:p w14:paraId="4043859B">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相关法律法规对供应商报价有规定的，从其规定。</w:t>
      </w:r>
    </w:p>
    <w:p w14:paraId="7ECEB25B">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9.5.2 评审委员会启动异常低价投标（响应）审查后，属于9.5.1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9.5.1（3）情形，供应商已随投标（响应）文件一并提交相关书面说明及必要的证明材料的，在评审现场可不再重复提交。</w:t>
      </w:r>
    </w:p>
    <w:p w14:paraId="0D97F657">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48CDA9">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采购人将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46EF84E">
      <w:pPr>
        <w:topLinePunct/>
        <w:autoSpaceDE w:val="0"/>
        <w:autoSpaceDN w:val="0"/>
        <w:adjustRightInd w:val="0"/>
        <w:snapToGrid w:val="0"/>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EBEBDD6">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10.投标文件的书写、密封、签署、盖章</w:t>
      </w:r>
    </w:p>
    <w:p w14:paraId="3BE52032">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10.1书写</w:t>
      </w:r>
    </w:p>
    <w:p w14:paraId="56D3A258">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10.1.1投标文件应使用不能擦去的墨料或墨水打印、书写。</w:t>
      </w:r>
    </w:p>
    <w:p w14:paraId="1D6B7CEC">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10.1.2投标文件内容应没有涂改或行间插字。若有前述改动，在改动处应由单位负责人（投标人代表）签字确认或加盖投标人的单位公章。</w:t>
      </w:r>
    </w:p>
    <w:p w14:paraId="52CB5FBD">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10.2密封</w:t>
      </w:r>
    </w:p>
    <w:p w14:paraId="15AF7DD2">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10.2.1投标文件应胶装或装订成册，避免材料散装、脱落。</w:t>
      </w:r>
    </w:p>
    <w:p w14:paraId="3C92AC6D">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10.2.2投标文件应使用不透明的牛皮纸或档案袋等材料密封包装，并在外包装封面注明“正本”或“副本”，以及项目编号、项目名称、开标时间等信息，避免投标文件被误拆或提前拆封。投标文件正本应按上述要求制作。副本可按上述要求制作，也可用正本的完整复印件，并与正本保持一致（若不一致，以正本为准）</w:t>
      </w:r>
    </w:p>
    <w:p w14:paraId="491EA54E">
      <w:pPr>
        <w:pStyle w:val="35"/>
        <w:widowControl w:val="0"/>
        <w:spacing w:line="360" w:lineRule="auto"/>
        <w:ind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10.3签署、盖章</w:t>
      </w:r>
    </w:p>
    <w:p w14:paraId="11BDDD2A">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10.3.1投标文件中要求签字的，投标人应当按招标文件要求由单位负责人或投标人代表签字。</w:t>
      </w:r>
    </w:p>
    <w:p w14:paraId="19F2F6CA">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10.3.2投标文件必须按照招标文件给出文件格式的签署要求进行签署。</w:t>
      </w:r>
    </w:p>
    <w:p w14:paraId="17C5C81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10.3.3投标人在</w:t>
      </w:r>
      <w:r>
        <w:rPr>
          <w:rFonts w:hint="eastAsia" w:ascii="宋体" w:hAnsi="宋体" w:eastAsia="宋体" w:cs="宋体"/>
          <w:b/>
          <w:bCs/>
          <w:color w:val="auto"/>
          <w:szCs w:val="21"/>
          <w:highlight w:val="none"/>
        </w:rPr>
        <w:t>“投标函”“法定代表人授权委托书”</w:t>
      </w:r>
      <w:r>
        <w:rPr>
          <w:rFonts w:hint="eastAsia" w:ascii="宋体" w:hAnsi="宋体" w:eastAsia="宋体" w:cs="宋体"/>
          <w:color w:val="auto"/>
          <w:szCs w:val="21"/>
          <w:highlight w:val="none"/>
        </w:rPr>
        <w:t>上应当按格式要求加盖与投标人名称全称一致的标准公章，并按照招标文件第五章投标文件格式中的相应格式文件要求签署全名</w:t>
      </w:r>
      <w:r>
        <w:rPr>
          <w:rFonts w:hint="eastAsia" w:ascii="宋体" w:hAnsi="宋体" w:cs="宋体"/>
          <w:color w:val="auto"/>
          <w:szCs w:val="21"/>
          <w:highlight w:val="none"/>
          <w:lang w:val="en-US" w:eastAsia="zh-CN"/>
        </w:rPr>
        <w:t>或加盖名章</w:t>
      </w:r>
      <w:r>
        <w:rPr>
          <w:rFonts w:hint="eastAsia" w:ascii="宋体" w:hAnsi="宋体" w:eastAsia="宋体" w:cs="宋体"/>
          <w:color w:val="auto"/>
          <w:szCs w:val="21"/>
          <w:highlight w:val="none"/>
        </w:rPr>
        <w:t>。</w:t>
      </w:r>
    </w:p>
    <w:p w14:paraId="13D3CF8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10.3.4投标文件中的“盖章”指加盖投标人的“公章”，而非“合同专用章”、“投标专用章”等其他非公章。</w:t>
      </w:r>
    </w:p>
    <w:p w14:paraId="083AFCAF">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10.3.5线上采购项目可以使用电子签章。</w:t>
      </w:r>
    </w:p>
    <w:p w14:paraId="087991B7">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投标有效期</w:t>
      </w:r>
    </w:p>
    <w:p w14:paraId="2693C9FF">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投标有效期见</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在此期间，投标文件对投标人具有法律约束力，以保证采购人或者采购代理机构有足够的时间完成评标、定标以及签订合同。投标文件中承诺的投标有效期应当不少于招标文件中载明的投标有效期，否则作为无效投标处理。</w:t>
      </w:r>
    </w:p>
    <w:p w14:paraId="0958ADEC">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特殊情况下，在原投标有效期期满之前，采购人或者采购代理机构可征得投标人同意延长投标有效期。</w:t>
      </w:r>
    </w:p>
    <w:p w14:paraId="0078912B">
      <w:pPr>
        <w:spacing w:line="240" w:lineRule="auto"/>
        <w:ind w:firstLine="0" w:firstLineChars="0"/>
        <w:jc w:val="center"/>
        <w:outlineLvl w:val="1"/>
        <w:rPr>
          <w:rFonts w:hint="eastAsia" w:ascii="宋体" w:hAnsi="宋体" w:eastAsia="宋体" w:cs="宋体"/>
          <w:b/>
          <w:bCs/>
          <w:color w:val="auto"/>
          <w:sz w:val="24"/>
          <w:szCs w:val="24"/>
          <w:highlight w:val="none"/>
        </w:rPr>
      </w:pPr>
      <w:bookmarkStart w:id="14" w:name="_Toc10475"/>
      <w:r>
        <w:rPr>
          <w:rFonts w:hint="eastAsia" w:ascii="宋体" w:hAnsi="宋体" w:eastAsia="宋体" w:cs="宋体"/>
          <w:b/>
          <w:bCs/>
          <w:color w:val="auto"/>
          <w:sz w:val="24"/>
          <w:szCs w:val="24"/>
          <w:highlight w:val="none"/>
        </w:rPr>
        <w:t>四、投标文件递交</w:t>
      </w:r>
      <w:bookmarkEnd w:id="14"/>
    </w:p>
    <w:p w14:paraId="570293C9">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投标文件递交</w:t>
      </w:r>
    </w:p>
    <w:p w14:paraId="5CA8DD10">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投标人应当在</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要求提交投标文件截止时间前，根据《投标人须知前附表》载明方式提交投标文件。</w:t>
      </w:r>
      <w:r>
        <w:rPr>
          <w:rFonts w:hint="eastAsia" w:ascii="宋体" w:hAnsi="宋体" w:eastAsia="宋体" w:cs="宋体"/>
          <w:color w:val="auto"/>
          <w:szCs w:val="21"/>
          <w:highlight w:val="none"/>
          <w:lang w:eastAsia="zh-CN"/>
        </w:rPr>
        <w:t>逾期送达或者未按照招标文件要求密封的投标文件</w:t>
      </w:r>
      <w:r>
        <w:rPr>
          <w:rFonts w:hint="eastAsia" w:ascii="宋体" w:hAnsi="宋体" w:eastAsia="宋体" w:cs="宋体"/>
          <w:color w:val="auto"/>
          <w:szCs w:val="21"/>
          <w:highlight w:val="none"/>
        </w:rPr>
        <w:t>将被拒绝。</w:t>
      </w:r>
    </w:p>
    <w:p w14:paraId="6B38E288">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线上采购项目应登录评审管理系统并使用投标工具加密上传投标文件。除上述方式之外，不接受投标人以纸质文件以及其他任何方式提交的投标文件。投标人应充分考虑网络传输时间等因素，合理安排上传时间。提交投标文件截止时间后，评审管理系统不提供投标文件上传功能。投标人未完成投标文件上传的，投标将被拒绝。</w:t>
      </w:r>
    </w:p>
    <w:p w14:paraId="06C25BF3">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13</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投标文件补充、修改或撤回</w:t>
      </w:r>
    </w:p>
    <w:p w14:paraId="144545F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投标人在投标截止时间前，可以对所递交的投标文件进行补充、修改或者撤回，并书面通知采购人或者采购代理机构。补充、修改的内容应当按照招标文件要求签署、盖章、密封后，作为投标文件的组成部分。</w:t>
      </w:r>
    </w:p>
    <w:p w14:paraId="592A5C3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线上采购项目，投标人在投标截止时间前，可以登录评审管理系统对所提交的投标文件进行撤回、补充、修改、重新提交。补充、修改的内容应当按照招标文件要求签署、盖章。</w:t>
      </w:r>
    </w:p>
    <w:p w14:paraId="5FFA1466">
      <w:pPr>
        <w:widowControl/>
        <w:topLinePunct/>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提交投标文件截止时间后，</w:t>
      </w:r>
      <w:r>
        <w:rPr>
          <w:rFonts w:hint="eastAsia" w:ascii="宋体" w:hAnsi="宋体" w:eastAsia="宋体" w:cs="宋体"/>
          <w:color w:val="auto"/>
          <w:szCs w:val="21"/>
          <w:highlight w:val="none"/>
          <w:lang w:eastAsia="zh-CN"/>
        </w:rPr>
        <w:t>不得</w:t>
      </w:r>
      <w:r>
        <w:rPr>
          <w:rFonts w:hint="eastAsia" w:ascii="宋体" w:hAnsi="宋体" w:eastAsia="宋体" w:cs="宋体"/>
          <w:color w:val="auto"/>
          <w:szCs w:val="21"/>
          <w:highlight w:val="none"/>
        </w:rPr>
        <w:t>对已提交的投标文件作任何补充、修改或者撤回。</w:t>
      </w:r>
    </w:p>
    <w:p w14:paraId="2ABB7809">
      <w:pPr>
        <w:spacing w:line="240" w:lineRule="auto"/>
        <w:ind w:firstLine="0" w:firstLineChars="0"/>
        <w:jc w:val="center"/>
        <w:outlineLvl w:val="1"/>
        <w:rPr>
          <w:rFonts w:hint="eastAsia" w:ascii="宋体" w:hAnsi="宋体" w:eastAsia="宋体" w:cs="宋体"/>
          <w:b/>
          <w:bCs/>
          <w:color w:val="auto"/>
          <w:sz w:val="24"/>
          <w:szCs w:val="24"/>
          <w:highlight w:val="none"/>
        </w:rPr>
      </w:pPr>
      <w:bookmarkStart w:id="15" w:name="_Toc402"/>
      <w:r>
        <w:rPr>
          <w:rFonts w:hint="eastAsia" w:ascii="宋体" w:hAnsi="宋体" w:eastAsia="宋体" w:cs="宋体"/>
          <w:b/>
          <w:bCs/>
          <w:color w:val="auto"/>
          <w:sz w:val="24"/>
          <w:szCs w:val="24"/>
          <w:highlight w:val="none"/>
        </w:rPr>
        <w:t>五、开标与评标</w:t>
      </w:r>
      <w:bookmarkEnd w:id="15"/>
    </w:p>
    <w:p w14:paraId="59D0F4EC">
      <w:pPr>
        <w:topLinePunct/>
        <w:autoSpaceDE w:val="0"/>
        <w:autoSpaceDN w:val="0"/>
        <w:adjustRightInd w:val="0"/>
        <w:snapToGrid w:val="0"/>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14</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开标</w:t>
      </w:r>
    </w:p>
    <w:p w14:paraId="1429B04E">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开标在招标文件确定的提交投标文件截止时间的同一时间进行。开标地点详见</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w:t>
      </w:r>
      <w:r>
        <w:rPr>
          <w:rFonts w:hint="eastAsia" w:ascii="Times New Roman" w:hAnsi="Times New Roman"/>
          <w:color w:val="auto"/>
          <w:szCs w:val="21"/>
          <w:highlight w:val="none"/>
          <w:lang w:eastAsia="zh-CN"/>
        </w:rPr>
        <w:t>采购人</w:t>
      </w:r>
      <w:r>
        <w:rPr>
          <w:rFonts w:hint="default" w:ascii="Times New Roman" w:hAnsi="Times New Roman"/>
          <w:color w:val="auto"/>
          <w:szCs w:val="21"/>
          <w:highlight w:val="none"/>
          <w:lang w:eastAsia="zh-CN"/>
        </w:rPr>
        <w:t>或者采购代理机构</w:t>
      </w:r>
      <w:r>
        <w:rPr>
          <w:rFonts w:hint="eastAsia" w:ascii="Times New Roman" w:hAnsi="Times New Roman"/>
          <w:color w:val="auto"/>
          <w:szCs w:val="21"/>
          <w:highlight w:val="none"/>
          <w:lang w:eastAsia="zh-CN"/>
        </w:rPr>
        <w:t>应当对开标、评标现场活动进行全程录音录像。录音录像应当清晰可辨，音像资料作为采购文件一并存档。</w:t>
      </w:r>
    </w:p>
    <w:p w14:paraId="2AF799C5">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开标由采购人或者采购代理机构主持，邀请投标人参加。评标委员会成员不得参加开标活动。</w:t>
      </w:r>
    </w:p>
    <w:p w14:paraId="6743509C">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开标时，由投标人或者其推选的代表检查投标文件的密封情况；经确认无误后，由采购人或者采购代理机构工作人员当众拆封，宣布投标人名称、投标价格和招标文件规定的需要宣布的其他内容。</w:t>
      </w:r>
    </w:p>
    <w:p w14:paraId="05FF7201">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开标过程由采购人或者采购代理机构负责记录，由参加开标的各投标人代表和相关工作人员签字确认后随采购文件一并存档。投标人未参加开标的，视同认可开标结果。</w:t>
      </w:r>
    </w:p>
    <w:p w14:paraId="4601D81F">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14.5 投标人代表对开标过程和开标记录有疑义，以及认为采购人、采购代理机构相关工作人员有需要回避情形的，应当场提出询问或者回避申请。采购人、采购代理机构对投标人代表提出的询问或者回避申请应当及时处理。</w:t>
      </w:r>
    </w:p>
    <w:p w14:paraId="71E80AE6">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14.6 在政府采购活动中，采购人员及相关人员与投标人有下列利害关系之一的，应当回避：</w:t>
      </w:r>
    </w:p>
    <w:p w14:paraId="380DB733">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（1）参加采购活动前3年内与投标人存在劳动关系；</w:t>
      </w:r>
    </w:p>
    <w:p w14:paraId="4A7CBC5F">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（2）参加采购活动前3年内担任投标人的董事、监事；</w:t>
      </w:r>
    </w:p>
    <w:p w14:paraId="06D0C1FC">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（3）参加采购活动前3年内是投标人的控股股东或者实际控制人；</w:t>
      </w:r>
    </w:p>
    <w:p w14:paraId="7A702DE3">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（4）与投标人的法定代表人或者负责人有夫妻、直系血亲、三代以内旁系血亲或者近姻亲关系；</w:t>
      </w:r>
    </w:p>
    <w:p w14:paraId="09C8EC34">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（5）与投标人有其他可能影响政府采购活动公平、公正进行的关系。</w:t>
      </w:r>
    </w:p>
    <w:p w14:paraId="5C8AE679">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认为采购人员及相关人员（包括评标委员会的组成人员）与其他投标人有利害关系的，可以向采购人或者采购代理机构书面提出回避申请，并说明理由。采购人或者采购代理机构应当及时询问被申请回避人员，有利害关系的被申请回避人员应当回避。</w:t>
      </w:r>
    </w:p>
    <w:p w14:paraId="5FA4389A">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14.7 对线上采购项目，采购人将在</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规定的时间进行电子开标，采购人将对开标、评标现场活动进行全程录音录像，音像资料作为采购文件一并存档。开标由采购人主持，投标人通过登录评审管理系统进入开标大厅远程参加。</w:t>
      </w:r>
    </w:p>
    <w:p w14:paraId="62EB27C4">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投标资格审查</w:t>
      </w:r>
    </w:p>
    <w:p w14:paraId="2B807EA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 公开招标采购项目开标结束后，由采购人或者采购代理机构依法对投标人的资格进行审查，以确定投标人是否具备投标资格。</w:t>
      </w:r>
    </w:p>
    <w:p w14:paraId="1B0C2273">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15.1.1 审查投标人按照8.2.1提交的</w:t>
      </w:r>
      <w:r>
        <w:rPr>
          <w:rFonts w:hint="eastAsia" w:ascii="宋体" w:hAnsi="宋体" w:eastAsia="宋体" w:cs="宋体"/>
          <w:b/>
          <w:color w:val="auto"/>
          <w:szCs w:val="21"/>
          <w:highlight w:val="none"/>
        </w:rPr>
        <w:t>“资格证明文件”</w:t>
      </w:r>
      <w:r>
        <w:rPr>
          <w:rFonts w:hint="eastAsia" w:ascii="宋体" w:hAnsi="宋体" w:eastAsia="宋体" w:cs="宋体"/>
          <w:color w:val="auto"/>
          <w:szCs w:val="21"/>
          <w:highlight w:val="none"/>
        </w:rPr>
        <w:t>。</w:t>
      </w:r>
    </w:p>
    <w:p w14:paraId="73A7D8B9">
      <w:pPr>
        <w:topLinePunct/>
        <w:autoSpaceDE w:val="0"/>
        <w:autoSpaceDN w:val="0"/>
        <w:adjustRightInd w:val="0"/>
        <w:snapToGrid w:val="0"/>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15.1.2 信用记录审查。</w:t>
      </w:r>
      <w:r>
        <w:rPr>
          <w:rFonts w:hint="eastAsia" w:ascii="宋体" w:hAnsi="宋体" w:eastAsia="宋体" w:cs="宋体"/>
          <w:b/>
          <w:bCs/>
          <w:color w:val="auto"/>
          <w:szCs w:val="21"/>
          <w:highlight w:val="none"/>
        </w:rPr>
        <w:t>见投标人须知前附表。</w:t>
      </w:r>
    </w:p>
    <w:p w14:paraId="177187FA">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 未通过资格审查的投标人，其投标无效。</w:t>
      </w:r>
    </w:p>
    <w:p w14:paraId="70992A8E">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 合格投标人不足3家的，不得评标。</w:t>
      </w:r>
    </w:p>
    <w:p w14:paraId="5F95262B">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评标委员会的组成</w:t>
      </w:r>
    </w:p>
    <w:p w14:paraId="646BA76B">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采购人或者采购代理机构根据有关法律法规规定组建评标委员会，评标委员会由采购人代表和评审专家组成。</w:t>
      </w:r>
    </w:p>
    <w:p w14:paraId="618528B1">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投标符合性审查</w:t>
      </w:r>
    </w:p>
    <w:p w14:paraId="53C79CCE">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评标委员会对符合资格的投标人的投标文件进行符合性审查，以确定其是否符合招标文件的商务、技术等实质性要求。</w:t>
      </w:r>
    </w:p>
    <w:p w14:paraId="77EE622E">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 未通过符合性审查的投标人，其投标无效。</w:t>
      </w:r>
    </w:p>
    <w:p w14:paraId="59557031">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 通过符合性审查的投标人不足3家的，应予以废标。</w:t>
      </w:r>
    </w:p>
    <w:p w14:paraId="6261F18B">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投标文件的澄清</w:t>
      </w:r>
    </w:p>
    <w:p w14:paraId="16907481">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18.1对于投标文件中含义不明确、同类问题表述不一致或者有明显文字和计算错误的内容，评标委员会应当以书面形式要求投标人作出必要的澄清、说明或者补正。</w:t>
      </w:r>
    </w:p>
    <w:p w14:paraId="6A8B67E8">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投标人的澄清、说明或者补正应当采用书面形式，并加盖公章，或者由法定代表人或其授权的代表签字。（线上采购项目的通过评审管理系统上传加盖电子公章的扫描件）。投标人的澄清、说明或者补正不得超出投标文件的范围或者改变投标文件的实质性内容。</w:t>
      </w:r>
    </w:p>
    <w:p w14:paraId="2D9BF768">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18.3关于投标描述（即投标文件中描述的内容）</w:t>
      </w:r>
    </w:p>
    <w:p w14:paraId="11F9D0AB">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（1）投标描述前后不一致且不涉及证明材料的：按照本节第18.1条规定执行。</w:t>
      </w:r>
    </w:p>
    <w:p w14:paraId="1E069C10">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（2）投标描述与证明材料不一致或多份证明材料之间不一致的：</w:t>
      </w:r>
    </w:p>
    <w:p w14:paraId="16E2BE4E">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①评标委员会将要求投标人进行书面澄清，无法澄清的将按照不利于投标人的内容进行评标。</w:t>
      </w:r>
    </w:p>
    <w:p w14:paraId="7766C126">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299EDEE8">
      <w:pPr>
        <w:pStyle w:val="35"/>
        <w:widowControl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622DB90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18.4 除评标委员会要求投标人做出的澄清、说明或者补正以外，评标委员会不接受投标人的任何询问、说明、更改及文件。</w:t>
      </w:r>
    </w:p>
    <w:p w14:paraId="523E79FE">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18.5 投标人的澄清必须在规定的时间内提交。</w:t>
      </w:r>
    </w:p>
    <w:p w14:paraId="73F85417">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19</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核价原则</w:t>
      </w:r>
    </w:p>
    <w:p w14:paraId="4B58C1FC">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19.1 </w:t>
      </w:r>
      <w:r>
        <w:rPr>
          <w:rFonts w:hint="eastAsia" w:ascii="宋体" w:hAnsi="宋体" w:eastAsia="宋体" w:cs="宋体"/>
          <w:color w:val="auto"/>
          <w:szCs w:val="21"/>
          <w:highlight w:val="none"/>
        </w:rPr>
        <w:t>投标文件报价出现前后不一致的，除招标文件另有规定外，按照下列规定修正：</w:t>
      </w:r>
    </w:p>
    <w:p w14:paraId="431E4D3F">
      <w:pPr>
        <w:overflowPunct w:val="0"/>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（1）投标文件中开标一览表（总报价表）内容与投标文件中相应内容不一致的，以开标一览表（总报价表）为准；</w:t>
      </w:r>
    </w:p>
    <w:p w14:paraId="5CE75219">
      <w:pPr>
        <w:overflowPunct w:val="0"/>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（2）大写金额和小写金额不一致的，以大写金额为准；</w:t>
      </w:r>
    </w:p>
    <w:p w14:paraId="7D090780">
      <w:pPr>
        <w:overflowPunct w:val="0"/>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（3）单价金额小数点或者百分比有明显错位的，以开标一览表的总价为准，并修改单价；</w:t>
      </w:r>
    </w:p>
    <w:p w14:paraId="2EAFADE0">
      <w:pPr>
        <w:overflowPunct w:val="0"/>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（4）总价金额与按单价汇总金额不一致的，以单价金额计算结果为准。</w:t>
      </w:r>
    </w:p>
    <w:p w14:paraId="4ECADCF9">
      <w:pPr>
        <w:overflowPunct w:val="0"/>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（5）同时出现两种以上不一致的，按照前款规定的顺序修正。修正后的报价按照18.2条的规定经投标人确认后产生约束力，投标人不确认的，其投标无效。</w:t>
      </w:r>
    </w:p>
    <w:p w14:paraId="032190A0">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20</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投标无效</w:t>
      </w:r>
    </w:p>
    <w:p w14:paraId="348FCBFC">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 投标人及投标文件有下列情况之一的，应当在资格审查时按照投标无效处理：</w:t>
      </w:r>
    </w:p>
    <w:p w14:paraId="4847C5BD">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不具备招标文件中规定的资格要求的；</w:t>
      </w:r>
    </w:p>
    <w:p w14:paraId="0466847B">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投标文件组成中“资格证明文件”未提供或无效的；</w:t>
      </w:r>
    </w:p>
    <w:p w14:paraId="128FC70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未通过信用记录审查或未提供相关证明材料的。</w:t>
      </w:r>
    </w:p>
    <w:p w14:paraId="34E318E5">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投标人及投标文件有下列情况之一的，应当在符合性审查时按照投标无效处理：</w:t>
      </w:r>
    </w:p>
    <w:p w14:paraId="78CCFE4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投标文件组成中除“资格证明文件”外，★条款相关文件及资料未提供或提供无效的；</w:t>
      </w:r>
    </w:p>
    <w:p w14:paraId="45790738">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投标文件未按招标文件要求签署、盖章的；</w:t>
      </w:r>
    </w:p>
    <w:p w14:paraId="7268288A">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投标报价超过招标文件中规定的预算金额或者最高限价</w:t>
      </w:r>
      <w:r>
        <w:rPr>
          <w:rFonts w:hint="eastAsia" w:ascii="Times New Roman" w:hAnsi="Times New Roman" w:eastAsia="宋体" w:cs="Times New Roman"/>
          <w:color w:val="auto"/>
          <w:kern w:val="0"/>
          <w:sz w:val="21"/>
          <w:szCs w:val="21"/>
          <w:highlight w:val="none"/>
          <w:lang w:val="en-US" w:eastAsia="zh-CN" w:bidi="ar-SA"/>
        </w:rPr>
        <w:t>（分项预算最高限价，如有）</w:t>
      </w:r>
      <w:r>
        <w:rPr>
          <w:rFonts w:hint="eastAsia" w:ascii="宋体" w:hAnsi="宋体" w:eastAsia="宋体" w:cs="宋体"/>
          <w:color w:val="auto"/>
          <w:szCs w:val="21"/>
          <w:highlight w:val="none"/>
        </w:rPr>
        <w:t>的；</w:t>
      </w:r>
    </w:p>
    <w:p w14:paraId="21AA884F">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投标有效期不足的；</w:t>
      </w:r>
    </w:p>
    <w:p w14:paraId="04A022A8">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 MAC地址一致的；</w:t>
      </w:r>
    </w:p>
    <w:p w14:paraId="791590F3">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 IP地址一致且无法进行合理解释的；</w:t>
      </w:r>
    </w:p>
    <w:p w14:paraId="50CE7A5F">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 投标文件含有采购人不能接受的附加条件的；</w:t>
      </w:r>
    </w:p>
    <w:p w14:paraId="32A10725">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 除20.1及20.2情形外，投标人及投标文件有下列情况之一的，应当按照投标无效处理：</w:t>
      </w:r>
    </w:p>
    <w:p w14:paraId="049E454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提供虚假投标文件材料的；</w:t>
      </w:r>
    </w:p>
    <w:p w14:paraId="178B4DA8">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投标人串通投标的；</w:t>
      </w:r>
    </w:p>
    <w:p w14:paraId="369D047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投标报价明显低于其他通过符合性审查投标人的报价，且不能证明其报价合理性的。</w:t>
      </w:r>
    </w:p>
    <w:p w14:paraId="42E8082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法律、法规和招标文件规定的其他无效情形。</w:t>
      </w:r>
    </w:p>
    <w:p w14:paraId="4EAD24AD">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21</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比较与评价</w:t>
      </w:r>
    </w:p>
    <w:p w14:paraId="70297E7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评标委员会按照招标文件中规定的评标方法和标准，对符合性审查合格的投标文件进行商务和技术评估，综合比较与评价。</w:t>
      </w:r>
    </w:p>
    <w:p w14:paraId="2227C8AB">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 价格分应当采用低价优先法计算。小型、微型企业和监狱企业</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残疾人福利性单位的投标报价按照</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规定，分别给予扣除，并以扣除后的报价计算价格分。未提供《中小型企业声明函》《监狱企业证明文件》《残疾人福利性单位声明函》的，价格不予扣除。同一投标人不得重复享受价格扣除政策。</w:t>
      </w:r>
    </w:p>
    <w:p w14:paraId="5F479275">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评标委员会各成员独立对每个投标人的投标文件进行评价，并汇总得出每个投标人的评审得分。</w:t>
      </w:r>
    </w:p>
    <w:p w14:paraId="0CD5BF0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21.4 评标结果按评审得分由高到低顺序排列。得分相同的，按投标报价由低到高顺序排列。得分且投标报价相同的</w:t>
      </w:r>
      <w:r>
        <w:rPr>
          <w:rFonts w:hint="eastAsia" w:ascii="Times New Roman" w:hAnsi="Times New Roman"/>
          <w:color w:val="auto"/>
          <w:szCs w:val="21"/>
          <w:highlight w:val="none"/>
        </w:rPr>
        <w:t>，按照技术因素优劣顺序排列的方式确定中标候选人</w:t>
      </w:r>
      <w:r>
        <w:rPr>
          <w:rFonts w:hint="eastAsia" w:ascii="宋体" w:hAnsi="宋体" w:eastAsia="宋体" w:cs="宋体"/>
          <w:color w:val="auto"/>
          <w:szCs w:val="21"/>
          <w:highlight w:val="none"/>
        </w:rPr>
        <w:t>。</w:t>
      </w:r>
    </w:p>
    <w:p w14:paraId="17DAA8BC">
      <w:pPr>
        <w:topLinePunct/>
        <w:autoSpaceDE w:val="0"/>
        <w:autoSpaceDN w:val="0"/>
        <w:adjustRightInd w:val="0"/>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21.5 评标方法及标准</w:t>
      </w:r>
      <w:r>
        <w:rPr>
          <w:rFonts w:hint="eastAsia" w:ascii="宋体" w:hAnsi="宋体" w:eastAsia="宋体" w:cs="宋体"/>
          <w:b/>
          <w:color w:val="auto"/>
          <w:szCs w:val="21"/>
          <w:highlight w:val="none"/>
        </w:rPr>
        <w:t>详见招标文件商务部分第三章。</w:t>
      </w:r>
    </w:p>
    <w:p w14:paraId="0CC52CA0">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21.6 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437EA4DC">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废标</w:t>
      </w:r>
    </w:p>
    <w:p w14:paraId="727228AE">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 在招标采购中，出现下列情形之一的，应予废标：</w:t>
      </w:r>
    </w:p>
    <w:p w14:paraId="0D37025C">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（1）符合专业条件的供应商或者对招标文件作实质响应的供应商不足三家的；</w:t>
      </w:r>
    </w:p>
    <w:p w14:paraId="6D4298F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163EF3C3">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（3）投标人的报价均超过了采购预算，采购人不能支付的；</w:t>
      </w:r>
    </w:p>
    <w:p w14:paraId="25B991F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（4）因重大变故，采购任务取消的。</w:t>
      </w:r>
    </w:p>
    <w:p w14:paraId="411E58BA">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废标后，采购人或者采购代理机构将废标理由通知所有投标人。</w:t>
      </w:r>
    </w:p>
    <w:p w14:paraId="7BC6852E">
      <w:pPr>
        <w:spacing w:line="240" w:lineRule="auto"/>
        <w:ind w:firstLine="0" w:firstLineChars="0"/>
        <w:jc w:val="center"/>
        <w:outlineLvl w:val="1"/>
        <w:rPr>
          <w:rFonts w:hint="eastAsia" w:ascii="宋体" w:hAnsi="宋体" w:eastAsia="宋体" w:cs="宋体"/>
          <w:b/>
          <w:bCs/>
          <w:color w:val="auto"/>
          <w:sz w:val="24"/>
          <w:szCs w:val="24"/>
          <w:highlight w:val="none"/>
        </w:rPr>
      </w:pPr>
      <w:bookmarkStart w:id="16" w:name="_Toc31901"/>
      <w:r>
        <w:rPr>
          <w:rFonts w:hint="eastAsia" w:ascii="宋体" w:hAnsi="宋体" w:eastAsia="宋体" w:cs="宋体"/>
          <w:b/>
          <w:bCs/>
          <w:color w:val="auto"/>
          <w:sz w:val="24"/>
          <w:szCs w:val="24"/>
          <w:highlight w:val="none"/>
        </w:rPr>
        <w:t>六、中标和合同</w:t>
      </w:r>
      <w:bookmarkEnd w:id="16"/>
    </w:p>
    <w:p w14:paraId="0CEA19B4">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23</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中标</w:t>
      </w:r>
    </w:p>
    <w:p w14:paraId="5041715A">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59A9549">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采购人自行组织招标的，采购人应当在评标结束后5个工作日内，按评标报告推荐的中标候选人顺序确定中标人。</w:t>
      </w:r>
    </w:p>
    <w:p w14:paraId="7D0119B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 采购人或者采购代理机构应当自中标人确定之日起2个工作日内，在</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规定的媒体上公告中标结果，招标文件应随中标结果同时公告。中标公告期限为1个工作日。</w:t>
      </w:r>
    </w:p>
    <w:p w14:paraId="6F63875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23.3 在公告中标结果的同时，采购人或者采购代理机构应当向中标人发出中标通知书（对线上采购项目，通过评审管理系统发出中标通知书）；对未通过资格审查的投标人，告知其未通过的原因；采用综合评分法评审的，同时告知未中标人本人的评审得分与排序。</w:t>
      </w:r>
    </w:p>
    <w:p w14:paraId="68029C7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23.4 中标通知书发出后，采购人或者采购代理机构不得违法改变中标结果，中标人无正当理由不得放弃中标。</w:t>
      </w:r>
    </w:p>
    <w:p w14:paraId="7E7A925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23.5 中标通知书对采购人和中标人具有同等法律效力。</w:t>
      </w:r>
    </w:p>
    <w:p w14:paraId="6DF58970">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24</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签订合同</w:t>
      </w:r>
    </w:p>
    <w:p w14:paraId="776FD5F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采购人应当自中标通知书发出之日起30日内，按照招标文件和中标人投标文件的规定，与中标人签订合同。</w:t>
      </w:r>
      <w:r>
        <w:rPr>
          <w:rFonts w:hint="eastAsia" w:ascii="宋体" w:hAnsi="宋体" w:eastAsia="宋体" w:cs="宋体"/>
          <w:color w:val="auto"/>
          <w:szCs w:val="21"/>
          <w:highlight w:val="none"/>
          <w:u w:val="single"/>
        </w:rPr>
        <w:t>线上采购项目可通过评审管理系统签订合同</w:t>
      </w:r>
      <w:r>
        <w:rPr>
          <w:rFonts w:hint="eastAsia" w:ascii="宋体" w:hAnsi="宋体" w:eastAsia="宋体" w:cs="宋体"/>
          <w:color w:val="auto"/>
          <w:szCs w:val="21"/>
          <w:highlight w:val="none"/>
        </w:rPr>
        <w:t>。</w:t>
      </w:r>
    </w:p>
    <w:p w14:paraId="35EF258A">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所签订的合同不得对招标文件确定的事项和中标人投标文件作实质性修改。</w:t>
      </w:r>
    </w:p>
    <w:p w14:paraId="20C4D8D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24.3 采购人不得向中标人提出任何不合理的要求作为签订合同的条件。</w:t>
      </w:r>
    </w:p>
    <w:p w14:paraId="3C656B10">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24.4 中标人拒绝与采购人签订合同的，采购人有权没收其投标保证金，并可以按照评审报告推荐的中标候选人名单排序确定下一候选人为中标人</w:t>
      </w:r>
      <w:r>
        <w:rPr>
          <w:rFonts w:hint="eastAsia" w:ascii="宋体" w:hAnsi="宋体" w:cs="宋体"/>
          <w:color w:val="auto"/>
          <w:szCs w:val="21"/>
          <w:highlight w:val="none"/>
          <w:lang w:val="en-US" w:eastAsia="zh-CN"/>
        </w:rPr>
        <w:t>或</w:t>
      </w:r>
      <w:r>
        <w:rPr>
          <w:rFonts w:hint="eastAsia" w:ascii="宋体" w:hAnsi="宋体" w:eastAsia="宋体" w:cs="宋体"/>
          <w:color w:val="auto"/>
          <w:szCs w:val="21"/>
          <w:highlight w:val="none"/>
        </w:rPr>
        <w:t>重新开展政府采购活动，因此产生的全部损失由拒绝签约的中标人承担。</w:t>
      </w:r>
    </w:p>
    <w:p w14:paraId="7736C66E">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25</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履约保证金</w:t>
      </w:r>
    </w:p>
    <w:p w14:paraId="22C986CE">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 需提交履约保证金的项目，中标人应在合同签订</w:t>
      </w:r>
      <w:r>
        <w:rPr>
          <w:rFonts w:hint="eastAsia" w:ascii="宋体" w:hAnsi="宋体" w:eastAsia="宋体" w:cs="宋体"/>
          <w:color w:val="auto"/>
          <w:szCs w:val="21"/>
          <w:highlight w:val="none"/>
          <w:lang w:eastAsia="zh-CN"/>
        </w:rPr>
        <w:t>前</w:t>
      </w:r>
      <w:r>
        <w:rPr>
          <w:rFonts w:hint="eastAsia" w:ascii="宋体" w:hAnsi="宋体" w:eastAsia="宋体" w:cs="宋体"/>
          <w:color w:val="auto"/>
          <w:szCs w:val="21"/>
          <w:highlight w:val="none"/>
        </w:rPr>
        <w:t>，按照</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的规定，向采购人提交履约保证金。</w:t>
      </w:r>
    </w:p>
    <w:p w14:paraId="054586AF">
      <w:pPr>
        <w:spacing w:line="240" w:lineRule="auto"/>
        <w:ind w:firstLine="0" w:firstLineChars="0"/>
        <w:jc w:val="center"/>
        <w:outlineLvl w:val="1"/>
        <w:rPr>
          <w:rFonts w:hint="eastAsia" w:ascii="宋体" w:hAnsi="宋体" w:eastAsia="宋体" w:cs="宋体"/>
          <w:b/>
          <w:bCs/>
          <w:color w:val="auto"/>
          <w:sz w:val="24"/>
          <w:szCs w:val="24"/>
          <w:highlight w:val="none"/>
        </w:rPr>
      </w:pPr>
      <w:bookmarkStart w:id="17" w:name="_Toc2470"/>
      <w:r>
        <w:rPr>
          <w:rFonts w:hint="eastAsia" w:ascii="宋体" w:hAnsi="宋体" w:eastAsia="宋体" w:cs="宋体"/>
          <w:b/>
          <w:bCs/>
          <w:color w:val="auto"/>
          <w:sz w:val="24"/>
          <w:szCs w:val="24"/>
          <w:highlight w:val="none"/>
        </w:rPr>
        <w:t>七、询问和质疑</w:t>
      </w:r>
      <w:bookmarkEnd w:id="17"/>
    </w:p>
    <w:p w14:paraId="7C26E5C5">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26. 询问</w:t>
      </w:r>
    </w:p>
    <w:p w14:paraId="51448A84">
      <w:pPr>
        <w:topLinePunct/>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26.1潜在投标人、投标人对政府采购活动事项有疑问的，可以向采购人或者采购代理机构提出询问，采购人或者采购代理机构应当在3个工作日内对依法提出的询问作出答复，但答复的内容不得涉及商业秘密。</w:t>
      </w:r>
    </w:p>
    <w:p w14:paraId="6AF57A3A">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27</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质疑</w:t>
      </w:r>
    </w:p>
    <w:p w14:paraId="0271A77C">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27.1潜在投标人、投标人（统称质疑人）认为招标文件、招标过程和中标结果使自己的权益受到损害的，可以在知道或者应知其权益受到损害之日起7个工作日内以书面形式向采购人或者采购代理机构提出质疑（线上采购项目可以通过评审管理系统提交）。联系部门、联系电话、通讯地址、电子邮箱</w:t>
      </w:r>
      <w:r>
        <w:rPr>
          <w:rFonts w:hint="eastAsia" w:ascii="宋体" w:hAnsi="宋体" w:eastAsia="宋体" w:cs="宋体"/>
          <w:b/>
          <w:bCs/>
          <w:color w:val="auto"/>
          <w:szCs w:val="21"/>
          <w:highlight w:val="none"/>
        </w:rPr>
        <w:t>见</w:t>
      </w:r>
      <w:r>
        <w:rPr>
          <w:rFonts w:hint="eastAsia" w:ascii="宋体" w:hAnsi="宋体" w:eastAsia="宋体" w:cs="宋体"/>
          <w:b/>
          <w:color w:val="auto"/>
          <w:szCs w:val="21"/>
          <w:highlight w:val="none"/>
        </w:rPr>
        <w:t>投标人须知前附表</w:t>
      </w:r>
      <w:r>
        <w:rPr>
          <w:rFonts w:hint="eastAsia" w:ascii="宋体" w:hAnsi="宋体" w:eastAsia="宋体" w:cs="宋体"/>
          <w:color w:val="auto"/>
          <w:szCs w:val="21"/>
          <w:highlight w:val="none"/>
        </w:rPr>
        <w:t>。</w:t>
      </w:r>
    </w:p>
    <w:p w14:paraId="4C61DE8E">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27.2在法定质疑期内，针对同一采购程序环节的质疑应一次性提出。</w:t>
      </w:r>
    </w:p>
    <w:p w14:paraId="6055317A">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27.3质疑人应知其权益受到损害之日，是指： </w:t>
      </w:r>
    </w:p>
    <w:p w14:paraId="0BB07735">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（1）对可以质疑的采购文件提出质疑的，为收到采购文件之日或者采购文件公告期限届满之日；</w:t>
      </w:r>
    </w:p>
    <w:p w14:paraId="1D6F2AF1">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（2）对采购过程提出质疑的，为各采购程序环节结束之日；</w:t>
      </w:r>
    </w:p>
    <w:p w14:paraId="55D21E22">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（3）对中标结果提出质疑的，为中标结果公告期限届满之日。</w:t>
      </w:r>
    </w:p>
    <w:p w14:paraId="11A65FF9">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27.4质疑应当有明确的请求和必要的证明材料。供应商为自然人的，应当由本人签字；供应商为法人或者其他组织的，应当由法定代表人、主要负责人或者其授权代表签字，并加盖公章。</w:t>
      </w:r>
    </w:p>
    <w:p w14:paraId="1F40277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27.5 采购人或者代理机构应当在收到供应商的质疑函后7个工作日内，对质疑内容作出答复，</w:t>
      </w:r>
      <w:r>
        <w:rPr>
          <w:rFonts w:hint="eastAsia" w:ascii="宋体" w:hAnsi="宋体" w:eastAsia="宋体" w:cs="宋体"/>
          <w:bCs/>
          <w:color w:val="auto"/>
          <w:szCs w:val="21"/>
          <w:highlight w:val="none"/>
        </w:rPr>
        <w:t>书面形式</w:t>
      </w:r>
      <w:r>
        <w:rPr>
          <w:rFonts w:hint="eastAsia" w:ascii="宋体" w:hAnsi="宋体" w:eastAsia="宋体" w:cs="宋体"/>
          <w:color w:val="auto"/>
          <w:szCs w:val="21"/>
          <w:highlight w:val="none"/>
        </w:rPr>
        <w:t>通知质疑供应商和其他有关供应商，但答复内容不得涉及商业秘密。</w:t>
      </w:r>
    </w:p>
    <w:p w14:paraId="27FCA7DC">
      <w:pPr>
        <w:pStyle w:val="35"/>
        <w:widowControl w:val="0"/>
        <w:spacing w:line="360" w:lineRule="auto"/>
        <w:ind w:firstLine="420" w:firstLineChars="200"/>
        <w:jc w:val="both"/>
        <w:rPr>
          <w:rFonts w:hint="default" w:ascii="Times New Roman" w:hAnsi="Times New Roman"/>
          <w:color w:val="auto"/>
          <w:sz w:val="21"/>
          <w:szCs w:val="21"/>
          <w:highlight w:val="none"/>
        </w:rPr>
      </w:pPr>
      <w:r>
        <w:rPr>
          <w:rFonts w:hint="eastAsia" w:ascii="宋体" w:hAnsi="宋体" w:eastAsia="宋体" w:cs="宋体"/>
          <w:color w:val="auto"/>
          <w:sz w:val="21"/>
          <w:szCs w:val="21"/>
          <w:highlight w:val="none"/>
        </w:rPr>
        <w:t>27.6质疑人对采购人、采购代理机构的答复不满意或者采购人、采购代理机构未在规定的时间内作出答复的，可以在答复期满后15个工作日内</w:t>
      </w:r>
      <w:r>
        <w:rPr>
          <w:rFonts w:hint="eastAsia" w:ascii="Times New Roman" w:hAnsi="Times New Roman"/>
          <w:color w:val="auto"/>
          <w:sz w:val="21"/>
          <w:szCs w:val="21"/>
          <w:highlight w:val="none"/>
          <w:lang w:eastAsia="zh-CN"/>
        </w:rPr>
        <w:t>，按政府采购法律法规规定及程序，向财政部提出投诉</w:t>
      </w:r>
      <w:r>
        <w:rPr>
          <w:rFonts w:hint="default" w:ascii="Times New Roman" w:hAnsi="Times New Roman"/>
          <w:color w:val="auto"/>
          <w:sz w:val="21"/>
          <w:szCs w:val="21"/>
          <w:highlight w:val="none"/>
        </w:rPr>
        <w:t>。</w:t>
      </w:r>
    </w:p>
    <w:p w14:paraId="589695F2">
      <w:pPr>
        <w:pStyle w:val="35"/>
        <w:widowControl w:val="0"/>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27.7投诉应当有明确的请求和必要的证明材料。投诉的事项不得超出已质疑事项的范围。</w:t>
      </w:r>
    </w:p>
    <w:p w14:paraId="0453813C">
      <w:pPr>
        <w:spacing w:line="240" w:lineRule="auto"/>
        <w:ind w:firstLine="0" w:firstLineChars="0"/>
        <w:jc w:val="center"/>
        <w:outlineLvl w:val="1"/>
        <w:rPr>
          <w:rFonts w:hint="eastAsia" w:ascii="宋体" w:hAnsi="宋体" w:eastAsia="宋体" w:cs="宋体"/>
          <w:b/>
          <w:bCs/>
          <w:color w:val="auto"/>
          <w:sz w:val="24"/>
          <w:szCs w:val="24"/>
          <w:highlight w:val="none"/>
        </w:rPr>
      </w:pPr>
      <w:bookmarkStart w:id="18" w:name="_Toc121"/>
      <w:r>
        <w:rPr>
          <w:rFonts w:hint="eastAsia" w:ascii="宋体" w:hAnsi="宋体" w:eastAsia="宋体" w:cs="宋体"/>
          <w:b/>
          <w:bCs/>
          <w:color w:val="auto"/>
          <w:sz w:val="24"/>
          <w:szCs w:val="24"/>
          <w:highlight w:val="none"/>
        </w:rPr>
        <w:t>八、其他</w:t>
      </w:r>
      <w:bookmarkEnd w:id="18"/>
    </w:p>
    <w:p w14:paraId="6D64F9B1">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bookmarkStart w:id="19" w:name="_Toc319519285"/>
      <w:bookmarkStart w:id="20" w:name="_Toc217989361"/>
      <w:bookmarkStart w:id="21" w:name="_Toc233181902"/>
      <w:bookmarkStart w:id="22" w:name="_Toc262111390"/>
      <w:r>
        <w:rPr>
          <w:rFonts w:hint="eastAsia" w:ascii="宋体" w:hAnsi="宋体" w:eastAsia="宋体" w:cs="宋体"/>
          <w:b/>
          <w:color w:val="auto"/>
          <w:szCs w:val="21"/>
          <w:highlight w:val="none"/>
        </w:rPr>
        <w:t>28</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保密</w:t>
      </w:r>
    </w:p>
    <w:p w14:paraId="1D783463">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28.1采购人、采购代理机构应当采取必要措施，保证评标在严格保密的情况下进行。除采购人代表、评标现场组织人员外，采购人的其他工作人员以及与评标工作无关的人员不得进入评标现场。</w:t>
      </w:r>
    </w:p>
    <w:p w14:paraId="3F18B4F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28.2 评标委员会成员和参与评标工作的有关人员对评标情况以及在评标过程中获悉的国家秘密、商业秘密负有保密责任。</w:t>
      </w:r>
    </w:p>
    <w:p w14:paraId="19F07335">
      <w:pPr>
        <w:topLinePunct/>
        <w:autoSpaceDE w:val="0"/>
        <w:autoSpaceDN w:val="0"/>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29. 知识产权与规避专利、版权纠纷</w:t>
      </w:r>
      <w:bookmarkEnd w:id="19"/>
      <w:bookmarkEnd w:id="20"/>
      <w:bookmarkEnd w:id="21"/>
      <w:bookmarkEnd w:id="22"/>
    </w:p>
    <w:p w14:paraId="7ABF9A13">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29.1 知识产权</w:t>
      </w:r>
    </w:p>
    <w:p w14:paraId="09C43F69">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29.1.1 项目系统的版权属于采购人所有，中标人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r>
        <w:rPr>
          <w:rFonts w:hint="eastAsia" w:ascii="Times New Roman" w:hAnsi="Times New Roman"/>
          <w:color w:val="auto"/>
          <w:szCs w:val="21"/>
          <w:highlight w:val="none"/>
          <w:lang w:eastAsia="zh-CN"/>
        </w:rPr>
        <w:t>中标人需保证提供的源代码无权利瑕疵、无恶意代码、无后门程序，且可独立编译运行。中标人基于本项目合作获取的采购人所有数据、交易信息、用户信息等，仅可用于履行本合同义务之目的，不得擅自留存、使用、披露或提供给第三方，合作终止后应立即删除全部相关数据。</w:t>
      </w:r>
    </w:p>
    <w:p w14:paraId="799C19D7">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29.2 规避专利、版权纠纷</w:t>
      </w:r>
    </w:p>
    <w:p w14:paraId="36709310">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29.2.1 投标人应保证其投标方案中的有关软件、文件、图纸等没有违反有关专利和版权等知识产权的规定。</w:t>
      </w:r>
    </w:p>
    <w:p w14:paraId="4BBF0A36">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29.2.2 中标人应保证采购人在中华人民共和国使用本项目成果任何一部分、或接受乙方服务时，免受第三方提出的侵犯其专利权、商标权或工业设计权等知识产权的索赔或起诉。</w:t>
      </w:r>
    </w:p>
    <w:p w14:paraId="2BE048E1">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29.2.3 如果采购人在使用本项目任何一部分时被任何第三方诉称侵犯了第三方知识产权或任何其</w:t>
      </w:r>
      <w:r>
        <w:rPr>
          <w:rFonts w:hint="eastAsia" w:ascii="宋体" w:hAnsi="宋体" w:eastAsia="宋体" w:cs="宋体"/>
          <w:color w:val="auto"/>
          <w:szCs w:val="21"/>
          <w:highlight w:val="none"/>
          <w:lang w:eastAsia="zh-CN"/>
        </w:rPr>
        <w:t>他</w:t>
      </w:r>
      <w:r>
        <w:rPr>
          <w:rFonts w:hint="eastAsia" w:ascii="宋体" w:hAnsi="宋体" w:eastAsia="宋体" w:cs="宋体"/>
          <w:color w:val="auto"/>
          <w:szCs w:val="21"/>
          <w:highlight w:val="none"/>
        </w:rPr>
        <w:t>权利，中标人应负责处理这一指控并应以中标人的名义自负费用向起诉方提出抗辩。由此可能产生的一切法律责任和经济责任均由中标人承担。</w:t>
      </w:r>
    </w:p>
    <w:p w14:paraId="2C2CE416">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29.2.4 如果采购人发现任何第三方在采购人未被许可的范围内非法使用采购人获得的知识产权，采购人应通知中标人。中标人应在收到采购人通知后14天内采取行动制止非法使用行为</w:t>
      </w:r>
      <w:r>
        <w:rPr>
          <w:rFonts w:hint="eastAsia" w:ascii="Times New Roman" w:hAnsi="Times New Roman"/>
          <w:color w:val="auto"/>
          <w:szCs w:val="21"/>
          <w:highlight w:val="none"/>
          <w:lang w:eastAsia="zh-CN"/>
        </w:rPr>
        <w:t>并承担全部费用</w:t>
      </w:r>
      <w:r>
        <w:rPr>
          <w:rFonts w:ascii="Times New Roman" w:hAnsi="Times New Roman"/>
          <w:color w:val="auto"/>
          <w:szCs w:val="21"/>
          <w:highlight w:val="none"/>
        </w:rPr>
        <w:t>，</w:t>
      </w:r>
      <w:r>
        <w:rPr>
          <w:rFonts w:hint="eastAsia" w:ascii="Times New Roman" w:hAnsi="Times New Roman"/>
          <w:color w:val="auto"/>
          <w:szCs w:val="21"/>
          <w:highlight w:val="none"/>
          <w:lang w:val="en-US" w:eastAsia="zh-CN"/>
        </w:rPr>
        <w:t>同时</w:t>
      </w:r>
      <w:r>
        <w:rPr>
          <w:rFonts w:ascii="Times New Roman" w:hAnsi="Times New Roman"/>
          <w:color w:val="auto"/>
          <w:szCs w:val="21"/>
          <w:highlight w:val="none"/>
        </w:rPr>
        <w:t>中标人</w:t>
      </w:r>
      <w:r>
        <w:rPr>
          <w:rFonts w:hint="eastAsia" w:ascii="Times New Roman" w:hAnsi="Times New Roman"/>
          <w:color w:val="auto"/>
          <w:szCs w:val="21"/>
          <w:highlight w:val="none"/>
          <w:lang w:eastAsia="zh-CN"/>
        </w:rPr>
        <w:t>应</w:t>
      </w:r>
      <w:r>
        <w:rPr>
          <w:rFonts w:ascii="Times New Roman" w:hAnsi="Times New Roman"/>
          <w:color w:val="auto"/>
          <w:szCs w:val="21"/>
          <w:highlight w:val="none"/>
        </w:rPr>
        <w:t>承担</w:t>
      </w:r>
      <w:r>
        <w:rPr>
          <w:rFonts w:hint="eastAsia" w:ascii="Times New Roman" w:hAnsi="Times New Roman"/>
          <w:color w:val="auto"/>
          <w:szCs w:val="21"/>
          <w:highlight w:val="none"/>
          <w:lang w:eastAsia="zh-CN"/>
        </w:rPr>
        <w:t>由此给采购人造成</w:t>
      </w:r>
      <w:r>
        <w:rPr>
          <w:rFonts w:ascii="Times New Roman" w:hAnsi="Times New Roman"/>
          <w:color w:val="auto"/>
          <w:szCs w:val="21"/>
          <w:highlight w:val="none"/>
        </w:rPr>
        <w:t>的</w:t>
      </w:r>
      <w:r>
        <w:rPr>
          <w:rFonts w:hint="eastAsia" w:ascii="Times New Roman" w:hAnsi="Times New Roman"/>
          <w:color w:val="auto"/>
          <w:szCs w:val="21"/>
          <w:highlight w:val="none"/>
          <w:lang w:eastAsia="zh-CN"/>
        </w:rPr>
        <w:t>全部损失</w:t>
      </w:r>
      <w:r>
        <w:rPr>
          <w:rFonts w:hint="eastAsia" w:ascii="宋体" w:hAnsi="宋体" w:eastAsia="宋体" w:cs="宋体"/>
          <w:color w:val="auto"/>
          <w:szCs w:val="21"/>
          <w:highlight w:val="none"/>
        </w:rPr>
        <w:t>。</w:t>
      </w:r>
    </w:p>
    <w:p w14:paraId="47BAF438">
      <w:pPr>
        <w:spacing w:line="360" w:lineRule="auto"/>
        <w:rPr>
          <w:rFonts w:hint="eastAsia" w:ascii="宋体" w:hAnsi="宋体" w:eastAsia="宋体" w:cs="宋体"/>
          <w:color w:val="auto"/>
          <w:szCs w:val="21"/>
          <w:highlight w:val="none"/>
        </w:rPr>
        <w:sectPr>
          <w:pgSz w:w="11906" w:h="16838"/>
          <w:pgMar w:top="1440" w:right="1752" w:bottom="1440" w:left="1752"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DCD1B08">
      <w:pPr>
        <w:jc w:val="center"/>
        <w:outlineLvl w:val="0"/>
        <w:rPr>
          <w:rFonts w:hint="eastAsia" w:ascii="宋体" w:hAnsi="宋体" w:eastAsia="宋体" w:cs="宋体"/>
          <w:b/>
          <w:bCs/>
          <w:color w:val="auto"/>
          <w:sz w:val="28"/>
          <w:szCs w:val="28"/>
          <w:highlight w:val="none"/>
        </w:rPr>
      </w:pPr>
      <w:bookmarkStart w:id="23" w:name="_Toc1168671576"/>
      <w:bookmarkStart w:id="24" w:name="_Toc937455070"/>
      <w:bookmarkStart w:id="25" w:name="_Toc1762322514"/>
      <w:bookmarkStart w:id="26" w:name="_Toc1298913388"/>
      <w:bookmarkStart w:id="27" w:name="_Toc525052846"/>
      <w:bookmarkStart w:id="28" w:name="_Toc14566"/>
      <w:bookmarkStart w:id="29" w:name="_Toc38030149"/>
      <w:bookmarkStart w:id="30" w:name="_Toc1481241717"/>
      <w:bookmarkStart w:id="31" w:name="_Toc1380332034"/>
      <w:r>
        <w:rPr>
          <w:rFonts w:hint="eastAsia" w:ascii="宋体" w:hAnsi="宋体" w:eastAsia="宋体" w:cs="宋体"/>
          <w:b/>
          <w:bCs/>
          <w:color w:val="auto"/>
          <w:sz w:val="28"/>
          <w:szCs w:val="28"/>
          <w:highlight w:val="none"/>
        </w:rPr>
        <w:t>第三章  评标方法及标准</w:t>
      </w:r>
      <w:bookmarkEnd w:id="23"/>
      <w:bookmarkEnd w:id="24"/>
      <w:bookmarkEnd w:id="25"/>
      <w:bookmarkEnd w:id="26"/>
      <w:bookmarkEnd w:id="27"/>
      <w:bookmarkEnd w:id="28"/>
      <w:bookmarkEnd w:id="29"/>
      <w:bookmarkEnd w:id="30"/>
      <w:bookmarkEnd w:id="31"/>
    </w:p>
    <w:p w14:paraId="2AC09440">
      <w:pPr>
        <w:widowControl/>
        <w:topLinePunct/>
        <w:autoSpaceDE/>
        <w:autoSpaceDN/>
        <w:adjustRightInd w:val="0"/>
        <w:snapToGrid w:val="0"/>
        <w:spacing w:before="60" w:after="60" w:line="360" w:lineRule="auto"/>
        <w:ind w:firstLine="422" w:firstLineChars="200"/>
        <w:outlineLvl w:val="1"/>
        <w:rPr>
          <w:rFonts w:hint="eastAsia" w:ascii="宋体" w:hAnsi="宋体" w:eastAsia="宋体" w:cs="宋体"/>
          <w:b/>
          <w:color w:val="auto"/>
          <w:szCs w:val="21"/>
          <w:highlight w:val="none"/>
        </w:rPr>
      </w:pPr>
      <w:bookmarkStart w:id="32" w:name="_Toc5341"/>
      <w:r>
        <w:rPr>
          <w:rFonts w:hint="eastAsia" w:ascii="宋体" w:hAnsi="宋体" w:eastAsia="宋体" w:cs="宋体"/>
          <w:b/>
          <w:color w:val="auto"/>
          <w:szCs w:val="21"/>
          <w:highlight w:val="none"/>
        </w:rPr>
        <w:t>1.评标方法</w:t>
      </w:r>
      <w:bookmarkEnd w:id="32"/>
    </w:p>
    <w:p w14:paraId="03C85278">
      <w:pPr>
        <w:widowControl/>
        <w:topLinePunct/>
        <w:autoSpaceDE/>
        <w:autoSpaceDN/>
        <w:adjustRightInd w:val="0"/>
        <w:snapToGrid w:val="0"/>
        <w:spacing w:before="60" w:after="6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本项目评标方法：</w:t>
      </w:r>
      <w:r>
        <w:rPr>
          <w:rFonts w:hint="eastAsia" w:ascii="宋体" w:hAnsi="宋体" w:eastAsia="宋体" w:cs="宋体"/>
          <w:b/>
          <w:color w:val="auto"/>
          <w:szCs w:val="21"/>
          <w:highlight w:val="none"/>
          <w:u w:val="single"/>
        </w:rPr>
        <w:t>采用综合评分法</w:t>
      </w:r>
    </w:p>
    <w:p w14:paraId="5247AB8F">
      <w:pPr>
        <w:widowControl/>
        <w:topLinePunct/>
        <w:autoSpaceDE/>
        <w:autoSpaceDN/>
        <w:adjustRightInd w:val="0"/>
        <w:snapToGrid w:val="0"/>
        <w:spacing w:before="60" w:after="60" w:line="360" w:lineRule="auto"/>
        <w:ind w:firstLine="422" w:firstLineChars="200"/>
        <w:outlineLvl w:val="1"/>
        <w:rPr>
          <w:rFonts w:hint="eastAsia" w:ascii="宋体" w:hAnsi="宋体" w:eastAsia="宋体" w:cs="宋体"/>
          <w:b/>
          <w:color w:val="auto"/>
          <w:szCs w:val="21"/>
          <w:highlight w:val="none"/>
        </w:rPr>
      </w:pPr>
      <w:bookmarkStart w:id="33" w:name="_Toc7536"/>
      <w:r>
        <w:rPr>
          <w:rFonts w:hint="eastAsia" w:ascii="宋体" w:hAnsi="宋体" w:eastAsia="宋体" w:cs="宋体"/>
          <w:b/>
          <w:color w:val="auto"/>
          <w:szCs w:val="21"/>
          <w:highlight w:val="none"/>
        </w:rPr>
        <w:t>2.评标标准</w:t>
      </w:r>
      <w:bookmarkEnd w:id="33"/>
    </w:p>
    <w:p w14:paraId="4658D007">
      <w:pPr>
        <w:widowControl/>
        <w:topLinePunct/>
        <w:adjustRightInd w:val="0"/>
        <w:snapToGrid w:val="0"/>
        <w:spacing w:before="60" w:after="60"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 本项目</w:t>
      </w:r>
      <w:r>
        <w:rPr>
          <w:rFonts w:hint="eastAsia" w:ascii="宋体" w:hAnsi="宋体" w:eastAsia="宋体" w:cs="宋体"/>
          <w:b/>
          <w:color w:val="auto"/>
          <w:kern w:val="0"/>
          <w:szCs w:val="21"/>
          <w:highlight w:val="none"/>
          <w:u w:val="single"/>
        </w:rPr>
        <w:t>采用</w:t>
      </w:r>
      <w:r>
        <w:rPr>
          <w:rFonts w:hint="eastAsia" w:ascii="宋体" w:hAnsi="宋体" w:eastAsia="宋体" w:cs="宋体"/>
          <w:b/>
          <w:color w:val="auto"/>
          <w:szCs w:val="21"/>
          <w:highlight w:val="none"/>
          <w:u w:val="single"/>
        </w:rPr>
        <w:t>百分制</w:t>
      </w:r>
      <w:r>
        <w:rPr>
          <w:rFonts w:hint="eastAsia" w:ascii="宋体" w:hAnsi="宋体" w:eastAsia="宋体" w:cs="宋体"/>
          <w:b/>
          <w:color w:val="auto"/>
          <w:kern w:val="0"/>
          <w:szCs w:val="21"/>
          <w:highlight w:val="none"/>
          <w:u w:val="single"/>
        </w:rPr>
        <w:t>综合评分法</w:t>
      </w:r>
      <w:r>
        <w:rPr>
          <w:rFonts w:hint="eastAsia" w:ascii="宋体" w:hAnsi="宋体" w:eastAsia="宋体" w:cs="宋体"/>
          <w:color w:val="auto"/>
          <w:kern w:val="0"/>
          <w:szCs w:val="21"/>
          <w:highlight w:val="none"/>
        </w:rPr>
        <w:t>进行评标，综合评分法是指投标文件满足招标文件全部实质性要求，且按照评审因素的量化指标评审得分最高的投标人为中标候选人的评标方法。评审因素主要内容如下表。</w:t>
      </w:r>
    </w:p>
    <w:p w14:paraId="5F61F9B0">
      <w:pPr>
        <w:widowControl/>
        <w:topLinePunct/>
        <w:autoSpaceDE/>
        <w:autoSpaceDN/>
        <w:adjustRightInd w:val="0"/>
        <w:snapToGrid w:val="0"/>
        <w:spacing w:before="60" w:after="6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本项目价格分值为</w:t>
      </w:r>
      <w:r>
        <w:rPr>
          <w:rFonts w:hint="eastAsia" w:ascii="宋体" w:hAnsi="宋体" w:eastAsia="宋体" w:cs="宋体"/>
          <w:color w:val="auto"/>
          <w:szCs w:val="21"/>
          <w:highlight w:val="none"/>
          <w:u w:val="single"/>
          <w:lang w:val="en-US" w:eastAsia="zh-CN"/>
        </w:rPr>
        <w:t>10</w:t>
      </w:r>
      <w:r>
        <w:rPr>
          <w:rFonts w:hint="eastAsia" w:ascii="宋体" w:hAnsi="宋体" w:eastAsia="宋体" w:cs="宋体"/>
          <w:color w:val="auto"/>
          <w:szCs w:val="21"/>
          <w:highlight w:val="none"/>
        </w:rPr>
        <w:t>分，其余评审因素分值为</w:t>
      </w:r>
      <w:r>
        <w:rPr>
          <w:rFonts w:hint="eastAsia" w:ascii="宋体" w:hAnsi="宋体" w:eastAsia="宋体" w:cs="宋体"/>
          <w:color w:val="auto"/>
          <w:szCs w:val="21"/>
          <w:highlight w:val="none"/>
          <w:u w:val="single"/>
          <w:lang w:val="en-US" w:eastAsia="zh-CN"/>
        </w:rPr>
        <w:t>90</w:t>
      </w:r>
      <w:r>
        <w:rPr>
          <w:rFonts w:hint="eastAsia" w:ascii="宋体" w:hAnsi="宋体" w:eastAsia="宋体" w:cs="宋体"/>
          <w:color w:val="auto"/>
          <w:szCs w:val="21"/>
          <w:highlight w:val="none"/>
        </w:rPr>
        <w:t>分，按四舍五入取至百分位。</w:t>
      </w:r>
    </w:p>
    <w:p w14:paraId="30A1F6CD">
      <w:pPr>
        <w:widowControl/>
        <w:topLinePunct/>
        <w:autoSpaceDE/>
        <w:autoSpaceDN/>
        <w:adjustRightInd w:val="0"/>
        <w:snapToGrid w:val="0"/>
        <w:spacing w:before="60" w:after="60" w:line="360" w:lineRule="auto"/>
        <w:ind w:firstLine="422" w:firstLineChars="200"/>
        <w:outlineLvl w:val="1"/>
        <w:rPr>
          <w:rFonts w:hint="eastAsia" w:ascii="宋体" w:hAnsi="宋体" w:eastAsia="宋体" w:cs="宋体"/>
          <w:b/>
          <w:color w:val="auto"/>
          <w:szCs w:val="21"/>
          <w:highlight w:val="none"/>
        </w:rPr>
      </w:pPr>
      <w:bookmarkStart w:id="34" w:name="_Toc27072"/>
      <w:r>
        <w:rPr>
          <w:rFonts w:hint="eastAsia" w:ascii="宋体" w:hAnsi="宋体" w:eastAsia="宋体" w:cs="宋体"/>
          <w:b/>
          <w:color w:val="auto"/>
          <w:szCs w:val="21"/>
          <w:highlight w:val="none"/>
        </w:rPr>
        <w:t>3.评委构成：</w:t>
      </w:r>
      <w:bookmarkEnd w:id="34"/>
    </w:p>
    <w:p w14:paraId="0535180F">
      <w:pPr>
        <w:widowControl/>
        <w:topLinePunct/>
        <w:adjustRightInd w:val="0"/>
        <w:snapToGrid w:val="0"/>
        <w:spacing w:before="60" w:after="6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本项目评标委员会由采购人代表和评审专家组成，成员人数为</w:t>
      </w:r>
      <w:r>
        <w:rPr>
          <w:rFonts w:hint="eastAsia" w:ascii="宋体" w:hAnsi="宋体" w:cs="宋体"/>
          <w:color w:val="auto"/>
          <w:kern w:val="0"/>
          <w:szCs w:val="21"/>
          <w:highlight w:val="none"/>
          <w:lang w:val="en-US" w:eastAsia="zh-CN"/>
        </w:rPr>
        <w:t>7</w:t>
      </w:r>
      <w:r>
        <w:rPr>
          <w:rFonts w:hint="eastAsia" w:ascii="宋体" w:hAnsi="宋体" w:eastAsia="宋体" w:cs="宋体"/>
          <w:color w:val="auto"/>
          <w:szCs w:val="21"/>
          <w:highlight w:val="none"/>
        </w:rPr>
        <w:t>人单数，其中评审专家不得少于成员总数的三分之二。</w:t>
      </w:r>
    </w:p>
    <w:p w14:paraId="08AC059C">
      <w:pPr>
        <w:widowControl/>
        <w:topLinePunct/>
        <w:adjustRightInd w:val="0"/>
        <w:snapToGrid w:val="0"/>
        <w:spacing w:before="60" w:after="60" w:line="360" w:lineRule="auto"/>
        <w:ind w:firstLine="422" w:firstLineChars="200"/>
        <w:outlineLvl w:val="1"/>
        <w:rPr>
          <w:rFonts w:hint="eastAsia"/>
          <w:color w:val="auto"/>
          <w:highlight w:val="none"/>
        </w:rPr>
      </w:pPr>
      <w:bookmarkStart w:id="35" w:name="_Toc24681"/>
      <w:r>
        <w:rPr>
          <w:rFonts w:hint="eastAsia" w:ascii="宋体" w:hAnsi="宋体" w:cs="宋体"/>
          <w:b/>
          <w:color w:val="auto"/>
          <w:szCs w:val="21"/>
          <w:highlight w:val="none"/>
          <w:lang w:val="en-US" w:eastAsia="zh-CN"/>
        </w:rPr>
        <w:t>4.</w:t>
      </w:r>
      <w:r>
        <w:rPr>
          <w:rFonts w:hint="eastAsia" w:ascii="宋体" w:hAnsi="宋体" w:eastAsia="宋体" w:cs="宋体"/>
          <w:b/>
          <w:color w:val="auto"/>
          <w:szCs w:val="21"/>
          <w:highlight w:val="none"/>
        </w:rPr>
        <w:t>评审标准如下表：</w:t>
      </w:r>
      <w:bookmarkEnd w:id="35"/>
    </w:p>
    <w:p w14:paraId="39A5A5FE">
      <w:pPr>
        <w:widowControl/>
        <w:topLinePunct/>
        <w:autoSpaceDE/>
        <w:autoSpaceDN/>
        <w:adjustRightInd w:val="0"/>
        <w:snapToGrid w:val="0"/>
        <w:spacing w:before="60" w:after="6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本办法所称的“以上”“以下”“内”“以内”，包括本数；所称的“不足”，不包括本数。</w:t>
      </w:r>
    </w:p>
    <w:tbl>
      <w:tblPr>
        <w:tblStyle w:val="23"/>
        <w:tblW w:w="9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968"/>
        <w:gridCol w:w="724"/>
        <w:gridCol w:w="6471"/>
        <w:gridCol w:w="664"/>
      </w:tblGrid>
      <w:tr w14:paraId="233B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blHeader/>
          <w:jc w:val="center"/>
        </w:trPr>
        <w:tc>
          <w:tcPr>
            <w:tcW w:w="536" w:type="dxa"/>
            <w:noWrap w:val="0"/>
            <w:vAlign w:val="center"/>
          </w:tcPr>
          <w:p w14:paraId="55FDD139">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105" w:leftChars="-50" w:right="-105" w:rightChars="-5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968" w:type="dxa"/>
            <w:noWrap w:val="0"/>
            <w:vAlign w:val="center"/>
          </w:tcPr>
          <w:p w14:paraId="7B019FA1">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105" w:leftChars="-50" w:right="-105" w:rightChars="-5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评分项目</w:t>
            </w:r>
          </w:p>
        </w:tc>
        <w:tc>
          <w:tcPr>
            <w:tcW w:w="7195" w:type="dxa"/>
            <w:gridSpan w:val="2"/>
            <w:noWrap w:val="0"/>
            <w:vAlign w:val="center"/>
          </w:tcPr>
          <w:p w14:paraId="336995E0">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bCs/>
                <w:snapToGrid w:val="0"/>
                <w:color w:val="auto"/>
                <w:kern w:val="0"/>
                <w:sz w:val="21"/>
                <w:szCs w:val="21"/>
                <w:highlight w:val="none"/>
              </w:rPr>
              <w:t>评分细则</w:t>
            </w:r>
          </w:p>
        </w:tc>
        <w:tc>
          <w:tcPr>
            <w:tcW w:w="664" w:type="dxa"/>
            <w:noWrap w:val="0"/>
            <w:vAlign w:val="center"/>
          </w:tcPr>
          <w:p w14:paraId="3C4DFBDE">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r>
      <w:tr w14:paraId="1979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536" w:type="dxa"/>
            <w:noWrap w:val="0"/>
            <w:vAlign w:val="center"/>
          </w:tcPr>
          <w:p w14:paraId="1F86F378">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968" w:type="dxa"/>
            <w:noWrap w:val="0"/>
            <w:vAlign w:val="center"/>
          </w:tcPr>
          <w:p w14:paraId="4EE332C3">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价格分（</w:t>
            </w:r>
            <w:r>
              <w:rPr>
                <w:rFonts w:hint="eastAsia" w:ascii="宋体" w:hAnsi="宋体" w:eastAsia="宋体" w:cs="宋体"/>
                <w:bCs/>
                <w:color w:val="auto"/>
                <w:sz w:val="21"/>
                <w:szCs w:val="21"/>
                <w:highlight w:val="none"/>
                <w:lang w:val="en-US" w:eastAsia="zh-CN"/>
              </w:rPr>
              <w:t>10</w:t>
            </w:r>
            <w:r>
              <w:rPr>
                <w:rFonts w:hint="eastAsia" w:ascii="宋体" w:hAnsi="宋体" w:eastAsia="宋体" w:cs="宋体"/>
                <w:bCs/>
                <w:color w:val="auto"/>
                <w:sz w:val="21"/>
                <w:szCs w:val="21"/>
                <w:highlight w:val="none"/>
              </w:rPr>
              <w:t>分）</w:t>
            </w:r>
          </w:p>
        </w:tc>
        <w:tc>
          <w:tcPr>
            <w:tcW w:w="7195" w:type="dxa"/>
            <w:gridSpan w:val="2"/>
            <w:noWrap w:val="0"/>
            <w:vAlign w:val="center"/>
          </w:tcPr>
          <w:p w14:paraId="18F52488">
            <w:pPr>
              <w:pStyle w:val="35"/>
              <w:keepNext w:val="0"/>
              <w:keepLines w:val="0"/>
              <w:pageBreakBefore w:val="0"/>
              <w:widowControl/>
              <w:numPr>
                <w:ilvl w:val="0"/>
                <w:numId w:val="0"/>
              </w:numPr>
              <w:suppressLineNumbers w:val="0"/>
              <w:kinsoku/>
              <w:wordWrap/>
              <w:overflowPunct/>
              <w:topLinePunct/>
              <w:autoSpaceDE/>
              <w:autoSpaceDN/>
              <w:bidi w:val="0"/>
              <w:snapToGrid w:val="0"/>
              <w:spacing w:before="60" w:beforeAutospacing="0" w:after="60" w:afterAutospacing="0" w:line="312" w:lineRule="auto"/>
              <w:ind w:left="0" w:leftChars="0" w:right="0"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投标报价得分=评标基准价／投标报价×满分值</w:t>
            </w:r>
          </w:p>
          <w:p w14:paraId="483AB9F1">
            <w:pPr>
              <w:pStyle w:val="35"/>
              <w:keepNext w:val="0"/>
              <w:keepLines w:val="0"/>
              <w:pageBreakBefore w:val="0"/>
              <w:widowControl/>
              <w:numPr>
                <w:ilvl w:val="0"/>
                <w:numId w:val="0"/>
              </w:numPr>
              <w:suppressLineNumbers w:val="0"/>
              <w:kinsoku/>
              <w:wordWrap/>
              <w:overflowPunct/>
              <w:topLinePunct/>
              <w:autoSpaceDE/>
              <w:autoSpaceDN/>
              <w:bidi w:val="0"/>
              <w:snapToGrid w:val="0"/>
              <w:spacing w:before="60" w:beforeAutospacing="0" w:after="60" w:afterAutospacing="0" w:line="312" w:lineRule="auto"/>
              <w:ind w:left="0" w:leftChars="0" w:right="0"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（1）评标基准价是指满足招标文件要求且投标价格最低的投标报价。</w:t>
            </w:r>
          </w:p>
          <w:p w14:paraId="4BE41371">
            <w:pPr>
              <w:pStyle w:val="35"/>
              <w:keepNext w:val="0"/>
              <w:keepLines w:val="0"/>
              <w:pageBreakBefore w:val="0"/>
              <w:widowControl/>
              <w:numPr>
                <w:ilvl w:val="0"/>
                <w:numId w:val="0"/>
              </w:numPr>
              <w:suppressLineNumbers w:val="0"/>
              <w:kinsoku/>
              <w:wordWrap/>
              <w:overflowPunct/>
              <w:topLinePunct/>
              <w:autoSpaceDE/>
              <w:autoSpaceDN/>
              <w:bidi w:val="0"/>
              <w:snapToGrid w:val="0"/>
              <w:spacing w:before="60" w:beforeAutospacing="0" w:after="60" w:afterAutospacing="0" w:line="312" w:lineRule="auto"/>
              <w:ind w:left="0" w:leftChars="0" w:right="0"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（2）因落实政府采购政策进行价格调整的，以调整后的价格计算评标基准价和投标报价。</w:t>
            </w:r>
          </w:p>
          <w:p w14:paraId="5204BE01">
            <w:pPr>
              <w:pStyle w:val="35"/>
              <w:keepNext w:val="0"/>
              <w:keepLines w:val="0"/>
              <w:pageBreakBefore w:val="0"/>
              <w:widowControl/>
              <w:numPr>
                <w:ilvl w:val="0"/>
                <w:numId w:val="0"/>
              </w:numPr>
              <w:suppressLineNumbers w:val="0"/>
              <w:kinsoku/>
              <w:wordWrap/>
              <w:overflowPunct/>
              <w:topLinePunct/>
              <w:autoSpaceDE/>
              <w:autoSpaceDN/>
              <w:bidi w:val="0"/>
              <w:snapToGrid w:val="0"/>
              <w:spacing w:before="60" w:beforeAutospacing="0" w:after="60" w:afterAutospacing="0" w:line="312" w:lineRule="auto"/>
              <w:ind w:left="0" w:leftChars="0" w:right="0"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（3）调整后的价格只是作为评标时使用，最终中标人的中标金额＝投标报价。</w:t>
            </w:r>
          </w:p>
        </w:tc>
        <w:tc>
          <w:tcPr>
            <w:tcW w:w="664" w:type="dxa"/>
            <w:noWrap w:val="0"/>
            <w:vAlign w:val="center"/>
          </w:tcPr>
          <w:p w14:paraId="3F4EF772">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p>
        </w:tc>
      </w:tr>
      <w:tr w14:paraId="2618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536" w:type="dxa"/>
            <w:vMerge w:val="restart"/>
            <w:noWrap w:val="0"/>
            <w:vAlign w:val="center"/>
          </w:tcPr>
          <w:p w14:paraId="296AD33E">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968" w:type="dxa"/>
            <w:vMerge w:val="restart"/>
            <w:noWrap w:val="0"/>
            <w:vAlign w:val="center"/>
          </w:tcPr>
          <w:p w14:paraId="60E9DED6">
            <w:pPr>
              <w:keepNext w:val="0"/>
              <w:keepLines w:val="0"/>
              <w:pageBreakBefore w:val="0"/>
              <w:widowControl/>
              <w:suppressLineNumbers w:val="0"/>
              <w:shd w:val="clear" w:color="auto" w:fill="auto"/>
              <w:kinsoku/>
              <w:wordWrap/>
              <w:overflowPunct/>
              <w:topLinePunct/>
              <w:autoSpaceDE/>
              <w:autoSpaceDN/>
              <w:bidi w:val="0"/>
              <w:adjustRightInd w:val="0"/>
              <w:snapToGrid w:val="0"/>
              <w:spacing w:before="60" w:beforeAutospacing="0" w:after="60" w:afterAutospacing="0" w:line="312" w:lineRule="auto"/>
              <w:ind w:left="0" w:right="0"/>
              <w:jc w:val="center"/>
              <w:textAlignment w:val="baseline"/>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商务</w:t>
            </w:r>
          </w:p>
          <w:p w14:paraId="6A8B6201">
            <w:pPr>
              <w:keepNext w:val="0"/>
              <w:keepLines w:val="0"/>
              <w:pageBreakBefore w:val="0"/>
              <w:widowControl/>
              <w:suppressLineNumbers w:val="0"/>
              <w:shd w:val="clear" w:color="auto" w:fill="auto"/>
              <w:kinsoku/>
              <w:wordWrap/>
              <w:overflowPunct/>
              <w:topLinePunct/>
              <w:autoSpaceDE/>
              <w:autoSpaceDN/>
              <w:bidi w:val="0"/>
              <w:adjustRightInd w:val="0"/>
              <w:snapToGrid w:val="0"/>
              <w:spacing w:before="60" w:beforeAutospacing="0" w:after="60" w:afterAutospacing="0" w:line="312" w:lineRule="auto"/>
              <w:ind w:left="0" w:right="0"/>
              <w:jc w:val="center"/>
              <w:textAlignment w:val="baseline"/>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因素</w:t>
            </w:r>
          </w:p>
          <w:p w14:paraId="744A2306">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b w:val="0"/>
                <w:color w:val="auto"/>
                <w:kern w:val="2"/>
                <w:sz w:val="21"/>
                <w:szCs w:val="21"/>
                <w:highlight w:val="none"/>
                <w:lang w:val="zh-CN" w:eastAsia="zh-CN" w:bidi="ar-SA"/>
              </w:rPr>
              <w:t>（</w:t>
            </w:r>
            <w:r>
              <w:rPr>
                <w:rFonts w:hint="eastAsia" w:ascii="宋体" w:hAnsi="宋体" w:eastAsia="宋体" w:cs="宋体"/>
                <w:b w:val="0"/>
                <w:color w:val="auto"/>
                <w:kern w:val="2"/>
                <w:sz w:val="21"/>
                <w:szCs w:val="21"/>
                <w:highlight w:val="none"/>
                <w:lang w:val="en-US" w:eastAsia="zh-CN" w:bidi="ar-SA"/>
              </w:rPr>
              <w:t>60</w:t>
            </w:r>
            <w:r>
              <w:rPr>
                <w:rFonts w:hint="eastAsia" w:ascii="宋体" w:hAnsi="宋体" w:eastAsia="宋体" w:cs="宋体"/>
                <w:b w:val="0"/>
                <w:color w:val="auto"/>
                <w:kern w:val="2"/>
                <w:sz w:val="21"/>
                <w:szCs w:val="21"/>
                <w:highlight w:val="none"/>
                <w:lang w:val="zh-CN" w:eastAsia="zh-CN" w:bidi="ar-SA"/>
              </w:rPr>
              <w:t>分）</w:t>
            </w:r>
          </w:p>
        </w:tc>
        <w:tc>
          <w:tcPr>
            <w:tcW w:w="724" w:type="dxa"/>
            <w:noWrap w:val="0"/>
            <w:vAlign w:val="center"/>
          </w:tcPr>
          <w:p w14:paraId="4A09EAF7">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leftChars="0" w:right="0" w:right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相关证书</w:t>
            </w:r>
          </w:p>
        </w:tc>
        <w:tc>
          <w:tcPr>
            <w:tcW w:w="6471" w:type="dxa"/>
            <w:noWrap w:val="0"/>
            <w:vAlign w:val="center"/>
          </w:tcPr>
          <w:p w14:paraId="1464560E">
            <w:pPr>
              <w:keepNext w:val="0"/>
              <w:keepLines w:val="0"/>
              <w:pageBreakBefore w:val="0"/>
              <w:widowControl/>
              <w:suppressLineNumbers w:val="0"/>
              <w:kinsoku/>
              <w:wordWrap/>
              <w:overflowPunct/>
              <w:topLinePunct/>
              <w:autoSpaceDE/>
              <w:autoSpaceDN/>
              <w:bidi w:val="0"/>
              <w:snapToGrid w:val="0"/>
              <w:spacing w:before="60" w:beforeAutospacing="0" w:after="60" w:afterAutospacing="0" w:line="312" w:lineRule="auto"/>
              <w:ind w:left="0" w:right="0" w:firstLine="420" w:firstLineChars="20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bCs/>
                <w:color w:val="auto"/>
                <w:kern w:val="2"/>
                <w:sz w:val="21"/>
                <w:szCs w:val="21"/>
                <w:highlight w:val="none"/>
                <w:lang w:val="en-US" w:eastAsia="zh-CN"/>
              </w:rPr>
              <w:t>投标人</w:t>
            </w:r>
            <w:r>
              <w:rPr>
                <w:rFonts w:hint="eastAsia" w:ascii="宋体" w:hAnsi="宋体" w:eastAsia="宋体" w:cs="宋体"/>
                <w:color w:val="auto"/>
                <w:kern w:val="0"/>
                <w:sz w:val="21"/>
                <w:szCs w:val="21"/>
                <w:highlight w:val="none"/>
                <w:lang w:val="en-US" w:eastAsia="zh-CN"/>
              </w:rPr>
              <w:t>具有有效期内的质量管理体系认证（GB/T19001/ISO9001）、信息技术服务管理体系认证（ISO</w:t>
            </w:r>
            <w:r>
              <w:rPr>
                <w:rFonts w:hint="eastAsia" w:ascii="宋体" w:hAnsi="宋体" w:eastAsia="宋体" w:cs="宋体"/>
                <w:b w:val="0"/>
                <w:bCs w:val="0"/>
                <w:i w:val="0"/>
                <w:iCs w:val="0"/>
                <w:smallCaps w:val="0"/>
                <w:color w:val="auto"/>
                <w:sz w:val="21"/>
                <w:szCs w:val="21"/>
                <w:highlight w:val="none"/>
              </w:rPr>
              <w:t>/IEC</w:t>
            </w:r>
            <w:r>
              <w:rPr>
                <w:rFonts w:hint="eastAsia" w:ascii="宋体" w:hAnsi="宋体" w:eastAsia="宋体" w:cs="宋体"/>
                <w:color w:val="auto"/>
                <w:kern w:val="0"/>
                <w:sz w:val="21"/>
                <w:szCs w:val="21"/>
                <w:highlight w:val="none"/>
                <w:lang w:val="en-US" w:eastAsia="zh-CN"/>
              </w:rPr>
              <w:t>20000）的，每个证书得2分，满分4分。</w:t>
            </w:r>
          </w:p>
          <w:p w14:paraId="4810CF57">
            <w:pPr>
              <w:pStyle w:val="12"/>
              <w:keepNext w:val="0"/>
              <w:keepLines w:val="0"/>
              <w:pageBreakBefore w:val="0"/>
              <w:widowControl/>
              <w:numPr>
                <w:ilvl w:val="0"/>
                <w:numId w:val="0"/>
              </w:numPr>
              <w:suppressLineNumbers w:val="0"/>
              <w:kinsoku/>
              <w:wordWrap/>
              <w:overflowPunct/>
              <w:topLinePunct/>
              <w:autoSpaceDE/>
              <w:autoSpaceDN/>
              <w:bidi w:val="0"/>
              <w:snapToGrid w:val="0"/>
              <w:spacing w:before="60" w:after="60" w:line="312" w:lineRule="auto"/>
              <w:ind w:left="0" w:leftChars="0" w:right="0" w:rightChars="0"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注：投标人</w:t>
            </w:r>
            <w:r>
              <w:rPr>
                <w:rFonts w:hint="eastAsia" w:ascii="宋体" w:hAnsi="宋体" w:eastAsia="宋体" w:cs="宋体"/>
                <w:b w:val="0"/>
                <w:bCs w:val="0"/>
                <w:color w:val="auto"/>
                <w:sz w:val="21"/>
                <w:szCs w:val="21"/>
                <w:highlight w:val="none"/>
              </w:rPr>
              <w:t>需提供</w:t>
            </w:r>
            <w:r>
              <w:rPr>
                <w:rFonts w:hint="eastAsia" w:ascii="宋体" w:hAnsi="宋体" w:eastAsia="宋体" w:cs="宋体"/>
                <w:b w:val="0"/>
                <w:bCs w:val="0"/>
                <w:color w:val="auto"/>
                <w:sz w:val="21"/>
                <w:szCs w:val="21"/>
                <w:highlight w:val="none"/>
                <w:lang w:eastAsia="zh-CN"/>
              </w:rPr>
              <w:t>真实</w:t>
            </w:r>
            <w:r>
              <w:rPr>
                <w:rFonts w:hint="eastAsia" w:ascii="宋体" w:hAnsi="宋体" w:eastAsia="宋体" w:cs="宋体"/>
                <w:b w:val="0"/>
                <w:bCs w:val="0"/>
                <w:color w:val="auto"/>
                <w:sz w:val="21"/>
                <w:szCs w:val="21"/>
                <w:highlight w:val="none"/>
              </w:rPr>
              <w:t>有效</w:t>
            </w:r>
            <w:r>
              <w:rPr>
                <w:rFonts w:hint="eastAsia" w:ascii="宋体" w:hAnsi="宋体" w:eastAsia="宋体" w:cs="宋体"/>
                <w:b w:val="0"/>
                <w:bCs w:val="0"/>
                <w:color w:val="auto"/>
                <w:sz w:val="21"/>
                <w:szCs w:val="21"/>
                <w:highlight w:val="none"/>
                <w:lang w:eastAsia="zh-CN"/>
              </w:rPr>
              <w:t>的</w:t>
            </w:r>
            <w:r>
              <w:rPr>
                <w:rFonts w:hint="eastAsia" w:ascii="宋体" w:hAnsi="宋体" w:eastAsia="宋体" w:cs="宋体"/>
                <w:b w:val="0"/>
                <w:bCs w:val="0"/>
                <w:color w:val="auto"/>
                <w:sz w:val="21"/>
                <w:szCs w:val="21"/>
                <w:highlight w:val="none"/>
              </w:rPr>
              <w:t>认证证书复印件。</w:t>
            </w:r>
          </w:p>
        </w:tc>
        <w:tc>
          <w:tcPr>
            <w:tcW w:w="664" w:type="dxa"/>
            <w:noWrap w:val="0"/>
            <w:vAlign w:val="center"/>
          </w:tcPr>
          <w:p w14:paraId="4F6484B0">
            <w:pPr>
              <w:keepNext w:val="0"/>
              <w:keepLines w:val="0"/>
              <w:pageBreakBefore w:val="0"/>
              <w:widowControl/>
              <w:suppressLineNumbers w:val="0"/>
              <w:kinsoku/>
              <w:wordWrap/>
              <w:overflowPunct/>
              <w:topLinePunct/>
              <w:autoSpaceDE/>
              <w:autoSpaceDN/>
              <w:bidi w:val="0"/>
              <w:snapToGrid w:val="0"/>
              <w:spacing w:before="60" w:after="6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r>
      <w:tr w14:paraId="2850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noWrap w:val="0"/>
            <w:vAlign w:val="center"/>
          </w:tcPr>
          <w:p w14:paraId="22DD76EE">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Cs/>
                <w:color w:val="auto"/>
                <w:sz w:val="21"/>
                <w:szCs w:val="21"/>
                <w:highlight w:val="none"/>
              </w:rPr>
            </w:pPr>
          </w:p>
        </w:tc>
        <w:tc>
          <w:tcPr>
            <w:tcW w:w="968" w:type="dxa"/>
            <w:vMerge w:val="continue"/>
            <w:noWrap w:val="0"/>
            <w:vAlign w:val="center"/>
          </w:tcPr>
          <w:p w14:paraId="4D8FC24B">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leftChars="0" w:right="0" w:rightChars="0"/>
              <w:jc w:val="center"/>
              <w:rPr>
                <w:rFonts w:hint="eastAsia" w:ascii="宋体" w:hAnsi="宋体" w:eastAsia="宋体" w:cs="宋体"/>
                <w:color w:val="auto"/>
                <w:sz w:val="21"/>
                <w:szCs w:val="21"/>
                <w:highlight w:val="none"/>
              </w:rPr>
            </w:pPr>
          </w:p>
        </w:tc>
        <w:tc>
          <w:tcPr>
            <w:tcW w:w="724" w:type="dxa"/>
            <w:noWrap w:val="0"/>
            <w:vAlign w:val="center"/>
          </w:tcPr>
          <w:p w14:paraId="5139E8C1">
            <w:pPr>
              <w:keepNext w:val="0"/>
              <w:keepLines w:val="0"/>
              <w:pageBreakBefore w:val="0"/>
              <w:widowControl/>
              <w:suppressLineNumbers w:val="0"/>
              <w:kinsoku/>
              <w:wordWrap/>
              <w:overflowPunct/>
              <w:topLinePunct/>
              <w:autoSpaceDE/>
              <w:autoSpaceDN/>
              <w:bidi w:val="0"/>
              <w:snapToGrid w:val="0"/>
              <w:spacing w:before="60" w:beforeAutospacing="0" w:after="60" w:afterAutospacing="0" w:line="312" w:lineRule="auto"/>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bidi="ar"/>
              </w:rPr>
              <w:t>成功案例</w:t>
            </w:r>
          </w:p>
        </w:tc>
        <w:tc>
          <w:tcPr>
            <w:tcW w:w="6471" w:type="dxa"/>
            <w:noWrap w:val="0"/>
            <w:vAlign w:val="center"/>
          </w:tcPr>
          <w:p w14:paraId="0ECD23E2">
            <w:pPr>
              <w:keepNext w:val="0"/>
              <w:keepLines w:val="0"/>
              <w:pageBreakBefore w:val="0"/>
              <w:widowControl/>
              <w:suppressLineNumbers w:val="0"/>
              <w:kinsoku/>
              <w:wordWrap/>
              <w:overflowPunct/>
              <w:topLinePunct/>
              <w:autoSpaceDE/>
              <w:autoSpaceDN/>
              <w:bidi w:val="0"/>
              <w:snapToGrid w:val="0"/>
              <w:spacing w:before="60" w:beforeAutospacing="0" w:after="60" w:afterAutospacing="0" w:line="312" w:lineRule="auto"/>
              <w:ind w:left="0" w:right="0" w:firstLine="420" w:firstLineChars="200"/>
              <w:jc w:val="both"/>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投标人2023年9月1日至投标文件提交截止时间止，具有类似项目业绩，每个有效业绩得2分，本项满分10分。</w:t>
            </w:r>
          </w:p>
          <w:p w14:paraId="19E21E57">
            <w:pPr>
              <w:keepNext w:val="0"/>
              <w:keepLines w:val="0"/>
              <w:pageBreakBefore w:val="0"/>
              <w:widowControl/>
              <w:suppressLineNumbers w:val="0"/>
              <w:kinsoku/>
              <w:wordWrap/>
              <w:overflowPunct/>
              <w:topLinePunct/>
              <w:autoSpaceDE/>
              <w:autoSpaceDN/>
              <w:bidi w:val="0"/>
              <w:snapToGrid w:val="0"/>
              <w:spacing w:before="60" w:beforeAutospacing="0" w:after="60" w:afterAutospacing="0" w:line="312" w:lineRule="auto"/>
              <w:ind w:left="0" w:leftChars="0" w:right="0" w:rightChars="0" w:firstLine="422"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注：类似项目是指信息系统运维类项目。</w:t>
            </w:r>
            <w:r>
              <w:rPr>
                <w:rFonts w:hint="eastAsia" w:ascii="宋体" w:hAnsi="宋体" w:eastAsia="宋体" w:cs="宋体"/>
                <w:b/>
                <w:bCs/>
                <w:color w:val="auto"/>
                <w:kern w:val="0"/>
                <w:sz w:val="21"/>
                <w:szCs w:val="21"/>
                <w:highlight w:val="none"/>
                <w:lang w:bidi="ar"/>
              </w:rPr>
              <w:t>应提供合同复印件并加盖单位公章。合同复印件应能清晰体现合同甲乙双方、合同时间、合同总金额、合同主要内容等，内容不全或无法辨识的不予计分。同一项目多份合同不重复计分。</w:t>
            </w:r>
          </w:p>
        </w:tc>
        <w:tc>
          <w:tcPr>
            <w:tcW w:w="664" w:type="dxa"/>
            <w:noWrap w:val="0"/>
            <w:vAlign w:val="center"/>
          </w:tcPr>
          <w:p w14:paraId="4CF40069">
            <w:pPr>
              <w:keepNext w:val="0"/>
              <w:keepLines w:val="0"/>
              <w:pageBreakBefore w:val="0"/>
              <w:widowControl/>
              <w:suppressLineNumbers w:val="0"/>
              <w:kinsoku/>
              <w:wordWrap/>
              <w:overflowPunct/>
              <w:topLinePunct/>
              <w:autoSpaceDE/>
              <w:autoSpaceDN/>
              <w:bidi w:val="0"/>
              <w:snapToGrid w:val="0"/>
              <w:spacing w:before="60" w:after="60" w:line="312" w:lineRule="auto"/>
              <w:ind w:left="0" w:right="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p>
        </w:tc>
      </w:tr>
      <w:tr w14:paraId="30B50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noWrap w:val="0"/>
            <w:vAlign w:val="center"/>
          </w:tcPr>
          <w:p w14:paraId="6B1C7802">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Cs/>
                <w:color w:val="auto"/>
                <w:sz w:val="21"/>
                <w:szCs w:val="21"/>
                <w:highlight w:val="none"/>
              </w:rPr>
            </w:pPr>
          </w:p>
        </w:tc>
        <w:tc>
          <w:tcPr>
            <w:tcW w:w="968" w:type="dxa"/>
            <w:vMerge w:val="continue"/>
            <w:noWrap w:val="0"/>
            <w:vAlign w:val="center"/>
          </w:tcPr>
          <w:p w14:paraId="1D3AF060">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leftChars="0" w:right="0" w:rightChars="0"/>
              <w:jc w:val="center"/>
              <w:rPr>
                <w:rFonts w:hint="eastAsia" w:ascii="宋体" w:hAnsi="宋体" w:eastAsia="宋体" w:cs="宋体"/>
                <w:color w:val="auto"/>
                <w:sz w:val="21"/>
                <w:szCs w:val="21"/>
                <w:highlight w:val="none"/>
              </w:rPr>
            </w:pPr>
          </w:p>
        </w:tc>
        <w:tc>
          <w:tcPr>
            <w:tcW w:w="724" w:type="dxa"/>
            <w:noWrap w:val="0"/>
            <w:vAlign w:val="center"/>
          </w:tcPr>
          <w:p w14:paraId="1E753DA7">
            <w:pPr>
              <w:keepNext w:val="0"/>
              <w:keepLines w:val="0"/>
              <w:pageBreakBefore w:val="0"/>
              <w:widowControl/>
              <w:kinsoku/>
              <w:wordWrap/>
              <w:overflowPunct/>
              <w:topLinePunct/>
              <w:autoSpaceDE/>
              <w:autoSpaceDN/>
              <w:bidi w:val="0"/>
              <w:snapToGrid w:val="0"/>
              <w:spacing w:before="60" w:after="60" w:line="312" w:lineRule="auto"/>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技术力量</w:t>
            </w:r>
          </w:p>
        </w:tc>
        <w:tc>
          <w:tcPr>
            <w:tcW w:w="6471" w:type="dxa"/>
            <w:noWrap w:val="0"/>
            <w:vAlign w:val="top"/>
          </w:tcPr>
          <w:p w14:paraId="3C52A23E">
            <w:pPr>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拟投入本项目的服务团队人员，持有计算机技术与软件专业技术资格中级以上证书（包括：软件设计师、网络工程师、系统集成项目管理工程师、信息安全工程师、数据库系统工程师、信息系统管理工程师、信息技术支持工程师、信息系统项目管理师、系统分析师、系统架构设计师、网络规划设计师、系统规划与管理师等）的，每人得2分，满分20分。</w:t>
            </w:r>
          </w:p>
          <w:p w14:paraId="536FF31F">
            <w:pPr>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2.投标人拟投入本项目的服务团队人员，具有信息化项目运维工作经历2年以上不足4年的，每人得2分；4年以上的，每人得3分，满分26分。</w:t>
            </w:r>
          </w:p>
          <w:p w14:paraId="2CCB2208">
            <w:pPr>
              <w:pStyle w:val="10"/>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b/>
                <w:bCs/>
                <w:color w:val="auto"/>
                <w:kern w:val="0"/>
                <w:sz w:val="21"/>
                <w:szCs w:val="21"/>
                <w:highlight w:val="none"/>
                <w:lang w:bidi="ar"/>
              </w:rPr>
            </w:pPr>
            <w:r>
              <w:rPr>
                <w:rFonts w:hint="eastAsia" w:ascii="宋体" w:hAnsi="宋体" w:eastAsia="宋体" w:cs="宋体"/>
                <w:color w:val="auto"/>
                <w:sz w:val="21"/>
                <w:szCs w:val="21"/>
                <w:highlight w:val="none"/>
              </w:rPr>
              <w:t>注：</w:t>
            </w:r>
            <w:r>
              <w:rPr>
                <w:rFonts w:hint="eastAsia" w:ascii="宋体" w:hAnsi="宋体" w:eastAsia="宋体" w:cs="宋体"/>
                <w:b/>
                <w:bCs/>
                <w:color w:val="auto"/>
                <w:sz w:val="21"/>
                <w:szCs w:val="21"/>
                <w:highlight w:val="none"/>
                <w:lang w:eastAsia="zh-CN"/>
              </w:rPr>
              <w:t>上述人员</w:t>
            </w:r>
            <w:r>
              <w:rPr>
                <w:rFonts w:hint="eastAsia" w:ascii="宋体" w:hAnsi="宋体" w:eastAsia="宋体" w:cs="宋体"/>
                <w:b/>
                <w:bCs/>
                <w:color w:val="auto"/>
                <w:sz w:val="21"/>
                <w:szCs w:val="21"/>
                <w:highlight w:val="none"/>
              </w:rPr>
              <w:t>一人多证不重复计分，且以最高级别计分，多个人具有同一种证书可同时计分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投标人需提供拟投入人员清单及投入人员的相关资格证书复印件、工作年限、工作经验履历，以及拟投入人员与投标人签署的劳动合同（截止本项目开标当天合同仍在有效期内）复印件。</w:t>
            </w:r>
          </w:p>
        </w:tc>
        <w:tc>
          <w:tcPr>
            <w:tcW w:w="664" w:type="dxa"/>
            <w:noWrap w:val="0"/>
            <w:vAlign w:val="center"/>
          </w:tcPr>
          <w:p w14:paraId="7B76260C">
            <w:pPr>
              <w:keepNext w:val="0"/>
              <w:keepLines w:val="0"/>
              <w:pageBreakBefore w:val="0"/>
              <w:widowControl/>
              <w:kinsoku/>
              <w:wordWrap/>
              <w:overflowPunct/>
              <w:topLinePunct/>
              <w:autoSpaceDE/>
              <w:autoSpaceDN/>
              <w:bidi w:val="0"/>
              <w:snapToGrid w:val="0"/>
              <w:spacing w:before="60" w:after="60" w:line="312"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46</w:t>
            </w:r>
          </w:p>
        </w:tc>
      </w:tr>
      <w:tr w14:paraId="2922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536" w:type="dxa"/>
            <w:vMerge w:val="restart"/>
            <w:noWrap w:val="0"/>
            <w:vAlign w:val="center"/>
          </w:tcPr>
          <w:p w14:paraId="4B0AD051">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968" w:type="dxa"/>
            <w:vMerge w:val="restart"/>
            <w:noWrap w:val="0"/>
            <w:vAlign w:val="center"/>
          </w:tcPr>
          <w:p w14:paraId="0A16C3CB">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w:t>
            </w:r>
          </w:p>
          <w:p w14:paraId="737A1BA6">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因素</w:t>
            </w:r>
          </w:p>
          <w:p w14:paraId="1DAC7A86">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leftChars="0" w:right="0" w:rightChars="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30分</w:t>
            </w:r>
            <w:r>
              <w:rPr>
                <w:rFonts w:hint="eastAsia" w:ascii="宋体" w:hAnsi="宋体" w:eastAsia="宋体" w:cs="宋体"/>
                <w:color w:val="auto"/>
                <w:sz w:val="21"/>
                <w:szCs w:val="21"/>
                <w:highlight w:val="none"/>
              </w:rPr>
              <w:t>）</w:t>
            </w:r>
          </w:p>
        </w:tc>
        <w:tc>
          <w:tcPr>
            <w:tcW w:w="724" w:type="dxa"/>
            <w:noWrap w:val="0"/>
            <w:vAlign w:val="center"/>
          </w:tcPr>
          <w:p w14:paraId="67315490">
            <w:pPr>
              <w:keepNext w:val="0"/>
              <w:keepLines w:val="0"/>
              <w:pageBreakBefore w:val="0"/>
              <w:widowControl/>
              <w:kinsoku/>
              <w:wordWrap/>
              <w:overflowPunct/>
              <w:topLinePunct/>
              <w:autoSpaceDE/>
              <w:autoSpaceDN/>
              <w:bidi w:val="0"/>
              <w:adjustRightInd/>
              <w:snapToGrid w:val="0"/>
              <w:spacing w:before="60" w:after="60" w:line="312"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sz w:val="21"/>
                <w:szCs w:val="21"/>
                <w:highlight w:val="none"/>
              </w:rPr>
              <w:t>项目需求理解</w:t>
            </w:r>
          </w:p>
        </w:tc>
        <w:tc>
          <w:tcPr>
            <w:tcW w:w="6471" w:type="dxa"/>
            <w:noWrap w:val="0"/>
            <w:vAlign w:val="center"/>
          </w:tcPr>
          <w:p w14:paraId="2A1BED4D">
            <w:pPr>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由评标委员会根据投标人提供的</w:t>
            </w:r>
            <w:r>
              <w:rPr>
                <w:rFonts w:hint="eastAsia" w:ascii="宋体" w:hAnsi="宋体" w:eastAsia="宋体" w:cs="宋体"/>
                <w:color w:val="auto"/>
                <w:sz w:val="21"/>
                <w:szCs w:val="21"/>
                <w:highlight w:val="none"/>
                <w:lang w:eastAsia="zh-CN"/>
              </w:rPr>
              <w:t>关于</w:t>
            </w:r>
            <w:r>
              <w:rPr>
                <w:rFonts w:hint="eastAsia" w:ascii="宋体" w:hAnsi="宋体" w:eastAsia="宋体" w:cs="宋体"/>
                <w:color w:val="auto"/>
                <w:sz w:val="21"/>
                <w:szCs w:val="21"/>
                <w:highlight w:val="none"/>
              </w:rPr>
              <w:t>工作目标、工作内容及边界、</w:t>
            </w:r>
            <w:r>
              <w:rPr>
                <w:rFonts w:hint="eastAsia" w:ascii="宋体" w:hAnsi="宋体" w:eastAsia="宋体" w:cs="宋体"/>
                <w:color w:val="auto"/>
                <w:sz w:val="21"/>
                <w:szCs w:val="21"/>
                <w:highlight w:val="none"/>
                <w:lang w:eastAsia="zh-CN"/>
              </w:rPr>
              <w:t>业务系统</w:t>
            </w:r>
            <w:r>
              <w:rPr>
                <w:rFonts w:hint="eastAsia" w:ascii="宋体" w:hAnsi="宋体" w:eastAsia="宋体" w:cs="宋体"/>
                <w:color w:val="auto"/>
                <w:sz w:val="21"/>
                <w:szCs w:val="21"/>
                <w:highlight w:val="none"/>
              </w:rPr>
              <w:t>的基本情况及理解、项目实施的重点及难点等</w:t>
            </w:r>
            <w:r>
              <w:rPr>
                <w:rFonts w:hint="eastAsia" w:ascii="宋体" w:hAnsi="宋体" w:eastAsia="宋体" w:cs="宋体"/>
                <w:color w:val="auto"/>
                <w:sz w:val="21"/>
                <w:szCs w:val="21"/>
                <w:highlight w:val="none"/>
                <w:lang w:eastAsia="zh-CN"/>
              </w:rPr>
              <w:t>项目需求理解内容</w:t>
            </w:r>
            <w:r>
              <w:rPr>
                <w:rFonts w:hint="eastAsia" w:ascii="宋体" w:hAnsi="宋体" w:eastAsia="宋体" w:cs="宋体"/>
                <w:color w:val="auto"/>
                <w:sz w:val="21"/>
                <w:szCs w:val="21"/>
                <w:highlight w:val="none"/>
              </w:rPr>
              <w:t>进行</w:t>
            </w:r>
            <w:r>
              <w:rPr>
                <w:rFonts w:hint="eastAsia" w:ascii="宋体" w:hAnsi="宋体" w:eastAsia="宋体" w:cs="宋体"/>
                <w:color w:val="auto"/>
                <w:sz w:val="21"/>
                <w:szCs w:val="21"/>
                <w:highlight w:val="none"/>
                <w:lang w:eastAsia="zh-CN"/>
              </w:rPr>
              <w:t>综合</w:t>
            </w:r>
            <w:r>
              <w:rPr>
                <w:rFonts w:hint="eastAsia" w:ascii="宋体" w:hAnsi="宋体" w:eastAsia="宋体" w:cs="宋体"/>
                <w:color w:val="auto"/>
                <w:sz w:val="21"/>
                <w:szCs w:val="21"/>
                <w:highlight w:val="none"/>
              </w:rPr>
              <w:t>评审，以下各项不重复计分：</w:t>
            </w:r>
          </w:p>
          <w:p w14:paraId="1FD07B61">
            <w:pPr>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①投标人能对本项目的工作目标、工作内容及边界、</w:t>
            </w:r>
            <w:r>
              <w:rPr>
                <w:rFonts w:hint="eastAsia" w:ascii="宋体" w:hAnsi="宋体" w:eastAsia="宋体" w:cs="宋体"/>
                <w:color w:val="auto"/>
                <w:sz w:val="21"/>
                <w:szCs w:val="21"/>
                <w:highlight w:val="none"/>
                <w:lang w:val="en-US" w:eastAsia="zh-CN"/>
              </w:rPr>
              <w:t>9个运维</w:t>
            </w:r>
            <w:r>
              <w:rPr>
                <w:rFonts w:hint="eastAsia" w:ascii="宋体" w:hAnsi="宋体" w:eastAsia="宋体" w:cs="宋体"/>
                <w:color w:val="auto"/>
                <w:sz w:val="21"/>
                <w:szCs w:val="21"/>
                <w:highlight w:val="none"/>
                <w:lang w:eastAsia="zh-CN"/>
              </w:rPr>
              <w:t>系统</w:t>
            </w:r>
            <w:r>
              <w:rPr>
                <w:rFonts w:hint="eastAsia" w:ascii="宋体" w:hAnsi="宋体" w:eastAsia="宋体" w:cs="宋体"/>
                <w:color w:val="auto"/>
                <w:sz w:val="21"/>
                <w:szCs w:val="21"/>
                <w:highlight w:val="none"/>
              </w:rPr>
              <w:t>的基本情况进行描述，内容全面、完整，对本项目需求理解思路正确的，得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02A7B9C9">
            <w:pPr>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②在本项①基础上，投标人能对本项目</w:t>
            </w:r>
            <w:r>
              <w:rPr>
                <w:rFonts w:hint="eastAsia" w:ascii="宋体" w:hAnsi="宋体" w:eastAsia="宋体" w:cs="宋体"/>
                <w:color w:val="auto"/>
                <w:sz w:val="21"/>
                <w:szCs w:val="21"/>
                <w:highlight w:val="none"/>
                <w:lang w:val="en-US" w:eastAsia="zh-CN"/>
              </w:rPr>
              <w:t>9个运维系统</w:t>
            </w:r>
            <w:r>
              <w:rPr>
                <w:rFonts w:hint="eastAsia" w:ascii="宋体" w:hAnsi="宋体" w:eastAsia="宋体" w:cs="宋体"/>
                <w:color w:val="auto"/>
                <w:sz w:val="21"/>
                <w:szCs w:val="21"/>
                <w:highlight w:val="none"/>
              </w:rPr>
              <w:t>的情况把握及理解情况进行</w:t>
            </w:r>
            <w:r>
              <w:rPr>
                <w:rFonts w:hint="eastAsia" w:ascii="宋体" w:hAnsi="宋体" w:eastAsia="宋体" w:cs="宋体"/>
                <w:color w:val="auto"/>
                <w:sz w:val="21"/>
                <w:szCs w:val="21"/>
                <w:highlight w:val="none"/>
                <w:lang w:eastAsia="zh-CN"/>
              </w:rPr>
              <w:t>详细</w:t>
            </w:r>
            <w:r>
              <w:rPr>
                <w:rFonts w:hint="eastAsia" w:ascii="宋体" w:hAnsi="宋体" w:eastAsia="宋体" w:cs="宋体"/>
                <w:color w:val="auto"/>
                <w:sz w:val="21"/>
                <w:szCs w:val="21"/>
                <w:highlight w:val="none"/>
              </w:rPr>
              <w:t>描述，充分理解和掌握业务需求情况；针对</w:t>
            </w:r>
            <w:r>
              <w:rPr>
                <w:rFonts w:hint="eastAsia" w:ascii="宋体" w:hAnsi="宋体" w:eastAsia="宋体" w:cs="宋体"/>
                <w:color w:val="auto"/>
                <w:sz w:val="21"/>
                <w:szCs w:val="21"/>
                <w:highlight w:val="none"/>
                <w:lang w:eastAsia="zh-CN"/>
              </w:rPr>
              <w:t>系统的</w:t>
            </w:r>
            <w:r>
              <w:rPr>
                <w:rFonts w:hint="eastAsia" w:ascii="宋体" w:hAnsi="宋体" w:eastAsia="宋体" w:cs="宋体"/>
                <w:color w:val="auto"/>
                <w:sz w:val="21"/>
                <w:szCs w:val="21"/>
                <w:highlight w:val="none"/>
              </w:rPr>
              <w:t>工作现状，提出自有的见解（包括但不限于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现有</w:t>
            </w:r>
            <w:r>
              <w:rPr>
                <w:rFonts w:hint="eastAsia" w:ascii="宋体" w:hAnsi="宋体" w:eastAsia="宋体" w:cs="宋体"/>
                <w:color w:val="auto"/>
                <w:sz w:val="21"/>
                <w:szCs w:val="21"/>
                <w:highlight w:val="none"/>
                <w:lang w:eastAsia="zh-CN"/>
              </w:rPr>
              <w:t>采购需求提出的</w:t>
            </w:r>
            <w:r>
              <w:rPr>
                <w:rFonts w:hint="eastAsia" w:ascii="宋体" w:hAnsi="宋体" w:eastAsia="宋体" w:cs="宋体"/>
                <w:color w:val="auto"/>
                <w:sz w:val="21"/>
                <w:szCs w:val="21"/>
                <w:highlight w:val="none"/>
              </w:rPr>
              <w:t>维护方式或维护</w:t>
            </w:r>
            <w:r>
              <w:rPr>
                <w:rFonts w:hint="eastAsia" w:ascii="宋体" w:hAnsi="宋体" w:eastAsia="宋体" w:cs="宋体"/>
                <w:color w:val="auto"/>
                <w:sz w:val="21"/>
                <w:szCs w:val="21"/>
                <w:highlight w:val="none"/>
                <w:lang w:eastAsia="zh-CN"/>
              </w:rPr>
              <w:t>要求</w:t>
            </w:r>
            <w:r>
              <w:rPr>
                <w:rFonts w:hint="eastAsia" w:ascii="宋体" w:hAnsi="宋体" w:eastAsia="宋体" w:cs="宋体"/>
                <w:color w:val="auto"/>
                <w:sz w:val="21"/>
                <w:szCs w:val="21"/>
                <w:highlight w:val="none"/>
              </w:rPr>
              <w:t>的不足之处、容易忽略的情形等）的，得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2F3EDF5C">
            <w:pPr>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③在本项②基础上，投标人能根据项目实际要求进行详细的需求分析，陈述</w:t>
            </w:r>
            <w:r>
              <w:rPr>
                <w:rFonts w:hint="eastAsia" w:ascii="宋体" w:hAnsi="宋体" w:eastAsia="宋体" w:cs="宋体"/>
                <w:color w:val="auto"/>
                <w:sz w:val="21"/>
                <w:szCs w:val="21"/>
                <w:highlight w:val="none"/>
                <w:lang w:eastAsia="zh-CN"/>
              </w:rPr>
              <w:t>项目实施的</w:t>
            </w:r>
            <w:r>
              <w:rPr>
                <w:rFonts w:hint="eastAsia" w:ascii="宋体" w:hAnsi="宋体" w:eastAsia="宋体" w:cs="宋体"/>
                <w:color w:val="auto"/>
                <w:sz w:val="21"/>
                <w:szCs w:val="21"/>
                <w:highlight w:val="none"/>
              </w:rPr>
              <w:t>重点及难点，并具有对应可行的针对性措施的，得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13BC6B5B">
            <w:pPr>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注：未提供项目需求理解或项目需求理解未达到①标准要求的计0分。</w:t>
            </w:r>
          </w:p>
        </w:tc>
        <w:tc>
          <w:tcPr>
            <w:tcW w:w="664" w:type="dxa"/>
            <w:noWrap w:val="0"/>
            <w:vAlign w:val="center"/>
          </w:tcPr>
          <w:p w14:paraId="455BA57A">
            <w:pPr>
              <w:keepNext w:val="0"/>
              <w:keepLines w:val="0"/>
              <w:pageBreakBefore w:val="0"/>
              <w:widowControl/>
              <w:kinsoku/>
              <w:wordWrap/>
              <w:overflowPunct/>
              <w:topLinePunct/>
              <w:autoSpaceDE/>
              <w:autoSpaceDN/>
              <w:bidi w:val="0"/>
              <w:snapToGrid w:val="0"/>
              <w:spacing w:before="60" w:after="60" w:line="312"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r>
      <w:tr w14:paraId="25C2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noWrap w:val="0"/>
            <w:vAlign w:val="center"/>
          </w:tcPr>
          <w:p w14:paraId="0A1D7020">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Cs/>
                <w:color w:val="auto"/>
                <w:sz w:val="21"/>
                <w:szCs w:val="21"/>
                <w:highlight w:val="none"/>
                <w:lang w:val="en-US" w:eastAsia="zh-CN"/>
              </w:rPr>
            </w:pPr>
          </w:p>
        </w:tc>
        <w:tc>
          <w:tcPr>
            <w:tcW w:w="968" w:type="dxa"/>
            <w:vMerge w:val="continue"/>
            <w:noWrap w:val="0"/>
            <w:vAlign w:val="center"/>
          </w:tcPr>
          <w:p w14:paraId="393D399A">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leftChars="0" w:right="0" w:rightChars="0"/>
              <w:jc w:val="center"/>
              <w:rPr>
                <w:rFonts w:hint="eastAsia" w:ascii="宋体" w:hAnsi="宋体" w:eastAsia="宋体" w:cs="宋体"/>
                <w:b w:val="0"/>
                <w:color w:val="auto"/>
                <w:kern w:val="2"/>
                <w:sz w:val="21"/>
                <w:szCs w:val="21"/>
                <w:highlight w:val="none"/>
                <w:lang w:val="zh-CN" w:eastAsia="zh-CN" w:bidi="ar-SA"/>
              </w:rPr>
            </w:pPr>
          </w:p>
        </w:tc>
        <w:tc>
          <w:tcPr>
            <w:tcW w:w="724" w:type="dxa"/>
            <w:noWrap w:val="0"/>
            <w:vAlign w:val="center"/>
          </w:tcPr>
          <w:p w14:paraId="24A204CE">
            <w:pPr>
              <w:keepNext w:val="0"/>
              <w:keepLines w:val="0"/>
              <w:pageBreakBefore w:val="0"/>
              <w:widowControl/>
              <w:kinsoku/>
              <w:wordWrap/>
              <w:overflowPunct/>
              <w:topLinePunct/>
              <w:autoSpaceDE/>
              <w:autoSpaceDN/>
              <w:bidi w:val="0"/>
              <w:snapToGrid w:val="0"/>
              <w:spacing w:before="60" w:after="60" w:line="312" w:lineRule="auto"/>
              <w:jc w:val="center"/>
              <w:rPr>
                <w:rFonts w:hint="eastAsia" w:ascii="宋体" w:hAnsi="宋体" w:eastAsia="宋体" w:cs="宋体"/>
                <w:color w:val="auto"/>
                <w:spacing w:val="9"/>
                <w:sz w:val="21"/>
                <w:szCs w:val="21"/>
                <w:highlight w:val="none"/>
              </w:rPr>
            </w:pPr>
            <w:r>
              <w:rPr>
                <w:rFonts w:hint="eastAsia" w:ascii="宋体" w:hAnsi="宋体" w:eastAsia="宋体" w:cs="宋体"/>
                <w:snapToGrid w:val="0"/>
                <w:color w:val="auto"/>
                <w:sz w:val="21"/>
                <w:szCs w:val="21"/>
                <w:highlight w:val="none"/>
                <w:lang w:eastAsia="zh-CN"/>
              </w:rPr>
              <w:t>运行维护方</w:t>
            </w:r>
            <w:r>
              <w:rPr>
                <w:rFonts w:hint="eastAsia" w:ascii="宋体" w:hAnsi="宋体" w:eastAsia="宋体" w:cs="宋体"/>
                <w:snapToGrid w:val="0"/>
                <w:color w:val="auto"/>
                <w:sz w:val="21"/>
                <w:szCs w:val="21"/>
                <w:highlight w:val="none"/>
              </w:rPr>
              <w:t>案</w:t>
            </w:r>
          </w:p>
        </w:tc>
        <w:tc>
          <w:tcPr>
            <w:tcW w:w="6471" w:type="dxa"/>
            <w:noWrap w:val="0"/>
            <w:vAlign w:val="top"/>
          </w:tcPr>
          <w:p w14:paraId="7E6562FB">
            <w:pPr>
              <w:pStyle w:val="48"/>
              <w:keepNext w:val="0"/>
              <w:keepLines w:val="0"/>
              <w:pageBreakBefore w:val="0"/>
              <w:widowControl/>
              <w:kinsoku/>
              <w:wordWrap/>
              <w:overflowPunct/>
              <w:topLinePunct/>
              <w:autoSpaceDE/>
              <w:autoSpaceDN/>
              <w:bidi w:val="0"/>
              <w:snapToGrid w:val="0"/>
              <w:spacing w:before="60" w:after="60" w:line="312"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由评标委员会根据投标人提供的关于服务方式、</w:t>
            </w:r>
            <w:r>
              <w:rPr>
                <w:rFonts w:hint="eastAsia" w:ascii="宋体" w:hAnsi="宋体" w:eastAsia="宋体" w:cs="宋体"/>
                <w:color w:val="auto"/>
                <w:sz w:val="21"/>
                <w:szCs w:val="21"/>
                <w:highlight w:val="none"/>
                <w:lang w:eastAsia="zh-CN"/>
              </w:rPr>
              <w:t>问题</w:t>
            </w:r>
            <w:r>
              <w:rPr>
                <w:rFonts w:hint="eastAsia" w:ascii="宋体" w:hAnsi="宋体" w:eastAsia="宋体" w:cs="宋体"/>
                <w:color w:val="auto"/>
                <w:sz w:val="21"/>
                <w:szCs w:val="21"/>
                <w:highlight w:val="none"/>
              </w:rPr>
              <w:t>响应时间、解决时限</w:t>
            </w:r>
            <w:r>
              <w:rPr>
                <w:rFonts w:hint="eastAsia" w:ascii="宋体" w:hAnsi="宋体" w:eastAsia="宋体" w:cs="宋体"/>
                <w:color w:val="auto"/>
                <w:sz w:val="21"/>
                <w:szCs w:val="21"/>
                <w:highlight w:val="none"/>
                <w:lang w:eastAsia="zh-CN"/>
              </w:rPr>
              <w:t>、服务计划、服务流程、运行保障、</w:t>
            </w:r>
            <w:r>
              <w:rPr>
                <w:rFonts w:hint="eastAsia" w:ascii="宋体" w:hAnsi="宋体" w:eastAsia="宋体" w:cs="宋体"/>
                <w:color w:val="auto"/>
                <w:sz w:val="21"/>
                <w:szCs w:val="21"/>
                <w:highlight w:val="none"/>
                <w:lang w:val="en-US" w:eastAsia="zh-CN"/>
              </w:rPr>
              <w:t>应急预案</w:t>
            </w:r>
            <w:r>
              <w:rPr>
                <w:rFonts w:hint="eastAsia" w:ascii="宋体" w:hAnsi="宋体" w:eastAsia="宋体" w:cs="宋体"/>
                <w:color w:val="auto"/>
                <w:sz w:val="21"/>
                <w:szCs w:val="21"/>
                <w:highlight w:val="none"/>
              </w:rPr>
              <w:t>等</w:t>
            </w:r>
            <w:r>
              <w:rPr>
                <w:rFonts w:hint="eastAsia" w:ascii="宋体" w:hAnsi="宋体" w:eastAsia="宋体" w:cs="宋体"/>
                <w:snapToGrid w:val="0"/>
                <w:color w:val="auto"/>
                <w:sz w:val="21"/>
                <w:szCs w:val="21"/>
                <w:highlight w:val="none"/>
                <w:lang w:eastAsia="zh-CN"/>
              </w:rPr>
              <w:t>运行维护</w:t>
            </w:r>
            <w:r>
              <w:rPr>
                <w:rFonts w:hint="eastAsia" w:ascii="宋体" w:hAnsi="宋体" w:eastAsia="宋体" w:cs="宋体"/>
                <w:color w:val="auto"/>
                <w:sz w:val="21"/>
                <w:szCs w:val="21"/>
                <w:highlight w:val="none"/>
              </w:rPr>
              <w:t>内容进行综合评审，以下各项不得重复计分：</w:t>
            </w:r>
          </w:p>
          <w:p w14:paraId="03175DAA">
            <w:pPr>
              <w:pStyle w:val="48"/>
              <w:keepNext w:val="0"/>
              <w:keepLines w:val="0"/>
              <w:pageBreakBefore w:val="0"/>
              <w:widowControl/>
              <w:kinsoku/>
              <w:wordWrap/>
              <w:overflowPunct/>
              <w:topLinePunct/>
              <w:autoSpaceDE/>
              <w:autoSpaceDN/>
              <w:bidi w:val="0"/>
              <w:snapToGrid w:val="0"/>
              <w:spacing w:before="60" w:after="60" w:line="312" w:lineRule="auto"/>
              <w:ind w:left="0" w:lef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①投标人针对</w:t>
            </w:r>
            <w:r>
              <w:rPr>
                <w:rFonts w:hint="eastAsia" w:ascii="宋体" w:hAnsi="宋体" w:eastAsia="宋体" w:cs="宋体"/>
                <w:color w:val="auto"/>
                <w:sz w:val="21"/>
                <w:szCs w:val="21"/>
                <w:highlight w:val="none"/>
                <w:lang w:val="en-US" w:eastAsia="zh-CN"/>
              </w:rPr>
              <w:t>本项目</w:t>
            </w:r>
            <w:r>
              <w:rPr>
                <w:rFonts w:hint="eastAsia" w:ascii="宋体" w:hAnsi="宋体" w:eastAsia="宋体" w:cs="宋体"/>
                <w:color w:val="auto"/>
                <w:sz w:val="21"/>
                <w:szCs w:val="21"/>
                <w:highlight w:val="none"/>
              </w:rPr>
              <w:t>系统运维</w:t>
            </w:r>
            <w:r>
              <w:rPr>
                <w:rFonts w:hint="eastAsia" w:ascii="宋体" w:hAnsi="宋体" w:eastAsia="宋体" w:cs="宋体"/>
                <w:color w:val="auto"/>
                <w:sz w:val="21"/>
                <w:szCs w:val="21"/>
                <w:highlight w:val="none"/>
                <w:lang w:eastAsia="zh-CN"/>
              </w:rPr>
              <w:t>服务的需求</w:t>
            </w:r>
            <w:r>
              <w:rPr>
                <w:rFonts w:hint="eastAsia" w:ascii="宋体" w:hAnsi="宋体" w:eastAsia="宋体" w:cs="宋体"/>
                <w:color w:val="auto"/>
                <w:sz w:val="21"/>
                <w:szCs w:val="21"/>
                <w:highlight w:val="none"/>
              </w:rPr>
              <w:t>制订运行维护方案，包含但不限于服务方式、</w:t>
            </w:r>
            <w:r>
              <w:rPr>
                <w:rFonts w:hint="eastAsia" w:ascii="宋体" w:hAnsi="宋体" w:eastAsia="宋体" w:cs="宋体"/>
                <w:color w:val="auto"/>
                <w:sz w:val="21"/>
                <w:szCs w:val="21"/>
                <w:highlight w:val="none"/>
                <w:lang w:eastAsia="zh-CN"/>
              </w:rPr>
              <w:t>问题</w:t>
            </w:r>
            <w:r>
              <w:rPr>
                <w:rFonts w:hint="eastAsia" w:ascii="宋体" w:hAnsi="宋体" w:eastAsia="宋体" w:cs="宋体"/>
                <w:color w:val="auto"/>
                <w:sz w:val="21"/>
                <w:szCs w:val="21"/>
                <w:highlight w:val="none"/>
              </w:rPr>
              <w:t>响应时间、</w:t>
            </w:r>
            <w:r>
              <w:rPr>
                <w:rFonts w:hint="eastAsia" w:ascii="宋体" w:hAnsi="宋体" w:eastAsia="宋体" w:cs="宋体"/>
                <w:color w:val="auto"/>
                <w:sz w:val="21"/>
                <w:szCs w:val="21"/>
                <w:highlight w:val="none"/>
                <w:lang w:eastAsia="zh-CN"/>
              </w:rPr>
              <w:t>故障解决时限</w:t>
            </w:r>
            <w:r>
              <w:rPr>
                <w:rFonts w:hint="eastAsia" w:ascii="宋体" w:hAnsi="宋体" w:eastAsia="宋体" w:cs="宋体"/>
                <w:color w:val="auto"/>
                <w:sz w:val="21"/>
                <w:szCs w:val="21"/>
                <w:highlight w:val="none"/>
              </w:rPr>
              <w:t>等相关</w:t>
            </w:r>
            <w:r>
              <w:rPr>
                <w:rFonts w:hint="eastAsia" w:ascii="宋体" w:hAnsi="宋体" w:eastAsia="宋体" w:cs="宋体"/>
                <w:color w:val="auto"/>
                <w:sz w:val="21"/>
                <w:szCs w:val="21"/>
                <w:highlight w:val="none"/>
                <w:lang w:eastAsia="zh-CN"/>
              </w:rPr>
              <w:t>运行维护</w:t>
            </w:r>
            <w:r>
              <w:rPr>
                <w:rFonts w:hint="eastAsia" w:ascii="宋体" w:hAnsi="宋体" w:eastAsia="宋体" w:cs="宋体"/>
                <w:color w:val="auto"/>
                <w:sz w:val="21"/>
                <w:szCs w:val="21"/>
                <w:highlight w:val="none"/>
              </w:rPr>
              <w:t>服务方案，且各项内容表述完整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针对本项目运维要求，制订具体运维措施的，得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2A0ED4C6">
            <w:pPr>
              <w:pStyle w:val="48"/>
              <w:keepNext w:val="0"/>
              <w:keepLines w:val="0"/>
              <w:pageBreakBefore w:val="0"/>
              <w:widowControl/>
              <w:kinsoku/>
              <w:wordWrap/>
              <w:overflowPunct/>
              <w:topLinePunct/>
              <w:autoSpaceDE/>
              <w:autoSpaceDN/>
              <w:bidi w:val="0"/>
              <w:snapToGrid w:val="0"/>
              <w:spacing w:before="60" w:after="60" w:line="312" w:lineRule="auto"/>
              <w:ind w:left="0" w:leftChars="0"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②在本项①基础上，投标人能根据项目采购需求中的</w:t>
            </w:r>
            <w:r>
              <w:rPr>
                <w:rFonts w:hint="eastAsia" w:ascii="宋体" w:hAnsi="宋体" w:eastAsia="宋体" w:cs="宋体"/>
                <w:color w:val="auto"/>
                <w:sz w:val="21"/>
                <w:szCs w:val="21"/>
                <w:highlight w:val="none"/>
                <w:lang w:eastAsia="zh-CN"/>
              </w:rPr>
              <w:t>运维</w:t>
            </w:r>
            <w:r>
              <w:rPr>
                <w:rFonts w:hint="eastAsia" w:ascii="宋体" w:hAnsi="宋体" w:eastAsia="宋体" w:cs="宋体"/>
                <w:color w:val="auto"/>
                <w:sz w:val="21"/>
                <w:szCs w:val="21"/>
                <w:highlight w:val="none"/>
              </w:rPr>
              <w:t>要求制订相应详细、完善的</w:t>
            </w:r>
            <w:r>
              <w:rPr>
                <w:rFonts w:hint="eastAsia" w:ascii="宋体" w:hAnsi="宋体" w:eastAsia="宋体" w:cs="宋体"/>
                <w:color w:val="auto"/>
                <w:sz w:val="21"/>
                <w:szCs w:val="21"/>
                <w:highlight w:val="none"/>
                <w:lang w:eastAsia="zh-CN"/>
              </w:rPr>
              <w:t>运维</w:t>
            </w:r>
            <w:r>
              <w:rPr>
                <w:rFonts w:hint="eastAsia" w:ascii="宋体" w:hAnsi="宋体" w:eastAsia="宋体" w:cs="宋体"/>
                <w:color w:val="auto"/>
                <w:sz w:val="21"/>
                <w:szCs w:val="21"/>
                <w:highlight w:val="none"/>
              </w:rPr>
              <w:t>服务计划、服务流程、运行保障的管理措施；根据运行</w:t>
            </w:r>
            <w:r>
              <w:rPr>
                <w:rFonts w:hint="eastAsia" w:ascii="宋体" w:hAnsi="宋体" w:eastAsia="宋体" w:cs="宋体"/>
                <w:color w:val="auto"/>
                <w:sz w:val="21"/>
                <w:szCs w:val="21"/>
                <w:highlight w:val="none"/>
                <w:lang w:eastAsia="zh-CN"/>
              </w:rPr>
              <w:t>维护</w:t>
            </w:r>
            <w:r>
              <w:rPr>
                <w:rFonts w:hint="eastAsia" w:ascii="宋体" w:hAnsi="宋体" w:eastAsia="宋体" w:cs="宋体"/>
                <w:color w:val="auto"/>
                <w:sz w:val="21"/>
                <w:szCs w:val="21"/>
                <w:highlight w:val="none"/>
              </w:rPr>
              <w:t>服务</w:t>
            </w:r>
            <w:r>
              <w:rPr>
                <w:rFonts w:hint="eastAsia" w:ascii="宋体" w:hAnsi="宋体" w:eastAsia="宋体" w:cs="宋体"/>
                <w:color w:val="auto"/>
                <w:sz w:val="21"/>
                <w:szCs w:val="21"/>
                <w:highlight w:val="none"/>
                <w:lang w:eastAsia="zh-CN"/>
              </w:rPr>
              <w:t>需求</w:t>
            </w:r>
            <w:r>
              <w:rPr>
                <w:rFonts w:hint="eastAsia" w:ascii="宋体" w:hAnsi="宋体" w:eastAsia="宋体" w:cs="宋体"/>
                <w:color w:val="auto"/>
                <w:sz w:val="21"/>
                <w:szCs w:val="21"/>
                <w:highlight w:val="none"/>
              </w:rPr>
              <w:t>制订有齐全的日常监控、巡检或故障记录报告等表单样板</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0954B8A7">
            <w:pPr>
              <w:pStyle w:val="48"/>
              <w:keepNext w:val="0"/>
              <w:keepLines w:val="0"/>
              <w:pageBreakBefore w:val="0"/>
              <w:widowControl/>
              <w:kinsoku/>
              <w:wordWrap/>
              <w:overflowPunct/>
              <w:topLinePunct/>
              <w:autoSpaceDE/>
              <w:autoSpaceDN/>
              <w:bidi w:val="0"/>
              <w:snapToGrid w:val="0"/>
              <w:spacing w:before="60" w:after="60" w:line="312" w:lineRule="auto"/>
              <w:ind w:left="0" w:leftChars="0"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③在本项②基础上，投标人针对本项目运维系统（均为等保三级），制定专门的网络安全管理方案，明确网络安全统筹人职责、基线加固流程、漏洞修复机制及等保合规保障措施</w:t>
            </w:r>
            <w:r>
              <w:rPr>
                <w:rFonts w:hint="eastAsia" w:ascii="宋体" w:hAnsi="宋体" w:eastAsia="宋体" w:cs="宋体"/>
                <w:color w:val="auto"/>
                <w:sz w:val="21"/>
                <w:szCs w:val="21"/>
                <w:highlight w:val="none"/>
                <w:lang w:eastAsia="zh-CN"/>
              </w:rPr>
              <w:t>；同时，</w:t>
            </w:r>
            <w:r>
              <w:rPr>
                <w:rFonts w:hint="eastAsia" w:ascii="宋体" w:hAnsi="宋体" w:eastAsia="宋体" w:cs="宋体"/>
                <w:color w:val="auto"/>
                <w:sz w:val="21"/>
                <w:szCs w:val="21"/>
                <w:highlight w:val="none"/>
              </w:rPr>
              <w:t>针对</w:t>
            </w:r>
            <w:r>
              <w:rPr>
                <w:rFonts w:hint="eastAsia" w:ascii="宋体" w:hAnsi="宋体" w:eastAsia="宋体" w:cs="宋体"/>
                <w:color w:val="auto"/>
                <w:sz w:val="21"/>
                <w:szCs w:val="21"/>
                <w:highlight w:val="none"/>
                <w:lang w:val="en-US" w:eastAsia="zh-CN"/>
              </w:rPr>
              <w:t>涉及系统运行环境维护、数据维护、系统集成、数据链路监控时</w:t>
            </w:r>
            <w:r>
              <w:rPr>
                <w:rFonts w:hint="eastAsia" w:ascii="宋体" w:hAnsi="宋体" w:eastAsia="宋体" w:cs="宋体"/>
                <w:color w:val="auto"/>
                <w:sz w:val="21"/>
                <w:szCs w:val="21"/>
                <w:highlight w:val="none"/>
              </w:rPr>
              <w:t>可能出现的突发事件制订相应的应急预案，具备处理紧急问题的能力和手段（包含：采用多种手段完成突发事件的应急处置，保障手段强，突发事件应急处理能力和资源调配能力强）</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366BE513">
            <w:pPr>
              <w:pStyle w:val="48"/>
              <w:keepNext w:val="0"/>
              <w:keepLines w:val="0"/>
              <w:pageBreakBefore w:val="0"/>
              <w:widowControl/>
              <w:kinsoku/>
              <w:wordWrap/>
              <w:overflowPunct/>
              <w:topLinePunct/>
              <w:autoSpaceDE/>
              <w:autoSpaceDN/>
              <w:bidi w:val="0"/>
              <w:snapToGrid w:val="0"/>
              <w:spacing w:before="60" w:after="60" w:line="312"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注：未提供运行维护方案或运行维护</w:t>
            </w:r>
            <w:r>
              <w:rPr>
                <w:rFonts w:hint="eastAsia" w:ascii="宋体" w:hAnsi="宋体" w:eastAsia="宋体" w:cs="宋体"/>
                <w:snapToGrid w:val="0"/>
                <w:color w:val="auto"/>
                <w:sz w:val="21"/>
                <w:szCs w:val="21"/>
                <w:highlight w:val="none"/>
              </w:rPr>
              <w:t>方案</w:t>
            </w:r>
            <w:r>
              <w:rPr>
                <w:rFonts w:hint="eastAsia" w:ascii="宋体" w:hAnsi="宋体" w:eastAsia="宋体" w:cs="宋体"/>
                <w:color w:val="auto"/>
                <w:sz w:val="21"/>
                <w:szCs w:val="21"/>
                <w:highlight w:val="none"/>
                <w:lang w:eastAsia="zh-CN"/>
              </w:rPr>
              <w:t>未达到</w:t>
            </w:r>
            <w:r>
              <w:rPr>
                <w:rFonts w:hint="eastAsia" w:ascii="宋体" w:hAnsi="宋体" w:eastAsia="宋体" w:cs="宋体"/>
                <w:color w:val="auto"/>
                <w:sz w:val="21"/>
                <w:szCs w:val="21"/>
                <w:highlight w:val="none"/>
              </w:rPr>
              <w:t>①标准要求的计0分。</w:t>
            </w:r>
          </w:p>
        </w:tc>
        <w:tc>
          <w:tcPr>
            <w:tcW w:w="664" w:type="dxa"/>
            <w:noWrap w:val="0"/>
            <w:vAlign w:val="center"/>
          </w:tcPr>
          <w:p w14:paraId="4CEF616D">
            <w:pPr>
              <w:keepNext w:val="0"/>
              <w:keepLines w:val="0"/>
              <w:pageBreakBefore w:val="0"/>
              <w:widowControl/>
              <w:kinsoku/>
              <w:wordWrap/>
              <w:overflowPunct/>
              <w:topLinePunct/>
              <w:autoSpaceDE/>
              <w:autoSpaceDN/>
              <w:bidi w:val="0"/>
              <w:snapToGrid w:val="0"/>
              <w:spacing w:before="60" w:after="60" w:line="312"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r>
      <w:tr w14:paraId="32C8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noWrap w:val="0"/>
            <w:vAlign w:val="center"/>
          </w:tcPr>
          <w:p w14:paraId="03C33AC9">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Cs/>
                <w:color w:val="auto"/>
                <w:sz w:val="21"/>
                <w:szCs w:val="21"/>
                <w:highlight w:val="none"/>
                <w:lang w:val="en-US" w:eastAsia="zh-CN"/>
              </w:rPr>
            </w:pPr>
          </w:p>
        </w:tc>
        <w:tc>
          <w:tcPr>
            <w:tcW w:w="968" w:type="dxa"/>
            <w:vMerge w:val="continue"/>
            <w:noWrap w:val="0"/>
            <w:vAlign w:val="center"/>
          </w:tcPr>
          <w:p w14:paraId="0233966A">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leftChars="0" w:right="0" w:rightChars="0"/>
              <w:jc w:val="center"/>
              <w:rPr>
                <w:rFonts w:hint="eastAsia" w:ascii="宋体" w:hAnsi="宋体" w:eastAsia="宋体" w:cs="宋体"/>
                <w:b w:val="0"/>
                <w:color w:val="auto"/>
                <w:kern w:val="2"/>
                <w:sz w:val="21"/>
                <w:szCs w:val="21"/>
                <w:highlight w:val="none"/>
                <w:lang w:val="zh-CN" w:eastAsia="zh-CN" w:bidi="ar-SA"/>
              </w:rPr>
            </w:pPr>
          </w:p>
        </w:tc>
        <w:tc>
          <w:tcPr>
            <w:tcW w:w="724" w:type="dxa"/>
            <w:noWrap w:val="0"/>
            <w:vAlign w:val="center"/>
          </w:tcPr>
          <w:p w14:paraId="302520E2">
            <w:pPr>
              <w:keepNext w:val="0"/>
              <w:keepLines w:val="0"/>
              <w:pageBreakBefore w:val="0"/>
              <w:widowControl/>
              <w:suppressLineNumbers w:val="0"/>
              <w:kinsoku/>
              <w:wordWrap/>
              <w:overflowPunct/>
              <w:topLinePunct/>
              <w:autoSpaceDE/>
              <w:autoSpaceDN/>
              <w:bidi w:val="0"/>
              <w:snapToGrid w:val="0"/>
              <w:spacing w:before="60" w:after="60" w:line="312" w:lineRule="auto"/>
              <w:jc w:val="left"/>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管理方案</w:t>
            </w:r>
          </w:p>
        </w:tc>
        <w:tc>
          <w:tcPr>
            <w:tcW w:w="6471" w:type="dxa"/>
            <w:noWrap w:val="0"/>
            <w:vAlign w:val="top"/>
          </w:tcPr>
          <w:p w14:paraId="37A7CFB9">
            <w:pPr>
              <w:keepNext w:val="0"/>
              <w:keepLines w:val="0"/>
              <w:pageBreakBefore w:val="0"/>
              <w:widowControl/>
              <w:kinsoku/>
              <w:wordWrap/>
              <w:overflowPunct/>
              <w:topLinePunct/>
              <w:autoSpaceDE/>
              <w:autoSpaceDN/>
              <w:bidi w:val="0"/>
              <w:snapToGrid w:val="0"/>
              <w:spacing w:before="60" w:after="6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由评标委员会根据投标人提供的项目管理组织、项目质量管理、项目沟通管理、项目风险管理等管理方案内容进行综合评审</w:t>
            </w:r>
            <w:r>
              <w:rPr>
                <w:rFonts w:hint="eastAsia" w:ascii="宋体" w:hAnsi="宋体" w:eastAsia="宋体" w:cs="宋体"/>
                <w:color w:val="auto"/>
                <w:sz w:val="21"/>
                <w:szCs w:val="21"/>
                <w:highlight w:val="none"/>
              </w:rPr>
              <w:t>，以下各项不得重复计分：</w:t>
            </w:r>
          </w:p>
          <w:p w14:paraId="0B10A8B4">
            <w:pPr>
              <w:keepNext w:val="0"/>
              <w:keepLines w:val="0"/>
              <w:pageBreakBefore w:val="0"/>
              <w:widowControl/>
              <w:kinsoku/>
              <w:wordWrap/>
              <w:overflowPunct/>
              <w:topLinePunct/>
              <w:autoSpaceDE/>
              <w:autoSpaceDN/>
              <w:bidi w:val="0"/>
              <w:snapToGrid w:val="0"/>
              <w:spacing w:before="60" w:after="6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val="en-US" w:eastAsia="zh-CN"/>
              </w:rPr>
              <w:t>投标人针对本项目采购需求建立项目管理组织架构、建立项目管理组织架构，团队配置合理，岗位职责、分工明确的，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408D7191">
            <w:pPr>
              <w:keepNext w:val="0"/>
              <w:keepLines w:val="0"/>
              <w:pageBreakBefore w:val="0"/>
              <w:widowControl/>
              <w:kinsoku/>
              <w:wordWrap/>
              <w:overflowPunct/>
              <w:topLinePunct/>
              <w:autoSpaceDE/>
              <w:autoSpaceDN/>
              <w:bidi w:val="0"/>
              <w:snapToGrid w:val="0"/>
              <w:spacing w:before="60" w:after="60"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②在</w:t>
            </w:r>
            <w:r>
              <w:rPr>
                <w:rFonts w:hint="eastAsia" w:ascii="宋体" w:hAnsi="宋体" w:eastAsia="宋体" w:cs="宋体"/>
                <w:color w:val="auto"/>
                <w:sz w:val="21"/>
                <w:szCs w:val="21"/>
                <w:highlight w:val="none"/>
                <w:lang w:eastAsia="zh-CN"/>
              </w:rPr>
              <w:t>本项</w:t>
            </w:r>
            <w:r>
              <w:rPr>
                <w:rFonts w:hint="eastAsia" w:ascii="宋体" w:hAnsi="宋体" w:eastAsia="宋体" w:cs="宋体"/>
                <w:color w:val="auto"/>
                <w:sz w:val="21"/>
                <w:szCs w:val="21"/>
                <w:highlight w:val="none"/>
              </w:rPr>
              <w:t>①基础上，</w:t>
            </w:r>
            <w:r>
              <w:rPr>
                <w:rFonts w:hint="eastAsia" w:ascii="宋体" w:hAnsi="宋体" w:eastAsia="宋体" w:cs="宋体"/>
                <w:color w:val="auto"/>
                <w:sz w:val="21"/>
                <w:szCs w:val="21"/>
                <w:highlight w:val="none"/>
                <w:lang w:val="en-US" w:eastAsia="zh-CN"/>
              </w:rPr>
              <w:t>制定项目质量管理方案（含质量控制措施、考核标准）和沟通管理方案（内部及与采购人沟通机制）的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39F58B33">
            <w:pPr>
              <w:keepNext w:val="0"/>
              <w:keepLines w:val="0"/>
              <w:pageBreakBefore w:val="0"/>
              <w:widowControl/>
              <w:kinsoku/>
              <w:wordWrap/>
              <w:overflowPunct/>
              <w:topLinePunct/>
              <w:autoSpaceDE/>
              <w:autoSpaceDN/>
              <w:bidi w:val="0"/>
              <w:snapToGrid w:val="0"/>
              <w:spacing w:before="60" w:after="60" w:line="312"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③在</w:t>
            </w:r>
            <w:r>
              <w:rPr>
                <w:rFonts w:hint="eastAsia" w:ascii="宋体" w:hAnsi="宋体" w:eastAsia="宋体" w:cs="宋体"/>
                <w:color w:val="auto"/>
                <w:sz w:val="21"/>
                <w:szCs w:val="21"/>
                <w:highlight w:val="none"/>
                <w:lang w:eastAsia="zh-CN"/>
              </w:rPr>
              <w:t>本项</w:t>
            </w:r>
            <w:r>
              <w:rPr>
                <w:rFonts w:hint="eastAsia" w:ascii="宋体" w:hAnsi="宋体" w:eastAsia="宋体" w:cs="宋体"/>
                <w:color w:val="auto"/>
                <w:sz w:val="21"/>
                <w:szCs w:val="21"/>
                <w:highlight w:val="none"/>
              </w:rPr>
              <w:t>②基础上，</w:t>
            </w:r>
            <w:r>
              <w:rPr>
                <w:rFonts w:hint="eastAsia" w:ascii="宋体" w:hAnsi="宋体" w:eastAsia="宋体" w:cs="宋体"/>
                <w:color w:val="auto"/>
                <w:sz w:val="21"/>
                <w:szCs w:val="21"/>
                <w:highlight w:val="none"/>
                <w:lang w:val="en-US" w:eastAsia="zh-CN"/>
              </w:rPr>
              <w:t>制定项目风险管理方案，涵盖数据安全、人员保障、关键岗位备份等措施，确保本项目管理到位的，</w:t>
            </w:r>
            <w:r>
              <w:rPr>
                <w:rFonts w:hint="eastAsia" w:ascii="宋体" w:hAnsi="宋体" w:eastAsia="宋体" w:cs="宋体"/>
                <w:color w:val="auto"/>
                <w:sz w:val="21"/>
                <w:szCs w:val="21"/>
                <w:highlight w:val="none"/>
                <w:lang w:eastAsia="zh-CN"/>
              </w:rPr>
              <w:t>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分。</w:t>
            </w:r>
          </w:p>
          <w:p w14:paraId="46F0A7D3">
            <w:pPr>
              <w:keepNext w:val="0"/>
              <w:keepLines w:val="0"/>
              <w:pageBreakBefore w:val="0"/>
              <w:widowControl/>
              <w:kinsoku/>
              <w:wordWrap/>
              <w:overflowPunct/>
              <w:topLinePunct/>
              <w:autoSpaceDE/>
              <w:autoSpaceDN/>
              <w:bidi w:val="0"/>
              <w:snapToGrid w:val="0"/>
              <w:spacing w:before="60" w:after="60" w:line="312"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eastAsia="zh-CN"/>
              </w:rPr>
              <w:t>注：未提供</w:t>
            </w:r>
            <w:r>
              <w:rPr>
                <w:rFonts w:hint="eastAsia" w:ascii="宋体" w:hAnsi="宋体" w:eastAsia="宋体" w:cs="宋体"/>
                <w:color w:val="auto"/>
                <w:sz w:val="21"/>
                <w:szCs w:val="21"/>
                <w:highlight w:val="none"/>
                <w:lang w:val="en-US" w:eastAsia="zh-CN"/>
              </w:rPr>
              <w:t>管理</w:t>
            </w:r>
            <w:r>
              <w:rPr>
                <w:rFonts w:hint="eastAsia" w:ascii="宋体" w:hAnsi="宋体" w:eastAsia="宋体" w:cs="宋体"/>
                <w:color w:val="auto"/>
                <w:sz w:val="21"/>
                <w:szCs w:val="21"/>
                <w:highlight w:val="none"/>
                <w:lang w:eastAsia="zh-CN"/>
              </w:rPr>
              <w:t>方案或</w:t>
            </w:r>
            <w:r>
              <w:rPr>
                <w:rFonts w:hint="eastAsia" w:ascii="宋体" w:hAnsi="宋体" w:eastAsia="宋体" w:cs="宋体"/>
                <w:color w:val="auto"/>
                <w:sz w:val="21"/>
                <w:szCs w:val="21"/>
                <w:highlight w:val="none"/>
                <w:lang w:val="en-US" w:eastAsia="zh-CN"/>
              </w:rPr>
              <w:t>管理</w:t>
            </w:r>
            <w:r>
              <w:rPr>
                <w:rFonts w:hint="eastAsia" w:ascii="宋体" w:hAnsi="宋体" w:eastAsia="宋体" w:cs="宋体"/>
                <w:color w:val="auto"/>
                <w:sz w:val="21"/>
                <w:szCs w:val="21"/>
                <w:highlight w:val="none"/>
                <w:lang w:eastAsia="zh-CN"/>
              </w:rPr>
              <w:t>方案未达到①标准要求的计</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分。</w:t>
            </w:r>
          </w:p>
        </w:tc>
        <w:tc>
          <w:tcPr>
            <w:tcW w:w="664" w:type="dxa"/>
            <w:noWrap w:val="0"/>
            <w:vAlign w:val="center"/>
          </w:tcPr>
          <w:p w14:paraId="49855709">
            <w:pPr>
              <w:keepNext w:val="0"/>
              <w:keepLines w:val="0"/>
              <w:pageBreakBefore w:val="0"/>
              <w:widowControl/>
              <w:kinsoku/>
              <w:wordWrap/>
              <w:overflowPunct/>
              <w:topLinePunct/>
              <w:autoSpaceDE/>
              <w:autoSpaceDN/>
              <w:bidi w:val="0"/>
              <w:snapToGrid w:val="0"/>
              <w:spacing w:before="60" w:after="60" w:line="312"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r>
      <w:tr w14:paraId="506E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dxa"/>
            <w:vMerge w:val="continue"/>
            <w:noWrap w:val="0"/>
            <w:vAlign w:val="center"/>
          </w:tcPr>
          <w:p w14:paraId="5596A9B1">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Cs/>
                <w:color w:val="auto"/>
                <w:sz w:val="21"/>
                <w:szCs w:val="21"/>
                <w:highlight w:val="none"/>
                <w:lang w:val="en-US" w:eastAsia="zh-CN"/>
              </w:rPr>
            </w:pPr>
          </w:p>
        </w:tc>
        <w:tc>
          <w:tcPr>
            <w:tcW w:w="968" w:type="dxa"/>
            <w:vMerge w:val="continue"/>
            <w:noWrap w:val="0"/>
            <w:vAlign w:val="center"/>
          </w:tcPr>
          <w:p w14:paraId="1AAF9707">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leftChars="0" w:right="0" w:rightChars="0"/>
              <w:jc w:val="center"/>
              <w:rPr>
                <w:rFonts w:hint="eastAsia" w:ascii="宋体" w:hAnsi="宋体" w:eastAsia="宋体" w:cs="宋体"/>
                <w:b w:val="0"/>
                <w:color w:val="auto"/>
                <w:kern w:val="2"/>
                <w:sz w:val="21"/>
                <w:szCs w:val="21"/>
                <w:highlight w:val="none"/>
                <w:lang w:val="zh-CN" w:eastAsia="zh-CN" w:bidi="ar-SA"/>
              </w:rPr>
            </w:pPr>
          </w:p>
        </w:tc>
        <w:tc>
          <w:tcPr>
            <w:tcW w:w="724" w:type="dxa"/>
            <w:noWrap w:val="0"/>
            <w:vAlign w:val="center"/>
          </w:tcPr>
          <w:p w14:paraId="435FD3B7">
            <w:pPr>
              <w:keepNext w:val="0"/>
              <w:keepLines w:val="0"/>
              <w:pageBreakBefore w:val="0"/>
              <w:widowControl/>
              <w:kinsoku/>
              <w:wordWrap/>
              <w:overflowPunct/>
              <w:topLinePunct/>
              <w:autoSpaceDE/>
              <w:autoSpaceDN/>
              <w:bidi w:val="0"/>
              <w:adjustRightInd/>
              <w:snapToGrid w:val="0"/>
              <w:spacing w:before="60" w:after="60" w:line="312" w:lineRule="auto"/>
              <w:jc w:val="center"/>
              <w:textAlignment w:val="auto"/>
              <w:rPr>
                <w:rFonts w:hint="eastAsia" w:ascii="宋体" w:hAnsi="宋体" w:eastAsia="宋体" w:cs="宋体"/>
                <w:b w:val="0"/>
                <w:bCs w:val="0"/>
                <w:color w:val="auto"/>
                <w:kern w:val="2"/>
                <w:sz w:val="21"/>
                <w:szCs w:val="21"/>
                <w:highlight w:val="none"/>
                <w:lang w:eastAsia="zh-CN"/>
              </w:rPr>
            </w:pPr>
            <w:r>
              <w:rPr>
                <w:rFonts w:hint="eastAsia" w:ascii="宋体" w:hAnsi="宋体" w:eastAsia="宋体" w:cs="宋体"/>
                <w:snapToGrid w:val="0"/>
                <w:color w:val="auto"/>
                <w:sz w:val="21"/>
                <w:szCs w:val="21"/>
                <w:highlight w:val="none"/>
                <w:lang w:eastAsia="zh-CN"/>
              </w:rPr>
              <w:t>配合验收方案</w:t>
            </w:r>
          </w:p>
        </w:tc>
        <w:tc>
          <w:tcPr>
            <w:tcW w:w="6471" w:type="dxa"/>
            <w:noWrap w:val="0"/>
            <w:vAlign w:val="top"/>
          </w:tcPr>
          <w:p w14:paraId="3EC99262">
            <w:pPr>
              <w:pStyle w:val="12"/>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由评标委员会根据投标人提供的</w:t>
            </w:r>
            <w:r>
              <w:rPr>
                <w:rFonts w:hint="eastAsia" w:ascii="宋体" w:hAnsi="宋体" w:eastAsia="宋体" w:cs="宋体"/>
                <w:color w:val="auto"/>
                <w:sz w:val="21"/>
                <w:szCs w:val="21"/>
                <w:highlight w:val="none"/>
                <w:lang w:val="en-US" w:eastAsia="zh-CN"/>
              </w:rPr>
              <w:t>配合验收方案（</w:t>
            </w:r>
            <w:r>
              <w:rPr>
                <w:rFonts w:hint="eastAsia" w:ascii="宋体" w:hAnsi="宋体" w:eastAsia="宋体" w:cs="宋体"/>
                <w:color w:val="auto"/>
                <w:sz w:val="21"/>
                <w:szCs w:val="21"/>
                <w:highlight w:val="none"/>
              </w:rPr>
              <w:t>验收内容、验收方式、验收流程及标准、验收中出现问题的解决办法和补救措施等内容、验收交付物等</w:t>
            </w:r>
            <w:r>
              <w:rPr>
                <w:rFonts w:hint="eastAsia" w:ascii="宋体" w:hAnsi="宋体" w:eastAsia="宋体" w:cs="宋体"/>
                <w:color w:val="auto"/>
                <w:sz w:val="21"/>
                <w:szCs w:val="21"/>
                <w:highlight w:val="none"/>
                <w:lang w:eastAsia="zh-CN"/>
              </w:rPr>
              <w:t>）内容</w:t>
            </w:r>
            <w:r>
              <w:rPr>
                <w:rFonts w:hint="eastAsia" w:ascii="宋体" w:hAnsi="宋体" w:eastAsia="宋体" w:cs="宋体"/>
                <w:color w:val="auto"/>
                <w:sz w:val="21"/>
                <w:szCs w:val="21"/>
                <w:highlight w:val="none"/>
              </w:rPr>
              <w:t>进行</w:t>
            </w:r>
            <w:r>
              <w:rPr>
                <w:rFonts w:hint="eastAsia" w:ascii="宋体" w:hAnsi="宋体" w:eastAsia="宋体" w:cs="宋体"/>
                <w:color w:val="auto"/>
                <w:sz w:val="21"/>
                <w:szCs w:val="21"/>
                <w:highlight w:val="none"/>
                <w:lang w:eastAsia="zh-CN"/>
              </w:rPr>
              <w:t>综合</w:t>
            </w:r>
            <w:r>
              <w:rPr>
                <w:rFonts w:hint="eastAsia" w:ascii="宋体" w:hAnsi="宋体" w:eastAsia="宋体" w:cs="宋体"/>
                <w:color w:val="auto"/>
                <w:sz w:val="21"/>
                <w:szCs w:val="21"/>
                <w:highlight w:val="none"/>
              </w:rPr>
              <w:t>评审，以下各项不得重复计分</w:t>
            </w:r>
            <w:r>
              <w:rPr>
                <w:rFonts w:hint="eastAsia" w:ascii="宋体" w:hAnsi="宋体" w:eastAsia="宋体" w:cs="宋体"/>
                <w:color w:val="auto"/>
                <w:sz w:val="21"/>
                <w:szCs w:val="21"/>
                <w:highlight w:val="none"/>
                <w:lang w:eastAsia="zh-CN"/>
              </w:rPr>
              <w:t>：</w:t>
            </w:r>
          </w:p>
          <w:p w14:paraId="259D3E53">
            <w:pPr>
              <w:pStyle w:val="12"/>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①投标人提供的</w:t>
            </w:r>
            <w:r>
              <w:rPr>
                <w:rFonts w:hint="eastAsia" w:ascii="宋体" w:hAnsi="宋体" w:eastAsia="宋体" w:cs="宋体"/>
                <w:color w:val="auto"/>
                <w:sz w:val="21"/>
                <w:szCs w:val="21"/>
                <w:highlight w:val="none"/>
                <w:lang w:eastAsia="zh-CN"/>
              </w:rPr>
              <w:t>配合验收方案</w:t>
            </w:r>
            <w:r>
              <w:rPr>
                <w:rFonts w:hint="eastAsia" w:ascii="宋体" w:hAnsi="宋体" w:eastAsia="宋体" w:cs="宋体"/>
                <w:color w:val="auto"/>
                <w:sz w:val="21"/>
                <w:szCs w:val="21"/>
                <w:highlight w:val="none"/>
              </w:rPr>
              <w:t>在满足采购需求的验收内容前提下，对验收方式、验收条件及标准、验收方法、验收交付物等内容均有明确描述的，得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025B1FCF">
            <w:pPr>
              <w:pStyle w:val="12"/>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②在本项①基础上，投标人能根据采购需求的验收要求制定项目验收流程；有具体的验收准备</w:t>
            </w:r>
            <w:r>
              <w:rPr>
                <w:rFonts w:hint="eastAsia" w:ascii="宋体" w:hAnsi="宋体" w:eastAsia="宋体" w:cs="宋体"/>
                <w:color w:val="auto"/>
                <w:sz w:val="21"/>
                <w:szCs w:val="21"/>
                <w:highlight w:val="none"/>
                <w:lang w:eastAsia="zh-CN"/>
              </w:rPr>
              <w:t>，验收</w:t>
            </w:r>
            <w:r>
              <w:rPr>
                <w:rFonts w:hint="eastAsia" w:ascii="宋体" w:hAnsi="宋体" w:eastAsia="宋体" w:cs="宋体"/>
                <w:color w:val="auto"/>
                <w:sz w:val="21"/>
                <w:szCs w:val="21"/>
                <w:highlight w:val="none"/>
              </w:rPr>
              <w:t>保障手段能有效保障项目的顺利验收</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28040F3A">
            <w:pPr>
              <w:pStyle w:val="12"/>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③在本项②基础上，投标人能提出完整、详细、量化的验收标准</w:t>
            </w:r>
            <w:r>
              <w:rPr>
                <w:rFonts w:hint="eastAsia" w:ascii="宋体" w:hAnsi="宋体" w:eastAsia="宋体" w:cs="宋体"/>
                <w:color w:val="auto"/>
                <w:sz w:val="21"/>
                <w:szCs w:val="21"/>
                <w:highlight w:val="none"/>
                <w:lang w:eastAsia="zh-CN"/>
              </w:rPr>
              <w:t>；针对验收过程出现的问题，有积极有效的补救措施，保障手段强；</w:t>
            </w:r>
            <w:r>
              <w:rPr>
                <w:rFonts w:hint="eastAsia" w:ascii="宋体" w:hAnsi="宋体" w:eastAsia="宋体" w:cs="宋体"/>
                <w:color w:val="auto"/>
                <w:sz w:val="21"/>
                <w:szCs w:val="21"/>
                <w:highlight w:val="none"/>
              </w:rPr>
              <w:t>同时能提供类似项目验收文档清单样板的，各流程的验收文档输出时间有明确计划时限</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78B6006A">
            <w:pPr>
              <w:pStyle w:val="12"/>
              <w:keepNext w:val="0"/>
              <w:keepLines w:val="0"/>
              <w:pageBreakBefore w:val="0"/>
              <w:widowControl/>
              <w:kinsoku/>
              <w:wordWrap/>
              <w:overflowPunct/>
              <w:topLinePunct/>
              <w:autoSpaceDE/>
              <w:autoSpaceDN/>
              <w:bidi w:val="0"/>
              <w:adjustRightInd/>
              <w:snapToGrid w:val="0"/>
              <w:spacing w:before="60" w:after="60" w:line="312"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注：未提供</w:t>
            </w:r>
            <w:r>
              <w:rPr>
                <w:rFonts w:hint="eastAsia" w:ascii="宋体" w:hAnsi="宋体" w:eastAsia="宋体" w:cs="宋体"/>
                <w:color w:val="auto"/>
                <w:sz w:val="21"/>
                <w:szCs w:val="21"/>
                <w:highlight w:val="none"/>
                <w:lang w:eastAsia="zh-CN"/>
              </w:rPr>
              <w:t>配合验收方案</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配合验收方案</w:t>
            </w:r>
            <w:r>
              <w:rPr>
                <w:rFonts w:hint="eastAsia" w:ascii="宋体" w:hAnsi="宋体" w:eastAsia="宋体" w:cs="宋体"/>
                <w:color w:val="auto"/>
                <w:sz w:val="21"/>
                <w:szCs w:val="21"/>
                <w:highlight w:val="none"/>
              </w:rPr>
              <w:t>未达到①标准要求的</w:t>
            </w:r>
            <w:r>
              <w:rPr>
                <w:rFonts w:hint="eastAsia" w:ascii="宋体" w:hAnsi="宋体" w:eastAsia="宋体" w:cs="宋体"/>
                <w:color w:val="auto"/>
                <w:sz w:val="21"/>
                <w:szCs w:val="21"/>
                <w:highlight w:val="none"/>
                <w:lang w:eastAsia="zh-CN"/>
              </w:rPr>
              <w:t>计</w:t>
            </w:r>
            <w:r>
              <w:rPr>
                <w:rFonts w:hint="eastAsia" w:ascii="宋体" w:hAnsi="宋体" w:eastAsia="宋体" w:cs="宋体"/>
                <w:color w:val="auto"/>
                <w:sz w:val="21"/>
                <w:szCs w:val="21"/>
                <w:highlight w:val="none"/>
              </w:rPr>
              <w:t>0分。</w:t>
            </w:r>
          </w:p>
        </w:tc>
        <w:tc>
          <w:tcPr>
            <w:tcW w:w="664" w:type="dxa"/>
            <w:noWrap w:val="0"/>
            <w:vAlign w:val="center"/>
          </w:tcPr>
          <w:p w14:paraId="4F59E319">
            <w:pPr>
              <w:keepNext w:val="0"/>
              <w:keepLines w:val="0"/>
              <w:pageBreakBefore w:val="0"/>
              <w:widowControl/>
              <w:kinsoku/>
              <w:wordWrap/>
              <w:overflowPunct/>
              <w:topLinePunct/>
              <w:autoSpaceDE/>
              <w:autoSpaceDN/>
              <w:bidi w:val="0"/>
              <w:snapToGrid w:val="0"/>
              <w:spacing w:before="60" w:after="60" w:line="312"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r>
      <w:tr w14:paraId="69FA6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504" w:type="dxa"/>
            <w:gridSpan w:val="2"/>
            <w:noWrap w:val="0"/>
            <w:vAlign w:val="center"/>
          </w:tcPr>
          <w:p w14:paraId="3D49444E">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总得分</w:t>
            </w:r>
          </w:p>
        </w:tc>
        <w:tc>
          <w:tcPr>
            <w:tcW w:w="7195" w:type="dxa"/>
            <w:gridSpan w:val="2"/>
            <w:noWrap w:val="0"/>
            <w:vAlign w:val="center"/>
          </w:tcPr>
          <w:p w14:paraId="2537733E">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合计</w:t>
            </w:r>
          </w:p>
        </w:tc>
        <w:tc>
          <w:tcPr>
            <w:tcW w:w="664" w:type="dxa"/>
            <w:noWrap w:val="0"/>
            <w:vAlign w:val="center"/>
          </w:tcPr>
          <w:p w14:paraId="7A02E2C4">
            <w:pPr>
              <w:keepNext w:val="0"/>
              <w:keepLines w:val="0"/>
              <w:pageBreakBefore w:val="0"/>
              <w:widowControl/>
              <w:suppressLineNumbers w:val="0"/>
              <w:shd w:val="clear" w:color="auto" w:fill="auto"/>
              <w:kinsoku/>
              <w:wordWrap/>
              <w:overflowPunct/>
              <w:topLinePunct/>
              <w:autoSpaceDE/>
              <w:autoSpaceDN/>
              <w:bidi w:val="0"/>
              <w:snapToGrid w:val="0"/>
              <w:spacing w:before="60" w:beforeAutospacing="0" w:after="60" w:afterAutospacing="0" w:line="312"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100</w:t>
            </w:r>
          </w:p>
        </w:tc>
      </w:tr>
    </w:tbl>
    <w:p w14:paraId="4522FED0">
      <w:pPr>
        <w:widowControl/>
        <w:topLinePunct/>
        <w:adjustRightInd w:val="0"/>
        <w:snapToGrid w:val="0"/>
        <w:spacing w:before="60" w:after="60"/>
        <w:ind w:firstLine="420" w:firstLineChars="200"/>
        <w:rPr>
          <w:rFonts w:hint="eastAsia" w:ascii="宋体" w:hAnsi="宋体" w:cs="宋体"/>
          <w:color w:val="auto"/>
          <w:sz w:val="21"/>
          <w:szCs w:val="21"/>
          <w:highlight w:val="none"/>
          <w:lang w:val="en-US" w:eastAsia="zh-CN"/>
        </w:rPr>
      </w:pPr>
    </w:p>
    <w:p w14:paraId="432A3D93">
      <w:pPr>
        <w:widowControl/>
        <w:topLinePunct/>
        <w:autoSpaceDE/>
        <w:autoSpaceDN/>
        <w:adjustRightInd w:val="0"/>
        <w:snapToGrid w:val="0"/>
        <w:spacing w:before="60" w:after="60" w:line="360" w:lineRule="auto"/>
        <w:ind w:firstLine="422" w:firstLineChars="200"/>
        <w:outlineLvl w:val="1"/>
        <w:rPr>
          <w:rFonts w:hint="eastAsia" w:ascii="宋体" w:hAnsi="宋体" w:eastAsia="宋体" w:cs="宋体"/>
          <w:b/>
          <w:bCs/>
          <w:color w:val="auto"/>
          <w:sz w:val="24"/>
          <w:highlight w:val="none"/>
        </w:rPr>
      </w:pPr>
      <w:bookmarkStart w:id="36" w:name="_Toc145"/>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rPr>
        <w:t>落实政府采购政策进行价格调整的规则：</w:t>
      </w:r>
      <w:bookmarkEnd w:id="36"/>
    </w:p>
    <w:tbl>
      <w:tblPr>
        <w:tblStyle w:val="23"/>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68"/>
        <w:gridCol w:w="3561"/>
        <w:gridCol w:w="3835"/>
      </w:tblGrid>
      <w:tr w14:paraId="2414F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dxa"/>
            <w:noWrap w:val="0"/>
            <w:vAlign w:val="center"/>
          </w:tcPr>
          <w:p w14:paraId="2313AD57">
            <w:pPr>
              <w:pStyle w:val="35"/>
              <w:widowControl w:val="0"/>
              <w:spacing w:line="360" w:lineRule="auto"/>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政府采购政策</w:t>
            </w:r>
          </w:p>
        </w:tc>
        <w:tc>
          <w:tcPr>
            <w:tcW w:w="3561" w:type="dxa"/>
            <w:noWrap w:val="0"/>
            <w:vAlign w:val="center"/>
          </w:tcPr>
          <w:p w14:paraId="57536BF4">
            <w:pPr>
              <w:pStyle w:val="35"/>
              <w:widowControl w:val="0"/>
              <w:spacing w:line="360" w:lineRule="auto"/>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价格扣除规则</w:t>
            </w:r>
          </w:p>
        </w:tc>
        <w:tc>
          <w:tcPr>
            <w:tcW w:w="3835" w:type="dxa"/>
            <w:noWrap w:val="0"/>
            <w:vAlign w:val="center"/>
          </w:tcPr>
          <w:p w14:paraId="6E0F1A1C">
            <w:pPr>
              <w:pStyle w:val="35"/>
              <w:widowControl w:val="0"/>
              <w:spacing w:line="360" w:lineRule="auto"/>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享受价格扣除的条件</w:t>
            </w:r>
          </w:p>
        </w:tc>
      </w:tr>
      <w:tr w14:paraId="49A2B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dxa"/>
            <w:noWrap w:val="0"/>
            <w:vAlign w:val="center"/>
          </w:tcPr>
          <w:p w14:paraId="1E354E99">
            <w:pPr>
              <w:pStyle w:val="35"/>
              <w:widowControl w:val="0"/>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节约能源政策</w:t>
            </w:r>
          </w:p>
        </w:tc>
        <w:tc>
          <w:tcPr>
            <w:tcW w:w="3561" w:type="dxa"/>
            <w:noWrap w:val="0"/>
            <w:vAlign w:val="center"/>
          </w:tcPr>
          <w:p w14:paraId="2DF4E444">
            <w:pPr>
              <w:pStyle w:val="35"/>
              <w:widowControl w:val="0"/>
              <w:spacing w:line="360" w:lineRule="auto"/>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w:t>
            </w:r>
          </w:p>
        </w:tc>
        <w:tc>
          <w:tcPr>
            <w:tcW w:w="3835" w:type="dxa"/>
            <w:noWrap w:val="0"/>
            <w:vAlign w:val="center"/>
          </w:tcPr>
          <w:p w14:paraId="20262748">
            <w:pPr>
              <w:pStyle w:val="35"/>
              <w:widowControl w:val="0"/>
              <w:spacing w:line="360" w:lineRule="auto"/>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w:t>
            </w:r>
          </w:p>
        </w:tc>
      </w:tr>
      <w:tr w14:paraId="4EB91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dxa"/>
            <w:noWrap w:val="0"/>
            <w:vAlign w:val="center"/>
          </w:tcPr>
          <w:p w14:paraId="3A1F8D2A">
            <w:pPr>
              <w:pStyle w:val="35"/>
              <w:widowControl w:val="0"/>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保护环境政策</w:t>
            </w:r>
          </w:p>
        </w:tc>
        <w:tc>
          <w:tcPr>
            <w:tcW w:w="3561" w:type="dxa"/>
            <w:noWrap w:val="0"/>
            <w:vAlign w:val="center"/>
          </w:tcPr>
          <w:p w14:paraId="6D96A0E3">
            <w:pPr>
              <w:pStyle w:val="35"/>
              <w:widowControl w:val="0"/>
              <w:spacing w:line="360" w:lineRule="auto"/>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w:t>
            </w:r>
          </w:p>
        </w:tc>
        <w:tc>
          <w:tcPr>
            <w:tcW w:w="3835" w:type="dxa"/>
            <w:noWrap w:val="0"/>
            <w:vAlign w:val="center"/>
          </w:tcPr>
          <w:p w14:paraId="3B18D0A0">
            <w:pPr>
              <w:pStyle w:val="35"/>
              <w:widowControl w:val="0"/>
              <w:spacing w:line="360" w:lineRule="auto"/>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w:t>
            </w:r>
          </w:p>
        </w:tc>
      </w:tr>
      <w:tr w14:paraId="6567F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dxa"/>
            <w:noWrap w:val="0"/>
            <w:vAlign w:val="center"/>
          </w:tcPr>
          <w:p w14:paraId="4EE869F2">
            <w:pPr>
              <w:pStyle w:val="35"/>
              <w:widowControl w:val="0"/>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促进中小企业</w:t>
            </w:r>
          </w:p>
          <w:p w14:paraId="58E0AC1A">
            <w:pPr>
              <w:pStyle w:val="35"/>
              <w:widowControl w:val="0"/>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发展政策</w:t>
            </w:r>
          </w:p>
        </w:tc>
        <w:tc>
          <w:tcPr>
            <w:tcW w:w="3561" w:type="dxa"/>
            <w:noWrap w:val="0"/>
            <w:vAlign w:val="center"/>
          </w:tcPr>
          <w:p w14:paraId="488104CA">
            <w:pPr>
              <w:pStyle w:val="12"/>
              <w:spacing w:line="330" w:lineRule="exact"/>
              <w:rPr>
                <w:rFonts w:hint="eastAsia" w:ascii="宋体" w:hAnsi="宋体" w:eastAsia="宋体" w:cs="宋体"/>
                <w:color w:val="auto"/>
                <w:kern w:val="2"/>
                <w:sz w:val="21"/>
                <w:szCs w:val="21"/>
                <w:highlight w:val="none"/>
              </w:rPr>
            </w:pPr>
            <w:r>
              <w:rPr>
                <w:rFonts w:hint="eastAsia"/>
                <w:color w:val="auto"/>
                <w:highlight w:val="none"/>
              </w:rPr>
              <w:t>货物服务采购项目给予小微企业的价格评审优惠为15</w:t>
            </w:r>
            <w:r>
              <w:rPr>
                <w:color w:val="auto"/>
                <w:highlight w:val="none"/>
              </w:rPr>
              <w:t>%</w:t>
            </w:r>
            <w:r>
              <w:rPr>
                <w:rFonts w:hint="eastAsia"/>
                <w:color w:val="auto"/>
                <w:highlight w:val="none"/>
              </w:rPr>
              <w:t>～20</w:t>
            </w:r>
            <w:r>
              <w:rPr>
                <w:color w:val="auto"/>
                <w:highlight w:val="none"/>
              </w:rPr>
              <w:t>%</w:t>
            </w:r>
            <w:r>
              <w:rPr>
                <w:rFonts w:hint="eastAsia"/>
                <w:color w:val="auto"/>
                <w:highlight w:val="none"/>
              </w:rPr>
              <w:t>的扣除，用扣除后的价格参与评审。本项目的扣除比例为：小型企业扣除15</w:t>
            </w:r>
            <w:r>
              <w:rPr>
                <w:color w:val="auto"/>
                <w:highlight w:val="none"/>
              </w:rPr>
              <w:t>%</w:t>
            </w:r>
            <w:r>
              <w:rPr>
                <w:rFonts w:hint="eastAsia"/>
                <w:color w:val="auto"/>
                <w:highlight w:val="none"/>
              </w:rPr>
              <w:t>，微型企业扣除15</w:t>
            </w:r>
            <w:r>
              <w:rPr>
                <w:color w:val="auto"/>
                <w:highlight w:val="none"/>
              </w:rPr>
              <w:t>%</w:t>
            </w:r>
            <w:r>
              <w:rPr>
                <w:rFonts w:hint="eastAsia"/>
                <w:color w:val="auto"/>
                <w:highlight w:val="none"/>
              </w:rPr>
              <w:t>。</w:t>
            </w:r>
          </w:p>
        </w:tc>
        <w:tc>
          <w:tcPr>
            <w:tcW w:w="3835" w:type="dxa"/>
            <w:noWrap w:val="0"/>
            <w:vAlign w:val="center"/>
          </w:tcPr>
          <w:p w14:paraId="4F123DAF">
            <w:pPr>
              <w:pStyle w:val="12"/>
              <w:spacing w:line="330" w:lineRule="exac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（1）在货物采购项目中，货物由中小企业制造，即货物由中小企业生产且使用该中小企业商号或者注册商标，不对其中涉及的工程承建商和服务的承接商作出要求；</w:t>
            </w:r>
          </w:p>
          <w:p w14:paraId="410F9121">
            <w:pPr>
              <w:pStyle w:val="12"/>
              <w:spacing w:line="330" w:lineRule="exac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（2）在服务采购项目中，服务由中小企业承接，即提供服务的人员为中小企业依照《中华人民共和国劳动合同法》订立劳动合同的从业人员，不对其中涉及的货物的制造商和工程承建商作出要求。</w:t>
            </w:r>
          </w:p>
        </w:tc>
      </w:tr>
      <w:tr w14:paraId="26D2E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dxa"/>
            <w:noWrap w:val="0"/>
            <w:vAlign w:val="center"/>
          </w:tcPr>
          <w:p w14:paraId="75540DA4">
            <w:pPr>
              <w:pStyle w:val="35"/>
              <w:widowControl w:val="0"/>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促进残疾人就业政策</w:t>
            </w:r>
          </w:p>
        </w:tc>
        <w:tc>
          <w:tcPr>
            <w:tcW w:w="3561" w:type="dxa"/>
            <w:shd w:val="clear" w:color="auto" w:fill="auto"/>
            <w:noWrap w:val="0"/>
            <w:vAlign w:val="center"/>
          </w:tcPr>
          <w:p w14:paraId="1C478EB3">
            <w:pPr>
              <w:pStyle w:val="12"/>
              <w:spacing w:line="330" w:lineRule="exact"/>
              <w:rPr>
                <w:rFonts w:hint="eastAsia" w:ascii="宋体" w:hAnsi="Courier New" w:eastAsia="宋体" w:cs="Courier New"/>
                <w:color w:val="auto"/>
                <w:kern w:val="2"/>
                <w:sz w:val="21"/>
                <w:szCs w:val="21"/>
                <w:highlight w:val="none"/>
                <w:lang w:val="en-US" w:eastAsia="zh-CN" w:bidi="ar-SA"/>
              </w:rPr>
            </w:pPr>
            <w:r>
              <w:rPr>
                <w:rFonts w:hint="eastAsia" w:ascii="宋体" w:hAnsi="Courier New" w:eastAsia="宋体" w:cs="Courier New"/>
                <w:color w:val="auto"/>
                <w:kern w:val="2"/>
                <w:sz w:val="21"/>
                <w:szCs w:val="21"/>
                <w:highlight w:val="none"/>
                <w:lang w:val="en-US" w:eastAsia="zh-CN" w:bidi="ar-SA"/>
              </w:rPr>
              <w:t>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并对其投标报价给予15%的扣除，扣除后的价格为评标报价，即评标报价=投标报价×（1-15%）。残疾人福利性单位属于小型、微型企业的，不重复享受政策。</w:t>
            </w:r>
          </w:p>
        </w:tc>
        <w:tc>
          <w:tcPr>
            <w:tcW w:w="3835" w:type="dxa"/>
            <w:noWrap w:val="0"/>
            <w:vAlign w:val="center"/>
          </w:tcPr>
          <w:p w14:paraId="06553D5E">
            <w:pPr>
              <w:pStyle w:val="12"/>
              <w:spacing w:line="330" w:lineRule="exact"/>
              <w:rPr>
                <w:rFonts w:hint="eastAsia" w:ascii="宋体" w:hAnsi="宋体" w:eastAsia="宋体" w:cs="宋体"/>
                <w:color w:val="auto"/>
                <w:kern w:val="2"/>
                <w:sz w:val="21"/>
                <w:szCs w:val="21"/>
                <w:highlight w:val="none"/>
              </w:rPr>
            </w:pPr>
            <w:r>
              <w:rPr>
                <w:rFonts w:hint="eastAsia" w:ascii="宋体" w:hAnsi="宋体" w:eastAsia="宋体" w:cs="宋体"/>
                <w:color w:val="auto"/>
                <w:highlight w:val="none"/>
              </w:rPr>
              <w:t>投标人在其投标文件中提供该通知规定的《残疾人福利性单位声明函》，并对声明的真实性负责。（投标人如能够在线查询的材料，请提供查询网址链接，可以不用同时提供纸质材料，原件备查）</w:t>
            </w:r>
          </w:p>
        </w:tc>
      </w:tr>
      <w:tr w14:paraId="0E5BF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dxa"/>
            <w:noWrap w:val="0"/>
            <w:vAlign w:val="center"/>
          </w:tcPr>
          <w:p w14:paraId="2D25B76F">
            <w:pPr>
              <w:pStyle w:val="35"/>
              <w:widowControl w:val="0"/>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支持监狱企业</w:t>
            </w:r>
          </w:p>
          <w:p w14:paraId="7D290117">
            <w:pPr>
              <w:pStyle w:val="35"/>
              <w:widowControl w:val="0"/>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发展政策</w:t>
            </w:r>
          </w:p>
        </w:tc>
        <w:tc>
          <w:tcPr>
            <w:tcW w:w="3561" w:type="dxa"/>
            <w:shd w:val="clear" w:color="auto" w:fill="auto"/>
            <w:noWrap w:val="0"/>
            <w:vAlign w:val="center"/>
          </w:tcPr>
          <w:p w14:paraId="37213DE1">
            <w:pPr>
              <w:pStyle w:val="12"/>
              <w:spacing w:line="330" w:lineRule="exact"/>
              <w:rPr>
                <w:rFonts w:hint="eastAsia" w:ascii="宋体" w:hAnsi="Courier New" w:eastAsia="宋体" w:cs="Courier New"/>
                <w:color w:val="auto"/>
                <w:kern w:val="2"/>
                <w:sz w:val="21"/>
                <w:szCs w:val="21"/>
                <w:highlight w:val="none"/>
                <w:lang w:val="en-US" w:eastAsia="zh-CN" w:bidi="ar-SA"/>
              </w:rPr>
            </w:pPr>
            <w:r>
              <w:rPr>
                <w:rFonts w:hint="eastAsia" w:ascii="宋体" w:hAnsi="Courier New" w:eastAsia="宋体" w:cs="Courier New"/>
                <w:color w:val="auto"/>
                <w:kern w:val="2"/>
                <w:sz w:val="21"/>
                <w:szCs w:val="21"/>
                <w:highlight w:val="none"/>
                <w:lang w:val="en-US" w:eastAsia="zh-CN" w:bidi="ar-SA"/>
              </w:rPr>
              <w:t>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对其投标报价给予15%的扣除，扣除后的价格为评标报价，即评标报价=</w:t>
            </w:r>
            <w:r>
              <w:rPr>
                <w:rFonts w:hint="eastAsia" w:cs="Courier New"/>
                <w:color w:val="auto"/>
                <w:kern w:val="2"/>
                <w:sz w:val="21"/>
                <w:szCs w:val="21"/>
                <w:highlight w:val="none"/>
                <w:lang w:val="en-US" w:eastAsia="zh-CN" w:bidi="ar-SA"/>
              </w:rPr>
              <w:t>投标报价</w:t>
            </w:r>
            <w:r>
              <w:rPr>
                <w:rFonts w:hint="eastAsia" w:ascii="宋体" w:hAnsi="Courier New" w:eastAsia="宋体" w:cs="Courier New"/>
                <w:color w:val="auto"/>
                <w:kern w:val="2"/>
                <w:sz w:val="21"/>
                <w:szCs w:val="21"/>
                <w:highlight w:val="none"/>
                <w:lang w:val="en-US" w:eastAsia="zh-CN" w:bidi="ar-SA"/>
              </w:rPr>
              <w:t>×（1-15%）。监狱企业属于小型、微型企业的，不重复享受政策。</w:t>
            </w:r>
          </w:p>
        </w:tc>
        <w:tc>
          <w:tcPr>
            <w:tcW w:w="3835" w:type="dxa"/>
            <w:noWrap w:val="0"/>
            <w:vAlign w:val="center"/>
          </w:tcPr>
          <w:p w14:paraId="5D53A380">
            <w:pPr>
              <w:pStyle w:val="12"/>
              <w:spacing w:line="330" w:lineRule="exac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SA"/>
              </w:rPr>
              <w:t>投标人在其投标文件中提供由省级以上监狱管理局、戒毒管理局（含新疆生产建设兵团）出具的属于监狱企业的证明文件</w:t>
            </w:r>
          </w:p>
        </w:tc>
      </w:tr>
      <w:tr w14:paraId="4B6AB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068" w:type="dxa"/>
            <w:noWrap w:val="0"/>
            <w:vAlign w:val="center"/>
          </w:tcPr>
          <w:p w14:paraId="4A3D2555">
            <w:pPr>
              <w:pStyle w:val="12"/>
              <w:spacing w:line="330" w:lineRule="exact"/>
              <w:jc w:val="center"/>
              <w:outlineLvl w:val="9"/>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支持本国产品政策</w:t>
            </w:r>
          </w:p>
        </w:tc>
        <w:tc>
          <w:tcPr>
            <w:tcW w:w="3561" w:type="dxa"/>
            <w:shd w:val="clear" w:color="auto" w:fill="auto"/>
            <w:noWrap w:val="0"/>
            <w:vAlign w:val="center"/>
          </w:tcPr>
          <w:p w14:paraId="3BBDA2D9">
            <w:pPr>
              <w:pStyle w:val="12"/>
              <w:spacing w:line="330" w:lineRule="exact"/>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（1）既有本国产品又有非本国产品参与竞争的，对本国产品的报价给予20%的价格扣除，用扣除后的价格参与评审；</w:t>
            </w:r>
          </w:p>
          <w:p w14:paraId="765FA5EE">
            <w:pPr>
              <w:pStyle w:val="12"/>
              <w:spacing w:line="330" w:lineRule="exact"/>
              <w:outlineLvl w:val="9"/>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val="en-US" w:eastAsia="zh-CN" w:bidi="ar-SA"/>
              </w:rPr>
              <w:t>（2）采购项目或采购包中含有多种产品，投标人提供的本国产品成本之和占该投标人提供的全部产品成本之和的比例达到80%以上时，对该投标人提供的全部产品的总报价给予20%的价格扣除，用扣除后的价格参与评审。</w:t>
            </w:r>
          </w:p>
        </w:tc>
        <w:tc>
          <w:tcPr>
            <w:tcW w:w="3835" w:type="dxa"/>
            <w:noWrap w:val="0"/>
            <w:vAlign w:val="center"/>
          </w:tcPr>
          <w:p w14:paraId="0E63E118">
            <w:pPr>
              <w:pStyle w:val="12"/>
              <w:spacing w:line="330" w:lineRule="exact"/>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出具《关于符合本国产品标准的声明函》。审查要求按照《关于贯彻落实〈国务院办公厅关于在政府采购中实施本国产品标准及相关政策的通知〉的意见》（财库〔2025〕30号）执行。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要求的，供应商提供的相关产品视为不符合本国产品标准。</w:t>
            </w:r>
          </w:p>
        </w:tc>
      </w:tr>
    </w:tbl>
    <w:p w14:paraId="138B1B28">
      <w:pPr>
        <w:widowControl/>
        <w:topLinePunct/>
        <w:adjustRightInd w:val="0"/>
        <w:snapToGrid w:val="0"/>
        <w:spacing w:before="60" w:after="60"/>
        <w:ind w:firstLine="422" w:firstLineChars="200"/>
        <w:outlineLvl w:val="9"/>
        <w:rPr>
          <w:rFonts w:hint="eastAsia" w:ascii="宋体" w:hAnsi="宋体" w:cs="宋体"/>
          <w:b/>
          <w:bCs/>
          <w:color w:val="auto"/>
          <w:sz w:val="21"/>
          <w:szCs w:val="21"/>
          <w:highlight w:val="none"/>
          <w:lang w:val="en-US" w:eastAsia="zh-CN"/>
        </w:rPr>
      </w:pPr>
    </w:p>
    <w:p w14:paraId="7F032712">
      <w:pPr>
        <w:widowControl/>
        <w:topLinePunct/>
        <w:adjustRightInd w:val="0"/>
        <w:snapToGrid w:val="0"/>
        <w:spacing w:before="60" w:after="60"/>
        <w:ind w:firstLine="422" w:firstLineChars="200"/>
        <w:outlineLvl w:val="1"/>
        <w:rPr>
          <w:rFonts w:hint="eastAsia" w:ascii="宋体" w:hAnsi="宋体" w:eastAsia="宋体" w:cs="宋体"/>
          <w:b/>
          <w:bCs/>
          <w:color w:val="auto"/>
          <w:sz w:val="21"/>
          <w:szCs w:val="21"/>
          <w:highlight w:val="none"/>
        </w:rPr>
      </w:pPr>
      <w:bookmarkStart w:id="37" w:name="_Toc3803"/>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推荐中标候选人</w:t>
      </w:r>
      <w:bookmarkEnd w:id="37"/>
    </w:p>
    <w:p w14:paraId="4FD4D39D">
      <w:pPr>
        <w:widowControl/>
        <w:topLinePunct/>
        <w:autoSpaceDE w:val="0"/>
        <w:autoSpaceDN w:val="0"/>
        <w:adjustRightInd w:val="0"/>
        <w:snapToGrid w:val="0"/>
        <w:spacing w:before="0" w:after="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1</w:t>
      </w:r>
      <w:r>
        <w:rPr>
          <w:rFonts w:ascii="Times New Roman" w:hAnsi="Times New Roman"/>
          <w:color w:val="auto"/>
          <w:szCs w:val="21"/>
          <w:highlight w:val="none"/>
        </w:rPr>
        <w:t>按评审后得分由高到低顺序排列。得分相同的，按</w:t>
      </w:r>
      <w:r>
        <w:rPr>
          <w:rFonts w:hint="eastAsia" w:ascii="Times New Roman" w:hAnsi="Times New Roman"/>
          <w:color w:val="auto"/>
          <w:szCs w:val="21"/>
          <w:highlight w:val="none"/>
          <w:lang w:eastAsia="zh-CN"/>
        </w:rPr>
        <w:t>照</w:t>
      </w:r>
      <w:r>
        <w:rPr>
          <w:rFonts w:ascii="Times New Roman" w:hAnsi="Times New Roman"/>
          <w:color w:val="auto"/>
          <w:szCs w:val="21"/>
          <w:highlight w:val="none"/>
        </w:rPr>
        <w:t>投标报价由低到高顺序排列</w:t>
      </w:r>
      <w:r>
        <w:rPr>
          <w:rFonts w:hint="eastAsia" w:ascii="Times New Roman" w:hAnsi="Times New Roman"/>
          <w:color w:val="auto"/>
          <w:szCs w:val="21"/>
          <w:highlight w:val="none"/>
          <w:lang w:eastAsia="zh-CN"/>
        </w:rPr>
        <w:t>；</w:t>
      </w:r>
      <w:r>
        <w:rPr>
          <w:rFonts w:ascii="Times New Roman" w:hAnsi="Times New Roman"/>
          <w:color w:val="auto"/>
          <w:szCs w:val="21"/>
          <w:highlight w:val="none"/>
        </w:rPr>
        <w:t>得分</w:t>
      </w:r>
      <w:r>
        <w:rPr>
          <w:rFonts w:hint="eastAsia" w:ascii="Times New Roman" w:hAnsi="Times New Roman"/>
          <w:color w:val="auto"/>
          <w:szCs w:val="21"/>
          <w:highlight w:val="none"/>
          <w:lang w:eastAsia="zh-CN"/>
        </w:rPr>
        <w:t>相同</w:t>
      </w:r>
      <w:r>
        <w:rPr>
          <w:rFonts w:ascii="Times New Roman" w:hAnsi="Times New Roman"/>
          <w:color w:val="auto"/>
          <w:szCs w:val="21"/>
          <w:highlight w:val="none"/>
        </w:rPr>
        <w:t>且投标报价相同的</w:t>
      </w:r>
      <w:r>
        <w:rPr>
          <w:rFonts w:hint="eastAsia" w:ascii="Times New Roman" w:hAnsi="Times New Roman"/>
          <w:color w:val="auto"/>
          <w:szCs w:val="21"/>
          <w:highlight w:val="none"/>
          <w:lang w:eastAsia="zh-CN"/>
        </w:rPr>
        <w:t>，</w:t>
      </w:r>
      <w:r>
        <w:rPr>
          <w:rFonts w:hint="eastAsia" w:ascii="宋体" w:hAnsi="宋体" w:eastAsia="宋体" w:cs="宋体"/>
          <w:color w:val="auto"/>
          <w:szCs w:val="21"/>
          <w:highlight w:val="none"/>
        </w:rPr>
        <w:t>按照</w:t>
      </w:r>
      <w:r>
        <w:rPr>
          <w:rFonts w:hint="eastAsia" w:ascii="宋体" w:hAnsi="宋体" w:eastAsia="宋体" w:cs="宋体"/>
          <w:color w:val="auto"/>
          <w:highlight w:val="none"/>
          <w:u w:val="single"/>
        </w:rPr>
        <w:t>技术</w:t>
      </w:r>
      <w:r>
        <w:rPr>
          <w:rFonts w:hint="eastAsia" w:ascii="宋体" w:hAnsi="宋体" w:cs="宋体"/>
          <w:color w:val="auto"/>
          <w:highlight w:val="none"/>
          <w:u w:val="single"/>
          <w:lang w:eastAsia="zh-CN"/>
        </w:rPr>
        <w:t>因素</w:t>
      </w:r>
      <w:r>
        <w:rPr>
          <w:rFonts w:hint="eastAsia" w:ascii="宋体" w:hAnsi="宋体" w:eastAsia="宋体" w:cs="宋体"/>
          <w:color w:val="auto"/>
          <w:highlight w:val="none"/>
          <w:u w:val="single"/>
        </w:rPr>
        <w:t>优劣顺序排列</w:t>
      </w:r>
      <w:r>
        <w:rPr>
          <w:rFonts w:hint="eastAsia" w:ascii="宋体" w:hAnsi="宋体" w:eastAsia="宋体" w:cs="宋体"/>
          <w:color w:val="auto"/>
          <w:szCs w:val="21"/>
          <w:highlight w:val="none"/>
        </w:rPr>
        <w:t>的方式确定中标人</w:t>
      </w:r>
      <w:r>
        <w:rPr>
          <w:rFonts w:ascii="Times New Roman" w:hAnsi="Times New Roman"/>
          <w:color w:val="auto"/>
          <w:szCs w:val="21"/>
          <w:highlight w:val="none"/>
        </w:rPr>
        <w:t>。</w:t>
      </w:r>
    </w:p>
    <w:p w14:paraId="2C5D86ED">
      <w:pPr>
        <w:widowControl/>
        <w:topLinePunct/>
        <w:autoSpaceDE/>
        <w:autoSpaceDN/>
        <w:adjustRightInd w:val="0"/>
        <w:snapToGrid w:val="0"/>
        <w:spacing w:before="60" w:after="60"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2本采购推荐中标候选人的数量：</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rPr>
        <w:t>家。</w:t>
      </w:r>
    </w:p>
    <w:p w14:paraId="161ABD10">
      <w:pPr>
        <w:widowControl/>
        <w:topLinePunct/>
        <w:autoSpaceDE/>
        <w:autoSpaceDN/>
        <w:adjustRightInd w:val="0"/>
        <w:snapToGrid w:val="0"/>
        <w:spacing w:before="60" w:after="60" w:line="360" w:lineRule="auto"/>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3中标人数量：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家。</w:t>
      </w:r>
    </w:p>
    <w:p w14:paraId="21D250D2">
      <w:pPr>
        <w:widowControl/>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lang w:eastAsia="zh-CN"/>
        </w:rPr>
        <w:sectPr>
          <w:pgSz w:w="11906" w:h="16838"/>
          <w:pgMar w:top="1440" w:right="1412" w:bottom="1440" w:left="1412"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38" w:name="_Toc1406510925"/>
      <w:bookmarkStart w:id="39" w:name="_Toc353483817"/>
      <w:bookmarkStart w:id="40" w:name="_Toc1505390621"/>
      <w:bookmarkStart w:id="41" w:name="_Toc525052847"/>
      <w:bookmarkStart w:id="42" w:name="_Toc1484421284"/>
      <w:bookmarkStart w:id="43" w:name="_Toc1914430521"/>
      <w:bookmarkStart w:id="44" w:name="_Toc38030150"/>
      <w:bookmarkStart w:id="45" w:name="_Toc614538032"/>
    </w:p>
    <w:p w14:paraId="5EDCB97C">
      <w:pPr>
        <w:jc w:val="center"/>
        <w:outlineLvl w:val="0"/>
        <w:rPr>
          <w:rFonts w:hint="eastAsia" w:ascii="宋体" w:hAnsi="宋体" w:eastAsia="宋体" w:cs="宋体"/>
          <w:b/>
          <w:bCs/>
          <w:color w:val="auto"/>
          <w:sz w:val="28"/>
          <w:szCs w:val="28"/>
          <w:highlight w:val="none"/>
        </w:rPr>
      </w:pPr>
      <w:bookmarkStart w:id="46" w:name="_Toc26155"/>
      <w:r>
        <w:rPr>
          <w:rFonts w:hint="eastAsia" w:ascii="宋体" w:hAnsi="宋体" w:eastAsia="宋体" w:cs="宋体"/>
          <w:b/>
          <w:bCs/>
          <w:color w:val="auto"/>
          <w:sz w:val="28"/>
          <w:szCs w:val="28"/>
          <w:highlight w:val="none"/>
        </w:rPr>
        <w:t>第四章  政府采购合同文本</w:t>
      </w:r>
      <w:bookmarkEnd w:id="38"/>
      <w:bookmarkEnd w:id="39"/>
      <w:bookmarkEnd w:id="40"/>
      <w:bookmarkEnd w:id="41"/>
      <w:bookmarkEnd w:id="42"/>
      <w:bookmarkEnd w:id="43"/>
      <w:bookmarkEnd w:id="44"/>
      <w:bookmarkEnd w:id="45"/>
      <w:bookmarkEnd w:id="46"/>
    </w:p>
    <w:p w14:paraId="7317E6E3">
      <w:pPr>
        <w:jc w:val="center"/>
        <w:rPr>
          <w:rFonts w:ascii="华文中宋" w:hAnsi="华文中宋" w:eastAsia="华文中宋" w:cs="华文中宋"/>
          <w:bCs/>
          <w:color w:val="auto"/>
          <w:sz w:val="32"/>
          <w:szCs w:val="32"/>
          <w:highlight w:val="none"/>
        </w:rPr>
      </w:pPr>
    </w:p>
    <w:p w14:paraId="50CA0EC2">
      <w:pPr>
        <w:jc w:val="center"/>
        <w:rPr>
          <w:rFonts w:ascii="华文中宋" w:hAnsi="华文中宋" w:eastAsia="华文中宋" w:cs="华文中宋"/>
          <w:bCs/>
          <w:color w:val="auto"/>
          <w:sz w:val="32"/>
          <w:szCs w:val="32"/>
          <w:highlight w:val="none"/>
        </w:rPr>
      </w:pPr>
      <w:r>
        <w:rPr>
          <w:rFonts w:ascii="华文中宋" w:hAnsi="华文中宋" w:eastAsia="华文中宋" w:cs="华文中宋"/>
          <w:bCs/>
          <w:color w:val="auto"/>
          <w:sz w:val="32"/>
          <w:szCs w:val="32"/>
          <w:highlight w:val="none"/>
        </w:rPr>
        <w:t>（</w:t>
      </w:r>
      <w:r>
        <w:rPr>
          <w:rFonts w:hint="eastAsia" w:ascii="华文中宋" w:hAnsi="华文中宋" w:eastAsia="华文中宋" w:cs="华文中宋"/>
          <w:bCs/>
          <w:color w:val="auto"/>
          <w:sz w:val="32"/>
          <w:szCs w:val="32"/>
          <w:highlight w:val="none"/>
        </w:rPr>
        <w:t>技术服务类项目</w:t>
      </w:r>
      <w:r>
        <w:rPr>
          <w:rFonts w:ascii="华文中宋" w:hAnsi="华文中宋" w:eastAsia="华文中宋" w:cs="华文中宋"/>
          <w:bCs/>
          <w:color w:val="auto"/>
          <w:sz w:val="32"/>
          <w:szCs w:val="32"/>
          <w:highlight w:val="none"/>
        </w:rPr>
        <w:t>）</w:t>
      </w:r>
    </w:p>
    <w:p w14:paraId="64B64A63">
      <w:pPr>
        <w:pStyle w:val="32"/>
        <w:outlineLvl w:val="9"/>
        <w:rPr>
          <w:color w:val="auto"/>
          <w:highlight w:val="none"/>
        </w:rPr>
      </w:pPr>
    </w:p>
    <w:p w14:paraId="517656FF">
      <w:pPr>
        <w:pStyle w:val="12"/>
        <w:jc w:val="center"/>
        <w:rPr>
          <w:rFonts w:hint="eastAsia" w:hAnsi="宋体" w:cs="Times New Roman"/>
          <w:color w:val="auto"/>
          <w:sz w:val="30"/>
          <w:szCs w:val="30"/>
          <w:highlight w:val="none"/>
        </w:rPr>
      </w:pPr>
      <w:r>
        <w:rPr>
          <w:rFonts w:hint="eastAsia" w:ascii="Times New Roman" w:hAnsi="Times New Roman" w:cs="Times New Roman"/>
          <w:color w:val="auto"/>
          <w:highlight w:val="none"/>
        </w:rPr>
        <w:t>（</w:t>
      </w:r>
      <w:r>
        <w:rPr>
          <w:rFonts w:hint="eastAsia" w:hAnsi="宋体" w:cs="Times New Roman"/>
          <w:color w:val="auto"/>
          <w:sz w:val="30"/>
          <w:szCs w:val="30"/>
          <w:highlight w:val="none"/>
        </w:rPr>
        <w:t>合同封面）</w:t>
      </w:r>
      <w:r>
        <w:rPr>
          <w:rFonts w:hAnsi="宋体" w:cs="Times New Roman"/>
          <w:color w:val="auto"/>
          <w:sz w:val="30"/>
          <w:szCs w:val="30"/>
          <w:highlight w:val="none"/>
        </w:rPr>
        <w:t xml:space="preserve">                  </w:t>
      </w:r>
      <w:r>
        <w:rPr>
          <w:rFonts w:hint="eastAsia" w:hAnsi="宋体" w:cs="Times New Roman"/>
          <w:color w:val="auto"/>
          <w:sz w:val="30"/>
          <w:szCs w:val="30"/>
          <w:highlight w:val="none"/>
        </w:rPr>
        <w:t>中小企业预留合同：</w:t>
      </w:r>
      <w:r>
        <w:rPr>
          <w:rFonts w:hint="eastAsia" w:hAnsi="宋体" w:cs="Times New Roman"/>
          <w:color w:val="auto"/>
          <w:sz w:val="30"/>
          <w:szCs w:val="30"/>
          <w:highlight w:val="none"/>
          <w:lang w:eastAsia="zh-CN"/>
        </w:rPr>
        <w:t>□</w:t>
      </w:r>
      <w:r>
        <w:rPr>
          <w:rFonts w:hint="eastAsia" w:hAnsi="宋体" w:cs="Times New Roman"/>
          <w:color w:val="auto"/>
          <w:sz w:val="30"/>
          <w:szCs w:val="30"/>
          <w:highlight w:val="none"/>
        </w:rPr>
        <w:t xml:space="preserve">是 </w:t>
      </w:r>
      <w:r>
        <w:rPr>
          <w:rFonts w:hint="eastAsia" w:hAnsi="宋体" w:cs="Times New Roman"/>
          <w:color w:val="auto"/>
          <w:sz w:val="30"/>
          <w:szCs w:val="30"/>
          <w:highlight w:val="none"/>
          <w:lang w:eastAsia="zh-CN"/>
        </w:rPr>
        <w:t>☑</w:t>
      </w:r>
      <w:r>
        <w:rPr>
          <w:rFonts w:hint="eastAsia" w:hAnsi="宋体" w:cs="Times New Roman"/>
          <w:color w:val="auto"/>
          <w:sz w:val="30"/>
          <w:szCs w:val="30"/>
          <w:highlight w:val="none"/>
        </w:rPr>
        <w:t xml:space="preserve"> 否</w:t>
      </w:r>
    </w:p>
    <w:p w14:paraId="40CB0C65">
      <w:pPr>
        <w:pStyle w:val="12"/>
        <w:jc w:val="center"/>
        <w:rPr>
          <w:rFonts w:hint="eastAsia" w:ascii="宋体" w:hAnsi="宋体" w:cs="Times New Roman"/>
          <w:color w:val="auto"/>
          <w:sz w:val="30"/>
          <w:szCs w:val="30"/>
          <w:highlight w:val="none"/>
        </w:rPr>
      </w:pPr>
      <w:r>
        <w:rPr>
          <w:rFonts w:hint="eastAsia" w:hAnsi="宋体" w:cs="Times New Roman"/>
          <w:color w:val="auto"/>
          <w:sz w:val="30"/>
          <w:szCs w:val="30"/>
          <w:highlight w:val="none"/>
        </w:rPr>
        <w:t xml:space="preserve">                         </w:t>
      </w:r>
      <w:r>
        <w:rPr>
          <w:rFonts w:hint="eastAsia" w:hAnsi="宋体" w:cs="Times New Roman"/>
          <w:color w:val="auto"/>
          <w:sz w:val="30"/>
          <w:szCs w:val="30"/>
          <w:highlight w:val="none"/>
          <w:lang w:val="en-US" w:eastAsia="zh-CN"/>
        </w:rPr>
        <w:t xml:space="preserve">   </w:t>
      </w:r>
      <w:r>
        <w:rPr>
          <w:rFonts w:hint="eastAsia" w:hAnsi="宋体" w:cs="Times New Roman"/>
          <w:color w:val="auto"/>
          <w:sz w:val="30"/>
          <w:szCs w:val="30"/>
          <w:highlight w:val="none"/>
        </w:rPr>
        <w:t>合  同  类  别：</w:t>
      </w:r>
      <w:r>
        <w:rPr>
          <w:rFonts w:hint="eastAsia" w:ascii="宋体" w:hAnsi="宋体" w:cs="Times New Roman"/>
          <w:color w:val="auto"/>
          <w:sz w:val="30"/>
          <w:szCs w:val="30"/>
          <w:highlight w:val="none"/>
        </w:rPr>
        <w:t>技术服务类</w:t>
      </w:r>
    </w:p>
    <w:p w14:paraId="3745BB22">
      <w:pPr>
        <w:rPr>
          <w:rFonts w:hint="eastAsia"/>
          <w:color w:val="auto"/>
          <w:highlight w:val="none"/>
        </w:rPr>
      </w:pPr>
    </w:p>
    <w:p w14:paraId="30A6F466">
      <w:pPr>
        <w:pStyle w:val="12"/>
        <w:jc w:val="center"/>
        <w:rPr>
          <w:rFonts w:ascii="黑体" w:hAnsi="宋体" w:eastAsia="黑体" w:cs="Times New Roman"/>
          <w:b/>
          <w:color w:val="auto"/>
          <w:sz w:val="44"/>
          <w:szCs w:val="44"/>
          <w:highlight w:val="none"/>
        </w:rPr>
      </w:pPr>
    </w:p>
    <w:p w14:paraId="428DC4A1">
      <w:pPr>
        <w:pStyle w:val="12"/>
        <w:jc w:val="center"/>
        <w:rPr>
          <w:rFonts w:ascii="黑体" w:hAnsi="宋体" w:eastAsia="黑体" w:cs="Times New Roman"/>
          <w:b/>
          <w:color w:val="auto"/>
          <w:sz w:val="44"/>
          <w:szCs w:val="44"/>
          <w:highlight w:val="none"/>
        </w:rPr>
      </w:pPr>
      <w:r>
        <w:rPr>
          <w:rFonts w:hint="eastAsia" w:ascii="黑体" w:hAnsi="宋体" w:eastAsia="黑体" w:cs="Times New Roman"/>
          <w:b/>
          <w:color w:val="auto"/>
          <w:sz w:val="44"/>
          <w:szCs w:val="44"/>
          <w:highlight w:val="none"/>
        </w:rPr>
        <w:t>政</w:t>
      </w:r>
      <w:r>
        <w:rPr>
          <w:rFonts w:ascii="黑体" w:hAnsi="宋体" w:eastAsia="黑体" w:cs="Times New Roman"/>
          <w:b/>
          <w:color w:val="auto"/>
          <w:sz w:val="44"/>
          <w:szCs w:val="44"/>
          <w:highlight w:val="none"/>
        </w:rPr>
        <w:t xml:space="preserve"> </w:t>
      </w:r>
      <w:r>
        <w:rPr>
          <w:rFonts w:hint="eastAsia" w:ascii="黑体" w:hAnsi="宋体" w:eastAsia="黑体" w:cs="Times New Roman"/>
          <w:b/>
          <w:color w:val="auto"/>
          <w:sz w:val="44"/>
          <w:szCs w:val="44"/>
          <w:highlight w:val="none"/>
        </w:rPr>
        <w:t>府</w:t>
      </w:r>
      <w:r>
        <w:rPr>
          <w:rFonts w:ascii="黑体" w:hAnsi="宋体" w:eastAsia="黑体" w:cs="Times New Roman"/>
          <w:b/>
          <w:color w:val="auto"/>
          <w:sz w:val="44"/>
          <w:szCs w:val="44"/>
          <w:highlight w:val="none"/>
        </w:rPr>
        <w:t xml:space="preserve"> </w:t>
      </w:r>
      <w:r>
        <w:rPr>
          <w:rFonts w:hint="eastAsia" w:ascii="黑体" w:hAnsi="宋体" w:eastAsia="黑体" w:cs="Times New Roman"/>
          <w:b/>
          <w:color w:val="auto"/>
          <w:sz w:val="44"/>
          <w:szCs w:val="44"/>
          <w:highlight w:val="none"/>
        </w:rPr>
        <w:t>采</w:t>
      </w:r>
      <w:r>
        <w:rPr>
          <w:rFonts w:ascii="黑体" w:hAnsi="宋体" w:eastAsia="黑体" w:cs="Times New Roman"/>
          <w:b/>
          <w:color w:val="auto"/>
          <w:sz w:val="44"/>
          <w:szCs w:val="44"/>
          <w:highlight w:val="none"/>
        </w:rPr>
        <w:t xml:space="preserve"> </w:t>
      </w:r>
      <w:r>
        <w:rPr>
          <w:rFonts w:hint="eastAsia" w:ascii="黑体" w:hAnsi="宋体" w:eastAsia="黑体" w:cs="Times New Roman"/>
          <w:b/>
          <w:color w:val="auto"/>
          <w:sz w:val="44"/>
          <w:szCs w:val="44"/>
          <w:highlight w:val="none"/>
        </w:rPr>
        <w:t>购</w:t>
      </w:r>
      <w:r>
        <w:rPr>
          <w:rFonts w:ascii="黑体" w:hAnsi="宋体" w:eastAsia="黑体" w:cs="Times New Roman"/>
          <w:b/>
          <w:color w:val="auto"/>
          <w:sz w:val="44"/>
          <w:szCs w:val="44"/>
          <w:highlight w:val="none"/>
        </w:rPr>
        <w:t xml:space="preserve"> </w:t>
      </w:r>
      <w:r>
        <w:rPr>
          <w:rFonts w:hint="eastAsia" w:ascii="黑体" w:hAnsi="宋体" w:eastAsia="黑体" w:cs="Times New Roman"/>
          <w:b/>
          <w:color w:val="auto"/>
          <w:sz w:val="44"/>
          <w:szCs w:val="44"/>
          <w:highlight w:val="none"/>
        </w:rPr>
        <w:t>合</w:t>
      </w:r>
      <w:r>
        <w:rPr>
          <w:rFonts w:ascii="黑体" w:hAnsi="宋体" w:eastAsia="黑体" w:cs="Times New Roman"/>
          <w:b/>
          <w:color w:val="auto"/>
          <w:sz w:val="44"/>
          <w:szCs w:val="44"/>
          <w:highlight w:val="none"/>
        </w:rPr>
        <w:t xml:space="preserve"> </w:t>
      </w:r>
      <w:r>
        <w:rPr>
          <w:rFonts w:hint="eastAsia" w:ascii="黑体" w:hAnsi="宋体" w:eastAsia="黑体" w:cs="Times New Roman"/>
          <w:b/>
          <w:color w:val="auto"/>
          <w:sz w:val="44"/>
          <w:szCs w:val="44"/>
          <w:highlight w:val="none"/>
        </w:rPr>
        <w:t>同</w:t>
      </w:r>
    </w:p>
    <w:p w14:paraId="4AF6DA24">
      <w:pPr>
        <w:pStyle w:val="12"/>
        <w:ind w:firstLine="560" w:firstLineChars="200"/>
        <w:jc w:val="center"/>
        <w:rPr>
          <w:rFonts w:hAnsi="宋体" w:cs="Times New Roman"/>
          <w:color w:val="auto"/>
          <w:sz w:val="28"/>
          <w:szCs w:val="28"/>
          <w:highlight w:val="none"/>
        </w:rPr>
      </w:pPr>
    </w:p>
    <w:p w14:paraId="6EFC0DD0">
      <w:pPr>
        <w:pStyle w:val="12"/>
        <w:ind w:firstLine="560" w:firstLineChars="200"/>
        <w:jc w:val="center"/>
        <w:rPr>
          <w:rFonts w:hAnsi="宋体" w:cs="Times New Roman"/>
          <w:color w:val="auto"/>
          <w:sz w:val="28"/>
          <w:szCs w:val="28"/>
          <w:highlight w:val="none"/>
        </w:rPr>
      </w:pPr>
      <w:r>
        <w:rPr>
          <w:rFonts w:hint="eastAsia" w:hAnsi="宋体" w:cs="Times New Roman"/>
          <w:color w:val="auto"/>
          <w:sz w:val="28"/>
          <w:szCs w:val="28"/>
          <w:highlight w:val="none"/>
        </w:rPr>
        <w:t>（年</w:t>
      </w:r>
      <w:r>
        <w:rPr>
          <w:rFonts w:hAnsi="宋体" w:cs="Times New Roman"/>
          <w:color w:val="auto"/>
          <w:sz w:val="28"/>
          <w:szCs w:val="28"/>
          <w:highlight w:val="none"/>
        </w:rPr>
        <w:t xml:space="preserve"> </w:t>
      </w:r>
      <w:r>
        <w:rPr>
          <w:rFonts w:hint="eastAsia" w:hAnsi="宋体" w:cs="Times New Roman"/>
          <w:color w:val="auto"/>
          <w:sz w:val="28"/>
          <w:szCs w:val="28"/>
          <w:highlight w:val="none"/>
        </w:rPr>
        <w:t>度</w:t>
      </w:r>
      <w:r>
        <w:rPr>
          <w:rFonts w:hAnsi="宋体" w:cs="Times New Roman"/>
          <w:color w:val="auto"/>
          <w:sz w:val="28"/>
          <w:szCs w:val="28"/>
          <w:highlight w:val="none"/>
          <w:u w:val="single"/>
        </w:rPr>
        <w:t xml:space="preserve"> </w:t>
      </w:r>
      <w:r>
        <w:rPr>
          <w:rFonts w:hint="eastAsia" w:hAnsi="宋体" w:cs="Times New Roman"/>
          <w:color w:val="auto"/>
          <w:sz w:val="28"/>
          <w:szCs w:val="28"/>
          <w:highlight w:val="none"/>
          <w:u w:val="single"/>
          <w:lang w:val="en-US" w:eastAsia="zh-CN"/>
        </w:rPr>
        <w:t>2026</w:t>
      </w:r>
      <w:r>
        <w:rPr>
          <w:rFonts w:hint="eastAsia" w:hAnsi="宋体" w:cs="Times New Roman"/>
          <w:color w:val="auto"/>
          <w:sz w:val="28"/>
          <w:szCs w:val="28"/>
          <w:highlight w:val="none"/>
        </w:rPr>
        <w:t>）</w:t>
      </w:r>
    </w:p>
    <w:p w14:paraId="4AD4783A">
      <w:pPr>
        <w:jc w:val="center"/>
        <w:rPr>
          <w:rFonts w:ascii="华文中宋" w:hAnsi="华文中宋" w:eastAsia="华文中宋" w:cs="华文中宋"/>
          <w:bCs/>
          <w:color w:val="auto"/>
          <w:sz w:val="32"/>
          <w:szCs w:val="32"/>
          <w:highlight w:val="none"/>
        </w:rPr>
      </w:pPr>
    </w:p>
    <w:p w14:paraId="58FB0664">
      <w:pPr>
        <w:tabs>
          <w:tab w:val="left" w:pos="540"/>
          <w:tab w:val="left" w:pos="1080"/>
          <w:tab w:val="left" w:pos="1440"/>
        </w:tabs>
        <w:snapToGrid w:val="0"/>
        <w:jc w:val="center"/>
        <w:rPr>
          <w:rFonts w:ascii="宋体" w:hAnsi="宋体" w:eastAsia="宋体" w:cs="宋体"/>
          <w:color w:val="auto"/>
          <w:sz w:val="32"/>
          <w:szCs w:val="32"/>
          <w:highlight w:val="none"/>
        </w:rPr>
      </w:pPr>
    </w:p>
    <w:p w14:paraId="1256F628">
      <w:pPr>
        <w:tabs>
          <w:tab w:val="left" w:pos="540"/>
          <w:tab w:val="left" w:pos="1080"/>
          <w:tab w:val="left" w:pos="1440"/>
        </w:tabs>
        <w:snapToGrid w:val="0"/>
        <w:jc w:val="center"/>
        <w:rPr>
          <w:rFonts w:ascii="宋体" w:hAnsi="宋体" w:eastAsia="宋体" w:cs="宋体"/>
          <w:color w:val="auto"/>
          <w:sz w:val="32"/>
          <w:szCs w:val="32"/>
          <w:highlight w:val="none"/>
        </w:rPr>
      </w:pPr>
    </w:p>
    <w:p w14:paraId="2B929CB1">
      <w:pPr>
        <w:tabs>
          <w:tab w:val="left" w:pos="540"/>
          <w:tab w:val="left" w:pos="1080"/>
          <w:tab w:val="left" w:pos="1440"/>
        </w:tabs>
        <w:snapToGrid w:val="0"/>
        <w:jc w:val="center"/>
        <w:rPr>
          <w:rFonts w:ascii="宋体" w:hAnsi="宋体" w:eastAsia="宋体" w:cs="宋体"/>
          <w:color w:val="auto"/>
          <w:sz w:val="32"/>
          <w:szCs w:val="32"/>
          <w:highlight w:val="none"/>
        </w:rPr>
      </w:pPr>
    </w:p>
    <w:p w14:paraId="1492331C">
      <w:pPr>
        <w:tabs>
          <w:tab w:val="left" w:pos="540"/>
          <w:tab w:val="left" w:pos="1080"/>
          <w:tab w:val="left" w:pos="1440"/>
        </w:tabs>
        <w:snapToGrid w:val="0"/>
        <w:ind w:left="1680" w:leftChars="800"/>
        <w:jc w:val="center"/>
        <w:rPr>
          <w:rFonts w:ascii="宋体" w:hAnsi="宋体" w:eastAsia="宋体" w:cs="宋体"/>
          <w:color w:val="auto"/>
          <w:sz w:val="32"/>
          <w:szCs w:val="32"/>
          <w:highlight w:val="none"/>
        </w:rPr>
      </w:pPr>
    </w:p>
    <w:p w14:paraId="59947B07">
      <w:pPr>
        <w:tabs>
          <w:tab w:val="left" w:pos="2160"/>
        </w:tabs>
        <w:topLinePunct/>
        <w:autoSpaceDE w:val="0"/>
        <w:autoSpaceDN w:val="0"/>
        <w:snapToGrid w:val="0"/>
        <w:spacing w:line="360" w:lineRule="auto"/>
        <w:ind w:left="2100" w:leftChars="1000"/>
        <w:rPr>
          <w:rFonts w:ascii="Arial Unicode MS" w:hAnsi="Arial Unicode MS" w:eastAsia="Arial Unicode MS" w:cs="Arial Unicode MS"/>
          <w:bCs/>
          <w:color w:val="auto"/>
          <w:sz w:val="24"/>
          <w:szCs w:val="24"/>
          <w:highlight w:val="none"/>
        </w:rPr>
      </w:pPr>
      <w:r>
        <w:rPr>
          <w:rFonts w:hint="eastAsia" w:ascii="Arial Unicode MS" w:hAnsi="Arial Unicode MS" w:eastAsia="Arial Unicode MS" w:cs="Arial Unicode MS"/>
          <w:bCs/>
          <w:color w:val="auto"/>
          <w:sz w:val="24"/>
          <w:szCs w:val="24"/>
          <w:highlight w:val="none"/>
        </w:rPr>
        <w:t>项目名称：</w:t>
      </w:r>
      <w:r>
        <w:rPr>
          <w:rFonts w:hint="eastAsia" w:ascii="Arial Unicode MS" w:hAnsi="Arial Unicode MS" w:eastAsia="Arial Unicode MS" w:cs="Arial Unicode MS"/>
          <w:bCs/>
          <w:color w:val="auto"/>
          <w:sz w:val="24"/>
          <w:szCs w:val="24"/>
          <w:highlight w:val="none"/>
          <w:u w:val="single"/>
        </w:rPr>
        <w:t xml:space="preserve">                   </w:t>
      </w:r>
    </w:p>
    <w:p w14:paraId="41CBCEF3">
      <w:pPr>
        <w:tabs>
          <w:tab w:val="left" w:pos="2160"/>
        </w:tabs>
        <w:topLinePunct/>
        <w:autoSpaceDE w:val="0"/>
        <w:autoSpaceDN w:val="0"/>
        <w:snapToGrid w:val="0"/>
        <w:spacing w:line="360" w:lineRule="auto"/>
        <w:ind w:left="2100" w:leftChars="1000"/>
        <w:rPr>
          <w:rFonts w:ascii="Arial Unicode MS" w:hAnsi="Arial Unicode MS" w:eastAsia="Arial Unicode MS" w:cs="Arial Unicode MS"/>
          <w:bCs/>
          <w:color w:val="auto"/>
          <w:sz w:val="24"/>
          <w:szCs w:val="24"/>
          <w:highlight w:val="none"/>
        </w:rPr>
      </w:pPr>
      <w:r>
        <w:rPr>
          <w:rFonts w:hint="eastAsia" w:ascii="Arial Unicode MS" w:hAnsi="Arial Unicode MS" w:eastAsia="Arial Unicode MS" w:cs="Arial Unicode MS"/>
          <w:bCs/>
          <w:color w:val="auto"/>
          <w:sz w:val="24"/>
          <w:szCs w:val="24"/>
          <w:highlight w:val="none"/>
        </w:rPr>
        <w:t>包    号：</w:t>
      </w:r>
      <w:r>
        <w:rPr>
          <w:rFonts w:hint="eastAsia" w:ascii="Arial Unicode MS" w:hAnsi="Arial Unicode MS" w:eastAsia="Arial Unicode MS" w:cs="Arial Unicode MS"/>
          <w:bCs/>
          <w:color w:val="auto"/>
          <w:sz w:val="24"/>
          <w:szCs w:val="24"/>
          <w:highlight w:val="none"/>
          <w:u w:val="single"/>
        </w:rPr>
        <w:t xml:space="preserve">                   </w:t>
      </w:r>
    </w:p>
    <w:p w14:paraId="1C3D6CF5">
      <w:pPr>
        <w:tabs>
          <w:tab w:val="left" w:pos="540"/>
          <w:tab w:val="left" w:pos="1080"/>
          <w:tab w:val="left" w:pos="1440"/>
        </w:tabs>
        <w:snapToGrid w:val="0"/>
        <w:spacing w:line="360" w:lineRule="auto"/>
        <w:ind w:left="2100" w:leftChars="1000"/>
        <w:rPr>
          <w:rFonts w:ascii="Arial Unicode MS" w:hAnsi="Arial Unicode MS" w:eastAsia="Arial Unicode MS" w:cs="Arial Unicode MS"/>
          <w:bCs/>
          <w:color w:val="auto"/>
          <w:sz w:val="24"/>
          <w:szCs w:val="24"/>
          <w:highlight w:val="none"/>
        </w:rPr>
      </w:pPr>
      <w:r>
        <w:rPr>
          <w:rFonts w:hint="eastAsia" w:ascii="Arial Unicode MS" w:hAnsi="Arial Unicode MS" w:eastAsia="Arial Unicode MS" w:cs="Arial Unicode MS"/>
          <w:bCs/>
          <w:color w:val="auto"/>
          <w:sz w:val="24"/>
          <w:szCs w:val="24"/>
          <w:highlight w:val="none"/>
        </w:rPr>
        <w:t>合同编号：</w:t>
      </w:r>
      <w:r>
        <w:rPr>
          <w:rFonts w:hint="eastAsia" w:ascii="Arial Unicode MS" w:hAnsi="Arial Unicode MS" w:eastAsia="Arial Unicode MS" w:cs="Arial Unicode MS"/>
          <w:bCs/>
          <w:color w:val="auto"/>
          <w:sz w:val="24"/>
          <w:szCs w:val="24"/>
          <w:highlight w:val="none"/>
          <w:u w:val="single"/>
        </w:rPr>
        <w:t xml:space="preserve">                   </w:t>
      </w:r>
      <w:r>
        <w:rPr>
          <w:rFonts w:hint="eastAsia" w:ascii="Arial Unicode MS" w:hAnsi="Arial Unicode MS" w:eastAsia="Arial Unicode MS" w:cs="Arial Unicode MS"/>
          <w:bCs/>
          <w:color w:val="auto"/>
          <w:sz w:val="24"/>
          <w:szCs w:val="24"/>
          <w:highlight w:val="none"/>
        </w:rPr>
        <w:t xml:space="preserve"> </w:t>
      </w:r>
    </w:p>
    <w:p w14:paraId="58A0F781">
      <w:pPr>
        <w:tabs>
          <w:tab w:val="left" w:pos="2160"/>
        </w:tabs>
        <w:topLinePunct/>
        <w:autoSpaceDE w:val="0"/>
        <w:autoSpaceDN w:val="0"/>
        <w:snapToGrid w:val="0"/>
        <w:spacing w:line="360" w:lineRule="auto"/>
        <w:ind w:left="2880" w:leftChars="800" w:hanging="1200" w:hangingChars="500"/>
        <w:rPr>
          <w:rFonts w:ascii="Arial Unicode MS" w:hAnsi="Arial Unicode MS" w:eastAsia="Arial Unicode MS" w:cs="Arial Unicode MS"/>
          <w:bCs/>
          <w:color w:val="auto"/>
          <w:sz w:val="24"/>
          <w:szCs w:val="24"/>
          <w:highlight w:val="none"/>
        </w:rPr>
      </w:pPr>
    </w:p>
    <w:p w14:paraId="16021D44">
      <w:pPr>
        <w:spacing w:line="460" w:lineRule="exact"/>
        <w:jc w:val="center"/>
        <w:rPr>
          <w:rFonts w:ascii="Arial Unicode MS" w:hAnsi="Arial Unicode MS" w:eastAsia="Arial Unicode MS" w:cs="Arial Unicode MS"/>
          <w:bCs/>
          <w:color w:val="auto"/>
          <w:sz w:val="24"/>
          <w:szCs w:val="24"/>
          <w:highlight w:val="none"/>
        </w:rPr>
      </w:pPr>
    </w:p>
    <w:p w14:paraId="4F6C1947">
      <w:pPr>
        <w:tabs>
          <w:tab w:val="left" w:pos="3045"/>
        </w:tabs>
        <w:spacing w:line="460" w:lineRule="exact"/>
        <w:rPr>
          <w:rFonts w:ascii="Arial Unicode MS" w:hAnsi="Arial Unicode MS" w:eastAsia="Arial Unicode MS" w:cs="Arial Unicode MS"/>
          <w:bCs/>
          <w:color w:val="auto"/>
          <w:sz w:val="24"/>
          <w:szCs w:val="24"/>
          <w:highlight w:val="none"/>
        </w:rPr>
      </w:pPr>
      <w:r>
        <w:rPr>
          <w:rFonts w:hint="eastAsia" w:ascii="Arial Unicode MS" w:hAnsi="Arial Unicode MS" w:eastAsia="Arial Unicode MS" w:cs="Arial Unicode MS"/>
          <w:bCs/>
          <w:color w:val="auto"/>
          <w:sz w:val="24"/>
          <w:szCs w:val="24"/>
          <w:highlight w:val="none"/>
        </w:rPr>
        <w:tab/>
      </w:r>
    </w:p>
    <w:p w14:paraId="1568C25E">
      <w:pPr>
        <w:spacing w:line="460" w:lineRule="exact"/>
        <w:rPr>
          <w:rFonts w:ascii="Arial Unicode MS" w:hAnsi="Arial Unicode MS" w:eastAsia="Arial Unicode MS" w:cs="Arial Unicode MS"/>
          <w:bCs/>
          <w:color w:val="auto"/>
          <w:sz w:val="24"/>
          <w:szCs w:val="24"/>
          <w:highlight w:val="none"/>
        </w:rPr>
      </w:pPr>
    </w:p>
    <w:p w14:paraId="57285BE6">
      <w:pPr>
        <w:spacing w:line="460" w:lineRule="exact"/>
        <w:jc w:val="center"/>
        <w:rPr>
          <w:rFonts w:ascii="Arial Unicode MS" w:hAnsi="Arial Unicode MS" w:eastAsia="Arial Unicode MS" w:cs="Arial Unicode MS"/>
          <w:bCs/>
          <w:color w:val="auto"/>
          <w:sz w:val="24"/>
          <w:szCs w:val="24"/>
          <w:highlight w:val="none"/>
        </w:rPr>
      </w:pPr>
    </w:p>
    <w:p w14:paraId="1F0E1E7E">
      <w:pPr>
        <w:spacing w:line="300" w:lineRule="auto"/>
        <w:ind w:left="840" w:leftChars="400" w:firstLine="1298" w:firstLineChars="541"/>
        <w:rPr>
          <w:rFonts w:hint="eastAsia" w:ascii="Arial Unicode MS" w:hAnsi="Arial Unicode MS" w:eastAsia="Arial Unicode MS" w:cs="Arial Unicode MS"/>
          <w:bCs/>
          <w:color w:val="auto"/>
          <w:sz w:val="24"/>
          <w:szCs w:val="24"/>
          <w:highlight w:val="none"/>
          <w:u w:val="single"/>
        </w:rPr>
      </w:pPr>
      <w:r>
        <w:rPr>
          <w:rFonts w:hint="eastAsia" w:ascii="Arial Unicode MS" w:hAnsi="Arial Unicode MS" w:eastAsia="Arial Unicode MS" w:cs="Arial Unicode MS"/>
          <w:bCs/>
          <w:color w:val="auto"/>
          <w:sz w:val="24"/>
          <w:szCs w:val="24"/>
          <w:highlight w:val="none"/>
        </w:rPr>
        <w:t>甲    方：</w:t>
      </w:r>
      <w:r>
        <w:rPr>
          <w:rFonts w:hint="eastAsia" w:ascii="宋体" w:hAnsi="宋体" w:eastAsia="宋体" w:cs="宋体"/>
          <w:bCs/>
          <w:color w:val="auto"/>
          <w:sz w:val="24"/>
          <w:szCs w:val="24"/>
          <w:highlight w:val="none"/>
          <w:u w:val="single"/>
        </w:rPr>
        <w:t>国家税务总局广西壮族自治区税务局</w:t>
      </w:r>
    </w:p>
    <w:p w14:paraId="2EC137A3">
      <w:pPr>
        <w:spacing w:line="300" w:lineRule="auto"/>
        <w:ind w:left="840" w:leftChars="400" w:firstLine="1298" w:firstLineChars="541"/>
        <w:rPr>
          <w:rFonts w:hint="default" w:ascii="Arial Unicode MS" w:hAnsi="Arial Unicode MS" w:eastAsia="Arial Unicode MS" w:cs="Arial Unicode MS"/>
          <w:bCs/>
          <w:color w:val="auto"/>
          <w:sz w:val="24"/>
          <w:szCs w:val="24"/>
          <w:highlight w:val="none"/>
          <w:u w:val="single"/>
          <w:lang w:val="en-US" w:eastAsia="zh-CN"/>
        </w:rPr>
      </w:pPr>
      <w:r>
        <w:rPr>
          <w:rFonts w:hint="eastAsia" w:ascii="Arial Unicode MS" w:hAnsi="Arial Unicode MS" w:eastAsia="Arial Unicode MS" w:cs="Arial Unicode MS"/>
          <w:bCs/>
          <w:color w:val="auto"/>
          <w:sz w:val="24"/>
          <w:szCs w:val="24"/>
          <w:highlight w:val="none"/>
        </w:rPr>
        <w:t xml:space="preserve">乙    方： </w:t>
      </w:r>
      <w:r>
        <w:rPr>
          <w:rFonts w:hint="eastAsia" w:ascii="Arial Unicode MS" w:hAnsi="Arial Unicode MS" w:eastAsia="Arial Unicode MS" w:cs="Arial Unicode MS"/>
          <w:bCs/>
          <w:color w:val="auto"/>
          <w:sz w:val="24"/>
          <w:szCs w:val="24"/>
          <w:highlight w:val="none"/>
          <w:u w:val="single"/>
        </w:rPr>
        <w:t xml:space="preserve">                     </w:t>
      </w:r>
      <w:r>
        <w:rPr>
          <w:rFonts w:hint="eastAsia" w:ascii="Arial Unicode MS" w:hAnsi="Arial Unicode MS" w:eastAsia="Arial Unicode MS" w:cs="Arial Unicode MS"/>
          <w:bCs/>
          <w:color w:val="auto"/>
          <w:sz w:val="24"/>
          <w:szCs w:val="24"/>
          <w:highlight w:val="none"/>
          <w:u w:val="single"/>
          <w:lang w:val="en-US" w:eastAsia="zh-CN"/>
        </w:rPr>
        <w:t xml:space="preserve">         </w:t>
      </w:r>
    </w:p>
    <w:p w14:paraId="38EEF857">
      <w:pPr>
        <w:spacing w:line="300" w:lineRule="auto"/>
        <w:ind w:left="840" w:leftChars="400" w:firstLine="1298" w:firstLineChars="541"/>
        <w:rPr>
          <w:rFonts w:hint="default" w:ascii="宋体" w:hAnsi="宋体" w:eastAsia="宋体" w:cs="宋体"/>
          <w:bCs/>
          <w:color w:val="auto"/>
          <w:sz w:val="24"/>
          <w:szCs w:val="24"/>
          <w:highlight w:val="none"/>
          <w:u w:val="single"/>
          <w:lang w:val="en-US" w:eastAsia="zh-CN"/>
        </w:rPr>
      </w:pPr>
      <w:r>
        <w:rPr>
          <w:rFonts w:hint="eastAsia" w:ascii="Arial Unicode MS" w:hAnsi="Arial Unicode MS" w:eastAsia="Arial Unicode MS" w:cs="Arial Unicode MS"/>
          <w:bCs/>
          <w:color w:val="auto"/>
          <w:sz w:val="24"/>
          <w:szCs w:val="24"/>
          <w:highlight w:val="none"/>
        </w:rPr>
        <w:t xml:space="preserve">日    期： </w:t>
      </w:r>
      <w:r>
        <w:rPr>
          <w:rFonts w:hint="eastAsia" w:ascii="宋体" w:hAnsi="宋体" w:eastAsia="宋体" w:cs="宋体"/>
          <w:bCs/>
          <w:color w:val="auto"/>
          <w:sz w:val="24"/>
          <w:szCs w:val="24"/>
          <w:highlight w:val="none"/>
          <w:u w:val="single"/>
        </w:rPr>
        <w:t xml:space="preserve">        年    月   日</w:t>
      </w:r>
      <w:r>
        <w:rPr>
          <w:rFonts w:hint="eastAsia" w:ascii="宋体" w:hAnsi="宋体" w:cs="宋体"/>
          <w:bCs/>
          <w:color w:val="auto"/>
          <w:sz w:val="24"/>
          <w:szCs w:val="24"/>
          <w:highlight w:val="none"/>
          <w:u w:val="single"/>
          <w:lang w:val="en-US" w:eastAsia="zh-CN"/>
        </w:rPr>
        <w:t xml:space="preserve">         </w:t>
      </w:r>
    </w:p>
    <w:p w14:paraId="3275DC19">
      <w:pPr>
        <w:spacing w:line="300" w:lineRule="auto"/>
        <w:jc w:val="center"/>
        <w:outlineLvl w:val="1"/>
        <w:rPr>
          <w:rFonts w:ascii="宋体" w:hAnsi="宋体" w:eastAsia="宋体" w:cs="宋体"/>
          <w:b/>
          <w:color w:val="auto"/>
          <w:sz w:val="24"/>
          <w:szCs w:val="24"/>
          <w:highlight w:val="none"/>
        </w:rPr>
      </w:pPr>
      <w:r>
        <w:rPr>
          <w:rFonts w:hint="eastAsia" w:ascii="Arial Unicode MS" w:hAnsi="Arial Unicode MS" w:eastAsia="Arial Unicode MS" w:cs="Arial Unicode MS"/>
          <w:bCs/>
          <w:color w:val="auto"/>
          <w:sz w:val="24"/>
          <w:szCs w:val="24"/>
          <w:highlight w:val="none"/>
          <w:u w:val="single"/>
        </w:rPr>
        <w:br w:type="page"/>
      </w:r>
      <w:bookmarkStart w:id="47" w:name="_Toc11876"/>
      <w:r>
        <w:rPr>
          <w:rFonts w:hint="eastAsia" w:ascii="宋体" w:hAnsi="宋体" w:eastAsia="宋体" w:cs="宋体"/>
          <w:b/>
          <w:color w:val="auto"/>
          <w:sz w:val="24"/>
          <w:szCs w:val="24"/>
          <w:highlight w:val="none"/>
        </w:rPr>
        <w:t>合同条款前附表</w:t>
      </w:r>
      <w:bookmarkEnd w:id="47"/>
    </w:p>
    <w:tbl>
      <w:tblPr>
        <w:tblStyle w:val="23"/>
        <w:tblW w:w="882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409"/>
        <w:gridCol w:w="1584"/>
        <w:gridCol w:w="6180"/>
      </w:tblGrid>
      <w:tr w14:paraId="71E4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4C546EC0">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b/>
                <w:color w:val="auto"/>
                <w:szCs w:val="21"/>
                <w:highlight w:val="none"/>
              </w:rPr>
            </w:pPr>
            <w:r>
              <w:rPr>
                <w:rFonts w:ascii="宋体" w:hAnsi="宋体" w:eastAsia="宋体" w:cs="Times New Roman"/>
                <w:b/>
                <w:color w:val="auto"/>
                <w:szCs w:val="21"/>
                <w:highlight w:val="none"/>
              </w:rPr>
              <w:t>序号</w:t>
            </w:r>
          </w:p>
        </w:tc>
        <w:tc>
          <w:tcPr>
            <w:tcW w:w="8173" w:type="dxa"/>
            <w:gridSpan w:val="3"/>
            <w:tcBorders>
              <w:top w:val="single" w:color="auto" w:sz="4" w:space="0"/>
              <w:left w:val="single" w:color="auto" w:sz="4" w:space="0"/>
              <w:bottom w:val="single" w:color="auto" w:sz="4" w:space="0"/>
              <w:right w:val="single" w:color="auto" w:sz="4" w:space="0"/>
            </w:tcBorders>
            <w:vAlign w:val="center"/>
          </w:tcPr>
          <w:p w14:paraId="4D2BF6CD">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b/>
                <w:color w:val="auto"/>
                <w:szCs w:val="21"/>
                <w:highlight w:val="none"/>
              </w:rPr>
            </w:pPr>
            <w:r>
              <w:rPr>
                <w:rFonts w:ascii="宋体" w:hAnsi="宋体" w:eastAsia="宋体" w:cs="Times New Roman"/>
                <w:b/>
                <w:color w:val="auto"/>
                <w:szCs w:val="21"/>
                <w:highlight w:val="none"/>
              </w:rPr>
              <w:t>内        容</w:t>
            </w:r>
          </w:p>
        </w:tc>
      </w:tr>
      <w:tr w14:paraId="601F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63120335">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1</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081A301">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合同名称</w:t>
            </w:r>
          </w:p>
        </w:tc>
        <w:tc>
          <w:tcPr>
            <w:tcW w:w="6180" w:type="dxa"/>
            <w:tcBorders>
              <w:top w:val="single" w:color="auto" w:sz="4" w:space="0"/>
              <w:left w:val="single" w:color="auto" w:sz="4" w:space="0"/>
              <w:bottom w:val="single" w:color="auto" w:sz="4" w:space="0"/>
              <w:right w:val="single" w:color="auto" w:sz="4" w:space="0"/>
            </w:tcBorders>
            <w:vAlign w:val="center"/>
          </w:tcPr>
          <w:p w14:paraId="410E91A8">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bCs/>
                <w:color w:val="auto"/>
                <w:szCs w:val="21"/>
                <w:highlight w:val="none"/>
              </w:rPr>
            </w:pPr>
          </w:p>
        </w:tc>
      </w:tr>
      <w:tr w14:paraId="0EBEB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4A200913">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2</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75EA87D1">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合同编号</w:t>
            </w:r>
          </w:p>
        </w:tc>
        <w:tc>
          <w:tcPr>
            <w:tcW w:w="6180" w:type="dxa"/>
            <w:tcBorders>
              <w:top w:val="single" w:color="auto" w:sz="4" w:space="0"/>
              <w:left w:val="single" w:color="auto" w:sz="4" w:space="0"/>
              <w:bottom w:val="single" w:color="auto" w:sz="4" w:space="0"/>
              <w:right w:val="single" w:color="auto" w:sz="4" w:space="0"/>
            </w:tcBorders>
            <w:vAlign w:val="center"/>
          </w:tcPr>
          <w:p w14:paraId="2E21BD2F">
            <w:pPr>
              <w:keepNext w:val="0"/>
              <w:keepLines w:val="0"/>
              <w:pageBreakBefore w:val="0"/>
              <w:widowControl/>
              <w:tabs>
                <w:tab w:val="left" w:pos="2160"/>
              </w:tabs>
              <w:kinsoku/>
              <w:wordWrap w:val="0"/>
              <w:overflowPunct/>
              <w:topLinePunct/>
              <w:autoSpaceDE/>
              <w:autoSpaceDN/>
              <w:bidi w:val="0"/>
              <w:adjustRightInd w:val="0"/>
              <w:snapToGrid w:val="0"/>
              <w:spacing w:before="60" w:after="60" w:line="288" w:lineRule="auto"/>
              <w:rPr>
                <w:rFonts w:ascii="宋体" w:hAnsi="宋体" w:eastAsia="宋体" w:cs="Times New Roman"/>
                <w:bCs/>
                <w:color w:val="auto"/>
                <w:szCs w:val="21"/>
                <w:highlight w:val="none"/>
              </w:rPr>
            </w:pPr>
          </w:p>
        </w:tc>
      </w:tr>
      <w:tr w14:paraId="36C8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6E561A2D">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3</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7E8539AD">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合同类型</w:t>
            </w:r>
          </w:p>
        </w:tc>
        <w:tc>
          <w:tcPr>
            <w:tcW w:w="6180" w:type="dxa"/>
            <w:tcBorders>
              <w:top w:val="single" w:color="auto" w:sz="4" w:space="0"/>
              <w:left w:val="single" w:color="auto" w:sz="4" w:space="0"/>
              <w:bottom w:val="single" w:color="auto" w:sz="4" w:space="0"/>
              <w:right w:val="single" w:color="auto" w:sz="4" w:space="0"/>
            </w:tcBorders>
            <w:vAlign w:val="center"/>
          </w:tcPr>
          <w:p w14:paraId="1F5D961E">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服务类</w:t>
            </w:r>
          </w:p>
        </w:tc>
      </w:tr>
      <w:tr w14:paraId="7FD5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6C0D37D2">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4</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65BB122">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定价方式</w:t>
            </w:r>
          </w:p>
        </w:tc>
        <w:tc>
          <w:tcPr>
            <w:tcW w:w="6180" w:type="dxa"/>
            <w:tcBorders>
              <w:top w:val="single" w:color="auto" w:sz="4" w:space="0"/>
              <w:left w:val="single" w:color="auto" w:sz="4" w:space="0"/>
              <w:bottom w:val="single" w:color="auto" w:sz="4" w:space="0"/>
              <w:right w:val="single" w:color="auto" w:sz="4" w:space="0"/>
            </w:tcBorders>
            <w:vAlign w:val="center"/>
          </w:tcPr>
          <w:p w14:paraId="76C88B9A">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hint="default" w:ascii="宋体" w:hAnsi="宋体" w:eastAsia="宋体" w:cs="Times New Roman"/>
                <w:color w:val="auto"/>
                <w:szCs w:val="21"/>
                <w:highlight w:val="none"/>
                <w:lang w:val="en-US" w:eastAsia="zh-CN"/>
              </w:rPr>
            </w:pPr>
            <w:r>
              <w:rPr>
                <w:rFonts w:hint="eastAsia"/>
                <w:color w:val="auto"/>
                <w:highlight w:val="none"/>
                <w:lang w:val="en-US" w:eastAsia="zh-CN"/>
              </w:rPr>
              <w:t>固定总价</w:t>
            </w:r>
          </w:p>
        </w:tc>
      </w:tr>
      <w:tr w14:paraId="6A65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restart"/>
            <w:tcBorders>
              <w:top w:val="single" w:color="auto" w:sz="4" w:space="0"/>
              <w:left w:val="single" w:color="auto" w:sz="4" w:space="0"/>
              <w:right w:val="single" w:color="auto" w:sz="4" w:space="0"/>
            </w:tcBorders>
            <w:vAlign w:val="center"/>
          </w:tcPr>
          <w:p w14:paraId="303C2FD9">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5</w:t>
            </w:r>
          </w:p>
        </w:tc>
        <w:tc>
          <w:tcPr>
            <w:tcW w:w="1993" w:type="dxa"/>
            <w:gridSpan w:val="2"/>
            <w:tcBorders>
              <w:top w:val="single" w:color="auto" w:sz="4" w:space="0"/>
              <w:left w:val="single" w:color="auto" w:sz="4" w:space="0"/>
              <w:bottom w:val="single" w:color="auto" w:sz="6" w:space="0"/>
              <w:right w:val="single" w:color="auto" w:sz="6" w:space="0"/>
            </w:tcBorders>
            <w:vAlign w:val="center"/>
          </w:tcPr>
          <w:p w14:paraId="7243C106">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甲方名称</w:t>
            </w:r>
          </w:p>
        </w:tc>
        <w:tc>
          <w:tcPr>
            <w:tcW w:w="6180" w:type="dxa"/>
            <w:tcBorders>
              <w:top w:val="single" w:color="auto" w:sz="4" w:space="0"/>
              <w:left w:val="single" w:color="auto" w:sz="6" w:space="0"/>
              <w:bottom w:val="single" w:color="auto" w:sz="6" w:space="0"/>
              <w:right w:val="single" w:color="auto" w:sz="4" w:space="0"/>
            </w:tcBorders>
            <w:vAlign w:val="center"/>
          </w:tcPr>
          <w:p w14:paraId="15FBCB71">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国家税务总局广西壮族自治区税务局</w:t>
            </w:r>
          </w:p>
        </w:tc>
      </w:tr>
      <w:tr w14:paraId="1F34A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left w:val="single" w:color="auto" w:sz="4" w:space="0"/>
              <w:right w:val="single" w:color="auto" w:sz="4" w:space="0"/>
            </w:tcBorders>
            <w:vAlign w:val="center"/>
          </w:tcPr>
          <w:p w14:paraId="0D1F9A4D">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1993" w:type="dxa"/>
            <w:gridSpan w:val="2"/>
            <w:tcBorders>
              <w:top w:val="single" w:color="auto" w:sz="6" w:space="0"/>
              <w:left w:val="single" w:color="auto" w:sz="4" w:space="0"/>
              <w:bottom w:val="single" w:color="auto" w:sz="6" w:space="0"/>
              <w:right w:val="single" w:color="auto" w:sz="6" w:space="0"/>
            </w:tcBorders>
            <w:vAlign w:val="center"/>
          </w:tcPr>
          <w:p w14:paraId="0ACFCCD4">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甲方地址</w:t>
            </w:r>
          </w:p>
        </w:tc>
        <w:tc>
          <w:tcPr>
            <w:tcW w:w="6180" w:type="dxa"/>
            <w:tcBorders>
              <w:top w:val="single" w:color="auto" w:sz="6" w:space="0"/>
              <w:left w:val="single" w:color="auto" w:sz="6" w:space="0"/>
              <w:bottom w:val="single" w:color="auto" w:sz="6" w:space="0"/>
              <w:right w:val="single" w:color="auto" w:sz="4" w:space="0"/>
            </w:tcBorders>
            <w:vAlign w:val="center"/>
          </w:tcPr>
          <w:p w14:paraId="61499349">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南宁市青秀区民族大道105号</w:t>
            </w:r>
          </w:p>
        </w:tc>
      </w:tr>
      <w:tr w14:paraId="251D8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left w:val="single" w:color="auto" w:sz="4" w:space="0"/>
              <w:right w:val="single" w:color="auto" w:sz="4" w:space="0"/>
            </w:tcBorders>
            <w:vAlign w:val="center"/>
          </w:tcPr>
          <w:p w14:paraId="2C86E163">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409" w:type="dxa"/>
            <w:vMerge w:val="restart"/>
            <w:tcBorders>
              <w:top w:val="single" w:color="auto" w:sz="6" w:space="0"/>
              <w:left w:val="single" w:color="auto" w:sz="4" w:space="0"/>
              <w:right w:val="single" w:color="auto" w:sz="4" w:space="0"/>
            </w:tcBorders>
            <w:vAlign w:val="center"/>
          </w:tcPr>
          <w:p w14:paraId="441D0507">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甲方相关部门</w:t>
            </w:r>
          </w:p>
        </w:tc>
        <w:tc>
          <w:tcPr>
            <w:tcW w:w="1584" w:type="dxa"/>
            <w:tcBorders>
              <w:top w:val="single" w:color="auto" w:sz="6" w:space="0"/>
              <w:left w:val="single" w:color="auto" w:sz="4" w:space="0"/>
              <w:bottom w:val="single" w:color="auto" w:sz="6" w:space="0"/>
              <w:right w:val="single" w:color="auto" w:sz="6" w:space="0"/>
            </w:tcBorders>
            <w:vAlign w:val="center"/>
          </w:tcPr>
          <w:p w14:paraId="026F3A7E">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甲方采购部门</w:t>
            </w:r>
          </w:p>
        </w:tc>
        <w:tc>
          <w:tcPr>
            <w:tcW w:w="6180" w:type="dxa"/>
            <w:tcBorders>
              <w:top w:val="single" w:color="auto" w:sz="6" w:space="0"/>
              <w:left w:val="single" w:color="auto" w:sz="6" w:space="0"/>
              <w:bottom w:val="single" w:color="auto" w:sz="6" w:space="0"/>
              <w:right w:val="single" w:color="auto" w:sz="4" w:space="0"/>
            </w:tcBorders>
            <w:vAlign w:val="center"/>
          </w:tcPr>
          <w:p w14:paraId="1A25924C">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5BD0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left w:val="single" w:color="auto" w:sz="4" w:space="0"/>
              <w:right w:val="single" w:color="auto" w:sz="4" w:space="0"/>
            </w:tcBorders>
            <w:vAlign w:val="center"/>
          </w:tcPr>
          <w:p w14:paraId="518935F6">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409" w:type="dxa"/>
            <w:vMerge w:val="continue"/>
            <w:tcBorders>
              <w:left w:val="single" w:color="auto" w:sz="4" w:space="0"/>
              <w:right w:val="single" w:color="auto" w:sz="4" w:space="0"/>
            </w:tcBorders>
            <w:vAlign w:val="center"/>
          </w:tcPr>
          <w:p w14:paraId="1DF35E55">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p>
        </w:tc>
        <w:tc>
          <w:tcPr>
            <w:tcW w:w="1584" w:type="dxa"/>
            <w:tcBorders>
              <w:top w:val="single" w:color="auto" w:sz="6" w:space="0"/>
              <w:left w:val="single" w:color="auto" w:sz="4" w:space="0"/>
              <w:bottom w:val="single" w:color="auto" w:sz="6" w:space="0"/>
              <w:right w:val="single" w:color="auto" w:sz="6" w:space="0"/>
            </w:tcBorders>
            <w:vAlign w:val="center"/>
          </w:tcPr>
          <w:p w14:paraId="140879BD">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联系人</w:t>
            </w:r>
          </w:p>
        </w:tc>
        <w:tc>
          <w:tcPr>
            <w:tcW w:w="6180" w:type="dxa"/>
            <w:tcBorders>
              <w:top w:val="single" w:color="auto" w:sz="6" w:space="0"/>
              <w:left w:val="single" w:color="auto" w:sz="6" w:space="0"/>
              <w:bottom w:val="single" w:color="auto" w:sz="6" w:space="0"/>
              <w:right w:val="single" w:color="auto" w:sz="4" w:space="0"/>
            </w:tcBorders>
            <w:vAlign w:val="center"/>
          </w:tcPr>
          <w:p w14:paraId="78155221">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2230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left w:val="single" w:color="auto" w:sz="4" w:space="0"/>
              <w:right w:val="single" w:color="auto" w:sz="4" w:space="0"/>
            </w:tcBorders>
            <w:vAlign w:val="center"/>
          </w:tcPr>
          <w:p w14:paraId="5BAF0E84">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409" w:type="dxa"/>
            <w:vMerge w:val="continue"/>
            <w:tcBorders>
              <w:left w:val="single" w:color="auto" w:sz="4" w:space="0"/>
              <w:right w:val="single" w:color="auto" w:sz="4" w:space="0"/>
            </w:tcBorders>
            <w:vAlign w:val="center"/>
          </w:tcPr>
          <w:p w14:paraId="56751682">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p>
        </w:tc>
        <w:tc>
          <w:tcPr>
            <w:tcW w:w="1584" w:type="dxa"/>
            <w:tcBorders>
              <w:top w:val="single" w:color="auto" w:sz="6" w:space="0"/>
              <w:left w:val="single" w:color="auto" w:sz="4" w:space="0"/>
              <w:bottom w:val="single" w:color="auto" w:sz="4" w:space="0"/>
              <w:right w:val="single" w:color="auto" w:sz="6" w:space="0"/>
            </w:tcBorders>
            <w:vAlign w:val="center"/>
          </w:tcPr>
          <w:p w14:paraId="3202DFB0">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联系电话</w:t>
            </w:r>
          </w:p>
        </w:tc>
        <w:tc>
          <w:tcPr>
            <w:tcW w:w="6180" w:type="dxa"/>
            <w:tcBorders>
              <w:top w:val="single" w:color="auto" w:sz="6" w:space="0"/>
              <w:left w:val="single" w:color="auto" w:sz="6" w:space="0"/>
              <w:bottom w:val="single" w:color="auto" w:sz="4" w:space="0"/>
              <w:right w:val="single" w:color="auto" w:sz="4" w:space="0"/>
            </w:tcBorders>
            <w:vAlign w:val="center"/>
          </w:tcPr>
          <w:p w14:paraId="2A0FD255">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0EE52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left w:val="single" w:color="auto" w:sz="4" w:space="0"/>
              <w:right w:val="single" w:color="auto" w:sz="4" w:space="0"/>
            </w:tcBorders>
            <w:vAlign w:val="center"/>
          </w:tcPr>
          <w:p w14:paraId="742D6772">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409" w:type="dxa"/>
            <w:vMerge w:val="continue"/>
            <w:tcBorders>
              <w:left w:val="single" w:color="auto" w:sz="4" w:space="0"/>
              <w:right w:val="single" w:color="auto" w:sz="4" w:space="0"/>
            </w:tcBorders>
            <w:vAlign w:val="center"/>
          </w:tcPr>
          <w:p w14:paraId="2F6E18C2">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p>
        </w:tc>
        <w:tc>
          <w:tcPr>
            <w:tcW w:w="1584" w:type="dxa"/>
            <w:tcBorders>
              <w:top w:val="single" w:color="auto" w:sz="6" w:space="0"/>
              <w:left w:val="single" w:color="auto" w:sz="4" w:space="0"/>
              <w:bottom w:val="single" w:color="auto" w:sz="4" w:space="0"/>
              <w:right w:val="single" w:color="auto" w:sz="6" w:space="0"/>
            </w:tcBorders>
            <w:vAlign w:val="center"/>
          </w:tcPr>
          <w:p w14:paraId="1384DFCE">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甲方需求部门</w:t>
            </w:r>
          </w:p>
        </w:tc>
        <w:tc>
          <w:tcPr>
            <w:tcW w:w="6180" w:type="dxa"/>
            <w:tcBorders>
              <w:top w:val="single" w:color="auto" w:sz="6" w:space="0"/>
              <w:left w:val="single" w:color="auto" w:sz="6" w:space="0"/>
              <w:bottom w:val="single" w:color="auto" w:sz="4" w:space="0"/>
              <w:right w:val="single" w:color="auto" w:sz="4" w:space="0"/>
            </w:tcBorders>
            <w:vAlign w:val="center"/>
          </w:tcPr>
          <w:p w14:paraId="1BB8B784">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33DD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left w:val="single" w:color="auto" w:sz="4" w:space="0"/>
              <w:right w:val="single" w:color="auto" w:sz="4" w:space="0"/>
            </w:tcBorders>
            <w:vAlign w:val="center"/>
          </w:tcPr>
          <w:p w14:paraId="67608083">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409" w:type="dxa"/>
            <w:vMerge w:val="continue"/>
            <w:tcBorders>
              <w:left w:val="single" w:color="auto" w:sz="4" w:space="0"/>
              <w:right w:val="single" w:color="auto" w:sz="4" w:space="0"/>
            </w:tcBorders>
            <w:vAlign w:val="center"/>
          </w:tcPr>
          <w:p w14:paraId="60025420">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p>
        </w:tc>
        <w:tc>
          <w:tcPr>
            <w:tcW w:w="1584" w:type="dxa"/>
            <w:tcBorders>
              <w:top w:val="single" w:color="auto" w:sz="6" w:space="0"/>
              <w:left w:val="single" w:color="auto" w:sz="4" w:space="0"/>
              <w:bottom w:val="single" w:color="auto" w:sz="4" w:space="0"/>
              <w:right w:val="single" w:color="auto" w:sz="6" w:space="0"/>
            </w:tcBorders>
            <w:vAlign w:val="center"/>
          </w:tcPr>
          <w:p w14:paraId="634BF162">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联系人</w:t>
            </w:r>
          </w:p>
        </w:tc>
        <w:tc>
          <w:tcPr>
            <w:tcW w:w="6180" w:type="dxa"/>
            <w:tcBorders>
              <w:top w:val="single" w:color="auto" w:sz="6" w:space="0"/>
              <w:left w:val="single" w:color="auto" w:sz="6" w:space="0"/>
              <w:bottom w:val="single" w:color="auto" w:sz="4" w:space="0"/>
              <w:right w:val="single" w:color="auto" w:sz="4" w:space="0"/>
            </w:tcBorders>
            <w:vAlign w:val="center"/>
          </w:tcPr>
          <w:p w14:paraId="61EBBA56">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6D12E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left w:val="single" w:color="auto" w:sz="4" w:space="0"/>
              <w:bottom w:val="single" w:color="auto" w:sz="4" w:space="0"/>
              <w:right w:val="single" w:color="auto" w:sz="4" w:space="0"/>
            </w:tcBorders>
            <w:vAlign w:val="center"/>
          </w:tcPr>
          <w:p w14:paraId="613219C4">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409" w:type="dxa"/>
            <w:vMerge w:val="continue"/>
            <w:tcBorders>
              <w:left w:val="single" w:color="auto" w:sz="4" w:space="0"/>
              <w:bottom w:val="single" w:color="auto" w:sz="4" w:space="0"/>
              <w:right w:val="single" w:color="auto" w:sz="4" w:space="0"/>
            </w:tcBorders>
            <w:vAlign w:val="center"/>
          </w:tcPr>
          <w:p w14:paraId="25AFF186">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p>
        </w:tc>
        <w:tc>
          <w:tcPr>
            <w:tcW w:w="1584" w:type="dxa"/>
            <w:tcBorders>
              <w:top w:val="single" w:color="auto" w:sz="6" w:space="0"/>
              <w:left w:val="single" w:color="auto" w:sz="4" w:space="0"/>
              <w:bottom w:val="single" w:color="auto" w:sz="4" w:space="0"/>
              <w:right w:val="single" w:color="auto" w:sz="6" w:space="0"/>
            </w:tcBorders>
            <w:vAlign w:val="center"/>
          </w:tcPr>
          <w:p w14:paraId="26BE8DF7">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联系电话</w:t>
            </w:r>
          </w:p>
        </w:tc>
        <w:tc>
          <w:tcPr>
            <w:tcW w:w="6180" w:type="dxa"/>
            <w:tcBorders>
              <w:top w:val="single" w:color="auto" w:sz="6" w:space="0"/>
              <w:left w:val="single" w:color="auto" w:sz="6" w:space="0"/>
              <w:bottom w:val="single" w:color="auto" w:sz="4" w:space="0"/>
              <w:right w:val="single" w:color="auto" w:sz="4" w:space="0"/>
            </w:tcBorders>
            <w:vAlign w:val="center"/>
          </w:tcPr>
          <w:p w14:paraId="03EF128C">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667B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restart"/>
            <w:tcBorders>
              <w:top w:val="single" w:color="auto" w:sz="4" w:space="0"/>
              <w:left w:val="single" w:color="auto" w:sz="4" w:space="0"/>
              <w:bottom w:val="single" w:color="auto" w:sz="4" w:space="0"/>
              <w:right w:val="single" w:color="auto" w:sz="4" w:space="0"/>
            </w:tcBorders>
            <w:vAlign w:val="center"/>
          </w:tcPr>
          <w:p w14:paraId="4325D380">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6</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2B2F4140">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乙方名称</w:t>
            </w:r>
          </w:p>
        </w:tc>
        <w:tc>
          <w:tcPr>
            <w:tcW w:w="6180" w:type="dxa"/>
            <w:tcBorders>
              <w:top w:val="single" w:color="auto" w:sz="4" w:space="0"/>
              <w:left w:val="single" w:color="auto" w:sz="4" w:space="0"/>
              <w:bottom w:val="single" w:color="auto" w:sz="4" w:space="0"/>
              <w:right w:val="single" w:color="auto" w:sz="4" w:space="0"/>
            </w:tcBorders>
            <w:vAlign w:val="center"/>
          </w:tcPr>
          <w:p w14:paraId="5C17D474">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7D58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30B1B4D4">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4B522204">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乙方企业性质</w:t>
            </w:r>
          </w:p>
        </w:tc>
        <w:tc>
          <w:tcPr>
            <w:tcW w:w="6180" w:type="dxa"/>
            <w:tcBorders>
              <w:top w:val="single" w:color="auto" w:sz="4" w:space="0"/>
              <w:left w:val="single" w:color="auto" w:sz="4" w:space="0"/>
              <w:bottom w:val="single" w:color="auto" w:sz="4" w:space="0"/>
              <w:right w:val="single" w:color="auto" w:sz="4" w:space="0"/>
            </w:tcBorders>
            <w:vAlign w:val="center"/>
          </w:tcPr>
          <w:p w14:paraId="6455907F">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Times New Roman"/>
                <w:color w:val="auto"/>
                <w:szCs w:val="21"/>
                <w:highlight w:val="none"/>
                <w:lang w:eastAsia="zh-CN"/>
              </w:rPr>
              <w:t>大</w:t>
            </w:r>
            <w:r>
              <w:rPr>
                <w:rFonts w:ascii="宋体" w:hAnsi="宋体" w:eastAsia="宋体" w:cs="Times New Roman"/>
                <w:color w:val="auto"/>
                <w:szCs w:val="21"/>
                <w:highlight w:val="none"/>
              </w:rPr>
              <w:t>型企业</w:t>
            </w:r>
            <w:r>
              <w:rPr>
                <w:rFonts w:hint="eastAsia" w:ascii="宋体" w:hAnsi="宋体" w:eastAsia="宋体" w:cs="Times New Roman"/>
                <w:color w:val="auto"/>
                <w:szCs w:val="21"/>
                <w:highlight w:val="none"/>
                <w:lang w:val="en-US" w:eastAsia="zh-CN"/>
              </w:rPr>
              <w:t xml:space="preserve">    </w:t>
            </w:r>
            <w:r>
              <w:rPr>
                <w:rFonts w:hint="eastAsia" w:ascii="宋体" w:hAnsi="宋体" w:cs="宋体"/>
                <w:color w:val="auto"/>
                <w:szCs w:val="21"/>
                <w:highlight w:val="none"/>
                <w:lang w:eastAsia="zh-CN"/>
              </w:rPr>
              <w:t>□</w:t>
            </w:r>
            <w:r>
              <w:rPr>
                <w:rFonts w:ascii="宋体" w:hAnsi="宋体" w:eastAsia="宋体" w:cs="Times New Roman"/>
                <w:color w:val="auto"/>
                <w:szCs w:val="21"/>
                <w:highlight w:val="none"/>
              </w:rPr>
              <w:t>中型企业</w:t>
            </w:r>
            <w:r>
              <w:rPr>
                <w:rFonts w:hint="eastAsia" w:ascii="宋体" w:hAnsi="宋体" w:eastAsia="宋体" w:cs="Times New Roman"/>
                <w:color w:val="auto"/>
                <w:szCs w:val="21"/>
                <w:highlight w:val="none"/>
                <w:lang w:val="en-US" w:eastAsia="zh-CN"/>
              </w:rPr>
              <w:t xml:space="preserve">    </w:t>
            </w:r>
            <w:r>
              <w:rPr>
                <w:rFonts w:hint="eastAsia" w:ascii="宋体" w:hAnsi="宋体" w:cs="宋体"/>
                <w:color w:val="auto"/>
                <w:szCs w:val="21"/>
                <w:highlight w:val="none"/>
                <w:lang w:eastAsia="zh-CN"/>
              </w:rPr>
              <w:t>□</w:t>
            </w:r>
            <w:r>
              <w:rPr>
                <w:rFonts w:ascii="宋体" w:hAnsi="宋体" w:eastAsia="宋体" w:cs="Times New Roman"/>
                <w:color w:val="auto"/>
                <w:szCs w:val="21"/>
                <w:highlight w:val="none"/>
              </w:rPr>
              <w:t>小型企业</w:t>
            </w:r>
            <w:r>
              <w:rPr>
                <w:rFonts w:hint="eastAsia" w:ascii="宋体" w:hAnsi="宋体" w:eastAsia="宋体" w:cs="Times New Roman"/>
                <w:color w:val="auto"/>
                <w:szCs w:val="21"/>
                <w:highlight w:val="none"/>
                <w:lang w:val="en-US" w:eastAsia="zh-CN"/>
              </w:rPr>
              <w:t xml:space="preserve">    </w:t>
            </w:r>
            <w:r>
              <w:rPr>
                <w:rFonts w:hint="eastAsia" w:ascii="宋体" w:hAnsi="宋体" w:cs="宋体"/>
                <w:color w:val="auto"/>
                <w:szCs w:val="21"/>
                <w:highlight w:val="none"/>
                <w:lang w:eastAsia="zh-CN"/>
              </w:rPr>
              <w:t>□</w:t>
            </w:r>
            <w:r>
              <w:rPr>
                <w:rFonts w:ascii="宋体" w:hAnsi="宋体" w:eastAsia="宋体" w:cs="Times New Roman"/>
                <w:color w:val="auto"/>
                <w:szCs w:val="21"/>
                <w:highlight w:val="none"/>
              </w:rPr>
              <w:t xml:space="preserve">微型企业    </w:t>
            </w:r>
          </w:p>
          <w:p w14:paraId="0EC51E3A">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hint="eastAsia" w:ascii="宋体" w:hAnsi="宋体" w:cs="宋体"/>
                <w:color w:val="auto"/>
                <w:szCs w:val="21"/>
                <w:highlight w:val="none"/>
                <w:lang w:eastAsia="zh-CN"/>
              </w:rPr>
              <w:t>□</w:t>
            </w:r>
            <w:r>
              <w:rPr>
                <w:rFonts w:ascii="宋体" w:hAnsi="宋体" w:eastAsia="宋体" w:cs="Times New Roman"/>
                <w:color w:val="auto"/>
                <w:szCs w:val="21"/>
                <w:highlight w:val="none"/>
              </w:rPr>
              <w:t xml:space="preserve">监狱企业    </w:t>
            </w:r>
            <w:r>
              <w:rPr>
                <w:rFonts w:hint="eastAsia" w:ascii="宋体" w:hAnsi="宋体" w:cs="宋体"/>
                <w:color w:val="auto"/>
                <w:szCs w:val="21"/>
                <w:highlight w:val="none"/>
                <w:lang w:eastAsia="zh-CN"/>
              </w:rPr>
              <w:t>□</w:t>
            </w:r>
            <w:r>
              <w:rPr>
                <w:rFonts w:ascii="宋体" w:hAnsi="宋体" w:eastAsia="宋体" w:cs="Times New Roman"/>
                <w:color w:val="auto"/>
                <w:szCs w:val="21"/>
                <w:highlight w:val="none"/>
              </w:rPr>
              <w:t xml:space="preserve">残疾人福利性单位    </w:t>
            </w:r>
            <w:r>
              <w:rPr>
                <w:rFonts w:hint="eastAsia" w:ascii="宋体" w:hAnsi="宋体" w:cs="宋体"/>
                <w:color w:val="auto"/>
                <w:szCs w:val="21"/>
                <w:highlight w:val="none"/>
                <w:lang w:eastAsia="zh-CN"/>
              </w:rPr>
              <w:t>□</w:t>
            </w:r>
            <w:r>
              <w:rPr>
                <w:rFonts w:ascii="宋体" w:hAnsi="宋体" w:eastAsia="宋体" w:cs="Times New Roman"/>
                <w:color w:val="auto"/>
                <w:szCs w:val="21"/>
                <w:highlight w:val="none"/>
              </w:rPr>
              <w:t>其他</w:t>
            </w:r>
          </w:p>
        </w:tc>
      </w:tr>
      <w:tr w14:paraId="36C58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4BBDAB6D">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26C57E9B">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乙方地址</w:t>
            </w:r>
          </w:p>
        </w:tc>
        <w:tc>
          <w:tcPr>
            <w:tcW w:w="6180" w:type="dxa"/>
            <w:tcBorders>
              <w:top w:val="single" w:color="auto" w:sz="4" w:space="0"/>
              <w:left w:val="single" w:color="auto" w:sz="4" w:space="0"/>
              <w:bottom w:val="single" w:color="auto" w:sz="4" w:space="0"/>
              <w:right w:val="single" w:color="auto" w:sz="4" w:space="0"/>
            </w:tcBorders>
            <w:vAlign w:val="center"/>
          </w:tcPr>
          <w:p w14:paraId="66B3C1FE">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284D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11DE27EC">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7851D0CA">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乙方联系人</w:t>
            </w:r>
          </w:p>
        </w:tc>
        <w:tc>
          <w:tcPr>
            <w:tcW w:w="6180" w:type="dxa"/>
            <w:tcBorders>
              <w:top w:val="single" w:color="auto" w:sz="4" w:space="0"/>
              <w:left w:val="single" w:color="auto" w:sz="4" w:space="0"/>
              <w:bottom w:val="single" w:color="auto" w:sz="4" w:space="0"/>
              <w:right w:val="single" w:color="auto" w:sz="4" w:space="0"/>
            </w:tcBorders>
            <w:vAlign w:val="center"/>
          </w:tcPr>
          <w:p w14:paraId="0753A237">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7E4DD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6F4783AE">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0E6A2B72">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联系电话/传真</w:t>
            </w:r>
          </w:p>
        </w:tc>
        <w:tc>
          <w:tcPr>
            <w:tcW w:w="6180" w:type="dxa"/>
            <w:tcBorders>
              <w:top w:val="single" w:color="auto" w:sz="4" w:space="0"/>
              <w:left w:val="single" w:color="auto" w:sz="4" w:space="0"/>
              <w:bottom w:val="single" w:color="auto" w:sz="4" w:space="0"/>
              <w:right w:val="single" w:color="auto" w:sz="4" w:space="0"/>
            </w:tcBorders>
            <w:vAlign w:val="center"/>
          </w:tcPr>
          <w:p w14:paraId="7BB2B292">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11B45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3EE6EC17">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362793C7">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开户银行名称</w:t>
            </w:r>
          </w:p>
        </w:tc>
        <w:tc>
          <w:tcPr>
            <w:tcW w:w="6180" w:type="dxa"/>
            <w:tcBorders>
              <w:top w:val="single" w:color="auto" w:sz="4" w:space="0"/>
              <w:left w:val="single" w:color="auto" w:sz="4" w:space="0"/>
              <w:bottom w:val="single" w:color="auto" w:sz="4" w:space="0"/>
              <w:right w:val="single" w:color="auto" w:sz="4" w:space="0"/>
            </w:tcBorders>
            <w:vAlign w:val="center"/>
          </w:tcPr>
          <w:p w14:paraId="3CC8772B">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404D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51373AF8">
            <w:pPr>
              <w:keepNext w:val="0"/>
              <w:keepLines w:val="0"/>
              <w:pageBreakBefore w:val="0"/>
              <w:widowControl/>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72BACB7B">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银行账号</w:t>
            </w:r>
          </w:p>
        </w:tc>
        <w:tc>
          <w:tcPr>
            <w:tcW w:w="6180" w:type="dxa"/>
            <w:tcBorders>
              <w:top w:val="single" w:color="auto" w:sz="4" w:space="0"/>
              <w:left w:val="single" w:color="auto" w:sz="4" w:space="0"/>
              <w:bottom w:val="single" w:color="auto" w:sz="4" w:space="0"/>
              <w:right w:val="single" w:color="auto" w:sz="4" w:space="0"/>
            </w:tcBorders>
            <w:vAlign w:val="center"/>
          </w:tcPr>
          <w:p w14:paraId="461A5B2E">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p>
        </w:tc>
      </w:tr>
      <w:tr w14:paraId="649E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6E5AA1B1">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7</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27876158">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合同金额</w:t>
            </w:r>
          </w:p>
        </w:tc>
        <w:tc>
          <w:tcPr>
            <w:tcW w:w="6180" w:type="dxa"/>
            <w:tcBorders>
              <w:top w:val="single" w:color="auto" w:sz="4" w:space="0"/>
              <w:left w:val="single" w:color="auto" w:sz="4" w:space="0"/>
              <w:bottom w:val="single" w:color="auto" w:sz="4" w:space="0"/>
              <w:right w:val="single" w:color="auto" w:sz="4" w:space="0"/>
            </w:tcBorders>
            <w:vAlign w:val="center"/>
          </w:tcPr>
          <w:p w14:paraId="268570E3">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人民币</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元整（¥</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rPr>
              <w:t>）。</w:t>
            </w:r>
          </w:p>
        </w:tc>
      </w:tr>
      <w:tr w14:paraId="33F53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5D0AED45">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szCs w:val="21"/>
                <w:highlight w:val="none"/>
              </w:rPr>
              <w:t>8</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C130AF3">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szCs w:val="21"/>
                <w:highlight w:val="none"/>
              </w:rPr>
              <w:t>服务内容</w:t>
            </w:r>
          </w:p>
        </w:tc>
        <w:tc>
          <w:tcPr>
            <w:tcW w:w="6180" w:type="dxa"/>
            <w:tcBorders>
              <w:top w:val="single" w:color="auto" w:sz="4" w:space="0"/>
              <w:left w:val="single" w:color="auto" w:sz="4" w:space="0"/>
              <w:bottom w:val="single" w:color="auto" w:sz="4" w:space="0"/>
              <w:right w:val="single" w:color="auto" w:sz="4" w:space="0"/>
            </w:tcBorders>
            <w:vAlign w:val="center"/>
          </w:tcPr>
          <w:p w14:paraId="7B9CF957">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szCs w:val="21"/>
                <w:highlight w:val="none"/>
              </w:rPr>
              <w:t>详见招标文件采购需求。</w:t>
            </w:r>
          </w:p>
        </w:tc>
      </w:tr>
      <w:tr w14:paraId="3BD4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5AC57186">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9</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06BB8A9A">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合同付款</w:t>
            </w:r>
          </w:p>
        </w:tc>
        <w:tc>
          <w:tcPr>
            <w:tcW w:w="6180" w:type="dxa"/>
            <w:tcBorders>
              <w:top w:val="single" w:color="auto" w:sz="4" w:space="0"/>
              <w:left w:val="single" w:color="auto" w:sz="4" w:space="0"/>
              <w:bottom w:val="single" w:color="auto" w:sz="4" w:space="0"/>
              <w:right w:val="single" w:color="auto" w:sz="4" w:space="0"/>
            </w:tcBorders>
            <w:shd w:val="clear" w:color="auto" w:fill="auto"/>
            <w:vAlign w:val="center"/>
          </w:tcPr>
          <w:p w14:paraId="58D73C17">
            <w:pPr>
              <w:keepNext w:val="0"/>
              <w:keepLines w:val="0"/>
              <w:widowControl/>
              <w:suppressLineNumbers w:val="0"/>
              <w:tabs>
                <w:tab w:val="left" w:pos="700"/>
              </w:tabs>
              <w:suppressAutoHyphens/>
              <w:adjustRightInd w:val="0"/>
              <w:snapToGrid w:val="0"/>
              <w:spacing w:before="0" w:beforeAutospacing="0" w:after="0" w:afterAutospacing="0" w:line="380" w:lineRule="exact"/>
              <w:ind w:left="0" w:right="0" w:firstLine="420" w:firstLineChars="200"/>
              <w:jc w:val="left"/>
              <w:rPr>
                <w:rFonts w:hint="default" w:ascii="Times New Roman" w:hAnsi="Times New Roman" w:cs="Times New Roman"/>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签订合同且运维服务开始之日起支付合同总金额</w:t>
            </w:r>
            <w:r>
              <w:rPr>
                <w:rFonts w:hint="eastAsia" w:ascii="Times New Roman" w:hAnsi="Times New Roman" w:cs="宋体"/>
                <w:color w:val="auto"/>
                <w:kern w:val="2"/>
                <w:sz w:val="21"/>
                <w:szCs w:val="21"/>
                <w:highlight w:val="none"/>
                <w:lang w:val="en-US" w:eastAsia="zh-CN" w:bidi="ar"/>
              </w:rPr>
              <w:t>3</w:t>
            </w:r>
            <w:r>
              <w:rPr>
                <w:rFonts w:hint="default" w:ascii="Times New Roman" w:hAnsi="Times New Roman" w:eastAsia="宋体" w:cs="Times New Roman"/>
                <w:color w:val="auto"/>
                <w:kern w:val="2"/>
                <w:sz w:val="21"/>
                <w:szCs w:val="21"/>
                <w:highlight w:val="none"/>
                <w:lang w:val="en-US" w:eastAsia="zh-CN" w:bidi="ar"/>
              </w:rPr>
              <w:t>0%</w:t>
            </w:r>
            <w:r>
              <w:rPr>
                <w:rFonts w:hint="eastAsia" w:ascii="Times New Roman" w:hAnsi="Times New Roman" w:eastAsia="宋体" w:cs="宋体"/>
                <w:color w:val="auto"/>
                <w:kern w:val="2"/>
                <w:sz w:val="21"/>
                <w:szCs w:val="21"/>
                <w:highlight w:val="none"/>
                <w:lang w:val="en-US" w:eastAsia="zh-CN" w:bidi="ar"/>
              </w:rPr>
              <w:t>，服务期满6个月，支付合同金额40%，服务期满，甲方对项目进行验收，根据项目验收标准及本合同罚则条款进行考核，按考核结果支付合同剩余款项。</w:t>
            </w:r>
          </w:p>
          <w:p w14:paraId="00D1D649">
            <w:pPr>
              <w:keepNext w:val="0"/>
              <w:keepLines w:val="0"/>
              <w:widowControl/>
              <w:suppressLineNumbers w:val="0"/>
              <w:tabs>
                <w:tab w:val="left" w:pos="700"/>
              </w:tabs>
              <w:suppressAutoHyphens/>
              <w:adjustRightInd w:val="0"/>
              <w:snapToGrid w:val="0"/>
              <w:spacing w:before="0" w:beforeAutospacing="0" w:after="0" w:afterAutospacing="0" w:line="380" w:lineRule="exact"/>
              <w:ind w:left="0" w:right="0" w:firstLine="420" w:firstLineChars="200"/>
              <w:jc w:val="left"/>
              <w:rPr>
                <w:rFonts w:hint="default" w:ascii="Times New Roman" w:hAnsi="Times New Roman" w:cs="Times New Roman"/>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除首笔付款外，其他合同款项的支付均须根据本项目约定的合同罚责条款进行服务考核评分，并按考核得分对当期应付合同款进行核算。具体核算方式如下：</w:t>
            </w:r>
            <w:r>
              <w:rPr>
                <w:rFonts w:hint="default" w:ascii="Times New Roman" w:hAnsi="Times New Roman" w:eastAsia="宋体" w:cs="Times New Roman"/>
                <w:color w:val="auto"/>
                <w:kern w:val="2"/>
                <w:sz w:val="21"/>
                <w:szCs w:val="21"/>
                <w:highlight w:val="non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应付金额</w:t>
            </w:r>
            <w:r>
              <w:rPr>
                <w:rFonts w:hint="default"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合同总金额</w:t>
            </w:r>
            <w:r>
              <w:rPr>
                <w:rFonts w:hint="eastAsia"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各联合体成员对应比例（如有）</w:t>
            </w:r>
            <w:r>
              <w:rPr>
                <w:rFonts w:hint="eastAsia"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当期合同约定支付比例</w:t>
            </w:r>
            <w:r>
              <w:rPr>
                <w:rFonts w:hint="default"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合同总金额</w:t>
            </w:r>
            <w:r>
              <w:rPr>
                <w:rFonts w:hint="eastAsia"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各联合体成员对应比例（如有）</w:t>
            </w:r>
            <w:r>
              <w:rPr>
                <w:rFonts w:hint="eastAsia"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（当期累计扣分</w:t>
            </w:r>
            <w:r>
              <w:rPr>
                <w:rFonts w:hint="eastAsia" w:ascii="Times New Roman" w:hAnsi="Times New Roman" w:eastAsia="宋体" w:cs="Times New Roman"/>
                <w:color w:val="auto"/>
                <w:kern w:val="2"/>
                <w:sz w:val="21"/>
                <w:szCs w:val="21"/>
                <w:highlight w:val="none"/>
                <w:lang w:val="en-US" w:eastAsia="zh-CN" w:bidi="ar"/>
              </w:rPr>
              <w:t>×</w:t>
            </w:r>
            <w:r>
              <w:rPr>
                <w:rFonts w:hint="default" w:ascii="Times New Roman" w:hAnsi="Times New Roman" w:eastAsia="宋体" w:cs="Times New Roman"/>
                <w:color w:val="auto"/>
                <w:kern w:val="2"/>
                <w:sz w:val="21"/>
                <w:szCs w:val="21"/>
                <w:highlight w:val="none"/>
                <w:lang w:val="en-US" w:eastAsia="zh-CN" w:bidi="ar"/>
              </w:rPr>
              <w:t>0.2%</w:t>
            </w: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各联合体成员相应扣款（如有）。</w:t>
            </w:r>
            <w:r>
              <w:rPr>
                <w:rFonts w:hint="default" w:ascii="Times New Roman" w:hAnsi="Times New Roman" w:eastAsia="宋体" w:cs="Times New Roman"/>
                <w:color w:val="auto"/>
                <w:kern w:val="2"/>
                <w:sz w:val="21"/>
                <w:szCs w:val="21"/>
                <w:highlight w:val="non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其中，“当期累计扣分”依据应付款当期的《服务质量情况表》（详见附件</w:t>
            </w:r>
            <w:r>
              <w:rPr>
                <w:rFonts w:hint="default" w:ascii="Times New Roman" w:hAnsi="Times New Roman" w:eastAsia="宋体" w:cs="Times New Roman"/>
                <w:color w:val="auto"/>
                <w:kern w:val="2"/>
                <w:sz w:val="21"/>
                <w:szCs w:val="21"/>
                <w:highlight w:val="none"/>
                <w:lang w:val="en-US" w:eastAsia="zh-CN" w:bidi="ar"/>
              </w:rPr>
              <w:t>3</w:t>
            </w:r>
            <w:r>
              <w:rPr>
                <w:rFonts w:hint="eastAsia" w:ascii="Times New Roman" w:hAnsi="Times New Roman" w:eastAsia="宋体" w:cs="宋体"/>
                <w:color w:val="auto"/>
                <w:kern w:val="2"/>
                <w:sz w:val="21"/>
                <w:szCs w:val="21"/>
                <w:highlight w:val="none"/>
                <w:lang w:val="en-US" w:eastAsia="zh-CN" w:bidi="ar"/>
              </w:rPr>
              <w:t>）考核记录累计形成；“相应扣款”依据合同约定的违约责任条款执行。</w:t>
            </w:r>
          </w:p>
          <w:p w14:paraId="04EEA3B7">
            <w:pPr>
              <w:keepNext w:val="0"/>
              <w:keepLines w:val="0"/>
              <w:pageBreakBefore w:val="0"/>
              <w:widowControl/>
              <w:numPr>
                <w:ilvl w:val="-1"/>
                <w:numId w:val="0"/>
              </w:numPr>
              <w:tabs>
                <w:tab w:val="left" w:pos="700"/>
              </w:tabs>
              <w:kinsoku/>
              <w:wordWrap/>
              <w:overflowPunct/>
              <w:topLinePunct w:val="0"/>
              <w:autoSpaceDE/>
              <w:autoSpaceDN/>
              <w:bidi w:val="0"/>
              <w:adjustRightInd w:val="0"/>
              <w:snapToGrid w:val="0"/>
              <w:spacing w:before="0" w:after="0" w:line="380" w:lineRule="exact"/>
              <w:ind w:firstLine="420" w:firstLineChars="200"/>
              <w:jc w:val="left"/>
              <w:textAlignment w:val="auto"/>
              <w:rPr>
                <w:rFonts w:ascii="宋体" w:hAnsi="宋体" w:eastAsia="宋体" w:cs="Times New Roman"/>
                <w:color w:val="auto"/>
                <w:kern w:val="2"/>
                <w:sz w:val="21"/>
                <w:szCs w:val="21"/>
                <w:highlight w:val="none"/>
                <w:lang w:val="en-US" w:eastAsia="zh-CN" w:bidi="ar-SA"/>
              </w:rPr>
            </w:pPr>
            <w:r>
              <w:rPr>
                <w:rFonts w:hint="eastAsia" w:ascii="Times New Roman" w:hAnsi="Times New Roman" w:eastAsia="宋体" w:cs="宋体"/>
                <w:color w:val="auto"/>
                <w:kern w:val="2"/>
                <w:sz w:val="21"/>
                <w:szCs w:val="21"/>
                <w:highlight w:val="none"/>
                <w:lang w:val="en-US" w:eastAsia="zh-CN" w:bidi="ar"/>
              </w:rPr>
              <w:t>甲方付款前，乙方应向甲方开具等额有效的发票，甲方收到合规发票后</w:t>
            </w:r>
            <w:r>
              <w:rPr>
                <w:rFonts w:hint="default" w:ascii="Times New Roman" w:hAnsi="Times New Roman" w:eastAsia="宋体" w:cs="Times New Roman"/>
                <w:color w:val="auto"/>
                <w:kern w:val="2"/>
                <w:sz w:val="21"/>
                <w:szCs w:val="21"/>
                <w:highlight w:val="none"/>
                <w:lang w:val="en-US" w:eastAsia="zh-CN" w:bidi="ar"/>
              </w:rPr>
              <w:t>10</w:t>
            </w:r>
            <w:r>
              <w:rPr>
                <w:rFonts w:hint="eastAsia" w:ascii="Times New Roman" w:hAnsi="Times New Roman" w:eastAsia="宋体" w:cs="宋体"/>
                <w:color w:val="auto"/>
                <w:kern w:val="2"/>
                <w:sz w:val="21"/>
                <w:szCs w:val="21"/>
                <w:highlight w:val="none"/>
                <w:lang w:val="en-US" w:eastAsia="zh-CN" w:bidi="ar"/>
              </w:rPr>
              <w:t>个工作日内将合同款项支付到合同约定的乙方账户；甲方未收到发票的，有权不予支付，并不承担延迟付款责任。</w:t>
            </w:r>
          </w:p>
        </w:tc>
      </w:tr>
      <w:tr w14:paraId="2A65D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3C3330EC">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10</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9110EE8">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履约保证金及返还</w:t>
            </w:r>
          </w:p>
        </w:tc>
        <w:tc>
          <w:tcPr>
            <w:tcW w:w="6180" w:type="dxa"/>
            <w:tcBorders>
              <w:top w:val="single" w:color="auto" w:sz="4" w:space="0"/>
              <w:left w:val="single" w:color="auto" w:sz="4" w:space="0"/>
              <w:bottom w:val="single" w:color="auto" w:sz="4" w:space="0"/>
              <w:right w:val="single" w:color="auto" w:sz="4" w:space="0"/>
            </w:tcBorders>
            <w:vAlign w:val="center"/>
          </w:tcPr>
          <w:p w14:paraId="7915A499">
            <w:pPr>
              <w:keepNext w:val="0"/>
              <w:keepLines w:val="0"/>
              <w:pageBreakBefore w:val="0"/>
              <w:widowControl/>
              <w:kinsoku/>
              <w:wordWrap w:val="0"/>
              <w:overflowPunct/>
              <w:topLinePunct/>
              <w:autoSpaceDE/>
              <w:autoSpaceDN/>
              <w:bidi w:val="0"/>
              <w:adjustRightInd w:val="0"/>
              <w:snapToGrid w:val="0"/>
              <w:spacing w:before="60" w:after="60" w:line="288" w:lineRule="auto"/>
              <w:jc w:val="left"/>
              <w:rPr>
                <w:rFonts w:hint="eastAsia" w:ascii="宋体" w:hAnsi="宋体" w:eastAsia="宋体" w:cs="宋体"/>
                <w:color w:val="auto"/>
                <w:highlight w:val="none"/>
              </w:rPr>
            </w:pPr>
            <w:r>
              <w:rPr>
                <w:rFonts w:hint="eastAsia" w:ascii="宋体" w:hAnsi="宋体" w:cs="宋体"/>
                <w:color w:val="auto"/>
                <w:szCs w:val="21"/>
                <w:highlight w:val="none"/>
                <w:lang w:eastAsia="zh-CN"/>
              </w:rPr>
              <w:t>☑</w:t>
            </w:r>
            <w:r>
              <w:rPr>
                <w:rFonts w:hint="eastAsia" w:ascii="宋体" w:hAnsi="宋体" w:eastAsia="宋体" w:cs="宋体"/>
                <w:color w:val="auto"/>
                <w:highlight w:val="none"/>
              </w:rPr>
              <w:t>不要求提供</w:t>
            </w:r>
          </w:p>
          <w:p w14:paraId="684FE8EB">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Times New Roman" w:hAnsi="Times New Roman" w:eastAsia="宋体" w:cs="Times New Roman"/>
                <w:color w:val="auto"/>
                <w:szCs w:val="21"/>
                <w:highlight w:val="none"/>
              </w:rPr>
            </w:pPr>
            <w:r>
              <w:rPr>
                <w:rFonts w:hint="eastAsia" w:ascii="宋体" w:hAnsi="宋体" w:cs="宋体"/>
                <w:color w:val="auto"/>
                <w:szCs w:val="21"/>
                <w:highlight w:val="none"/>
                <w:lang w:eastAsia="zh-CN"/>
              </w:rPr>
              <w:t>□</w:t>
            </w:r>
            <w:r>
              <w:rPr>
                <w:rFonts w:hint="eastAsia" w:ascii="Times New Roman" w:hAnsi="Times New Roman" w:eastAsia="宋体" w:cs="Times New Roman"/>
                <w:color w:val="auto"/>
                <w:szCs w:val="21"/>
                <w:highlight w:val="none"/>
              </w:rPr>
              <w:t xml:space="preserve">要求提供，履约保证金的数额不得超过采购合同金额的10%，本项目履约保证金为 </w:t>
            </w:r>
            <w:r>
              <w:rPr>
                <w:rFonts w:ascii="Times New Roman" w:hAnsi="Times New Roman" w:eastAsia="宋体" w:cs="Times New Roman"/>
                <w:color w:val="auto"/>
                <w:szCs w:val="21"/>
                <w:highlight w:val="none"/>
              </w:rPr>
              <w:t xml:space="preserve">     </w:t>
            </w:r>
            <w:r>
              <w:rPr>
                <w:rFonts w:hint="eastAsia" w:ascii="Times New Roman" w:hAnsi="Times New Roman" w:eastAsia="宋体" w:cs="Times New Roman"/>
                <w:color w:val="auto"/>
                <w:szCs w:val="21"/>
                <w:highlight w:val="none"/>
              </w:rPr>
              <w:t>，乙方在签订合同前应提交履约保证金，否则，不予签订合同。提交方式为支票、汇票、本票或者金融机构、担保机构出具的保函等非现金形式。采用转账、电汇方式的，由乙方在签订合同前按规定的金额从乙方银行账户直接缴入甲方账户。</w:t>
            </w:r>
          </w:p>
          <w:p w14:paraId="696AB2D5">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合同期满，乙方应提供履约保证金返还申请（格式另附）、合同或合同关键页复印件、合同约定的其他资料，涉及验收的，应同时提交甲方需求部门出具的项目终验意见或质量保证期（服务期）满验收意见。</w:t>
            </w:r>
          </w:p>
          <w:p w14:paraId="7458C40B">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hint="eastAsia" w:ascii="Times New Roman" w:hAnsi="Times New Roman" w:eastAsia="宋体" w:cs="Times New Roman"/>
                <w:color w:val="auto"/>
                <w:szCs w:val="21"/>
                <w:highlight w:val="none"/>
              </w:rPr>
              <w:t>满足履约保证金返还条件且双方对核实结果无异议的，自完成核实之日起30日内，甲方根据项目验收意见扣除应扣除的款项（如有）后，原路无息返还履约保证金。</w:t>
            </w:r>
          </w:p>
        </w:tc>
      </w:tr>
      <w:tr w14:paraId="54B88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4FEA56B0">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11</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E87EA3E">
            <w:pPr>
              <w:pStyle w:val="12"/>
              <w:keepNext w:val="0"/>
              <w:keepLines w:val="0"/>
              <w:pageBreakBefore w:val="0"/>
              <w:widowControl/>
              <w:kinsoku/>
              <w:wordWrap w:val="0"/>
              <w:overflowPunct/>
              <w:topLinePunct/>
              <w:autoSpaceDE/>
              <w:autoSpaceDN/>
              <w:bidi w:val="0"/>
              <w:snapToGrid w:val="0"/>
              <w:spacing w:before="60" w:after="60" w:line="288" w:lineRule="auto"/>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合同履行期限</w:t>
            </w:r>
          </w:p>
        </w:tc>
        <w:tc>
          <w:tcPr>
            <w:tcW w:w="6180" w:type="dxa"/>
            <w:tcBorders>
              <w:top w:val="single" w:color="auto" w:sz="4" w:space="0"/>
              <w:left w:val="single" w:color="auto" w:sz="4" w:space="0"/>
              <w:bottom w:val="single" w:color="auto" w:sz="4" w:space="0"/>
              <w:right w:val="single" w:color="auto" w:sz="4" w:space="0"/>
            </w:tcBorders>
            <w:vAlign w:val="center"/>
          </w:tcPr>
          <w:p w14:paraId="2D73EFE6">
            <w:pPr>
              <w:keepNext w:val="0"/>
              <w:keepLines w:val="0"/>
              <w:pageBreakBefore w:val="0"/>
              <w:widowControl/>
              <w:kinsoku/>
              <w:wordWrap w:val="0"/>
              <w:overflowPunct/>
              <w:topLinePunct/>
              <w:autoSpaceDE/>
              <w:autoSpaceDN/>
              <w:bidi w:val="0"/>
              <w:snapToGrid w:val="0"/>
              <w:spacing w:before="60" w:after="60" w:line="288" w:lineRule="auto"/>
              <w:ind w:firstLine="420" w:firstLineChars="200"/>
              <w:rPr>
                <w:rFonts w:hint="default" w:ascii="宋体" w:hAnsi="宋体" w:cs="宋体"/>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bidi="ar-SA"/>
              </w:rPr>
              <w:t>服务时间、履行期：</w:t>
            </w:r>
            <w:r>
              <w:rPr>
                <w:rFonts w:hint="default" w:ascii="宋体" w:hAnsi="宋体" w:cs="宋体"/>
                <w:color w:val="auto"/>
                <w:kern w:val="2"/>
                <w:sz w:val="21"/>
                <w:szCs w:val="21"/>
                <w:highlight w:val="none"/>
                <w:lang w:val="en-US" w:eastAsia="zh-CN"/>
              </w:rPr>
              <w:t>1年</w:t>
            </w:r>
          </w:p>
          <w:p w14:paraId="20E149F6">
            <w:pPr>
              <w:keepNext w:val="0"/>
              <w:keepLines w:val="0"/>
              <w:pageBreakBefore w:val="0"/>
              <w:widowControl/>
              <w:kinsoku/>
              <w:wordWrap w:val="0"/>
              <w:overflowPunct/>
              <w:topLinePunct/>
              <w:autoSpaceDE/>
              <w:autoSpaceDN/>
              <w:bidi w:val="0"/>
              <w:snapToGrid w:val="0"/>
              <w:spacing w:before="60" w:after="60" w:line="288" w:lineRule="auto"/>
              <w:ind w:firstLine="420" w:firstLineChars="200"/>
              <w:rPr>
                <w:rFonts w:hint="default" w:ascii="宋体" w:hAnsi="宋体" w:eastAsia="宋体" w:cs="Times New Roman"/>
                <w:color w:val="auto"/>
                <w:kern w:val="2"/>
                <w:sz w:val="21"/>
                <w:szCs w:val="21"/>
                <w:highlight w:val="none"/>
                <w:u w:val="single"/>
                <w:lang w:val="en-US" w:eastAsia="zh-CN" w:bidi="ar-SA"/>
              </w:rPr>
            </w:pPr>
            <w:r>
              <w:rPr>
                <w:rFonts w:hint="eastAsia" w:ascii="宋体" w:hAnsi="宋体" w:eastAsia="宋体" w:cs="Times New Roman"/>
                <w:color w:val="auto"/>
                <w:kern w:val="2"/>
                <w:sz w:val="21"/>
                <w:szCs w:val="21"/>
                <w:highlight w:val="none"/>
                <w:lang w:val="en-US" w:eastAsia="zh-CN" w:bidi="ar-SA"/>
              </w:rPr>
              <w:t>具体</w:t>
            </w:r>
            <w:r>
              <w:rPr>
                <w:rFonts w:hint="eastAsia" w:ascii="宋体" w:hAnsi="宋体" w:eastAsia="宋体" w:cs="Times New Roman"/>
                <w:color w:val="auto"/>
                <w:kern w:val="2"/>
                <w:sz w:val="21"/>
                <w:szCs w:val="21"/>
                <w:highlight w:val="none"/>
                <w:u w:val="single"/>
                <w:lang w:val="en-US" w:eastAsia="zh-CN" w:bidi="ar-SA"/>
              </w:rPr>
              <w:t>时间从     年     月     日起至     年     月     日止。</w:t>
            </w:r>
            <w:r>
              <w:rPr>
                <w:rFonts w:hint="eastAsia" w:ascii="宋体" w:hAnsi="宋体" w:cs="Times New Roman"/>
                <w:color w:val="auto"/>
                <w:kern w:val="2"/>
                <w:sz w:val="21"/>
                <w:szCs w:val="21"/>
                <w:highlight w:val="none"/>
                <w:u w:val="single"/>
                <w:lang w:val="en-US" w:eastAsia="zh-CN" w:bidi="ar-SA"/>
              </w:rPr>
              <w:t xml:space="preserve">                                                                             </w:t>
            </w:r>
          </w:p>
          <w:p w14:paraId="07FC7E7A">
            <w:pPr>
              <w:keepNext w:val="0"/>
              <w:keepLines w:val="0"/>
              <w:pageBreakBefore w:val="0"/>
              <w:widowControl/>
              <w:kinsoku/>
              <w:wordWrap w:val="0"/>
              <w:overflowPunct/>
              <w:topLinePunct/>
              <w:autoSpaceDE/>
              <w:autoSpaceDN/>
              <w:bidi w:val="0"/>
              <w:snapToGrid w:val="0"/>
              <w:spacing w:before="60" w:after="60" w:line="288" w:lineRule="auto"/>
              <w:ind w:firstLine="420" w:firstLineChars="2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合同期满，如甲方要求乙方继续提供本合同服务的，顺延至新的</w:t>
            </w:r>
            <w:r>
              <w:rPr>
                <w:rFonts w:hint="eastAsia" w:hAnsi="宋体" w:eastAsia="宋体" w:cs="Times New Roman"/>
                <w:color w:val="auto"/>
                <w:kern w:val="2"/>
                <w:sz w:val="21"/>
                <w:szCs w:val="21"/>
                <w:highlight w:val="none"/>
                <w:lang w:val="en-US" w:eastAsia="zh-CN" w:bidi="ar-SA"/>
              </w:rPr>
              <w:t>中标（成交）</w:t>
            </w:r>
            <w:r>
              <w:rPr>
                <w:rFonts w:hint="eastAsia" w:ascii="宋体" w:hAnsi="宋体" w:eastAsia="宋体" w:cs="Times New Roman"/>
                <w:color w:val="auto"/>
                <w:kern w:val="2"/>
                <w:sz w:val="21"/>
                <w:szCs w:val="21"/>
                <w:highlight w:val="none"/>
                <w:lang w:val="en-US" w:eastAsia="zh-CN" w:bidi="ar-SA"/>
              </w:rPr>
              <w:t>供应商提供服务之日或者甲方通知停止服务之日止。顺延期间，原合同服务内容、服务费用以及甲、乙双方的责任和义务等内容不变，但双方另有约定的除外。</w:t>
            </w:r>
          </w:p>
          <w:p w14:paraId="727021DD">
            <w:pPr>
              <w:keepNext w:val="0"/>
              <w:keepLines w:val="0"/>
              <w:pageBreakBefore w:val="0"/>
              <w:widowControl/>
              <w:kinsoku/>
              <w:wordWrap w:val="0"/>
              <w:overflowPunct/>
              <w:topLinePunct/>
              <w:autoSpaceDE/>
              <w:autoSpaceDN/>
              <w:bidi w:val="0"/>
              <w:snapToGrid w:val="0"/>
              <w:spacing w:before="60" w:after="60" w:line="288" w:lineRule="auto"/>
              <w:ind w:firstLine="420" w:firstLineChars="200"/>
              <w:rPr>
                <w:rFonts w:hint="eastAsia"/>
                <w:color w:val="auto"/>
                <w:highlight w:val="none"/>
                <w:lang w:val="en-US" w:eastAsia="zh-CN"/>
              </w:rPr>
            </w:pPr>
            <w:r>
              <w:rPr>
                <w:rFonts w:hint="eastAsia" w:ascii="宋体" w:hAnsi="宋体" w:eastAsia="宋体" w:cs="Calibri"/>
                <w:color w:val="auto"/>
                <w:szCs w:val="21"/>
                <w:highlight w:val="none"/>
              </w:rPr>
              <w:t>因国家政策变化、技术实施所需的客观环境变化、重大技术变化（含硬件架构升级、设备兼容性调整、硬件设备报废、推广使用新应用系统等）或工作计划调整等原因导致相关服务停止或部分停止的，</w:t>
            </w:r>
            <w:r>
              <w:rPr>
                <w:rFonts w:hint="eastAsia" w:ascii="宋体" w:hAnsi="宋体" w:cs="Calibri"/>
                <w:color w:val="auto"/>
                <w:szCs w:val="21"/>
                <w:highlight w:val="none"/>
                <w:lang w:val="en-US" w:eastAsia="zh-CN"/>
              </w:rPr>
              <w:t>甲方</w:t>
            </w:r>
            <w:r>
              <w:rPr>
                <w:rFonts w:hint="eastAsia" w:ascii="宋体" w:hAnsi="宋体" w:eastAsia="宋体" w:cs="Calibri"/>
                <w:color w:val="auto"/>
                <w:szCs w:val="21"/>
                <w:highlight w:val="none"/>
              </w:rPr>
              <w:t>有权提前终止或部分终止合同执行，费用按实际服务时间、实际运维范围和考核结果据实结算，不视为</w:t>
            </w:r>
            <w:r>
              <w:rPr>
                <w:rFonts w:hint="eastAsia" w:ascii="宋体" w:hAnsi="宋体" w:cs="Calibri"/>
                <w:color w:val="auto"/>
                <w:szCs w:val="21"/>
                <w:highlight w:val="none"/>
                <w:lang w:val="en-US" w:eastAsia="zh-CN"/>
              </w:rPr>
              <w:t>甲方</w:t>
            </w:r>
            <w:r>
              <w:rPr>
                <w:rFonts w:hint="eastAsia" w:ascii="宋体" w:hAnsi="宋体" w:eastAsia="宋体" w:cs="Calibri"/>
                <w:color w:val="auto"/>
                <w:szCs w:val="21"/>
                <w:highlight w:val="none"/>
              </w:rPr>
              <w:t>违约。</w:t>
            </w:r>
          </w:p>
        </w:tc>
      </w:tr>
      <w:tr w14:paraId="4C01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75D18FEA">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2</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198EEF3F">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合同履约地点</w:t>
            </w:r>
          </w:p>
        </w:tc>
        <w:tc>
          <w:tcPr>
            <w:tcW w:w="6180" w:type="dxa"/>
            <w:tcBorders>
              <w:top w:val="single" w:color="auto" w:sz="4" w:space="0"/>
              <w:left w:val="single" w:color="auto" w:sz="4" w:space="0"/>
              <w:bottom w:val="single" w:color="auto" w:sz="4" w:space="0"/>
              <w:right w:val="single" w:color="auto" w:sz="4" w:space="0"/>
            </w:tcBorders>
            <w:vAlign w:val="center"/>
          </w:tcPr>
          <w:p w14:paraId="408E871A">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合同约定地点或甲方指定地点</w:t>
            </w:r>
          </w:p>
        </w:tc>
      </w:tr>
      <w:tr w14:paraId="19B71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5" w:type="dxa"/>
            <w:tcBorders>
              <w:top w:val="single" w:color="auto" w:sz="4" w:space="0"/>
              <w:left w:val="single" w:color="auto" w:sz="4" w:space="0"/>
              <w:bottom w:val="single" w:color="auto" w:sz="4" w:space="0"/>
              <w:right w:val="single" w:color="auto" w:sz="4" w:space="0"/>
            </w:tcBorders>
            <w:vAlign w:val="center"/>
          </w:tcPr>
          <w:p w14:paraId="5F8A62D4">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3</w:t>
            </w:r>
          </w:p>
        </w:tc>
        <w:tc>
          <w:tcPr>
            <w:tcW w:w="1993" w:type="dxa"/>
            <w:gridSpan w:val="2"/>
            <w:tcBorders>
              <w:top w:val="single" w:color="auto" w:sz="4" w:space="0"/>
              <w:left w:val="single" w:color="auto" w:sz="4" w:space="0"/>
              <w:bottom w:val="single" w:color="auto" w:sz="4" w:space="0"/>
              <w:right w:val="single" w:color="auto" w:sz="4" w:space="0"/>
            </w:tcBorders>
            <w:vAlign w:val="center"/>
          </w:tcPr>
          <w:p w14:paraId="63300F78">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t>合同纠纷解决方式</w:t>
            </w:r>
          </w:p>
        </w:tc>
        <w:tc>
          <w:tcPr>
            <w:tcW w:w="6180" w:type="dxa"/>
            <w:tcBorders>
              <w:top w:val="single" w:color="auto" w:sz="4" w:space="0"/>
              <w:left w:val="single" w:color="auto" w:sz="4" w:space="0"/>
              <w:bottom w:val="single" w:color="auto" w:sz="4" w:space="0"/>
              <w:right w:val="single" w:color="auto" w:sz="4" w:space="0"/>
            </w:tcBorders>
            <w:vAlign w:val="center"/>
          </w:tcPr>
          <w:p w14:paraId="1690F770">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甲乙双方应首先通过友好协商解决在执行本合同中所发生的或与本合同有关的一切争端。如协商不能解决，可以选择以下途径之一解决纠纷：</w:t>
            </w:r>
          </w:p>
          <w:p w14:paraId="75CA4CA3">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hint="eastAsia" w:ascii="宋体" w:hAnsi="宋体" w:cs="宋体"/>
                <w:color w:val="auto"/>
                <w:szCs w:val="21"/>
                <w:highlight w:val="none"/>
                <w:lang w:eastAsia="zh-CN"/>
              </w:rPr>
              <w:t>□</w:t>
            </w:r>
            <w:r>
              <w:rPr>
                <w:rFonts w:ascii="宋体" w:hAnsi="宋体" w:eastAsia="宋体" w:cs="Times New Roman"/>
                <w:color w:val="auto"/>
                <w:szCs w:val="21"/>
                <w:highlight w:val="none"/>
              </w:rPr>
              <w:t>向甲方所在地仲裁委员会申请仲裁</w:t>
            </w:r>
          </w:p>
          <w:p w14:paraId="4C620C9E">
            <w:pPr>
              <w:keepNext w:val="0"/>
              <w:keepLines w:val="0"/>
              <w:pageBreakBefore w:val="0"/>
              <w:widowControl/>
              <w:tabs>
                <w:tab w:val="left" w:pos="700"/>
              </w:tabs>
              <w:kinsoku/>
              <w:wordWrap w:val="0"/>
              <w:overflowPunct/>
              <w:topLinePunct/>
              <w:autoSpaceDE/>
              <w:autoSpaceDN/>
              <w:bidi w:val="0"/>
              <w:adjustRightInd w:val="0"/>
              <w:snapToGrid w:val="0"/>
              <w:spacing w:before="60" w:after="60" w:line="288" w:lineRule="auto"/>
              <w:rPr>
                <w:rFonts w:ascii="宋体" w:hAnsi="宋体" w:eastAsia="宋体" w:cs="Times New Roman"/>
                <w:color w:val="auto"/>
                <w:szCs w:val="21"/>
                <w:highlight w:val="none"/>
              </w:rPr>
            </w:pPr>
            <w:r>
              <w:rPr>
                <w:rFonts w:hint="eastAsia" w:ascii="宋体" w:hAnsi="宋体" w:eastAsia="宋体" w:cs="宋体"/>
                <w:color w:val="auto"/>
                <w:szCs w:val="21"/>
                <w:highlight w:val="none"/>
                <w:lang w:eastAsia="zh-CN"/>
              </w:rPr>
              <w:t>☑</w:t>
            </w:r>
            <w:r>
              <w:rPr>
                <w:rFonts w:ascii="宋体" w:hAnsi="宋体" w:eastAsia="宋体" w:cs="Times New Roman"/>
                <w:color w:val="auto"/>
                <w:szCs w:val="21"/>
                <w:highlight w:val="none"/>
              </w:rPr>
              <w:t>向甲方所在地人民法院提起诉讼</w:t>
            </w:r>
          </w:p>
        </w:tc>
      </w:tr>
    </w:tbl>
    <w:p w14:paraId="2AB6CAC4">
      <w:pPr>
        <w:tabs>
          <w:tab w:val="left" w:pos="700"/>
        </w:tabs>
        <w:topLinePunct/>
        <w:autoSpaceDE w:val="0"/>
        <w:autoSpaceDN w:val="0"/>
        <w:spacing w:line="460" w:lineRule="exact"/>
        <w:rPr>
          <w:rFonts w:ascii="宋体" w:hAnsi="宋体" w:eastAsia="宋体" w:cs="宋体"/>
          <w:b/>
          <w:color w:val="auto"/>
          <w:sz w:val="24"/>
          <w:highlight w:val="none"/>
        </w:rPr>
      </w:pPr>
      <w:r>
        <w:rPr>
          <w:rFonts w:hint="eastAsia" w:ascii="宋体" w:hAnsi="宋体" w:eastAsia="宋体" w:cs="宋体"/>
          <w:b/>
          <w:color w:val="auto"/>
          <w:sz w:val="28"/>
          <w:highlight w:val="none"/>
        </w:rPr>
        <w:br w:type="page"/>
      </w:r>
    </w:p>
    <w:p w14:paraId="444FB753">
      <w:pPr>
        <w:tabs>
          <w:tab w:val="left" w:pos="0"/>
        </w:tabs>
        <w:topLinePunct/>
        <w:autoSpaceDE w:val="0"/>
        <w:autoSpaceDN w:val="0"/>
        <w:spacing w:line="460" w:lineRule="exact"/>
        <w:jc w:val="center"/>
        <w:outlineLvl w:val="1"/>
        <w:rPr>
          <w:rFonts w:ascii="宋体" w:hAnsi="宋体" w:eastAsia="宋体" w:cs="宋体"/>
          <w:b/>
          <w:color w:val="auto"/>
          <w:sz w:val="24"/>
          <w:highlight w:val="none"/>
        </w:rPr>
      </w:pPr>
      <w:bookmarkStart w:id="48" w:name="_Toc11569"/>
      <w:r>
        <w:rPr>
          <w:rFonts w:hint="eastAsia" w:ascii="宋体" w:hAnsi="宋体" w:eastAsia="宋体" w:cs="宋体"/>
          <w:b/>
          <w:color w:val="auto"/>
          <w:sz w:val="24"/>
          <w:highlight w:val="none"/>
        </w:rPr>
        <w:t>一   合  同</w:t>
      </w:r>
      <w:bookmarkEnd w:id="48"/>
      <w:r>
        <w:rPr>
          <w:rFonts w:hint="eastAsia" w:ascii="宋体" w:hAnsi="宋体" w:eastAsia="宋体" w:cs="宋体"/>
          <w:b/>
          <w:color w:val="auto"/>
          <w:sz w:val="24"/>
          <w:highlight w:val="none"/>
        </w:rPr>
        <w:t xml:space="preserve"> </w:t>
      </w:r>
    </w:p>
    <w:p w14:paraId="1AD008B6">
      <w:pPr>
        <w:tabs>
          <w:tab w:val="left" w:pos="540"/>
        </w:tabs>
        <w:topLinePunct/>
        <w:autoSpaceDE w:val="0"/>
        <w:autoSpaceDN w:val="0"/>
        <w:spacing w:line="460" w:lineRule="exact"/>
        <w:rPr>
          <w:rFonts w:ascii="宋体" w:hAnsi="宋体" w:eastAsia="宋体" w:cs="宋体"/>
          <w:b/>
          <w:color w:val="auto"/>
          <w:sz w:val="24"/>
          <w:highlight w:val="none"/>
        </w:rPr>
      </w:pPr>
    </w:p>
    <w:p w14:paraId="5A671309">
      <w:pPr>
        <w:tabs>
          <w:tab w:val="left" w:pos="700"/>
        </w:tabs>
        <w:topLinePunct/>
        <w:autoSpaceDE w:val="0"/>
        <w:autoSpaceDN w:val="0"/>
        <w:snapToGrid w:val="0"/>
        <w:spacing w:line="360" w:lineRule="auto"/>
        <w:ind w:firstLine="420" w:firstLineChars="200"/>
        <w:rPr>
          <w:rFonts w:hint="eastAsia" w:ascii="宋体" w:hAnsi="宋体" w:eastAsia="宋体" w:cs="宋体"/>
          <w:color w:val="auto"/>
          <w:szCs w:val="21"/>
          <w:highlight w:val="none"/>
        </w:rPr>
      </w:pPr>
      <w:r>
        <w:rPr>
          <w:rFonts w:hint="eastAsia" w:ascii="Times New Roman" w:hAnsi="Times New Roman" w:eastAsia="宋体" w:cs="Times New Roman"/>
          <w:color w:val="auto"/>
          <w:szCs w:val="21"/>
          <w:highlight w:val="none"/>
          <w:lang w:eastAsia="zh-CN"/>
        </w:rPr>
        <w:t>国家税务总局广西壮族自治区税务局</w:t>
      </w:r>
      <w:r>
        <w:rPr>
          <w:rFonts w:hint="eastAsia" w:ascii="宋体" w:hAnsi="宋体" w:eastAsia="宋体" w:cs="宋体"/>
          <w:color w:val="auto"/>
          <w:szCs w:val="21"/>
          <w:highlight w:val="none"/>
        </w:rPr>
        <w:t>（以下简称“甲方”）通过</w:t>
      </w:r>
      <w:r>
        <w:rPr>
          <w:rFonts w:hint="eastAsia" w:ascii="宋体" w:hAnsi="宋体" w:eastAsia="宋体" w:cs="宋体"/>
          <w:color w:val="auto"/>
          <w:szCs w:val="21"/>
          <w:highlight w:val="none"/>
          <w:u w:val="single"/>
          <w:lang w:val="en-US" w:eastAsia="zh-CN"/>
        </w:rPr>
        <w:t>公开招标</w:t>
      </w:r>
      <w:r>
        <w:rPr>
          <w:rFonts w:hint="eastAsia" w:ascii="宋体" w:hAnsi="宋体" w:eastAsia="宋体" w:cs="宋体"/>
          <w:color w:val="auto"/>
          <w:szCs w:val="21"/>
          <w:highlight w:val="none"/>
        </w:rPr>
        <w:t>方式采购，确定______公司（以下简称“乙方”）为</w:t>
      </w:r>
      <w:r>
        <w:rPr>
          <w:rFonts w:hint="eastAsia" w:ascii="宋体" w:hAnsi="宋体" w:cs="宋体"/>
          <w:color w:val="auto"/>
          <w:szCs w:val="21"/>
          <w:highlight w:val="none"/>
          <w:lang w:val="en-US" w:eastAsia="zh-CN"/>
        </w:rPr>
        <w:t>广西税务2026年电子发票服务平台等相关系统运行维护项目的</w:t>
      </w:r>
      <w:r>
        <w:rPr>
          <w:rFonts w:hint="eastAsia" w:ascii="宋体" w:hAnsi="宋体" w:eastAsia="宋体" w:cs="宋体"/>
          <w:color w:val="auto"/>
          <w:szCs w:val="21"/>
          <w:highlight w:val="none"/>
          <w:lang w:eastAsia="zh-CN"/>
        </w:rPr>
        <w:t>中标供应商</w:t>
      </w:r>
      <w:r>
        <w:rPr>
          <w:rFonts w:hint="eastAsia" w:ascii="宋体" w:hAnsi="宋体" w:eastAsia="宋体" w:cs="宋体"/>
          <w:color w:val="auto"/>
          <w:szCs w:val="21"/>
          <w:highlight w:val="none"/>
        </w:rPr>
        <w:t>。甲乙双方同意按照该项目招标文件约定的内容，签署《</w:t>
      </w:r>
      <w:r>
        <w:rPr>
          <w:rFonts w:hint="eastAsia" w:ascii="宋体" w:hAnsi="宋体" w:cs="宋体"/>
          <w:color w:val="auto"/>
          <w:szCs w:val="21"/>
          <w:highlight w:val="none"/>
          <w:lang w:val="en-US" w:eastAsia="zh-CN"/>
        </w:rPr>
        <w:t>广西税务2026年电子发票服务平台等相关系统运行维护</w:t>
      </w:r>
      <w:r>
        <w:rPr>
          <w:rFonts w:hint="eastAsia" w:ascii="宋体" w:hAnsi="宋体" w:eastAsia="宋体" w:cs="宋体"/>
          <w:color w:val="auto"/>
          <w:szCs w:val="21"/>
          <w:highlight w:val="none"/>
        </w:rPr>
        <w:t>合同》（合同编号：______，以下简称“合同”)。</w:t>
      </w:r>
    </w:p>
    <w:p w14:paraId="39599810">
      <w:pPr>
        <w:widowControl/>
        <w:numPr>
          <w:ilvl w:val="0"/>
          <w:numId w:val="0"/>
        </w:numPr>
        <w:tabs>
          <w:tab w:val="left" w:pos="700"/>
        </w:tabs>
        <w:topLinePunct/>
        <w:autoSpaceDE w:val="0"/>
        <w:autoSpaceDN w:val="0"/>
        <w:snapToGrid w:val="0"/>
        <w:spacing w:line="360" w:lineRule="auto"/>
        <w:ind w:left="0" w:firstLine="422"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1. 合同文件</w:t>
      </w:r>
    </w:p>
    <w:p w14:paraId="01ED0BCB">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本合同所附下列文件是构成本合同不可分割的部分：</w:t>
      </w:r>
    </w:p>
    <w:p w14:paraId="6A1E215F">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（1）采购需求、招标文件规定的合同条款；</w:t>
      </w:r>
    </w:p>
    <w:p w14:paraId="6A9D7183">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（2）报价表（总报价表和分项报价表）；</w:t>
      </w:r>
    </w:p>
    <w:p w14:paraId="0C4B6EF7">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投标文件技术部分和商务部分；</w:t>
      </w:r>
    </w:p>
    <w:p w14:paraId="486AD8F1">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）招标文件（另附）；</w:t>
      </w:r>
    </w:p>
    <w:p w14:paraId="0B22B5B0">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）投标文件（另附）</w:t>
      </w:r>
      <w:r>
        <w:rPr>
          <w:rFonts w:hint="eastAsia" w:ascii="宋体" w:hAnsi="宋体" w:eastAsia="宋体" w:cs="Times New Roman"/>
          <w:color w:val="auto"/>
          <w:szCs w:val="21"/>
          <w:highlight w:val="none"/>
          <w:lang w:eastAsia="zh-CN"/>
        </w:rPr>
        <w:t>；</w:t>
      </w:r>
    </w:p>
    <w:p w14:paraId="7B0DC03F">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）甲、乙双方商定确认后的补充协议</w:t>
      </w:r>
      <w:r>
        <w:rPr>
          <w:rFonts w:hint="eastAsia" w:ascii="宋体" w:hAnsi="宋体" w:eastAsia="宋体" w:cs="Times New Roman"/>
          <w:color w:val="auto"/>
          <w:szCs w:val="21"/>
          <w:highlight w:val="none"/>
          <w:lang w:eastAsia="zh-CN"/>
        </w:rPr>
        <w:t>；</w:t>
      </w:r>
    </w:p>
    <w:p w14:paraId="357D7664">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（7）联合协议或者分包意向协议（《</w:t>
      </w:r>
      <w:r>
        <w:rPr>
          <w:rFonts w:hint="eastAsia" w:ascii="宋体" w:hAnsi="宋体" w:eastAsia="宋体" w:cs="Times New Roman"/>
          <w:color w:val="auto"/>
          <w:szCs w:val="21"/>
          <w:highlight w:val="none"/>
        </w:rPr>
        <w:t>政府采购促进中小企业发展管理办法</w:t>
      </w:r>
      <w:r>
        <w:rPr>
          <w:rFonts w:hint="eastAsia" w:ascii="宋体" w:hAnsi="宋体" w:eastAsia="宋体" w:cs="Times New Roman"/>
          <w:color w:val="auto"/>
          <w:szCs w:val="21"/>
          <w:highlight w:val="none"/>
          <w:lang w:val="en-US" w:eastAsia="zh-CN"/>
        </w:rPr>
        <w:t>》46号文第十四条要求）</w:t>
      </w:r>
    </w:p>
    <w:p w14:paraId="7A18C880">
      <w:pPr>
        <w:widowControl/>
        <w:numPr>
          <w:ilvl w:val="0"/>
          <w:numId w:val="0"/>
        </w:numPr>
        <w:tabs>
          <w:tab w:val="left" w:pos="700"/>
        </w:tabs>
        <w:topLinePunct/>
        <w:autoSpaceDE w:val="0"/>
        <w:autoSpaceDN w:val="0"/>
        <w:snapToGrid w:val="0"/>
        <w:spacing w:line="360" w:lineRule="auto"/>
        <w:ind w:firstLine="420" w:firstLineChars="200"/>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其他。</w:t>
      </w:r>
    </w:p>
    <w:p w14:paraId="71D2FE54">
      <w:pPr>
        <w:widowControl/>
        <w:numPr>
          <w:ilvl w:val="0"/>
          <w:numId w:val="0"/>
        </w:numPr>
        <w:tabs>
          <w:tab w:val="left" w:pos="700"/>
        </w:tabs>
        <w:topLinePunct/>
        <w:autoSpaceDE w:val="0"/>
        <w:autoSpaceDN w:val="0"/>
        <w:snapToGrid w:val="0"/>
        <w:spacing w:line="360" w:lineRule="auto"/>
        <w:ind w:left="0" w:firstLine="422"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2. 合同主要标的及数量</w:t>
      </w:r>
    </w:p>
    <w:p w14:paraId="7EF70845">
      <w:pPr>
        <w:widowControl/>
        <w:numPr>
          <w:ilvl w:val="0"/>
          <w:numId w:val="0"/>
        </w:numPr>
        <w:tabs>
          <w:tab w:val="left" w:pos="700"/>
        </w:tabs>
        <w:topLinePunct/>
        <w:autoSpaceDE w:val="0"/>
        <w:autoSpaceDN w:val="0"/>
        <w:snapToGrid w:val="0"/>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本合同的范围和条件应与上述合同文件的规定相一致。</w:t>
      </w:r>
    </w:p>
    <w:p w14:paraId="0FCF02E1">
      <w:pPr>
        <w:widowControl/>
        <w:numPr>
          <w:ilvl w:val="0"/>
          <w:numId w:val="0"/>
        </w:numPr>
        <w:tabs>
          <w:tab w:val="left" w:pos="700"/>
        </w:tabs>
        <w:topLinePunct/>
        <w:autoSpaceDE w:val="0"/>
        <w:autoSpaceDN w:val="0"/>
        <w:snapToGrid w:val="0"/>
        <w:spacing w:line="360" w:lineRule="auto"/>
        <w:ind w:firstLine="422"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3. 合同金额</w:t>
      </w:r>
    </w:p>
    <w:p w14:paraId="21DFB2FC">
      <w:pPr>
        <w:widowControl/>
        <w:numPr>
          <w:ilvl w:val="0"/>
          <w:numId w:val="0"/>
        </w:numPr>
        <w:tabs>
          <w:tab w:val="left" w:pos="700"/>
        </w:tabs>
        <w:topLinePunct/>
        <w:autoSpaceDE w:val="0"/>
        <w:autoSpaceDN w:val="0"/>
        <w:snapToGrid w:val="0"/>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本合同金额为人民币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56F9875">
      <w:pPr>
        <w:widowControl/>
        <w:numPr>
          <w:ilvl w:val="0"/>
          <w:numId w:val="0"/>
        </w:numPr>
        <w:tabs>
          <w:tab w:val="left" w:pos="700"/>
        </w:tabs>
        <w:topLinePunct/>
        <w:autoSpaceDE w:val="0"/>
        <w:autoSpaceDN w:val="0"/>
        <w:snapToGrid w:val="0"/>
        <w:spacing w:line="360" w:lineRule="auto"/>
        <w:ind w:firstLine="422" w:firstLineChars="200"/>
        <w:jc w:val="left"/>
        <w:rPr>
          <w:rFonts w:ascii="宋体" w:hAnsi="宋体" w:eastAsia="宋体" w:cs="宋体"/>
          <w:b/>
          <w:color w:val="auto"/>
          <w:szCs w:val="21"/>
          <w:highlight w:val="none"/>
        </w:rPr>
      </w:pPr>
      <w:r>
        <w:rPr>
          <w:rFonts w:ascii="宋体" w:hAnsi="宋体" w:eastAsia="宋体" w:cs="宋体"/>
          <w:b/>
          <w:color w:val="auto"/>
          <w:szCs w:val="21"/>
          <w:highlight w:val="none"/>
          <w:lang w:val="en"/>
        </w:rPr>
        <w:t>4.</w:t>
      </w:r>
      <w:r>
        <w:rPr>
          <w:rFonts w:hint="eastAsia" w:ascii="宋体" w:hAnsi="宋体" w:eastAsia="宋体" w:cs="宋体"/>
          <w:b/>
          <w:color w:val="auto"/>
          <w:szCs w:val="21"/>
          <w:highlight w:val="none"/>
        </w:rPr>
        <w:t>付款条件</w:t>
      </w:r>
    </w:p>
    <w:p w14:paraId="76257F56">
      <w:pPr>
        <w:keepNext w:val="0"/>
        <w:keepLines w:val="0"/>
        <w:widowControl/>
        <w:suppressLineNumbers w:val="0"/>
        <w:tabs>
          <w:tab w:val="left" w:pos="700"/>
        </w:tabs>
        <w:suppressAutoHyphens/>
        <w:adjustRightInd w:val="0"/>
        <w:snapToGrid w:val="0"/>
        <w:spacing w:before="0" w:beforeAutospacing="0" w:after="0" w:afterAutospacing="0" w:line="380" w:lineRule="exact"/>
        <w:ind w:left="0" w:right="0" w:firstLine="420" w:firstLineChars="200"/>
        <w:jc w:val="left"/>
        <w:rPr>
          <w:rFonts w:hint="default" w:ascii="Times New Roman" w:hAnsi="Times New Roman" w:cs="Times New Roman"/>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签订合同且运维服务开始之日起支付合同总金额</w:t>
      </w:r>
      <w:r>
        <w:rPr>
          <w:rFonts w:hint="eastAsia" w:ascii="Times New Roman" w:hAnsi="Times New Roman" w:cs="宋体"/>
          <w:color w:val="auto"/>
          <w:kern w:val="2"/>
          <w:sz w:val="21"/>
          <w:szCs w:val="21"/>
          <w:highlight w:val="none"/>
          <w:lang w:val="en-US" w:eastAsia="zh-CN" w:bidi="ar"/>
        </w:rPr>
        <w:t>3</w:t>
      </w:r>
      <w:r>
        <w:rPr>
          <w:rFonts w:hint="default" w:ascii="Times New Roman" w:hAnsi="Times New Roman" w:eastAsia="宋体" w:cs="Times New Roman"/>
          <w:color w:val="auto"/>
          <w:kern w:val="2"/>
          <w:sz w:val="21"/>
          <w:szCs w:val="21"/>
          <w:highlight w:val="none"/>
          <w:lang w:val="en-US" w:eastAsia="zh-CN" w:bidi="ar"/>
        </w:rPr>
        <w:t>0%</w:t>
      </w:r>
      <w:r>
        <w:rPr>
          <w:rFonts w:hint="eastAsia" w:ascii="Times New Roman" w:hAnsi="Times New Roman" w:eastAsia="宋体" w:cs="宋体"/>
          <w:color w:val="auto"/>
          <w:kern w:val="2"/>
          <w:sz w:val="21"/>
          <w:szCs w:val="21"/>
          <w:highlight w:val="none"/>
          <w:lang w:val="en-US" w:eastAsia="zh-CN" w:bidi="ar"/>
        </w:rPr>
        <w:t>，服务期满6个月，支付合同金额40%，服务期满，甲方对项目进行验收，根据项目验收标准及本合同罚则条款进行考核，按考核结果支付合同剩余款项。</w:t>
      </w:r>
    </w:p>
    <w:p w14:paraId="4B743DC4">
      <w:pPr>
        <w:keepNext w:val="0"/>
        <w:keepLines w:val="0"/>
        <w:widowControl/>
        <w:suppressLineNumbers w:val="0"/>
        <w:tabs>
          <w:tab w:val="left" w:pos="700"/>
        </w:tabs>
        <w:suppressAutoHyphens/>
        <w:adjustRightInd w:val="0"/>
        <w:snapToGrid w:val="0"/>
        <w:spacing w:before="0" w:beforeAutospacing="0" w:after="0" w:afterAutospacing="0" w:line="380" w:lineRule="exact"/>
        <w:ind w:left="0" w:right="0" w:firstLine="420" w:firstLineChars="200"/>
        <w:jc w:val="left"/>
        <w:rPr>
          <w:rFonts w:hint="default" w:ascii="Times New Roman" w:hAnsi="Times New Roman" w:cs="Times New Roman"/>
          <w:color w:val="auto"/>
          <w:szCs w:val="21"/>
          <w:highlight w:val="none"/>
          <w:lang w:val="en-US"/>
        </w:rPr>
      </w:pPr>
      <w:r>
        <w:rPr>
          <w:rFonts w:hint="eastAsia" w:ascii="Times New Roman" w:hAnsi="Times New Roman" w:eastAsia="宋体" w:cs="宋体"/>
          <w:color w:val="auto"/>
          <w:kern w:val="2"/>
          <w:sz w:val="21"/>
          <w:szCs w:val="21"/>
          <w:highlight w:val="none"/>
          <w:lang w:val="en-US" w:eastAsia="zh-CN" w:bidi="ar"/>
        </w:rPr>
        <w:t>除首笔付款外，其他合同款项的支付均须根据本项目约定的合同罚责条款进行服务考核评分，并按考核得分对当期应付合同款进行核算。具体核算方式如下：</w:t>
      </w:r>
      <w:r>
        <w:rPr>
          <w:rFonts w:hint="default" w:ascii="Times New Roman" w:hAnsi="Times New Roman" w:eastAsia="宋体" w:cs="Times New Roman"/>
          <w:color w:val="auto"/>
          <w:kern w:val="2"/>
          <w:sz w:val="21"/>
          <w:szCs w:val="21"/>
          <w:highlight w:val="non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应付金额</w:t>
      </w:r>
      <w:r>
        <w:rPr>
          <w:rFonts w:hint="default"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合同总金额</w:t>
      </w:r>
      <w:r>
        <w:rPr>
          <w:rFonts w:hint="eastAsia"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各联合体成员对应比例（如有）</w:t>
      </w:r>
      <w:r>
        <w:rPr>
          <w:rFonts w:hint="eastAsia"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当期合同约定支付比例</w:t>
      </w:r>
      <w:r>
        <w:rPr>
          <w:rFonts w:hint="default"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合同总金额</w:t>
      </w:r>
      <w:r>
        <w:rPr>
          <w:rFonts w:hint="eastAsia"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各联合体成员对应比例（如有）</w:t>
      </w:r>
      <w:r>
        <w:rPr>
          <w:rFonts w:hint="eastAsia"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（当期累计扣分</w:t>
      </w:r>
      <w:r>
        <w:rPr>
          <w:rFonts w:hint="eastAsia" w:ascii="Times New Roman" w:hAnsi="Times New Roman" w:eastAsia="宋体" w:cs="Times New Roman"/>
          <w:color w:val="auto"/>
          <w:kern w:val="2"/>
          <w:sz w:val="21"/>
          <w:szCs w:val="21"/>
          <w:highlight w:val="none"/>
          <w:lang w:val="en-US" w:eastAsia="zh-CN" w:bidi="ar"/>
        </w:rPr>
        <w:t>×</w:t>
      </w:r>
      <w:r>
        <w:rPr>
          <w:rFonts w:hint="default" w:ascii="Times New Roman" w:hAnsi="Times New Roman" w:eastAsia="宋体" w:cs="Times New Roman"/>
          <w:color w:val="auto"/>
          <w:kern w:val="2"/>
          <w:sz w:val="21"/>
          <w:szCs w:val="21"/>
          <w:highlight w:val="none"/>
          <w:lang w:val="en-US" w:eastAsia="zh-CN" w:bidi="ar"/>
        </w:rPr>
        <w:t>0.2%</w:t>
      </w:r>
      <w:r>
        <w:rPr>
          <w:rFonts w:hint="eastAsia" w:ascii="Times New Roman" w:hAnsi="Times New Roman" w:eastAsia="宋体" w:cs="宋体"/>
          <w:color w:val="auto"/>
          <w:kern w:val="2"/>
          <w:sz w:val="21"/>
          <w:szCs w:val="21"/>
          <w:highlight w:val="none"/>
          <w:lang w:val="en-US" w:eastAsia="zh-CN" w:bidi="ar"/>
        </w:rPr>
        <w:t>）</w:t>
      </w:r>
      <w:r>
        <w:rPr>
          <w:rFonts w:hint="default" w:ascii="Times New Roman" w:hAnsi="Times New Roman" w:eastAsia="宋体" w:cs="Times New Roman"/>
          <w:color w:val="auto"/>
          <w:kern w:val="2"/>
          <w:sz w:val="21"/>
          <w:szCs w:val="21"/>
          <w:highlight w:val="none"/>
          <w:lang w:val="en-US" w:eastAsia="zh-CN" w:bidi="ar"/>
        </w:rPr>
        <w:t>-</w:t>
      </w:r>
      <w:r>
        <w:rPr>
          <w:rFonts w:hint="eastAsia" w:ascii="Times New Roman" w:hAnsi="Times New Roman" w:eastAsia="宋体" w:cs="宋体"/>
          <w:color w:val="auto"/>
          <w:kern w:val="2"/>
          <w:sz w:val="21"/>
          <w:szCs w:val="21"/>
          <w:highlight w:val="none"/>
          <w:lang w:val="en-US" w:eastAsia="zh-CN" w:bidi="ar"/>
        </w:rPr>
        <w:t>各联合体成员相应扣款（如有）。</w:t>
      </w:r>
      <w:r>
        <w:rPr>
          <w:rFonts w:hint="default" w:ascii="Times New Roman" w:hAnsi="Times New Roman" w:eastAsia="宋体" w:cs="Times New Roman"/>
          <w:color w:val="auto"/>
          <w:kern w:val="2"/>
          <w:sz w:val="21"/>
          <w:szCs w:val="21"/>
          <w:highlight w:val="none"/>
          <w:lang w:val="en-US" w:eastAsia="zh-CN" w:bidi="ar"/>
        </w:rPr>
        <w:t xml:space="preserve"> </w:t>
      </w:r>
      <w:r>
        <w:rPr>
          <w:rFonts w:hint="eastAsia" w:ascii="Times New Roman" w:hAnsi="Times New Roman" w:eastAsia="宋体" w:cs="宋体"/>
          <w:color w:val="auto"/>
          <w:kern w:val="2"/>
          <w:sz w:val="21"/>
          <w:szCs w:val="21"/>
          <w:highlight w:val="none"/>
          <w:lang w:val="en-US" w:eastAsia="zh-CN" w:bidi="ar"/>
        </w:rPr>
        <w:t>其中，“当期累计扣分”依据应付款当期的《服务质量情况表》（详见附件</w:t>
      </w:r>
      <w:r>
        <w:rPr>
          <w:rFonts w:hint="default" w:ascii="Times New Roman" w:hAnsi="Times New Roman" w:eastAsia="宋体" w:cs="Times New Roman"/>
          <w:color w:val="auto"/>
          <w:kern w:val="2"/>
          <w:sz w:val="21"/>
          <w:szCs w:val="21"/>
          <w:highlight w:val="none"/>
          <w:lang w:val="en-US" w:eastAsia="zh-CN" w:bidi="ar"/>
        </w:rPr>
        <w:t>3</w:t>
      </w:r>
      <w:r>
        <w:rPr>
          <w:rFonts w:hint="eastAsia" w:ascii="Times New Roman" w:hAnsi="Times New Roman" w:eastAsia="宋体" w:cs="宋体"/>
          <w:color w:val="auto"/>
          <w:kern w:val="2"/>
          <w:sz w:val="21"/>
          <w:szCs w:val="21"/>
          <w:highlight w:val="none"/>
          <w:lang w:val="en-US" w:eastAsia="zh-CN" w:bidi="ar"/>
        </w:rPr>
        <w:t>）考核记录累计形成；“相应扣款”依据合同约定的违约责任条款执行。</w:t>
      </w:r>
    </w:p>
    <w:p w14:paraId="34725749">
      <w:pPr>
        <w:tabs>
          <w:tab w:val="left" w:pos="700"/>
        </w:tabs>
        <w:adjustRightInd w:val="0"/>
        <w:snapToGrid w:val="0"/>
        <w:spacing w:line="380" w:lineRule="exact"/>
        <w:ind w:firstLine="420" w:firstLineChars="200"/>
        <w:jc w:val="left"/>
        <w:rPr>
          <w:rFonts w:hint="eastAsia" w:ascii="宋体" w:hAnsi="宋体"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bidi="ar"/>
        </w:rPr>
        <w:t>甲方付款前，乙方应向甲方开具等额有效的发票，甲方收到合规发票后</w:t>
      </w:r>
      <w:r>
        <w:rPr>
          <w:rFonts w:hint="default" w:ascii="Times New Roman" w:hAnsi="Times New Roman" w:eastAsia="宋体" w:cs="Times New Roman"/>
          <w:color w:val="auto"/>
          <w:kern w:val="2"/>
          <w:sz w:val="21"/>
          <w:szCs w:val="21"/>
          <w:highlight w:val="none"/>
          <w:lang w:val="en-US" w:eastAsia="zh-CN" w:bidi="ar"/>
        </w:rPr>
        <w:t>10</w:t>
      </w:r>
      <w:r>
        <w:rPr>
          <w:rFonts w:hint="eastAsia" w:ascii="Times New Roman" w:hAnsi="Times New Roman" w:eastAsia="宋体" w:cs="宋体"/>
          <w:color w:val="auto"/>
          <w:kern w:val="2"/>
          <w:sz w:val="21"/>
          <w:szCs w:val="21"/>
          <w:highlight w:val="none"/>
          <w:lang w:val="en-US" w:eastAsia="zh-CN" w:bidi="ar"/>
        </w:rPr>
        <w:t>个工作日内将合同款项支付到合同约定的乙方账户；甲方未收到发票的，有权不予支付，并不承担延迟付款责任。</w:t>
      </w:r>
    </w:p>
    <w:p w14:paraId="5CC404A6">
      <w:pPr>
        <w:keepNext w:val="0"/>
        <w:keepLines w:val="0"/>
        <w:pageBreakBefore w:val="0"/>
        <w:widowControl/>
        <w:numPr>
          <w:ilvl w:val="-1"/>
          <w:numId w:val="0"/>
        </w:numPr>
        <w:tabs>
          <w:tab w:val="left" w:pos="700"/>
        </w:tabs>
        <w:kinsoku/>
        <w:wordWrap/>
        <w:overflowPunct/>
        <w:topLinePunct/>
        <w:autoSpaceDE w:val="0"/>
        <w:autoSpaceDN w:val="0"/>
        <w:bidi w:val="0"/>
        <w:adjustRightInd/>
        <w:snapToGrid w:val="0"/>
        <w:spacing w:line="360" w:lineRule="auto"/>
        <w:ind w:firstLine="422" w:firstLineChars="200"/>
        <w:jc w:val="left"/>
        <w:textAlignment w:val="auto"/>
        <w:rPr>
          <w:rFonts w:ascii="宋体" w:hAnsi="宋体" w:eastAsia="宋体" w:cs="宋体"/>
          <w:b/>
          <w:color w:val="auto"/>
          <w:szCs w:val="21"/>
          <w:highlight w:val="none"/>
        </w:rPr>
      </w:pPr>
      <w:r>
        <w:rPr>
          <w:rFonts w:hint="eastAsia" w:ascii="宋体" w:hAnsi="宋体" w:eastAsia="宋体" w:cs="宋体"/>
          <w:b/>
          <w:color w:val="auto"/>
          <w:szCs w:val="21"/>
          <w:highlight w:val="none"/>
        </w:rPr>
        <w:t>5. 合同签订及生效</w:t>
      </w:r>
    </w:p>
    <w:p w14:paraId="79745106">
      <w:pPr>
        <w:widowControl/>
        <w:numPr>
          <w:ilvl w:val="0"/>
          <w:numId w:val="0"/>
        </w:numPr>
        <w:tabs>
          <w:tab w:val="left" w:pos="700"/>
        </w:tabs>
        <w:topLinePunct/>
        <w:autoSpaceDE w:val="0"/>
        <w:autoSpaceDN w:val="0"/>
        <w:snapToGrid w:val="0"/>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lang w:eastAsia="zh-CN"/>
        </w:rPr>
        <w:t>七</w:t>
      </w:r>
      <w:r>
        <w:rPr>
          <w:rFonts w:hint="eastAsia" w:ascii="宋体" w:hAnsi="宋体" w:eastAsia="宋体" w:cs="宋体"/>
          <w:color w:val="auto"/>
          <w:szCs w:val="21"/>
          <w:highlight w:val="none"/>
        </w:rPr>
        <w:t>份，具有同等法律效力，甲方四份，乙方二份，采购代理机构</w:t>
      </w:r>
      <w:r>
        <w:rPr>
          <w:rFonts w:hint="eastAsia" w:ascii="宋体" w:hAnsi="宋体" w:eastAsia="宋体" w:cs="宋体"/>
          <w:color w:val="auto"/>
          <w:szCs w:val="21"/>
          <w:highlight w:val="none"/>
          <w:lang w:eastAsia="zh-CN"/>
        </w:rPr>
        <w:t>一</w:t>
      </w:r>
      <w:r>
        <w:rPr>
          <w:rFonts w:hint="eastAsia" w:ascii="宋体" w:hAnsi="宋体" w:eastAsia="宋体" w:cs="宋体"/>
          <w:color w:val="auto"/>
          <w:szCs w:val="21"/>
          <w:highlight w:val="none"/>
        </w:rPr>
        <w:t>份，由甲乙双方法定代表人或被授权人签字并盖章后生效。乙方由法定代表人签订合同的，应提供法定代表人身份证复印件；乙方由被授权人签订合同的，应提供授权委托书和被授权人身份证复印件。</w:t>
      </w:r>
    </w:p>
    <w:p w14:paraId="61D3B1FF">
      <w:pPr>
        <w:tabs>
          <w:tab w:val="left" w:pos="700"/>
        </w:tabs>
        <w:topLinePunct/>
        <w:autoSpaceDE w:val="0"/>
        <w:autoSpaceDN w:val="0"/>
        <w:spacing w:line="360" w:lineRule="auto"/>
        <w:ind w:firstLine="420" w:firstLineChars="200"/>
        <w:rPr>
          <w:rFonts w:ascii="宋体" w:hAnsi="宋体" w:eastAsia="宋体" w:cs="宋体"/>
          <w:color w:val="auto"/>
          <w:szCs w:val="21"/>
          <w:highlight w:val="none"/>
        </w:rPr>
      </w:pPr>
    </w:p>
    <w:p w14:paraId="4FB47AE0">
      <w:pPr>
        <w:tabs>
          <w:tab w:val="left" w:pos="700"/>
        </w:tabs>
        <w:topLinePunct/>
        <w:autoSpaceDE w:val="0"/>
        <w:autoSpaceDN w:val="0"/>
        <w:spacing w:line="360" w:lineRule="auto"/>
        <w:rPr>
          <w:rFonts w:ascii="宋体" w:hAnsi="宋体" w:eastAsia="宋体" w:cs="宋体"/>
          <w:color w:val="auto"/>
          <w:szCs w:val="21"/>
          <w:highlight w:val="none"/>
        </w:rPr>
      </w:pPr>
    </w:p>
    <w:p w14:paraId="27D3E5E4">
      <w:pPr>
        <w:pStyle w:val="2"/>
        <w:rPr>
          <w:color w:val="auto"/>
          <w:highlight w:val="none"/>
        </w:rPr>
      </w:pPr>
    </w:p>
    <w:p w14:paraId="03AEB9D2">
      <w:pPr>
        <w:tabs>
          <w:tab w:val="left" w:pos="700"/>
        </w:tabs>
        <w:topLinePunct/>
        <w:autoSpaceDE w:val="0"/>
        <w:autoSpaceDN w:val="0"/>
        <w:spacing w:line="360" w:lineRule="auto"/>
        <w:ind w:left="360"/>
        <w:rPr>
          <w:rFonts w:ascii="宋体" w:hAnsi="宋体" w:eastAsia="宋体" w:cs="宋体"/>
          <w:color w:val="auto"/>
          <w:szCs w:val="21"/>
          <w:highlight w:val="none"/>
        </w:rPr>
      </w:pPr>
      <w:r>
        <w:rPr>
          <w:rFonts w:hint="eastAsia" w:ascii="宋体" w:hAnsi="宋体" w:eastAsia="宋体" w:cs="宋体"/>
          <w:color w:val="auto"/>
          <w:szCs w:val="21"/>
          <w:highlight w:val="none"/>
        </w:rPr>
        <w:t>甲方：</w:t>
      </w:r>
      <w:r>
        <w:rPr>
          <w:rFonts w:hint="eastAsia" w:ascii="Times New Roman" w:hAnsi="Times New Roman" w:eastAsia="宋体" w:cs="Times New Roman"/>
          <w:color w:val="auto"/>
          <w:szCs w:val="21"/>
          <w:highlight w:val="none"/>
          <w:lang w:eastAsia="zh-CN"/>
        </w:rPr>
        <w:t>国家税务总局广西壮族自治区税务局</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乙方：</w:t>
      </w:r>
    </w:p>
    <w:p w14:paraId="4CA2A7E7">
      <w:pPr>
        <w:tabs>
          <w:tab w:val="left" w:pos="700"/>
        </w:tabs>
        <w:topLinePunct/>
        <w:autoSpaceDE w:val="0"/>
        <w:autoSpaceDN w:val="0"/>
        <w:spacing w:line="360" w:lineRule="auto"/>
        <w:ind w:left="36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签字：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      签字：</w:t>
      </w:r>
    </w:p>
    <w:p w14:paraId="48B0210B">
      <w:pPr>
        <w:tabs>
          <w:tab w:val="left" w:pos="700"/>
        </w:tabs>
        <w:topLinePunct/>
        <w:autoSpaceDE w:val="0"/>
        <w:autoSpaceDN w:val="0"/>
        <w:spacing w:line="360" w:lineRule="auto"/>
        <w:ind w:left="36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盖章：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      盖章： </w:t>
      </w:r>
    </w:p>
    <w:p w14:paraId="322BA62B">
      <w:pPr>
        <w:tabs>
          <w:tab w:val="left" w:pos="700"/>
        </w:tabs>
        <w:topLinePunct/>
        <w:autoSpaceDE w:val="0"/>
        <w:autoSpaceDN w:val="0"/>
        <w:spacing w:line="360" w:lineRule="auto"/>
        <w:ind w:left="36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           </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    日期：     年   月   日</w:t>
      </w:r>
    </w:p>
    <w:p w14:paraId="3CC4427E">
      <w:pPr>
        <w:topLinePunct/>
        <w:autoSpaceDE w:val="0"/>
        <w:autoSpaceDN w:val="0"/>
        <w:spacing w:line="360" w:lineRule="auto"/>
        <w:rPr>
          <w:rFonts w:ascii="宋体" w:hAnsi="宋体" w:eastAsia="宋体" w:cs="宋体"/>
          <w:b/>
          <w:color w:val="auto"/>
          <w:szCs w:val="21"/>
          <w:highlight w:val="none"/>
        </w:rPr>
      </w:pPr>
    </w:p>
    <w:p w14:paraId="116EF23F">
      <w:pPr>
        <w:topLinePunct/>
        <w:autoSpaceDE w:val="0"/>
        <w:autoSpaceDN w:val="0"/>
        <w:spacing w:line="460" w:lineRule="exact"/>
        <w:jc w:val="center"/>
        <w:rPr>
          <w:rFonts w:ascii="宋体" w:hAnsi="宋体" w:eastAsia="宋体" w:cs="宋体"/>
          <w:b/>
          <w:color w:val="auto"/>
          <w:sz w:val="24"/>
          <w:highlight w:val="none"/>
        </w:rPr>
      </w:pPr>
    </w:p>
    <w:p w14:paraId="219430E1">
      <w:pPr>
        <w:topLinePunct/>
        <w:autoSpaceDE w:val="0"/>
        <w:autoSpaceDN w:val="0"/>
        <w:spacing w:line="460" w:lineRule="exact"/>
        <w:jc w:val="center"/>
        <w:rPr>
          <w:rFonts w:ascii="宋体" w:hAnsi="宋体" w:eastAsia="宋体" w:cs="宋体"/>
          <w:b/>
          <w:color w:val="auto"/>
          <w:sz w:val="24"/>
          <w:highlight w:val="none"/>
        </w:rPr>
      </w:pPr>
    </w:p>
    <w:p w14:paraId="60A1B737">
      <w:pPr>
        <w:topLinePunct/>
        <w:autoSpaceDE w:val="0"/>
        <w:autoSpaceDN w:val="0"/>
        <w:spacing w:line="360" w:lineRule="auto"/>
        <w:jc w:val="center"/>
        <w:outlineLvl w:val="1"/>
        <w:rPr>
          <w:rFonts w:ascii="Times New Roman" w:hAnsi="Times New Roman" w:eastAsia="宋体" w:cs="Times New Roman"/>
          <w:b/>
          <w:color w:val="auto"/>
          <w:sz w:val="24"/>
          <w:highlight w:val="none"/>
        </w:rPr>
      </w:pPr>
      <w:r>
        <w:rPr>
          <w:rFonts w:ascii="宋体" w:hAnsi="宋体" w:eastAsia="宋体" w:cs="宋体"/>
          <w:b/>
          <w:color w:val="auto"/>
          <w:sz w:val="24"/>
          <w:highlight w:val="none"/>
        </w:rPr>
        <w:br w:type="page"/>
      </w:r>
      <w:bookmarkStart w:id="49" w:name="_Toc9358"/>
      <w:r>
        <w:rPr>
          <w:rFonts w:ascii="Times New Roman" w:hAnsi="Times New Roman" w:eastAsia="宋体" w:cs="Times New Roman"/>
          <w:b/>
          <w:color w:val="auto"/>
          <w:sz w:val="24"/>
          <w:highlight w:val="none"/>
        </w:rPr>
        <w:t>二   合 同 通 用 条 款</w:t>
      </w:r>
      <w:bookmarkEnd w:id="49"/>
    </w:p>
    <w:p w14:paraId="79C01B72">
      <w:pPr>
        <w:topLinePunct/>
        <w:autoSpaceDE w:val="0"/>
        <w:autoSpaceDN w:val="0"/>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 xml:space="preserve">1. </w:t>
      </w:r>
      <w:r>
        <w:rPr>
          <w:rFonts w:hint="eastAsia" w:ascii="Times New Roman" w:hAnsi="Times New Roman" w:eastAsia="宋体" w:cs="宋体"/>
          <w:b/>
          <w:color w:val="auto"/>
          <w:szCs w:val="21"/>
          <w:highlight w:val="none"/>
          <w:lang w:bidi="ar"/>
        </w:rPr>
        <w:t>定义</w:t>
      </w:r>
    </w:p>
    <w:p w14:paraId="01A8244E">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lang w:bidi="ar"/>
        </w:rPr>
        <w:t>本合同下列术语应解释为：</w:t>
      </w:r>
    </w:p>
    <w:p w14:paraId="3CFDD9D8">
      <w:pPr>
        <w:tabs>
          <w:tab w:val="left" w:pos="700"/>
        </w:tabs>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1.1“</w:t>
      </w:r>
      <w:r>
        <w:rPr>
          <w:rFonts w:hint="eastAsia" w:ascii="Times New Roman" w:hAnsi="Times New Roman" w:eastAsia="宋体" w:cs="宋体"/>
          <w:color w:val="auto"/>
          <w:szCs w:val="21"/>
          <w:highlight w:val="none"/>
          <w:lang w:bidi="ar"/>
        </w:rPr>
        <w:t>甲方</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是指</w:t>
      </w:r>
      <w:r>
        <w:rPr>
          <w:rFonts w:hint="eastAsia" w:ascii="Times New Roman" w:hAnsi="Times New Roman" w:eastAsia="宋体" w:cs="Times New Roman"/>
          <w:color w:val="auto"/>
          <w:szCs w:val="21"/>
          <w:highlight w:val="none"/>
          <w:lang w:eastAsia="zh-CN"/>
        </w:rPr>
        <w:t>国家税务总局广西壮族自治区税务局</w:t>
      </w:r>
      <w:r>
        <w:rPr>
          <w:rFonts w:hint="eastAsia" w:ascii="Times New Roman" w:hAnsi="Times New Roman" w:eastAsia="宋体" w:cs="宋体"/>
          <w:color w:val="auto"/>
          <w:szCs w:val="21"/>
          <w:highlight w:val="none"/>
          <w:lang w:bidi="ar"/>
        </w:rPr>
        <w:t>。</w:t>
      </w:r>
    </w:p>
    <w:p w14:paraId="4D19ADAC">
      <w:pPr>
        <w:tabs>
          <w:tab w:val="left" w:pos="700"/>
        </w:tabs>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1.1.1“</w:t>
      </w:r>
      <w:r>
        <w:rPr>
          <w:rFonts w:hint="eastAsia" w:ascii="Times New Roman" w:hAnsi="Times New Roman" w:eastAsia="宋体" w:cs="宋体"/>
          <w:color w:val="auto"/>
          <w:szCs w:val="21"/>
          <w:highlight w:val="none"/>
          <w:lang w:bidi="ar"/>
        </w:rPr>
        <w:t>甲方采购部门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见</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合同条款前附表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第</w:t>
      </w:r>
      <w:r>
        <w:rPr>
          <w:rFonts w:ascii="Times New Roman" w:hAnsi="Times New Roman" w:eastAsia="宋体" w:cs="Times New Roman"/>
          <w:color w:val="auto"/>
          <w:szCs w:val="21"/>
          <w:highlight w:val="none"/>
          <w:lang w:bidi="ar"/>
        </w:rPr>
        <w:t>5</w:t>
      </w:r>
      <w:r>
        <w:rPr>
          <w:rFonts w:hint="eastAsia" w:ascii="Times New Roman" w:hAnsi="Times New Roman" w:eastAsia="宋体" w:cs="宋体"/>
          <w:color w:val="auto"/>
          <w:szCs w:val="21"/>
          <w:highlight w:val="none"/>
          <w:lang w:bidi="ar"/>
        </w:rPr>
        <w:t>项</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甲方采购部门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w:t>
      </w:r>
    </w:p>
    <w:p w14:paraId="0A456AD5">
      <w:pPr>
        <w:tabs>
          <w:tab w:val="left" w:pos="700"/>
        </w:tabs>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1.1.2“</w:t>
      </w:r>
      <w:r>
        <w:rPr>
          <w:rFonts w:hint="eastAsia" w:ascii="Times New Roman" w:hAnsi="Times New Roman" w:eastAsia="宋体" w:cs="宋体"/>
          <w:color w:val="auto"/>
          <w:szCs w:val="21"/>
          <w:highlight w:val="none"/>
          <w:lang w:bidi="ar"/>
        </w:rPr>
        <w:t>甲方需求部门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见</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合同条款前附表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第</w:t>
      </w:r>
      <w:r>
        <w:rPr>
          <w:rFonts w:ascii="Times New Roman" w:hAnsi="Times New Roman" w:eastAsia="宋体" w:cs="Times New Roman"/>
          <w:color w:val="auto"/>
          <w:szCs w:val="21"/>
          <w:highlight w:val="none"/>
          <w:lang w:bidi="ar"/>
        </w:rPr>
        <w:t>5</w:t>
      </w:r>
      <w:r>
        <w:rPr>
          <w:rFonts w:hint="eastAsia" w:ascii="Times New Roman" w:hAnsi="Times New Roman" w:eastAsia="宋体" w:cs="宋体"/>
          <w:color w:val="auto"/>
          <w:szCs w:val="21"/>
          <w:highlight w:val="none"/>
          <w:lang w:bidi="ar"/>
        </w:rPr>
        <w:t>项</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甲方需求部门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w:t>
      </w:r>
    </w:p>
    <w:p w14:paraId="6EA6EB2F">
      <w:pPr>
        <w:tabs>
          <w:tab w:val="left" w:pos="700"/>
        </w:tabs>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1.2“</w:t>
      </w:r>
      <w:r>
        <w:rPr>
          <w:rFonts w:hint="eastAsia" w:ascii="Times New Roman" w:hAnsi="Times New Roman" w:eastAsia="宋体" w:cs="宋体"/>
          <w:color w:val="auto"/>
          <w:szCs w:val="21"/>
          <w:highlight w:val="none"/>
          <w:lang w:bidi="ar"/>
        </w:rPr>
        <w:t>乙方</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见</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合同条款前附表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第</w:t>
      </w:r>
      <w:r>
        <w:rPr>
          <w:rFonts w:ascii="Times New Roman" w:hAnsi="Times New Roman" w:eastAsia="宋体" w:cs="Times New Roman"/>
          <w:color w:val="auto"/>
          <w:szCs w:val="21"/>
          <w:highlight w:val="none"/>
          <w:lang w:bidi="ar"/>
        </w:rPr>
        <w:t>6</w:t>
      </w:r>
      <w:r>
        <w:rPr>
          <w:rFonts w:hint="eastAsia" w:ascii="Times New Roman" w:hAnsi="Times New Roman" w:eastAsia="宋体" w:cs="宋体"/>
          <w:color w:val="auto"/>
          <w:szCs w:val="21"/>
          <w:highlight w:val="none"/>
          <w:lang w:bidi="ar"/>
        </w:rPr>
        <w:t>项</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乙方名称</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w:t>
      </w:r>
    </w:p>
    <w:p w14:paraId="60539D55">
      <w:pPr>
        <w:tabs>
          <w:tab w:val="left" w:pos="700"/>
        </w:tabs>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1.3 “</w:t>
      </w:r>
      <w:r>
        <w:rPr>
          <w:rFonts w:hint="eastAsia" w:ascii="Times New Roman" w:hAnsi="Times New Roman" w:eastAsia="宋体" w:cs="宋体"/>
          <w:color w:val="auto"/>
          <w:szCs w:val="21"/>
          <w:highlight w:val="none"/>
          <w:lang w:bidi="ar"/>
        </w:rPr>
        <w:t>合同</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系指甲乙双方签订的、合同格式中载明的甲乙双方所达成的协议，包括所有的附件、附录和上述文件所提到的构成合同的所有文件。</w:t>
      </w:r>
    </w:p>
    <w:p w14:paraId="2E318D62">
      <w:pPr>
        <w:tabs>
          <w:tab w:val="left" w:pos="700"/>
        </w:tabs>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lang w:bidi="ar"/>
        </w:rPr>
        <w:t>1.4</w:t>
      </w:r>
      <w:r>
        <w:rPr>
          <w:rFonts w:hint="eastAsia" w:ascii="Times New Roman" w:hAnsi="Times New Roman" w:eastAsia="宋体" w:cs="宋体"/>
          <w:color w:val="auto"/>
          <w:highlight w:val="none"/>
          <w:lang w:bidi="ar"/>
        </w:rPr>
        <w:t>“服务”是指乙方按照招标</w:t>
      </w:r>
      <w:r>
        <w:rPr>
          <w:rFonts w:ascii="Times New Roman" w:hAnsi="Times New Roman" w:eastAsia="宋体" w:cs="Times New Roman"/>
          <w:color w:val="auto"/>
          <w:highlight w:val="none"/>
          <w:lang w:bidi="ar"/>
        </w:rPr>
        <w:t>(</w:t>
      </w:r>
      <w:r>
        <w:rPr>
          <w:rFonts w:hint="eastAsia" w:ascii="Times New Roman" w:hAnsi="Times New Roman" w:eastAsia="宋体" w:cs="宋体"/>
          <w:color w:val="auto"/>
          <w:highlight w:val="none"/>
          <w:lang w:bidi="ar"/>
        </w:rPr>
        <w:t>采购</w:t>
      </w:r>
      <w:r>
        <w:rPr>
          <w:rFonts w:ascii="Times New Roman" w:hAnsi="Times New Roman" w:eastAsia="宋体" w:cs="Times New Roman"/>
          <w:color w:val="auto"/>
          <w:highlight w:val="none"/>
          <w:lang w:bidi="ar"/>
        </w:rPr>
        <w:t>)</w:t>
      </w:r>
      <w:r>
        <w:rPr>
          <w:rFonts w:hint="eastAsia" w:ascii="Times New Roman" w:hAnsi="Times New Roman" w:eastAsia="宋体" w:cs="宋体"/>
          <w:color w:val="auto"/>
          <w:highlight w:val="none"/>
          <w:lang w:bidi="ar"/>
        </w:rPr>
        <w:t>、投标</w:t>
      </w:r>
      <w:r>
        <w:rPr>
          <w:rFonts w:ascii="Times New Roman" w:hAnsi="Times New Roman" w:eastAsia="宋体" w:cs="Times New Roman"/>
          <w:color w:val="auto"/>
          <w:highlight w:val="none"/>
          <w:lang w:bidi="ar"/>
        </w:rPr>
        <w:t>(</w:t>
      </w:r>
      <w:r>
        <w:rPr>
          <w:rFonts w:hint="eastAsia" w:ascii="Times New Roman" w:hAnsi="Times New Roman" w:eastAsia="宋体" w:cs="宋体"/>
          <w:color w:val="auto"/>
          <w:highlight w:val="none"/>
          <w:lang w:bidi="ar"/>
        </w:rPr>
        <w:t>响应</w:t>
      </w:r>
      <w:r>
        <w:rPr>
          <w:rFonts w:ascii="Times New Roman" w:hAnsi="Times New Roman" w:eastAsia="宋体" w:cs="Times New Roman"/>
          <w:color w:val="auto"/>
          <w:highlight w:val="none"/>
          <w:lang w:bidi="ar"/>
        </w:rPr>
        <w:t>)</w:t>
      </w:r>
      <w:r>
        <w:rPr>
          <w:rFonts w:hint="eastAsia" w:ascii="Times New Roman" w:hAnsi="Times New Roman" w:eastAsia="宋体" w:cs="宋体"/>
          <w:color w:val="auto"/>
          <w:highlight w:val="none"/>
          <w:lang w:bidi="ar"/>
        </w:rPr>
        <w:t>文件要求，向采购人提供的技术支持服务。</w:t>
      </w:r>
    </w:p>
    <w:p w14:paraId="5B4E6619">
      <w:pPr>
        <w:tabs>
          <w:tab w:val="left" w:pos="700"/>
        </w:tabs>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1.5</w:t>
      </w:r>
      <w:r>
        <w:rPr>
          <w:rFonts w:hint="eastAsia" w:ascii="Times New Roman" w:hAnsi="Times New Roman" w:eastAsia="宋体" w:cs="宋体"/>
          <w:color w:val="auto"/>
          <w:szCs w:val="21"/>
          <w:highlight w:val="none"/>
          <w:lang w:bidi="ar"/>
        </w:rPr>
        <w:t>“项目现场”是指甲方指定的最终服务地点。</w:t>
      </w:r>
    </w:p>
    <w:p w14:paraId="6BFB55EE">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1.6</w:t>
      </w:r>
      <w:r>
        <w:rPr>
          <w:rFonts w:hint="eastAsia" w:ascii="Times New Roman" w:hAnsi="Times New Roman" w:eastAsia="宋体" w:cs="宋体"/>
          <w:color w:val="auto"/>
          <w:szCs w:val="21"/>
          <w:highlight w:val="none"/>
          <w:lang w:bidi="ar"/>
        </w:rPr>
        <w:t>“天”除非特别指出，</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天</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均为自然天。</w:t>
      </w:r>
    </w:p>
    <w:p w14:paraId="38364A60">
      <w:pPr>
        <w:topLinePunct/>
        <w:autoSpaceDE w:val="0"/>
        <w:autoSpaceDN w:val="0"/>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 xml:space="preserve">2. </w:t>
      </w:r>
      <w:r>
        <w:rPr>
          <w:rFonts w:hint="eastAsia" w:ascii="Times New Roman" w:hAnsi="Times New Roman" w:eastAsia="宋体" w:cs="宋体"/>
          <w:b/>
          <w:color w:val="auto"/>
          <w:szCs w:val="21"/>
          <w:highlight w:val="none"/>
        </w:rPr>
        <w:t>服务内容和服务标准</w:t>
      </w:r>
    </w:p>
    <w:p w14:paraId="0C220A2A">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2.1</w:t>
      </w:r>
      <w:r>
        <w:rPr>
          <w:rFonts w:hint="eastAsia" w:ascii="Calibri" w:hAnsi="Calibri" w:eastAsia="宋体" w:cs="宋体"/>
          <w:color w:val="auto"/>
          <w:highlight w:val="none"/>
          <w:lang w:bidi="ar"/>
        </w:rPr>
        <w:t>服务标准：</w:t>
      </w:r>
      <w:r>
        <w:rPr>
          <w:rFonts w:hint="eastAsia" w:ascii="Times New Roman" w:hAnsi="Times New Roman" w:eastAsia="宋体" w:cs="宋体"/>
          <w:color w:val="auto"/>
          <w:szCs w:val="21"/>
          <w:highlight w:val="none"/>
          <w:lang w:bidi="ar"/>
        </w:rPr>
        <w:t>乙方为甲方交付或提供的服务应符合招标（采购）文件所述的标准，如果没有提及适用标准，则应符合相应的国家标准。这些标准必须是有关机构发布的最新版本的标准。</w:t>
      </w:r>
    </w:p>
    <w:p w14:paraId="4CCB4457">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2.2</w:t>
      </w:r>
      <w:r>
        <w:rPr>
          <w:rFonts w:hint="eastAsia" w:ascii="Times New Roman" w:hAnsi="Times New Roman" w:eastAsia="宋体" w:cs="宋体"/>
          <w:color w:val="auto"/>
          <w:szCs w:val="21"/>
          <w:highlight w:val="none"/>
          <w:lang w:bidi="ar"/>
        </w:rPr>
        <w:t>除非技术要求中另有规定，计量单位均采用中华人民共和国法定计量单位。</w:t>
      </w:r>
    </w:p>
    <w:p w14:paraId="3EFA7BEF">
      <w:pPr>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 xml:space="preserve">3. </w:t>
      </w:r>
      <w:r>
        <w:rPr>
          <w:rFonts w:hint="eastAsia" w:ascii="Times New Roman" w:hAnsi="Times New Roman" w:eastAsia="宋体" w:cs="宋体"/>
          <w:b/>
          <w:color w:val="auto"/>
          <w:szCs w:val="21"/>
          <w:highlight w:val="none"/>
          <w:lang w:bidi="ar"/>
        </w:rPr>
        <w:t>服务</w:t>
      </w:r>
    </w:p>
    <w:p w14:paraId="03318D26">
      <w:pPr>
        <w:tabs>
          <w:tab w:val="left" w:pos="700"/>
        </w:tabs>
        <w:spacing w:line="360" w:lineRule="auto"/>
        <w:ind w:firstLine="420" w:firstLineChars="200"/>
        <w:rPr>
          <w:rFonts w:hint="eastAsia" w:ascii="Times New Roman" w:hAnsi="Times New Roman" w:eastAsia="宋体" w:cs="宋体"/>
          <w:bCs/>
          <w:color w:val="auto"/>
          <w:szCs w:val="21"/>
          <w:highlight w:val="none"/>
          <w:lang w:bidi="ar"/>
        </w:rPr>
      </w:pPr>
      <w:r>
        <w:rPr>
          <w:rFonts w:ascii="Times New Roman" w:hAnsi="Times New Roman" w:eastAsia="宋体" w:cs="Times New Roman"/>
          <w:bCs/>
          <w:color w:val="auto"/>
          <w:szCs w:val="21"/>
          <w:highlight w:val="none"/>
          <w:lang w:bidi="ar"/>
        </w:rPr>
        <w:t>3.1</w:t>
      </w:r>
      <w:r>
        <w:rPr>
          <w:rFonts w:hint="eastAsia" w:ascii="Times New Roman" w:hAnsi="Times New Roman" w:eastAsia="宋体" w:cs="宋体"/>
          <w:bCs/>
          <w:color w:val="auto"/>
          <w:szCs w:val="21"/>
          <w:highlight w:val="none"/>
          <w:lang w:bidi="ar"/>
        </w:rPr>
        <w:t>本项目的</w:t>
      </w:r>
      <w:r>
        <w:rPr>
          <w:rFonts w:ascii="Times New Roman" w:hAnsi="Times New Roman" w:eastAsia="宋体" w:cs="Times New Roman"/>
          <w:bCs/>
          <w:color w:val="auto"/>
          <w:szCs w:val="21"/>
          <w:highlight w:val="none"/>
          <w:lang w:bidi="ar"/>
        </w:rPr>
        <w:t>“</w:t>
      </w:r>
      <w:r>
        <w:rPr>
          <w:rFonts w:hint="eastAsia" w:ascii="Times New Roman" w:hAnsi="Times New Roman" w:eastAsia="宋体" w:cs="宋体"/>
          <w:bCs/>
          <w:color w:val="auto"/>
          <w:szCs w:val="21"/>
          <w:highlight w:val="none"/>
          <w:lang w:bidi="ar"/>
        </w:rPr>
        <w:t>服务内容</w:t>
      </w:r>
      <w:r>
        <w:rPr>
          <w:rFonts w:ascii="Times New Roman" w:hAnsi="Times New Roman" w:eastAsia="宋体" w:cs="Times New Roman"/>
          <w:bCs/>
          <w:color w:val="auto"/>
          <w:szCs w:val="21"/>
          <w:highlight w:val="none"/>
          <w:lang w:bidi="ar"/>
        </w:rPr>
        <w:t>”</w:t>
      </w:r>
      <w:r>
        <w:rPr>
          <w:rFonts w:hint="eastAsia" w:ascii="Times New Roman" w:hAnsi="Times New Roman" w:eastAsia="宋体" w:cs="宋体"/>
          <w:bCs/>
          <w:color w:val="auto"/>
          <w:szCs w:val="21"/>
          <w:highlight w:val="none"/>
          <w:lang w:bidi="ar"/>
        </w:rPr>
        <w:t>见</w:t>
      </w:r>
      <w:r>
        <w:rPr>
          <w:rFonts w:ascii="Times New Roman" w:hAnsi="Times New Roman" w:eastAsia="宋体" w:cs="Times New Roman"/>
          <w:bCs/>
          <w:color w:val="auto"/>
          <w:szCs w:val="21"/>
          <w:highlight w:val="none"/>
          <w:lang w:bidi="ar"/>
        </w:rPr>
        <w:t>“</w:t>
      </w:r>
      <w:r>
        <w:rPr>
          <w:rFonts w:hint="eastAsia" w:ascii="Times New Roman" w:hAnsi="Times New Roman" w:eastAsia="宋体" w:cs="宋体"/>
          <w:bCs/>
          <w:color w:val="auto"/>
          <w:szCs w:val="21"/>
          <w:highlight w:val="none"/>
          <w:lang w:bidi="ar"/>
        </w:rPr>
        <w:t>合同条款前附表</w:t>
      </w:r>
      <w:r>
        <w:rPr>
          <w:rFonts w:ascii="Times New Roman" w:hAnsi="Times New Roman" w:eastAsia="宋体" w:cs="Times New Roman"/>
          <w:bCs/>
          <w:color w:val="auto"/>
          <w:szCs w:val="21"/>
          <w:highlight w:val="none"/>
          <w:lang w:bidi="ar"/>
        </w:rPr>
        <w:t>”</w:t>
      </w:r>
      <w:r>
        <w:rPr>
          <w:rFonts w:hint="eastAsia" w:ascii="Times New Roman" w:hAnsi="Times New Roman" w:eastAsia="宋体" w:cs="宋体"/>
          <w:bCs/>
          <w:color w:val="auto"/>
          <w:szCs w:val="21"/>
          <w:highlight w:val="none"/>
          <w:lang w:bidi="ar"/>
        </w:rPr>
        <w:t>第</w:t>
      </w:r>
      <w:r>
        <w:rPr>
          <w:rFonts w:ascii="Times New Roman" w:hAnsi="Times New Roman" w:eastAsia="宋体" w:cs="Times New Roman"/>
          <w:bCs/>
          <w:color w:val="auto"/>
          <w:szCs w:val="21"/>
          <w:highlight w:val="none"/>
          <w:lang w:bidi="ar"/>
        </w:rPr>
        <w:t>8</w:t>
      </w:r>
      <w:r>
        <w:rPr>
          <w:rFonts w:hint="eastAsia" w:ascii="Times New Roman" w:hAnsi="Times New Roman" w:eastAsia="宋体" w:cs="宋体"/>
          <w:bCs/>
          <w:color w:val="auto"/>
          <w:szCs w:val="21"/>
          <w:highlight w:val="none"/>
          <w:lang w:bidi="ar"/>
        </w:rPr>
        <w:t>项</w:t>
      </w:r>
      <w:r>
        <w:rPr>
          <w:rFonts w:ascii="Times New Roman" w:hAnsi="Times New Roman" w:eastAsia="宋体" w:cs="Times New Roman"/>
          <w:bCs/>
          <w:color w:val="auto"/>
          <w:szCs w:val="21"/>
          <w:highlight w:val="none"/>
          <w:lang w:bidi="ar"/>
        </w:rPr>
        <w:t>“</w:t>
      </w:r>
      <w:r>
        <w:rPr>
          <w:rFonts w:hint="eastAsia" w:ascii="Times New Roman" w:hAnsi="Times New Roman" w:eastAsia="宋体" w:cs="宋体"/>
          <w:bCs/>
          <w:color w:val="auto"/>
          <w:szCs w:val="21"/>
          <w:highlight w:val="none"/>
          <w:lang w:bidi="ar"/>
        </w:rPr>
        <w:t>服务内容</w:t>
      </w:r>
      <w:r>
        <w:rPr>
          <w:rFonts w:ascii="Times New Roman" w:hAnsi="Times New Roman" w:eastAsia="宋体" w:cs="Times New Roman"/>
          <w:bCs/>
          <w:color w:val="auto"/>
          <w:szCs w:val="21"/>
          <w:highlight w:val="none"/>
          <w:lang w:bidi="ar"/>
        </w:rPr>
        <w:t>”</w:t>
      </w:r>
      <w:r>
        <w:rPr>
          <w:rFonts w:hint="eastAsia" w:ascii="Times New Roman" w:hAnsi="Times New Roman" w:eastAsia="宋体" w:cs="宋体"/>
          <w:bCs/>
          <w:color w:val="auto"/>
          <w:szCs w:val="21"/>
          <w:highlight w:val="none"/>
          <w:lang w:bidi="ar"/>
        </w:rPr>
        <w:t>。</w:t>
      </w:r>
    </w:p>
    <w:p w14:paraId="4E921254">
      <w:pPr>
        <w:tabs>
          <w:tab w:val="left" w:pos="700"/>
        </w:tabs>
        <w:spacing w:line="360" w:lineRule="auto"/>
        <w:ind w:firstLine="420" w:firstLineChars="200"/>
        <w:rPr>
          <w:rFonts w:hint="default" w:ascii="Times New Roman" w:hAnsi="Times New Roman" w:eastAsia="宋体" w:cs="Times New Roman"/>
          <w:bCs/>
          <w:color w:val="auto"/>
          <w:szCs w:val="21"/>
          <w:highlight w:val="none"/>
          <w:lang w:val="en-US" w:eastAsia="zh-CN" w:bidi="ar"/>
        </w:rPr>
      </w:pPr>
      <w:r>
        <w:rPr>
          <w:rFonts w:hint="eastAsia" w:ascii="Times New Roman" w:hAnsi="Times New Roman" w:eastAsia="宋体" w:cs="Times New Roman"/>
          <w:bCs/>
          <w:color w:val="auto"/>
          <w:szCs w:val="21"/>
          <w:highlight w:val="none"/>
          <w:lang w:val="en-US" w:eastAsia="zh-CN" w:bidi="ar"/>
        </w:rPr>
        <w:t>3.2本项目涉及信息化服务运维人员的，运维人员应当是乙方的正式人员，或者是与乙方签订1年以上劳动合同且实际工作满1年的人员，常驻运维人员应当为技术骨干。</w:t>
      </w:r>
    </w:p>
    <w:p w14:paraId="57E6FFD0">
      <w:pPr>
        <w:pStyle w:val="36"/>
        <w:rPr>
          <w:rFonts w:hint="default"/>
          <w:color w:val="auto"/>
          <w:highlight w:val="none"/>
          <w:lang w:val="en-US" w:eastAsia="zh-CN"/>
        </w:rPr>
      </w:pPr>
      <w:r>
        <w:rPr>
          <w:rFonts w:hint="default"/>
          <w:color w:val="auto"/>
          <w:highlight w:val="none"/>
          <w:lang w:val="en-US" w:eastAsia="zh-CN"/>
        </w:rPr>
        <w:t>乙方拟更换项目人员的，应至少提前</w:t>
      </w:r>
      <w:r>
        <w:rPr>
          <w:rFonts w:hint="eastAsia"/>
          <w:color w:val="auto"/>
          <w:highlight w:val="none"/>
          <w:lang w:val="en-US" w:eastAsia="zh-CN"/>
        </w:rPr>
        <w:t>10</w:t>
      </w:r>
      <w:r>
        <w:rPr>
          <w:rFonts w:hint="default"/>
          <w:color w:val="auto"/>
          <w:highlight w:val="none"/>
          <w:lang w:val="en-US" w:eastAsia="zh-CN"/>
        </w:rPr>
        <w:t>日书面通知甲方，经甲方书面同意后方可更换，更换后的人员资质、能力不得低于原人员标准。</w:t>
      </w:r>
    </w:p>
    <w:p w14:paraId="566333CF">
      <w:pPr>
        <w:tabs>
          <w:tab w:val="left" w:pos="700"/>
        </w:tabs>
        <w:spacing w:line="360" w:lineRule="auto"/>
        <w:ind w:firstLine="420" w:firstLineChars="200"/>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lang w:bidi="ar"/>
        </w:rPr>
        <w:t>3.</w:t>
      </w:r>
      <w:r>
        <w:rPr>
          <w:rFonts w:hint="eastAsia" w:ascii="Times New Roman" w:hAnsi="Times New Roman" w:eastAsia="宋体" w:cs="Times New Roman"/>
          <w:bCs/>
          <w:color w:val="auto"/>
          <w:szCs w:val="21"/>
          <w:highlight w:val="none"/>
          <w:lang w:val="en-US" w:eastAsia="zh-CN" w:bidi="ar"/>
        </w:rPr>
        <w:t>3</w:t>
      </w:r>
      <w:r>
        <w:rPr>
          <w:rFonts w:hint="eastAsia" w:ascii="Times New Roman" w:hAnsi="Times New Roman" w:eastAsia="宋体" w:cs="宋体"/>
          <w:bCs/>
          <w:color w:val="auto"/>
          <w:szCs w:val="21"/>
          <w:highlight w:val="none"/>
          <w:lang w:bidi="ar"/>
        </w:rPr>
        <w:t>拟投入本项目的人员已进驻其他项目致使无法参与本项目实施的，乙方应当征得甲方</w:t>
      </w:r>
      <w:r>
        <w:rPr>
          <w:rFonts w:hint="eastAsia" w:ascii="Times New Roman" w:hAnsi="Times New Roman" w:cs="宋体"/>
          <w:bCs/>
          <w:color w:val="auto"/>
          <w:szCs w:val="21"/>
          <w:highlight w:val="none"/>
          <w:lang w:val="en-US" w:eastAsia="zh-CN" w:bidi="ar"/>
        </w:rPr>
        <w:t>书面</w:t>
      </w:r>
      <w:r>
        <w:rPr>
          <w:rFonts w:hint="eastAsia" w:ascii="Times New Roman" w:hAnsi="Times New Roman" w:eastAsia="宋体" w:cs="宋体"/>
          <w:bCs/>
          <w:color w:val="auto"/>
          <w:szCs w:val="21"/>
          <w:highlight w:val="none"/>
          <w:lang w:bidi="ar"/>
        </w:rPr>
        <w:t>同意后，派遣等于或优于拟投入人员水平和资质的其他人员参与本项目。</w:t>
      </w:r>
    </w:p>
    <w:p w14:paraId="0BFF89B0">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3.</w:t>
      </w:r>
      <w:r>
        <w:rPr>
          <w:rFonts w:hint="eastAsia" w:ascii="Times New Roman" w:hAnsi="Times New Roman" w:eastAsia="宋体" w:cs="Times New Roman"/>
          <w:color w:val="auto"/>
          <w:szCs w:val="21"/>
          <w:highlight w:val="none"/>
          <w:lang w:val="en-US" w:eastAsia="zh-CN" w:bidi="ar"/>
        </w:rPr>
        <w:t>4</w:t>
      </w:r>
      <w:r>
        <w:rPr>
          <w:rFonts w:hint="eastAsia" w:ascii="Times New Roman" w:hAnsi="Times New Roman" w:eastAsia="宋体" w:cs="宋体"/>
          <w:color w:val="auto"/>
          <w:szCs w:val="21"/>
          <w:highlight w:val="none"/>
          <w:lang w:bidi="ar"/>
        </w:rPr>
        <w:t>乙方应保证所提供的服务符合合同规定的技术要求。如不符时，乙方应负全责并尽快处理解决，由此造成的损失和相关费用由乙方负责，甲方保留终止合同及索赔的权利。</w:t>
      </w:r>
    </w:p>
    <w:p w14:paraId="520DFF05">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3.</w:t>
      </w:r>
      <w:r>
        <w:rPr>
          <w:rFonts w:hint="eastAsia" w:ascii="Times New Roman" w:hAnsi="Times New Roman" w:eastAsia="宋体" w:cs="Times New Roman"/>
          <w:color w:val="auto"/>
          <w:szCs w:val="21"/>
          <w:highlight w:val="none"/>
          <w:lang w:val="en-US" w:eastAsia="zh-CN" w:bidi="ar"/>
        </w:rPr>
        <w:t>5</w:t>
      </w:r>
      <w:r>
        <w:rPr>
          <w:rFonts w:hint="eastAsia" w:ascii="Times New Roman" w:hAnsi="Times New Roman" w:eastAsia="宋体" w:cs="宋体"/>
          <w:color w:val="auto"/>
          <w:szCs w:val="21"/>
          <w:highlight w:val="none"/>
          <w:lang w:bidi="ar"/>
        </w:rPr>
        <w:t>乙方应保证通过执行合同中全部方案后，可以取得本合同约定的结果，达到本合同约定的预期目标。对任何情况下出现的问题，应尽快提出解决方案。</w:t>
      </w:r>
    </w:p>
    <w:p w14:paraId="5FA1ADFA">
      <w:pPr>
        <w:tabs>
          <w:tab w:val="left" w:pos="0"/>
          <w:tab w:val="left" w:pos="540"/>
        </w:tabs>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3.</w:t>
      </w:r>
      <w:r>
        <w:rPr>
          <w:rFonts w:hint="eastAsia" w:ascii="Times New Roman" w:hAnsi="Times New Roman" w:eastAsia="宋体" w:cs="Times New Roman"/>
          <w:color w:val="auto"/>
          <w:szCs w:val="21"/>
          <w:highlight w:val="none"/>
          <w:lang w:val="en-US" w:eastAsia="zh-CN" w:bidi="ar"/>
        </w:rPr>
        <w:t>6</w:t>
      </w:r>
      <w:r>
        <w:rPr>
          <w:rFonts w:hint="eastAsia" w:ascii="Times New Roman" w:hAnsi="Times New Roman" w:eastAsia="宋体" w:cs="宋体"/>
          <w:color w:val="auto"/>
          <w:szCs w:val="21"/>
          <w:highlight w:val="none"/>
          <w:lang w:bidi="ar"/>
        </w:rPr>
        <w:t>如果乙方提供的服务和解决方案不符合甲方要求，或在规定的时间内没有弥补缺陷，甲方有权采取一切必要的补救措施，由此产生的费用全部由乙方负责。</w:t>
      </w:r>
    </w:p>
    <w:p w14:paraId="7B40CDAF">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3.</w:t>
      </w:r>
      <w:r>
        <w:rPr>
          <w:rFonts w:hint="eastAsia" w:ascii="Times New Roman" w:hAnsi="Times New Roman" w:eastAsia="宋体" w:cs="Times New Roman"/>
          <w:color w:val="auto"/>
          <w:szCs w:val="21"/>
          <w:highlight w:val="none"/>
          <w:lang w:val="en-US" w:eastAsia="zh-CN" w:bidi="ar"/>
        </w:rPr>
        <w:t>7</w:t>
      </w:r>
      <w:r>
        <w:rPr>
          <w:rFonts w:hint="eastAsia" w:ascii="Times New Roman" w:hAnsi="Times New Roman" w:eastAsia="宋体" w:cs="宋体"/>
          <w:color w:val="auto"/>
          <w:szCs w:val="21"/>
          <w:highlight w:val="none"/>
          <w:lang w:bidi="ar"/>
        </w:rPr>
        <w:t>除合同条款另行规定外，伴随服务的费用应含在合同价中，不单独进行支付。</w:t>
      </w:r>
    </w:p>
    <w:p w14:paraId="4EBDF11D">
      <w:pPr>
        <w:tabs>
          <w:tab w:val="left" w:pos="0"/>
          <w:tab w:val="left" w:pos="540"/>
        </w:tabs>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 xml:space="preserve">4. </w:t>
      </w:r>
      <w:r>
        <w:rPr>
          <w:rFonts w:hint="eastAsia" w:ascii="Times New Roman" w:hAnsi="Times New Roman" w:eastAsia="宋体" w:cs="宋体"/>
          <w:b/>
          <w:color w:val="auto"/>
          <w:szCs w:val="21"/>
          <w:highlight w:val="none"/>
          <w:lang w:bidi="ar"/>
        </w:rPr>
        <w:t>知识产权</w:t>
      </w:r>
    </w:p>
    <w:p w14:paraId="784DF3A3">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4.1</w:t>
      </w:r>
      <w:r>
        <w:rPr>
          <w:rFonts w:hint="eastAsia" w:ascii="Times New Roman" w:hAnsi="Times New Roman" w:eastAsia="宋体" w:cs="宋体"/>
          <w:color w:val="auto"/>
          <w:szCs w:val="21"/>
          <w:highlight w:val="none"/>
          <w:lang w:bidi="ar"/>
        </w:rPr>
        <w:t>乙方应保证所提供的服务免受第三方提出侵犯其知识产权（专利权、商标权、软件著作权、版权等）的起诉。</w:t>
      </w:r>
      <w:r>
        <w:rPr>
          <w:rFonts w:hint="eastAsia" w:ascii="Times New Roman" w:hAnsi="Times New Roman" w:eastAsia="宋体" w:cs="宋体"/>
          <w:color w:val="auto"/>
          <w:highlight w:val="none"/>
          <w:lang w:bidi="ar"/>
        </w:rPr>
        <w:t>因侵害他人知识产权而产生的法律责任</w:t>
      </w:r>
      <w:r>
        <w:rPr>
          <w:rFonts w:hint="eastAsia" w:ascii="宋体" w:hAnsi="宋体" w:eastAsia="宋体" w:cs="宋体"/>
          <w:color w:val="auto"/>
          <w:highlight w:val="none"/>
          <w:lang w:bidi="ar"/>
        </w:rPr>
        <w:t>，</w:t>
      </w:r>
      <w:r>
        <w:rPr>
          <w:rFonts w:hint="eastAsia" w:ascii="Times New Roman" w:hAnsi="Times New Roman" w:eastAsia="宋体" w:cs="宋体"/>
          <w:color w:val="auto"/>
          <w:highlight w:val="none"/>
          <w:lang w:bidi="ar"/>
        </w:rPr>
        <w:t>全部由乙方承担。</w:t>
      </w:r>
    </w:p>
    <w:p w14:paraId="55ABD174">
      <w:pPr>
        <w:tabs>
          <w:tab w:val="left" w:pos="0"/>
          <w:tab w:val="left" w:pos="540"/>
        </w:tabs>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4.2</w:t>
      </w:r>
      <w:r>
        <w:rPr>
          <w:rFonts w:hint="eastAsia" w:ascii="Times New Roman" w:hAnsi="Times New Roman" w:eastAsia="宋体" w:cs="宋体"/>
          <w:color w:val="auto"/>
          <w:szCs w:val="21"/>
          <w:highlight w:val="none"/>
          <w:lang w:bidi="ar"/>
        </w:rPr>
        <w:t>甲方对项目实施过程中所产生的所有成果（包括发明、发现、可运行系统、源代码及相关技术资料、文档等）享有永久使用权、复制权和修改权，其专利申请权、专利权、软件著作权、技术秘密的所有权、使用权、转让权等知识产权归甲方所有。</w:t>
      </w:r>
    </w:p>
    <w:p w14:paraId="6F8FCFC1">
      <w:pPr>
        <w:tabs>
          <w:tab w:val="left" w:pos="0"/>
          <w:tab w:val="left" w:pos="540"/>
        </w:tabs>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4.3</w:t>
      </w:r>
      <w:r>
        <w:rPr>
          <w:rFonts w:hint="eastAsia" w:ascii="Times New Roman" w:hAnsi="Times New Roman" w:eastAsia="宋体" w:cs="宋体"/>
          <w:color w:val="auto"/>
          <w:szCs w:val="21"/>
          <w:highlight w:val="none"/>
          <w:lang w:bidi="ar"/>
        </w:rPr>
        <w:t>乙方不得利用本项目实施过程中所产生的成果（包括发明、发现、可运行系统、源代码及相关技术资料、文档等），另行自行开发本合同业务范围内供纳税人缴费人使用的软件或产品，不得利用开发便利变相收费或搭车收费。</w:t>
      </w:r>
    </w:p>
    <w:p w14:paraId="02714CFB">
      <w:pPr>
        <w:tabs>
          <w:tab w:val="left" w:pos="0"/>
          <w:tab w:val="left" w:pos="540"/>
        </w:tabs>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4.4</w:t>
      </w:r>
      <w:r>
        <w:rPr>
          <w:rFonts w:hint="eastAsia" w:ascii="Times New Roman" w:hAnsi="Times New Roman" w:eastAsia="宋体" w:cs="宋体"/>
          <w:color w:val="auto"/>
          <w:szCs w:val="21"/>
          <w:highlight w:val="none"/>
        </w:rPr>
        <w:t>甲方委托乙方开发的产品，甲方享有知识产权，未经甲方许可不得转让任何第三人。</w:t>
      </w:r>
    </w:p>
    <w:p w14:paraId="7177BD32">
      <w:pPr>
        <w:tabs>
          <w:tab w:val="left" w:pos="0"/>
          <w:tab w:val="left" w:pos="540"/>
        </w:tabs>
        <w:topLinePunct/>
        <w:autoSpaceDE w:val="0"/>
        <w:autoSpaceDN w:val="0"/>
        <w:spacing w:line="360" w:lineRule="auto"/>
        <w:ind w:firstLine="420" w:firstLineChars="200"/>
        <w:rPr>
          <w:color w:val="auto"/>
          <w:highlight w:val="none"/>
        </w:rPr>
      </w:pPr>
      <w:r>
        <w:rPr>
          <w:rFonts w:hint="eastAsia"/>
          <w:color w:val="auto"/>
          <w:highlight w:val="none"/>
        </w:rPr>
        <w:t>4.5乙方基于本项目合作接触、使用甲方所有数据、业务资料产生的全部衍生成果（包括但不限于分析报告、算法模型、行业研究结论等）的所有知识产权及相关权益全部归甲方所有，乙方不得自行使用、复制，也不得向任何第三方披露、授权使用。</w:t>
      </w:r>
    </w:p>
    <w:p w14:paraId="48B7835C">
      <w:pPr>
        <w:spacing w:line="360" w:lineRule="auto"/>
        <w:ind w:firstLine="422" w:firstLineChars="200"/>
        <w:rPr>
          <w:rFonts w:hint="eastAsia" w:ascii="Times New Roman" w:hAnsi="Times New Roman" w:eastAsia="宋体" w:cs="宋体"/>
          <w:b/>
          <w:color w:val="auto"/>
          <w:szCs w:val="21"/>
          <w:highlight w:val="none"/>
          <w:lang w:bidi="ar"/>
        </w:rPr>
      </w:pPr>
      <w:r>
        <w:rPr>
          <w:rFonts w:ascii="Times New Roman" w:hAnsi="Times New Roman" w:eastAsia="宋体" w:cs="Times New Roman"/>
          <w:b/>
          <w:color w:val="auto"/>
          <w:szCs w:val="21"/>
          <w:highlight w:val="none"/>
          <w:lang w:bidi="ar"/>
        </w:rPr>
        <w:t xml:space="preserve">5. </w:t>
      </w:r>
      <w:r>
        <w:rPr>
          <w:rFonts w:hint="eastAsia" w:ascii="Times New Roman" w:hAnsi="Times New Roman" w:eastAsia="宋体" w:cs="宋体"/>
          <w:b/>
          <w:color w:val="auto"/>
          <w:szCs w:val="21"/>
          <w:highlight w:val="none"/>
          <w:lang w:bidi="ar"/>
        </w:rPr>
        <w:t>保密条款</w:t>
      </w:r>
    </w:p>
    <w:p w14:paraId="3D70E457">
      <w:pPr>
        <w:spacing w:line="360" w:lineRule="auto"/>
        <w:ind w:firstLine="420" w:firstLineChars="200"/>
        <w:rPr>
          <w:rFonts w:hint="eastAsia" w:ascii="Times New Roman" w:hAnsi="Times New Roman" w:eastAsia="宋体" w:cs="Times New Roman"/>
          <w:color w:val="auto"/>
          <w:szCs w:val="21"/>
          <w:highlight w:val="none"/>
          <w:lang w:bidi="ar"/>
        </w:rPr>
      </w:pPr>
      <w:r>
        <w:rPr>
          <w:rFonts w:hint="eastAsia" w:ascii="Times New Roman" w:hAnsi="Times New Roman" w:eastAsia="宋体" w:cs="Times New Roman"/>
          <w:color w:val="auto"/>
          <w:szCs w:val="21"/>
          <w:highlight w:val="none"/>
          <w:lang w:val="en-US" w:eastAsia="zh-CN" w:bidi="ar"/>
        </w:rPr>
        <w:t>5.</w:t>
      </w:r>
      <w:r>
        <w:rPr>
          <w:rFonts w:hint="eastAsia" w:ascii="Times New Roman" w:hAnsi="Times New Roman" w:eastAsia="宋体" w:cs="Times New Roman"/>
          <w:color w:val="auto"/>
          <w:szCs w:val="21"/>
          <w:highlight w:val="none"/>
          <w:lang w:bidi="ar"/>
        </w:rPr>
        <w:t>1信息安全保密要求</w:t>
      </w:r>
    </w:p>
    <w:p w14:paraId="3807142F">
      <w:pPr>
        <w:spacing w:line="360" w:lineRule="auto"/>
        <w:ind w:firstLine="420" w:firstLineChars="200"/>
        <w:rPr>
          <w:rFonts w:hint="eastAsia" w:ascii="Times New Roman" w:hAnsi="Times New Roman" w:eastAsia="宋体" w:cs="Times New Roman"/>
          <w:color w:val="auto"/>
          <w:szCs w:val="21"/>
          <w:highlight w:val="none"/>
          <w:lang w:bidi="ar"/>
        </w:rPr>
      </w:pPr>
      <w:r>
        <w:rPr>
          <w:rFonts w:hint="eastAsia" w:ascii="Times New Roman" w:hAnsi="Times New Roman" w:eastAsia="宋体" w:cs="Times New Roman"/>
          <w:color w:val="auto"/>
          <w:szCs w:val="21"/>
          <w:highlight w:val="none"/>
          <w:lang w:val="en-US" w:eastAsia="zh-CN" w:bidi="ar"/>
        </w:rPr>
        <w:t>5.1.1</w:t>
      </w:r>
      <w:r>
        <w:rPr>
          <w:rFonts w:hint="eastAsia" w:ascii="Times New Roman" w:hAnsi="Times New Roman" w:eastAsia="宋体" w:cs="Times New Roman"/>
          <w:color w:val="auto"/>
          <w:szCs w:val="21"/>
          <w:highlight w:val="none"/>
          <w:lang w:eastAsia="zh-CN" w:bidi="ar"/>
        </w:rPr>
        <w:t>乙方</w:t>
      </w:r>
      <w:r>
        <w:rPr>
          <w:rFonts w:hint="eastAsia" w:ascii="Times New Roman" w:hAnsi="Times New Roman" w:eastAsia="宋体" w:cs="Times New Roman"/>
          <w:color w:val="auto"/>
          <w:szCs w:val="21"/>
          <w:highlight w:val="none"/>
          <w:lang w:bidi="ar"/>
        </w:rPr>
        <w:t>须严格遵守</w:t>
      </w:r>
      <w:r>
        <w:rPr>
          <w:rFonts w:hint="eastAsia" w:ascii="Times New Roman" w:hAnsi="Times New Roman" w:eastAsia="宋体" w:cs="Times New Roman"/>
          <w:color w:val="auto"/>
          <w:szCs w:val="21"/>
          <w:highlight w:val="none"/>
          <w:lang w:eastAsia="zh-CN" w:bidi="ar"/>
        </w:rPr>
        <w:t>甲方</w:t>
      </w:r>
      <w:r>
        <w:rPr>
          <w:rFonts w:hint="eastAsia" w:ascii="Times New Roman" w:hAnsi="Times New Roman" w:eastAsia="宋体" w:cs="Times New Roman"/>
          <w:color w:val="auto"/>
          <w:szCs w:val="21"/>
          <w:highlight w:val="none"/>
          <w:lang w:bidi="ar"/>
        </w:rPr>
        <w:t>安全保密制度。</w:t>
      </w:r>
    </w:p>
    <w:p w14:paraId="386BBB4A">
      <w:pPr>
        <w:spacing w:line="360" w:lineRule="auto"/>
        <w:ind w:firstLine="420" w:firstLineChars="200"/>
        <w:rPr>
          <w:rFonts w:hint="eastAsia" w:ascii="Times New Roman" w:hAnsi="Times New Roman" w:eastAsia="宋体" w:cs="Times New Roman"/>
          <w:color w:val="auto"/>
          <w:szCs w:val="21"/>
          <w:highlight w:val="none"/>
          <w:lang w:bidi="ar"/>
        </w:rPr>
      </w:pPr>
      <w:r>
        <w:rPr>
          <w:rFonts w:hint="eastAsia" w:ascii="Times New Roman" w:hAnsi="Times New Roman" w:eastAsia="宋体" w:cs="Times New Roman"/>
          <w:color w:val="auto"/>
          <w:szCs w:val="21"/>
          <w:highlight w:val="none"/>
          <w:lang w:val="en-US" w:eastAsia="zh-CN" w:bidi="ar"/>
        </w:rPr>
        <w:t>5.1.2</w:t>
      </w:r>
      <w:r>
        <w:rPr>
          <w:rFonts w:hint="eastAsia" w:ascii="Times New Roman" w:hAnsi="Times New Roman" w:eastAsia="宋体" w:cs="Times New Roman"/>
          <w:color w:val="auto"/>
          <w:szCs w:val="21"/>
          <w:highlight w:val="none"/>
          <w:lang w:eastAsia="zh-CN" w:bidi="ar"/>
        </w:rPr>
        <w:t>乙方投入的</w:t>
      </w:r>
      <w:r>
        <w:rPr>
          <w:rFonts w:hint="eastAsia" w:ascii="Times New Roman" w:hAnsi="Times New Roman" w:eastAsia="宋体" w:cs="Times New Roman"/>
          <w:color w:val="auto"/>
          <w:szCs w:val="21"/>
          <w:highlight w:val="none"/>
          <w:lang w:bidi="ar"/>
        </w:rPr>
        <w:t>项目人员</w:t>
      </w:r>
      <w:r>
        <w:rPr>
          <w:rFonts w:hint="eastAsia" w:ascii="Times New Roman" w:hAnsi="Times New Roman" w:eastAsia="宋体" w:cs="Times New Roman"/>
          <w:color w:val="auto"/>
          <w:szCs w:val="21"/>
          <w:highlight w:val="none"/>
          <w:lang w:eastAsia="zh-CN" w:bidi="ar"/>
        </w:rPr>
        <w:t>须</w:t>
      </w:r>
      <w:r>
        <w:rPr>
          <w:rFonts w:hint="eastAsia" w:ascii="Times New Roman" w:hAnsi="Times New Roman" w:eastAsia="宋体" w:cs="Times New Roman"/>
          <w:color w:val="auto"/>
          <w:szCs w:val="21"/>
          <w:highlight w:val="none"/>
          <w:lang w:bidi="ar"/>
        </w:rPr>
        <w:t>保证遵守国家有关版权和知识产权保护的政策、法律、法规和制度。</w:t>
      </w:r>
    </w:p>
    <w:p w14:paraId="326B0ECB">
      <w:pPr>
        <w:spacing w:line="360" w:lineRule="auto"/>
        <w:ind w:firstLine="420" w:firstLineChars="200"/>
        <w:rPr>
          <w:rFonts w:hint="eastAsia" w:ascii="Times New Roman" w:hAnsi="Times New Roman" w:eastAsia="宋体" w:cs="Times New Roman"/>
          <w:color w:val="auto"/>
          <w:szCs w:val="21"/>
          <w:highlight w:val="none"/>
          <w:lang w:bidi="ar"/>
        </w:rPr>
      </w:pPr>
      <w:r>
        <w:rPr>
          <w:rFonts w:hint="eastAsia" w:ascii="Times New Roman" w:hAnsi="Times New Roman" w:eastAsia="宋体" w:cs="Times New Roman"/>
          <w:color w:val="auto"/>
          <w:szCs w:val="21"/>
          <w:highlight w:val="none"/>
          <w:lang w:val="en-US" w:eastAsia="zh-CN" w:bidi="ar"/>
        </w:rPr>
        <w:t>5.1.3</w:t>
      </w:r>
      <w:r>
        <w:rPr>
          <w:rFonts w:hint="eastAsia" w:ascii="Times New Roman" w:hAnsi="Times New Roman" w:eastAsia="宋体" w:cs="Times New Roman"/>
          <w:color w:val="auto"/>
          <w:szCs w:val="21"/>
          <w:highlight w:val="none"/>
          <w:lang w:eastAsia="zh-CN" w:bidi="ar"/>
        </w:rPr>
        <w:t>乙方投入的</w:t>
      </w:r>
      <w:r>
        <w:rPr>
          <w:rFonts w:hint="eastAsia" w:ascii="Times New Roman" w:hAnsi="Times New Roman" w:eastAsia="宋体" w:cs="Times New Roman"/>
          <w:color w:val="auto"/>
          <w:szCs w:val="21"/>
          <w:highlight w:val="none"/>
          <w:lang w:bidi="ar"/>
        </w:rPr>
        <w:t>项目人员应对本项目中接触到的</w:t>
      </w:r>
      <w:r>
        <w:rPr>
          <w:rFonts w:hint="eastAsia" w:ascii="Times New Roman" w:hAnsi="Times New Roman" w:eastAsia="宋体" w:cs="Times New Roman"/>
          <w:color w:val="auto"/>
          <w:szCs w:val="21"/>
          <w:highlight w:val="none"/>
          <w:lang w:eastAsia="zh-CN" w:bidi="ar"/>
        </w:rPr>
        <w:t>甲方</w:t>
      </w:r>
      <w:r>
        <w:rPr>
          <w:rFonts w:hint="eastAsia" w:ascii="Times New Roman" w:hAnsi="Times New Roman" w:eastAsia="宋体" w:cs="Times New Roman"/>
          <w:color w:val="auto"/>
          <w:szCs w:val="21"/>
          <w:highlight w:val="none"/>
          <w:lang w:bidi="ar"/>
        </w:rPr>
        <w:t>所有的知识产权、商业秘密、技术成果等信息负保密义务。未经</w:t>
      </w:r>
      <w:r>
        <w:rPr>
          <w:rFonts w:hint="eastAsia" w:ascii="Times New Roman" w:hAnsi="Times New Roman" w:eastAsia="宋体" w:cs="Times New Roman"/>
          <w:color w:val="auto"/>
          <w:szCs w:val="21"/>
          <w:highlight w:val="none"/>
          <w:lang w:eastAsia="zh-CN" w:bidi="ar"/>
        </w:rPr>
        <w:t>甲方</w:t>
      </w:r>
      <w:r>
        <w:rPr>
          <w:rFonts w:hint="eastAsia" w:ascii="Times New Roman" w:hAnsi="Times New Roman" w:eastAsia="宋体" w:cs="Times New Roman"/>
          <w:color w:val="auto"/>
          <w:szCs w:val="21"/>
          <w:highlight w:val="none"/>
          <w:lang w:bidi="ar"/>
        </w:rPr>
        <w:t>书面同意，不得向社会公众或第三方通过任何途径出示、泄露，不得许可使用，不得对上述信息进行复制、传播、销售；保证不向外泄漏任何相关数据，不向外</w:t>
      </w:r>
      <w:r>
        <w:rPr>
          <w:rFonts w:hint="eastAsia" w:ascii="Times New Roman" w:hAnsi="Times New Roman" w:cs="Times New Roman"/>
          <w:color w:val="auto"/>
          <w:szCs w:val="21"/>
          <w:highlight w:val="none"/>
          <w:lang w:eastAsia="zh-CN" w:bidi="ar"/>
        </w:rPr>
        <w:t>泄露</w:t>
      </w:r>
      <w:r>
        <w:rPr>
          <w:rFonts w:hint="eastAsia" w:ascii="Times New Roman" w:hAnsi="Times New Roman" w:eastAsia="宋体" w:cs="Times New Roman"/>
          <w:color w:val="auto"/>
          <w:szCs w:val="21"/>
          <w:highlight w:val="none"/>
          <w:lang w:bidi="ar"/>
        </w:rPr>
        <w:t>任何保密的技术资料。如出现支持人员泄密事件，</w:t>
      </w:r>
      <w:r>
        <w:rPr>
          <w:rFonts w:hint="eastAsia" w:ascii="Times New Roman" w:hAnsi="Times New Roman" w:eastAsia="宋体" w:cs="Times New Roman"/>
          <w:color w:val="auto"/>
          <w:szCs w:val="21"/>
          <w:highlight w:val="none"/>
          <w:lang w:eastAsia="zh-CN" w:bidi="ar"/>
        </w:rPr>
        <w:t>乙方</w:t>
      </w:r>
      <w:r>
        <w:rPr>
          <w:rFonts w:hint="eastAsia" w:ascii="Times New Roman" w:hAnsi="Times New Roman" w:eastAsia="宋体" w:cs="Times New Roman"/>
          <w:color w:val="auto"/>
          <w:szCs w:val="21"/>
          <w:highlight w:val="none"/>
          <w:lang w:bidi="ar"/>
        </w:rPr>
        <w:t>应负有连带责任。</w:t>
      </w:r>
    </w:p>
    <w:p w14:paraId="25394487">
      <w:pPr>
        <w:spacing w:line="360" w:lineRule="auto"/>
        <w:ind w:firstLine="420" w:firstLineChars="200"/>
        <w:rPr>
          <w:rFonts w:hint="eastAsia" w:ascii="Times New Roman" w:hAnsi="Times New Roman" w:eastAsia="宋体" w:cs="Times New Roman"/>
          <w:color w:val="auto"/>
          <w:szCs w:val="21"/>
          <w:highlight w:val="none"/>
          <w:lang w:bidi="ar"/>
        </w:rPr>
      </w:pPr>
      <w:r>
        <w:rPr>
          <w:rFonts w:hint="eastAsia" w:ascii="Times New Roman" w:hAnsi="Times New Roman" w:eastAsia="宋体" w:cs="Times New Roman"/>
          <w:color w:val="auto"/>
          <w:szCs w:val="21"/>
          <w:highlight w:val="none"/>
          <w:lang w:val="en-US" w:eastAsia="zh-CN" w:bidi="ar"/>
        </w:rPr>
        <w:t>5.1.4</w:t>
      </w:r>
      <w:r>
        <w:rPr>
          <w:rFonts w:hint="eastAsia" w:ascii="Times New Roman" w:hAnsi="Times New Roman" w:eastAsia="宋体" w:cs="Times New Roman"/>
          <w:color w:val="auto"/>
          <w:szCs w:val="21"/>
          <w:highlight w:val="none"/>
          <w:lang w:eastAsia="zh-CN" w:bidi="ar"/>
        </w:rPr>
        <w:t>乙方</w:t>
      </w:r>
      <w:r>
        <w:rPr>
          <w:rFonts w:hint="eastAsia" w:ascii="Times New Roman" w:hAnsi="Times New Roman" w:eastAsia="宋体" w:cs="Times New Roman"/>
          <w:color w:val="auto"/>
          <w:szCs w:val="21"/>
          <w:highlight w:val="none"/>
          <w:lang w:bidi="ar"/>
        </w:rPr>
        <w:t>须与</w:t>
      </w:r>
      <w:r>
        <w:rPr>
          <w:rFonts w:hint="eastAsia" w:ascii="Times New Roman" w:hAnsi="Times New Roman" w:eastAsia="宋体" w:cs="Times New Roman"/>
          <w:color w:val="auto"/>
          <w:szCs w:val="21"/>
          <w:highlight w:val="none"/>
          <w:lang w:eastAsia="zh-CN" w:bidi="ar"/>
        </w:rPr>
        <w:t>甲方</w:t>
      </w:r>
      <w:r>
        <w:rPr>
          <w:rFonts w:hint="eastAsia" w:ascii="Times New Roman" w:hAnsi="Times New Roman" w:eastAsia="宋体" w:cs="Times New Roman"/>
          <w:color w:val="auto"/>
          <w:szCs w:val="21"/>
          <w:highlight w:val="none"/>
          <w:lang w:bidi="ar"/>
        </w:rPr>
        <w:t>签署合同项目实施期间的信息保密协议。</w:t>
      </w:r>
    </w:p>
    <w:p w14:paraId="610CD876">
      <w:pPr>
        <w:spacing w:line="360" w:lineRule="auto"/>
        <w:ind w:firstLine="420" w:firstLineChars="200"/>
        <w:rPr>
          <w:color w:val="auto"/>
          <w:highlight w:val="none"/>
        </w:rPr>
      </w:pPr>
      <w:r>
        <w:rPr>
          <w:rFonts w:hint="eastAsia" w:ascii="Times New Roman" w:hAnsi="Times New Roman" w:eastAsia="宋体" w:cs="Times New Roman"/>
          <w:color w:val="auto"/>
          <w:szCs w:val="21"/>
          <w:highlight w:val="none"/>
          <w:lang w:val="en-US" w:eastAsia="zh-CN" w:bidi="ar"/>
        </w:rPr>
        <w:t>5.1.5</w:t>
      </w:r>
      <w:r>
        <w:rPr>
          <w:rFonts w:hint="eastAsia" w:ascii="Times New Roman" w:hAnsi="Times New Roman" w:eastAsia="宋体" w:cs="Times New Roman"/>
          <w:color w:val="auto"/>
          <w:szCs w:val="21"/>
          <w:highlight w:val="none"/>
          <w:lang w:eastAsia="zh-CN" w:bidi="ar"/>
        </w:rPr>
        <w:t>乙方投入的</w:t>
      </w:r>
      <w:r>
        <w:rPr>
          <w:rFonts w:hint="eastAsia" w:ascii="Times New Roman" w:hAnsi="Times New Roman" w:eastAsia="宋体" w:cs="Times New Roman"/>
          <w:color w:val="auto"/>
          <w:szCs w:val="21"/>
          <w:highlight w:val="none"/>
          <w:lang w:bidi="ar"/>
        </w:rPr>
        <w:t>项目人员须与</w:t>
      </w:r>
      <w:r>
        <w:rPr>
          <w:rFonts w:hint="eastAsia" w:ascii="Times New Roman" w:hAnsi="Times New Roman" w:eastAsia="宋体" w:cs="Times New Roman"/>
          <w:color w:val="auto"/>
          <w:szCs w:val="21"/>
          <w:highlight w:val="none"/>
          <w:lang w:eastAsia="zh-CN" w:bidi="ar"/>
        </w:rPr>
        <w:t>甲方</w:t>
      </w:r>
      <w:r>
        <w:rPr>
          <w:rFonts w:hint="eastAsia" w:ascii="Times New Roman" w:hAnsi="Times New Roman" w:eastAsia="宋体" w:cs="Times New Roman"/>
          <w:color w:val="auto"/>
          <w:szCs w:val="21"/>
          <w:highlight w:val="none"/>
          <w:lang w:bidi="ar"/>
        </w:rPr>
        <w:t>签署合同项目实施期间的信息保密承诺书。</w:t>
      </w:r>
    </w:p>
    <w:p w14:paraId="35B16D7A">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5.</w:t>
      </w:r>
      <w:r>
        <w:rPr>
          <w:rFonts w:hint="eastAsia" w:ascii="Times New Roman" w:hAnsi="Times New Roman" w:eastAsia="宋体" w:cs="Times New Roman"/>
          <w:color w:val="auto"/>
          <w:szCs w:val="21"/>
          <w:highlight w:val="none"/>
          <w:lang w:val="en-US" w:eastAsia="zh-CN" w:bidi="ar"/>
        </w:rPr>
        <w:t>2</w:t>
      </w:r>
      <w:r>
        <w:rPr>
          <w:rFonts w:hint="eastAsia" w:ascii="Times New Roman" w:hAnsi="Times New Roman" w:eastAsia="宋体" w:cs="宋体"/>
          <w:color w:val="auto"/>
          <w:szCs w:val="21"/>
          <w:highlight w:val="none"/>
          <w:lang w:bidi="ar"/>
        </w:rPr>
        <w:t>甲乙双方应对在本合同签订或履行过程中所接触的对方信息，包括但不限于知识产权、技术资料、技术诀窍、内部管理及其他相关信息，负有保密义务。</w:t>
      </w:r>
    </w:p>
    <w:p w14:paraId="324B3DF7">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5.</w:t>
      </w:r>
      <w:r>
        <w:rPr>
          <w:rFonts w:hint="eastAsia" w:ascii="Times New Roman" w:hAnsi="Times New Roman" w:eastAsia="宋体" w:cs="Times New Roman"/>
          <w:color w:val="auto"/>
          <w:szCs w:val="21"/>
          <w:highlight w:val="none"/>
          <w:lang w:val="en-US" w:eastAsia="zh-CN" w:bidi="ar"/>
        </w:rPr>
        <w:t>3</w:t>
      </w:r>
      <w:r>
        <w:rPr>
          <w:rFonts w:hint="eastAsia" w:ascii="Times New Roman" w:hAnsi="Times New Roman" w:eastAsia="宋体" w:cs="宋体"/>
          <w:color w:val="auto"/>
          <w:szCs w:val="21"/>
          <w:highlight w:val="none"/>
          <w:lang w:bidi="ar"/>
        </w:rPr>
        <w:t>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p>
    <w:p w14:paraId="3D4D1465">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5.3.1</w:t>
      </w:r>
      <w:r>
        <w:rPr>
          <w:rFonts w:ascii="Times New Roman" w:hAnsi="Times New Roman" w:eastAsia="宋体" w:cs="Times New Roman"/>
          <w:color w:val="auto"/>
          <w:szCs w:val="21"/>
          <w:highlight w:val="none"/>
        </w:rPr>
        <w:t>应以审慎态度避免泄漏、公开或传播甲方的信息；</w:t>
      </w:r>
    </w:p>
    <w:p w14:paraId="0D2DAA24">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5.3.2</w:t>
      </w:r>
      <w:r>
        <w:rPr>
          <w:rFonts w:ascii="Times New Roman" w:hAnsi="Times New Roman" w:eastAsia="宋体" w:cs="Times New Roman"/>
          <w:color w:val="auto"/>
          <w:szCs w:val="21"/>
          <w:highlight w:val="none"/>
        </w:rPr>
        <w:t>在开发过程中对数据的处理方式应事先得到甲方的许可；</w:t>
      </w:r>
    </w:p>
    <w:p w14:paraId="74B798E7">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5.3.3</w:t>
      </w:r>
      <w:r>
        <w:rPr>
          <w:rFonts w:ascii="Times New Roman" w:hAnsi="Times New Roman" w:eastAsia="宋体" w:cs="Times New Roman"/>
          <w:color w:val="auto"/>
          <w:szCs w:val="21"/>
          <w:highlight w:val="none"/>
        </w:rPr>
        <w:t>未经甲方书面许可，不得对有关信息进行修改、补充、复制；</w:t>
      </w:r>
    </w:p>
    <w:p w14:paraId="001AF7B7">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5.3.4</w:t>
      </w:r>
      <w:r>
        <w:rPr>
          <w:rFonts w:ascii="Times New Roman" w:hAnsi="Times New Roman" w:eastAsia="宋体" w:cs="Times New Roman"/>
          <w:color w:val="auto"/>
          <w:szCs w:val="21"/>
          <w:highlight w:val="none"/>
        </w:rPr>
        <w:t>未经甲方书面许可，不得将信息以任何方式（如E-mail）携带出甲方场所；</w:t>
      </w:r>
    </w:p>
    <w:p w14:paraId="3D2995C4">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5.3.5</w:t>
      </w:r>
      <w:r>
        <w:rPr>
          <w:rFonts w:ascii="Times New Roman" w:hAnsi="Times New Roman" w:eastAsia="宋体" w:cs="Times New Roman"/>
          <w:color w:val="auto"/>
          <w:szCs w:val="21"/>
          <w:highlight w:val="none"/>
        </w:rPr>
        <w:t xml:space="preserve">未经甲方书面许可，不得将信息透露给任何其他人； </w:t>
      </w:r>
    </w:p>
    <w:p w14:paraId="7CC3B6C9">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5.3.6</w:t>
      </w:r>
      <w:r>
        <w:rPr>
          <w:rFonts w:ascii="Times New Roman" w:hAnsi="Times New Roman" w:eastAsia="宋体" w:cs="Times New Roman"/>
          <w:color w:val="auto"/>
          <w:szCs w:val="21"/>
          <w:highlight w:val="none"/>
        </w:rPr>
        <w:t>严禁在提交的产品中设置远程维护接口和后门程序；</w:t>
      </w:r>
    </w:p>
    <w:p w14:paraId="210A1040">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5.3.7</w:t>
      </w:r>
      <w:r>
        <w:rPr>
          <w:rFonts w:ascii="Times New Roman" w:hAnsi="Times New Roman" w:eastAsia="宋体" w:cs="Times New Roman"/>
          <w:color w:val="auto"/>
          <w:szCs w:val="21"/>
          <w:highlight w:val="none"/>
        </w:rPr>
        <w:t>不得进行系统软硬件设备的远程维护；</w:t>
      </w:r>
    </w:p>
    <w:p w14:paraId="5230173D">
      <w:pPr>
        <w:spacing w:line="360" w:lineRule="auto"/>
        <w:ind w:firstLine="420" w:firstLineChars="200"/>
        <w:rPr>
          <w:color w:val="auto"/>
          <w:highlight w:val="none"/>
        </w:rPr>
      </w:pPr>
      <w:r>
        <w:rPr>
          <w:rFonts w:hint="eastAsia" w:ascii="Times New Roman" w:hAnsi="Times New Roman" w:eastAsia="宋体" w:cs="Times New Roman"/>
          <w:color w:val="auto"/>
          <w:szCs w:val="21"/>
          <w:highlight w:val="none"/>
          <w:lang w:val="en-US" w:eastAsia="zh-CN"/>
        </w:rPr>
        <w:t>5.3.8</w:t>
      </w:r>
      <w:r>
        <w:rPr>
          <w:rFonts w:ascii="Times New Roman" w:hAnsi="Times New Roman" w:eastAsia="宋体" w:cs="Times New Roman"/>
          <w:color w:val="auto"/>
          <w:szCs w:val="21"/>
          <w:highlight w:val="none"/>
        </w:rPr>
        <w:t>甲方以书面形式提出的其他保密措施。</w:t>
      </w:r>
    </w:p>
    <w:p w14:paraId="7ED92A7F">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5.</w:t>
      </w:r>
      <w:r>
        <w:rPr>
          <w:rFonts w:hint="eastAsia" w:ascii="Times New Roman" w:hAnsi="Times New Roman" w:eastAsia="宋体" w:cs="Times New Roman"/>
          <w:color w:val="auto"/>
          <w:szCs w:val="21"/>
          <w:highlight w:val="none"/>
          <w:lang w:val="en-US" w:eastAsia="zh-CN" w:bidi="ar"/>
        </w:rPr>
        <w:t>4</w:t>
      </w:r>
      <w:r>
        <w:rPr>
          <w:rFonts w:hint="eastAsia" w:ascii="Times New Roman" w:hAnsi="Times New Roman" w:eastAsia="宋体" w:cs="宋体"/>
          <w:color w:val="auto"/>
          <w:szCs w:val="21"/>
          <w:highlight w:val="none"/>
          <w:lang w:bidi="ar"/>
        </w:rPr>
        <w:t>保密期限不受合同有效期的限制，在合同有效期结束后，信息接受方仍应承担保密义务，直至该等信息成为公开信息。</w:t>
      </w:r>
    </w:p>
    <w:p w14:paraId="611F85F0">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5.</w:t>
      </w:r>
      <w:r>
        <w:rPr>
          <w:rFonts w:hint="eastAsia" w:ascii="Times New Roman" w:hAnsi="Times New Roman" w:eastAsia="宋体" w:cs="Times New Roman"/>
          <w:color w:val="auto"/>
          <w:szCs w:val="21"/>
          <w:highlight w:val="none"/>
          <w:lang w:val="en-US" w:eastAsia="zh-CN" w:bidi="ar"/>
        </w:rPr>
        <w:t>5</w:t>
      </w:r>
      <w:r>
        <w:rPr>
          <w:rFonts w:hint="eastAsia" w:ascii="Times New Roman" w:hAnsi="Times New Roman" w:eastAsia="宋体" w:cs="宋体"/>
          <w:color w:val="auto"/>
          <w:szCs w:val="21"/>
          <w:highlight w:val="none"/>
          <w:lang w:bidi="ar"/>
        </w:rPr>
        <w:t>甲乙双方如出现泄密行为，泄密方应承担相关的法律责任，包括但不限于对由此给对方造成的经济损失进行赔偿。</w:t>
      </w:r>
    </w:p>
    <w:p w14:paraId="4ECDC67A">
      <w:pPr>
        <w:spacing w:line="360" w:lineRule="auto"/>
        <w:ind w:firstLine="422" w:firstLineChars="200"/>
        <w:rPr>
          <w:rFonts w:hint="eastAsia" w:ascii="Times New Roman" w:hAnsi="Times New Roman" w:eastAsia="宋体" w:cs="宋体"/>
          <w:b/>
          <w:color w:val="auto"/>
          <w:szCs w:val="21"/>
          <w:highlight w:val="none"/>
          <w:lang w:bidi="ar"/>
        </w:rPr>
      </w:pPr>
      <w:r>
        <w:rPr>
          <w:rFonts w:hint="eastAsia" w:ascii="Times New Roman" w:hAnsi="Times New Roman" w:eastAsia="宋体" w:cs="宋体"/>
          <w:b/>
          <w:color w:val="auto"/>
          <w:szCs w:val="21"/>
          <w:highlight w:val="none"/>
          <w:lang w:bidi="ar"/>
        </w:rPr>
        <w:t>6.服务质效保证</w:t>
      </w:r>
    </w:p>
    <w:p w14:paraId="339D19E3">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6.1</w:t>
      </w:r>
      <w:r>
        <w:rPr>
          <w:rFonts w:hint="eastAsia" w:ascii="Times New Roman" w:hAnsi="Times New Roman" w:eastAsia="宋体" w:cs="宋体"/>
          <w:color w:val="auto"/>
          <w:szCs w:val="21"/>
          <w:highlight w:val="none"/>
          <w:lang w:bidi="ar"/>
        </w:rPr>
        <w:t>乙方应保证所提供的服务，符合合同规定的技术要求。如不符时，乙方应负全责并尽快处理解决，由此造成的损失和相关费用由乙方负责，甲方保留解除合同及索赔的权利。</w:t>
      </w:r>
    </w:p>
    <w:p w14:paraId="37180014">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6.2</w:t>
      </w:r>
      <w:r>
        <w:rPr>
          <w:rFonts w:hint="eastAsia" w:ascii="Times New Roman" w:hAnsi="Times New Roman" w:eastAsia="宋体" w:cs="宋体"/>
          <w:color w:val="auto"/>
          <w:szCs w:val="21"/>
          <w:highlight w:val="none"/>
          <w:lang w:bidi="ar"/>
        </w:rPr>
        <w:t>乙方应保证通过执行合同中全部方案后，可以取得本合同规定的结果，达到本合同规定的预期目标。对任何情况下出现问题的，应尽快提出解决方案。</w:t>
      </w:r>
    </w:p>
    <w:p w14:paraId="453A5947">
      <w:pPr>
        <w:spacing w:line="360" w:lineRule="auto"/>
        <w:ind w:firstLine="420" w:firstLineChars="200"/>
        <w:rPr>
          <w:rFonts w:hint="eastAsia" w:ascii="Times New Roman" w:hAnsi="Times New Roman" w:eastAsia="宋体" w:cs="宋体"/>
          <w:color w:val="auto"/>
          <w:szCs w:val="21"/>
          <w:highlight w:val="none"/>
          <w:lang w:bidi="ar"/>
        </w:rPr>
      </w:pPr>
      <w:r>
        <w:rPr>
          <w:rFonts w:ascii="Times New Roman" w:hAnsi="Times New Roman" w:eastAsia="宋体" w:cs="Times New Roman"/>
          <w:color w:val="auto"/>
          <w:szCs w:val="21"/>
          <w:highlight w:val="none"/>
          <w:lang w:bidi="ar"/>
        </w:rPr>
        <w:t>6.3</w:t>
      </w:r>
      <w:r>
        <w:rPr>
          <w:rFonts w:hint="eastAsia" w:ascii="Times New Roman" w:hAnsi="Times New Roman" w:eastAsia="宋体" w:cs="宋体"/>
          <w:color w:val="auto"/>
          <w:szCs w:val="21"/>
          <w:highlight w:val="none"/>
          <w:lang w:bidi="ar"/>
        </w:rPr>
        <w:t>如果乙方提供的服务和解决方案不符合甲方要求，或在规定的时间内没有弥补缺陷，甲方有权采取一切必要的补救措施，由此产生的费用全部由乙方负责</w:t>
      </w:r>
      <w:r>
        <w:rPr>
          <w:rFonts w:hint="eastAsia" w:ascii="Times New Roman" w:hAnsi="Times New Roman" w:cs="宋体"/>
          <w:color w:val="auto"/>
          <w:szCs w:val="21"/>
          <w:highlight w:val="none"/>
          <w:lang w:val="en-US" w:eastAsia="zh-CN" w:bidi="ar"/>
        </w:rPr>
        <w:t>承担</w:t>
      </w:r>
      <w:r>
        <w:rPr>
          <w:rFonts w:hint="eastAsia" w:ascii="Times New Roman" w:hAnsi="Times New Roman" w:eastAsia="宋体" w:cs="宋体"/>
          <w:color w:val="auto"/>
          <w:szCs w:val="21"/>
          <w:highlight w:val="none"/>
          <w:lang w:bidi="ar"/>
        </w:rPr>
        <w:t>。</w:t>
      </w:r>
    </w:p>
    <w:p w14:paraId="7D8E59EF">
      <w:pPr>
        <w:spacing w:line="360" w:lineRule="auto"/>
        <w:ind w:firstLine="420" w:firstLineChars="200"/>
        <w:rPr>
          <w:rFonts w:hint="eastAsia" w:ascii="Times New Roman" w:hAnsi="Times New Roman" w:eastAsia="宋体" w:cs="Times New Roman"/>
          <w:color w:val="auto"/>
          <w:szCs w:val="21"/>
          <w:highlight w:val="none"/>
          <w:lang w:eastAsia="zh-CN" w:bidi="ar"/>
        </w:rPr>
      </w:pPr>
      <w:r>
        <w:rPr>
          <w:rFonts w:hint="eastAsia" w:ascii="Times New Roman" w:hAnsi="Times New Roman" w:eastAsia="宋体" w:cs="Times New Roman"/>
          <w:color w:val="auto"/>
          <w:szCs w:val="21"/>
          <w:highlight w:val="none"/>
          <w:lang w:val="en-US" w:eastAsia="zh-CN" w:bidi="ar"/>
        </w:rPr>
        <w:t>6.4</w:t>
      </w:r>
      <w:r>
        <w:rPr>
          <w:rFonts w:hint="eastAsia" w:ascii="Times New Roman" w:hAnsi="Times New Roman" w:eastAsia="宋体" w:cs="Times New Roman"/>
          <w:color w:val="auto"/>
          <w:szCs w:val="21"/>
          <w:highlight w:val="none"/>
          <w:lang w:eastAsia="zh-CN" w:bidi="ar"/>
        </w:rPr>
        <w:t>供应链安全管理要求</w:t>
      </w:r>
    </w:p>
    <w:p w14:paraId="3ACD45E5">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eastAsia="宋体" w:cs="Times New Roman"/>
          <w:color w:val="auto"/>
          <w:szCs w:val="21"/>
          <w:highlight w:val="none"/>
          <w:lang w:val="en-US" w:eastAsia="zh-CN" w:bidi="ar"/>
        </w:rPr>
        <w:t>6.4.1人员资格要求</w:t>
      </w:r>
    </w:p>
    <w:p w14:paraId="716CA700">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eastAsia="宋体" w:cs="Times New Roman"/>
          <w:color w:val="auto"/>
          <w:szCs w:val="21"/>
          <w:highlight w:val="none"/>
          <w:lang w:val="en-US" w:eastAsia="zh-CN" w:bidi="ar"/>
        </w:rPr>
        <w:t>6.4.1.1签订承诺书。乙方应严格落实国家税务总局网络安全和保密管理要求，承担技术支持人员的网络安全和保密管理责任，按甲方要求签订协议和承诺书。</w:t>
      </w:r>
    </w:p>
    <w:p w14:paraId="0621E928">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eastAsia="宋体" w:cs="Times New Roman"/>
          <w:color w:val="auto"/>
          <w:szCs w:val="21"/>
          <w:highlight w:val="none"/>
          <w:lang w:val="en-US" w:eastAsia="zh-CN" w:bidi="ar"/>
        </w:rPr>
        <w:t>6.4.1.2开展背景审查。乙方承担技术支持人员背景审查工作，提供其身份证明、履历、家庭成员及主要社会关系、无犯罪记录证明等材料，并提交甲方进行备案。</w:t>
      </w:r>
    </w:p>
    <w:p w14:paraId="7AC07D76">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eastAsia="宋体" w:cs="Times New Roman"/>
          <w:color w:val="auto"/>
          <w:szCs w:val="21"/>
          <w:highlight w:val="none"/>
          <w:lang w:val="en-US" w:eastAsia="zh-CN" w:bidi="ar"/>
        </w:rPr>
        <w:t>6.4.1.3设置网络安全负责人（由驻场运维人员兼任）。乙方为本项目配备一名网络安全负责人，该负责人具备独立决策能力并保持相对稳定，在项目实施的全过程负责网络安全工作，组织落实各项网络安全要求。</w:t>
      </w:r>
    </w:p>
    <w:p w14:paraId="06D1DDE2">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eastAsia="宋体" w:cs="Times New Roman"/>
          <w:color w:val="auto"/>
          <w:szCs w:val="21"/>
          <w:highlight w:val="none"/>
          <w:lang w:val="en-US" w:eastAsia="zh-CN" w:bidi="ar"/>
        </w:rPr>
        <w:t>6.4.2日常行为规范要求</w:t>
      </w:r>
    </w:p>
    <w:p w14:paraId="6772E230">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eastAsia="宋体" w:cs="Times New Roman"/>
          <w:color w:val="auto"/>
          <w:szCs w:val="21"/>
          <w:highlight w:val="none"/>
          <w:lang w:val="en-US" w:eastAsia="zh-CN" w:bidi="ar"/>
        </w:rPr>
        <w:t>6.4.2.1工作能力要求。乙方负责对技术支持人员进行资格条件、工作胜任力以及网络安全能力评估，对技术支持人员承担的工作进行安全保密风险分析，明确技术支持人员工作范围和边界，重点防范设备和资料失窃、误操作导致的软硬件故障、工作秘密和税费数据等信息泄露、信息系统越权访问和网络攻击等风险。</w:t>
      </w:r>
    </w:p>
    <w:p w14:paraId="5F4A72D8">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eastAsia="宋体" w:cs="Times New Roman"/>
          <w:color w:val="auto"/>
          <w:szCs w:val="21"/>
          <w:highlight w:val="none"/>
          <w:lang w:val="en-US" w:eastAsia="zh-CN" w:bidi="ar"/>
        </w:rPr>
        <w:t>6.4.2.2教育培训要求。乙方负责对技术支持人员进行网络和数据安全法律法规、网络安全意识、网络安全管理、网络安全技能、保密意识以及网络安全警示教育等培训，上岗前对其进行考核</w:t>
      </w:r>
      <w:r>
        <w:rPr>
          <w:rFonts w:hint="eastAsia" w:ascii="Times New Roman" w:hAnsi="Times New Roman" w:cs="Times New Roman"/>
          <w:color w:val="auto"/>
          <w:szCs w:val="21"/>
          <w:highlight w:val="none"/>
          <w:lang w:val="en-US" w:eastAsia="zh-CN" w:bidi="ar"/>
        </w:rPr>
        <w:t>，</w:t>
      </w:r>
      <w:r>
        <w:rPr>
          <w:rFonts w:hint="eastAsia" w:ascii="Times New Roman" w:hAnsi="Times New Roman" w:eastAsia="宋体" w:cs="Times New Roman"/>
          <w:color w:val="auto"/>
          <w:szCs w:val="21"/>
          <w:highlight w:val="none"/>
          <w:lang w:val="en-US" w:eastAsia="zh-CN" w:bidi="ar"/>
        </w:rPr>
        <w:t>视安全事件严重情况按合同总金额的20%-30%的比例进行扣减服务费。</w:t>
      </w:r>
    </w:p>
    <w:p w14:paraId="0658A6E3">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eastAsia="宋体" w:cs="Times New Roman"/>
          <w:color w:val="auto"/>
          <w:szCs w:val="21"/>
          <w:highlight w:val="none"/>
          <w:lang w:val="en-US" w:eastAsia="zh-CN" w:bidi="ar"/>
        </w:rPr>
        <w:t>6.4.3违约惩戒措施</w:t>
      </w:r>
    </w:p>
    <w:p w14:paraId="2DD160F0">
      <w:pPr>
        <w:spacing w:line="360" w:lineRule="auto"/>
        <w:ind w:firstLine="420" w:firstLineChars="200"/>
        <w:rPr>
          <w:rFonts w:hint="eastAsia" w:ascii="Times New Roman" w:hAnsi="Times New Roman" w:eastAsia="宋体" w:cs="Times New Roman"/>
          <w:color w:val="auto"/>
          <w:szCs w:val="21"/>
          <w:highlight w:val="none"/>
          <w:lang w:val="en-US" w:eastAsia="zh-CN" w:bidi="ar"/>
        </w:rPr>
      </w:pPr>
      <w:r>
        <w:rPr>
          <w:rFonts w:hint="eastAsia" w:ascii="Times New Roman" w:hAnsi="Times New Roman" w:cs="Times New Roman"/>
          <w:color w:val="auto"/>
          <w:szCs w:val="21"/>
          <w:highlight w:val="none"/>
          <w:lang w:val="en-US" w:eastAsia="zh-CN" w:bidi="ar"/>
        </w:rPr>
        <w:t>乙方</w:t>
      </w:r>
      <w:r>
        <w:rPr>
          <w:rFonts w:hint="eastAsia" w:ascii="Times New Roman" w:hAnsi="Times New Roman" w:eastAsia="宋体" w:cs="Times New Roman"/>
          <w:color w:val="auto"/>
          <w:szCs w:val="21"/>
          <w:highlight w:val="none"/>
          <w:lang w:val="en-US" w:eastAsia="zh-CN" w:bidi="ar"/>
        </w:rPr>
        <w:t>对供应链安全管理责任落实不到位，造成安全事件或产生不良影响的，</w:t>
      </w:r>
      <w:r>
        <w:rPr>
          <w:rFonts w:hint="eastAsia" w:ascii="Times New Roman" w:hAnsi="Times New Roman" w:cs="Times New Roman"/>
          <w:color w:val="auto"/>
          <w:szCs w:val="21"/>
          <w:highlight w:val="none"/>
          <w:lang w:val="en-US" w:eastAsia="zh-CN" w:bidi="ar"/>
        </w:rPr>
        <w:t>甲方</w:t>
      </w:r>
      <w:r>
        <w:rPr>
          <w:rFonts w:hint="eastAsia" w:ascii="Times New Roman" w:hAnsi="Times New Roman" w:eastAsia="宋体" w:cs="Times New Roman"/>
          <w:color w:val="auto"/>
          <w:szCs w:val="21"/>
          <w:highlight w:val="none"/>
          <w:lang w:val="en-US" w:eastAsia="zh-CN" w:bidi="ar"/>
        </w:rPr>
        <w:t>按照法律法规及合同约定进行处理。</w:t>
      </w:r>
    </w:p>
    <w:p w14:paraId="48F62243">
      <w:pPr>
        <w:spacing w:line="360" w:lineRule="auto"/>
        <w:ind w:firstLine="420" w:firstLineChars="200"/>
        <w:rPr>
          <w:rFonts w:hint="eastAsia" w:ascii="Times New Roman" w:hAnsi="Times New Roman" w:eastAsia="宋体" w:cs="Times New Roman"/>
          <w:color w:val="auto"/>
          <w:szCs w:val="21"/>
          <w:highlight w:val="none"/>
          <w:lang w:eastAsia="zh-CN" w:bidi="ar"/>
        </w:rPr>
      </w:pPr>
      <w:r>
        <w:rPr>
          <w:rFonts w:hint="eastAsia" w:ascii="Times New Roman" w:hAnsi="Times New Roman" w:eastAsia="宋体" w:cs="Times New Roman"/>
          <w:color w:val="auto"/>
          <w:szCs w:val="21"/>
          <w:highlight w:val="none"/>
          <w:lang w:val="en-US" w:eastAsia="zh-CN" w:bidi="ar"/>
        </w:rPr>
        <w:t>6.5</w:t>
      </w:r>
      <w:r>
        <w:rPr>
          <w:rFonts w:hint="eastAsia" w:ascii="Times New Roman" w:hAnsi="Times New Roman" w:eastAsia="宋体" w:cs="Times New Roman"/>
          <w:color w:val="auto"/>
          <w:szCs w:val="21"/>
          <w:highlight w:val="none"/>
          <w:lang w:val="zh-CN" w:eastAsia="zh-CN" w:bidi="ar"/>
        </w:rPr>
        <w:t>网络安全和数据安全</w:t>
      </w:r>
      <w:r>
        <w:rPr>
          <w:rFonts w:hint="eastAsia" w:ascii="Times New Roman" w:hAnsi="Times New Roman" w:eastAsia="宋体" w:cs="Times New Roman"/>
          <w:color w:val="auto"/>
          <w:szCs w:val="21"/>
          <w:highlight w:val="none"/>
          <w:lang w:eastAsia="zh-CN" w:bidi="ar"/>
        </w:rPr>
        <w:t>管理要求</w:t>
      </w:r>
    </w:p>
    <w:p w14:paraId="3F55F55E">
      <w:pPr>
        <w:spacing w:line="360" w:lineRule="auto"/>
        <w:ind w:firstLine="420" w:firstLineChars="200"/>
        <w:rPr>
          <w:rFonts w:hint="eastAsia" w:ascii="Times New Roman" w:hAnsi="Times New Roman" w:eastAsia="宋体" w:cs="Times New Roman"/>
          <w:color w:val="auto"/>
          <w:szCs w:val="21"/>
          <w:highlight w:val="none"/>
          <w:lang w:val="zh-CN" w:eastAsia="zh-CN" w:bidi="ar"/>
        </w:rPr>
      </w:pPr>
      <w:r>
        <w:rPr>
          <w:rFonts w:hint="eastAsia" w:ascii="Times New Roman" w:hAnsi="Times New Roman" w:eastAsia="宋体" w:cs="Times New Roman"/>
          <w:color w:val="auto"/>
          <w:szCs w:val="21"/>
          <w:highlight w:val="none"/>
          <w:lang w:eastAsia="zh-CN" w:bidi="ar"/>
        </w:rPr>
        <w:t>乙方投入的项目人员</w:t>
      </w:r>
      <w:r>
        <w:rPr>
          <w:rFonts w:hint="eastAsia" w:ascii="Times New Roman" w:hAnsi="Times New Roman" w:eastAsia="宋体" w:cs="Times New Roman"/>
          <w:color w:val="auto"/>
          <w:szCs w:val="21"/>
          <w:highlight w:val="none"/>
          <w:lang w:val="zh-CN" w:eastAsia="zh-CN" w:bidi="ar"/>
        </w:rPr>
        <w:t>在合同期间应严格按甲方的网络安全和数据安全相关规定开展工作，由于</w:t>
      </w:r>
      <w:r>
        <w:rPr>
          <w:rFonts w:hint="eastAsia" w:ascii="Times New Roman" w:hAnsi="Times New Roman" w:eastAsia="宋体" w:cs="Times New Roman"/>
          <w:color w:val="auto"/>
          <w:szCs w:val="21"/>
          <w:highlight w:val="none"/>
          <w:lang w:eastAsia="zh-CN" w:bidi="ar"/>
        </w:rPr>
        <w:t>乙方投入的项目人员</w:t>
      </w:r>
      <w:r>
        <w:rPr>
          <w:rFonts w:hint="eastAsia" w:ascii="Times New Roman" w:hAnsi="Times New Roman" w:eastAsia="宋体" w:cs="Times New Roman"/>
          <w:color w:val="auto"/>
          <w:szCs w:val="21"/>
          <w:highlight w:val="none"/>
          <w:lang w:val="zh-CN" w:eastAsia="zh-CN" w:bidi="ar"/>
        </w:rPr>
        <w:t>网络安全工作落实不到位引发安全事件的，甲方将视安全事件严重情况按合同</w:t>
      </w:r>
      <w:r>
        <w:rPr>
          <w:rFonts w:hint="eastAsia" w:ascii="Times New Roman" w:hAnsi="Times New Roman" w:eastAsia="宋体" w:cs="Times New Roman"/>
          <w:color w:val="auto"/>
          <w:szCs w:val="21"/>
          <w:highlight w:val="none"/>
          <w:lang w:eastAsia="zh-CN" w:bidi="ar"/>
        </w:rPr>
        <w:t>总金额</w:t>
      </w:r>
      <w:r>
        <w:rPr>
          <w:rFonts w:hint="eastAsia" w:ascii="Times New Roman" w:hAnsi="Times New Roman" w:eastAsia="宋体" w:cs="Times New Roman"/>
          <w:color w:val="auto"/>
          <w:szCs w:val="21"/>
          <w:highlight w:val="none"/>
          <w:lang w:val="zh-CN" w:eastAsia="zh-CN" w:bidi="ar"/>
        </w:rPr>
        <w:t>的20%-30%的比例进行扣减。</w:t>
      </w:r>
    </w:p>
    <w:p w14:paraId="092E254C">
      <w:pPr>
        <w:spacing w:line="360" w:lineRule="auto"/>
        <w:ind w:firstLine="420" w:firstLineChars="200"/>
        <w:rPr>
          <w:rFonts w:hint="eastAsia" w:ascii="Times New Roman" w:hAnsi="Times New Roman" w:eastAsia="宋体" w:cs="Times New Roman"/>
          <w:color w:val="auto"/>
          <w:szCs w:val="21"/>
          <w:highlight w:val="none"/>
          <w:lang w:val="zh-CN" w:eastAsia="zh-CN" w:bidi="ar"/>
        </w:rPr>
      </w:pPr>
      <w:r>
        <w:rPr>
          <w:rFonts w:hint="eastAsia" w:ascii="Times New Roman" w:hAnsi="Times New Roman" w:eastAsia="宋体" w:cs="Times New Roman"/>
          <w:color w:val="auto"/>
          <w:szCs w:val="21"/>
          <w:highlight w:val="none"/>
          <w:lang w:val="zh-CN" w:eastAsia="zh-CN" w:bidi="ar"/>
        </w:rPr>
        <w:t>安全事件具体内容主要包括(但不限于)以下内容：</w:t>
      </w:r>
    </w:p>
    <w:p w14:paraId="053F31D5">
      <w:pPr>
        <w:spacing w:line="360" w:lineRule="auto"/>
        <w:ind w:firstLine="420" w:firstLineChars="200"/>
        <w:rPr>
          <w:rFonts w:hint="eastAsia" w:ascii="Times New Roman" w:hAnsi="Times New Roman" w:eastAsia="宋体" w:cs="Times New Roman"/>
          <w:color w:val="auto"/>
          <w:szCs w:val="21"/>
          <w:highlight w:val="none"/>
          <w:lang w:val="zh-CN" w:eastAsia="zh-CN" w:bidi="ar"/>
        </w:rPr>
      </w:pPr>
      <w:r>
        <w:rPr>
          <w:rFonts w:hint="eastAsia" w:ascii="Times New Roman" w:hAnsi="Times New Roman" w:eastAsia="宋体" w:cs="Times New Roman"/>
          <w:color w:val="auto"/>
          <w:szCs w:val="21"/>
          <w:highlight w:val="none"/>
          <w:lang w:val="en-US" w:eastAsia="zh-CN" w:bidi="ar"/>
        </w:rPr>
        <w:t>6.5.1</w:t>
      </w:r>
      <w:r>
        <w:rPr>
          <w:rFonts w:hint="eastAsia" w:ascii="Times New Roman" w:hAnsi="Times New Roman" w:eastAsia="宋体" w:cs="Times New Roman"/>
          <w:color w:val="auto"/>
          <w:szCs w:val="21"/>
          <w:highlight w:val="none"/>
          <w:lang w:val="zh-CN" w:eastAsia="zh-CN" w:bidi="ar"/>
        </w:rPr>
        <w:t>因补丁升级、漏洞修复、系统杀毒、数据备份等工作未落实到位，发生服务器被控制和应用系统被攻破的安全事件，被主管部门通报的。</w:t>
      </w:r>
    </w:p>
    <w:p w14:paraId="37993CDE">
      <w:pPr>
        <w:spacing w:line="360" w:lineRule="auto"/>
        <w:ind w:firstLine="420" w:firstLineChars="200"/>
        <w:rPr>
          <w:rFonts w:hint="eastAsia" w:ascii="Times New Roman" w:hAnsi="Times New Roman" w:eastAsia="宋体" w:cs="Times New Roman"/>
          <w:color w:val="auto"/>
          <w:szCs w:val="21"/>
          <w:highlight w:val="none"/>
          <w:lang w:val="zh-CN" w:eastAsia="zh-CN" w:bidi="ar"/>
        </w:rPr>
      </w:pPr>
      <w:r>
        <w:rPr>
          <w:rFonts w:hint="eastAsia" w:ascii="Times New Roman" w:hAnsi="Times New Roman" w:eastAsia="宋体" w:cs="Times New Roman"/>
          <w:color w:val="auto"/>
          <w:szCs w:val="21"/>
          <w:highlight w:val="none"/>
          <w:lang w:val="en-US" w:eastAsia="zh-CN" w:bidi="ar"/>
        </w:rPr>
        <w:t>6.5.2</w:t>
      </w:r>
      <w:r>
        <w:rPr>
          <w:rFonts w:hint="eastAsia" w:ascii="Times New Roman" w:hAnsi="Times New Roman" w:eastAsia="宋体" w:cs="Times New Roman"/>
          <w:color w:val="auto"/>
          <w:szCs w:val="21"/>
          <w:highlight w:val="none"/>
          <w:lang w:val="zh-CN" w:eastAsia="zh-CN" w:bidi="ar"/>
        </w:rPr>
        <w:t>因违规进行税费数据查询、导出和拷出等操作造成敏感数据泄漏，以及发生非法窃取数据行为。</w:t>
      </w:r>
    </w:p>
    <w:p w14:paraId="20BA88D3">
      <w:pPr>
        <w:spacing w:line="360" w:lineRule="auto"/>
        <w:ind w:firstLine="420" w:firstLineChars="200"/>
        <w:rPr>
          <w:rFonts w:hint="eastAsia" w:ascii="Times New Roman" w:hAnsi="Times New Roman" w:eastAsia="宋体" w:cs="Times New Roman"/>
          <w:color w:val="auto"/>
          <w:szCs w:val="21"/>
          <w:highlight w:val="none"/>
          <w:lang w:val="zh-CN" w:eastAsia="zh-CN" w:bidi="ar"/>
        </w:rPr>
      </w:pPr>
      <w:r>
        <w:rPr>
          <w:rFonts w:hint="eastAsia" w:ascii="Times New Roman" w:hAnsi="Times New Roman" w:eastAsia="宋体" w:cs="Times New Roman"/>
          <w:color w:val="auto"/>
          <w:szCs w:val="21"/>
          <w:highlight w:val="none"/>
          <w:lang w:val="en-US" w:eastAsia="zh-CN" w:bidi="ar"/>
        </w:rPr>
        <w:t>6.5.3</w:t>
      </w:r>
      <w:r>
        <w:rPr>
          <w:rFonts w:hint="eastAsia" w:ascii="Times New Roman" w:hAnsi="Times New Roman" w:eastAsia="宋体" w:cs="Times New Roman"/>
          <w:color w:val="auto"/>
          <w:szCs w:val="21"/>
          <w:highlight w:val="none"/>
          <w:lang w:val="zh-CN" w:eastAsia="zh-CN" w:bidi="ar"/>
        </w:rPr>
        <w:t>因运维操作处置不当导致重要应用系统发生严重卡顿、停用</w:t>
      </w:r>
      <w:r>
        <w:rPr>
          <w:rFonts w:hint="eastAsia" w:ascii="Times New Roman" w:hAnsi="Times New Roman" w:cs="Times New Roman"/>
          <w:color w:val="auto"/>
          <w:szCs w:val="21"/>
          <w:highlight w:val="none"/>
          <w:lang w:val="en-US" w:eastAsia="zh-CN" w:bidi="ar"/>
        </w:rPr>
        <w:t>等</w:t>
      </w:r>
      <w:r>
        <w:rPr>
          <w:rFonts w:hint="eastAsia" w:ascii="Times New Roman" w:hAnsi="Times New Roman" w:eastAsia="宋体" w:cs="Times New Roman"/>
          <w:color w:val="auto"/>
          <w:szCs w:val="21"/>
          <w:highlight w:val="none"/>
          <w:lang w:val="zh-CN" w:eastAsia="zh-CN" w:bidi="ar"/>
        </w:rPr>
        <w:t>重大事件。</w:t>
      </w:r>
    </w:p>
    <w:p w14:paraId="6E622627">
      <w:pPr>
        <w:spacing w:line="360" w:lineRule="auto"/>
        <w:ind w:firstLine="420" w:firstLineChars="200"/>
        <w:rPr>
          <w:rFonts w:hint="eastAsia" w:ascii="Times New Roman" w:hAnsi="Times New Roman" w:eastAsia="宋体" w:cs="Times New Roman"/>
          <w:color w:val="auto"/>
          <w:szCs w:val="21"/>
          <w:highlight w:val="none"/>
          <w:lang w:val="zh-CN" w:eastAsia="zh-CN" w:bidi="ar"/>
        </w:rPr>
      </w:pPr>
      <w:r>
        <w:rPr>
          <w:rFonts w:hint="eastAsia" w:ascii="Times New Roman" w:hAnsi="Times New Roman" w:eastAsia="宋体" w:cs="Times New Roman"/>
          <w:color w:val="auto"/>
          <w:szCs w:val="21"/>
          <w:highlight w:val="none"/>
          <w:lang w:val="en-US" w:eastAsia="zh-CN" w:bidi="ar"/>
        </w:rPr>
        <w:t>6.6</w:t>
      </w:r>
      <w:r>
        <w:rPr>
          <w:rFonts w:hint="eastAsia" w:ascii="Times New Roman" w:hAnsi="Times New Roman" w:eastAsia="宋体" w:cs="Times New Roman"/>
          <w:color w:val="auto"/>
          <w:szCs w:val="21"/>
          <w:highlight w:val="none"/>
          <w:lang w:val="zh-CN" w:eastAsia="zh-CN" w:bidi="ar"/>
        </w:rPr>
        <w:t>罚责条款</w:t>
      </w:r>
    </w:p>
    <w:p w14:paraId="7F10D65A">
      <w:pPr>
        <w:spacing w:line="360" w:lineRule="auto"/>
        <w:ind w:firstLine="420" w:firstLineChars="200"/>
        <w:rPr>
          <w:rFonts w:hint="eastAsia" w:ascii="Times New Roman" w:hAnsi="Times New Roman" w:eastAsia="宋体" w:cs="Times New Roman"/>
          <w:color w:val="auto"/>
          <w:szCs w:val="21"/>
          <w:highlight w:val="none"/>
          <w:lang w:val="zh-CN" w:eastAsia="zh-CN" w:bidi="ar"/>
        </w:rPr>
      </w:pPr>
      <w:r>
        <w:rPr>
          <w:rFonts w:hint="eastAsia" w:ascii="Times New Roman" w:hAnsi="Times New Roman" w:eastAsia="宋体" w:cs="Times New Roman"/>
          <w:color w:val="auto"/>
          <w:szCs w:val="21"/>
          <w:highlight w:val="none"/>
          <w:lang w:val="zh-CN" w:eastAsia="zh-CN" w:bidi="ar"/>
        </w:rPr>
        <w:t>项目建设和运维过程中，因系统在对接、运行等服务中，导致其他系统受到影响的，由乙方负责组织相关服务厂商共同排查，明确问题根源、责任并报告甲方。乙方无法判定问题根源的，由</w:t>
      </w:r>
      <w:r>
        <w:rPr>
          <w:rFonts w:hint="eastAsia" w:ascii="Times New Roman" w:hAnsi="Times New Roman" w:cs="Times New Roman"/>
          <w:color w:val="auto"/>
          <w:szCs w:val="21"/>
          <w:highlight w:val="none"/>
          <w:lang w:val="en-US" w:eastAsia="zh-CN" w:bidi="ar"/>
        </w:rPr>
        <w:t>乙方</w:t>
      </w:r>
      <w:r>
        <w:rPr>
          <w:rFonts w:hint="eastAsia" w:ascii="Times New Roman" w:hAnsi="Times New Roman" w:eastAsia="宋体" w:cs="Times New Roman"/>
          <w:color w:val="auto"/>
          <w:szCs w:val="21"/>
          <w:highlight w:val="none"/>
          <w:lang w:val="zh-CN" w:eastAsia="zh-CN" w:bidi="ar"/>
        </w:rPr>
        <w:t>承担全部责任。甲方将视问题轻重、乙方责任大小等情况，按不高于合同总金额的</w:t>
      </w:r>
      <w:r>
        <w:rPr>
          <w:rFonts w:hint="eastAsia" w:ascii="Times New Roman" w:hAnsi="Times New Roman" w:eastAsia="宋体" w:cs="Times New Roman"/>
          <w:color w:val="auto"/>
          <w:szCs w:val="21"/>
          <w:highlight w:val="none"/>
          <w:lang w:val="en-US" w:eastAsia="zh-CN" w:bidi="ar"/>
        </w:rPr>
        <w:t>5</w:t>
      </w:r>
      <w:r>
        <w:rPr>
          <w:rFonts w:hint="eastAsia" w:ascii="Times New Roman" w:hAnsi="Times New Roman" w:eastAsia="宋体" w:cs="Times New Roman"/>
          <w:color w:val="auto"/>
          <w:szCs w:val="21"/>
          <w:highlight w:val="none"/>
          <w:lang w:val="zh-CN" w:eastAsia="zh-CN" w:bidi="ar"/>
        </w:rPr>
        <w:t>%的比例进行扣减</w:t>
      </w:r>
      <w:r>
        <w:rPr>
          <w:rFonts w:hint="eastAsia" w:ascii="Times New Roman" w:hAnsi="Times New Roman" w:cs="Times New Roman"/>
          <w:color w:val="auto"/>
          <w:szCs w:val="21"/>
          <w:highlight w:val="none"/>
          <w:lang w:val="en-US" w:eastAsia="zh-CN" w:bidi="ar"/>
        </w:rPr>
        <w:t>服务费</w:t>
      </w:r>
      <w:r>
        <w:rPr>
          <w:rFonts w:hint="eastAsia" w:ascii="Times New Roman" w:hAnsi="Times New Roman" w:eastAsia="宋体" w:cs="Times New Roman"/>
          <w:color w:val="auto"/>
          <w:szCs w:val="21"/>
          <w:highlight w:val="none"/>
          <w:lang w:val="zh-CN" w:eastAsia="zh-CN" w:bidi="ar"/>
        </w:rPr>
        <w:t>。</w:t>
      </w:r>
    </w:p>
    <w:p w14:paraId="36860F37">
      <w:pPr>
        <w:topLinePunct w:val="0"/>
        <w:autoSpaceDE/>
        <w:autoSpaceDN/>
        <w:spacing w:line="360" w:lineRule="auto"/>
        <w:ind w:firstLine="422" w:firstLineChars="200"/>
        <w:rPr>
          <w:rFonts w:hint="eastAsia" w:ascii="Times New Roman" w:hAnsi="Times New Roman" w:eastAsia="宋体" w:cs="宋体"/>
          <w:b/>
          <w:color w:val="auto"/>
          <w:szCs w:val="21"/>
          <w:highlight w:val="none"/>
          <w:lang w:bidi="ar"/>
        </w:rPr>
      </w:pPr>
      <w:r>
        <w:rPr>
          <w:rFonts w:hint="eastAsia" w:ascii="Times New Roman" w:hAnsi="Times New Roman" w:eastAsia="宋体" w:cs="宋体"/>
          <w:b/>
          <w:color w:val="auto"/>
          <w:szCs w:val="21"/>
          <w:highlight w:val="none"/>
          <w:lang w:bidi="ar"/>
        </w:rPr>
        <w:t>7.税收信息化项目开发和应用管理工作要求</w:t>
      </w:r>
    </w:p>
    <w:p w14:paraId="56675682">
      <w:pPr>
        <w:spacing w:line="360" w:lineRule="auto"/>
        <w:ind w:firstLine="420" w:firstLineChars="200"/>
        <w:rPr>
          <w:color w:val="auto"/>
          <w:highlight w:val="none"/>
        </w:rPr>
      </w:pPr>
      <w:r>
        <w:rPr>
          <w:rFonts w:hint="eastAsia" w:ascii="Times New Roman" w:hAnsi="Times New Roman" w:eastAsia="宋体" w:cs="宋体"/>
          <w:color w:val="auto"/>
          <w:szCs w:val="21"/>
          <w:highlight w:val="none"/>
          <w:lang w:eastAsia="zh-CN" w:bidi="ar"/>
        </w:rPr>
        <w:t>乙方</w:t>
      </w:r>
      <w:r>
        <w:rPr>
          <w:rFonts w:hint="eastAsia" w:ascii="Times New Roman" w:hAnsi="Times New Roman" w:eastAsia="宋体" w:cs="宋体"/>
          <w:color w:val="auto"/>
          <w:szCs w:val="21"/>
          <w:highlight w:val="none"/>
          <w:lang w:bidi="ar"/>
        </w:rPr>
        <w:t>在采购以及后续项目实施过程中，应</w:t>
      </w:r>
      <w:r>
        <w:rPr>
          <w:rFonts w:hint="eastAsia"/>
          <w:color w:val="auto"/>
          <w:highlight w:val="none"/>
        </w:rPr>
        <w:t>严格遵守税务总局税收信息化项目开发和应用管理工作要求。对于违反合同约定的，依据合同约定及政府采购有关规定，</w:t>
      </w:r>
      <w:r>
        <w:rPr>
          <w:rFonts w:hint="eastAsia"/>
          <w:color w:val="auto"/>
          <w:highlight w:val="none"/>
          <w:lang w:eastAsia="zh-CN"/>
        </w:rPr>
        <w:t>甲方</w:t>
      </w:r>
      <w:r>
        <w:rPr>
          <w:rFonts w:hint="eastAsia"/>
          <w:color w:val="auto"/>
          <w:highlight w:val="none"/>
        </w:rPr>
        <w:t>可采取要求限期改正、在应付合同金额中扣除违约金、解除合同等措施；对于存在严重违法失信行为的，由</w:t>
      </w:r>
      <w:r>
        <w:rPr>
          <w:rFonts w:hint="eastAsia"/>
          <w:color w:val="auto"/>
          <w:highlight w:val="none"/>
          <w:lang w:eastAsia="zh-CN"/>
        </w:rPr>
        <w:t>甲方</w:t>
      </w:r>
      <w:r>
        <w:rPr>
          <w:rFonts w:hint="eastAsia"/>
          <w:color w:val="auto"/>
          <w:highlight w:val="none"/>
        </w:rPr>
        <w:t>按规定推送财政部纳入政府采购严重违法失信行为记录名单。</w:t>
      </w:r>
    </w:p>
    <w:p w14:paraId="09FFA846">
      <w:pPr>
        <w:topLinePunct/>
        <w:autoSpaceDE w:val="0"/>
        <w:autoSpaceDN w:val="0"/>
        <w:spacing w:line="360" w:lineRule="auto"/>
        <w:ind w:firstLine="422"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bidi="ar"/>
        </w:rPr>
        <w:t>8</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履约</w:t>
      </w:r>
      <w:r>
        <w:rPr>
          <w:rFonts w:hint="eastAsia" w:ascii="Times New Roman" w:hAnsi="Times New Roman" w:eastAsia="宋体" w:cs="宋体"/>
          <w:b/>
          <w:color w:val="auto"/>
          <w:szCs w:val="21"/>
          <w:highlight w:val="none"/>
        </w:rPr>
        <w:t>验收要求</w:t>
      </w:r>
    </w:p>
    <w:p w14:paraId="4DD83510">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8</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甲方需求部门严格按照采购合同开展履约验收。验收时</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应当按照本合同约定的技术、服务和安全标准，对</w:t>
      </w:r>
      <w:r>
        <w:rPr>
          <w:rFonts w:hint="eastAsia" w:ascii="Times New Roman" w:hAnsi="Times New Roman" w:cs="宋体"/>
          <w:color w:val="auto"/>
          <w:szCs w:val="21"/>
          <w:highlight w:val="none"/>
          <w:lang w:val="en-US" w:eastAsia="zh-CN" w:bidi="ar"/>
        </w:rPr>
        <w:t>乙方</w:t>
      </w:r>
      <w:r>
        <w:rPr>
          <w:rFonts w:hint="eastAsia" w:ascii="Times New Roman" w:hAnsi="Times New Roman" w:eastAsia="宋体" w:cs="宋体"/>
          <w:color w:val="auto"/>
          <w:szCs w:val="21"/>
          <w:highlight w:val="none"/>
          <w:lang w:bidi="ar"/>
        </w:rPr>
        <w:t>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p>
    <w:p w14:paraId="1EA09DF4">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lang w:bidi="ar"/>
        </w:rPr>
        <w:t>8.2具体履约验收要求详见招标（采购）文件。</w:t>
      </w:r>
    </w:p>
    <w:p w14:paraId="60D04B74">
      <w:pPr>
        <w:tabs>
          <w:tab w:val="left" w:pos="0"/>
          <w:tab w:val="left" w:pos="540"/>
        </w:tabs>
        <w:spacing w:line="360" w:lineRule="auto"/>
        <w:ind w:firstLine="422"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bidi="ar"/>
        </w:rPr>
        <w:t>9</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履约保证金</w:t>
      </w:r>
    </w:p>
    <w:p w14:paraId="0B3C2DDB">
      <w:pPr>
        <w:tabs>
          <w:tab w:val="left" w:pos="700"/>
        </w:tabs>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9</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需提交履约保证金的项目，乙方应按照</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合同条款前附表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第</w:t>
      </w:r>
      <w:r>
        <w:rPr>
          <w:rFonts w:ascii="Times New Roman" w:hAnsi="Times New Roman" w:eastAsia="宋体" w:cs="Times New Roman"/>
          <w:color w:val="auto"/>
          <w:szCs w:val="21"/>
          <w:highlight w:val="none"/>
          <w:lang w:bidi="ar"/>
        </w:rPr>
        <w:t xml:space="preserve"> 10 </w:t>
      </w:r>
      <w:r>
        <w:rPr>
          <w:rFonts w:hint="eastAsia" w:ascii="Times New Roman" w:hAnsi="Times New Roman" w:eastAsia="宋体" w:cs="宋体"/>
          <w:color w:val="auto"/>
          <w:szCs w:val="21"/>
          <w:highlight w:val="none"/>
          <w:lang w:bidi="ar"/>
        </w:rPr>
        <w:t>项</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履约保证金及返还</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提交履约保证金。</w:t>
      </w:r>
    </w:p>
    <w:p w14:paraId="50680FA2">
      <w:pPr>
        <w:tabs>
          <w:tab w:val="left" w:pos="700"/>
        </w:tabs>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9</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履约保证金的金额可用于补偿甲方因乙方不能完成其合同义务而蒙受的损失。</w:t>
      </w:r>
    </w:p>
    <w:p w14:paraId="670127AA">
      <w:pPr>
        <w:tabs>
          <w:tab w:val="left" w:pos="700"/>
        </w:tabs>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9</w:t>
      </w:r>
      <w:r>
        <w:rPr>
          <w:rFonts w:ascii="Times New Roman" w:hAnsi="Times New Roman" w:eastAsia="宋体" w:cs="Times New Roman"/>
          <w:color w:val="auto"/>
          <w:szCs w:val="21"/>
          <w:highlight w:val="none"/>
          <w:lang w:bidi="ar"/>
        </w:rPr>
        <w:t>.3</w:t>
      </w:r>
      <w:r>
        <w:rPr>
          <w:rFonts w:hint="eastAsia" w:ascii="Times New Roman" w:hAnsi="Times New Roman" w:eastAsia="宋体" w:cs="宋体"/>
          <w:color w:val="auto"/>
          <w:szCs w:val="21"/>
          <w:highlight w:val="none"/>
          <w:lang w:bidi="ar"/>
        </w:rPr>
        <w:t>如乙方未能按时支付合同约定的违约金、赔偿金、其他应付款项等的，甲方有权按照本合同的约定从履约保证金中扣除上述款项。乙方应在甲方扣除履约保证金后</w:t>
      </w:r>
      <w:r>
        <w:rPr>
          <w:rFonts w:ascii="Times New Roman" w:hAnsi="Times New Roman" w:eastAsia="宋体" w:cs="Times New Roman"/>
          <w:color w:val="auto"/>
          <w:szCs w:val="21"/>
          <w:highlight w:val="none"/>
          <w:lang w:bidi="ar"/>
        </w:rPr>
        <w:t xml:space="preserve"> 15 </w:t>
      </w:r>
      <w:r>
        <w:rPr>
          <w:rFonts w:hint="eastAsia" w:ascii="Times New Roman" w:hAnsi="Times New Roman" w:eastAsia="宋体" w:cs="宋体"/>
          <w:color w:val="auto"/>
          <w:szCs w:val="21"/>
          <w:highlight w:val="none"/>
          <w:lang w:bidi="ar"/>
        </w:rPr>
        <w:t>天内，及时补充扣除部分金额。若逾期补充的，每日应按应补充金额的万分之五（</w:t>
      </w:r>
      <w:r>
        <w:rPr>
          <w:rFonts w:ascii="Times New Roman" w:hAnsi="Times New Roman" w:eastAsia="宋体" w:cs="Times New Roman"/>
          <w:color w:val="auto"/>
          <w:szCs w:val="21"/>
          <w:highlight w:val="none"/>
          <w:lang w:bidi="ar"/>
        </w:rPr>
        <w:t>0.05%</w:t>
      </w:r>
      <w:r>
        <w:rPr>
          <w:rFonts w:hint="eastAsia" w:ascii="Times New Roman" w:hAnsi="Times New Roman" w:eastAsia="宋体" w:cs="宋体"/>
          <w:color w:val="auto"/>
          <w:szCs w:val="21"/>
          <w:highlight w:val="none"/>
          <w:lang w:bidi="ar"/>
        </w:rPr>
        <w:t>）支付甲方违约金。</w:t>
      </w:r>
    </w:p>
    <w:p w14:paraId="6B9BAB2D">
      <w:pPr>
        <w:tabs>
          <w:tab w:val="left" w:pos="700"/>
        </w:tabs>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9</w:t>
      </w:r>
      <w:r>
        <w:rPr>
          <w:rFonts w:ascii="Times New Roman" w:hAnsi="Times New Roman" w:eastAsia="宋体" w:cs="Times New Roman"/>
          <w:color w:val="auto"/>
          <w:szCs w:val="21"/>
          <w:highlight w:val="none"/>
          <w:lang w:bidi="ar"/>
        </w:rPr>
        <w:t>.4</w:t>
      </w:r>
      <w:r>
        <w:rPr>
          <w:rFonts w:hint="eastAsia" w:ascii="Times New Roman" w:hAnsi="Times New Roman" w:eastAsia="宋体" w:cs="宋体"/>
          <w:color w:val="auto"/>
          <w:szCs w:val="21"/>
          <w:highlight w:val="none"/>
          <w:lang w:bidi="ar"/>
        </w:rPr>
        <w:t>乙方不履行合同、或者履行合同义务不符合约定使得合同目的不能实现，履约保证金不予退还，给甲方造成的损失超过履约保证金数额的，还应当对超过部分予以赔偿。</w:t>
      </w:r>
    </w:p>
    <w:p w14:paraId="1F4C25E7">
      <w:pPr>
        <w:tabs>
          <w:tab w:val="left" w:pos="700"/>
        </w:tabs>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9</w:t>
      </w:r>
      <w:r>
        <w:rPr>
          <w:rFonts w:ascii="Times New Roman" w:hAnsi="Times New Roman" w:eastAsia="宋体" w:cs="Times New Roman"/>
          <w:color w:val="auto"/>
          <w:szCs w:val="21"/>
          <w:highlight w:val="none"/>
          <w:lang w:bidi="ar"/>
        </w:rPr>
        <w:t>.5</w:t>
      </w:r>
      <w:r>
        <w:rPr>
          <w:rFonts w:hint="eastAsia" w:ascii="Times New Roman" w:hAnsi="Times New Roman" w:eastAsia="宋体" w:cs="宋体"/>
          <w:color w:val="auto"/>
          <w:szCs w:val="21"/>
          <w:highlight w:val="none"/>
          <w:lang w:bidi="ar"/>
        </w:rPr>
        <w:t>履约保证金在合同履行期满后，扣除相应款项（如有）且双方无争议后，凭返还申请等资料一次性无息返还，详见</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合同条款前附表</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第</w:t>
      </w:r>
      <w:r>
        <w:rPr>
          <w:rFonts w:ascii="Times New Roman" w:hAnsi="Times New Roman" w:eastAsia="宋体" w:cs="Times New Roman"/>
          <w:color w:val="auto"/>
          <w:szCs w:val="21"/>
          <w:highlight w:val="none"/>
          <w:lang w:bidi="ar"/>
        </w:rPr>
        <w:t>10</w:t>
      </w:r>
      <w:r>
        <w:rPr>
          <w:rFonts w:hint="eastAsia" w:ascii="Times New Roman" w:hAnsi="Times New Roman" w:eastAsia="宋体" w:cs="宋体"/>
          <w:color w:val="auto"/>
          <w:szCs w:val="21"/>
          <w:highlight w:val="none"/>
          <w:lang w:bidi="ar"/>
        </w:rPr>
        <w:t>项</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履约保证金及返还</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w:t>
      </w:r>
    </w:p>
    <w:p w14:paraId="16E5E41A">
      <w:pPr>
        <w:tabs>
          <w:tab w:val="left" w:pos="0"/>
          <w:tab w:val="left" w:pos="540"/>
        </w:tabs>
        <w:spacing w:line="360" w:lineRule="auto"/>
        <w:ind w:firstLine="422"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bidi="ar"/>
        </w:rPr>
        <w:t>10</w:t>
      </w:r>
      <w:r>
        <w:rPr>
          <w:rFonts w:hint="eastAsia" w:ascii="Times New Roman" w:hAnsi="Times New Roman" w:eastAsia="宋体" w:cs="宋体"/>
          <w:b/>
          <w:color w:val="auto"/>
          <w:szCs w:val="21"/>
          <w:highlight w:val="none"/>
          <w:lang w:bidi="ar"/>
        </w:rPr>
        <w:t>．履约延误</w:t>
      </w:r>
    </w:p>
    <w:p w14:paraId="171721E6">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10</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乙方应按照本合同的规定提供服务。</w:t>
      </w:r>
    </w:p>
    <w:p w14:paraId="0B12ECE3">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10</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如乙方迟延履行合同义务，甲方将从应付合同金额中扣除</w:t>
      </w:r>
      <w:r>
        <w:rPr>
          <w:rFonts w:hint="eastAsia" w:ascii="Times New Roman" w:hAnsi="Times New Roman" w:cs="宋体"/>
          <w:color w:val="auto"/>
          <w:szCs w:val="21"/>
          <w:highlight w:val="none"/>
          <w:lang w:eastAsia="zh-CN" w:bidi="ar"/>
        </w:rPr>
        <w:t>逾期</w:t>
      </w:r>
      <w:r>
        <w:rPr>
          <w:rFonts w:hint="eastAsia" w:ascii="Times New Roman" w:hAnsi="Times New Roman" w:eastAsia="宋体" w:cs="宋体"/>
          <w:color w:val="auto"/>
          <w:szCs w:val="21"/>
          <w:highlight w:val="none"/>
          <w:lang w:bidi="ar"/>
        </w:rPr>
        <w:t>违约金，每延误一天</w:t>
      </w:r>
      <w:r>
        <w:rPr>
          <w:rFonts w:hint="eastAsia" w:ascii="Times New Roman" w:hAnsi="Times New Roman" w:cs="宋体"/>
          <w:color w:val="auto"/>
          <w:szCs w:val="21"/>
          <w:highlight w:val="none"/>
          <w:lang w:eastAsia="zh-CN" w:bidi="ar"/>
        </w:rPr>
        <w:t>逾期</w:t>
      </w:r>
      <w:r>
        <w:rPr>
          <w:rFonts w:hint="eastAsia" w:ascii="Times New Roman" w:hAnsi="Times New Roman" w:eastAsia="宋体" w:cs="宋体"/>
          <w:color w:val="auto"/>
          <w:szCs w:val="21"/>
          <w:highlight w:val="none"/>
          <w:lang w:bidi="ar"/>
        </w:rPr>
        <w:t>违约金按合同总金额的万分之三（</w:t>
      </w:r>
      <w:r>
        <w:rPr>
          <w:rFonts w:ascii="Times New Roman" w:hAnsi="Times New Roman" w:eastAsia="宋体" w:cs="Times New Roman"/>
          <w:color w:val="auto"/>
          <w:szCs w:val="21"/>
          <w:highlight w:val="none"/>
          <w:lang w:bidi="ar"/>
        </w:rPr>
        <w:t>0.03%</w:t>
      </w:r>
      <w:r>
        <w:rPr>
          <w:rFonts w:hint="eastAsia" w:ascii="Times New Roman" w:hAnsi="Times New Roman" w:eastAsia="宋体" w:cs="宋体"/>
          <w:color w:val="auto"/>
          <w:szCs w:val="21"/>
          <w:highlight w:val="none"/>
          <w:lang w:bidi="ar"/>
        </w:rPr>
        <w:t>）计收。乙方支付的</w:t>
      </w:r>
      <w:r>
        <w:rPr>
          <w:rFonts w:hint="eastAsia" w:ascii="Times New Roman" w:hAnsi="Times New Roman" w:cs="宋体"/>
          <w:color w:val="auto"/>
          <w:szCs w:val="21"/>
          <w:highlight w:val="none"/>
          <w:lang w:eastAsia="zh-CN" w:bidi="ar"/>
        </w:rPr>
        <w:t>逾期</w:t>
      </w:r>
      <w:r>
        <w:rPr>
          <w:rFonts w:hint="eastAsia" w:ascii="Times New Roman" w:hAnsi="Times New Roman" w:eastAsia="宋体" w:cs="宋体"/>
          <w:color w:val="auto"/>
          <w:szCs w:val="21"/>
          <w:highlight w:val="none"/>
          <w:lang w:bidi="ar"/>
        </w:rPr>
        <w:t>违约金不足以弥补甲方损失的，应继续承担赔偿责任。乙方逾期提供服务超过60天的，甲方有权单方面终止合同，没收乙方全部履约保证金。甲方选择不终止合同、继续履约的，乙方应当支付逾期</w:t>
      </w:r>
      <w:r>
        <w:rPr>
          <w:rFonts w:hint="eastAsia" w:ascii="Times New Roman" w:hAnsi="Times New Roman" w:eastAsia="宋体" w:cs="宋体"/>
          <w:color w:val="auto"/>
          <w:szCs w:val="21"/>
          <w:highlight w:val="none"/>
          <w:lang w:val="en-US" w:eastAsia="zh-CN" w:bidi="ar"/>
        </w:rPr>
        <w:t>违约金</w:t>
      </w:r>
      <w:r>
        <w:rPr>
          <w:rFonts w:hint="eastAsia" w:ascii="Times New Roman" w:hAnsi="Times New Roman" w:eastAsia="宋体" w:cs="宋体"/>
          <w:color w:val="auto"/>
          <w:szCs w:val="21"/>
          <w:highlight w:val="none"/>
          <w:lang w:bidi="ar"/>
        </w:rPr>
        <w:t>。</w:t>
      </w:r>
    </w:p>
    <w:p w14:paraId="61712499">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10</w:t>
      </w:r>
      <w:r>
        <w:rPr>
          <w:rFonts w:ascii="Times New Roman" w:hAnsi="Times New Roman" w:eastAsia="宋体" w:cs="Times New Roman"/>
          <w:color w:val="auto"/>
          <w:szCs w:val="21"/>
          <w:highlight w:val="none"/>
          <w:lang w:bidi="ar"/>
        </w:rPr>
        <w:t>.3</w:t>
      </w:r>
      <w:r>
        <w:rPr>
          <w:rFonts w:hint="eastAsia" w:ascii="Times New Roman" w:hAnsi="Times New Roman" w:eastAsia="宋体" w:cs="宋体"/>
          <w:color w:val="auto"/>
          <w:szCs w:val="21"/>
          <w:highlight w:val="none"/>
          <w:lang w:bidi="ar"/>
        </w:rPr>
        <w:t>在履行合同过程中，如果乙方可能遇到妨碍按时提供服务的情况时，应及时以书面形式将拖延的事实，可能拖延的期限和理由通知甲方。甲方在收到乙方通知后，应尽快对情况进行评估，并确定是否酌情延长工期以及是否收取逾期</w:t>
      </w:r>
      <w:r>
        <w:rPr>
          <w:rFonts w:hint="eastAsia" w:ascii="Times New Roman" w:hAnsi="Times New Roman" w:eastAsia="宋体" w:cs="宋体"/>
          <w:color w:val="auto"/>
          <w:szCs w:val="21"/>
          <w:highlight w:val="none"/>
          <w:lang w:val="en-US" w:eastAsia="zh-CN" w:bidi="ar"/>
        </w:rPr>
        <w:t>违约金</w:t>
      </w:r>
      <w:r>
        <w:rPr>
          <w:rFonts w:hint="eastAsia" w:ascii="Times New Roman" w:hAnsi="Times New Roman" w:eastAsia="宋体" w:cs="宋体"/>
          <w:color w:val="auto"/>
          <w:szCs w:val="21"/>
          <w:highlight w:val="none"/>
          <w:lang w:bidi="ar"/>
        </w:rPr>
        <w:t>。</w:t>
      </w:r>
      <w:r>
        <w:rPr>
          <w:rFonts w:hint="eastAsia" w:ascii="Times New Roman" w:hAnsi="Times New Roman" w:eastAsia="宋体" w:cs="Times New Roman"/>
          <w:color w:val="auto"/>
          <w:szCs w:val="21"/>
          <w:highlight w:val="none"/>
          <w:lang w:val="en-US" w:eastAsia="zh-CN"/>
        </w:rPr>
        <w:t>甲方未书面回复的，视为甲方不同意延长工期</w:t>
      </w:r>
      <w:r>
        <w:rPr>
          <w:rFonts w:hint="eastAsia" w:ascii="Times New Roman" w:hAnsi="Times New Roman" w:eastAsia="宋体" w:cs="宋体"/>
          <w:color w:val="auto"/>
          <w:szCs w:val="21"/>
          <w:highlight w:val="none"/>
          <w:lang w:bidi="ar"/>
        </w:rPr>
        <w:t>。</w:t>
      </w:r>
    </w:p>
    <w:p w14:paraId="1D577759">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10</w:t>
      </w:r>
      <w:r>
        <w:rPr>
          <w:rFonts w:ascii="Times New Roman" w:hAnsi="Times New Roman" w:eastAsia="宋体" w:cs="Times New Roman"/>
          <w:color w:val="auto"/>
          <w:szCs w:val="21"/>
          <w:highlight w:val="none"/>
          <w:lang w:bidi="ar"/>
        </w:rPr>
        <w:t>.4</w:t>
      </w:r>
      <w:r>
        <w:rPr>
          <w:rFonts w:hint="eastAsia" w:ascii="Times New Roman" w:hAnsi="Times New Roman" w:eastAsia="宋体" w:cs="宋体"/>
          <w:color w:val="auto"/>
          <w:szCs w:val="21"/>
          <w:highlight w:val="none"/>
          <w:lang w:bidi="ar"/>
        </w:rPr>
        <w:t>除不可抗力和根据合同规定延期取得甲方同意而不收取</w:t>
      </w:r>
      <w:r>
        <w:rPr>
          <w:rFonts w:hint="eastAsia" w:ascii="Times New Roman" w:hAnsi="Times New Roman" w:cs="宋体"/>
          <w:color w:val="auto"/>
          <w:szCs w:val="21"/>
          <w:highlight w:val="none"/>
          <w:lang w:val="en-US" w:eastAsia="zh-CN" w:bidi="ar"/>
        </w:rPr>
        <w:t>逾期</w:t>
      </w:r>
      <w:r>
        <w:rPr>
          <w:rFonts w:hint="eastAsia" w:ascii="Times New Roman" w:hAnsi="Times New Roman" w:eastAsia="宋体" w:cs="宋体"/>
          <w:color w:val="auto"/>
          <w:szCs w:val="21"/>
          <w:highlight w:val="none"/>
          <w:lang w:bidi="ar"/>
        </w:rPr>
        <w:t>赔偿费之外，乙方延误工期，</w:t>
      </w:r>
      <w:r>
        <w:rPr>
          <w:rFonts w:hint="eastAsia" w:ascii="Times New Roman" w:hAnsi="Times New Roman" w:eastAsia="宋体" w:cs="宋体"/>
          <w:color w:val="auto"/>
          <w:szCs w:val="21"/>
          <w:highlight w:val="none"/>
          <w:lang w:val="en-US" w:eastAsia="zh-CN"/>
        </w:rPr>
        <w:t>应当</w:t>
      </w:r>
      <w:r>
        <w:rPr>
          <w:rFonts w:hint="eastAsia" w:ascii="Times New Roman" w:hAnsi="Times New Roman" w:eastAsia="宋体" w:cs="宋体"/>
          <w:color w:val="auto"/>
          <w:szCs w:val="21"/>
          <w:highlight w:val="none"/>
        </w:rPr>
        <w:t>按合同规定</w:t>
      </w:r>
      <w:r>
        <w:rPr>
          <w:rFonts w:hint="eastAsia" w:ascii="Times New Roman" w:hAnsi="Times New Roman" w:eastAsia="宋体" w:cs="宋体"/>
          <w:color w:val="auto"/>
          <w:szCs w:val="21"/>
          <w:highlight w:val="none"/>
          <w:lang w:val="en-US" w:eastAsia="zh-CN"/>
        </w:rPr>
        <w:t>支付</w:t>
      </w:r>
      <w:r>
        <w:rPr>
          <w:rFonts w:hint="eastAsia" w:ascii="Times New Roman" w:hAnsi="Times New Roman" w:eastAsia="宋体" w:cs="宋体"/>
          <w:color w:val="auto"/>
          <w:szCs w:val="21"/>
          <w:highlight w:val="none"/>
          <w:lang w:eastAsia="zh-CN"/>
        </w:rPr>
        <w:t>逾期</w:t>
      </w:r>
      <w:r>
        <w:rPr>
          <w:rFonts w:hint="eastAsia" w:ascii="Times New Roman" w:hAnsi="Times New Roman" w:eastAsia="宋体" w:cs="宋体"/>
          <w:color w:val="auto"/>
          <w:szCs w:val="21"/>
          <w:highlight w:val="none"/>
        </w:rPr>
        <w:t>赔偿费</w:t>
      </w:r>
      <w:r>
        <w:rPr>
          <w:rFonts w:hint="eastAsia" w:ascii="Times New Roman" w:hAnsi="Times New Roman" w:eastAsia="宋体" w:cs="宋体"/>
          <w:color w:val="auto"/>
          <w:szCs w:val="21"/>
          <w:highlight w:val="none"/>
          <w:lang w:bidi="ar"/>
        </w:rPr>
        <w:t>。</w:t>
      </w:r>
    </w:p>
    <w:p w14:paraId="54D9A661">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10</w:t>
      </w:r>
      <w:r>
        <w:rPr>
          <w:rFonts w:ascii="Times New Roman" w:hAnsi="Times New Roman" w:eastAsia="宋体" w:cs="Times New Roman"/>
          <w:color w:val="auto"/>
          <w:szCs w:val="21"/>
          <w:highlight w:val="none"/>
          <w:lang w:bidi="ar"/>
        </w:rPr>
        <w:t>.5</w:t>
      </w:r>
      <w:r>
        <w:rPr>
          <w:rFonts w:hint="eastAsia" w:ascii="Times New Roman" w:hAnsi="Times New Roman" w:eastAsia="宋体" w:cs="宋体"/>
          <w:color w:val="auto"/>
          <w:szCs w:val="21"/>
          <w:highlight w:val="none"/>
          <w:lang w:bidi="ar"/>
        </w:rPr>
        <w:t>逾期退还履约保证金的违约责任。满足履约保证金返还条件的，甲方在收到返还相关信息等合同约定资料后，进行核实。对核实结果无异议的，应当自完成核实之日起</w:t>
      </w:r>
      <w:r>
        <w:rPr>
          <w:rFonts w:ascii="Times New Roman" w:hAnsi="Times New Roman" w:eastAsia="宋体" w:cs="Times New Roman"/>
          <w:color w:val="auto"/>
          <w:szCs w:val="21"/>
          <w:highlight w:val="none"/>
          <w:lang w:bidi="ar"/>
        </w:rPr>
        <w:t>30</w:t>
      </w:r>
      <w:r>
        <w:rPr>
          <w:rFonts w:hint="eastAsia" w:ascii="Times New Roman" w:hAnsi="Times New Roman" w:eastAsia="宋体" w:cs="宋体"/>
          <w:color w:val="auto"/>
          <w:szCs w:val="21"/>
          <w:highlight w:val="none"/>
          <w:lang w:bidi="ar"/>
        </w:rPr>
        <w:t>日内返还履约保证金。无特殊原因逾期退还履约保证金的，乙方可要求甲方按银行同期活期存款利率支付逾期利息。特殊原因逾期返还的，双方协商解决。</w:t>
      </w:r>
    </w:p>
    <w:p w14:paraId="18C49E82">
      <w:pPr>
        <w:topLinePunct/>
        <w:autoSpaceDE w:val="0"/>
        <w:autoSpaceDN w:val="0"/>
        <w:spacing w:line="360" w:lineRule="auto"/>
        <w:ind w:firstLine="422"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bidi="ar"/>
        </w:rPr>
        <w:t>11</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违约责任</w:t>
      </w:r>
    </w:p>
    <w:p w14:paraId="62EA98A2">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服务缺陷的补救措施和索赔</w:t>
      </w:r>
    </w:p>
    <w:p w14:paraId="236CCACC">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ascii="Times New Roman" w:hAnsi="Times New Roman" w:eastAsia="宋体" w:cs="Times New Roman"/>
          <w:color w:val="auto"/>
          <w:szCs w:val="21"/>
          <w:highlight w:val="none"/>
          <w:lang w:bidi="ar"/>
        </w:rPr>
        <w:t>.1.1</w:t>
      </w:r>
      <w:r>
        <w:rPr>
          <w:rFonts w:hint="eastAsia" w:ascii="Times New Roman" w:hAnsi="Times New Roman" w:eastAsia="宋体" w:cs="宋体"/>
          <w:color w:val="auto"/>
          <w:szCs w:val="21"/>
          <w:highlight w:val="none"/>
          <w:lang w:bidi="ar"/>
        </w:rPr>
        <w:t>如果乙方提供的服务不符合本合同约定以及招标文件、投标文件关于服务的要求和承诺，乙方应按照甲方同意的下列一种或几种方式结合起来解决索赔事宜：</w:t>
      </w:r>
    </w:p>
    <w:p w14:paraId="69C80694">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ascii="Times New Roman" w:hAnsi="Times New Roman" w:eastAsia="宋体" w:cs="Times New Roman"/>
          <w:color w:val="auto"/>
          <w:szCs w:val="21"/>
          <w:highlight w:val="none"/>
          <w:lang w:bidi="ar"/>
        </w:rPr>
        <w:t>.1.1.1</w:t>
      </w:r>
      <w:r>
        <w:rPr>
          <w:rFonts w:hint="eastAsia" w:ascii="Times New Roman" w:hAnsi="Times New Roman" w:eastAsia="宋体" w:cs="宋体"/>
          <w:color w:val="auto"/>
          <w:szCs w:val="21"/>
          <w:highlight w:val="none"/>
          <w:lang w:bidi="ar"/>
        </w:rPr>
        <w:t>乙方同意将服务款项退还给甲方，由此发生的一切费用和损失由乙方承担。如甲方以适当的条件和方法购买与未履约标的相类似的服务，乙方应</w:t>
      </w:r>
      <w:r>
        <w:rPr>
          <w:rFonts w:hint="eastAsia" w:ascii="Times New Roman" w:hAnsi="Times New Roman" w:cs="宋体"/>
          <w:color w:val="auto"/>
          <w:szCs w:val="21"/>
          <w:highlight w:val="none"/>
          <w:lang w:val="en-US" w:eastAsia="zh-CN" w:bidi="ar"/>
        </w:rPr>
        <w:t>承</w:t>
      </w:r>
      <w:r>
        <w:rPr>
          <w:rFonts w:hint="eastAsia" w:ascii="Times New Roman" w:hAnsi="Times New Roman" w:eastAsia="宋体" w:cs="宋体"/>
          <w:color w:val="auto"/>
          <w:szCs w:val="21"/>
          <w:highlight w:val="none"/>
          <w:lang w:bidi="ar"/>
        </w:rPr>
        <w:t>担新购买类似服务所超出的费用。</w:t>
      </w:r>
    </w:p>
    <w:p w14:paraId="03B834BE">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ascii="Times New Roman" w:hAnsi="Times New Roman" w:eastAsia="宋体" w:cs="Times New Roman"/>
          <w:color w:val="auto"/>
          <w:szCs w:val="21"/>
          <w:highlight w:val="none"/>
          <w:lang w:bidi="ar"/>
        </w:rPr>
        <w:t>.1.1.2</w:t>
      </w:r>
      <w:r>
        <w:rPr>
          <w:rFonts w:hint="eastAsia" w:ascii="Times New Roman" w:hAnsi="Times New Roman" w:eastAsia="宋体" w:cs="宋体"/>
          <w:color w:val="auto"/>
          <w:szCs w:val="21"/>
          <w:highlight w:val="none"/>
          <w:lang w:bidi="ar"/>
        </w:rPr>
        <w:t>根据服务的质量状况以及甲方所遭受的损失，经过甲乙双方商定降低服务的价格。</w:t>
      </w:r>
    </w:p>
    <w:p w14:paraId="0DE3821F">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除本合同另有约定外，乙方不履行合同义务或者履行合同义务不符合合同约定的，按每违反一次从应付款项中扣除合同总金额的百分之一（</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p>
    <w:p w14:paraId="59503364">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ascii="Times New Roman" w:hAnsi="Times New Roman" w:eastAsia="宋体" w:cs="Times New Roman"/>
          <w:color w:val="auto"/>
          <w:szCs w:val="21"/>
          <w:highlight w:val="none"/>
          <w:lang w:bidi="ar"/>
        </w:rPr>
        <w:t>.3</w:t>
      </w:r>
      <w:r>
        <w:rPr>
          <w:rFonts w:hint="eastAsia" w:ascii="Times New Roman" w:hAnsi="Times New Roman" w:eastAsia="宋体" w:cs="宋体"/>
          <w:color w:val="auto"/>
          <w:szCs w:val="21"/>
          <w:highlight w:val="none"/>
          <w:lang w:bidi="ar"/>
        </w:rPr>
        <w:t>乙方没有按照时限要求提供服务，且在甲方指定的延长期限内没有采取补救措施，甲方有权自行采取其他方式进行补救，乙方除按合同第</w:t>
      </w:r>
      <w:r>
        <w:rPr>
          <w:rFonts w:hint="eastAsia" w:ascii="Times New Roman" w:hAnsi="Times New Roman" w:cs="Times New Roman"/>
          <w:color w:val="auto"/>
          <w:szCs w:val="21"/>
          <w:highlight w:val="none"/>
          <w:lang w:val="en-US" w:eastAsia="zh-CN" w:bidi="ar"/>
        </w:rPr>
        <w:t>10</w:t>
      </w:r>
      <w:r>
        <w:rPr>
          <w:rFonts w:hint="eastAsia" w:ascii="Times New Roman" w:hAnsi="Times New Roman" w:eastAsia="宋体" w:cs="宋体"/>
          <w:color w:val="auto"/>
          <w:szCs w:val="21"/>
          <w:highlight w:val="none"/>
          <w:lang w:bidi="ar"/>
        </w:rPr>
        <w:t>条约定向甲方支付</w:t>
      </w:r>
      <w:r>
        <w:rPr>
          <w:rFonts w:hint="eastAsia" w:ascii="Times New Roman" w:hAnsi="Times New Roman" w:cs="宋体"/>
          <w:color w:val="auto"/>
          <w:szCs w:val="21"/>
          <w:highlight w:val="none"/>
          <w:lang w:eastAsia="zh-CN" w:bidi="ar"/>
        </w:rPr>
        <w:t>逾期</w:t>
      </w:r>
      <w:r>
        <w:rPr>
          <w:rFonts w:hint="eastAsia" w:ascii="Times New Roman" w:hAnsi="Times New Roman" w:eastAsia="宋体" w:cs="宋体"/>
          <w:color w:val="auto"/>
          <w:szCs w:val="21"/>
          <w:highlight w:val="none"/>
          <w:lang w:bidi="ar"/>
        </w:rPr>
        <w:t>违约金外，另外甲方所发生的一切费用和甲方损失，甲方有权从应付的乙方的合同款项中扣除，不足扣除的乙方应另行支付。</w:t>
      </w:r>
    </w:p>
    <w:p w14:paraId="3D54DA07">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ascii="Times New Roman" w:hAnsi="Times New Roman" w:eastAsia="宋体" w:cs="Times New Roman"/>
          <w:color w:val="auto"/>
          <w:szCs w:val="21"/>
          <w:highlight w:val="none"/>
          <w:lang w:bidi="ar"/>
        </w:rPr>
        <w:t>.</w:t>
      </w:r>
      <w:r>
        <w:rPr>
          <w:rFonts w:hint="eastAsia" w:ascii="Times New Roman" w:hAnsi="Times New Roman" w:eastAsia="宋体" w:cs="Times New Roman"/>
          <w:color w:val="auto"/>
          <w:szCs w:val="21"/>
          <w:highlight w:val="none"/>
          <w:lang w:val="en-US" w:eastAsia="zh-CN" w:bidi="ar"/>
        </w:rPr>
        <w:t>4</w:t>
      </w:r>
      <w:r>
        <w:rPr>
          <w:rFonts w:hint="eastAsia" w:ascii="Times New Roman" w:hAnsi="Times New Roman" w:eastAsia="宋体" w:cs="宋体"/>
          <w:color w:val="auto"/>
          <w:szCs w:val="21"/>
          <w:highlight w:val="none"/>
          <w:lang w:bidi="ar"/>
        </w:rPr>
        <w:t>除应支付甲方违约金等外，甲方有权根据合同或有关部门出具的检验证书向乙方提出索赔。</w:t>
      </w:r>
    </w:p>
    <w:p w14:paraId="54D2CA3F">
      <w:pPr>
        <w:topLinePunct/>
        <w:autoSpaceDE w:val="0"/>
        <w:autoSpaceDN w:val="0"/>
        <w:spacing w:line="360" w:lineRule="auto"/>
        <w:ind w:firstLine="420" w:firstLineChars="200"/>
        <w:rPr>
          <w:rFonts w:hint="eastAsia" w:ascii="Times New Roman" w:hAnsi="Times New Roman" w:eastAsia="宋体" w:cs="宋体"/>
          <w:color w:val="auto"/>
          <w:szCs w:val="21"/>
          <w:highlight w:val="none"/>
          <w:lang w:bidi="ar"/>
        </w:rPr>
      </w:pPr>
      <w:r>
        <w:rPr>
          <w:rFonts w:hint="eastAsia" w:ascii="Times New Roman" w:hAnsi="Times New Roman" w:eastAsia="宋体" w:cs="Times New Roman"/>
          <w:color w:val="auto"/>
          <w:szCs w:val="21"/>
          <w:highlight w:val="none"/>
          <w:lang w:bidi="ar"/>
        </w:rPr>
        <w:t>11.</w:t>
      </w:r>
      <w:r>
        <w:rPr>
          <w:rFonts w:hint="eastAsia" w:ascii="Times New Roman" w:hAnsi="Times New Roman" w:eastAsia="宋体" w:cs="Times New Roman"/>
          <w:color w:val="auto"/>
          <w:szCs w:val="21"/>
          <w:highlight w:val="none"/>
          <w:lang w:val="en-US" w:eastAsia="zh-CN" w:bidi="ar"/>
        </w:rPr>
        <w:t>5</w:t>
      </w:r>
      <w:r>
        <w:rPr>
          <w:rFonts w:hint="eastAsia" w:ascii="Times New Roman" w:hAnsi="Times New Roman" w:eastAsia="宋体" w:cs="宋体"/>
          <w:color w:val="auto"/>
          <w:szCs w:val="21"/>
          <w:highlight w:val="none"/>
          <w:lang w:bidi="ar"/>
        </w:rPr>
        <w:t>当甲方因乙方的实际履行与合同约定之间存在差异而提出索赔时，乙方同意按照下列方式解决索赔事宜：</w:t>
      </w:r>
    </w:p>
    <w:p w14:paraId="663582FF">
      <w:pPr>
        <w:topLinePunct/>
        <w:autoSpaceDE w:val="0"/>
        <w:autoSpaceDN w:val="0"/>
        <w:spacing w:line="360" w:lineRule="auto"/>
        <w:ind w:firstLine="420" w:firstLineChars="200"/>
        <w:rPr>
          <w:rFonts w:hint="eastAsia" w:ascii="Times New Roman" w:hAnsi="Times New Roman" w:eastAsia="宋体" w:cs="宋体"/>
          <w:color w:val="auto"/>
          <w:szCs w:val="21"/>
          <w:highlight w:val="none"/>
          <w:lang w:bidi="ar"/>
        </w:rPr>
      </w:pPr>
      <w:r>
        <w:rPr>
          <w:rFonts w:hint="eastAsia" w:ascii="Times New Roman" w:hAnsi="Times New Roman" w:eastAsia="宋体" w:cs="宋体"/>
          <w:color w:val="auto"/>
          <w:szCs w:val="21"/>
          <w:highlight w:val="none"/>
          <w:lang w:bidi="ar"/>
        </w:rPr>
        <w:t>如果在甲方发出索赔通知后5个工作日内，乙方未作书面答复，上述索赔应视为已被乙方接受。如乙方未能在甲方发出索赔通知后5个工作日内或甲方同意的延长期限内着手解决索赔事宜，甲方有权从应付乙方的合同款项中扣除索赔金额。</w:t>
      </w:r>
    </w:p>
    <w:p w14:paraId="6684F3E3">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hint="eastAsia" w:ascii="Times New Roman" w:hAnsi="Times New Roman" w:eastAsia="宋体" w:cs="Times New Roman"/>
          <w:color w:val="auto"/>
          <w:szCs w:val="21"/>
          <w:highlight w:val="none"/>
          <w:lang w:val="en-US" w:eastAsia="zh-CN" w:bidi="ar"/>
        </w:rPr>
        <w:t>.6</w:t>
      </w:r>
      <w:r>
        <w:rPr>
          <w:rFonts w:hint="eastAsia" w:ascii="Times New Roman" w:hAnsi="Times New Roman" w:eastAsia="宋体" w:cs="宋体"/>
          <w:color w:val="auto"/>
          <w:szCs w:val="21"/>
          <w:highlight w:val="none"/>
          <w:lang w:bidi="ar"/>
        </w:rPr>
        <w:t>乙方利用本项目实施过程中所产生的成果（包括发明、发现、可运行系统、源代码及相关技术资料、文档等），另行自行开发本合同业务范围内供纳税人缴费人使用的软件或产品，或利用为税务机关提供信息化服务的便利，向纳税人缴费人搭车收费或变相收费的，或有其他失信行为的，纳入国家税务总局失信名单。</w:t>
      </w:r>
    </w:p>
    <w:p w14:paraId="6BAD857A">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lang w:bidi="ar"/>
        </w:rPr>
        <w:t>对于影响恶劣的严重违法失信行为，推送财政部纳入政府采购严重违法失信行为记录名单。</w:t>
      </w:r>
    </w:p>
    <w:p w14:paraId="43C4B700">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11.</w:t>
      </w:r>
      <w:r>
        <w:rPr>
          <w:rFonts w:hint="eastAsia" w:ascii="Times New Roman" w:hAnsi="Times New Roman" w:eastAsia="宋体" w:cs="Times New Roman"/>
          <w:color w:val="auto"/>
          <w:szCs w:val="21"/>
          <w:highlight w:val="none"/>
          <w:lang w:val="en-US" w:eastAsia="zh-CN" w:bidi="ar"/>
        </w:rPr>
        <w:t>7</w:t>
      </w:r>
      <w:r>
        <w:rPr>
          <w:rFonts w:hint="eastAsia" w:ascii="Times New Roman" w:hAnsi="Times New Roman" w:eastAsia="宋体" w:cs="宋体"/>
          <w:color w:val="auto"/>
          <w:szCs w:val="21"/>
          <w:highlight w:val="none"/>
          <w:lang w:bidi="ar"/>
        </w:rPr>
        <w:t>如果乙方在本项目实施过程中发生违反网络安全规定行为造成不良后果的，</w:t>
      </w:r>
      <w:r>
        <w:rPr>
          <w:rFonts w:hint="eastAsia" w:ascii="Times New Roman" w:hAnsi="Times New Roman" w:cs="宋体"/>
          <w:color w:val="auto"/>
          <w:szCs w:val="21"/>
          <w:highlight w:val="none"/>
          <w:lang w:val="en-US" w:eastAsia="zh-CN" w:bidi="ar"/>
        </w:rPr>
        <w:t>按税务总局有关规定处理</w:t>
      </w:r>
      <w:r>
        <w:rPr>
          <w:rFonts w:hint="eastAsia" w:ascii="Times New Roman" w:hAnsi="Times New Roman" w:eastAsia="宋体" w:cs="宋体"/>
          <w:color w:val="auto"/>
          <w:szCs w:val="21"/>
          <w:highlight w:val="none"/>
          <w:lang w:bidi="ar"/>
        </w:rPr>
        <w:t>。</w:t>
      </w:r>
    </w:p>
    <w:p w14:paraId="06303012">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lang w:bidi="ar"/>
        </w:rPr>
        <w:t>不良后果指造成数据失窃或丢失、敏感信息泄露、主要业务系统瘫痪等网络安全事件。</w:t>
      </w:r>
    </w:p>
    <w:p w14:paraId="0291F022">
      <w:pPr>
        <w:spacing w:line="440" w:lineRule="exact"/>
        <w:ind w:firstLine="420" w:firstLineChars="200"/>
        <w:rPr>
          <w:rFonts w:hint="eastAsia"/>
          <w:color w:val="auto"/>
          <w:highlight w:val="none"/>
        </w:rPr>
      </w:pPr>
      <w:r>
        <w:rPr>
          <w:rFonts w:hint="eastAsia"/>
          <w:color w:val="auto"/>
          <w:highlight w:val="none"/>
          <w:lang w:val="en-US" w:eastAsia="zh-CN"/>
        </w:rPr>
        <w:t>11.8对于本合同未约定但招标（采购）文件有约定的违约处理条款，按招标（采购）文件相关约定执行；对本合同与招标（采购）文件约定不同的违约处理条款，以本合同约定为准。</w:t>
      </w:r>
    </w:p>
    <w:p w14:paraId="6614AFCB">
      <w:pPr>
        <w:spacing w:line="440" w:lineRule="exact"/>
        <w:ind w:firstLine="420" w:firstLineChars="200"/>
        <w:rPr>
          <w:color w:val="auto"/>
          <w:highlight w:val="none"/>
        </w:rPr>
      </w:pPr>
      <w:r>
        <w:rPr>
          <w:rFonts w:hint="eastAsia"/>
          <w:color w:val="auto"/>
          <w:highlight w:val="none"/>
        </w:rPr>
        <w:t>11.9本合同约定的损失范围涵盖全部直接损失及为追偿损失产生的全部维权成本，包括但不限于：直接经济损失、调查取证费、公证费、司法鉴定费、诉讼费、财产保全费、诉讼财产保全责任保险费、律师代理费、差旅费、执行费、处置费用。前述全部损失及费用均由违约方据实全额承担。</w:t>
      </w:r>
    </w:p>
    <w:p w14:paraId="1024E62A">
      <w:pPr>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1</w:t>
      </w:r>
      <w:r>
        <w:rPr>
          <w:rFonts w:hint="eastAsia" w:ascii="Times New Roman" w:hAnsi="Times New Roman" w:eastAsia="宋体" w:cs="Times New Roman"/>
          <w:b/>
          <w:color w:val="auto"/>
          <w:szCs w:val="21"/>
          <w:highlight w:val="none"/>
          <w:lang w:bidi="ar"/>
        </w:rPr>
        <w:t>2</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不可抗力</w:t>
      </w:r>
    </w:p>
    <w:p w14:paraId="52E7D421">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2</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本条所述的</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不可抗力</w:t>
      </w:r>
      <w:r>
        <w:rPr>
          <w:rFonts w:ascii="Times New Roman" w:hAnsi="Times New Roman" w:eastAsia="宋体" w:cs="Times New Roman"/>
          <w:color w:val="auto"/>
          <w:szCs w:val="21"/>
          <w:highlight w:val="none"/>
          <w:lang w:bidi="ar"/>
        </w:rPr>
        <w:t>”</w:t>
      </w:r>
      <w:r>
        <w:rPr>
          <w:rFonts w:hint="eastAsia" w:ascii="Times New Roman" w:hAnsi="Times New Roman" w:eastAsia="宋体" w:cs="宋体"/>
          <w:color w:val="auto"/>
          <w:szCs w:val="21"/>
          <w:highlight w:val="none"/>
          <w:lang w:bidi="ar"/>
        </w:rPr>
        <w:t>系指双方不可预见、不可避免、不可克服的客观情况，但不包括双方的违约或疏忽。这些事件包括但不限于：战争、严重火灾、洪水、台风、地震等。</w:t>
      </w:r>
    </w:p>
    <w:p w14:paraId="708C0019">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2</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highlight w:val="none"/>
          <w:lang w:bidi="ar"/>
        </w:rPr>
        <w:t>如果合同双方因不可抗力而导致合同实施延误或合同无法实施</w:t>
      </w:r>
      <w:r>
        <w:rPr>
          <w:rFonts w:hint="eastAsia" w:ascii="Times New Roman" w:hAnsi="Times New Roman" w:eastAsia="宋体" w:cs="宋体"/>
          <w:color w:val="auto"/>
          <w:szCs w:val="21"/>
          <w:highlight w:val="none"/>
          <w:lang w:bidi="ar"/>
        </w:rPr>
        <w:t>，不应承担</w:t>
      </w:r>
      <w:r>
        <w:rPr>
          <w:rFonts w:hint="eastAsia" w:ascii="Times New Roman" w:hAnsi="Times New Roman" w:cs="宋体"/>
          <w:color w:val="auto"/>
          <w:szCs w:val="21"/>
          <w:highlight w:val="none"/>
          <w:lang w:eastAsia="zh-CN" w:bidi="ar"/>
        </w:rPr>
        <w:t>逾期</w:t>
      </w:r>
      <w:r>
        <w:rPr>
          <w:rFonts w:hint="eastAsia" w:ascii="Times New Roman" w:hAnsi="Times New Roman" w:eastAsia="宋体" w:cs="宋体"/>
          <w:color w:val="auto"/>
          <w:szCs w:val="21"/>
          <w:highlight w:val="none"/>
          <w:lang w:bidi="ar"/>
        </w:rPr>
        <w:t>赔偿或终止合同的责任。</w:t>
      </w:r>
    </w:p>
    <w:p w14:paraId="5D9E5B66">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2</w:t>
      </w:r>
      <w:r>
        <w:rPr>
          <w:rFonts w:ascii="Times New Roman" w:hAnsi="Times New Roman" w:eastAsia="宋体" w:cs="Times New Roman"/>
          <w:color w:val="auto"/>
          <w:szCs w:val="21"/>
          <w:highlight w:val="none"/>
          <w:lang w:bidi="ar"/>
        </w:rPr>
        <w:t>.3</w:t>
      </w:r>
      <w:r>
        <w:rPr>
          <w:rFonts w:hint="eastAsia" w:ascii="Times New Roman" w:hAnsi="Times New Roman" w:eastAsia="宋体" w:cs="宋体"/>
          <w:color w:val="auto"/>
          <w:szCs w:val="21"/>
          <w:highlight w:val="none"/>
          <w:lang w:bidi="ar"/>
        </w:rPr>
        <w:t>在不可抗力事件发生后，当事方应及时将不可抗力情况通知合同对方，在不可抗力事件结束后</w:t>
      </w:r>
      <w:r>
        <w:rPr>
          <w:rFonts w:ascii="Times New Roman" w:hAnsi="Times New Roman" w:eastAsia="宋体" w:cs="Times New Roman"/>
          <w:color w:val="auto"/>
          <w:szCs w:val="21"/>
          <w:highlight w:val="none"/>
          <w:lang w:bidi="ar"/>
        </w:rPr>
        <w:t>3</w:t>
      </w:r>
      <w:r>
        <w:rPr>
          <w:rFonts w:hint="eastAsia" w:ascii="Times New Roman" w:hAnsi="Times New Roman" w:eastAsia="宋体" w:cs="宋体"/>
          <w:color w:val="auto"/>
          <w:szCs w:val="21"/>
          <w:highlight w:val="none"/>
          <w:lang w:bidi="ar"/>
        </w:rPr>
        <w:t>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2B883DC5">
      <w:pPr>
        <w:spacing w:line="360" w:lineRule="auto"/>
        <w:ind w:firstLine="420" w:firstLineChars="200"/>
        <w:rPr>
          <w:rFonts w:hint="eastAsia" w:ascii="Times New Roman" w:hAnsi="Times New Roman" w:eastAsia="宋体" w:cs="宋体"/>
          <w:color w:val="auto"/>
          <w:szCs w:val="21"/>
          <w:highlight w:val="none"/>
          <w:lang w:bidi="ar"/>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2</w:t>
      </w:r>
      <w:r>
        <w:rPr>
          <w:rFonts w:ascii="Times New Roman" w:hAnsi="Times New Roman" w:eastAsia="宋体" w:cs="Times New Roman"/>
          <w:color w:val="auto"/>
          <w:szCs w:val="21"/>
          <w:highlight w:val="none"/>
          <w:lang w:bidi="ar"/>
        </w:rPr>
        <w:t>.4</w:t>
      </w:r>
      <w:r>
        <w:rPr>
          <w:rFonts w:hint="eastAsia" w:ascii="Times New Roman" w:hAnsi="Times New Roman" w:eastAsia="宋体" w:cs="宋体"/>
          <w:color w:val="auto"/>
          <w:szCs w:val="21"/>
          <w:highlight w:val="none"/>
          <w:lang w:bidi="ar"/>
        </w:rPr>
        <w:t>因国家政策变化、技术实施所需的客观环境变化、重大技术变化（含硬件架构升级、设备兼容性调整、硬件设备报废、推广使用新应用系统等）或工作计划调整等原因导致相关服务停止或部分停止的，</w:t>
      </w:r>
      <w:r>
        <w:rPr>
          <w:rFonts w:hint="eastAsia" w:ascii="Times New Roman" w:hAnsi="Times New Roman" w:eastAsia="宋体" w:cs="宋体"/>
          <w:color w:val="auto"/>
          <w:szCs w:val="21"/>
          <w:highlight w:val="none"/>
          <w:lang w:eastAsia="zh-CN" w:bidi="ar"/>
        </w:rPr>
        <w:t>甲方</w:t>
      </w:r>
      <w:r>
        <w:rPr>
          <w:rFonts w:hint="eastAsia" w:ascii="Times New Roman" w:hAnsi="Times New Roman" w:eastAsia="宋体" w:cs="宋体"/>
          <w:color w:val="auto"/>
          <w:szCs w:val="21"/>
          <w:highlight w:val="none"/>
          <w:lang w:bidi="ar"/>
        </w:rPr>
        <w:t>有权提前终止或部分终止合同执行，费用按实际服务时间、实际运维范围和考核结果据实结算，不视为</w:t>
      </w:r>
      <w:r>
        <w:rPr>
          <w:rFonts w:hint="eastAsia" w:ascii="Times New Roman" w:hAnsi="Times New Roman" w:eastAsia="宋体" w:cs="宋体"/>
          <w:color w:val="auto"/>
          <w:szCs w:val="21"/>
          <w:highlight w:val="none"/>
          <w:lang w:eastAsia="zh-CN" w:bidi="ar"/>
        </w:rPr>
        <w:t>甲方</w:t>
      </w:r>
      <w:r>
        <w:rPr>
          <w:rFonts w:hint="eastAsia" w:ascii="Times New Roman" w:hAnsi="Times New Roman" w:eastAsia="宋体" w:cs="宋体"/>
          <w:color w:val="auto"/>
          <w:szCs w:val="21"/>
          <w:highlight w:val="none"/>
          <w:lang w:bidi="ar"/>
        </w:rPr>
        <w:t>违约。</w:t>
      </w:r>
    </w:p>
    <w:p w14:paraId="528EF6D0">
      <w:pPr>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1</w:t>
      </w:r>
      <w:r>
        <w:rPr>
          <w:rFonts w:hint="eastAsia" w:ascii="Times New Roman" w:hAnsi="Times New Roman" w:eastAsia="宋体" w:cs="Times New Roman"/>
          <w:b/>
          <w:color w:val="auto"/>
          <w:szCs w:val="21"/>
          <w:highlight w:val="none"/>
          <w:lang w:bidi="ar"/>
        </w:rPr>
        <w:t>3</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争端的解决</w:t>
      </w:r>
    </w:p>
    <w:p w14:paraId="19DAF7D6">
      <w:pPr>
        <w:spacing w:line="360" w:lineRule="auto"/>
        <w:ind w:firstLine="420" w:firstLineChars="200"/>
        <w:rPr>
          <w:rFonts w:hint="eastAsia" w:ascii="Times New Roman" w:hAnsi="Times New Roman" w:eastAsia="宋体" w:cs="宋体"/>
          <w:color w:val="auto"/>
          <w:szCs w:val="21"/>
          <w:highlight w:val="none"/>
          <w:lang w:bidi="ar"/>
        </w:rPr>
      </w:pPr>
      <w:r>
        <w:rPr>
          <w:rFonts w:hint="eastAsia" w:ascii="Times New Roman" w:hAnsi="Times New Roman" w:eastAsia="宋体" w:cs="宋体"/>
          <w:color w:val="auto"/>
          <w:szCs w:val="21"/>
          <w:highlight w:val="none"/>
          <w:lang w:bidi="ar"/>
        </w:rPr>
        <w:t>13.1甲乙双方应首先通过友好协商解决在执行本合同中所发生的或与本合同有关的一切争端。如协商开始30天内仍不能解决，可以按“合同条款前附表”第1</w:t>
      </w:r>
      <w:r>
        <w:rPr>
          <w:rFonts w:hint="eastAsia" w:ascii="Times New Roman" w:hAnsi="Times New Roman" w:eastAsia="宋体" w:cs="宋体"/>
          <w:color w:val="auto"/>
          <w:szCs w:val="21"/>
          <w:highlight w:val="none"/>
          <w:lang w:val="en-US" w:eastAsia="zh-CN" w:bidi="ar"/>
        </w:rPr>
        <w:t>3</w:t>
      </w:r>
      <w:r>
        <w:rPr>
          <w:rFonts w:hint="eastAsia" w:ascii="Times New Roman" w:hAnsi="Times New Roman" w:eastAsia="宋体" w:cs="宋体"/>
          <w:color w:val="auto"/>
          <w:szCs w:val="21"/>
          <w:highlight w:val="none"/>
          <w:lang w:bidi="ar"/>
        </w:rPr>
        <w:t>项“</w:t>
      </w:r>
      <w:r>
        <w:rPr>
          <w:rFonts w:hint="eastAsia" w:ascii="Times New Roman" w:hAnsi="Times New Roman" w:eastAsia="宋体" w:cs="宋体"/>
          <w:color w:val="auto"/>
          <w:szCs w:val="21"/>
          <w:highlight w:val="none"/>
          <w:lang w:eastAsia="zh-CN" w:bidi="ar"/>
        </w:rPr>
        <w:t>合同纠纷解决方式</w:t>
      </w:r>
      <w:r>
        <w:rPr>
          <w:rFonts w:hint="eastAsia" w:ascii="Times New Roman" w:hAnsi="Times New Roman" w:eastAsia="宋体" w:cs="宋体"/>
          <w:color w:val="auto"/>
          <w:szCs w:val="21"/>
          <w:highlight w:val="none"/>
          <w:lang w:bidi="ar"/>
        </w:rPr>
        <w:t>”提起仲裁或诉讼。</w:t>
      </w:r>
    </w:p>
    <w:p w14:paraId="73468280">
      <w:pPr>
        <w:spacing w:line="360" w:lineRule="auto"/>
        <w:ind w:firstLine="420" w:firstLineChars="200"/>
        <w:rPr>
          <w:rFonts w:hint="eastAsia"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13</w:t>
      </w:r>
      <w:r>
        <w:rPr>
          <w:rFonts w:hint="eastAsia" w:ascii="Times New Roman" w:hAnsi="Times New Roman" w:eastAsia="宋体" w:cs="Times New Roman"/>
          <w:color w:val="auto"/>
          <w:szCs w:val="21"/>
          <w:highlight w:val="none"/>
          <w:lang w:bidi="ar"/>
        </w:rPr>
        <w:t>.2.1诉讼应向甲方所在地人民法院提起诉讼。</w:t>
      </w:r>
    </w:p>
    <w:p w14:paraId="73A376B5">
      <w:pPr>
        <w:spacing w:line="360" w:lineRule="auto"/>
        <w:ind w:firstLine="420" w:firstLineChars="200"/>
        <w:rPr>
          <w:rFonts w:hint="eastAsia"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13</w:t>
      </w:r>
      <w:r>
        <w:rPr>
          <w:rFonts w:hint="eastAsia" w:ascii="Times New Roman" w:hAnsi="Times New Roman" w:eastAsia="宋体" w:cs="Times New Roman"/>
          <w:color w:val="auto"/>
          <w:szCs w:val="21"/>
          <w:highlight w:val="none"/>
          <w:lang w:bidi="ar"/>
        </w:rPr>
        <w:t>.2.2任何一方违反本合同约定的，守约方为解决案涉争议所支出的全部维权费用（包括但不限于案件受理费/诉讼费、保全费、</w:t>
      </w:r>
      <w:r>
        <w:rPr>
          <w:rFonts w:hint="eastAsia" w:ascii="Times New Roman" w:hAnsi="Times New Roman" w:eastAsia="宋体" w:cs="Times New Roman"/>
          <w:color w:val="auto"/>
          <w:szCs w:val="21"/>
          <w:highlight w:val="none"/>
          <w:lang w:val="en-US" w:eastAsia="zh-CN" w:bidi="ar"/>
        </w:rPr>
        <w:t>诉讼财产保全</w:t>
      </w:r>
      <w:r>
        <w:rPr>
          <w:rFonts w:hint="eastAsia" w:ascii="Times New Roman" w:hAnsi="Times New Roman" w:eastAsia="宋体" w:cs="Times New Roman"/>
          <w:color w:val="auto"/>
          <w:szCs w:val="21"/>
          <w:highlight w:val="none"/>
          <w:lang w:bidi="ar"/>
        </w:rPr>
        <w:t>保险费、律师费、司法鉴定费、公证费、调查取证费、差旅费、执行费等），均由违约方全额承担。</w:t>
      </w:r>
    </w:p>
    <w:p w14:paraId="7362059B">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13</w:t>
      </w:r>
      <w:r>
        <w:rPr>
          <w:rFonts w:hint="eastAsia" w:ascii="Times New Roman" w:hAnsi="Times New Roman" w:eastAsia="宋体" w:cs="Times New Roman"/>
          <w:color w:val="auto"/>
          <w:szCs w:val="21"/>
          <w:highlight w:val="none"/>
          <w:lang w:bidi="ar"/>
        </w:rPr>
        <w:t>.2.3在诉讼期间，除正在进行诉讼部分外，本合同的其它部分应继续执行。</w:t>
      </w:r>
    </w:p>
    <w:p w14:paraId="01D30DE6">
      <w:pPr>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1</w:t>
      </w:r>
      <w:r>
        <w:rPr>
          <w:rFonts w:hint="eastAsia" w:ascii="Times New Roman" w:hAnsi="Times New Roman" w:eastAsia="宋体" w:cs="Times New Roman"/>
          <w:b/>
          <w:color w:val="auto"/>
          <w:szCs w:val="21"/>
          <w:highlight w:val="none"/>
          <w:lang w:bidi="ar"/>
        </w:rPr>
        <w:t>4</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违约终止合同</w:t>
      </w:r>
    </w:p>
    <w:p w14:paraId="23C30312">
      <w:pPr>
        <w:topLinePunct/>
        <w:autoSpaceDE w:val="0"/>
        <w:autoSpaceDN w:val="0"/>
        <w:spacing w:line="360" w:lineRule="auto"/>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highlight w:val="none"/>
          <w:lang w:val="en-US" w:eastAsia="zh-CN" w:bidi="ar"/>
        </w:rPr>
        <w:t>合同在履行过程中，因采购计划调整，甲方可以要求中止履行，待计划确定后继续履行，若中止时间超过6个月的，甲方可视情况终止合同，双方互不承担责任；合同履行过程中因第三方就采购过程或结果提起投诉的，甲方认为有必要或财政部责令中止的，应当中止合同的履行。</w:t>
      </w:r>
    </w:p>
    <w:p w14:paraId="77DAB6C7">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highlight w:val="none"/>
          <w:lang w:bidi="ar"/>
        </w:rPr>
        <w:t>1</w:t>
      </w:r>
      <w:r>
        <w:rPr>
          <w:rFonts w:hint="eastAsia" w:ascii="Times New Roman" w:hAnsi="Times New Roman" w:eastAsia="宋体" w:cs="Times New Roman"/>
          <w:color w:val="auto"/>
          <w:highlight w:val="none"/>
          <w:lang w:bidi="ar"/>
        </w:rPr>
        <w:t>4</w:t>
      </w:r>
      <w:r>
        <w:rPr>
          <w:rFonts w:ascii="Times New Roman" w:hAnsi="Times New Roman" w:eastAsia="宋体" w:cs="Times New Roman"/>
          <w:color w:val="auto"/>
          <w:highlight w:val="none"/>
          <w:lang w:bidi="ar"/>
        </w:rPr>
        <w:t>.2</w:t>
      </w:r>
      <w:r>
        <w:rPr>
          <w:rFonts w:hint="eastAsia" w:ascii="Times New Roman" w:hAnsi="Times New Roman" w:eastAsia="宋体" w:cs="宋体"/>
          <w:color w:val="auto"/>
          <w:szCs w:val="21"/>
          <w:highlight w:val="none"/>
          <w:lang w:bidi="ar"/>
        </w:rPr>
        <w:t>若出现如下情况，在甲方对乙方违约行为而采取的任何补救措施不受影响的情况下，甲方可向乙方发出书面通知书，提出解除部分或全部合同。自甲方发出书面通知书之日起</w:t>
      </w:r>
      <w:r>
        <w:rPr>
          <w:rFonts w:ascii="Times New Roman" w:hAnsi="Times New Roman" w:eastAsia="宋体" w:cs="Times New Roman"/>
          <w:color w:val="auto"/>
          <w:szCs w:val="21"/>
          <w:highlight w:val="none"/>
          <w:lang w:bidi="ar"/>
        </w:rPr>
        <w:t>30</w:t>
      </w:r>
      <w:r>
        <w:rPr>
          <w:rFonts w:hint="eastAsia" w:ascii="Times New Roman" w:hAnsi="Times New Roman" w:eastAsia="宋体" w:cs="宋体"/>
          <w:color w:val="auto"/>
          <w:szCs w:val="21"/>
          <w:highlight w:val="none"/>
          <w:lang w:bidi="ar"/>
        </w:rPr>
        <w:t>日内，乙方应支付甲方合同总金额</w:t>
      </w:r>
      <w:r>
        <w:rPr>
          <w:rFonts w:ascii="Times New Roman" w:hAnsi="Times New Roman" w:eastAsia="宋体" w:cs="Times New Roman"/>
          <w:color w:val="auto"/>
          <w:szCs w:val="21"/>
          <w:highlight w:val="none"/>
          <w:lang w:bidi="ar"/>
        </w:rPr>
        <w:t>20%</w:t>
      </w:r>
      <w:r>
        <w:rPr>
          <w:rFonts w:hint="eastAsia" w:ascii="Times New Roman" w:hAnsi="Times New Roman" w:eastAsia="宋体" w:cs="宋体"/>
          <w:color w:val="auto"/>
          <w:szCs w:val="21"/>
          <w:highlight w:val="none"/>
          <w:lang w:bidi="ar"/>
        </w:rPr>
        <w:t>的违约金，并根据合同执行情况返还部分或全部已收取款项。乙方支付的违约金不足以弥补甲方损失的，应继续承担赔偿责任。</w:t>
      </w:r>
    </w:p>
    <w:p w14:paraId="0860C8CB">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.2.1</w:t>
      </w:r>
      <w:r>
        <w:rPr>
          <w:rFonts w:hint="eastAsia" w:ascii="Times New Roman" w:hAnsi="Times New Roman" w:eastAsia="宋体" w:cs="宋体"/>
          <w:color w:val="auto"/>
          <w:szCs w:val="21"/>
          <w:highlight w:val="none"/>
          <w:lang w:bidi="ar"/>
        </w:rPr>
        <w:t>乙方不履行合同</w:t>
      </w:r>
      <w:r>
        <w:rPr>
          <w:rFonts w:hint="eastAsia" w:ascii="Times New Roman" w:hAnsi="Times New Roman" w:cs="宋体"/>
          <w:color w:val="auto"/>
          <w:szCs w:val="21"/>
          <w:highlight w:val="none"/>
          <w:lang w:val="en-US" w:eastAsia="zh-CN" w:bidi="ar"/>
        </w:rPr>
        <w:t>义</w:t>
      </w:r>
      <w:r>
        <w:rPr>
          <w:rFonts w:hint="eastAsia" w:ascii="Times New Roman" w:hAnsi="Times New Roman" w:eastAsia="宋体" w:cs="宋体"/>
          <w:color w:val="auto"/>
          <w:szCs w:val="21"/>
          <w:highlight w:val="none"/>
          <w:lang w:bidi="ar"/>
        </w:rPr>
        <w:t>务或者履行合同义务不符合合同约定；</w:t>
      </w:r>
    </w:p>
    <w:p w14:paraId="33F0831D">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.2.2</w:t>
      </w:r>
      <w:r>
        <w:rPr>
          <w:rFonts w:hint="eastAsia" w:ascii="Times New Roman" w:hAnsi="Times New Roman" w:eastAsia="宋体" w:cs="宋体"/>
          <w:color w:val="auto"/>
          <w:szCs w:val="21"/>
          <w:highlight w:val="none"/>
          <w:lang w:bidi="ar"/>
        </w:rPr>
        <w:t>如果乙方未能在合同规定的期限或甲方同意延长的期限内提供服务；</w:t>
      </w:r>
    </w:p>
    <w:p w14:paraId="7681E4AB">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.2.3</w:t>
      </w:r>
      <w:r>
        <w:rPr>
          <w:rFonts w:hint="eastAsia" w:ascii="Times New Roman" w:hAnsi="Times New Roman" w:eastAsia="宋体" w:cs="宋体"/>
          <w:color w:val="auto"/>
          <w:szCs w:val="21"/>
          <w:highlight w:val="none"/>
          <w:lang w:bidi="ar"/>
        </w:rPr>
        <w:t>因乙方人员自身技术能力、经验不足等问题造成甲方发生重大紧急故障，带来重大影响和损失的；</w:t>
      </w:r>
    </w:p>
    <w:p w14:paraId="3EC6EF7D">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.2.4</w:t>
      </w:r>
      <w:r>
        <w:rPr>
          <w:rFonts w:hint="eastAsia" w:ascii="Times New Roman" w:hAnsi="Times New Roman" w:eastAsia="宋体" w:cs="宋体"/>
          <w:color w:val="auto"/>
          <w:szCs w:val="21"/>
          <w:highlight w:val="none"/>
          <w:lang w:bidi="ar"/>
        </w:rPr>
        <w:t>乙方对重大紧急故障没有及时响应，或不能在规定时间内解决处理故障、恢复正常运行的；</w:t>
      </w:r>
    </w:p>
    <w:p w14:paraId="1865E018">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.2.5</w:t>
      </w:r>
      <w:r>
        <w:rPr>
          <w:rFonts w:hint="eastAsia" w:ascii="Times New Roman" w:hAnsi="Times New Roman" w:eastAsia="宋体" w:cs="宋体"/>
          <w:color w:val="auto"/>
          <w:szCs w:val="21"/>
          <w:highlight w:val="none"/>
          <w:lang w:bidi="ar"/>
        </w:rPr>
        <w:t>不能满足本项目技术需求的管理要求和规范，且经多次整改无明显改进的；</w:t>
      </w:r>
    </w:p>
    <w:p w14:paraId="378DD126">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.2.6</w:t>
      </w:r>
      <w:r>
        <w:rPr>
          <w:rFonts w:hint="eastAsia" w:ascii="Times New Roman" w:hAnsi="Times New Roman" w:eastAsia="宋体" w:cs="宋体"/>
          <w:color w:val="auto"/>
          <w:szCs w:val="21"/>
          <w:highlight w:val="none"/>
        </w:rPr>
        <w:t>在合同服务期内，同一个应用系统在升级完善、运行维护支持服务过程中，出现</w:t>
      </w:r>
      <w:r>
        <w:rPr>
          <w:rFonts w:ascii="Times New Roman" w:hAnsi="Times New Roman" w:eastAsia="宋体" w:cs="Times New Roman"/>
          <w:color w:val="auto"/>
          <w:szCs w:val="21"/>
          <w:highlight w:val="none"/>
        </w:rPr>
        <w:t>5</w:t>
      </w:r>
      <w:r>
        <w:rPr>
          <w:rFonts w:hint="eastAsia" w:ascii="Times New Roman" w:hAnsi="Times New Roman" w:eastAsia="宋体" w:cs="宋体"/>
          <w:color w:val="auto"/>
          <w:szCs w:val="21"/>
          <w:highlight w:val="none"/>
        </w:rPr>
        <w:t>次经甲乙双方确认的用户投诉的；</w:t>
      </w:r>
    </w:p>
    <w:p w14:paraId="6932F08C">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.2.7</w:t>
      </w:r>
      <w:r>
        <w:rPr>
          <w:rFonts w:hint="eastAsia" w:ascii="Times New Roman" w:hAnsi="Times New Roman" w:eastAsia="宋体" w:cs="宋体"/>
          <w:color w:val="auto"/>
          <w:szCs w:val="21"/>
          <w:highlight w:val="none"/>
          <w:lang w:bidi="ar"/>
        </w:rPr>
        <w:t>乙方利用本项目实施过程中所产生的成果（包括发明、发现、可运行系统、源代码及相关技术资料、文档等），另行自行开发本合同业务范围内供纳税人缴费人使用的软件或产品的，或利用为税务机关提供信息化服务的便利，向纳税人缴费人搭车收费或变相收费的，或有其他失信行为的；</w:t>
      </w:r>
    </w:p>
    <w:p w14:paraId="0D133F8B">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.2.8</w:t>
      </w:r>
      <w:r>
        <w:rPr>
          <w:rFonts w:hint="eastAsia" w:ascii="Times New Roman" w:hAnsi="Times New Roman" w:eastAsia="宋体" w:cs="宋体"/>
          <w:color w:val="auto"/>
          <w:szCs w:val="21"/>
          <w:highlight w:val="none"/>
          <w:lang w:bidi="ar"/>
        </w:rPr>
        <w:t>乙方在本项目实施过程中发生违反网络安全规定行为造成不良后果的。</w:t>
      </w:r>
    </w:p>
    <w:p w14:paraId="460BD979">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.2.9</w:t>
      </w:r>
      <w:r>
        <w:rPr>
          <w:rFonts w:hint="eastAsia" w:ascii="Times New Roman" w:hAnsi="Times New Roman" w:eastAsia="宋体" w:cs="宋体"/>
          <w:color w:val="auto"/>
          <w:szCs w:val="21"/>
          <w:highlight w:val="none"/>
          <w:lang w:bidi="ar"/>
        </w:rPr>
        <w:t>乙方提供的服务侵犯甲方、第三方知识产权等合法权益的；</w:t>
      </w:r>
    </w:p>
    <w:p w14:paraId="4EC0593E">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.2.10</w:t>
      </w:r>
      <w:r>
        <w:rPr>
          <w:rFonts w:hint="eastAsia" w:ascii="Times New Roman" w:hAnsi="Times New Roman" w:eastAsia="宋体" w:cs="宋体"/>
          <w:color w:val="auto"/>
          <w:szCs w:val="21"/>
          <w:highlight w:val="none"/>
          <w:lang w:bidi="ar"/>
        </w:rPr>
        <w:t>乙方或乙方人员造成甲方或第三方经济损失而拒不赔偿的；</w:t>
      </w:r>
    </w:p>
    <w:p w14:paraId="19C62B45">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.2.11</w:t>
      </w:r>
      <w:r>
        <w:rPr>
          <w:rFonts w:hint="eastAsia" w:ascii="Times New Roman" w:hAnsi="Times New Roman" w:eastAsia="宋体" w:cs="宋体"/>
          <w:color w:val="auto"/>
          <w:szCs w:val="21"/>
          <w:highlight w:val="none"/>
          <w:lang w:bidi="ar"/>
        </w:rPr>
        <w:t>乙方转让其应履行的合同义务，或未经甲方同意采取分包方式履行合同</w:t>
      </w:r>
    </w:p>
    <w:p w14:paraId="72255033">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lang w:bidi="ar"/>
        </w:rPr>
        <w:t>的；</w:t>
      </w:r>
    </w:p>
    <w:p w14:paraId="6FF14DC9">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.2.12</w:t>
      </w:r>
      <w:r>
        <w:rPr>
          <w:rFonts w:hint="eastAsia" w:ascii="Times New Roman" w:hAnsi="Times New Roman" w:eastAsia="宋体" w:cs="宋体"/>
          <w:color w:val="auto"/>
          <w:szCs w:val="21"/>
          <w:highlight w:val="none"/>
          <w:lang w:bidi="ar"/>
        </w:rPr>
        <w:t>乙方有其他严重违约行为的。</w:t>
      </w:r>
    </w:p>
    <w:p w14:paraId="593D2249">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4</w:t>
      </w:r>
      <w:r>
        <w:rPr>
          <w:rFonts w:ascii="Times New Roman" w:hAnsi="Times New Roman" w:eastAsia="宋体" w:cs="Times New Roman"/>
          <w:color w:val="auto"/>
          <w:szCs w:val="21"/>
          <w:highlight w:val="none"/>
          <w:lang w:bidi="ar"/>
        </w:rPr>
        <w:t>.3</w:t>
      </w:r>
      <w:r>
        <w:rPr>
          <w:rFonts w:hint="eastAsia" w:ascii="Times New Roman" w:hAnsi="Times New Roman" w:eastAsia="宋体" w:cs="宋体"/>
          <w:color w:val="auto"/>
          <w:szCs w:val="21"/>
          <w:highlight w:val="none"/>
          <w:lang w:bidi="ar"/>
        </w:rPr>
        <w:t>如果甲方根据上述第</w:t>
      </w:r>
      <w:r>
        <w:rPr>
          <w:rFonts w:hint="eastAsia" w:ascii="Times New Roman" w:hAnsi="Times New Roman" w:cs="Times New Roman"/>
          <w:color w:val="auto"/>
          <w:szCs w:val="21"/>
          <w:highlight w:val="none"/>
          <w:lang w:val="en-US" w:eastAsia="zh-CN" w:bidi="ar"/>
        </w:rPr>
        <w:t>14</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条的规定，终止了全部或部分合同，甲方可以适当的条件和方法</w:t>
      </w:r>
      <w:r>
        <w:rPr>
          <w:rFonts w:hint="eastAsia" w:ascii="Times New Roman" w:hAnsi="Times New Roman" w:cs="宋体"/>
          <w:color w:val="auto"/>
          <w:szCs w:val="21"/>
          <w:highlight w:val="none"/>
          <w:lang w:val="en-US" w:eastAsia="zh-CN" w:bidi="ar"/>
        </w:rPr>
        <w:t>向第三方</w:t>
      </w:r>
      <w:r>
        <w:rPr>
          <w:rFonts w:hint="eastAsia" w:ascii="Times New Roman" w:hAnsi="Times New Roman" w:eastAsia="宋体" w:cs="宋体"/>
          <w:color w:val="auto"/>
          <w:szCs w:val="21"/>
          <w:highlight w:val="none"/>
          <w:lang w:bidi="ar"/>
        </w:rPr>
        <w:t>购买乙方未能提供的服务，乙方应</w:t>
      </w:r>
      <w:r>
        <w:rPr>
          <w:rFonts w:hint="eastAsia" w:ascii="Times New Roman" w:hAnsi="Times New Roman" w:cs="宋体"/>
          <w:color w:val="auto"/>
          <w:szCs w:val="21"/>
          <w:highlight w:val="none"/>
          <w:lang w:val="en-US" w:eastAsia="zh-CN" w:bidi="ar"/>
        </w:rPr>
        <w:t>承担</w:t>
      </w:r>
      <w:r>
        <w:rPr>
          <w:rFonts w:hint="eastAsia" w:ascii="Times New Roman" w:hAnsi="Times New Roman" w:eastAsia="宋体" w:cs="宋体"/>
          <w:color w:val="auto"/>
          <w:szCs w:val="21"/>
          <w:highlight w:val="none"/>
          <w:lang w:bidi="ar"/>
        </w:rPr>
        <w:t>甲方购买类似服务所超出的费用负责。同时，乙方应继续执行合同中未终止的部分。</w:t>
      </w:r>
    </w:p>
    <w:p w14:paraId="520F7CB0">
      <w:pPr>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1</w:t>
      </w:r>
      <w:r>
        <w:rPr>
          <w:rFonts w:hint="eastAsia" w:ascii="Times New Roman" w:hAnsi="Times New Roman" w:eastAsia="宋体" w:cs="Times New Roman"/>
          <w:b/>
          <w:color w:val="auto"/>
          <w:szCs w:val="21"/>
          <w:highlight w:val="none"/>
          <w:lang w:bidi="ar"/>
        </w:rPr>
        <w:t>5</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破产终止合同</w:t>
      </w:r>
    </w:p>
    <w:p w14:paraId="7D5BC348">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5</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如果乙方破产或无清偿能力，甲方可在任何时候以书面形式通知乙方终止合同而不给乙方补偿。</w:t>
      </w:r>
    </w:p>
    <w:p w14:paraId="2B5D01F0">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5</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该终止合同将不损害或影响甲方已经采取或将要采取的任何行动或补救措施的权力。</w:t>
      </w:r>
    </w:p>
    <w:p w14:paraId="578ABD12">
      <w:pPr>
        <w:topLinePunct/>
        <w:autoSpaceDE w:val="0"/>
        <w:autoSpaceDN w:val="0"/>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1</w:t>
      </w:r>
      <w:r>
        <w:rPr>
          <w:rFonts w:hint="eastAsia" w:ascii="Times New Roman" w:hAnsi="Times New Roman" w:eastAsia="宋体" w:cs="Times New Roman"/>
          <w:b/>
          <w:color w:val="auto"/>
          <w:szCs w:val="21"/>
          <w:highlight w:val="none"/>
          <w:lang w:bidi="ar"/>
        </w:rPr>
        <w:t>6</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其他情况的终止合同</w:t>
      </w:r>
    </w:p>
    <w:p w14:paraId="1FCE85DB">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6</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若合同继续履行将给甲方造成重大损失的，甲方可以终止合同而不给予乙方任何补偿。</w:t>
      </w:r>
    </w:p>
    <w:p w14:paraId="0AD403DE">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6</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乙方在执行合同的过程中发生重大事故或变故，对履行合同有直接影响的，甲方可以提出终止合同而不给予乙方任何补偿。</w:t>
      </w:r>
    </w:p>
    <w:p w14:paraId="5E3EF6E1">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6</w:t>
      </w:r>
      <w:r>
        <w:rPr>
          <w:rFonts w:ascii="Times New Roman" w:hAnsi="Times New Roman" w:eastAsia="宋体" w:cs="Times New Roman"/>
          <w:color w:val="auto"/>
          <w:szCs w:val="21"/>
          <w:highlight w:val="none"/>
          <w:lang w:bidi="ar"/>
        </w:rPr>
        <w:t>.3</w:t>
      </w:r>
      <w:r>
        <w:rPr>
          <w:rFonts w:hint="eastAsia" w:ascii="Times New Roman" w:hAnsi="Times New Roman" w:eastAsia="宋体" w:cs="宋体"/>
          <w:color w:val="auto"/>
          <w:szCs w:val="21"/>
          <w:highlight w:val="none"/>
          <w:lang w:bidi="ar"/>
        </w:rPr>
        <w:t>在服务期内，由于甲方工作</w:t>
      </w:r>
      <w:r>
        <w:rPr>
          <w:rFonts w:hint="eastAsia" w:ascii="Times New Roman" w:hAnsi="Times New Roman" w:eastAsia="宋体" w:cs="宋体"/>
          <w:color w:val="auto"/>
          <w:szCs w:val="21"/>
          <w:highlight w:val="none"/>
          <w:lang w:eastAsia="zh-CN" w:bidi="ar"/>
        </w:rPr>
        <w:t>政策调整、</w:t>
      </w:r>
      <w:r>
        <w:rPr>
          <w:rFonts w:hint="eastAsia" w:ascii="Times New Roman" w:hAnsi="Times New Roman" w:eastAsia="宋体" w:cs="宋体"/>
          <w:color w:val="auto"/>
          <w:szCs w:val="21"/>
          <w:highlight w:val="none"/>
          <w:lang w:bidi="ar"/>
        </w:rPr>
        <w:t>计划调整，推广使用新应用系统导致本项目相关服务停止的，甲方可以提出终止合同而不给予乙方任何补偿。</w:t>
      </w:r>
    </w:p>
    <w:p w14:paraId="2B8907B1">
      <w:pPr>
        <w:topLinePunct/>
        <w:autoSpaceDE w:val="0"/>
        <w:autoSpaceDN w:val="0"/>
        <w:spacing w:line="360" w:lineRule="auto"/>
        <w:ind w:firstLine="420" w:firstLineChars="200"/>
        <w:rPr>
          <w:rFonts w:hint="eastAsia" w:ascii="Times New Roman" w:hAnsi="Times New Roman" w:eastAsia="宋体" w:cs="宋体"/>
          <w:color w:val="auto"/>
          <w:highlight w:val="none"/>
          <w:lang w:bidi="ar"/>
        </w:rPr>
      </w:pPr>
      <w:r>
        <w:rPr>
          <w:rFonts w:ascii="Times New Roman" w:hAnsi="Times New Roman" w:eastAsia="宋体" w:cs="Times New Roman"/>
          <w:color w:val="auto"/>
          <w:highlight w:val="none"/>
          <w:lang w:bidi="ar"/>
        </w:rPr>
        <w:t>1</w:t>
      </w:r>
      <w:r>
        <w:rPr>
          <w:rFonts w:hint="eastAsia" w:ascii="Times New Roman" w:hAnsi="Times New Roman" w:eastAsia="宋体" w:cs="Times New Roman"/>
          <w:color w:val="auto"/>
          <w:highlight w:val="none"/>
          <w:lang w:bidi="ar"/>
        </w:rPr>
        <w:t>6</w:t>
      </w:r>
      <w:r>
        <w:rPr>
          <w:rFonts w:ascii="Times New Roman" w:hAnsi="Times New Roman" w:eastAsia="宋体" w:cs="Times New Roman"/>
          <w:color w:val="auto"/>
          <w:highlight w:val="none"/>
          <w:lang w:bidi="ar"/>
        </w:rPr>
        <w:t>.4</w:t>
      </w:r>
      <w:r>
        <w:rPr>
          <w:rFonts w:hint="eastAsia" w:ascii="Times New Roman" w:hAnsi="Times New Roman" w:eastAsia="宋体" w:cs="宋体"/>
          <w:color w:val="auto"/>
          <w:highlight w:val="none"/>
          <w:lang w:bidi="ar"/>
        </w:rPr>
        <w:t>甲方因</w:t>
      </w:r>
      <w:r>
        <w:rPr>
          <w:rFonts w:hint="eastAsia" w:cs="仿宋" w:asciiTheme="minorEastAsia" w:hAnsiTheme="minorEastAsia" w:eastAsiaTheme="minorEastAsia"/>
          <w:color w:val="auto"/>
          <w:szCs w:val="21"/>
          <w:highlight w:val="none"/>
          <w:lang w:val="zh-CN" w:eastAsia="zh-CN"/>
        </w:rPr>
        <w:t>采购内容需要调整等</w:t>
      </w:r>
      <w:r>
        <w:rPr>
          <w:rFonts w:hint="eastAsia" w:ascii="Times New Roman" w:hAnsi="Times New Roman" w:eastAsia="宋体" w:cs="宋体"/>
          <w:color w:val="auto"/>
          <w:highlight w:val="none"/>
          <w:lang w:bidi="ar"/>
        </w:rPr>
        <w:t>重大变故取消或部分取消原来的采购任务</w:t>
      </w:r>
      <w:r>
        <w:rPr>
          <w:rFonts w:hint="eastAsia" w:ascii="宋体" w:hAnsi="宋体" w:eastAsia="宋体" w:cs="宋体"/>
          <w:color w:val="auto"/>
          <w:highlight w:val="none"/>
          <w:lang w:bidi="ar"/>
        </w:rPr>
        <w:t>，</w:t>
      </w:r>
      <w:r>
        <w:rPr>
          <w:rFonts w:hint="eastAsia" w:ascii="Times New Roman" w:hAnsi="Times New Roman" w:eastAsia="宋体" w:cs="宋体"/>
          <w:color w:val="auto"/>
          <w:highlight w:val="none"/>
          <w:lang w:bidi="ar"/>
        </w:rPr>
        <w:t>导致合同全部或部分内容无须继续履行的</w:t>
      </w:r>
      <w:r>
        <w:rPr>
          <w:rFonts w:hint="eastAsia" w:ascii="宋体" w:hAnsi="宋体" w:eastAsia="宋体" w:cs="宋体"/>
          <w:color w:val="auto"/>
          <w:highlight w:val="none"/>
          <w:lang w:bidi="ar"/>
        </w:rPr>
        <w:t>，</w:t>
      </w:r>
      <w:r>
        <w:rPr>
          <w:rFonts w:hint="eastAsia" w:ascii="Times New Roman" w:hAnsi="Times New Roman" w:eastAsia="宋体" w:cs="宋体"/>
          <w:color w:val="auto"/>
          <w:highlight w:val="none"/>
          <w:lang w:bidi="ar"/>
        </w:rPr>
        <w:t>可以终止合同而不给予乙方任何补偿。</w:t>
      </w:r>
    </w:p>
    <w:p w14:paraId="44E19758">
      <w:pPr>
        <w:topLinePunct/>
        <w:autoSpaceDE w:val="0"/>
        <w:autoSpaceDN w:val="0"/>
        <w:spacing w:line="360" w:lineRule="auto"/>
        <w:ind w:firstLine="420" w:firstLineChars="200"/>
        <w:rPr>
          <w:rFonts w:hint="eastAsia" w:ascii="Times New Roman" w:hAnsi="Times New Roman" w:eastAsia="宋体" w:cs="宋体"/>
          <w:color w:val="auto"/>
          <w:highlight w:val="none"/>
          <w:lang w:bidi="ar"/>
        </w:rPr>
      </w:pPr>
      <w:r>
        <w:rPr>
          <w:rFonts w:hint="eastAsia" w:ascii="Times New Roman" w:hAnsi="Times New Roman" w:eastAsia="宋体" w:cs="宋体"/>
          <w:color w:val="auto"/>
          <w:highlight w:val="none"/>
          <w:lang w:val="en-US" w:eastAsia="zh-CN"/>
        </w:rPr>
        <w:t>16.5 甲方依据本合同约定单方面终止合同的，乙方服务费据实结算至合同终止之日。</w:t>
      </w:r>
    </w:p>
    <w:p w14:paraId="4CD23054">
      <w:pPr>
        <w:tabs>
          <w:tab w:val="left" w:pos="700"/>
        </w:tabs>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1</w:t>
      </w:r>
      <w:r>
        <w:rPr>
          <w:rFonts w:hint="eastAsia" w:ascii="Times New Roman" w:hAnsi="Times New Roman" w:eastAsia="宋体" w:cs="Times New Roman"/>
          <w:b/>
          <w:color w:val="auto"/>
          <w:szCs w:val="21"/>
          <w:highlight w:val="none"/>
          <w:lang w:bidi="ar"/>
        </w:rPr>
        <w:t>7</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合同修改或变更</w:t>
      </w:r>
    </w:p>
    <w:p w14:paraId="37ED1AD2">
      <w:pPr>
        <w:spacing w:line="360" w:lineRule="auto"/>
        <w:ind w:firstLine="482"/>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7</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highlight w:val="none"/>
          <w:lang w:bidi="ar"/>
        </w:rPr>
        <w:t>如无合同约定或法定事由，甲乙双方不得擅自变更合同。</w:t>
      </w:r>
    </w:p>
    <w:p w14:paraId="62F86869">
      <w:pPr>
        <w:spacing w:line="360" w:lineRule="auto"/>
        <w:ind w:firstLine="482"/>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7</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合同如有未尽事宜，须经甲乙双方共同协商，做出补充约定，并签订书面补充合同或变更协议。补充合同或变更协议作为本合同的一部分，与本合同具有同等效力。</w:t>
      </w:r>
    </w:p>
    <w:p w14:paraId="77719945">
      <w:pPr>
        <w:topLinePunct/>
        <w:autoSpaceDE w:val="0"/>
        <w:autoSpaceDN w:val="0"/>
        <w:spacing w:line="360" w:lineRule="auto"/>
        <w:ind w:firstLine="420" w:firstLineChars="200"/>
        <w:rPr>
          <w:rFonts w:ascii="Times New Roman" w:hAnsi="Times New Roman" w:eastAsia="宋体" w:cs="Times New Roman"/>
          <w:b/>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7</w:t>
      </w:r>
      <w:r>
        <w:rPr>
          <w:rFonts w:ascii="Times New Roman" w:hAnsi="Times New Roman" w:eastAsia="宋体" w:cs="Times New Roman"/>
          <w:color w:val="auto"/>
          <w:szCs w:val="21"/>
          <w:highlight w:val="none"/>
          <w:lang w:bidi="ar"/>
        </w:rPr>
        <w:t>.3</w:t>
      </w:r>
      <w:r>
        <w:rPr>
          <w:rFonts w:hint="eastAsia" w:ascii="Times New Roman" w:hAnsi="Times New Roman" w:eastAsia="宋体" w:cs="宋体"/>
          <w:color w:val="auto"/>
          <w:szCs w:val="21"/>
          <w:highlight w:val="none"/>
          <w:lang w:bidi="ar"/>
        </w:rPr>
        <w:t>除了双方签署</w:t>
      </w:r>
      <w:r>
        <w:rPr>
          <w:rFonts w:hint="eastAsia" w:ascii="Times New Roman" w:hAnsi="Times New Roman" w:cs="宋体"/>
          <w:color w:val="auto"/>
          <w:szCs w:val="21"/>
          <w:highlight w:val="none"/>
          <w:lang w:val="en-US" w:eastAsia="zh-CN" w:bidi="ar"/>
        </w:rPr>
        <w:t>补充合同</w:t>
      </w:r>
      <w:r>
        <w:rPr>
          <w:rFonts w:hint="eastAsia" w:ascii="Times New Roman" w:hAnsi="Times New Roman" w:eastAsia="宋体" w:cs="宋体"/>
          <w:color w:val="auto"/>
          <w:szCs w:val="21"/>
          <w:highlight w:val="none"/>
          <w:lang w:bidi="ar"/>
        </w:rPr>
        <w:t>或变更协议，并成为本合同不可分割的一部分的情况之外，本合同的条款不得有任何变化或修改。</w:t>
      </w:r>
    </w:p>
    <w:p w14:paraId="657499B5">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bidi="ar"/>
        </w:rPr>
        <w:t>7</w:t>
      </w:r>
      <w:r>
        <w:rPr>
          <w:rFonts w:ascii="Times New Roman" w:hAnsi="Times New Roman" w:eastAsia="宋体" w:cs="Times New Roman"/>
          <w:color w:val="auto"/>
          <w:szCs w:val="21"/>
          <w:highlight w:val="none"/>
          <w:lang w:bidi="ar"/>
        </w:rPr>
        <w:t>.4</w:t>
      </w:r>
      <w:r>
        <w:rPr>
          <w:rFonts w:hint="eastAsia" w:ascii="Times New Roman" w:hAnsi="Times New Roman" w:eastAsia="宋体" w:cs="宋体"/>
          <w:color w:val="auto"/>
          <w:szCs w:val="21"/>
          <w:highlight w:val="none"/>
          <w:lang w:bidi="ar"/>
        </w:rPr>
        <w:t>由于甲方项目统一规划等原因导致本项目停止部分服务的，甲方将启动合同变更程序，与乙方协商变更相关合同条款。</w:t>
      </w:r>
    </w:p>
    <w:p w14:paraId="3EFE877D">
      <w:pPr>
        <w:topLinePunct/>
        <w:autoSpaceDE w:val="0"/>
        <w:autoSpaceDN w:val="0"/>
        <w:spacing w:line="360" w:lineRule="auto"/>
        <w:ind w:firstLine="420" w:firstLineChars="200"/>
        <w:rPr>
          <w:rFonts w:ascii="Times New Roman" w:hAnsi="Times New Roman" w:eastAsia="宋体" w:cs="Times New Roman"/>
          <w:color w:val="auto"/>
          <w:szCs w:val="21"/>
          <w:highlight w:val="none"/>
          <w:lang w:bidi="ar"/>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val="en-US" w:eastAsia="zh-CN" w:bidi="ar"/>
        </w:rPr>
        <w:t>7</w:t>
      </w:r>
      <w:r>
        <w:rPr>
          <w:rFonts w:ascii="Times New Roman" w:hAnsi="Times New Roman" w:eastAsia="宋体" w:cs="Times New Roman"/>
          <w:color w:val="auto"/>
          <w:szCs w:val="21"/>
          <w:highlight w:val="none"/>
          <w:lang w:bidi="ar"/>
        </w:rPr>
        <w:t>.5</w:t>
      </w:r>
      <w:r>
        <w:rPr>
          <w:rFonts w:hint="eastAsia" w:ascii="Times New Roman" w:hAnsi="Times New Roman" w:eastAsia="宋体" w:cs="Times New Roman"/>
          <w:color w:val="auto"/>
          <w:szCs w:val="21"/>
          <w:highlight w:val="none"/>
          <w:lang w:bidi="ar"/>
        </w:rPr>
        <w:t>在不改变合同其他条款的前提下，甲方有权在合同价款</w:t>
      </w:r>
      <w:r>
        <w:rPr>
          <w:rFonts w:ascii="Times New Roman" w:hAnsi="Times New Roman" w:eastAsia="宋体" w:cs="Times New Roman"/>
          <w:color w:val="auto"/>
          <w:szCs w:val="21"/>
          <w:highlight w:val="none"/>
          <w:lang w:bidi="ar"/>
        </w:rPr>
        <w:t>10%</w:t>
      </w:r>
      <w:r>
        <w:rPr>
          <w:rFonts w:hint="eastAsia" w:ascii="Times New Roman" w:hAnsi="Times New Roman" w:eastAsia="宋体" w:cs="Times New Roman"/>
          <w:color w:val="auto"/>
          <w:szCs w:val="21"/>
          <w:highlight w:val="none"/>
          <w:lang w:bidi="ar"/>
        </w:rPr>
        <w:t>的范围内追加与合同标的相同的货物或服务，</w:t>
      </w:r>
      <w:r>
        <w:rPr>
          <w:rFonts w:hint="eastAsia" w:ascii="Times New Roman" w:hAnsi="Times New Roman" w:eastAsia="宋体" w:cs="Times New Roman"/>
          <w:color w:val="auto"/>
          <w:szCs w:val="21"/>
          <w:highlight w:val="none"/>
          <w:lang w:val="en-US" w:eastAsia="zh-CN"/>
        </w:rPr>
        <w:t>追加服务的定价按本合同分项报价表的单价执行，</w:t>
      </w:r>
      <w:r>
        <w:rPr>
          <w:rFonts w:hint="eastAsia" w:ascii="Times New Roman" w:hAnsi="Times New Roman" w:eastAsia="宋体" w:cs="Times New Roman"/>
          <w:color w:val="auto"/>
          <w:szCs w:val="21"/>
          <w:highlight w:val="none"/>
          <w:lang w:bidi="ar"/>
        </w:rPr>
        <w:t>并就此与乙方签订补充合同，乙方不得拒绝。</w:t>
      </w:r>
    </w:p>
    <w:p w14:paraId="0DA15708">
      <w:pPr>
        <w:spacing w:line="360" w:lineRule="auto"/>
        <w:ind w:firstLine="422" w:firstLineChars="200"/>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lang w:bidi="ar"/>
        </w:rPr>
        <w:t>1</w:t>
      </w:r>
      <w:r>
        <w:rPr>
          <w:rFonts w:hint="eastAsia" w:ascii="Times New Roman" w:hAnsi="Times New Roman" w:eastAsia="宋体" w:cs="Times New Roman"/>
          <w:b/>
          <w:color w:val="auto"/>
          <w:szCs w:val="21"/>
          <w:highlight w:val="none"/>
          <w:lang w:val="en-US" w:eastAsia="zh-CN" w:bidi="ar"/>
        </w:rPr>
        <w:t>8</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转让和分包</w:t>
      </w:r>
    </w:p>
    <w:p w14:paraId="62211D20">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val="en-US" w:eastAsia="zh-CN" w:bidi="ar"/>
        </w:rPr>
        <w:t>8</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除甲方事先书面同意外，乙方不得部分转让或全部转让其应履行的合同义务。</w:t>
      </w:r>
    </w:p>
    <w:p w14:paraId="22C6F585">
      <w:pPr>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bidi="ar"/>
        </w:rPr>
        <w:t>1</w:t>
      </w:r>
      <w:r>
        <w:rPr>
          <w:rFonts w:hint="eastAsia" w:ascii="Times New Roman" w:hAnsi="Times New Roman" w:eastAsia="宋体" w:cs="Times New Roman"/>
          <w:color w:val="auto"/>
          <w:szCs w:val="21"/>
          <w:highlight w:val="none"/>
          <w:lang w:val="en-US" w:eastAsia="zh-CN" w:bidi="ar"/>
        </w:rPr>
        <w:t>8</w:t>
      </w:r>
      <w:r>
        <w:rPr>
          <w:rFonts w:ascii="Times New Roman" w:hAnsi="Times New Roman" w:eastAsia="宋体" w:cs="Times New Roman"/>
          <w:color w:val="auto"/>
          <w:szCs w:val="21"/>
          <w:highlight w:val="none"/>
          <w:lang w:bidi="ar"/>
        </w:rPr>
        <w:t>.2</w:t>
      </w:r>
      <w:r>
        <w:rPr>
          <w:rFonts w:hint="eastAsia" w:ascii="Times New Roman" w:hAnsi="Times New Roman" w:eastAsia="宋体" w:cs="Times New Roman"/>
          <w:color w:val="auto"/>
          <w:szCs w:val="21"/>
          <w:highlight w:val="none"/>
          <w:lang w:val="en-US" w:eastAsia="zh-CN"/>
        </w:rPr>
        <w:t>未经甲方书面同意，</w:t>
      </w:r>
      <w:r>
        <w:rPr>
          <w:rFonts w:hint="eastAsia" w:ascii="Times New Roman" w:hAnsi="Times New Roman" w:eastAsia="宋体" w:cs="宋体"/>
          <w:color w:val="auto"/>
          <w:szCs w:val="21"/>
          <w:highlight w:val="none"/>
          <w:lang w:val="en-US" w:eastAsia="zh-CN"/>
        </w:rPr>
        <w:t>乙方不得将本合同项下的任何服务义务分包给第三方，甲方仅对本项目非核心、辅助性工作的分包申请予以审核。经甲方同意分包的，乙方就本合同分包项目向甲方承担连带责任，分包供应商就分包项目向甲方承担直接责任；甲方对分包供应商的审核认可，不免除乙方对分包项目的管理责任及全部合同义务，甲方有权直接向乙方主张全部合同权利</w:t>
      </w:r>
      <w:r>
        <w:rPr>
          <w:rFonts w:hint="eastAsia" w:ascii="Times New Roman" w:hAnsi="Times New Roman" w:eastAsia="宋体" w:cs="宋体"/>
          <w:color w:val="auto"/>
          <w:szCs w:val="21"/>
          <w:highlight w:val="none"/>
          <w:lang w:bidi="ar"/>
        </w:rPr>
        <w:t>。</w:t>
      </w:r>
    </w:p>
    <w:p w14:paraId="0656A000">
      <w:pPr>
        <w:topLinePunct/>
        <w:autoSpaceDE w:val="0"/>
        <w:autoSpaceDN w:val="0"/>
        <w:spacing w:line="360" w:lineRule="auto"/>
        <w:ind w:firstLine="422"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val="en-US" w:eastAsia="zh-CN" w:bidi="ar"/>
        </w:rPr>
        <w:t>19</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合同语言</w:t>
      </w:r>
    </w:p>
    <w:p w14:paraId="14728EB3">
      <w:pPr>
        <w:topLinePunct/>
        <w:autoSpaceDE w:val="0"/>
        <w:autoSpaceDN w:val="0"/>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bidi="ar"/>
        </w:rPr>
        <w:t>19</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lang w:bidi="ar"/>
        </w:rPr>
        <w:t>本合同语言为中文。</w:t>
      </w:r>
    </w:p>
    <w:p w14:paraId="45071CE3">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bidi="ar"/>
        </w:rPr>
        <w:t>19</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双方交换的与合同有关的信件和其他文件应用合同语言书写。</w:t>
      </w:r>
    </w:p>
    <w:p w14:paraId="0C9AF7F6">
      <w:pPr>
        <w:spacing w:line="360" w:lineRule="auto"/>
        <w:ind w:firstLine="422"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bidi="ar"/>
        </w:rPr>
        <w:t>2</w:t>
      </w:r>
      <w:r>
        <w:rPr>
          <w:rFonts w:hint="eastAsia" w:ascii="Times New Roman" w:hAnsi="Times New Roman" w:eastAsia="宋体" w:cs="Times New Roman"/>
          <w:b/>
          <w:color w:val="auto"/>
          <w:szCs w:val="21"/>
          <w:highlight w:val="none"/>
          <w:lang w:val="en-US" w:eastAsia="zh-CN" w:bidi="ar"/>
        </w:rPr>
        <w:t>0</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适用法律</w:t>
      </w:r>
    </w:p>
    <w:p w14:paraId="4D963436">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2</w:t>
      </w:r>
      <w:r>
        <w:rPr>
          <w:rFonts w:hint="eastAsia" w:ascii="Times New Roman" w:hAnsi="Times New Roman" w:eastAsia="宋体" w:cs="Times New Roman"/>
          <w:color w:val="auto"/>
          <w:szCs w:val="21"/>
          <w:highlight w:val="none"/>
          <w:lang w:val="en-US" w:eastAsia="zh-CN" w:bidi="ar"/>
        </w:rPr>
        <w:t>0</w:t>
      </w:r>
      <w:r>
        <w:rPr>
          <w:rFonts w:ascii="Times New Roman" w:hAnsi="Times New Roman" w:eastAsia="宋体" w:cs="Times New Roman"/>
          <w:color w:val="auto"/>
          <w:szCs w:val="21"/>
          <w:highlight w:val="none"/>
          <w:lang w:bidi="ar"/>
        </w:rPr>
        <w:t>.1</w:t>
      </w:r>
      <w:r>
        <w:rPr>
          <w:rFonts w:hint="eastAsia" w:ascii="Times New Roman" w:hAnsi="Times New Roman" w:eastAsia="宋体" w:cs="宋体"/>
          <w:color w:val="auto"/>
          <w:szCs w:val="21"/>
          <w:highlight w:val="none"/>
        </w:rPr>
        <w:t>本合同适用中华人民共和国现行法律、行政法规和规章，如合同条款与法律、行政法规和规章不一致的，按照法律、行政法规和规章修改本合同。</w:t>
      </w:r>
    </w:p>
    <w:p w14:paraId="62E637A6">
      <w:pPr>
        <w:spacing w:line="360" w:lineRule="auto"/>
        <w:ind w:firstLine="420" w:firstLineChars="20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bidi="ar"/>
        </w:rPr>
        <w:t>2</w:t>
      </w:r>
      <w:r>
        <w:rPr>
          <w:rFonts w:hint="eastAsia" w:ascii="Times New Roman" w:hAnsi="Times New Roman" w:eastAsia="宋体" w:cs="Times New Roman"/>
          <w:color w:val="auto"/>
          <w:szCs w:val="21"/>
          <w:highlight w:val="none"/>
          <w:lang w:val="en-US" w:eastAsia="zh-CN" w:bidi="ar"/>
        </w:rPr>
        <w:t>0</w:t>
      </w:r>
      <w:r>
        <w:rPr>
          <w:rFonts w:ascii="Times New Roman" w:hAnsi="Times New Roman" w:eastAsia="宋体" w:cs="Times New Roman"/>
          <w:color w:val="auto"/>
          <w:szCs w:val="21"/>
          <w:highlight w:val="none"/>
          <w:lang w:bidi="ar"/>
        </w:rPr>
        <w:t>.2</w:t>
      </w:r>
      <w:r>
        <w:rPr>
          <w:rFonts w:hint="eastAsia" w:ascii="Times New Roman" w:hAnsi="Times New Roman" w:eastAsia="宋体" w:cs="宋体"/>
          <w:color w:val="auto"/>
          <w:szCs w:val="21"/>
          <w:highlight w:val="none"/>
          <w:lang w:bidi="ar"/>
        </w:rPr>
        <w:t>本合同的履行、违约责任和解决争议的方法等适用《中华人民共和国民法典（合同编）》。</w:t>
      </w:r>
    </w:p>
    <w:p w14:paraId="3C9BAFD2">
      <w:pPr>
        <w:topLinePunct/>
        <w:autoSpaceDE w:val="0"/>
        <w:autoSpaceDN w:val="0"/>
        <w:spacing w:line="360" w:lineRule="auto"/>
        <w:ind w:firstLine="422" w:firstLineChars="200"/>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bidi="ar"/>
        </w:rPr>
        <w:t>2</w:t>
      </w:r>
      <w:r>
        <w:rPr>
          <w:rFonts w:hint="eastAsia" w:ascii="Times New Roman" w:hAnsi="Times New Roman" w:eastAsia="宋体" w:cs="Times New Roman"/>
          <w:b/>
          <w:color w:val="auto"/>
          <w:szCs w:val="21"/>
          <w:highlight w:val="none"/>
          <w:lang w:val="en-US" w:eastAsia="zh-CN" w:bidi="ar"/>
        </w:rPr>
        <w:t>1</w:t>
      </w:r>
      <w:r>
        <w:rPr>
          <w:rFonts w:ascii="Times New Roman" w:hAnsi="Times New Roman" w:eastAsia="宋体" w:cs="Times New Roman"/>
          <w:b/>
          <w:color w:val="auto"/>
          <w:szCs w:val="21"/>
          <w:highlight w:val="none"/>
          <w:lang w:bidi="ar"/>
        </w:rPr>
        <w:t xml:space="preserve">. </w:t>
      </w:r>
      <w:r>
        <w:rPr>
          <w:rFonts w:hint="eastAsia" w:ascii="Times New Roman" w:hAnsi="Times New Roman" w:eastAsia="宋体" w:cs="宋体"/>
          <w:b/>
          <w:color w:val="auto"/>
          <w:szCs w:val="21"/>
          <w:highlight w:val="none"/>
          <w:lang w:bidi="ar"/>
        </w:rPr>
        <w:t>税费</w:t>
      </w:r>
    </w:p>
    <w:p w14:paraId="0F4BC559">
      <w:pPr>
        <w:topLinePunct/>
        <w:autoSpaceDE w:val="0"/>
        <w:autoSpaceDN w:val="0"/>
        <w:spacing w:line="360" w:lineRule="auto"/>
        <w:ind w:firstLine="420" w:firstLineChars="200"/>
        <w:rPr>
          <w:rFonts w:hint="eastAsia" w:ascii="Times New Roman" w:hAnsi="Times New Roman" w:eastAsia="宋体" w:cs="宋体"/>
          <w:color w:val="auto"/>
          <w:szCs w:val="21"/>
          <w:highlight w:val="none"/>
          <w:lang w:bidi="ar"/>
        </w:rPr>
      </w:pPr>
      <w:r>
        <w:rPr>
          <w:rFonts w:hint="eastAsia" w:ascii="Times New Roman" w:hAnsi="Times New Roman" w:eastAsia="宋体" w:cs="宋体"/>
          <w:color w:val="auto"/>
          <w:szCs w:val="21"/>
          <w:highlight w:val="none"/>
          <w:lang w:bidi="ar"/>
        </w:rPr>
        <w:t>2</w:t>
      </w:r>
      <w:r>
        <w:rPr>
          <w:rFonts w:hint="eastAsia" w:ascii="Times New Roman" w:hAnsi="Times New Roman" w:eastAsia="宋体" w:cs="宋体"/>
          <w:color w:val="auto"/>
          <w:szCs w:val="21"/>
          <w:highlight w:val="none"/>
          <w:lang w:val="en-US" w:eastAsia="zh-CN" w:bidi="ar"/>
        </w:rPr>
        <w:t>1</w:t>
      </w:r>
      <w:r>
        <w:rPr>
          <w:rFonts w:hint="eastAsia" w:ascii="Times New Roman" w:hAnsi="Times New Roman" w:eastAsia="宋体" w:cs="宋体"/>
          <w:color w:val="auto"/>
          <w:szCs w:val="21"/>
          <w:highlight w:val="none"/>
          <w:lang w:bidi="ar"/>
        </w:rPr>
        <w:t>.1合同服务的所有税费均已包含于合同价中，甲方不再另行支付。</w:t>
      </w:r>
    </w:p>
    <w:p w14:paraId="6EA02DCD">
      <w:pPr>
        <w:topLinePunct/>
        <w:autoSpaceDE w:val="0"/>
        <w:autoSpaceDN w:val="0"/>
        <w:spacing w:line="360" w:lineRule="auto"/>
        <w:ind w:firstLine="422" w:firstLineChars="200"/>
        <w:rPr>
          <w:rFonts w:hint="eastAsia" w:ascii="Times New Roman" w:hAnsi="Times New Roman" w:eastAsia="宋体" w:cs="Times New Roman"/>
          <w:b/>
          <w:color w:val="auto"/>
          <w:szCs w:val="21"/>
          <w:highlight w:val="none"/>
          <w:lang w:bidi="ar"/>
        </w:rPr>
      </w:pPr>
      <w:r>
        <w:rPr>
          <w:rFonts w:hint="eastAsia" w:ascii="Times New Roman" w:hAnsi="Times New Roman" w:eastAsia="宋体" w:cs="Times New Roman"/>
          <w:b/>
          <w:color w:val="auto"/>
          <w:szCs w:val="21"/>
          <w:highlight w:val="none"/>
          <w:lang w:bidi="ar"/>
        </w:rPr>
        <w:t>2</w:t>
      </w:r>
      <w:r>
        <w:rPr>
          <w:rFonts w:hint="eastAsia" w:ascii="Times New Roman" w:hAnsi="Times New Roman" w:eastAsia="宋体" w:cs="Times New Roman"/>
          <w:b/>
          <w:color w:val="auto"/>
          <w:szCs w:val="21"/>
          <w:highlight w:val="none"/>
          <w:lang w:val="en-US" w:eastAsia="zh-CN" w:bidi="ar"/>
        </w:rPr>
        <w:t>2</w:t>
      </w:r>
      <w:r>
        <w:rPr>
          <w:rFonts w:hint="eastAsia" w:ascii="Times New Roman" w:hAnsi="Times New Roman" w:eastAsia="宋体" w:cs="Times New Roman"/>
          <w:b/>
          <w:color w:val="auto"/>
          <w:szCs w:val="21"/>
          <w:highlight w:val="none"/>
          <w:lang w:bidi="ar"/>
        </w:rPr>
        <w:t>.</w:t>
      </w:r>
      <w:r>
        <w:rPr>
          <w:rFonts w:hint="eastAsia" w:ascii="Times New Roman" w:hAnsi="Times New Roman" w:eastAsia="宋体" w:cs="Times New Roman"/>
          <w:b/>
          <w:color w:val="auto"/>
          <w:szCs w:val="21"/>
          <w:highlight w:val="none"/>
          <w:lang w:val="en-US" w:eastAsia="zh-CN" w:bidi="ar"/>
        </w:rPr>
        <w:t xml:space="preserve"> </w:t>
      </w:r>
      <w:r>
        <w:rPr>
          <w:rFonts w:hint="eastAsia" w:ascii="Times New Roman" w:hAnsi="Times New Roman" w:eastAsia="宋体" w:cs="Times New Roman"/>
          <w:b/>
          <w:color w:val="auto"/>
          <w:szCs w:val="21"/>
          <w:highlight w:val="none"/>
          <w:lang w:bidi="ar"/>
        </w:rPr>
        <w:t>合同效力</w:t>
      </w:r>
    </w:p>
    <w:p w14:paraId="1FE6A89E">
      <w:pPr>
        <w:topLinePunct/>
        <w:autoSpaceDE w:val="0"/>
        <w:autoSpaceDN w:val="0"/>
        <w:spacing w:line="360" w:lineRule="auto"/>
        <w:ind w:firstLine="420" w:firstLineChars="200"/>
        <w:rPr>
          <w:rFonts w:hint="eastAsia" w:ascii="Times New Roman" w:hAnsi="Times New Roman" w:eastAsia="宋体" w:cs="宋体"/>
          <w:color w:val="auto"/>
          <w:szCs w:val="21"/>
          <w:highlight w:val="none"/>
          <w:lang w:bidi="ar"/>
        </w:rPr>
      </w:pPr>
      <w:r>
        <w:rPr>
          <w:rFonts w:hint="eastAsia" w:ascii="Times New Roman" w:hAnsi="Times New Roman" w:eastAsia="宋体" w:cs="宋体"/>
          <w:color w:val="auto"/>
          <w:szCs w:val="21"/>
          <w:highlight w:val="none"/>
          <w:lang w:bidi="ar"/>
        </w:rPr>
        <w:t>2</w:t>
      </w:r>
      <w:r>
        <w:rPr>
          <w:rFonts w:hint="eastAsia" w:ascii="Times New Roman" w:hAnsi="Times New Roman" w:eastAsia="宋体" w:cs="宋体"/>
          <w:color w:val="auto"/>
          <w:szCs w:val="21"/>
          <w:highlight w:val="none"/>
          <w:lang w:val="en-US" w:eastAsia="zh-CN" w:bidi="ar"/>
        </w:rPr>
        <w:t>2</w:t>
      </w:r>
      <w:r>
        <w:rPr>
          <w:rFonts w:hint="eastAsia" w:ascii="Times New Roman" w:hAnsi="Times New Roman" w:eastAsia="宋体" w:cs="宋体"/>
          <w:color w:val="auto"/>
          <w:szCs w:val="21"/>
          <w:highlight w:val="none"/>
          <w:lang w:bidi="ar"/>
        </w:rPr>
        <w:t>.1除本合同和甲乙双方书面签署的补充协议外，其他任何形式的双方约定和往来函件均不具有合同效力，对本项目无约束。</w:t>
      </w:r>
    </w:p>
    <w:p w14:paraId="1B2BCF4C">
      <w:pPr>
        <w:numPr>
          <w:ilvl w:val="0"/>
          <w:numId w:val="0"/>
        </w:numPr>
        <w:topLinePunct/>
        <w:autoSpaceDE w:val="0"/>
        <w:autoSpaceDN w:val="0"/>
        <w:spacing w:line="360" w:lineRule="auto"/>
        <w:ind w:firstLine="422" w:firstLineChars="200"/>
        <w:rPr>
          <w:rFonts w:hint="eastAsia" w:ascii="Times New Roman" w:hAnsi="Times New Roman" w:eastAsia="宋体" w:cs="Times New Roman"/>
          <w:b/>
          <w:color w:val="auto"/>
          <w:szCs w:val="21"/>
          <w:highlight w:val="none"/>
          <w:lang w:bidi="ar"/>
        </w:rPr>
      </w:pPr>
      <w:r>
        <w:rPr>
          <w:rFonts w:hint="eastAsia" w:ascii="Times New Roman" w:hAnsi="Times New Roman" w:eastAsia="宋体" w:cs="Times New Roman"/>
          <w:b/>
          <w:color w:val="auto"/>
          <w:szCs w:val="21"/>
          <w:highlight w:val="none"/>
          <w:lang w:val="en-US" w:eastAsia="zh-CN" w:bidi="ar"/>
        </w:rPr>
        <w:t xml:space="preserve">23. </w:t>
      </w:r>
      <w:r>
        <w:rPr>
          <w:rFonts w:hint="eastAsia" w:ascii="Times New Roman" w:hAnsi="Times New Roman" w:eastAsia="宋体" w:cs="Times New Roman"/>
          <w:b/>
          <w:color w:val="auto"/>
          <w:szCs w:val="21"/>
          <w:highlight w:val="none"/>
          <w:lang w:bidi="ar"/>
        </w:rPr>
        <w:t>检查和审计</w:t>
      </w:r>
    </w:p>
    <w:p w14:paraId="388909E2">
      <w:pPr>
        <w:topLinePunct/>
        <w:autoSpaceDE w:val="0"/>
        <w:autoSpaceDN w:val="0"/>
        <w:spacing w:line="360" w:lineRule="auto"/>
        <w:ind w:firstLine="420" w:firstLineChars="200"/>
        <w:rPr>
          <w:rFonts w:hint="eastAsia" w:ascii="Times New Roman" w:hAnsi="Times New Roman" w:eastAsia="宋体" w:cs="宋体"/>
          <w:color w:val="auto"/>
          <w:szCs w:val="21"/>
          <w:highlight w:val="none"/>
          <w:lang w:bidi="ar"/>
        </w:rPr>
      </w:pPr>
      <w:r>
        <w:rPr>
          <w:rFonts w:hint="eastAsia" w:ascii="Times New Roman" w:hAnsi="Times New Roman" w:eastAsia="宋体" w:cs="宋体"/>
          <w:color w:val="auto"/>
          <w:szCs w:val="21"/>
          <w:highlight w:val="none"/>
          <w:lang w:bidi="ar"/>
        </w:rPr>
        <w:t>2</w:t>
      </w:r>
      <w:r>
        <w:rPr>
          <w:rFonts w:hint="eastAsia" w:ascii="Times New Roman" w:hAnsi="Times New Roman" w:eastAsia="宋体" w:cs="宋体"/>
          <w:color w:val="auto"/>
          <w:szCs w:val="21"/>
          <w:highlight w:val="none"/>
          <w:lang w:val="en-US" w:eastAsia="zh-CN" w:bidi="ar"/>
        </w:rPr>
        <w:t>3</w:t>
      </w:r>
      <w:r>
        <w:rPr>
          <w:rFonts w:hint="eastAsia" w:ascii="Times New Roman" w:hAnsi="Times New Roman" w:eastAsia="宋体" w:cs="宋体"/>
          <w:color w:val="auto"/>
          <w:szCs w:val="21"/>
          <w:highlight w:val="none"/>
          <w:lang w:bidi="ar"/>
        </w:rPr>
        <w:t>.1在本合同的履行过程中，甲方有权对乙方的合同履约情况进行阶段性检查，并对乙方投标时提供的相关资料进行复核。</w:t>
      </w:r>
    </w:p>
    <w:p w14:paraId="179256EA">
      <w:pPr>
        <w:topLinePunct/>
        <w:autoSpaceDE w:val="0"/>
        <w:autoSpaceDN w:val="0"/>
        <w:spacing w:line="360" w:lineRule="auto"/>
        <w:ind w:firstLine="420" w:firstLineChars="200"/>
        <w:rPr>
          <w:rFonts w:hint="eastAsia" w:ascii="Times New Roman" w:hAnsi="Times New Roman" w:eastAsia="宋体" w:cs="宋体"/>
          <w:color w:val="auto"/>
          <w:szCs w:val="21"/>
          <w:highlight w:val="none"/>
          <w:lang w:bidi="ar"/>
        </w:rPr>
      </w:pPr>
      <w:r>
        <w:rPr>
          <w:rFonts w:hint="eastAsia" w:ascii="Times New Roman" w:hAnsi="Times New Roman" w:eastAsia="宋体" w:cs="宋体"/>
          <w:color w:val="auto"/>
          <w:szCs w:val="21"/>
          <w:highlight w:val="none"/>
          <w:lang w:bidi="ar"/>
        </w:rPr>
        <w:t>2</w:t>
      </w:r>
      <w:r>
        <w:rPr>
          <w:rFonts w:hint="eastAsia" w:ascii="Times New Roman" w:hAnsi="Times New Roman" w:eastAsia="宋体" w:cs="宋体"/>
          <w:color w:val="auto"/>
          <w:szCs w:val="21"/>
          <w:highlight w:val="none"/>
          <w:lang w:val="en-US" w:eastAsia="zh-CN" w:bidi="ar"/>
        </w:rPr>
        <w:t>3</w:t>
      </w:r>
      <w:r>
        <w:rPr>
          <w:rFonts w:hint="eastAsia" w:ascii="Times New Roman" w:hAnsi="Times New Roman" w:eastAsia="宋体" w:cs="宋体"/>
          <w:color w:val="auto"/>
          <w:szCs w:val="21"/>
          <w:highlight w:val="none"/>
          <w:lang w:bidi="ar"/>
        </w:rPr>
        <w:t>.2在本合同的履行过程中，如果甲乙双方发生争议或者乙方没有按照合同约定履行义务，乙方应允许甲方检查乙方与实施本合同有关的账户和记录，并由甲方指定的审计人员对其进行审计。</w:t>
      </w:r>
    </w:p>
    <w:p w14:paraId="5BE6F307">
      <w:pPr>
        <w:numPr>
          <w:ilvl w:val="0"/>
          <w:numId w:val="0"/>
        </w:numPr>
        <w:topLinePunct/>
        <w:autoSpaceDE w:val="0"/>
        <w:autoSpaceDN w:val="0"/>
        <w:spacing w:line="360" w:lineRule="auto"/>
        <w:ind w:firstLine="422" w:firstLineChars="200"/>
        <w:rPr>
          <w:rFonts w:hint="eastAsia" w:ascii="Times New Roman" w:hAnsi="Times New Roman" w:eastAsia="宋体" w:cs="Times New Roman"/>
          <w:b/>
          <w:color w:val="auto"/>
          <w:szCs w:val="21"/>
          <w:highlight w:val="none"/>
          <w:lang w:bidi="ar"/>
        </w:rPr>
      </w:pPr>
      <w:r>
        <w:rPr>
          <w:rFonts w:hint="eastAsia" w:ascii="Times New Roman" w:hAnsi="Times New Roman" w:eastAsia="宋体" w:cs="Times New Roman"/>
          <w:b/>
          <w:color w:val="auto"/>
          <w:szCs w:val="21"/>
          <w:highlight w:val="none"/>
          <w:lang w:bidi="ar"/>
        </w:rPr>
        <w:t>2</w:t>
      </w:r>
      <w:r>
        <w:rPr>
          <w:rFonts w:hint="eastAsia" w:ascii="Times New Roman" w:hAnsi="Times New Roman" w:eastAsia="宋体" w:cs="Times New Roman"/>
          <w:b/>
          <w:color w:val="auto"/>
          <w:szCs w:val="21"/>
          <w:highlight w:val="none"/>
          <w:lang w:val="en-US" w:eastAsia="zh-CN" w:bidi="ar"/>
        </w:rPr>
        <w:t>4</w:t>
      </w:r>
      <w:r>
        <w:rPr>
          <w:rFonts w:hint="eastAsia" w:ascii="Times New Roman" w:hAnsi="Times New Roman" w:eastAsia="宋体" w:cs="Times New Roman"/>
          <w:b/>
          <w:color w:val="auto"/>
          <w:szCs w:val="21"/>
          <w:highlight w:val="none"/>
          <w:lang w:bidi="ar"/>
        </w:rPr>
        <w:t>. 合同生效</w:t>
      </w:r>
    </w:p>
    <w:p w14:paraId="1A6A6D73">
      <w:pPr>
        <w:widowControl/>
        <w:topLinePunct/>
        <w:autoSpaceDE w:val="0"/>
        <w:autoSpaceDN w:val="0"/>
        <w:spacing w:line="360" w:lineRule="auto"/>
        <w:ind w:firstLine="420" w:firstLineChars="200"/>
        <w:jc w:val="left"/>
        <w:rPr>
          <w:rFonts w:ascii="Calibri" w:hAnsi="Calibri" w:eastAsia="宋体" w:cs="Times New Roman"/>
          <w:color w:val="auto"/>
          <w:highlight w:val="none"/>
        </w:rPr>
      </w:pPr>
      <w:r>
        <w:rPr>
          <w:rFonts w:ascii="Times New Roman" w:hAnsi="Times New Roman" w:eastAsia="宋体" w:cs="Times New Roman"/>
          <w:color w:val="auto"/>
          <w:szCs w:val="21"/>
          <w:highlight w:val="none"/>
          <w:lang w:bidi="ar"/>
        </w:rPr>
        <w:t>2</w:t>
      </w:r>
      <w:r>
        <w:rPr>
          <w:rFonts w:hint="eastAsia" w:ascii="Times New Roman" w:hAnsi="Times New Roman" w:eastAsia="宋体" w:cs="Times New Roman"/>
          <w:color w:val="auto"/>
          <w:szCs w:val="21"/>
          <w:highlight w:val="none"/>
          <w:lang w:val="en-US" w:eastAsia="zh-CN" w:bidi="ar"/>
        </w:rPr>
        <w:t>4</w:t>
      </w:r>
      <w:r>
        <w:rPr>
          <w:rFonts w:ascii="Times New Roman" w:hAnsi="Times New Roman" w:eastAsia="宋体" w:cs="Times New Roman"/>
          <w:color w:val="auto"/>
          <w:szCs w:val="21"/>
          <w:highlight w:val="none"/>
          <w:lang w:bidi="ar"/>
        </w:rPr>
        <w:t>.1</w:t>
      </w: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lang w:eastAsia="zh-CN"/>
        </w:rPr>
        <w:t>七</w:t>
      </w:r>
      <w:r>
        <w:rPr>
          <w:rFonts w:hint="eastAsia" w:ascii="宋体" w:hAnsi="宋体" w:eastAsia="宋体" w:cs="宋体"/>
          <w:color w:val="auto"/>
          <w:szCs w:val="21"/>
          <w:highlight w:val="none"/>
        </w:rPr>
        <w:t>份，具有同等法律效力，甲方四份，乙方二份，采购代理机构</w:t>
      </w:r>
      <w:r>
        <w:rPr>
          <w:rFonts w:hint="eastAsia" w:ascii="宋体" w:hAnsi="宋体" w:eastAsia="宋体" w:cs="宋体"/>
          <w:color w:val="auto"/>
          <w:szCs w:val="21"/>
          <w:highlight w:val="none"/>
          <w:lang w:eastAsia="zh-CN"/>
        </w:rPr>
        <w:t>一</w:t>
      </w:r>
      <w:r>
        <w:rPr>
          <w:rFonts w:hint="eastAsia" w:ascii="宋体" w:hAnsi="宋体" w:eastAsia="宋体" w:cs="宋体"/>
          <w:color w:val="auto"/>
          <w:szCs w:val="21"/>
          <w:highlight w:val="none"/>
        </w:rPr>
        <w:t>份，由甲乙双方法定代表人或被授权人签字并盖章后生效。</w:t>
      </w:r>
      <w:r>
        <w:rPr>
          <w:rFonts w:hint="eastAsia" w:ascii="Times New Roman" w:hAnsi="Times New Roman" w:eastAsia="宋体" w:cs="Times New Roman"/>
          <w:color w:val="auto"/>
          <w:szCs w:val="21"/>
          <w:highlight w:val="none"/>
          <w:lang w:bidi="ar"/>
        </w:rPr>
        <w:t>乙方由法定代表人签订合同的，应提供法定代表人身份证复印件；乙方由被授权人签订合同的，应提供授权委托书和被授权人身份证复印件</w:t>
      </w:r>
      <w:r>
        <w:rPr>
          <w:rFonts w:hint="eastAsia" w:ascii="宋体" w:hAnsi="宋体" w:eastAsia="宋体" w:cs="宋体"/>
          <w:color w:val="auto"/>
          <w:szCs w:val="21"/>
          <w:highlight w:val="none"/>
        </w:rPr>
        <w:t>。</w:t>
      </w:r>
    </w:p>
    <w:p w14:paraId="38FFF1A9">
      <w:pPr>
        <w:spacing w:line="360" w:lineRule="auto"/>
        <w:ind w:firstLine="420" w:firstLineChars="200"/>
        <w:rPr>
          <w:rFonts w:ascii="Times New Roman" w:hAnsi="Times New Roman" w:eastAsia="宋体" w:cs="Times New Roman"/>
          <w:color w:val="auto"/>
          <w:szCs w:val="21"/>
          <w:highlight w:val="none"/>
        </w:rPr>
      </w:pPr>
    </w:p>
    <w:p w14:paraId="7E7088F5">
      <w:pPr>
        <w:topLinePunct/>
        <w:autoSpaceDE w:val="0"/>
        <w:autoSpaceDN w:val="0"/>
        <w:spacing w:line="460" w:lineRule="exact"/>
        <w:jc w:val="center"/>
        <w:rPr>
          <w:rFonts w:ascii="宋体" w:hAnsi="宋体" w:eastAsia="宋体" w:cs="宋体"/>
          <w:b/>
          <w:color w:val="auto"/>
          <w:sz w:val="24"/>
          <w:highlight w:val="none"/>
        </w:rPr>
      </w:pPr>
    </w:p>
    <w:p w14:paraId="170447CE">
      <w:pPr>
        <w:topLinePunct/>
        <w:autoSpaceDE w:val="0"/>
        <w:autoSpaceDN w:val="0"/>
        <w:spacing w:line="460" w:lineRule="exact"/>
        <w:jc w:val="center"/>
        <w:rPr>
          <w:rFonts w:ascii="宋体" w:hAnsi="宋体" w:eastAsia="宋体" w:cs="宋体"/>
          <w:b/>
          <w:color w:val="auto"/>
          <w:sz w:val="24"/>
          <w:highlight w:val="none"/>
        </w:rPr>
      </w:pPr>
    </w:p>
    <w:p w14:paraId="2FAD7393">
      <w:pPr>
        <w:topLinePunct/>
        <w:autoSpaceDE w:val="0"/>
        <w:autoSpaceDN w:val="0"/>
        <w:spacing w:line="460" w:lineRule="exact"/>
        <w:jc w:val="center"/>
        <w:rPr>
          <w:rFonts w:ascii="宋体" w:hAnsi="宋体" w:eastAsia="宋体" w:cs="宋体"/>
          <w:b/>
          <w:color w:val="auto"/>
          <w:sz w:val="24"/>
          <w:highlight w:val="none"/>
        </w:rPr>
        <w:sectPr>
          <w:footerReference r:id="rId11" w:type="default"/>
          <w:pgSz w:w="11907" w:h="16839"/>
          <w:pgMar w:top="1440" w:right="1746" w:bottom="1440" w:left="1746" w:header="1148" w:footer="709" w:gutter="0"/>
          <w:pgBorders>
            <w:top w:val="none" w:sz="0" w:space="0"/>
            <w:left w:val="none" w:sz="0" w:space="0"/>
            <w:bottom w:val="none" w:sz="0" w:space="0"/>
            <w:right w:val="none" w:sz="0" w:space="0"/>
          </w:pgBorders>
          <w:pgNumType w:fmt="decimal"/>
          <w:cols w:space="720" w:num="1"/>
          <w:docGrid w:linePitch="360" w:charSpace="0"/>
        </w:sectPr>
      </w:pPr>
    </w:p>
    <w:p w14:paraId="1BE58B7D">
      <w:pPr>
        <w:topLinePunct/>
        <w:autoSpaceDE w:val="0"/>
        <w:autoSpaceDN w:val="0"/>
        <w:spacing w:line="360" w:lineRule="auto"/>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三  招标文件及投标文件（另附）</w:t>
      </w:r>
    </w:p>
    <w:p w14:paraId="6B5A1385">
      <w:pPr>
        <w:jc w:val="center"/>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24"/>
          <w:highlight w:val="none"/>
        </w:rPr>
        <w:t>四 报价表（总报价表和分项报价表）</w:t>
      </w:r>
      <w:r>
        <w:rPr>
          <w:rFonts w:hint="eastAsia" w:ascii="宋体" w:hAnsi="宋体" w:eastAsia="宋体" w:cs="宋体"/>
          <w:color w:val="auto"/>
          <w:sz w:val="28"/>
          <w:szCs w:val="28"/>
          <w:highlight w:val="none"/>
        </w:rPr>
        <w:br w:type="page"/>
      </w:r>
    </w:p>
    <w:p w14:paraId="67DC6016">
      <w:pPr>
        <w:jc w:val="center"/>
        <w:outlineLvl w:val="0"/>
        <w:rPr>
          <w:rFonts w:hint="eastAsia" w:ascii="宋体" w:hAnsi="宋体" w:eastAsia="宋体" w:cs="宋体"/>
          <w:b/>
          <w:bCs/>
          <w:color w:val="auto"/>
          <w:sz w:val="28"/>
          <w:szCs w:val="28"/>
          <w:highlight w:val="none"/>
        </w:rPr>
      </w:pPr>
      <w:bookmarkStart w:id="50" w:name="_Toc13463"/>
      <w:r>
        <w:rPr>
          <w:rFonts w:hint="eastAsia" w:ascii="宋体" w:hAnsi="宋体" w:eastAsia="宋体" w:cs="宋体"/>
          <w:b/>
          <w:bCs/>
          <w:color w:val="auto"/>
          <w:sz w:val="28"/>
          <w:szCs w:val="28"/>
          <w:highlight w:val="none"/>
        </w:rPr>
        <w:t>第五章　投标文件格式</w:t>
      </w:r>
      <w:bookmarkEnd w:id="50"/>
    </w:p>
    <w:p w14:paraId="73E92DE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投标人必须按下列文本格式，如实提供具有法律效力的资格证明文件和真实有效的其他文件资料，任何不按下列文本格式提供或有实质性变更将由投标人承担风险。</w:t>
      </w:r>
    </w:p>
    <w:p w14:paraId="124670ED">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1.投标人应严格按照本章规定填写和提交全部格式文件以及其他有关资料，混乱的编排导致投标文件被误读或查找不到，后果由投标人承担。</w:t>
      </w:r>
    </w:p>
    <w:p w14:paraId="0D7ACA3B">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2.所附表格中要求回答的全部问题和信息都必须正面回答。</w:t>
      </w:r>
    </w:p>
    <w:p w14:paraId="14BD332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3.资格声明文件的签字人应保证全部声明和问题的回答是真实的和准确的。</w:t>
      </w:r>
    </w:p>
    <w:p w14:paraId="4C573BC1">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4.评标委员会将应用投标人提交的资料并根据自己的判断，决定投标人履行合同的合格性及能力。</w:t>
      </w:r>
    </w:p>
    <w:p w14:paraId="6CDE5587">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5.全部文件应按投标人须知中规定的语言提交。</w:t>
      </w:r>
    </w:p>
    <w:p w14:paraId="29D44F86">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6.以下格式文件为要求填写内容的固定格式，投标人不得擅自修改格式，其他未提供格式的文件和资料由投标人自行设计编制格式填写。</w:t>
      </w:r>
    </w:p>
    <w:p w14:paraId="05066238">
      <w:pPr>
        <w:adjustRightInd w:val="0"/>
        <w:snapToGrid w:val="0"/>
        <w:spacing w:before="62" w:beforeLines="20" w:after="4" w:line="360" w:lineRule="auto"/>
        <w:ind w:firstLine="422" w:firstLineChars="200"/>
        <w:jc w:val="center"/>
        <w:rPr>
          <w:rFonts w:hint="eastAsia" w:ascii="宋体" w:hAnsi="宋体" w:eastAsia="宋体" w:cs="宋体"/>
          <w:b/>
          <w:bCs/>
          <w:color w:val="auto"/>
          <w:highlight w:val="none"/>
        </w:rPr>
      </w:pPr>
    </w:p>
    <w:p w14:paraId="3E3729DF">
      <w:pPr>
        <w:ind w:firstLine="422" w:firstLineChars="200"/>
        <w:jc w:val="center"/>
        <w:rPr>
          <w:rFonts w:hint="eastAsia" w:ascii="宋体" w:hAnsi="宋体" w:eastAsia="宋体" w:cs="宋体"/>
          <w:b/>
          <w:bCs/>
          <w:color w:val="auto"/>
          <w:highlight w:val="none"/>
        </w:rPr>
      </w:pPr>
    </w:p>
    <w:p w14:paraId="407F0A70">
      <w:pPr>
        <w:rPr>
          <w:rFonts w:hint="eastAsia" w:ascii="宋体" w:hAnsi="宋体" w:eastAsia="宋体" w:cs="宋体"/>
          <w:color w:val="auto"/>
          <w:highlight w:val="none"/>
        </w:rPr>
      </w:pPr>
    </w:p>
    <w:p w14:paraId="2CA67C91">
      <w:pPr>
        <w:rPr>
          <w:rFonts w:hint="eastAsia" w:ascii="宋体" w:hAnsi="宋体" w:eastAsia="宋体" w:cs="宋体"/>
          <w:b/>
          <w:bCs/>
          <w:color w:val="auto"/>
          <w:highlight w:val="none"/>
        </w:rPr>
      </w:pPr>
    </w:p>
    <w:p w14:paraId="1554F0E7">
      <w:pPr>
        <w:adjustRightInd w:val="0"/>
        <w:snapToGrid w:val="0"/>
        <w:spacing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r>
    </w:p>
    <w:p w14:paraId="0A8C4322">
      <w:pPr>
        <w:spacing w:line="600" w:lineRule="auto"/>
        <w:jc w:val="center"/>
        <w:rPr>
          <w:rFonts w:hint="eastAsia" w:ascii="宋体" w:hAnsi="宋体" w:eastAsia="宋体" w:cs="宋体"/>
          <w:b/>
          <w:color w:val="auto"/>
          <w:kern w:val="0"/>
          <w:sz w:val="44"/>
          <w:szCs w:val="44"/>
          <w:highlight w:val="none"/>
        </w:rPr>
      </w:pPr>
    </w:p>
    <w:p w14:paraId="403805F5">
      <w:pPr>
        <w:spacing w:line="600" w:lineRule="auto"/>
        <w:jc w:val="center"/>
        <w:rPr>
          <w:rFonts w:hint="eastAsia" w:ascii="宋体" w:hAnsi="宋体" w:eastAsia="宋体" w:cs="宋体"/>
          <w:bCs/>
          <w:color w:val="auto"/>
          <w:kern w:val="0"/>
          <w:sz w:val="32"/>
          <w:szCs w:val="32"/>
          <w:highlight w:val="none"/>
        </w:rPr>
      </w:pPr>
    </w:p>
    <w:p w14:paraId="49FC3514">
      <w:pPr>
        <w:spacing w:line="600" w:lineRule="auto"/>
        <w:jc w:val="center"/>
        <w:rPr>
          <w:rFonts w:hint="eastAsia" w:ascii="宋体" w:hAnsi="宋体" w:eastAsia="宋体" w:cs="宋体"/>
          <w:bCs/>
          <w:color w:val="auto"/>
          <w:kern w:val="0"/>
          <w:sz w:val="32"/>
          <w:szCs w:val="32"/>
          <w:highlight w:val="none"/>
        </w:rPr>
      </w:pPr>
      <w:r>
        <w:rPr>
          <w:rFonts w:hint="eastAsia" w:ascii="宋体" w:hAnsi="宋体" w:eastAsia="宋体" w:cs="宋体"/>
          <w:bCs/>
          <w:color w:val="auto"/>
          <w:kern w:val="0"/>
          <w:sz w:val="32"/>
          <w:szCs w:val="32"/>
          <w:highlight w:val="none"/>
        </w:rPr>
        <w:t>投  标  文  件</w:t>
      </w:r>
    </w:p>
    <w:p w14:paraId="6CCE9928">
      <w:pPr>
        <w:spacing w:line="600" w:lineRule="auto"/>
        <w:jc w:val="center"/>
        <w:outlineLvl w:val="1"/>
        <w:rPr>
          <w:rFonts w:hint="eastAsia" w:ascii="宋体" w:hAnsi="宋体" w:eastAsia="宋体" w:cs="宋体"/>
          <w:bCs/>
          <w:color w:val="auto"/>
          <w:kern w:val="0"/>
          <w:sz w:val="32"/>
          <w:szCs w:val="32"/>
          <w:highlight w:val="none"/>
        </w:rPr>
      </w:pPr>
      <w:bookmarkStart w:id="51" w:name="_Toc17927"/>
      <w:bookmarkStart w:id="52" w:name="_Toc11278"/>
      <w:bookmarkStart w:id="53" w:name="_Toc22729"/>
      <w:bookmarkStart w:id="54" w:name="_Toc28111"/>
      <w:r>
        <w:rPr>
          <w:rFonts w:hint="eastAsia" w:ascii="宋体" w:hAnsi="宋体" w:eastAsia="宋体" w:cs="宋体"/>
          <w:bCs/>
          <w:color w:val="auto"/>
          <w:kern w:val="0"/>
          <w:sz w:val="32"/>
          <w:szCs w:val="32"/>
          <w:highlight w:val="none"/>
        </w:rPr>
        <w:t>商务部分</w:t>
      </w:r>
      <w:bookmarkEnd w:id="51"/>
      <w:bookmarkEnd w:id="52"/>
      <w:bookmarkEnd w:id="53"/>
      <w:bookmarkEnd w:id="54"/>
    </w:p>
    <w:p w14:paraId="7703F698">
      <w:pPr>
        <w:spacing w:line="360" w:lineRule="auto"/>
        <w:ind w:firstLine="640" w:firstLineChars="200"/>
        <w:jc w:val="center"/>
        <w:rPr>
          <w:rFonts w:hint="eastAsia" w:ascii="宋体" w:hAnsi="宋体" w:eastAsia="宋体" w:cs="宋体"/>
          <w:color w:val="auto"/>
          <w:kern w:val="0"/>
          <w:sz w:val="32"/>
          <w:szCs w:val="32"/>
          <w:highlight w:val="none"/>
        </w:rPr>
      </w:pPr>
    </w:p>
    <w:p w14:paraId="22C5A254">
      <w:pPr>
        <w:spacing w:line="360" w:lineRule="auto"/>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（填写正本或副本）</w:t>
      </w:r>
    </w:p>
    <w:p w14:paraId="5D3ECA9C">
      <w:pPr>
        <w:spacing w:line="360" w:lineRule="auto"/>
        <w:ind w:firstLine="480" w:firstLineChars="200"/>
        <w:jc w:val="center"/>
        <w:rPr>
          <w:rFonts w:hint="eastAsia" w:ascii="宋体" w:hAnsi="宋体" w:eastAsia="宋体" w:cs="宋体"/>
          <w:bCs/>
          <w:color w:val="auto"/>
          <w:kern w:val="0"/>
          <w:sz w:val="24"/>
          <w:szCs w:val="24"/>
          <w:highlight w:val="none"/>
        </w:rPr>
      </w:pPr>
    </w:p>
    <w:p w14:paraId="14DDB924">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项目名称：</w:t>
      </w:r>
      <w:r>
        <w:rPr>
          <w:rFonts w:hint="eastAsia" w:ascii="宋体" w:hAnsi="宋体" w:eastAsia="宋体" w:cs="宋体"/>
          <w:bCs/>
          <w:color w:val="auto"/>
          <w:kern w:val="0"/>
          <w:sz w:val="24"/>
          <w:szCs w:val="24"/>
          <w:highlight w:val="none"/>
          <w:u w:val="single"/>
        </w:rPr>
        <w:t xml:space="preserve">               </w:t>
      </w:r>
    </w:p>
    <w:p w14:paraId="278DF7F8">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项目编号：</w:t>
      </w:r>
      <w:r>
        <w:rPr>
          <w:rFonts w:hint="eastAsia" w:ascii="宋体" w:hAnsi="宋体" w:eastAsia="宋体" w:cs="宋体"/>
          <w:bCs/>
          <w:color w:val="auto"/>
          <w:kern w:val="0"/>
          <w:sz w:val="24"/>
          <w:szCs w:val="24"/>
          <w:highlight w:val="none"/>
          <w:u w:val="single"/>
        </w:rPr>
        <w:t xml:space="preserve">               </w:t>
      </w:r>
    </w:p>
    <w:p w14:paraId="620A2A2F">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所投采购包：</w:t>
      </w:r>
      <w:r>
        <w:rPr>
          <w:rFonts w:hint="eastAsia" w:ascii="宋体" w:hAnsi="宋体" w:eastAsia="宋体" w:cs="宋体"/>
          <w:bCs/>
          <w:color w:val="auto"/>
          <w:kern w:val="0"/>
          <w:sz w:val="24"/>
          <w:szCs w:val="24"/>
          <w:highlight w:val="none"/>
          <w:u w:val="single"/>
        </w:rPr>
        <w:t xml:space="preserve">             </w:t>
      </w:r>
    </w:p>
    <w:p w14:paraId="375B146D">
      <w:pPr>
        <w:spacing w:line="360" w:lineRule="auto"/>
        <w:ind w:left="1470" w:leftChars="700" w:firstLine="480" w:firstLineChars="200"/>
        <w:jc w:val="center"/>
        <w:rPr>
          <w:rFonts w:hint="eastAsia" w:ascii="宋体" w:hAnsi="宋体" w:eastAsia="宋体" w:cs="宋体"/>
          <w:bCs/>
          <w:color w:val="auto"/>
          <w:kern w:val="0"/>
          <w:sz w:val="24"/>
          <w:szCs w:val="24"/>
          <w:highlight w:val="none"/>
        </w:rPr>
      </w:pPr>
    </w:p>
    <w:p w14:paraId="36B7D3E8">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投标人：</w:t>
      </w:r>
      <w:r>
        <w:rPr>
          <w:rFonts w:hint="eastAsia" w:ascii="宋体" w:hAnsi="宋体" w:eastAsia="宋体" w:cs="宋体"/>
          <w:bCs/>
          <w:color w:val="auto"/>
          <w:kern w:val="0"/>
          <w:sz w:val="24"/>
          <w:szCs w:val="24"/>
          <w:highlight w:val="none"/>
          <w:u w:val="single"/>
        </w:rPr>
        <w:t xml:space="preserve">                 </w:t>
      </w:r>
    </w:p>
    <w:p w14:paraId="4CCF76F2">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日  期：</w:t>
      </w:r>
      <w:r>
        <w:rPr>
          <w:rFonts w:hint="eastAsia" w:ascii="宋体" w:hAnsi="宋体" w:eastAsia="宋体" w:cs="宋体"/>
          <w:bCs/>
          <w:color w:val="auto"/>
          <w:kern w:val="0"/>
          <w:sz w:val="24"/>
          <w:szCs w:val="24"/>
          <w:highlight w:val="none"/>
          <w:u w:val="single"/>
        </w:rPr>
        <w:t xml:space="preserve">                 </w:t>
      </w:r>
    </w:p>
    <w:p w14:paraId="39F29492">
      <w:pPr>
        <w:widowControl/>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12FE8976">
      <w:pPr>
        <w:adjustRightInd w:val="0"/>
        <w:snapToGrid w:val="0"/>
        <w:spacing w:line="360" w:lineRule="auto"/>
        <w:jc w:val="center"/>
        <w:outlineLvl w:val="1"/>
        <w:rPr>
          <w:rFonts w:hint="eastAsia" w:ascii="宋体" w:hAnsi="宋体" w:eastAsia="宋体" w:cs="宋体"/>
          <w:b/>
          <w:bCs/>
          <w:color w:val="auto"/>
          <w:sz w:val="28"/>
          <w:szCs w:val="28"/>
          <w:highlight w:val="none"/>
        </w:rPr>
      </w:pPr>
      <w:bookmarkStart w:id="55" w:name="_Toc26023"/>
      <w:bookmarkStart w:id="56" w:name="_Toc13166"/>
      <w:bookmarkStart w:id="57" w:name="_Toc3340"/>
      <w:bookmarkStart w:id="58" w:name="_Toc25376"/>
      <w:bookmarkStart w:id="59" w:name="_Toc28768"/>
      <w:bookmarkStart w:id="60" w:name="_Toc8819"/>
      <w:bookmarkStart w:id="61" w:name="_Toc6174"/>
      <w:bookmarkStart w:id="62" w:name="_Toc11809"/>
      <w:r>
        <w:rPr>
          <w:rFonts w:hint="eastAsia" w:ascii="宋体" w:hAnsi="宋体" w:eastAsia="宋体" w:cs="宋体"/>
          <w:b/>
          <w:bCs/>
          <w:color w:val="auto"/>
          <w:sz w:val="28"/>
          <w:szCs w:val="28"/>
          <w:highlight w:val="none"/>
        </w:rPr>
        <w:t xml:space="preserve">格式1  </w:t>
      </w:r>
      <w:r>
        <w:rPr>
          <w:rFonts w:hint="eastAsia" w:ascii="宋体" w:hAnsi="宋体" w:eastAsia="宋体" w:cs="宋体"/>
          <w:b/>
          <w:bCs/>
          <w:color w:val="auto"/>
          <w:sz w:val="28"/>
          <w:szCs w:val="28"/>
          <w:highlight w:val="none"/>
          <w:lang w:bidi="ar"/>
        </w:rPr>
        <w:t>投标人基本情况</w:t>
      </w:r>
      <w:bookmarkEnd w:id="55"/>
      <w:bookmarkEnd w:id="56"/>
      <w:bookmarkEnd w:id="57"/>
      <w:bookmarkEnd w:id="58"/>
      <w:bookmarkEnd w:id="59"/>
      <w:bookmarkEnd w:id="60"/>
      <w:bookmarkEnd w:id="61"/>
      <w:bookmarkEnd w:id="62"/>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5"/>
        <w:gridCol w:w="564"/>
        <w:gridCol w:w="1555"/>
        <w:gridCol w:w="1699"/>
        <w:gridCol w:w="2715"/>
      </w:tblGrid>
      <w:tr w14:paraId="729F0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0" w:type="pct"/>
            <w:noWrap w:val="0"/>
            <w:vAlign w:val="center"/>
          </w:tcPr>
          <w:p w14:paraId="35D4778F">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1229" w:type="pct"/>
            <w:gridSpan w:val="2"/>
            <w:noWrap w:val="0"/>
            <w:vAlign w:val="center"/>
          </w:tcPr>
          <w:p w14:paraId="5CC80E58">
            <w:pPr>
              <w:pStyle w:val="12"/>
              <w:spacing w:line="360" w:lineRule="auto"/>
              <w:jc w:val="center"/>
              <w:rPr>
                <w:rFonts w:hint="eastAsia" w:ascii="宋体" w:hAnsi="宋体" w:eastAsia="宋体" w:cs="宋体"/>
                <w:color w:val="auto"/>
                <w:sz w:val="21"/>
                <w:szCs w:val="21"/>
                <w:highlight w:val="none"/>
              </w:rPr>
            </w:pPr>
          </w:p>
        </w:tc>
        <w:tc>
          <w:tcPr>
            <w:tcW w:w="986" w:type="pct"/>
            <w:noWrap w:val="0"/>
            <w:vAlign w:val="center"/>
          </w:tcPr>
          <w:p w14:paraId="3B59A0BA">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1574" w:type="pct"/>
            <w:noWrap w:val="0"/>
            <w:vAlign w:val="center"/>
          </w:tcPr>
          <w:p w14:paraId="709E814B">
            <w:pPr>
              <w:pStyle w:val="12"/>
              <w:spacing w:line="360" w:lineRule="auto"/>
              <w:jc w:val="center"/>
              <w:rPr>
                <w:rFonts w:hint="eastAsia" w:ascii="宋体" w:hAnsi="宋体" w:eastAsia="宋体" w:cs="宋体"/>
                <w:color w:val="auto"/>
                <w:sz w:val="21"/>
                <w:szCs w:val="21"/>
                <w:highlight w:val="none"/>
              </w:rPr>
            </w:pPr>
          </w:p>
        </w:tc>
      </w:tr>
      <w:tr w14:paraId="252B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0" w:type="pct"/>
            <w:noWrap w:val="0"/>
            <w:vAlign w:val="center"/>
          </w:tcPr>
          <w:p w14:paraId="06121DEA">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29" w:type="pct"/>
            <w:gridSpan w:val="2"/>
            <w:noWrap w:val="0"/>
            <w:vAlign w:val="center"/>
          </w:tcPr>
          <w:p w14:paraId="3A144DD0">
            <w:pPr>
              <w:pStyle w:val="12"/>
              <w:spacing w:line="360" w:lineRule="auto"/>
              <w:jc w:val="center"/>
              <w:rPr>
                <w:rFonts w:hint="eastAsia" w:ascii="宋体" w:hAnsi="宋体" w:eastAsia="宋体" w:cs="宋体"/>
                <w:color w:val="auto"/>
                <w:sz w:val="21"/>
                <w:szCs w:val="21"/>
                <w:highlight w:val="none"/>
              </w:rPr>
            </w:pPr>
          </w:p>
        </w:tc>
        <w:tc>
          <w:tcPr>
            <w:tcW w:w="986" w:type="pct"/>
            <w:noWrap w:val="0"/>
            <w:vAlign w:val="center"/>
          </w:tcPr>
          <w:p w14:paraId="64A23DE5">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574" w:type="pct"/>
            <w:noWrap w:val="0"/>
            <w:vAlign w:val="center"/>
          </w:tcPr>
          <w:p w14:paraId="1DF71B56">
            <w:pPr>
              <w:pStyle w:val="12"/>
              <w:spacing w:line="360" w:lineRule="auto"/>
              <w:jc w:val="center"/>
              <w:rPr>
                <w:rFonts w:hint="eastAsia" w:ascii="宋体" w:hAnsi="宋体" w:eastAsia="宋体" w:cs="宋体"/>
                <w:color w:val="auto"/>
                <w:sz w:val="21"/>
                <w:szCs w:val="21"/>
                <w:highlight w:val="none"/>
              </w:rPr>
            </w:pPr>
          </w:p>
        </w:tc>
      </w:tr>
      <w:tr w14:paraId="1BA2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0" w:type="pct"/>
            <w:noWrap w:val="0"/>
            <w:vAlign w:val="center"/>
          </w:tcPr>
          <w:p w14:paraId="607A4C3A">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w:t>
            </w:r>
          </w:p>
        </w:tc>
        <w:tc>
          <w:tcPr>
            <w:tcW w:w="1229" w:type="pct"/>
            <w:gridSpan w:val="2"/>
            <w:noWrap w:val="0"/>
            <w:vAlign w:val="center"/>
          </w:tcPr>
          <w:p w14:paraId="7E6F4911">
            <w:pPr>
              <w:pStyle w:val="12"/>
              <w:spacing w:line="360" w:lineRule="auto"/>
              <w:jc w:val="center"/>
              <w:rPr>
                <w:rFonts w:hint="eastAsia" w:ascii="宋体" w:hAnsi="宋体" w:eastAsia="宋体" w:cs="宋体"/>
                <w:color w:val="auto"/>
                <w:sz w:val="21"/>
                <w:szCs w:val="21"/>
                <w:highlight w:val="none"/>
              </w:rPr>
            </w:pPr>
          </w:p>
        </w:tc>
        <w:tc>
          <w:tcPr>
            <w:tcW w:w="986" w:type="pct"/>
            <w:noWrap w:val="0"/>
            <w:vAlign w:val="center"/>
          </w:tcPr>
          <w:p w14:paraId="2C1F9D75">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574" w:type="pct"/>
            <w:noWrap w:val="0"/>
            <w:vAlign w:val="center"/>
          </w:tcPr>
          <w:p w14:paraId="5A2B92BD">
            <w:pPr>
              <w:pStyle w:val="12"/>
              <w:spacing w:line="360" w:lineRule="auto"/>
              <w:jc w:val="center"/>
              <w:rPr>
                <w:rFonts w:hint="eastAsia" w:ascii="宋体" w:hAnsi="宋体" w:eastAsia="宋体" w:cs="宋体"/>
                <w:color w:val="auto"/>
                <w:sz w:val="21"/>
                <w:szCs w:val="21"/>
                <w:highlight w:val="none"/>
              </w:rPr>
            </w:pPr>
          </w:p>
        </w:tc>
      </w:tr>
      <w:tr w14:paraId="6FA23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0" w:type="pct"/>
            <w:noWrap w:val="0"/>
            <w:vAlign w:val="center"/>
          </w:tcPr>
          <w:p w14:paraId="5BD00805">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29" w:type="pct"/>
            <w:gridSpan w:val="2"/>
            <w:noWrap w:val="0"/>
            <w:vAlign w:val="center"/>
          </w:tcPr>
          <w:p w14:paraId="5A8AD073">
            <w:pPr>
              <w:pStyle w:val="12"/>
              <w:spacing w:line="360" w:lineRule="auto"/>
              <w:jc w:val="center"/>
              <w:rPr>
                <w:rFonts w:hint="eastAsia" w:ascii="宋体" w:hAnsi="宋体" w:eastAsia="宋体" w:cs="宋体"/>
                <w:color w:val="auto"/>
                <w:sz w:val="21"/>
                <w:szCs w:val="21"/>
                <w:highlight w:val="none"/>
              </w:rPr>
            </w:pPr>
          </w:p>
        </w:tc>
        <w:tc>
          <w:tcPr>
            <w:tcW w:w="986" w:type="pct"/>
            <w:noWrap w:val="0"/>
            <w:vAlign w:val="center"/>
          </w:tcPr>
          <w:p w14:paraId="737766C6">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1574" w:type="pct"/>
            <w:noWrap w:val="0"/>
            <w:vAlign w:val="center"/>
          </w:tcPr>
          <w:p w14:paraId="28644E98">
            <w:pPr>
              <w:pStyle w:val="12"/>
              <w:spacing w:line="360" w:lineRule="auto"/>
              <w:jc w:val="center"/>
              <w:rPr>
                <w:rFonts w:hint="eastAsia" w:ascii="宋体" w:hAnsi="宋体" w:eastAsia="宋体" w:cs="宋体"/>
                <w:color w:val="auto"/>
                <w:sz w:val="21"/>
                <w:szCs w:val="21"/>
                <w:highlight w:val="none"/>
              </w:rPr>
            </w:pPr>
          </w:p>
        </w:tc>
      </w:tr>
      <w:tr w14:paraId="15671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0" w:type="pct"/>
            <w:noWrap w:val="0"/>
            <w:vAlign w:val="center"/>
          </w:tcPr>
          <w:p w14:paraId="2DE35191">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上年营业收入</w:t>
            </w:r>
          </w:p>
        </w:tc>
        <w:tc>
          <w:tcPr>
            <w:tcW w:w="1229" w:type="pct"/>
            <w:gridSpan w:val="2"/>
            <w:noWrap w:val="0"/>
            <w:vAlign w:val="center"/>
          </w:tcPr>
          <w:p w14:paraId="255BBEA9">
            <w:pPr>
              <w:pStyle w:val="12"/>
              <w:spacing w:line="360" w:lineRule="auto"/>
              <w:jc w:val="center"/>
              <w:rPr>
                <w:rFonts w:hint="eastAsia" w:ascii="宋体" w:hAnsi="宋体" w:eastAsia="宋体" w:cs="宋体"/>
                <w:color w:val="auto"/>
                <w:sz w:val="21"/>
                <w:szCs w:val="21"/>
                <w:highlight w:val="none"/>
              </w:rPr>
            </w:pPr>
          </w:p>
        </w:tc>
        <w:tc>
          <w:tcPr>
            <w:tcW w:w="986" w:type="pct"/>
            <w:noWrap w:val="0"/>
            <w:vAlign w:val="center"/>
          </w:tcPr>
          <w:p w14:paraId="463D9F1E">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c>
          <w:tcPr>
            <w:tcW w:w="1574" w:type="pct"/>
            <w:noWrap w:val="0"/>
            <w:vAlign w:val="center"/>
          </w:tcPr>
          <w:p w14:paraId="299BAB65">
            <w:pPr>
              <w:pStyle w:val="12"/>
              <w:spacing w:line="360" w:lineRule="auto"/>
              <w:jc w:val="center"/>
              <w:rPr>
                <w:rFonts w:hint="eastAsia" w:ascii="宋体" w:hAnsi="宋体" w:eastAsia="宋体" w:cs="宋体"/>
                <w:color w:val="auto"/>
                <w:sz w:val="21"/>
                <w:szCs w:val="21"/>
                <w:highlight w:val="none"/>
              </w:rPr>
            </w:pPr>
          </w:p>
        </w:tc>
      </w:tr>
      <w:tr w14:paraId="6F78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4DE08EE9">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基本账户开户行及账号</w:t>
            </w:r>
          </w:p>
        </w:tc>
        <w:tc>
          <w:tcPr>
            <w:tcW w:w="3462" w:type="pct"/>
            <w:gridSpan w:val="3"/>
            <w:noWrap w:val="0"/>
            <w:vAlign w:val="center"/>
          </w:tcPr>
          <w:p w14:paraId="1B1742B3">
            <w:pPr>
              <w:pStyle w:val="12"/>
              <w:spacing w:line="360" w:lineRule="auto"/>
              <w:jc w:val="center"/>
              <w:rPr>
                <w:rFonts w:hint="eastAsia" w:ascii="宋体" w:hAnsi="宋体" w:eastAsia="宋体" w:cs="宋体"/>
                <w:color w:val="auto"/>
                <w:sz w:val="21"/>
                <w:szCs w:val="21"/>
                <w:highlight w:val="none"/>
              </w:rPr>
            </w:pPr>
          </w:p>
        </w:tc>
      </w:tr>
      <w:tr w14:paraId="53C1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781A0FC9">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税务登记机关</w:t>
            </w:r>
          </w:p>
        </w:tc>
        <w:tc>
          <w:tcPr>
            <w:tcW w:w="3462" w:type="pct"/>
            <w:gridSpan w:val="3"/>
            <w:noWrap w:val="0"/>
            <w:vAlign w:val="center"/>
          </w:tcPr>
          <w:p w14:paraId="64692576">
            <w:pPr>
              <w:pStyle w:val="12"/>
              <w:spacing w:line="360" w:lineRule="auto"/>
              <w:jc w:val="center"/>
              <w:rPr>
                <w:rFonts w:hint="eastAsia" w:ascii="宋体" w:hAnsi="宋体" w:eastAsia="宋体" w:cs="宋体"/>
                <w:color w:val="auto"/>
                <w:sz w:val="21"/>
                <w:szCs w:val="21"/>
                <w:highlight w:val="none"/>
              </w:rPr>
            </w:pPr>
          </w:p>
        </w:tc>
      </w:tr>
      <w:tr w14:paraId="5C918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10290AD2">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资质名称</w:t>
            </w:r>
          </w:p>
        </w:tc>
        <w:tc>
          <w:tcPr>
            <w:tcW w:w="902" w:type="pct"/>
            <w:noWrap w:val="0"/>
            <w:vAlign w:val="center"/>
          </w:tcPr>
          <w:p w14:paraId="5B7D355D">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986" w:type="pct"/>
            <w:noWrap w:val="0"/>
            <w:vAlign w:val="center"/>
          </w:tcPr>
          <w:p w14:paraId="715B4BA7">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发证机关</w:t>
            </w:r>
          </w:p>
        </w:tc>
        <w:tc>
          <w:tcPr>
            <w:tcW w:w="1574" w:type="pct"/>
            <w:noWrap w:val="0"/>
            <w:vAlign w:val="center"/>
          </w:tcPr>
          <w:p w14:paraId="057F6F4B">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有效期</w:t>
            </w:r>
          </w:p>
        </w:tc>
      </w:tr>
      <w:tr w14:paraId="7DB00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530920DC">
            <w:pPr>
              <w:pStyle w:val="12"/>
              <w:spacing w:line="360" w:lineRule="auto"/>
              <w:jc w:val="center"/>
              <w:rPr>
                <w:rFonts w:hint="eastAsia" w:ascii="宋体" w:hAnsi="宋体" w:eastAsia="宋体" w:cs="宋体"/>
                <w:color w:val="auto"/>
                <w:sz w:val="21"/>
                <w:szCs w:val="21"/>
                <w:highlight w:val="none"/>
              </w:rPr>
            </w:pPr>
          </w:p>
        </w:tc>
        <w:tc>
          <w:tcPr>
            <w:tcW w:w="902" w:type="pct"/>
            <w:noWrap w:val="0"/>
            <w:vAlign w:val="center"/>
          </w:tcPr>
          <w:p w14:paraId="66334427">
            <w:pPr>
              <w:pStyle w:val="12"/>
              <w:spacing w:line="360" w:lineRule="auto"/>
              <w:jc w:val="center"/>
              <w:rPr>
                <w:rFonts w:hint="eastAsia" w:ascii="宋体" w:hAnsi="宋体" w:eastAsia="宋体" w:cs="宋体"/>
                <w:color w:val="auto"/>
                <w:sz w:val="21"/>
                <w:szCs w:val="21"/>
                <w:highlight w:val="none"/>
              </w:rPr>
            </w:pPr>
          </w:p>
        </w:tc>
        <w:tc>
          <w:tcPr>
            <w:tcW w:w="986" w:type="pct"/>
            <w:noWrap w:val="0"/>
            <w:vAlign w:val="center"/>
          </w:tcPr>
          <w:p w14:paraId="3704391F">
            <w:pPr>
              <w:pStyle w:val="12"/>
              <w:spacing w:line="360" w:lineRule="auto"/>
              <w:jc w:val="center"/>
              <w:rPr>
                <w:rFonts w:hint="eastAsia" w:ascii="宋体" w:hAnsi="宋体" w:eastAsia="宋体" w:cs="宋体"/>
                <w:color w:val="auto"/>
                <w:sz w:val="21"/>
                <w:szCs w:val="21"/>
                <w:highlight w:val="none"/>
              </w:rPr>
            </w:pPr>
          </w:p>
        </w:tc>
        <w:tc>
          <w:tcPr>
            <w:tcW w:w="1574" w:type="pct"/>
            <w:noWrap w:val="0"/>
            <w:vAlign w:val="center"/>
          </w:tcPr>
          <w:p w14:paraId="31E5861A">
            <w:pPr>
              <w:pStyle w:val="12"/>
              <w:spacing w:line="360" w:lineRule="auto"/>
              <w:jc w:val="center"/>
              <w:rPr>
                <w:rFonts w:hint="eastAsia" w:ascii="宋体" w:hAnsi="宋体" w:eastAsia="宋体" w:cs="宋体"/>
                <w:color w:val="auto"/>
                <w:sz w:val="21"/>
                <w:szCs w:val="21"/>
                <w:highlight w:val="none"/>
              </w:rPr>
            </w:pPr>
          </w:p>
        </w:tc>
      </w:tr>
      <w:tr w14:paraId="03158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16F6A83C">
            <w:pPr>
              <w:pStyle w:val="12"/>
              <w:spacing w:line="360" w:lineRule="auto"/>
              <w:jc w:val="center"/>
              <w:rPr>
                <w:rFonts w:hint="eastAsia" w:ascii="宋体" w:hAnsi="宋体" w:eastAsia="宋体" w:cs="宋体"/>
                <w:color w:val="auto"/>
                <w:sz w:val="21"/>
                <w:szCs w:val="21"/>
                <w:highlight w:val="none"/>
              </w:rPr>
            </w:pPr>
          </w:p>
        </w:tc>
        <w:tc>
          <w:tcPr>
            <w:tcW w:w="902" w:type="pct"/>
            <w:noWrap w:val="0"/>
            <w:vAlign w:val="center"/>
          </w:tcPr>
          <w:p w14:paraId="1D2D2899">
            <w:pPr>
              <w:pStyle w:val="12"/>
              <w:spacing w:line="360" w:lineRule="auto"/>
              <w:jc w:val="center"/>
              <w:rPr>
                <w:rFonts w:hint="eastAsia" w:ascii="宋体" w:hAnsi="宋体" w:eastAsia="宋体" w:cs="宋体"/>
                <w:color w:val="auto"/>
                <w:sz w:val="21"/>
                <w:szCs w:val="21"/>
                <w:highlight w:val="none"/>
              </w:rPr>
            </w:pPr>
          </w:p>
        </w:tc>
        <w:tc>
          <w:tcPr>
            <w:tcW w:w="986" w:type="pct"/>
            <w:noWrap w:val="0"/>
            <w:vAlign w:val="center"/>
          </w:tcPr>
          <w:p w14:paraId="186B5BDF">
            <w:pPr>
              <w:pStyle w:val="12"/>
              <w:spacing w:line="360" w:lineRule="auto"/>
              <w:jc w:val="center"/>
              <w:rPr>
                <w:rFonts w:hint="eastAsia" w:ascii="宋体" w:hAnsi="宋体" w:eastAsia="宋体" w:cs="宋体"/>
                <w:color w:val="auto"/>
                <w:sz w:val="21"/>
                <w:szCs w:val="21"/>
                <w:highlight w:val="none"/>
              </w:rPr>
            </w:pPr>
          </w:p>
        </w:tc>
        <w:tc>
          <w:tcPr>
            <w:tcW w:w="1574" w:type="pct"/>
            <w:noWrap w:val="0"/>
            <w:vAlign w:val="center"/>
          </w:tcPr>
          <w:p w14:paraId="5B67AF6C">
            <w:pPr>
              <w:pStyle w:val="12"/>
              <w:spacing w:line="360" w:lineRule="auto"/>
              <w:jc w:val="center"/>
              <w:rPr>
                <w:rFonts w:hint="eastAsia" w:ascii="宋体" w:hAnsi="宋体" w:eastAsia="宋体" w:cs="宋体"/>
                <w:color w:val="auto"/>
                <w:sz w:val="21"/>
                <w:szCs w:val="21"/>
                <w:highlight w:val="none"/>
              </w:rPr>
            </w:pPr>
          </w:p>
        </w:tc>
      </w:tr>
      <w:tr w14:paraId="2228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noWrap w:val="0"/>
            <w:vAlign w:val="center"/>
          </w:tcPr>
          <w:p w14:paraId="652748CE">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highlight w:val="none"/>
              </w:rPr>
              <w:t>供应商直接控股股东信息</w:t>
            </w:r>
          </w:p>
        </w:tc>
      </w:tr>
      <w:tr w14:paraId="1ED9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44341771">
            <w:pPr>
              <w:widowControl/>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bCs/>
                <w:color w:val="auto"/>
                <w:kern w:val="0"/>
                <w:szCs w:val="21"/>
                <w:highlight w:val="none"/>
              </w:rPr>
              <w:t>直接控股股东名称</w:t>
            </w:r>
          </w:p>
        </w:tc>
        <w:tc>
          <w:tcPr>
            <w:tcW w:w="902" w:type="pct"/>
            <w:noWrap w:val="0"/>
            <w:vAlign w:val="center"/>
          </w:tcPr>
          <w:p w14:paraId="4C0CF3B1">
            <w:pPr>
              <w:widowControl/>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bCs/>
                <w:color w:val="auto"/>
                <w:kern w:val="0"/>
                <w:szCs w:val="21"/>
                <w:highlight w:val="none"/>
              </w:rPr>
              <w:t>出资比例</w:t>
            </w:r>
          </w:p>
        </w:tc>
        <w:tc>
          <w:tcPr>
            <w:tcW w:w="2560" w:type="pct"/>
            <w:gridSpan w:val="2"/>
            <w:noWrap w:val="0"/>
            <w:vAlign w:val="center"/>
          </w:tcPr>
          <w:p w14:paraId="41963020">
            <w:pPr>
              <w:widowControl/>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bCs/>
                <w:color w:val="auto"/>
                <w:kern w:val="0"/>
                <w:szCs w:val="21"/>
                <w:highlight w:val="none"/>
              </w:rPr>
              <w:t>身份证号码或者统一社会信用代码</w:t>
            </w:r>
          </w:p>
        </w:tc>
      </w:tr>
      <w:tr w14:paraId="51A40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50D1B6DE">
            <w:pPr>
              <w:pStyle w:val="12"/>
              <w:spacing w:line="360" w:lineRule="auto"/>
              <w:jc w:val="center"/>
              <w:rPr>
                <w:rFonts w:hint="eastAsia" w:ascii="宋体" w:hAnsi="宋体" w:eastAsia="宋体" w:cs="宋体"/>
                <w:color w:val="auto"/>
                <w:sz w:val="21"/>
                <w:szCs w:val="21"/>
                <w:highlight w:val="none"/>
              </w:rPr>
            </w:pPr>
          </w:p>
        </w:tc>
        <w:tc>
          <w:tcPr>
            <w:tcW w:w="902" w:type="pct"/>
            <w:noWrap w:val="0"/>
            <w:vAlign w:val="center"/>
          </w:tcPr>
          <w:p w14:paraId="76825788">
            <w:pPr>
              <w:pStyle w:val="12"/>
              <w:spacing w:line="360" w:lineRule="auto"/>
              <w:jc w:val="center"/>
              <w:rPr>
                <w:rFonts w:hint="eastAsia" w:ascii="宋体" w:hAnsi="宋体" w:eastAsia="宋体" w:cs="宋体"/>
                <w:color w:val="auto"/>
                <w:sz w:val="21"/>
                <w:szCs w:val="21"/>
                <w:highlight w:val="none"/>
              </w:rPr>
            </w:pPr>
          </w:p>
        </w:tc>
        <w:tc>
          <w:tcPr>
            <w:tcW w:w="2560" w:type="pct"/>
            <w:gridSpan w:val="2"/>
            <w:noWrap w:val="0"/>
            <w:vAlign w:val="center"/>
          </w:tcPr>
          <w:p w14:paraId="1938A81C">
            <w:pPr>
              <w:pStyle w:val="12"/>
              <w:spacing w:line="360" w:lineRule="auto"/>
              <w:jc w:val="center"/>
              <w:rPr>
                <w:rFonts w:hint="eastAsia" w:ascii="宋体" w:hAnsi="宋体" w:eastAsia="宋体" w:cs="宋体"/>
                <w:color w:val="auto"/>
                <w:sz w:val="21"/>
                <w:szCs w:val="21"/>
                <w:highlight w:val="none"/>
              </w:rPr>
            </w:pPr>
          </w:p>
        </w:tc>
      </w:tr>
      <w:tr w14:paraId="25A9F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3BFA632B">
            <w:pPr>
              <w:pStyle w:val="12"/>
              <w:spacing w:line="360" w:lineRule="auto"/>
              <w:jc w:val="center"/>
              <w:rPr>
                <w:rFonts w:hint="eastAsia" w:ascii="宋体" w:hAnsi="宋体" w:eastAsia="宋体" w:cs="宋体"/>
                <w:color w:val="auto"/>
                <w:sz w:val="21"/>
                <w:szCs w:val="21"/>
                <w:highlight w:val="none"/>
              </w:rPr>
            </w:pPr>
          </w:p>
        </w:tc>
        <w:tc>
          <w:tcPr>
            <w:tcW w:w="902" w:type="pct"/>
            <w:noWrap w:val="0"/>
            <w:vAlign w:val="center"/>
          </w:tcPr>
          <w:p w14:paraId="4BCA243D">
            <w:pPr>
              <w:pStyle w:val="12"/>
              <w:spacing w:line="360" w:lineRule="auto"/>
              <w:jc w:val="center"/>
              <w:rPr>
                <w:rFonts w:hint="eastAsia" w:ascii="宋体" w:hAnsi="宋体" w:eastAsia="宋体" w:cs="宋体"/>
                <w:color w:val="auto"/>
                <w:sz w:val="21"/>
                <w:szCs w:val="21"/>
                <w:highlight w:val="none"/>
              </w:rPr>
            </w:pPr>
          </w:p>
        </w:tc>
        <w:tc>
          <w:tcPr>
            <w:tcW w:w="2560" w:type="pct"/>
            <w:gridSpan w:val="2"/>
            <w:noWrap w:val="0"/>
            <w:vAlign w:val="center"/>
          </w:tcPr>
          <w:p w14:paraId="70D4B2EA">
            <w:pPr>
              <w:pStyle w:val="12"/>
              <w:spacing w:line="360" w:lineRule="auto"/>
              <w:jc w:val="center"/>
              <w:rPr>
                <w:rFonts w:hint="eastAsia" w:ascii="宋体" w:hAnsi="宋体" w:eastAsia="宋体" w:cs="宋体"/>
                <w:color w:val="auto"/>
                <w:sz w:val="21"/>
                <w:szCs w:val="21"/>
                <w:highlight w:val="none"/>
              </w:rPr>
            </w:pPr>
          </w:p>
        </w:tc>
      </w:tr>
      <w:tr w14:paraId="65E1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7" w:type="pct"/>
            <w:gridSpan w:val="2"/>
            <w:noWrap w:val="0"/>
            <w:vAlign w:val="center"/>
          </w:tcPr>
          <w:p w14:paraId="1F8DCAA5">
            <w:pPr>
              <w:pStyle w:val="12"/>
              <w:spacing w:line="360" w:lineRule="auto"/>
              <w:jc w:val="center"/>
              <w:rPr>
                <w:rFonts w:hint="eastAsia" w:ascii="宋体" w:hAnsi="宋体" w:eastAsia="宋体" w:cs="宋体"/>
                <w:color w:val="auto"/>
                <w:sz w:val="21"/>
                <w:szCs w:val="21"/>
                <w:highlight w:val="none"/>
              </w:rPr>
            </w:pPr>
          </w:p>
        </w:tc>
        <w:tc>
          <w:tcPr>
            <w:tcW w:w="902" w:type="pct"/>
            <w:noWrap w:val="0"/>
            <w:vAlign w:val="center"/>
          </w:tcPr>
          <w:p w14:paraId="1B49AE6F">
            <w:pPr>
              <w:pStyle w:val="12"/>
              <w:spacing w:line="360" w:lineRule="auto"/>
              <w:jc w:val="center"/>
              <w:rPr>
                <w:rFonts w:hint="eastAsia" w:ascii="宋体" w:hAnsi="宋体" w:eastAsia="宋体" w:cs="宋体"/>
                <w:color w:val="auto"/>
                <w:sz w:val="21"/>
                <w:szCs w:val="21"/>
                <w:highlight w:val="none"/>
              </w:rPr>
            </w:pPr>
          </w:p>
        </w:tc>
        <w:tc>
          <w:tcPr>
            <w:tcW w:w="2560" w:type="pct"/>
            <w:gridSpan w:val="2"/>
            <w:noWrap w:val="0"/>
            <w:vAlign w:val="center"/>
          </w:tcPr>
          <w:p w14:paraId="3E8B057C">
            <w:pPr>
              <w:pStyle w:val="12"/>
              <w:spacing w:line="360" w:lineRule="auto"/>
              <w:jc w:val="center"/>
              <w:rPr>
                <w:rFonts w:hint="eastAsia" w:ascii="宋体" w:hAnsi="宋体" w:eastAsia="宋体" w:cs="宋体"/>
                <w:color w:val="auto"/>
                <w:sz w:val="21"/>
                <w:szCs w:val="21"/>
                <w:highlight w:val="none"/>
              </w:rPr>
            </w:pPr>
          </w:p>
        </w:tc>
      </w:tr>
      <w:tr w14:paraId="4EB88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noWrap w:val="0"/>
            <w:vAlign w:val="center"/>
          </w:tcPr>
          <w:p w14:paraId="75917554">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highlight w:val="none"/>
              </w:rPr>
              <w:t>供应商直接管理关系信息表</w:t>
            </w:r>
          </w:p>
        </w:tc>
      </w:tr>
      <w:tr w14:paraId="799C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9" w:type="pct"/>
            <w:gridSpan w:val="3"/>
            <w:noWrap w:val="0"/>
            <w:vAlign w:val="center"/>
          </w:tcPr>
          <w:p w14:paraId="09754065">
            <w:pPr>
              <w:widowControl/>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bCs/>
                <w:color w:val="auto"/>
                <w:kern w:val="0"/>
                <w:szCs w:val="21"/>
                <w:highlight w:val="none"/>
              </w:rPr>
              <w:t>直接管理关系单位名称</w:t>
            </w:r>
          </w:p>
        </w:tc>
        <w:tc>
          <w:tcPr>
            <w:tcW w:w="2560" w:type="pct"/>
            <w:gridSpan w:val="2"/>
            <w:noWrap w:val="0"/>
            <w:vAlign w:val="center"/>
          </w:tcPr>
          <w:p w14:paraId="52FAC0CA">
            <w:pPr>
              <w:pStyle w:val="12"/>
              <w:jc w:val="center"/>
              <w:rPr>
                <w:rFonts w:hint="eastAsia" w:ascii="宋体" w:hAnsi="宋体" w:eastAsia="宋体" w:cs="宋体"/>
                <w:color w:val="auto"/>
                <w:sz w:val="21"/>
                <w:szCs w:val="21"/>
                <w:highlight w:val="none"/>
              </w:rPr>
            </w:pPr>
            <w:r>
              <w:rPr>
                <w:rFonts w:hint="eastAsia" w:ascii="宋体" w:hAnsi="宋体" w:eastAsia="宋体" w:cs="宋体"/>
                <w:bCs/>
                <w:color w:val="auto"/>
                <w:highlight w:val="none"/>
              </w:rPr>
              <w:t>统一社会信用代码</w:t>
            </w:r>
          </w:p>
        </w:tc>
      </w:tr>
      <w:tr w14:paraId="648E6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9" w:type="pct"/>
            <w:gridSpan w:val="3"/>
            <w:noWrap w:val="0"/>
            <w:vAlign w:val="center"/>
          </w:tcPr>
          <w:p w14:paraId="2443D354">
            <w:pPr>
              <w:pStyle w:val="12"/>
              <w:spacing w:line="360" w:lineRule="auto"/>
              <w:jc w:val="center"/>
              <w:rPr>
                <w:rFonts w:hint="eastAsia" w:ascii="宋体" w:hAnsi="宋体" w:eastAsia="宋体" w:cs="宋体"/>
                <w:color w:val="auto"/>
                <w:sz w:val="21"/>
                <w:szCs w:val="21"/>
                <w:highlight w:val="none"/>
              </w:rPr>
            </w:pPr>
          </w:p>
        </w:tc>
        <w:tc>
          <w:tcPr>
            <w:tcW w:w="2560" w:type="pct"/>
            <w:gridSpan w:val="2"/>
            <w:noWrap w:val="0"/>
            <w:vAlign w:val="center"/>
          </w:tcPr>
          <w:p w14:paraId="508B1D5C">
            <w:pPr>
              <w:pStyle w:val="12"/>
              <w:spacing w:line="360" w:lineRule="auto"/>
              <w:jc w:val="center"/>
              <w:rPr>
                <w:rFonts w:hint="eastAsia" w:ascii="宋体" w:hAnsi="宋体" w:eastAsia="宋体" w:cs="宋体"/>
                <w:color w:val="auto"/>
                <w:sz w:val="21"/>
                <w:szCs w:val="21"/>
                <w:highlight w:val="none"/>
              </w:rPr>
            </w:pPr>
          </w:p>
        </w:tc>
      </w:tr>
      <w:tr w14:paraId="3328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9" w:type="pct"/>
            <w:gridSpan w:val="3"/>
            <w:noWrap w:val="0"/>
            <w:vAlign w:val="center"/>
          </w:tcPr>
          <w:p w14:paraId="123FD7DD">
            <w:pPr>
              <w:pStyle w:val="12"/>
              <w:spacing w:line="360" w:lineRule="auto"/>
              <w:jc w:val="center"/>
              <w:rPr>
                <w:rFonts w:hint="eastAsia" w:ascii="宋体" w:hAnsi="宋体" w:eastAsia="宋体" w:cs="宋体"/>
                <w:color w:val="auto"/>
                <w:sz w:val="21"/>
                <w:szCs w:val="21"/>
                <w:highlight w:val="none"/>
              </w:rPr>
            </w:pPr>
          </w:p>
        </w:tc>
        <w:tc>
          <w:tcPr>
            <w:tcW w:w="2560" w:type="pct"/>
            <w:gridSpan w:val="2"/>
            <w:noWrap w:val="0"/>
            <w:vAlign w:val="center"/>
          </w:tcPr>
          <w:p w14:paraId="7A3953A3">
            <w:pPr>
              <w:pStyle w:val="12"/>
              <w:spacing w:line="360" w:lineRule="auto"/>
              <w:jc w:val="center"/>
              <w:rPr>
                <w:rFonts w:hint="eastAsia" w:ascii="宋体" w:hAnsi="宋体" w:eastAsia="宋体" w:cs="宋体"/>
                <w:color w:val="auto"/>
                <w:sz w:val="21"/>
                <w:szCs w:val="21"/>
                <w:highlight w:val="none"/>
              </w:rPr>
            </w:pPr>
          </w:p>
        </w:tc>
      </w:tr>
      <w:tr w14:paraId="45A9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0" w:type="pct"/>
            <w:noWrap w:val="0"/>
            <w:vAlign w:val="center"/>
          </w:tcPr>
          <w:p w14:paraId="5B7720F2">
            <w:pPr>
              <w:pStyle w:val="12"/>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3789" w:type="pct"/>
            <w:gridSpan w:val="4"/>
            <w:noWrap w:val="0"/>
            <w:vAlign w:val="center"/>
          </w:tcPr>
          <w:p w14:paraId="2E33EA4B">
            <w:pPr>
              <w:pStyle w:val="12"/>
              <w:spacing w:line="360" w:lineRule="auto"/>
              <w:jc w:val="center"/>
              <w:rPr>
                <w:rFonts w:hint="eastAsia" w:ascii="宋体" w:hAnsi="宋体" w:eastAsia="宋体" w:cs="宋体"/>
                <w:color w:val="auto"/>
                <w:sz w:val="21"/>
                <w:szCs w:val="21"/>
                <w:highlight w:val="none"/>
              </w:rPr>
            </w:pPr>
          </w:p>
        </w:tc>
      </w:tr>
    </w:tbl>
    <w:p w14:paraId="7651B7C6">
      <w:pPr>
        <w:topLinePunct/>
        <w:autoSpaceDE w:val="0"/>
        <w:autoSpaceDN w:val="0"/>
        <w:spacing w:line="500" w:lineRule="exact"/>
        <w:ind w:firstLine="211" w:firstLineChars="100"/>
        <w:rPr>
          <w:rFonts w:hint="eastAsia" w:ascii="宋体" w:hAnsi="宋体" w:eastAsia="宋体" w:cs="宋体"/>
          <w:b/>
          <w:bCs/>
          <w:color w:val="auto"/>
          <w:sz w:val="24"/>
          <w:highlight w:val="none"/>
        </w:rPr>
      </w:pPr>
      <w:r>
        <w:rPr>
          <w:rFonts w:hint="eastAsia" w:ascii="宋体" w:hAnsi="宋体" w:eastAsia="宋体" w:cs="宋体"/>
          <w:b/>
          <w:bCs/>
          <w:color w:val="auto"/>
          <w:sz w:val="21"/>
          <w:szCs w:val="21"/>
          <w:highlight w:val="none"/>
          <w:lang w:val="en-US" w:eastAsia="zh-CN"/>
        </w:rPr>
        <w:t>（附</w:t>
      </w:r>
      <w:r>
        <w:rPr>
          <w:rFonts w:hint="eastAsia" w:ascii="宋体" w:hAnsi="宋体" w:eastAsia="宋体" w:cs="宋体"/>
          <w:b/>
          <w:bCs/>
          <w:color w:val="auto"/>
          <w:sz w:val="21"/>
          <w:szCs w:val="21"/>
          <w:highlight w:val="none"/>
        </w:rPr>
        <w:t>法人或者其他组织的营业执照等证明文件复印件</w:t>
      </w:r>
      <w:r>
        <w:rPr>
          <w:rFonts w:hint="eastAsia" w:ascii="宋体" w:hAnsi="宋体" w:eastAsia="宋体" w:cs="宋体"/>
          <w:b/>
          <w:bCs/>
          <w:color w:val="auto"/>
          <w:sz w:val="21"/>
          <w:szCs w:val="21"/>
          <w:highlight w:val="none"/>
          <w:lang w:val="en-US" w:eastAsia="zh-CN"/>
        </w:rPr>
        <w:t>；投标人如为</w:t>
      </w:r>
      <w:r>
        <w:rPr>
          <w:rFonts w:hint="eastAsia" w:ascii="宋体" w:hAnsi="宋体" w:eastAsia="宋体" w:cs="宋体"/>
          <w:b/>
          <w:bCs/>
          <w:color w:val="auto"/>
          <w:sz w:val="21"/>
          <w:szCs w:val="21"/>
          <w:highlight w:val="none"/>
        </w:rPr>
        <w:t>自然人</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提供自然人</w:t>
      </w:r>
      <w:r>
        <w:rPr>
          <w:rFonts w:hint="eastAsia" w:ascii="宋体" w:hAnsi="宋体" w:eastAsia="宋体" w:cs="宋体"/>
          <w:b/>
          <w:bCs/>
          <w:color w:val="auto"/>
          <w:sz w:val="21"/>
          <w:szCs w:val="21"/>
          <w:highlight w:val="none"/>
        </w:rPr>
        <w:t>的身份证复印件</w:t>
      </w:r>
      <w:r>
        <w:rPr>
          <w:rFonts w:hint="eastAsia" w:ascii="宋体" w:hAnsi="宋体" w:eastAsia="宋体" w:cs="宋体"/>
          <w:b/>
          <w:bCs/>
          <w:color w:val="auto"/>
          <w:sz w:val="21"/>
          <w:szCs w:val="21"/>
          <w:highlight w:val="none"/>
          <w:lang w:eastAsia="zh-CN"/>
        </w:rPr>
        <w:t>）</w:t>
      </w:r>
    </w:p>
    <w:p w14:paraId="42A86AAF">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color w:val="auto"/>
          <w:sz w:val="21"/>
          <w:szCs w:val="21"/>
          <w:highlight w:val="none"/>
        </w:rPr>
      </w:pPr>
    </w:p>
    <w:p w14:paraId="321D9ACB">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lang w:bidi="ar"/>
        </w:rPr>
      </w:pPr>
    </w:p>
    <w:p w14:paraId="2B8DD9D1">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投标人</w:t>
      </w:r>
      <w:r>
        <w:rPr>
          <w:rFonts w:hint="eastAsia" w:ascii="宋体" w:hAnsi="宋体" w:eastAsia="宋体" w:cs="宋体"/>
          <w:color w:val="auto"/>
          <w:kern w:val="0"/>
          <w:szCs w:val="21"/>
          <w:highlight w:val="none"/>
          <w:lang w:bidi="ar"/>
        </w:rPr>
        <w:t>（全称并加盖公章</w:t>
      </w:r>
      <w:r>
        <w:rPr>
          <w:rFonts w:hint="eastAsia" w:ascii="宋体" w:hAnsi="宋体" w:eastAsia="宋体" w:cs="宋体"/>
          <w:color w:val="auto"/>
          <w:szCs w:val="21"/>
          <w:highlight w:val="none"/>
          <w:lang w:bidi="ar"/>
        </w:rPr>
        <w:t>）：</w:t>
      </w:r>
      <w:r>
        <w:rPr>
          <w:rFonts w:hint="eastAsia" w:ascii="宋体" w:hAnsi="宋体" w:eastAsia="宋体" w:cs="宋体"/>
          <w:color w:val="auto"/>
          <w:szCs w:val="21"/>
          <w:highlight w:val="none"/>
          <w:u w:val="single"/>
          <w:lang w:bidi="ar"/>
        </w:rPr>
        <w:t xml:space="preserve">             </w:t>
      </w:r>
    </w:p>
    <w:p w14:paraId="5923D13D">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44251650">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日期：</w:t>
      </w:r>
      <w:r>
        <w:rPr>
          <w:rFonts w:hint="eastAsia" w:ascii="宋体" w:hAnsi="宋体" w:eastAsia="宋体" w:cs="宋体"/>
          <w:color w:val="auto"/>
          <w:szCs w:val="21"/>
          <w:highlight w:val="none"/>
          <w:u w:val="single"/>
          <w:lang w:bidi="ar"/>
        </w:rPr>
        <w:t xml:space="preserve">                                 </w:t>
      </w:r>
    </w:p>
    <w:p w14:paraId="5F95E2CF">
      <w:pPr>
        <w:spacing w:line="360" w:lineRule="auto"/>
        <w:contextualSpacing/>
        <w:jc w:val="left"/>
        <w:rPr>
          <w:rFonts w:ascii="宋体" w:hAnsi="宋体" w:cs="宋体"/>
          <w:color w:val="auto"/>
          <w:szCs w:val="21"/>
          <w:highlight w:val="none"/>
        </w:rPr>
      </w:pPr>
      <w:r>
        <w:rPr>
          <w:rFonts w:hint="eastAsia" w:ascii="宋体" w:hAnsi="宋体" w:cs="宋体"/>
          <w:color w:val="auto"/>
          <w:szCs w:val="21"/>
          <w:highlight w:val="none"/>
        </w:rPr>
        <w:t>注：</w:t>
      </w:r>
    </w:p>
    <w:p w14:paraId="6E3F2FF9">
      <w:pPr>
        <w:spacing w:line="360" w:lineRule="auto"/>
        <w:ind w:firstLine="420" w:firstLineChars="200"/>
        <w:contextualSpacing/>
        <w:jc w:val="left"/>
        <w:rPr>
          <w:rFonts w:ascii="宋体" w:hAnsi="宋体" w:cs="宋体"/>
          <w:color w:val="auto"/>
          <w:szCs w:val="21"/>
          <w:highlight w:val="none"/>
        </w:rPr>
      </w:pPr>
      <w:r>
        <w:rPr>
          <w:rFonts w:hint="eastAsia" w:ascii="宋体" w:hAnsi="宋体" w:cs="宋体"/>
          <w:color w:val="auto"/>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管理关系：是指不具有出资持股关系的其他单位之间存在的管理与被管理关系，如一些上下级关系的事业单位和团体组织。</w:t>
      </w:r>
    </w:p>
    <w:p w14:paraId="4C5B4CBB">
      <w:pPr>
        <w:spacing w:line="360" w:lineRule="auto"/>
        <w:ind w:firstLine="420" w:firstLineChars="200"/>
        <w:contextualSpacing/>
        <w:jc w:val="left"/>
        <w:rPr>
          <w:rFonts w:ascii="宋体" w:hAnsi="宋体" w:cs="宋体"/>
          <w:color w:val="auto"/>
          <w:szCs w:val="21"/>
          <w:highlight w:val="none"/>
        </w:rPr>
      </w:pPr>
      <w:r>
        <w:rPr>
          <w:rFonts w:hint="eastAsia" w:ascii="宋体" w:hAnsi="宋体" w:cs="宋体"/>
          <w:color w:val="auto"/>
          <w:szCs w:val="21"/>
          <w:highlight w:val="none"/>
        </w:rPr>
        <w:t>2.本表所指的控股关系仅限于直接控股关系，不包括间接的控股关系。公司实际控制人与公司之间的关系不属于本表所指的直接控股关系。本表所指的管理关系仅限于直接管理关系，不包括间接的管理关系。</w:t>
      </w:r>
    </w:p>
    <w:p w14:paraId="46969119">
      <w:pPr>
        <w:tabs>
          <w:tab w:val="left" w:pos="1230"/>
        </w:tabs>
        <w:topLinePunct/>
        <w:autoSpaceDE w:val="0"/>
        <w:autoSpaceDN w:val="0"/>
        <w:adjustRightInd w:val="0"/>
        <w:snapToGrid w:val="0"/>
        <w:spacing w:line="360" w:lineRule="auto"/>
        <w:ind w:firstLine="420" w:firstLineChars="200"/>
        <w:jc w:val="both"/>
        <w:rPr>
          <w:rFonts w:ascii="宋体" w:hAnsi="宋体" w:cs="宋体"/>
          <w:color w:val="auto"/>
          <w:szCs w:val="21"/>
          <w:highlight w:val="none"/>
        </w:rPr>
      </w:pPr>
      <w:r>
        <w:rPr>
          <w:rFonts w:hint="eastAsia" w:ascii="宋体" w:hAnsi="宋体" w:cs="宋体"/>
          <w:color w:val="auto"/>
          <w:szCs w:val="21"/>
          <w:highlight w:val="none"/>
        </w:rPr>
        <w:t>3.投标人不存在直接控股股东或直接管理关系的，则填“无”。</w:t>
      </w:r>
    </w:p>
    <w:p w14:paraId="01289C15">
      <w:pPr>
        <w:topLinePunct/>
        <w:autoSpaceDE w:val="0"/>
        <w:autoSpaceDN w:val="0"/>
        <w:adjustRightInd w:val="0"/>
        <w:snapToGrid w:val="0"/>
        <w:spacing w:line="360" w:lineRule="auto"/>
        <w:jc w:val="left"/>
        <w:rPr>
          <w:rFonts w:hint="eastAsia" w:ascii="宋体" w:hAnsi="宋体" w:eastAsia="宋体" w:cs="宋体"/>
          <w:color w:val="auto"/>
          <w:highlight w:val="none"/>
        </w:rPr>
      </w:pPr>
    </w:p>
    <w:p w14:paraId="5A4DE703">
      <w:pPr>
        <w:pStyle w:val="12"/>
        <w:ind w:firstLine="420" w:firstLineChars="200"/>
        <w:rPr>
          <w:rFonts w:hint="eastAsia" w:ascii="宋体" w:hAnsi="宋体" w:eastAsia="宋体" w:cs="宋体"/>
          <w:b/>
          <w:bCs/>
          <w:color w:val="auto"/>
          <w:sz w:val="36"/>
          <w:szCs w:val="36"/>
          <w:highlight w:val="none"/>
        </w:rPr>
      </w:pPr>
      <w:r>
        <w:rPr>
          <w:rFonts w:hint="eastAsia" w:ascii="宋体" w:hAnsi="宋体" w:eastAsia="宋体" w:cs="宋体"/>
          <w:color w:val="auto"/>
          <w:highlight w:val="none"/>
        </w:rPr>
        <w:br w:type="page"/>
      </w:r>
    </w:p>
    <w:p w14:paraId="15015600">
      <w:pPr>
        <w:adjustRightInd w:val="0"/>
        <w:snapToGrid w:val="0"/>
        <w:spacing w:line="360" w:lineRule="auto"/>
        <w:jc w:val="center"/>
        <w:rPr>
          <w:rFonts w:hint="eastAsia" w:ascii="宋体" w:hAnsi="宋体" w:eastAsia="宋体" w:cs="宋体"/>
          <w:b/>
          <w:bCs/>
          <w:color w:val="auto"/>
          <w:sz w:val="28"/>
          <w:szCs w:val="28"/>
          <w:highlight w:val="none"/>
        </w:rPr>
      </w:pPr>
    </w:p>
    <w:p w14:paraId="13E6FBE2">
      <w:pPr>
        <w:adjustRightInd w:val="0"/>
        <w:snapToGrid w:val="0"/>
        <w:spacing w:line="360" w:lineRule="auto"/>
        <w:jc w:val="center"/>
        <w:outlineLvl w:val="1"/>
        <w:rPr>
          <w:rFonts w:hint="eastAsia" w:ascii="宋体" w:hAnsi="宋体" w:eastAsia="宋体" w:cs="宋体"/>
          <w:b/>
          <w:bCs/>
          <w:color w:val="auto"/>
          <w:sz w:val="28"/>
          <w:szCs w:val="28"/>
          <w:highlight w:val="none"/>
        </w:rPr>
      </w:pPr>
      <w:bookmarkStart w:id="63" w:name="_Toc26697"/>
      <w:bookmarkStart w:id="64" w:name="_Toc19175"/>
      <w:bookmarkStart w:id="65" w:name="_Toc18646"/>
      <w:bookmarkStart w:id="66" w:name="_Toc10502"/>
      <w:bookmarkStart w:id="67" w:name="_Toc18804"/>
      <w:bookmarkStart w:id="68" w:name="_Toc10407"/>
      <w:bookmarkStart w:id="69" w:name="_Toc29763"/>
      <w:bookmarkStart w:id="70" w:name="_Toc18063"/>
      <w:r>
        <w:rPr>
          <w:rFonts w:hint="eastAsia" w:ascii="宋体" w:hAnsi="宋体" w:eastAsia="宋体" w:cs="宋体"/>
          <w:b/>
          <w:bCs/>
          <w:color w:val="auto"/>
          <w:sz w:val="28"/>
          <w:szCs w:val="28"/>
          <w:highlight w:val="none"/>
        </w:rPr>
        <w:t xml:space="preserve">格式2  </w:t>
      </w:r>
      <w:r>
        <w:rPr>
          <w:rFonts w:hint="eastAsia" w:ascii="宋体" w:hAnsi="宋体" w:eastAsia="宋体" w:cs="宋体"/>
          <w:b/>
          <w:bCs/>
          <w:color w:val="auto"/>
          <w:sz w:val="28"/>
          <w:szCs w:val="28"/>
          <w:highlight w:val="none"/>
          <w:lang w:bidi="ar"/>
        </w:rPr>
        <w:t>投标人具备投标资格证明文件</w:t>
      </w:r>
      <w:bookmarkEnd w:id="63"/>
      <w:bookmarkEnd w:id="64"/>
      <w:bookmarkEnd w:id="65"/>
      <w:bookmarkEnd w:id="66"/>
      <w:bookmarkEnd w:id="67"/>
      <w:bookmarkEnd w:id="68"/>
      <w:bookmarkEnd w:id="69"/>
      <w:bookmarkEnd w:id="70"/>
    </w:p>
    <w:p w14:paraId="044BA87B">
      <w:pPr>
        <w:widowControl/>
        <w:jc w:val="center"/>
        <w:outlineLvl w:val="2"/>
        <w:rPr>
          <w:rFonts w:hint="eastAsia" w:ascii="宋体" w:hAnsi="宋体" w:eastAsia="宋体" w:cs="宋体"/>
          <w:b/>
          <w:bCs/>
          <w:color w:val="auto"/>
          <w:sz w:val="28"/>
          <w:szCs w:val="28"/>
          <w:highlight w:val="none"/>
        </w:rPr>
      </w:pPr>
      <w:bookmarkStart w:id="71" w:name="_Toc14612"/>
      <w:bookmarkStart w:id="72" w:name="_Toc283"/>
      <w:bookmarkStart w:id="73" w:name="_Toc28740"/>
      <w:bookmarkStart w:id="74" w:name="_Toc19762"/>
      <w:bookmarkStart w:id="75" w:name="_Toc7905"/>
      <w:bookmarkStart w:id="76" w:name="_Toc2068"/>
      <w:bookmarkStart w:id="77" w:name="_Toc24495"/>
      <w:bookmarkStart w:id="78" w:name="_Toc3321"/>
      <w:r>
        <w:rPr>
          <w:rFonts w:hint="eastAsia" w:ascii="宋体" w:hAnsi="宋体" w:eastAsia="宋体" w:cs="宋体"/>
          <w:b/>
          <w:bCs/>
          <w:color w:val="auto"/>
          <w:sz w:val="28"/>
          <w:szCs w:val="28"/>
          <w:highlight w:val="none"/>
          <w:lang w:bidi="ar"/>
        </w:rPr>
        <w:t>2-1财务状况报告</w:t>
      </w:r>
      <w:bookmarkEnd w:id="71"/>
      <w:bookmarkEnd w:id="72"/>
      <w:bookmarkEnd w:id="73"/>
      <w:bookmarkEnd w:id="74"/>
      <w:bookmarkEnd w:id="75"/>
      <w:bookmarkEnd w:id="76"/>
      <w:bookmarkEnd w:id="77"/>
      <w:bookmarkEnd w:id="78"/>
    </w:p>
    <w:p w14:paraId="7EA3337E">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根据资格条件要求提供相应材料。</w:t>
      </w:r>
    </w:p>
    <w:p w14:paraId="147A948C">
      <w:pPr>
        <w:adjustRightInd w:val="0"/>
        <w:snapToGrid w:val="0"/>
        <w:spacing w:line="360" w:lineRule="auto"/>
        <w:jc w:val="center"/>
        <w:rPr>
          <w:rFonts w:hint="eastAsia" w:ascii="宋体" w:hAnsi="宋体" w:eastAsia="宋体" w:cs="宋体"/>
          <w:b/>
          <w:bCs/>
          <w:color w:val="auto"/>
          <w:sz w:val="28"/>
          <w:szCs w:val="28"/>
          <w:highlight w:val="none"/>
        </w:rPr>
      </w:pPr>
    </w:p>
    <w:p w14:paraId="01E42B6C">
      <w:pPr>
        <w:adjustRightInd w:val="0"/>
        <w:snapToGrid w:val="0"/>
        <w:spacing w:line="360" w:lineRule="auto"/>
        <w:jc w:val="center"/>
        <w:rPr>
          <w:rFonts w:hint="eastAsia" w:ascii="宋体" w:hAnsi="宋体" w:eastAsia="宋体" w:cs="宋体"/>
          <w:b/>
          <w:bCs/>
          <w:color w:val="auto"/>
          <w:sz w:val="28"/>
          <w:szCs w:val="28"/>
          <w:highlight w:val="none"/>
        </w:rPr>
      </w:pPr>
    </w:p>
    <w:p w14:paraId="0A750CA9">
      <w:pPr>
        <w:spacing w:line="360" w:lineRule="auto"/>
        <w:jc w:val="center"/>
        <w:outlineLvl w:val="2"/>
        <w:rPr>
          <w:rFonts w:hint="eastAsia" w:ascii="宋体" w:hAnsi="宋体" w:eastAsia="宋体" w:cs="宋体"/>
          <w:b/>
          <w:bCs/>
          <w:color w:val="auto"/>
          <w:sz w:val="28"/>
          <w:szCs w:val="28"/>
          <w:highlight w:val="none"/>
        </w:rPr>
      </w:pPr>
      <w:bookmarkStart w:id="79" w:name="_Toc14482"/>
      <w:bookmarkStart w:id="80" w:name="_Toc3637"/>
      <w:bookmarkStart w:id="81" w:name="_Toc27147"/>
      <w:bookmarkStart w:id="82" w:name="_Toc7366"/>
      <w:bookmarkStart w:id="83" w:name="_Toc11117"/>
      <w:bookmarkStart w:id="84" w:name="_Toc8034"/>
      <w:bookmarkStart w:id="85" w:name="_Toc10966"/>
      <w:bookmarkStart w:id="86" w:name="_Toc1514"/>
      <w:r>
        <w:rPr>
          <w:rFonts w:hint="eastAsia" w:ascii="宋体" w:hAnsi="宋体" w:eastAsia="宋体" w:cs="宋体"/>
          <w:b/>
          <w:bCs/>
          <w:color w:val="auto"/>
          <w:sz w:val="28"/>
          <w:szCs w:val="28"/>
          <w:highlight w:val="none"/>
          <w:lang w:bidi="ar"/>
        </w:rPr>
        <w:t>2-2依法缴纳税收的相关材料</w:t>
      </w:r>
      <w:bookmarkEnd w:id="79"/>
      <w:bookmarkEnd w:id="80"/>
      <w:bookmarkEnd w:id="81"/>
      <w:bookmarkEnd w:id="82"/>
      <w:bookmarkEnd w:id="83"/>
      <w:bookmarkEnd w:id="84"/>
      <w:bookmarkEnd w:id="85"/>
      <w:bookmarkEnd w:id="86"/>
    </w:p>
    <w:p w14:paraId="0BF79CD0">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根据资格条件要求提供相应材料。</w:t>
      </w:r>
    </w:p>
    <w:p w14:paraId="37C0A21B">
      <w:pPr>
        <w:adjustRightInd w:val="0"/>
        <w:snapToGrid w:val="0"/>
        <w:spacing w:line="360" w:lineRule="auto"/>
        <w:jc w:val="center"/>
        <w:rPr>
          <w:rFonts w:hint="eastAsia" w:ascii="宋体" w:hAnsi="宋体" w:eastAsia="宋体" w:cs="宋体"/>
          <w:b/>
          <w:bCs/>
          <w:color w:val="auto"/>
          <w:sz w:val="28"/>
          <w:szCs w:val="28"/>
          <w:highlight w:val="none"/>
        </w:rPr>
      </w:pPr>
    </w:p>
    <w:p w14:paraId="71CE4F91">
      <w:pPr>
        <w:adjustRightInd w:val="0"/>
        <w:snapToGrid w:val="0"/>
        <w:spacing w:line="360" w:lineRule="auto"/>
        <w:jc w:val="center"/>
        <w:rPr>
          <w:rFonts w:hint="eastAsia" w:ascii="宋体" w:hAnsi="宋体" w:eastAsia="宋体" w:cs="宋体"/>
          <w:b/>
          <w:bCs/>
          <w:color w:val="auto"/>
          <w:sz w:val="28"/>
          <w:szCs w:val="28"/>
          <w:highlight w:val="none"/>
        </w:rPr>
      </w:pPr>
    </w:p>
    <w:p w14:paraId="7DF8F3BC">
      <w:pPr>
        <w:spacing w:line="360" w:lineRule="auto"/>
        <w:jc w:val="center"/>
        <w:outlineLvl w:val="2"/>
        <w:rPr>
          <w:rFonts w:hint="eastAsia" w:ascii="宋体" w:hAnsi="宋体" w:eastAsia="宋体" w:cs="宋体"/>
          <w:b/>
          <w:bCs/>
          <w:color w:val="auto"/>
          <w:sz w:val="28"/>
          <w:szCs w:val="28"/>
          <w:highlight w:val="none"/>
        </w:rPr>
      </w:pPr>
      <w:bookmarkStart w:id="87" w:name="_Toc17684"/>
      <w:bookmarkStart w:id="88" w:name="_Toc30356"/>
      <w:bookmarkStart w:id="89" w:name="_Toc3094"/>
      <w:bookmarkStart w:id="90" w:name="_Toc23503"/>
      <w:bookmarkStart w:id="91" w:name="_Toc16802"/>
      <w:bookmarkStart w:id="92" w:name="_Toc28941"/>
      <w:bookmarkStart w:id="93" w:name="_Toc8678"/>
      <w:bookmarkStart w:id="94" w:name="_Toc21131"/>
      <w:r>
        <w:rPr>
          <w:rFonts w:hint="eastAsia" w:ascii="宋体" w:hAnsi="宋体" w:eastAsia="宋体" w:cs="宋体"/>
          <w:b/>
          <w:bCs/>
          <w:color w:val="auto"/>
          <w:sz w:val="28"/>
          <w:szCs w:val="28"/>
          <w:highlight w:val="none"/>
          <w:lang w:bidi="ar"/>
        </w:rPr>
        <w:t>2-3依法缴纳社会保障资金的相关材料</w:t>
      </w:r>
      <w:bookmarkEnd w:id="87"/>
      <w:bookmarkEnd w:id="88"/>
      <w:bookmarkEnd w:id="89"/>
      <w:bookmarkEnd w:id="90"/>
      <w:bookmarkEnd w:id="91"/>
      <w:bookmarkEnd w:id="92"/>
      <w:bookmarkEnd w:id="93"/>
      <w:bookmarkEnd w:id="94"/>
    </w:p>
    <w:p w14:paraId="251F59BC">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根据资格条件要求提供相应材料。</w:t>
      </w:r>
    </w:p>
    <w:p w14:paraId="4E8C6C81">
      <w:pPr>
        <w:adjustRightInd w:val="0"/>
        <w:snapToGrid w:val="0"/>
        <w:spacing w:line="360" w:lineRule="auto"/>
        <w:jc w:val="center"/>
        <w:rPr>
          <w:rFonts w:hint="eastAsia" w:ascii="宋体" w:hAnsi="宋体" w:eastAsia="宋体" w:cs="宋体"/>
          <w:b/>
          <w:bCs/>
          <w:color w:val="auto"/>
          <w:sz w:val="28"/>
          <w:szCs w:val="28"/>
          <w:highlight w:val="none"/>
        </w:rPr>
      </w:pPr>
    </w:p>
    <w:p w14:paraId="60E7FB4E">
      <w:pPr>
        <w:adjustRightInd w:val="0"/>
        <w:snapToGrid w:val="0"/>
        <w:spacing w:line="360" w:lineRule="auto"/>
        <w:rPr>
          <w:rFonts w:hint="eastAsia" w:ascii="宋体" w:hAnsi="宋体" w:eastAsia="宋体" w:cs="宋体"/>
          <w:b/>
          <w:bCs/>
          <w:color w:val="auto"/>
          <w:sz w:val="28"/>
          <w:szCs w:val="28"/>
          <w:highlight w:val="none"/>
        </w:rPr>
      </w:pPr>
    </w:p>
    <w:p w14:paraId="4A3B5549">
      <w:pPr>
        <w:spacing w:line="360" w:lineRule="auto"/>
        <w:jc w:val="center"/>
        <w:outlineLvl w:val="2"/>
        <w:rPr>
          <w:rFonts w:hint="eastAsia"/>
          <w:color w:val="auto"/>
          <w:highlight w:val="none"/>
        </w:rPr>
      </w:pPr>
      <w:bookmarkStart w:id="95" w:name="_Toc23218"/>
      <w:bookmarkStart w:id="96" w:name="_Toc30223"/>
      <w:r>
        <w:rPr>
          <w:rFonts w:hint="eastAsia" w:ascii="宋体" w:hAnsi="宋体" w:cs="宋体"/>
          <w:b/>
          <w:bCs/>
          <w:color w:val="auto"/>
          <w:sz w:val="28"/>
          <w:szCs w:val="28"/>
          <w:highlight w:val="none"/>
          <w:lang w:bidi="ar"/>
        </w:rPr>
        <w:t>2-4</w:t>
      </w:r>
      <w:r>
        <w:rPr>
          <w:rFonts w:hint="eastAsia" w:ascii="宋体" w:hAnsi="宋体" w:cs="宋体"/>
          <w:b/>
          <w:bCs/>
          <w:color w:val="auto"/>
          <w:sz w:val="28"/>
          <w:szCs w:val="28"/>
          <w:highlight w:val="none"/>
          <w:lang w:val="en-US" w:eastAsia="zh-CN" w:bidi="ar"/>
        </w:rPr>
        <w:t xml:space="preserve"> </w:t>
      </w:r>
      <w:r>
        <w:rPr>
          <w:rFonts w:hint="eastAsia" w:ascii="宋体" w:hAnsi="宋体" w:cs="宋体"/>
          <w:b/>
          <w:bCs/>
          <w:color w:val="auto"/>
          <w:sz w:val="28"/>
          <w:szCs w:val="28"/>
          <w:highlight w:val="none"/>
          <w:lang w:bidi="ar"/>
        </w:rPr>
        <w:t>具备履行合同所必需的设备和专业技术能力的书面声明</w:t>
      </w:r>
      <w:bookmarkEnd w:id="95"/>
      <w:bookmarkEnd w:id="96"/>
    </w:p>
    <w:p w14:paraId="7E609A9E">
      <w:pPr>
        <w:jc w:val="left"/>
        <w:rPr>
          <w:color w:val="auto"/>
          <w:highlight w:val="none"/>
        </w:rPr>
      </w:pPr>
      <w:r>
        <w:rPr>
          <w:rFonts w:hint="eastAsia"/>
          <w:color w:val="auto"/>
          <w:highlight w:val="none"/>
        </w:rPr>
        <w:t>致</w:t>
      </w:r>
      <w:r>
        <w:rPr>
          <w:color w:val="auto"/>
          <w:highlight w:val="none"/>
        </w:rPr>
        <w:t>________</w:t>
      </w:r>
      <w:r>
        <w:rPr>
          <w:rFonts w:hint="eastAsia"/>
          <w:color w:val="auto"/>
          <w:highlight w:val="none"/>
        </w:rPr>
        <w:t>（采购人或采购代理机构）：</w:t>
      </w:r>
    </w:p>
    <w:p w14:paraId="7ADCFB7E">
      <w:pPr>
        <w:ind w:firstLine="420" w:firstLineChars="200"/>
        <w:jc w:val="left"/>
        <w:rPr>
          <w:rFonts w:hint="eastAsia"/>
          <w:color w:val="auto"/>
          <w:highlight w:val="none"/>
        </w:rPr>
      </w:pPr>
      <w:r>
        <w:rPr>
          <w:rFonts w:hint="eastAsia"/>
          <w:color w:val="auto"/>
          <w:highlight w:val="none"/>
        </w:rPr>
        <w:t>我方具备履行</w:t>
      </w:r>
      <w:r>
        <w:rPr>
          <w:rFonts w:hint="eastAsia"/>
          <w:color w:val="auto"/>
          <w:highlight w:val="none"/>
          <w:lang w:val="en-US" w:eastAsia="zh-CN"/>
        </w:rPr>
        <w:t>本项目</w:t>
      </w:r>
      <w:r>
        <w:rPr>
          <w:rFonts w:hint="eastAsia"/>
          <w:color w:val="auto"/>
          <w:highlight w:val="none"/>
        </w:rPr>
        <w:t>合同所必需的设备和专业技术能力，否则产生不利后果由我方承担责任。</w:t>
      </w:r>
    </w:p>
    <w:p w14:paraId="68A50DA4">
      <w:pPr>
        <w:ind w:firstLine="420" w:firstLineChars="200"/>
        <w:jc w:val="left"/>
        <w:rPr>
          <w:color w:val="auto"/>
          <w:highlight w:val="none"/>
        </w:rPr>
      </w:pPr>
      <w:r>
        <w:rPr>
          <w:rFonts w:hint="eastAsia"/>
          <w:color w:val="auto"/>
          <w:highlight w:val="none"/>
        </w:rPr>
        <w:t>特此声明！</w:t>
      </w:r>
    </w:p>
    <w:p w14:paraId="5ACADA14">
      <w:pPr>
        <w:jc w:val="left"/>
        <w:rPr>
          <w:color w:val="auto"/>
          <w:highlight w:val="none"/>
        </w:rPr>
      </w:pPr>
    </w:p>
    <w:p w14:paraId="3C767261">
      <w:pPr>
        <w:ind w:firstLine="630" w:firstLineChars="300"/>
        <w:jc w:val="left"/>
        <w:rPr>
          <w:color w:val="auto"/>
          <w:highlight w:val="none"/>
        </w:rPr>
      </w:pPr>
      <w:r>
        <w:rPr>
          <w:rFonts w:hint="eastAsia"/>
          <w:color w:val="auto"/>
          <w:highlight w:val="none"/>
        </w:rPr>
        <w:t>（请投标人根据实际情况如实声明，否则视为提供虚假材料。）</w:t>
      </w:r>
    </w:p>
    <w:p w14:paraId="2E908A47">
      <w:pPr>
        <w:jc w:val="left"/>
        <w:rPr>
          <w:color w:val="auto"/>
          <w:highlight w:val="none"/>
        </w:rPr>
      </w:pPr>
    </w:p>
    <w:p w14:paraId="1698271D">
      <w:pPr>
        <w:jc w:val="left"/>
        <w:rPr>
          <w:color w:val="auto"/>
          <w:highlight w:val="none"/>
        </w:rPr>
      </w:pPr>
      <w:r>
        <w:rPr>
          <w:rFonts w:hint="eastAsia"/>
          <w:color w:val="auto"/>
          <w:highlight w:val="none"/>
        </w:rPr>
        <w:t>投标人（全称并加盖公章）：</w:t>
      </w:r>
      <w:r>
        <w:rPr>
          <w:rFonts w:hint="eastAsia"/>
          <w:color w:val="auto"/>
          <w:highlight w:val="none"/>
          <w:u w:val="single"/>
          <w:lang w:val="en-US" w:eastAsia="zh-CN"/>
        </w:rPr>
        <w:t xml:space="preserve">                         </w:t>
      </w:r>
      <w:r>
        <w:rPr>
          <w:rFonts w:hint="eastAsia"/>
          <w:color w:val="auto"/>
          <w:highlight w:val="none"/>
          <w:lang w:val="en-US" w:eastAsia="zh-CN"/>
        </w:rPr>
        <w:t xml:space="preserve"> </w:t>
      </w:r>
    </w:p>
    <w:p w14:paraId="59C96AC4">
      <w:pPr>
        <w:jc w:val="left"/>
        <w:rPr>
          <w:color w:val="auto"/>
          <w:highlight w:val="none"/>
        </w:rPr>
      </w:pPr>
      <w:r>
        <w:rPr>
          <w:rFonts w:hint="eastAsia"/>
          <w:color w:val="auto"/>
          <w:highlight w:val="none"/>
        </w:rPr>
        <w:t>投标人代表（签字）：</w:t>
      </w:r>
      <w:r>
        <w:rPr>
          <w:rFonts w:hint="eastAsia"/>
          <w:color w:val="auto"/>
          <w:highlight w:val="none"/>
          <w:u w:val="single"/>
          <w:lang w:val="en-US" w:eastAsia="zh-CN"/>
        </w:rPr>
        <w:t xml:space="preserve">                         </w:t>
      </w:r>
      <w:r>
        <w:rPr>
          <w:rFonts w:hint="eastAsia"/>
          <w:color w:val="auto"/>
          <w:highlight w:val="none"/>
          <w:lang w:val="en-US" w:eastAsia="zh-CN"/>
        </w:rPr>
        <w:t xml:space="preserve"> </w:t>
      </w:r>
    </w:p>
    <w:p w14:paraId="706F4AAA">
      <w:pPr>
        <w:jc w:val="left"/>
        <w:rPr>
          <w:color w:val="auto"/>
          <w:highlight w:val="none"/>
        </w:rPr>
      </w:pPr>
      <w:r>
        <w:rPr>
          <w:rFonts w:hint="eastAsia"/>
          <w:color w:val="auto"/>
          <w:highlight w:val="none"/>
        </w:rPr>
        <w:t>日期：</w:t>
      </w:r>
      <w:r>
        <w:rPr>
          <w:rFonts w:hint="eastAsia"/>
          <w:color w:val="auto"/>
          <w:highlight w:val="none"/>
          <w:u w:val="single"/>
          <w:lang w:val="en-US" w:eastAsia="zh-CN"/>
        </w:rPr>
        <w:t xml:space="preserve">                         </w:t>
      </w:r>
      <w:r>
        <w:rPr>
          <w:rFonts w:hint="eastAsia"/>
          <w:color w:val="auto"/>
          <w:highlight w:val="none"/>
          <w:lang w:val="en-US" w:eastAsia="zh-CN"/>
        </w:rPr>
        <w:t xml:space="preserve"> </w:t>
      </w:r>
    </w:p>
    <w:p w14:paraId="74D7640F">
      <w:pPr>
        <w:rPr>
          <w:color w:val="auto"/>
          <w:highlight w:val="none"/>
        </w:rPr>
      </w:pPr>
    </w:p>
    <w:p w14:paraId="75C93DE1">
      <w:pPr>
        <w:adjustRightInd w:val="0"/>
        <w:snapToGrid w:val="0"/>
        <w:spacing w:line="360" w:lineRule="auto"/>
        <w:jc w:val="center"/>
        <w:rPr>
          <w:rFonts w:hint="eastAsia" w:ascii="宋体" w:hAnsi="宋体" w:eastAsia="宋体" w:cs="宋体"/>
          <w:b/>
          <w:bCs/>
          <w:color w:val="auto"/>
          <w:sz w:val="28"/>
          <w:szCs w:val="28"/>
          <w:highlight w:val="none"/>
        </w:rPr>
      </w:pPr>
    </w:p>
    <w:p w14:paraId="07FEE1CE">
      <w:pPr>
        <w:rPr>
          <w:rFonts w:hint="eastAsia" w:ascii="宋体" w:hAnsi="宋体" w:eastAsia="宋体" w:cs="宋体"/>
          <w:b/>
          <w:bCs/>
          <w:color w:val="auto"/>
          <w:sz w:val="28"/>
          <w:szCs w:val="28"/>
          <w:highlight w:val="none"/>
        </w:rPr>
      </w:pPr>
      <w:bookmarkStart w:id="97" w:name="_Toc8860"/>
      <w:bookmarkStart w:id="98" w:name="_Toc18153"/>
      <w:r>
        <w:rPr>
          <w:rFonts w:hint="eastAsia" w:ascii="宋体" w:hAnsi="宋体" w:eastAsia="宋体" w:cs="宋体"/>
          <w:b/>
          <w:bCs/>
          <w:color w:val="auto"/>
          <w:sz w:val="28"/>
          <w:szCs w:val="28"/>
          <w:highlight w:val="none"/>
        </w:rPr>
        <w:br w:type="page"/>
      </w:r>
    </w:p>
    <w:p w14:paraId="17A72404">
      <w:pPr>
        <w:adjustRightInd w:val="0"/>
        <w:snapToGrid w:val="0"/>
        <w:spacing w:line="360" w:lineRule="auto"/>
        <w:jc w:val="center"/>
        <w:rPr>
          <w:rFonts w:hint="eastAsia" w:ascii="宋体" w:hAnsi="宋体" w:eastAsia="宋体" w:cs="宋体"/>
          <w:b/>
          <w:bCs/>
          <w:color w:val="auto"/>
          <w:sz w:val="28"/>
          <w:szCs w:val="28"/>
          <w:highlight w:val="none"/>
        </w:rPr>
      </w:pPr>
    </w:p>
    <w:p w14:paraId="65F8D339">
      <w:pPr>
        <w:adjustRightInd w:val="0"/>
        <w:snapToGrid w:val="0"/>
        <w:spacing w:line="360" w:lineRule="auto"/>
        <w:jc w:val="center"/>
        <w:outlineLvl w:val="1"/>
        <w:rPr>
          <w:rFonts w:hint="eastAsia" w:ascii="宋体" w:hAnsi="宋体" w:eastAsia="宋体" w:cs="宋体"/>
          <w:b/>
          <w:bCs/>
          <w:color w:val="auto"/>
          <w:sz w:val="28"/>
          <w:szCs w:val="28"/>
          <w:highlight w:val="none"/>
        </w:rPr>
      </w:pPr>
      <w:bookmarkStart w:id="99" w:name="_Toc14619"/>
      <w:bookmarkStart w:id="100" w:name="_Toc11868"/>
      <w:bookmarkStart w:id="101" w:name="_Toc23288"/>
      <w:bookmarkStart w:id="102" w:name="_Toc26758"/>
      <w:bookmarkStart w:id="103" w:name="_Toc11901"/>
      <w:bookmarkStart w:id="104" w:name="_Toc27991"/>
      <w:bookmarkStart w:id="105" w:name="_Toc13597"/>
      <w:bookmarkStart w:id="106" w:name="_Toc7146"/>
      <w:r>
        <w:rPr>
          <w:rFonts w:hint="eastAsia" w:ascii="宋体" w:hAnsi="宋体" w:eastAsia="宋体" w:cs="宋体"/>
          <w:b/>
          <w:bCs/>
          <w:color w:val="auto"/>
          <w:sz w:val="28"/>
          <w:szCs w:val="28"/>
          <w:highlight w:val="none"/>
        </w:rPr>
        <w:t xml:space="preserve">格式3  </w:t>
      </w:r>
      <w:r>
        <w:rPr>
          <w:rFonts w:hint="eastAsia" w:ascii="宋体" w:hAnsi="宋体" w:eastAsia="宋体" w:cs="宋体"/>
          <w:b/>
          <w:bCs/>
          <w:color w:val="auto"/>
          <w:sz w:val="28"/>
          <w:szCs w:val="28"/>
          <w:highlight w:val="none"/>
          <w:lang w:bidi="ar"/>
        </w:rPr>
        <w:t>参加本次政府采购活动前三年内在经营活动中</w:t>
      </w:r>
      <w:r>
        <w:rPr>
          <w:rFonts w:hint="eastAsia" w:ascii="宋体" w:hAnsi="宋体" w:eastAsia="宋体" w:cs="宋体"/>
          <w:b/>
          <w:bCs/>
          <w:color w:val="auto"/>
          <w:sz w:val="28"/>
          <w:szCs w:val="28"/>
          <w:highlight w:val="none"/>
          <w:lang w:bidi="ar"/>
        </w:rPr>
        <w:br w:type="textWrapping"/>
      </w:r>
      <w:r>
        <w:rPr>
          <w:rFonts w:hint="eastAsia" w:ascii="宋体" w:hAnsi="宋体" w:eastAsia="宋体" w:cs="宋体"/>
          <w:b/>
          <w:bCs/>
          <w:color w:val="auto"/>
          <w:sz w:val="28"/>
          <w:szCs w:val="28"/>
          <w:highlight w:val="none"/>
          <w:lang w:bidi="ar"/>
        </w:rPr>
        <w:t>没有重大违法记录的书面声明</w:t>
      </w:r>
      <w:bookmarkEnd w:id="99"/>
      <w:bookmarkEnd w:id="100"/>
      <w:bookmarkEnd w:id="101"/>
      <w:bookmarkEnd w:id="102"/>
      <w:bookmarkEnd w:id="103"/>
      <w:bookmarkEnd w:id="104"/>
      <w:bookmarkEnd w:id="105"/>
      <w:bookmarkEnd w:id="106"/>
    </w:p>
    <w:p w14:paraId="29EF8223">
      <w:pPr>
        <w:spacing w:line="360" w:lineRule="auto"/>
        <w:ind w:firstLine="420" w:firstLineChars="200"/>
        <w:rPr>
          <w:rFonts w:hint="eastAsia" w:ascii="宋体" w:hAnsi="宋体" w:eastAsia="宋体" w:cs="宋体"/>
          <w:color w:val="auto"/>
          <w:highlight w:val="none"/>
        </w:rPr>
      </w:pPr>
    </w:p>
    <w:p w14:paraId="12979EC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致________（采购人或采购代理机构）：</w:t>
      </w:r>
    </w:p>
    <w:p w14:paraId="1FD51CF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我单位在参加本次采购活动前三年内在经营活动中没有《政府采购法》第二十二条第一款第（五）项所称重大违法记录，包括：</w:t>
      </w:r>
    </w:p>
    <w:p w14:paraId="26CEC42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我单位未因经营活动中的违法行为受到刑事处罚或者责令停产停业、吊销许可证或者执照、较大数额罚款等行政处罚。</w:t>
      </w:r>
    </w:p>
    <w:p w14:paraId="652E7C5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特此声明！</w:t>
      </w:r>
    </w:p>
    <w:p w14:paraId="1FB9B4F8">
      <w:pPr>
        <w:spacing w:line="360" w:lineRule="auto"/>
        <w:ind w:firstLine="420" w:firstLineChars="200"/>
        <w:rPr>
          <w:rFonts w:hint="eastAsia" w:ascii="宋体" w:hAnsi="宋体" w:eastAsia="宋体" w:cs="宋体"/>
          <w:color w:val="auto"/>
          <w:highlight w:val="none"/>
        </w:rPr>
      </w:pPr>
    </w:p>
    <w:p w14:paraId="47D0949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（请投标人根据实际情况如实声明，否则视为提供虚假材料。）</w:t>
      </w:r>
    </w:p>
    <w:p w14:paraId="6E2B8549">
      <w:pPr>
        <w:spacing w:line="360" w:lineRule="auto"/>
        <w:ind w:firstLine="420" w:firstLineChars="200"/>
        <w:rPr>
          <w:rFonts w:hint="eastAsia" w:ascii="宋体" w:hAnsi="宋体" w:eastAsia="宋体" w:cs="宋体"/>
          <w:color w:val="auto"/>
          <w:highlight w:val="none"/>
        </w:rPr>
      </w:pPr>
    </w:p>
    <w:p w14:paraId="5E2EFE8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投标人（全称并加盖公章）：             </w:t>
      </w:r>
    </w:p>
    <w:p w14:paraId="7710224C">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kern w:val="0"/>
          <w:szCs w:val="21"/>
          <w:highlight w:val="none"/>
        </w:rPr>
        <w:t>投标人代表（签字）</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 xml:space="preserve">             </w:t>
      </w:r>
    </w:p>
    <w:p w14:paraId="7FBDB7E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日期：                                 </w:t>
      </w:r>
    </w:p>
    <w:p w14:paraId="6AE65611">
      <w:pPr>
        <w:adjustRightInd w:val="0"/>
        <w:snapToGrid w:val="0"/>
        <w:spacing w:line="360" w:lineRule="auto"/>
        <w:jc w:val="center"/>
        <w:rPr>
          <w:rFonts w:hint="eastAsia" w:ascii="宋体" w:hAnsi="宋体" w:eastAsia="宋体" w:cs="宋体"/>
          <w:b/>
          <w:bCs/>
          <w:color w:val="auto"/>
          <w:sz w:val="28"/>
          <w:szCs w:val="28"/>
          <w:highlight w:val="none"/>
        </w:rPr>
      </w:pPr>
    </w:p>
    <w:p w14:paraId="10E5FB6B">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183DBAB3">
      <w:pPr>
        <w:pStyle w:val="32"/>
        <w:outlineLvl w:val="9"/>
        <w:rPr>
          <w:rFonts w:hint="eastAsia" w:ascii="宋体" w:hAnsi="宋体" w:eastAsia="宋体" w:cs="宋体"/>
          <w:color w:val="auto"/>
          <w:highlight w:val="none"/>
        </w:rPr>
      </w:pPr>
    </w:p>
    <w:p w14:paraId="6C47ED95">
      <w:pPr>
        <w:widowControl/>
        <w:jc w:val="center"/>
        <w:outlineLvl w:val="1"/>
        <w:rPr>
          <w:rFonts w:hint="eastAsia" w:ascii="宋体" w:hAnsi="宋体" w:eastAsia="宋体" w:cs="宋体"/>
          <w:b/>
          <w:bCs/>
          <w:color w:val="auto"/>
          <w:sz w:val="28"/>
          <w:szCs w:val="28"/>
          <w:highlight w:val="none"/>
        </w:rPr>
      </w:pPr>
      <w:bookmarkStart w:id="107" w:name="_Toc7122"/>
      <w:bookmarkStart w:id="108" w:name="_Toc25655"/>
      <w:bookmarkStart w:id="109" w:name="_Toc817"/>
      <w:bookmarkStart w:id="110" w:name="_Toc29786"/>
      <w:bookmarkStart w:id="111" w:name="_Toc17108"/>
      <w:bookmarkStart w:id="112" w:name="_Toc6419"/>
      <w:bookmarkStart w:id="113" w:name="_Toc23569"/>
      <w:bookmarkStart w:id="114" w:name="_Toc17136"/>
      <w:r>
        <w:rPr>
          <w:rFonts w:hint="eastAsia" w:ascii="宋体" w:hAnsi="宋体" w:eastAsia="宋体" w:cs="宋体"/>
          <w:b/>
          <w:bCs/>
          <w:color w:val="auto"/>
          <w:sz w:val="28"/>
          <w:szCs w:val="28"/>
          <w:highlight w:val="none"/>
        </w:rPr>
        <w:t xml:space="preserve">格式4  </w:t>
      </w:r>
      <w:r>
        <w:rPr>
          <w:rFonts w:hint="eastAsia" w:ascii="宋体" w:hAnsi="宋体" w:eastAsia="宋体" w:cs="宋体"/>
          <w:b/>
          <w:bCs/>
          <w:color w:val="auto"/>
          <w:sz w:val="28"/>
          <w:szCs w:val="28"/>
          <w:highlight w:val="none"/>
          <w:lang w:bidi="ar"/>
        </w:rPr>
        <w:t>具备法律、行政法规规定的其他条件的证明材料</w:t>
      </w:r>
      <w:bookmarkEnd w:id="107"/>
      <w:bookmarkEnd w:id="108"/>
      <w:bookmarkEnd w:id="109"/>
      <w:bookmarkEnd w:id="110"/>
      <w:bookmarkEnd w:id="111"/>
      <w:bookmarkEnd w:id="112"/>
      <w:bookmarkEnd w:id="113"/>
      <w:bookmarkEnd w:id="114"/>
    </w:p>
    <w:p w14:paraId="6A1EB56F">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根据资格条件要求提供相应材料。</w:t>
      </w:r>
    </w:p>
    <w:p w14:paraId="74D68BC1">
      <w:pPr>
        <w:adjustRightInd w:val="0"/>
        <w:snapToGrid w:val="0"/>
        <w:spacing w:line="360" w:lineRule="auto"/>
        <w:jc w:val="center"/>
        <w:rPr>
          <w:rFonts w:hint="eastAsia" w:ascii="宋体" w:hAnsi="宋体" w:eastAsia="宋体" w:cs="宋体"/>
          <w:b/>
          <w:bCs/>
          <w:color w:val="auto"/>
          <w:sz w:val="28"/>
          <w:szCs w:val="28"/>
          <w:highlight w:val="none"/>
        </w:rPr>
      </w:pPr>
    </w:p>
    <w:p w14:paraId="216AD78C">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AF94010">
      <w:pPr>
        <w:widowControl/>
        <w:jc w:val="center"/>
        <w:outlineLvl w:val="1"/>
        <w:rPr>
          <w:rFonts w:hint="eastAsia" w:ascii="宋体" w:hAnsi="宋体" w:eastAsia="宋体" w:cs="宋体"/>
          <w:b/>
          <w:bCs/>
          <w:color w:val="auto"/>
          <w:sz w:val="28"/>
          <w:szCs w:val="28"/>
          <w:highlight w:val="none"/>
        </w:rPr>
      </w:pPr>
      <w:bookmarkStart w:id="115" w:name="_Toc2851"/>
      <w:bookmarkStart w:id="116" w:name="_Toc3823"/>
      <w:bookmarkStart w:id="117" w:name="_Toc17587"/>
      <w:bookmarkStart w:id="118" w:name="_Toc13870"/>
      <w:bookmarkStart w:id="119" w:name="_Toc26516"/>
      <w:bookmarkStart w:id="120" w:name="_Toc27074"/>
      <w:bookmarkStart w:id="121" w:name="_Toc22550"/>
      <w:bookmarkStart w:id="122" w:name="_Toc24944"/>
      <w:r>
        <w:rPr>
          <w:rFonts w:hint="eastAsia" w:ascii="宋体" w:hAnsi="宋体" w:eastAsia="宋体" w:cs="宋体"/>
          <w:b/>
          <w:bCs/>
          <w:color w:val="auto"/>
          <w:sz w:val="28"/>
          <w:szCs w:val="28"/>
          <w:highlight w:val="none"/>
        </w:rPr>
        <w:t xml:space="preserve">格式5  </w:t>
      </w:r>
      <w:r>
        <w:rPr>
          <w:rFonts w:hint="eastAsia" w:ascii="宋体" w:hAnsi="宋体" w:eastAsia="宋体" w:cs="宋体"/>
          <w:b/>
          <w:bCs/>
          <w:color w:val="auto"/>
          <w:sz w:val="28"/>
          <w:szCs w:val="28"/>
          <w:highlight w:val="none"/>
          <w:lang w:bidi="ar"/>
        </w:rPr>
        <w:t>联合体协议（若有）</w:t>
      </w:r>
      <w:bookmarkEnd w:id="115"/>
      <w:bookmarkEnd w:id="116"/>
      <w:bookmarkEnd w:id="117"/>
      <w:bookmarkEnd w:id="118"/>
      <w:bookmarkEnd w:id="119"/>
      <w:bookmarkEnd w:id="120"/>
      <w:bookmarkEnd w:id="121"/>
      <w:bookmarkEnd w:id="122"/>
    </w:p>
    <w:p w14:paraId="529D8820">
      <w:pPr>
        <w:pStyle w:val="21"/>
        <w:widowControl w:val="0"/>
        <w:topLinePunct/>
        <w:autoSpaceDE w:val="0"/>
        <w:autoSpaceDN w:val="0"/>
        <w:snapToGrid w:val="0"/>
        <w:spacing w:before="0" w:beforeAutospacing="0" w:after="0" w:afterAutospacing="0" w:line="360" w:lineRule="auto"/>
        <w:jc w:val="center"/>
        <w:rPr>
          <w:rFonts w:hint="eastAsia" w:ascii="宋体" w:hAnsi="宋体" w:eastAsia="宋体" w:cs="宋体"/>
          <w:b/>
          <w:color w:val="auto"/>
          <w:w w:val="150"/>
          <w:szCs w:val="21"/>
          <w:highlight w:val="none"/>
        </w:rPr>
      </w:pPr>
    </w:p>
    <w:p w14:paraId="55EB0BD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致________（采购人或采购代理机构）：</w:t>
      </w:r>
    </w:p>
    <w:p w14:paraId="08F8159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经研究，我方决定自愿组成联合体共同参加____________(项目名称、项目编号)项目的投标。现就联合体投标事宜订立如下协议：</w:t>
      </w:r>
    </w:p>
    <w:p w14:paraId="539BF2D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一、联合体成员：</w:t>
      </w:r>
    </w:p>
    <w:p w14:paraId="0E96C96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1.____________________</w:t>
      </w:r>
    </w:p>
    <w:p w14:paraId="129104C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2.____________________</w:t>
      </w:r>
    </w:p>
    <w:p w14:paraId="312B31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3.____________________</w:t>
      </w:r>
    </w:p>
    <w:p w14:paraId="7FB9985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二、____________(某成员单位名称)为____________(联合体名称)牵头人。</w:t>
      </w:r>
    </w:p>
    <w:p w14:paraId="04C269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三、联合体牵头人合法代表联合体各成员负责本项目投标文件编制活动，代表联合体提交和接收相关的资料、信息及指示，并处理与投标有关的一切事务；联合体中标后，联合体牵头人负责合同订立和实施阶段的主办、组织和协调工作。</w:t>
      </w:r>
    </w:p>
    <w:p w14:paraId="66A1808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四、联合体将严格按照招标文件的各项要求，递交投标文件，参加投标，履行中标义务和中标后的合同，并向采购人承担连带责任。</w:t>
      </w:r>
    </w:p>
    <w:p w14:paraId="61066C8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lang w:bidi="ar"/>
        </w:rPr>
        <w:t>五、联合体各成员单位内部的职责分工如下：____________。按照本条上述分工，联合体成员单位各自所承担的合同工作量比例如下：____________</w:t>
      </w:r>
      <w:r>
        <w:rPr>
          <w:rFonts w:hint="eastAsia" w:ascii="宋体" w:hAnsi="宋体" w:eastAsia="宋体" w:cs="宋体"/>
          <w:color w:val="auto"/>
          <w:szCs w:val="21"/>
          <w:highlight w:val="none"/>
          <w:lang w:eastAsia="zh-CN" w:bidi="ar"/>
        </w:rPr>
        <w:t>，联合体成员单位各自所承担的合同金额比例如下：</w:t>
      </w:r>
      <w:r>
        <w:rPr>
          <w:rFonts w:hint="eastAsia" w:ascii="宋体" w:hAnsi="宋体" w:eastAsia="宋体" w:cs="宋体"/>
          <w:color w:val="auto"/>
          <w:szCs w:val="21"/>
          <w:highlight w:val="none"/>
          <w:u w:val="single"/>
          <w:lang w:val="en-US" w:eastAsia="zh-CN" w:bidi="ar"/>
        </w:rPr>
        <w:t xml:space="preserve">                            </w:t>
      </w:r>
      <w:r>
        <w:rPr>
          <w:rFonts w:hint="eastAsia" w:ascii="宋体" w:hAnsi="宋体" w:eastAsia="宋体" w:cs="宋体"/>
          <w:color w:val="auto"/>
          <w:szCs w:val="21"/>
          <w:highlight w:val="none"/>
          <w:lang w:bidi="ar"/>
        </w:rPr>
        <w:t>。</w:t>
      </w:r>
    </w:p>
    <w:p w14:paraId="11B8CE6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六、本协议书自签署之日起生效，合同履行完毕后自动失效。</w:t>
      </w:r>
    </w:p>
    <w:p w14:paraId="31B4F43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七、本协议书一式______份，联合体成员和采购人各执一份。</w:t>
      </w:r>
    </w:p>
    <w:p w14:paraId="3F41EB9B">
      <w:pPr>
        <w:spacing w:line="360" w:lineRule="auto"/>
        <w:ind w:firstLine="420" w:firstLineChars="200"/>
        <w:rPr>
          <w:rFonts w:hint="eastAsia" w:ascii="宋体" w:hAnsi="宋体" w:eastAsia="宋体" w:cs="宋体"/>
          <w:color w:val="auto"/>
          <w:szCs w:val="21"/>
          <w:highlight w:val="none"/>
        </w:rPr>
      </w:pPr>
    </w:p>
    <w:p w14:paraId="1528070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牵头人名称(公章)：____________</w:t>
      </w:r>
    </w:p>
    <w:p w14:paraId="62436C0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法定代表人或其授权代表(签字)：____________</w:t>
      </w:r>
    </w:p>
    <w:p w14:paraId="19F0A95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成员名称(公章)：____________</w:t>
      </w:r>
    </w:p>
    <w:p w14:paraId="34E632C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法定代表人或其授权代表(签字)：____________</w:t>
      </w:r>
    </w:p>
    <w:p w14:paraId="0E37DBE9">
      <w:pPr>
        <w:spacing w:line="360" w:lineRule="auto"/>
        <w:ind w:firstLine="420" w:firstLineChars="2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______年____月____日</w:t>
      </w:r>
    </w:p>
    <w:p w14:paraId="607416D1">
      <w:pPr>
        <w:spacing w:line="360" w:lineRule="auto"/>
        <w:ind w:firstLine="420" w:firstLineChars="200"/>
        <w:rPr>
          <w:rFonts w:hint="eastAsia" w:ascii="宋体" w:hAnsi="宋体" w:eastAsia="宋体" w:cs="宋体"/>
          <w:color w:val="auto"/>
          <w:szCs w:val="21"/>
          <w:highlight w:val="none"/>
        </w:rPr>
      </w:pPr>
    </w:p>
    <w:p w14:paraId="722908A6">
      <w:pPr>
        <w:spacing w:line="360" w:lineRule="auto"/>
        <w:ind w:firstLine="420" w:firstLineChars="20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备注：本协议书由授权代表签字的，应附法定代表人签字的授权委托书。</w:t>
      </w:r>
    </w:p>
    <w:p w14:paraId="0C9C7889">
      <w:pPr>
        <w:spacing w:line="360" w:lineRule="auto"/>
        <w:ind w:firstLine="420" w:firstLineChars="200"/>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br w:type="page"/>
      </w:r>
      <w:bookmarkStart w:id="123" w:name="_Toc28940"/>
      <w:bookmarkStart w:id="124" w:name="_Toc27952"/>
      <w:bookmarkStart w:id="125" w:name="_Toc30097"/>
      <w:bookmarkStart w:id="126" w:name="_Toc21657"/>
      <w:bookmarkStart w:id="127" w:name="_Toc998"/>
      <w:bookmarkStart w:id="128" w:name="_Toc24245"/>
      <w:bookmarkStart w:id="129" w:name="_Toc12098"/>
    </w:p>
    <w:p w14:paraId="7D92C149">
      <w:pPr>
        <w:adjustRightInd w:val="0"/>
        <w:snapToGrid w:val="0"/>
        <w:spacing w:line="360" w:lineRule="auto"/>
        <w:jc w:val="center"/>
        <w:outlineLvl w:val="1"/>
        <w:rPr>
          <w:rFonts w:hint="eastAsia" w:ascii="宋体" w:hAnsi="宋体" w:eastAsia="宋体" w:cs="宋体"/>
          <w:b/>
          <w:bCs/>
          <w:color w:val="auto"/>
          <w:sz w:val="28"/>
          <w:szCs w:val="28"/>
          <w:highlight w:val="none"/>
        </w:rPr>
      </w:pPr>
      <w:bookmarkStart w:id="130" w:name="_Toc17423"/>
      <w:r>
        <w:rPr>
          <w:rFonts w:hint="eastAsia" w:ascii="宋体" w:hAnsi="宋体" w:eastAsia="宋体" w:cs="宋体"/>
          <w:b/>
          <w:bCs/>
          <w:color w:val="auto"/>
          <w:sz w:val="28"/>
          <w:szCs w:val="28"/>
          <w:highlight w:val="none"/>
        </w:rPr>
        <w:t xml:space="preserve">格式6  </w:t>
      </w:r>
      <w:r>
        <w:rPr>
          <w:rFonts w:hint="eastAsia" w:ascii="宋体" w:hAnsi="宋体" w:eastAsia="宋体" w:cs="宋体"/>
          <w:b/>
          <w:bCs/>
          <w:color w:val="auto"/>
          <w:sz w:val="28"/>
          <w:szCs w:val="28"/>
          <w:highlight w:val="none"/>
          <w:lang w:bidi="ar"/>
        </w:rPr>
        <w:t>其他资格证明文件（若有）</w:t>
      </w:r>
      <w:bookmarkEnd w:id="123"/>
      <w:bookmarkEnd w:id="124"/>
      <w:bookmarkEnd w:id="125"/>
      <w:bookmarkEnd w:id="126"/>
      <w:bookmarkEnd w:id="127"/>
      <w:bookmarkEnd w:id="128"/>
      <w:bookmarkEnd w:id="129"/>
      <w:bookmarkEnd w:id="130"/>
    </w:p>
    <w:p w14:paraId="747982BB">
      <w:pPr>
        <w:rPr>
          <w:rFonts w:hint="eastAsia" w:ascii="宋体" w:hAnsi="宋体" w:eastAsia="宋体" w:cs="宋体"/>
          <w:color w:val="auto"/>
          <w:highlight w:val="none"/>
        </w:rPr>
      </w:pPr>
    </w:p>
    <w:p w14:paraId="03B54C86">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根据资格条件要求提供相应材料。</w:t>
      </w:r>
    </w:p>
    <w:p w14:paraId="60B8D8C3">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42646E50">
      <w:pPr>
        <w:jc w:val="center"/>
        <w:outlineLvl w:val="1"/>
        <w:rPr>
          <w:rFonts w:hint="eastAsia" w:ascii="宋体" w:hAnsi="宋体" w:eastAsia="宋体" w:cs="宋体"/>
          <w:b/>
          <w:bCs/>
          <w:color w:val="auto"/>
          <w:sz w:val="28"/>
          <w:szCs w:val="28"/>
          <w:highlight w:val="none"/>
        </w:rPr>
      </w:pPr>
      <w:bookmarkStart w:id="131" w:name="_Toc29880"/>
      <w:bookmarkStart w:id="132" w:name="_Toc24863"/>
      <w:bookmarkStart w:id="133" w:name="_Toc24262"/>
      <w:bookmarkStart w:id="134" w:name="_Toc26633"/>
      <w:bookmarkStart w:id="135" w:name="_Toc6622"/>
      <w:bookmarkStart w:id="136" w:name="_Toc18651"/>
      <w:bookmarkStart w:id="137" w:name="_Toc25562"/>
      <w:bookmarkStart w:id="138" w:name="_Toc28820"/>
      <w:r>
        <w:rPr>
          <w:rFonts w:hint="eastAsia" w:ascii="宋体" w:hAnsi="宋体" w:eastAsia="宋体" w:cs="宋体"/>
          <w:b/>
          <w:bCs/>
          <w:color w:val="auto"/>
          <w:sz w:val="28"/>
          <w:szCs w:val="28"/>
          <w:highlight w:val="none"/>
        </w:rPr>
        <w:t>格式7  投标报价表</w:t>
      </w:r>
      <w:bookmarkEnd w:id="131"/>
      <w:bookmarkEnd w:id="132"/>
      <w:bookmarkEnd w:id="133"/>
      <w:bookmarkEnd w:id="134"/>
      <w:bookmarkEnd w:id="135"/>
      <w:bookmarkEnd w:id="136"/>
      <w:bookmarkEnd w:id="137"/>
      <w:bookmarkEnd w:id="138"/>
    </w:p>
    <w:bookmarkEnd w:id="97"/>
    <w:bookmarkEnd w:id="98"/>
    <w:p w14:paraId="6EF989FA">
      <w:pPr>
        <w:tabs>
          <w:tab w:val="left" w:pos="1230"/>
        </w:tabs>
        <w:topLinePunct/>
        <w:autoSpaceDE w:val="0"/>
        <w:autoSpaceDN w:val="0"/>
        <w:adjustRightInd w:val="0"/>
        <w:snapToGrid w:val="0"/>
        <w:spacing w:line="360" w:lineRule="auto"/>
        <w:ind w:firstLine="562" w:firstLineChars="200"/>
        <w:jc w:val="center"/>
        <w:outlineLvl w:val="2"/>
        <w:rPr>
          <w:rFonts w:hint="eastAsia" w:ascii="宋体" w:hAnsi="宋体" w:eastAsia="宋体" w:cs="宋体"/>
          <w:b/>
          <w:bCs/>
          <w:color w:val="auto"/>
          <w:sz w:val="28"/>
          <w:szCs w:val="28"/>
          <w:highlight w:val="none"/>
        </w:rPr>
      </w:pPr>
      <w:bookmarkStart w:id="139" w:name="_Toc6348"/>
      <w:bookmarkStart w:id="140" w:name="_Toc21388"/>
      <w:bookmarkStart w:id="141" w:name="_Toc10060"/>
      <w:bookmarkStart w:id="142" w:name="_Toc268"/>
      <w:bookmarkStart w:id="143" w:name="_Toc19800"/>
      <w:bookmarkStart w:id="144" w:name="_Toc15473"/>
      <w:bookmarkStart w:id="145" w:name="_Toc26188"/>
      <w:bookmarkStart w:id="146" w:name="_Toc3594"/>
      <w:r>
        <w:rPr>
          <w:rFonts w:hint="eastAsia" w:ascii="宋体" w:hAnsi="宋体" w:eastAsia="宋体" w:cs="宋体"/>
          <w:b/>
          <w:bCs/>
          <w:color w:val="auto"/>
          <w:sz w:val="28"/>
          <w:szCs w:val="28"/>
          <w:highlight w:val="none"/>
        </w:rPr>
        <w:t>1.开标一览表（总报价表）</w:t>
      </w:r>
      <w:bookmarkEnd w:id="139"/>
      <w:bookmarkEnd w:id="140"/>
      <w:bookmarkEnd w:id="141"/>
      <w:bookmarkEnd w:id="142"/>
      <w:bookmarkEnd w:id="143"/>
      <w:bookmarkEnd w:id="144"/>
      <w:bookmarkEnd w:id="145"/>
      <w:bookmarkEnd w:id="146"/>
    </w:p>
    <w:p w14:paraId="19FE6E6A">
      <w:pPr>
        <w:pStyle w:val="12"/>
        <w:topLinePunct/>
        <w:autoSpaceDE w:val="0"/>
        <w:autoSpaceDN w:val="0"/>
        <w:adjustRightInd w:val="0"/>
        <w:snapToGrid w:val="0"/>
        <w:spacing w:line="360" w:lineRule="auto"/>
        <w:ind w:left="2"/>
        <w:jc w:val="center"/>
        <w:rPr>
          <w:rFonts w:hint="eastAsia" w:ascii="宋体" w:hAnsi="宋体" w:eastAsia="宋体" w:cs="宋体"/>
          <w:color w:val="auto"/>
          <w:highlight w:val="none"/>
        </w:rPr>
      </w:pPr>
      <w:r>
        <w:rPr>
          <w:rFonts w:hint="eastAsia" w:ascii="宋体" w:hAnsi="宋体" w:eastAsia="宋体" w:cs="宋体"/>
          <w:color w:val="auto"/>
          <w:highlight w:val="none"/>
        </w:rPr>
        <w:t>(服务类项目适用)</w:t>
      </w:r>
    </w:p>
    <w:p w14:paraId="341251A2">
      <w:pPr>
        <w:topLinePunct/>
        <w:autoSpaceDE w:val="0"/>
        <w:autoSpaceDN w:val="0"/>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7F73948A">
      <w:pPr>
        <w:adjustRightInd w:val="0"/>
        <w:snapToGrid w:val="0"/>
        <w:spacing w:line="360" w:lineRule="auto"/>
        <w:ind w:right="840"/>
        <w:rPr>
          <w:rFonts w:hint="eastAsia" w:ascii="宋体" w:hAnsi="宋体" w:eastAsia="宋体" w:cs="宋体"/>
          <w:bCs/>
          <w:color w:val="auto"/>
          <w:w w:val="150"/>
          <w:szCs w:val="21"/>
          <w:highlight w:val="none"/>
        </w:rPr>
      </w:pPr>
      <w:r>
        <w:rPr>
          <w:rFonts w:hint="eastAsia" w:ascii="宋体" w:hAnsi="宋体" w:eastAsia="宋体" w:cs="宋体"/>
          <w:color w:val="auto"/>
          <w:highlight w:val="none"/>
        </w:rPr>
        <w:t>采购包号：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价格单位：人民币：元</w:t>
      </w:r>
    </w:p>
    <w:tbl>
      <w:tblPr>
        <w:tblStyle w:val="23"/>
        <w:tblW w:w="9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3227"/>
        <w:gridCol w:w="5302"/>
      </w:tblGrid>
      <w:tr w14:paraId="44C5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803" w:type="dxa"/>
            <w:noWrap/>
            <w:vAlign w:val="center"/>
          </w:tcPr>
          <w:p w14:paraId="5AA92869">
            <w:pPr>
              <w:keepNext w:val="0"/>
              <w:keepLines w:val="0"/>
              <w:suppressLineNumbers w:val="0"/>
              <w:shd w:val="clear"/>
              <w:adjustRightInd w:val="0"/>
              <w:snapToGrid w:val="0"/>
              <w:spacing w:beforeLines="20" w:afterLines="2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3227" w:type="dxa"/>
            <w:noWrap/>
            <w:vAlign w:val="center"/>
          </w:tcPr>
          <w:p w14:paraId="191C1D17">
            <w:pPr>
              <w:keepNext w:val="0"/>
              <w:keepLines w:val="0"/>
              <w:suppressLineNumbers w:val="0"/>
              <w:adjustRightInd w:val="0"/>
              <w:snapToGrid w:val="0"/>
              <w:spacing w:before="62" w:beforeLines="20" w:after="62" w:afterLines="20"/>
              <w:ind w:left="0"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Cs w:val="21"/>
                <w:highlight w:val="none"/>
              </w:rPr>
              <w:t>内容</w:t>
            </w:r>
          </w:p>
        </w:tc>
        <w:tc>
          <w:tcPr>
            <w:tcW w:w="5302" w:type="dxa"/>
            <w:noWrap/>
            <w:vAlign w:val="center"/>
          </w:tcPr>
          <w:p w14:paraId="00B11E71">
            <w:pPr>
              <w:keepNext w:val="0"/>
              <w:keepLines w:val="0"/>
              <w:suppressLineNumbers w:val="0"/>
              <w:adjustRightInd w:val="0"/>
              <w:snapToGrid w:val="0"/>
              <w:spacing w:before="62" w:beforeLines="20" w:after="62" w:afterLines="20"/>
              <w:ind w:left="0" w:right="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Cs w:val="21"/>
                <w:highlight w:val="none"/>
              </w:rPr>
              <w:t>价格小计</w:t>
            </w:r>
          </w:p>
        </w:tc>
      </w:tr>
      <w:tr w14:paraId="758D0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1" w:hRule="atLeast"/>
          <w:jc w:val="center"/>
        </w:trPr>
        <w:tc>
          <w:tcPr>
            <w:tcW w:w="803" w:type="dxa"/>
            <w:noWrap/>
            <w:vAlign w:val="center"/>
          </w:tcPr>
          <w:p w14:paraId="58990DFC">
            <w:pPr>
              <w:keepNext w:val="0"/>
              <w:keepLines w:val="0"/>
              <w:suppressLineNumbers w:val="0"/>
              <w:shd w:val="clear"/>
              <w:adjustRightInd w:val="0"/>
              <w:snapToGrid w:val="0"/>
              <w:spacing w:beforeLines="20" w:afterLines="20" w:line="240" w:lineRule="auto"/>
              <w:ind w:left="0" w:right="0"/>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p>
        </w:tc>
        <w:tc>
          <w:tcPr>
            <w:tcW w:w="3227" w:type="dxa"/>
            <w:noWrap/>
            <w:vAlign w:val="center"/>
          </w:tcPr>
          <w:p w14:paraId="45218FC8">
            <w:pPr>
              <w:keepNext w:val="0"/>
              <w:keepLines w:val="0"/>
              <w:suppressLineNumbers w:val="0"/>
              <w:shd w:val="clear"/>
              <w:adjustRightInd w:val="0"/>
              <w:snapToGrid w:val="0"/>
              <w:spacing w:after="0" w:line="360" w:lineRule="auto"/>
              <w:ind w:left="0" w:right="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广西税务2026年电子发票服务平台等相关系统运行维护</w:t>
            </w:r>
          </w:p>
        </w:tc>
        <w:tc>
          <w:tcPr>
            <w:tcW w:w="5302" w:type="dxa"/>
            <w:noWrap/>
            <w:vAlign w:val="center"/>
          </w:tcPr>
          <w:p w14:paraId="2D74AC5E">
            <w:pPr>
              <w:keepNext w:val="0"/>
              <w:keepLines w:val="0"/>
              <w:suppressLineNumbers w:val="0"/>
              <w:shd w:val="clear"/>
              <w:adjustRightInd w:val="0"/>
              <w:snapToGrid w:val="0"/>
              <w:spacing w:beforeLines="20" w:afterLines="20" w:line="240" w:lineRule="auto"/>
              <w:ind w:left="0" w:right="0"/>
              <w:jc w:val="left"/>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大写：</w:t>
            </w:r>
          </w:p>
          <w:p w14:paraId="6CC94B85">
            <w:pPr>
              <w:keepNext w:val="0"/>
              <w:keepLines w:val="0"/>
              <w:suppressLineNumbers w:val="0"/>
              <w:shd w:val="clear"/>
              <w:adjustRightInd w:val="0"/>
              <w:snapToGrid w:val="0"/>
              <w:spacing w:beforeLines="20" w:afterLines="20" w:line="240" w:lineRule="auto"/>
              <w:ind w:left="0" w:right="0"/>
              <w:jc w:val="both"/>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 xml:space="preserve">小写：                         </w:t>
            </w:r>
          </w:p>
        </w:tc>
      </w:tr>
      <w:tr w14:paraId="1C947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030" w:type="dxa"/>
            <w:gridSpan w:val="2"/>
            <w:noWrap/>
            <w:vAlign w:val="center"/>
          </w:tcPr>
          <w:p w14:paraId="73D812CA">
            <w:pPr>
              <w:keepNext w:val="0"/>
              <w:keepLines w:val="0"/>
              <w:suppressLineNumbers w:val="0"/>
              <w:shd w:val="clear"/>
              <w:adjustRightInd w:val="0"/>
              <w:snapToGrid w:val="0"/>
              <w:spacing w:beforeLines="20" w:afterLines="20" w:line="240" w:lineRule="auto"/>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服务期限</w:t>
            </w:r>
          </w:p>
        </w:tc>
        <w:tc>
          <w:tcPr>
            <w:tcW w:w="5302" w:type="dxa"/>
            <w:noWrap/>
            <w:vAlign w:val="center"/>
          </w:tcPr>
          <w:p w14:paraId="29EC9E65">
            <w:pPr>
              <w:keepNext w:val="0"/>
              <w:keepLines w:val="0"/>
              <w:suppressLineNumbers w:val="0"/>
              <w:shd w:val="clear"/>
              <w:adjustRightInd w:val="0"/>
              <w:snapToGrid w:val="0"/>
              <w:spacing w:beforeLines="20" w:afterLines="20" w:line="240" w:lineRule="auto"/>
              <w:ind w:left="0" w:right="0"/>
              <w:jc w:val="center"/>
              <w:rPr>
                <w:rFonts w:hint="eastAsia" w:ascii="宋体" w:hAnsi="宋体" w:eastAsia="宋体" w:cs="宋体"/>
                <w:color w:val="auto"/>
                <w:sz w:val="21"/>
                <w:szCs w:val="21"/>
                <w:highlight w:val="none"/>
              </w:rPr>
            </w:pPr>
          </w:p>
        </w:tc>
      </w:tr>
      <w:tr w14:paraId="390B4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4030" w:type="dxa"/>
            <w:gridSpan w:val="2"/>
            <w:noWrap/>
            <w:vAlign w:val="center"/>
          </w:tcPr>
          <w:p w14:paraId="413EACED">
            <w:pPr>
              <w:keepNext w:val="0"/>
              <w:keepLines w:val="0"/>
              <w:suppressLineNumbers w:val="0"/>
              <w:shd w:val="clear"/>
              <w:adjustRightInd w:val="0"/>
              <w:snapToGrid w:val="0"/>
              <w:spacing w:beforeLines="20" w:afterLines="20" w:line="24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02" w:type="dxa"/>
            <w:noWrap/>
            <w:vAlign w:val="center"/>
          </w:tcPr>
          <w:p w14:paraId="6CBF0532">
            <w:pPr>
              <w:keepNext w:val="0"/>
              <w:keepLines w:val="0"/>
              <w:suppressLineNumbers w:val="0"/>
              <w:shd w:val="clear"/>
              <w:adjustRightInd w:val="0"/>
              <w:snapToGrid w:val="0"/>
              <w:spacing w:beforeLines="20" w:afterLines="20" w:line="240" w:lineRule="auto"/>
              <w:ind w:left="0" w:right="0"/>
              <w:jc w:val="center"/>
              <w:rPr>
                <w:rFonts w:hint="eastAsia" w:ascii="宋体" w:hAnsi="宋体" w:eastAsia="宋体" w:cs="宋体"/>
                <w:color w:val="auto"/>
                <w:sz w:val="21"/>
                <w:szCs w:val="21"/>
                <w:highlight w:val="none"/>
              </w:rPr>
            </w:pPr>
          </w:p>
        </w:tc>
      </w:tr>
    </w:tbl>
    <w:p w14:paraId="0ECB284F">
      <w:pPr>
        <w:topLinePunct/>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56BE81AB">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1.本项目总价及分项报价均不接受任何形式的赠送、“零”报价和折扣报价。</w:t>
      </w:r>
    </w:p>
    <w:p w14:paraId="18A9D27F">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2.本项目执行中所发生的所有费用均计入投标报价中，采购人不再另行支付其他任何费用。</w:t>
      </w:r>
    </w:p>
    <w:p w14:paraId="1C88701B">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3.投标人应根据《招标文件-技术部分》相关要求填报。</w:t>
      </w:r>
    </w:p>
    <w:p w14:paraId="0AFEB26E">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4.如报价不一致，按照投标人须知“19.核价原则”进行修正。</w:t>
      </w:r>
    </w:p>
    <w:p w14:paraId="57AB0A12">
      <w:pPr>
        <w:topLinePunct/>
        <w:autoSpaceDE w:val="0"/>
        <w:autoSpaceDN w:val="0"/>
        <w:adjustRightInd w:val="0"/>
        <w:snapToGrid w:val="0"/>
        <w:spacing w:line="360" w:lineRule="auto"/>
        <w:ind w:firstLine="525" w:firstLineChars="250"/>
        <w:jc w:val="left"/>
        <w:rPr>
          <w:rFonts w:hint="eastAsia" w:ascii="宋体" w:hAnsi="宋体" w:eastAsia="宋体" w:cs="宋体"/>
          <w:color w:val="auto"/>
          <w:highlight w:val="none"/>
        </w:rPr>
      </w:pPr>
    </w:p>
    <w:p w14:paraId="7CE2D3B6">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29635512">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181655E7">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p>
    <w:p w14:paraId="492BD549">
      <w:pPr>
        <w:widowControl/>
        <w:jc w:val="center"/>
        <w:outlineLvl w:val="2"/>
        <w:rPr>
          <w:rFonts w:hint="eastAsia" w:ascii="宋体" w:hAnsi="宋体" w:eastAsia="宋体" w:cs="宋体"/>
          <w:b/>
          <w:color w:val="auto"/>
          <w:sz w:val="28"/>
          <w:highlight w:val="none"/>
          <w:lang w:eastAsia="zh-CN"/>
        </w:rPr>
      </w:pPr>
      <w:r>
        <w:rPr>
          <w:rFonts w:hint="eastAsia" w:ascii="宋体" w:hAnsi="宋体" w:eastAsia="宋体" w:cs="宋体"/>
          <w:color w:val="auto"/>
          <w:szCs w:val="21"/>
          <w:highlight w:val="none"/>
        </w:rPr>
        <w:br w:type="page"/>
      </w:r>
      <w:bookmarkStart w:id="147" w:name="_Toc31781"/>
      <w:bookmarkStart w:id="148" w:name="_Toc10672"/>
      <w:bookmarkStart w:id="149" w:name="_Toc7209"/>
      <w:bookmarkStart w:id="150" w:name="_Toc15120"/>
      <w:bookmarkStart w:id="151" w:name="_Toc20215"/>
      <w:bookmarkStart w:id="152" w:name="_Toc8836"/>
      <w:bookmarkStart w:id="153" w:name="_Toc30755"/>
      <w:bookmarkStart w:id="154" w:name="_Toc31026"/>
      <w:r>
        <w:rPr>
          <w:rFonts w:hint="eastAsia" w:ascii="宋体" w:hAnsi="宋体" w:eastAsia="宋体" w:cs="宋体"/>
          <w:b/>
          <w:color w:val="auto"/>
          <w:sz w:val="28"/>
          <w:highlight w:val="none"/>
        </w:rPr>
        <w:t>2.分项报价表</w:t>
      </w:r>
      <w:bookmarkEnd w:id="147"/>
      <w:bookmarkEnd w:id="148"/>
      <w:bookmarkEnd w:id="149"/>
      <w:bookmarkEnd w:id="150"/>
      <w:bookmarkEnd w:id="151"/>
      <w:bookmarkEnd w:id="152"/>
      <w:bookmarkEnd w:id="153"/>
      <w:bookmarkEnd w:id="154"/>
    </w:p>
    <w:p w14:paraId="74A4A160">
      <w:pPr>
        <w:pStyle w:val="12"/>
        <w:topLinePunct/>
        <w:autoSpaceDE w:val="0"/>
        <w:autoSpaceDN w:val="0"/>
        <w:adjustRightInd w:val="0"/>
        <w:snapToGrid w:val="0"/>
        <w:spacing w:line="360" w:lineRule="auto"/>
        <w:ind w:left="2"/>
        <w:jc w:val="center"/>
        <w:rPr>
          <w:rFonts w:hint="eastAsia" w:ascii="宋体" w:hAnsi="宋体" w:eastAsia="宋体" w:cs="宋体"/>
          <w:b/>
          <w:bCs/>
          <w:color w:val="auto"/>
          <w:highlight w:val="none"/>
        </w:rPr>
      </w:pPr>
      <w:r>
        <w:rPr>
          <w:rFonts w:hint="eastAsia" w:ascii="宋体" w:hAnsi="宋体" w:eastAsia="宋体" w:cs="宋体"/>
          <w:color w:val="auto"/>
          <w:highlight w:val="none"/>
        </w:rPr>
        <w:t>（服务类项目适用)</w:t>
      </w:r>
    </w:p>
    <w:p w14:paraId="6AC1D980">
      <w:pPr>
        <w:topLinePunct/>
        <w:autoSpaceDE w:val="0"/>
        <w:autoSpaceDN w:val="0"/>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2284469F">
      <w:pPr>
        <w:adjustRightInd w:val="0"/>
        <w:snapToGrid w:val="0"/>
        <w:spacing w:line="360" w:lineRule="auto"/>
        <w:ind w:right="840"/>
        <w:rPr>
          <w:rFonts w:hint="eastAsia" w:ascii="宋体" w:hAnsi="宋体" w:eastAsia="宋体" w:cs="宋体"/>
          <w:bCs/>
          <w:color w:val="auto"/>
          <w:w w:val="150"/>
          <w:szCs w:val="21"/>
          <w:highlight w:val="none"/>
        </w:rPr>
      </w:pPr>
      <w:r>
        <w:rPr>
          <w:rFonts w:hint="eastAsia" w:ascii="宋体" w:hAnsi="宋体" w:eastAsia="宋体" w:cs="宋体"/>
          <w:color w:val="auto"/>
          <w:highlight w:val="none"/>
        </w:rPr>
        <w:t>采购包号：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价格单位：人民币</w:t>
      </w:r>
      <w:r>
        <w:rPr>
          <w:rFonts w:hint="eastAsia" w:ascii="宋体" w:hAnsi="宋体" w:cs="宋体"/>
          <w:color w:val="auto"/>
          <w:highlight w:val="none"/>
          <w:lang w:val="en-US" w:eastAsia="zh-CN"/>
        </w:rPr>
        <w:t xml:space="preserve"> 元</w:t>
      </w:r>
    </w:p>
    <w:tbl>
      <w:tblPr>
        <w:tblStyle w:val="2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1"/>
        <w:gridCol w:w="2882"/>
        <w:gridCol w:w="886"/>
        <w:gridCol w:w="1454"/>
        <w:gridCol w:w="1430"/>
        <w:gridCol w:w="1430"/>
      </w:tblGrid>
      <w:tr w14:paraId="5C67B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D6A36">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BFACB">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服务名称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F44B9">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FBD2E">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259AD">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color w:val="auto"/>
                <w:highlight w:val="none"/>
                <w:lang w:val="en-US" w:eastAsia="zh-CN"/>
              </w:rPr>
            </w:pPr>
            <w:r>
              <w:rPr>
                <w:rFonts w:hint="eastAsia" w:ascii="宋体" w:hAnsi="宋体" w:cs="宋体"/>
                <w:b/>
                <w:bCs/>
                <w:i w:val="0"/>
                <w:iCs w:val="0"/>
                <w:color w:val="auto"/>
                <w:kern w:val="0"/>
                <w:sz w:val="21"/>
                <w:szCs w:val="21"/>
                <w:highlight w:val="none"/>
                <w:u w:val="none"/>
                <w:lang w:val="en-US" w:eastAsia="zh-CN" w:bidi="ar"/>
              </w:rPr>
              <w:t>单项</w:t>
            </w:r>
            <w:r>
              <w:rPr>
                <w:rFonts w:hint="eastAsia" w:ascii="宋体" w:hAnsi="宋体" w:eastAsia="宋体" w:cs="宋体"/>
                <w:b/>
                <w:bCs/>
                <w:i w:val="0"/>
                <w:iCs w:val="0"/>
                <w:color w:val="auto"/>
                <w:kern w:val="0"/>
                <w:sz w:val="21"/>
                <w:szCs w:val="21"/>
                <w:highlight w:val="none"/>
                <w:u w:val="none"/>
                <w:lang w:val="en-US" w:eastAsia="zh-CN" w:bidi="ar"/>
              </w:rPr>
              <w:t>合价</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54BFE">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default" w:ascii="宋体" w:hAnsi="宋体" w:cs="宋体"/>
                <w:b/>
                <w:bCs/>
                <w:i w:val="0"/>
                <w:iCs w:val="0"/>
                <w:color w:val="auto"/>
                <w:kern w:val="0"/>
                <w:sz w:val="21"/>
                <w:szCs w:val="21"/>
                <w:highlight w:val="none"/>
                <w:u w:val="none"/>
                <w:lang w:val="en-US" w:eastAsia="zh-CN" w:bidi="ar"/>
              </w:rPr>
            </w:pPr>
            <w:r>
              <w:rPr>
                <w:rFonts w:hint="eastAsia" w:ascii="宋体" w:hAnsi="宋体" w:cs="宋体"/>
                <w:b/>
                <w:bCs/>
                <w:i w:val="0"/>
                <w:iCs w:val="0"/>
                <w:color w:val="auto"/>
                <w:kern w:val="0"/>
                <w:sz w:val="21"/>
                <w:szCs w:val="21"/>
                <w:highlight w:val="none"/>
                <w:u w:val="none"/>
                <w:lang w:val="en-US" w:eastAsia="zh-CN" w:bidi="ar"/>
              </w:rPr>
              <w:t>备注</w:t>
            </w:r>
          </w:p>
        </w:tc>
      </w:tr>
      <w:tr w14:paraId="4D8BF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9C7B0">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color w:val="auto"/>
                <w:kern w:val="0"/>
                <w:sz w:val="21"/>
                <w:szCs w:val="21"/>
                <w:highlight w:val="none"/>
                <w:u w:val="none"/>
                <w:lang w:val="en-US" w:eastAsia="zh-CN" w:bidi="ar"/>
              </w:rPr>
              <w:t>一</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7CC2C">
            <w:pPr>
              <w:adjustRightInd w:val="0"/>
              <w:snapToGrid w:val="0"/>
              <w:spacing w:line="240" w:lineRule="auto"/>
              <w:jc w:val="center"/>
              <w:rPr>
                <w:rFonts w:hint="eastAsia" w:ascii="宋体" w:hAnsi="宋体" w:eastAsia="宋体" w:cs="宋体"/>
                <w:b/>
                <w:bCs/>
                <w:i w:val="0"/>
                <w:iCs w:val="0"/>
                <w:color w:val="auto"/>
                <w:sz w:val="21"/>
                <w:szCs w:val="21"/>
                <w:highlight w:val="none"/>
                <w:u w:val="none"/>
                <w:lang w:val="en-US"/>
              </w:rPr>
            </w:pPr>
            <w:r>
              <w:rPr>
                <w:rFonts w:hint="eastAsia" w:ascii="宋体" w:hAnsi="宋体" w:cs="宋体"/>
                <w:color w:val="auto"/>
                <w:sz w:val="21"/>
                <w:szCs w:val="21"/>
                <w:highlight w:val="none"/>
                <w:lang w:eastAsia="zh-CN"/>
              </w:rPr>
              <w:t>广西税务2026年电子发票服务平台等相关系统运行维护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DA545">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t>——</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437E8">
            <w:pPr>
              <w:tabs>
                <w:tab w:val="left" w:pos="425"/>
              </w:tabs>
              <w:snapToGrid w:val="0"/>
              <w:jc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sz w:val="24"/>
                <w:szCs w:val="24"/>
                <w:highlight w:val="none"/>
                <w:u w:val="none"/>
                <w:lang w:val="en-US" w:eastAsia="zh-CN"/>
              </w:rPr>
              <w:t>——</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48BA8">
            <w:pPr>
              <w:tabs>
                <w:tab w:val="left" w:pos="425"/>
              </w:tabs>
              <w:snapToGrid w:val="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rPr>
              <w:t>——</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E71F7">
            <w:pPr>
              <w:tabs>
                <w:tab w:val="left" w:pos="425"/>
              </w:tabs>
              <w:snapToGrid w:val="0"/>
              <w:jc w:val="cente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rPr>
              <w:t>——</w:t>
            </w:r>
          </w:p>
        </w:tc>
      </w:tr>
      <w:tr w14:paraId="3E5C6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4A985">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05346">
            <w:pPr>
              <w:adjustRightInd w:val="0"/>
              <w:snapToGrid w:val="0"/>
              <w:spacing w:line="240" w:lineRule="auto"/>
              <w:jc w:val="center"/>
              <w:rPr>
                <w:rFonts w:hint="eastAsia" w:ascii="宋体" w:hAnsi="宋体" w:eastAsia="宋体" w:cs="宋体"/>
                <w:i w:val="0"/>
                <w:iCs w:val="0"/>
                <w:color w:val="auto"/>
                <w:highlight w:val="none"/>
              </w:rPr>
            </w:pPr>
            <w:r>
              <w:rPr>
                <w:rFonts w:hint="eastAsia" w:ascii="宋体" w:hAnsi="宋体" w:cs="宋体"/>
                <w:color w:val="auto"/>
                <w:szCs w:val="21"/>
                <w:highlight w:val="none"/>
                <w:lang w:val="en-US" w:eastAsia="zh-CN"/>
              </w:rPr>
              <w:t>电子发票服务平台</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FFD27">
            <w:pPr>
              <w:keepNext w:val="0"/>
              <w:keepLines w:val="0"/>
              <w:widowControl/>
              <w:suppressLineNumbers w:val="0"/>
              <w:topLinePunct/>
              <w:snapToGrid w:val="0"/>
              <w:spacing w:before="40" w:beforeAutospacing="0" w:after="40" w:afterAutospacing="0" w:line="240" w:lineRule="auto"/>
              <w:ind w:left="0" w:leftChars="0" w:right="0" w:rightChars="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D3E39">
            <w:pPr>
              <w:tabs>
                <w:tab w:val="left" w:pos="425"/>
              </w:tabs>
              <w:snapToGrid w:val="0"/>
              <w:jc w:val="center"/>
              <w:rPr>
                <w:rFonts w:hint="eastAsia" w:ascii="宋体" w:hAnsi="宋体" w:eastAsia="宋体" w:cs="宋体"/>
                <w:i w:val="0"/>
                <w:iCs w:val="0"/>
                <w:color w:val="auto"/>
                <w:sz w:val="21"/>
                <w:szCs w:val="21"/>
                <w:highlight w:val="none"/>
                <w:u w:val="none"/>
                <w:lang w:val="en-US" w:eastAsia="zh-CN"/>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BE06A">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94A10">
            <w:pPr>
              <w:tabs>
                <w:tab w:val="left" w:pos="425"/>
              </w:tabs>
              <w:snapToGrid w:val="0"/>
              <w:jc w:val="center"/>
              <w:rPr>
                <w:rFonts w:hint="eastAsia" w:ascii="宋体" w:hAnsi="宋体" w:eastAsia="宋体" w:cs="宋体"/>
                <w:b w:val="0"/>
                <w:bCs/>
                <w:color w:val="auto"/>
                <w:szCs w:val="21"/>
                <w:highlight w:val="none"/>
                <w:lang w:val="en-US" w:eastAsia="zh-CN"/>
              </w:rPr>
            </w:pPr>
          </w:p>
        </w:tc>
      </w:tr>
      <w:tr w14:paraId="3CD40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C0ACF">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08B0C">
            <w:pPr>
              <w:adjustRightInd w:val="0"/>
              <w:snapToGrid w:val="0"/>
              <w:spacing w:line="240" w:lineRule="auto"/>
              <w:jc w:val="center"/>
              <w:rPr>
                <w:rFonts w:hint="eastAsia" w:ascii="宋体" w:hAnsi="宋体" w:eastAsia="宋体" w:cs="宋体"/>
                <w:i w:val="0"/>
                <w:iCs w:val="0"/>
                <w:color w:val="auto"/>
                <w:highlight w:val="none"/>
              </w:rPr>
            </w:pPr>
            <w:r>
              <w:rPr>
                <w:rFonts w:hint="eastAsia" w:ascii="宋体" w:hAnsi="宋体" w:cs="宋体"/>
                <w:color w:val="auto"/>
                <w:szCs w:val="21"/>
                <w:highlight w:val="none"/>
                <w:lang w:val="en-US" w:eastAsia="zh-CN"/>
              </w:rPr>
              <w:t>全国统一规范电子税务局</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B95C2">
            <w:pPr>
              <w:keepNext w:val="0"/>
              <w:keepLines w:val="0"/>
              <w:widowControl/>
              <w:suppressLineNumbers w:val="0"/>
              <w:topLinePunct/>
              <w:snapToGrid w:val="0"/>
              <w:spacing w:before="40" w:beforeAutospacing="0" w:after="40" w:afterAutospacing="0" w:line="240" w:lineRule="auto"/>
              <w:ind w:left="0" w:leftChars="0" w:right="0" w:rightChars="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C6E33">
            <w:pPr>
              <w:tabs>
                <w:tab w:val="left" w:pos="425"/>
              </w:tabs>
              <w:snapToGrid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b/>
                <w:bCs/>
                <w:i w:val="0"/>
                <w:iCs w:val="0"/>
                <w:color w:val="auto"/>
                <w:sz w:val="24"/>
                <w:szCs w:val="24"/>
                <w:highlight w:val="none"/>
                <w:u w:val="none"/>
                <w:lang w:val="en-US" w:eastAsia="zh-CN"/>
              </w:rPr>
              <w:t>——</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43F16">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b/>
                <w:bCs/>
                <w:i w:val="0"/>
                <w:iCs w:val="0"/>
                <w:color w:val="auto"/>
                <w:sz w:val="24"/>
                <w:szCs w:val="24"/>
                <w:highlight w:val="none"/>
                <w:u w:val="none"/>
                <w:lang w:val="en-US" w:eastAsia="zh-CN"/>
              </w:rPr>
              <w:t>——</w:t>
            </w: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D925">
            <w:pPr>
              <w:tabs>
                <w:tab w:val="left" w:pos="425"/>
              </w:tabs>
              <w:snapToGrid w:val="0"/>
              <w:jc w:val="center"/>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2.1+2.2合计</w:t>
            </w:r>
          </w:p>
        </w:tc>
      </w:tr>
      <w:tr w14:paraId="29610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91A91">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2.1</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79430">
            <w:pPr>
              <w:adjustRightInd w:val="0"/>
              <w:snapToGrid w:val="0"/>
              <w:spacing w:line="24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全国统一规范电子税务局</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4013C">
            <w:pPr>
              <w:keepNext w:val="0"/>
              <w:keepLines w:val="0"/>
              <w:widowControl/>
              <w:suppressLineNumbers w:val="0"/>
              <w:topLinePunct/>
              <w:snapToGrid w:val="0"/>
              <w:spacing w:before="40" w:beforeAutospacing="0" w:after="40" w:afterAutospacing="0" w:line="240" w:lineRule="auto"/>
              <w:ind w:left="0" w:leftChars="0" w:right="0" w:rightChars="0"/>
              <w:jc w:val="center"/>
              <w:textAlignment w:val="center"/>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8A36E">
            <w:pPr>
              <w:tabs>
                <w:tab w:val="left" w:pos="425"/>
              </w:tabs>
              <w:snapToGrid w:val="0"/>
              <w:jc w:val="center"/>
              <w:rPr>
                <w:rFonts w:hint="eastAsia" w:ascii="宋体" w:hAnsi="宋体" w:eastAsia="宋体" w:cs="宋体"/>
                <w:i w:val="0"/>
                <w:iCs w:val="0"/>
                <w:color w:val="auto"/>
                <w:sz w:val="21"/>
                <w:szCs w:val="21"/>
                <w:highlight w:val="none"/>
                <w:u w:val="none"/>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9F2EE">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B8D58">
            <w:pPr>
              <w:tabs>
                <w:tab w:val="left" w:pos="425"/>
              </w:tabs>
              <w:snapToGrid w:val="0"/>
              <w:jc w:val="center"/>
              <w:rPr>
                <w:rFonts w:hint="eastAsia" w:ascii="宋体" w:hAnsi="宋体" w:eastAsia="宋体" w:cs="宋体"/>
                <w:b w:val="0"/>
                <w:bCs/>
                <w:color w:val="auto"/>
                <w:szCs w:val="21"/>
                <w:highlight w:val="none"/>
                <w:lang w:val="en-US" w:eastAsia="zh-CN"/>
              </w:rPr>
            </w:pPr>
          </w:p>
        </w:tc>
      </w:tr>
      <w:tr w14:paraId="73B37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15E5B">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2.2</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B607E">
            <w:pPr>
              <w:adjustRightInd w:val="0"/>
              <w:snapToGrid w:val="0"/>
              <w:spacing w:line="24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全国统一规范电子税务局（本地特色部分）</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B0A6D">
            <w:pPr>
              <w:keepNext w:val="0"/>
              <w:keepLines w:val="0"/>
              <w:widowControl/>
              <w:suppressLineNumbers w:val="0"/>
              <w:topLinePunct/>
              <w:snapToGrid w:val="0"/>
              <w:spacing w:before="40" w:beforeAutospacing="0" w:after="40" w:afterAutospacing="0" w:line="240" w:lineRule="auto"/>
              <w:ind w:left="0" w:leftChars="0" w:right="0" w:rightChars="0"/>
              <w:jc w:val="center"/>
              <w:textAlignment w:val="center"/>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5F61B">
            <w:pPr>
              <w:tabs>
                <w:tab w:val="left" w:pos="425"/>
              </w:tabs>
              <w:snapToGrid w:val="0"/>
              <w:jc w:val="center"/>
              <w:rPr>
                <w:rFonts w:hint="eastAsia" w:ascii="宋体" w:hAnsi="宋体" w:eastAsia="宋体" w:cs="宋体"/>
                <w:i w:val="0"/>
                <w:iCs w:val="0"/>
                <w:color w:val="auto"/>
                <w:sz w:val="21"/>
                <w:szCs w:val="21"/>
                <w:highlight w:val="none"/>
                <w:u w:val="none"/>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5532D">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D8019">
            <w:pPr>
              <w:tabs>
                <w:tab w:val="left" w:pos="425"/>
              </w:tabs>
              <w:snapToGrid w:val="0"/>
              <w:jc w:val="center"/>
              <w:rPr>
                <w:rFonts w:hint="eastAsia" w:ascii="宋体" w:hAnsi="宋体" w:eastAsia="宋体" w:cs="宋体"/>
                <w:b w:val="0"/>
                <w:bCs/>
                <w:color w:val="auto"/>
                <w:szCs w:val="21"/>
                <w:highlight w:val="none"/>
                <w:lang w:val="en-US" w:eastAsia="zh-CN"/>
              </w:rPr>
            </w:pPr>
          </w:p>
        </w:tc>
      </w:tr>
      <w:tr w14:paraId="29880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83A7F">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A7BBD">
            <w:pPr>
              <w:adjustRightInd w:val="0"/>
              <w:snapToGrid w:val="0"/>
              <w:spacing w:line="240" w:lineRule="auto"/>
              <w:jc w:val="center"/>
              <w:rPr>
                <w:rFonts w:hint="eastAsia" w:ascii="宋体" w:hAnsi="宋体" w:eastAsia="宋体" w:cs="宋体"/>
                <w:i w:val="0"/>
                <w:iCs w:val="0"/>
                <w:color w:val="auto"/>
                <w:highlight w:val="none"/>
              </w:rPr>
            </w:pPr>
            <w:r>
              <w:rPr>
                <w:rFonts w:hint="eastAsia" w:ascii="宋体" w:hAnsi="宋体" w:cs="宋体"/>
                <w:color w:val="auto"/>
                <w:szCs w:val="21"/>
                <w:highlight w:val="none"/>
                <w:lang w:val="en-US" w:eastAsia="zh-CN"/>
              </w:rPr>
              <w:t>税务人智慧办公平台</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573AC">
            <w:pPr>
              <w:keepNext w:val="0"/>
              <w:keepLines w:val="0"/>
              <w:widowControl/>
              <w:suppressLineNumbers w:val="0"/>
              <w:topLinePunct/>
              <w:snapToGrid w:val="0"/>
              <w:spacing w:before="40" w:beforeAutospacing="0" w:after="40" w:afterAutospacing="0" w:line="240" w:lineRule="auto"/>
              <w:ind w:left="0" w:leftChars="0" w:right="0" w:rightChars="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01A21">
            <w:pPr>
              <w:tabs>
                <w:tab w:val="left" w:pos="425"/>
              </w:tabs>
              <w:snapToGrid w:val="0"/>
              <w:jc w:val="center"/>
              <w:rPr>
                <w:rFonts w:hint="eastAsia" w:ascii="宋体" w:hAnsi="宋体" w:eastAsia="宋体" w:cs="宋体"/>
                <w:i w:val="0"/>
                <w:iCs w:val="0"/>
                <w:color w:val="auto"/>
                <w:sz w:val="21"/>
                <w:szCs w:val="21"/>
                <w:highlight w:val="none"/>
                <w:u w:val="none"/>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70558">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AFB7F">
            <w:pPr>
              <w:tabs>
                <w:tab w:val="left" w:pos="425"/>
              </w:tabs>
              <w:snapToGrid w:val="0"/>
              <w:jc w:val="center"/>
              <w:rPr>
                <w:rFonts w:hint="eastAsia" w:ascii="宋体" w:hAnsi="宋体" w:eastAsia="宋体" w:cs="宋体"/>
                <w:b w:val="0"/>
                <w:bCs/>
                <w:color w:val="auto"/>
                <w:szCs w:val="21"/>
                <w:highlight w:val="none"/>
                <w:lang w:val="en-US" w:eastAsia="zh-CN"/>
              </w:rPr>
            </w:pPr>
          </w:p>
        </w:tc>
      </w:tr>
      <w:tr w14:paraId="230BF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06C67">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4</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21BE8">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en-US" w:eastAsia="zh-CN"/>
              </w:rPr>
              <w:t>决策管理指挥平台</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61F37">
            <w:pPr>
              <w:keepNext w:val="0"/>
              <w:keepLines w:val="0"/>
              <w:widowControl/>
              <w:suppressLineNumbers w:val="0"/>
              <w:topLinePunct/>
              <w:snapToGrid w:val="0"/>
              <w:spacing w:before="40" w:beforeAutospacing="0" w:after="40" w:afterAutospacing="0" w:line="240" w:lineRule="auto"/>
              <w:ind w:left="0" w:leftChars="0" w:right="0" w:right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C73CB">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sz w:val="21"/>
                <w:szCs w:val="21"/>
                <w:highlight w:val="none"/>
                <w:u w:val="none"/>
                <w:lang w:eastAsia="zh-CN"/>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A7058">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55A88">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color w:val="auto"/>
                <w:sz w:val="24"/>
                <w:szCs w:val="24"/>
                <w:highlight w:val="none"/>
                <w:lang w:val="en-US" w:eastAsia="zh-CN"/>
              </w:rPr>
            </w:pPr>
          </w:p>
        </w:tc>
      </w:tr>
      <w:tr w14:paraId="17EA5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25235">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57954">
            <w:pPr>
              <w:jc w:val="center"/>
              <w:rPr>
                <w:rFonts w:hint="eastAsia" w:ascii="宋体" w:hAnsi="宋体" w:eastAsia="宋体" w:cs="宋体"/>
                <w:color w:val="auto"/>
                <w:sz w:val="21"/>
                <w:szCs w:val="22"/>
                <w:highlight w:val="none"/>
                <w:lang w:val="en-US" w:eastAsia="zh-CN"/>
              </w:rPr>
            </w:pPr>
            <w:r>
              <w:rPr>
                <w:rFonts w:hint="eastAsia" w:ascii="宋体" w:hAnsi="宋体" w:cs="宋体"/>
                <w:color w:val="auto"/>
                <w:szCs w:val="21"/>
                <w:highlight w:val="none"/>
                <w:lang w:val="en-US" w:eastAsia="zh-CN"/>
              </w:rPr>
              <w:t>统一身份管理平台</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23B7C">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272EE">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default" w:ascii="宋体" w:hAnsi="宋体" w:eastAsia="宋体" w:cs="宋体"/>
                <w:i w:val="0"/>
                <w:iCs w:val="0"/>
                <w:color w:val="auto"/>
                <w:sz w:val="21"/>
                <w:szCs w:val="21"/>
                <w:highlight w:val="none"/>
                <w:u w:val="none"/>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1B8AB">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31BF4">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val="0"/>
                <w:bCs/>
                <w:color w:val="auto"/>
                <w:szCs w:val="21"/>
                <w:highlight w:val="none"/>
                <w:lang w:val="en-US" w:eastAsia="zh-CN"/>
              </w:rPr>
            </w:pPr>
          </w:p>
        </w:tc>
      </w:tr>
      <w:tr w14:paraId="7189A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0EFA4">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6</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156E4">
            <w:pPr>
              <w:jc w:val="center"/>
              <w:rPr>
                <w:rFonts w:hint="eastAsia" w:ascii="宋体" w:hAnsi="宋体" w:eastAsia="宋体" w:cs="宋体"/>
                <w:color w:val="auto"/>
                <w:sz w:val="21"/>
                <w:szCs w:val="22"/>
                <w:highlight w:val="none"/>
                <w:lang w:val="en-US" w:eastAsia="zh-CN"/>
              </w:rPr>
            </w:pPr>
            <w:r>
              <w:rPr>
                <w:rFonts w:hint="eastAsia" w:ascii="宋体" w:hAnsi="宋体" w:cs="宋体"/>
                <w:color w:val="auto"/>
                <w:szCs w:val="21"/>
                <w:highlight w:val="none"/>
                <w:lang w:val="en-US" w:eastAsia="zh-CN"/>
              </w:rPr>
              <w:t>金四多云运维管理平台</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45E9C">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2B249">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17158">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AF16D">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val="0"/>
                <w:bCs/>
                <w:color w:val="auto"/>
                <w:szCs w:val="21"/>
                <w:highlight w:val="none"/>
                <w:lang w:val="en-US" w:eastAsia="zh-CN"/>
              </w:rPr>
            </w:pPr>
          </w:p>
        </w:tc>
      </w:tr>
      <w:tr w14:paraId="3CE09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505BA">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7</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79FAE">
            <w:pPr>
              <w:jc w:val="center"/>
              <w:rPr>
                <w:rFonts w:hint="eastAsia" w:ascii="宋体" w:hAnsi="宋体" w:eastAsia="宋体" w:cs="宋体"/>
                <w:color w:val="auto"/>
                <w:sz w:val="21"/>
                <w:szCs w:val="22"/>
                <w:highlight w:val="none"/>
                <w:lang w:val="en-US" w:eastAsia="zh-CN"/>
              </w:rPr>
            </w:pPr>
            <w:r>
              <w:rPr>
                <w:rFonts w:hint="eastAsia" w:ascii="宋体" w:hAnsi="宋体" w:cs="宋体"/>
                <w:color w:val="auto"/>
                <w:szCs w:val="21"/>
                <w:highlight w:val="none"/>
                <w:lang w:val="en-US" w:eastAsia="zh-CN"/>
              </w:rPr>
              <w:t>金税云平台</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D80B7">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A4A67">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27EAA">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3C94E">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val="0"/>
                <w:bCs/>
                <w:color w:val="auto"/>
                <w:szCs w:val="21"/>
                <w:highlight w:val="none"/>
                <w:lang w:val="en-US" w:eastAsia="zh-CN"/>
              </w:rPr>
            </w:pPr>
          </w:p>
        </w:tc>
      </w:tr>
      <w:tr w14:paraId="0EBDF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FCC30">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38C3">
            <w:pPr>
              <w:jc w:val="center"/>
              <w:rPr>
                <w:rFonts w:hint="eastAsia" w:ascii="宋体" w:hAnsi="宋体" w:eastAsia="宋体" w:cs="宋体"/>
                <w:color w:val="auto"/>
                <w:sz w:val="21"/>
                <w:szCs w:val="22"/>
                <w:highlight w:val="none"/>
                <w:lang w:val="en-US" w:eastAsia="zh-CN"/>
              </w:rPr>
            </w:pPr>
            <w:r>
              <w:rPr>
                <w:rFonts w:hint="eastAsia" w:ascii="宋体" w:hAnsi="宋体" w:cs="宋体"/>
                <w:color w:val="auto"/>
                <w:szCs w:val="21"/>
                <w:highlight w:val="none"/>
                <w:lang w:val="en-US" w:eastAsia="zh-CN"/>
              </w:rPr>
              <w:t>征纳互动平台</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2AA51">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04D8E">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195CA">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8EE9D">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val="0"/>
                <w:bCs/>
                <w:color w:val="auto"/>
                <w:szCs w:val="21"/>
                <w:highlight w:val="none"/>
                <w:lang w:val="en-US" w:eastAsia="zh-CN"/>
              </w:rPr>
            </w:pPr>
          </w:p>
        </w:tc>
      </w:tr>
      <w:tr w14:paraId="193BF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554B9">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9</w:t>
            </w: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9BD98">
            <w:pPr>
              <w:tabs>
                <w:tab w:val="left" w:pos="425"/>
              </w:tabs>
              <w:snapToGrid w:val="0"/>
              <w:jc w:val="center"/>
              <w:rPr>
                <w:rFonts w:hint="eastAsia" w:ascii="宋体" w:hAnsi="宋体" w:eastAsia="宋体" w:cs="宋体"/>
                <w:color w:val="auto"/>
                <w:sz w:val="21"/>
                <w:szCs w:val="22"/>
                <w:highlight w:val="none"/>
                <w:lang w:val="en-US" w:eastAsia="zh-CN"/>
              </w:rPr>
            </w:pPr>
            <w:r>
              <w:rPr>
                <w:rFonts w:hint="eastAsia" w:ascii="宋体" w:hAnsi="宋体" w:cs="宋体"/>
                <w:color w:val="auto"/>
                <w:szCs w:val="21"/>
                <w:highlight w:val="none"/>
                <w:lang w:val="en-US" w:eastAsia="zh-CN"/>
              </w:rPr>
              <w:t>应用支撑平台</w:t>
            </w:r>
            <w:r>
              <w:rPr>
                <w:rFonts w:hint="eastAsia" w:ascii="宋体" w:hAnsi="宋体" w:cs="宋体"/>
                <w:color w:val="auto"/>
                <w:sz w:val="21"/>
                <w:szCs w:val="21"/>
                <w:highlight w:val="none"/>
                <w:lang w:eastAsia="zh-CN"/>
              </w:rPr>
              <w:t>运行维护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0847E">
            <w:pPr>
              <w:tabs>
                <w:tab w:val="left" w:pos="425"/>
              </w:tabs>
              <w:snapToGrid w:val="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rPr>
              <w:t>1项</w:t>
            </w: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B5070">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sz w:val="21"/>
                <w:szCs w:val="21"/>
                <w:highlight w:val="none"/>
                <w:u w:val="none"/>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28812">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AB748">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val="0"/>
                <w:bCs/>
                <w:color w:val="auto"/>
                <w:szCs w:val="21"/>
                <w:highlight w:val="none"/>
                <w:lang w:val="en-US" w:eastAsia="zh-CN"/>
              </w:rPr>
            </w:pPr>
          </w:p>
        </w:tc>
      </w:tr>
      <w:tr w14:paraId="51245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8D487">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6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7B1D7">
            <w:pPr>
              <w:keepNext w:val="0"/>
              <w:keepLines w:val="0"/>
              <w:widowControl/>
              <w:suppressLineNumbers w:val="0"/>
              <w:topLinePunct/>
              <w:snapToGrid w:val="0"/>
              <w:spacing w:before="40" w:beforeAutospacing="0" w:after="40" w:afterAutospacing="0" w:line="240" w:lineRule="auto"/>
              <w:ind w:left="0" w:right="0"/>
              <w:jc w:val="righ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BAF54">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06D68">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5C7C1">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8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965DC">
            <w:pPr>
              <w:keepNext w:val="0"/>
              <w:keepLines w:val="0"/>
              <w:widowControl/>
              <w:suppressLineNumbers w:val="0"/>
              <w:topLinePunct/>
              <w:snapToGrid w:val="0"/>
              <w:spacing w:before="40" w:beforeAutospacing="0" w:after="40" w:afterAutospacing="0" w:line="240" w:lineRule="auto"/>
              <w:ind w:left="0" w:right="0"/>
              <w:jc w:val="center"/>
              <w:textAlignment w:val="center"/>
              <w:rPr>
                <w:rFonts w:hint="eastAsia" w:ascii="宋体" w:hAnsi="宋体" w:eastAsia="宋体" w:cs="宋体"/>
                <w:b/>
                <w:bCs/>
                <w:color w:val="auto"/>
                <w:sz w:val="24"/>
                <w:szCs w:val="24"/>
                <w:highlight w:val="none"/>
                <w:lang w:val="en-US" w:eastAsia="zh-CN"/>
              </w:rPr>
            </w:pPr>
          </w:p>
        </w:tc>
      </w:tr>
    </w:tbl>
    <w:p w14:paraId="7D188BA8">
      <w:pPr>
        <w:topLinePunct/>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628550F4">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1.本项目总价及分项报价均不接受任何形式的赠送、“零”报价和折扣报价。</w:t>
      </w:r>
    </w:p>
    <w:p w14:paraId="524ED8A3">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2.如报价不一致，按照投标人须知“19.核价原则”进行修正。</w:t>
      </w:r>
    </w:p>
    <w:p w14:paraId="1DBE32E6">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3.本表仅供参考，可扩展。</w:t>
      </w:r>
    </w:p>
    <w:p w14:paraId="55B6579F">
      <w:pPr>
        <w:pStyle w:val="12"/>
        <w:ind w:firstLine="420" w:firstLineChars="200"/>
        <w:rPr>
          <w:rFonts w:hint="eastAsia" w:ascii="宋体" w:hAnsi="宋体" w:eastAsia="宋体" w:cs="宋体"/>
          <w:color w:val="auto"/>
          <w:highlight w:val="none"/>
        </w:rPr>
      </w:pPr>
    </w:p>
    <w:p w14:paraId="29343612">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0A848A74">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4C636012">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p>
    <w:p w14:paraId="10B6A125">
      <w:pPr>
        <w:adjustRightInd w:val="0"/>
        <w:snapToGrid w:val="0"/>
        <w:spacing w:line="360" w:lineRule="auto"/>
        <w:jc w:val="center"/>
        <w:outlineLvl w:val="9"/>
        <w:rPr>
          <w:rFonts w:hint="eastAsia" w:ascii="宋体" w:hAnsi="宋体" w:eastAsia="宋体" w:cs="宋体"/>
          <w:color w:val="auto"/>
          <w:szCs w:val="21"/>
          <w:highlight w:val="none"/>
          <w:u w:val="single"/>
        </w:rPr>
      </w:pPr>
      <w:r>
        <w:rPr>
          <w:rFonts w:hint="eastAsia" w:ascii="宋体" w:hAnsi="宋体" w:eastAsia="宋体" w:cs="宋体"/>
          <w:b/>
          <w:bCs/>
          <w:color w:val="auto"/>
          <w:sz w:val="36"/>
          <w:szCs w:val="36"/>
          <w:highlight w:val="none"/>
        </w:rPr>
        <w:br w:type="page"/>
      </w:r>
      <w:bookmarkStart w:id="155" w:name="_Toc26285"/>
      <w:bookmarkStart w:id="156" w:name="_Toc14485"/>
      <w:bookmarkStart w:id="157" w:name="_Toc15971"/>
      <w:bookmarkStart w:id="158" w:name="_Toc19680"/>
    </w:p>
    <w:p w14:paraId="64E389CC">
      <w:pPr>
        <w:adjustRightInd w:val="0"/>
        <w:snapToGrid w:val="0"/>
        <w:spacing w:line="360" w:lineRule="auto"/>
        <w:jc w:val="center"/>
        <w:outlineLvl w:val="1"/>
        <w:rPr>
          <w:rFonts w:hint="eastAsia" w:ascii="宋体" w:hAnsi="宋体" w:eastAsia="宋体" w:cs="宋体"/>
          <w:b/>
          <w:bCs/>
          <w:color w:val="auto"/>
          <w:sz w:val="28"/>
          <w:szCs w:val="28"/>
          <w:highlight w:val="none"/>
        </w:rPr>
      </w:pPr>
      <w:bookmarkStart w:id="159" w:name="_Toc31465"/>
      <w:bookmarkStart w:id="160" w:name="_Toc29782"/>
      <w:bookmarkStart w:id="161" w:name="_Toc20020"/>
      <w:bookmarkStart w:id="162" w:name="_Toc24611"/>
      <w:r>
        <w:rPr>
          <w:rFonts w:hint="eastAsia" w:ascii="宋体" w:hAnsi="宋体" w:eastAsia="宋体" w:cs="宋体"/>
          <w:b/>
          <w:bCs/>
          <w:color w:val="auto"/>
          <w:sz w:val="28"/>
          <w:szCs w:val="28"/>
          <w:highlight w:val="none"/>
        </w:rPr>
        <w:t xml:space="preserve">格式8  </w:t>
      </w:r>
      <w:r>
        <w:rPr>
          <w:rFonts w:hint="eastAsia" w:ascii="宋体" w:hAnsi="宋体" w:eastAsia="宋体" w:cs="宋体"/>
          <w:b/>
          <w:bCs/>
          <w:color w:val="auto"/>
          <w:sz w:val="28"/>
          <w:szCs w:val="28"/>
          <w:highlight w:val="none"/>
          <w:lang w:bidi="ar"/>
        </w:rPr>
        <w:t>授权委托书</w:t>
      </w:r>
      <w:bookmarkEnd w:id="155"/>
      <w:bookmarkEnd w:id="156"/>
      <w:bookmarkEnd w:id="157"/>
      <w:bookmarkEnd w:id="158"/>
      <w:bookmarkEnd w:id="159"/>
      <w:bookmarkEnd w:id="160"/>
      <w:bookmarkEnd w:id="161"/>
      <w:bookmarkEnd w:id="162"/>
    </w:p>
    <w:p w14:paraId="0FA948DF">
      <w:pPr>
        <w:adjustRightInd w:val="0"/>
        <w:snapToGrid w:val="0"/>
        <w:spacing w:line="360" w:lineRule="auto"/>
        <w:jc w:val="center"/>
        <w:outlineLvl w:val="2"/>
        <w:rPr>
          <w:rFonts w:hint="eastAsia" w:ascii="宋体" w:hAnsi="宋体" w:eastAsia="宋体" w:cs="宋体"/>
          <w:b/>
          <w:bCs/>
          <w:color w:val="auto"/>
          <w:sz w:val="28"/>
          <w:szCs w:val="28"/>
          <w:highlight w:val="none"/>
        </w:rPr>
      </w:pPr>
      <w:bookmarkStart w:id="163" w:name="_Toc16175"/>
      <w:bookmarkStart w:id="164" w:name="_Toc32680"/>
      <w:bookmarkStart w:id="165" w:name="_Toc22605"/>
      <w:bookmarkStart w:id="166" w:name="_Toc14456"/>
      <w:bookmarkStart w:id="167" w:name="_Toc7218"/>
      <w:bookmarkStart w:id="168" w:name="_Toc3554"/>
      <w:bookmarkStart w:id="169" w:name="_Toc13072"/>
      <w:bookmarkStart w:id="170" w:name="_Toc27745"/>
      <w:r>
        <w:rPr>
          <w:rFonts w:hint="eastAsia" w:ascii="宋体" w:hAnsi="宋体" w:eastAsia="宋体" w:cs="宋体"/>
          <w:b/>
          <w:bCs/>
          <w:color w:val="auto"/>
          <w:sz w:val="28"/>
          <w:szCs w:val="28"/>
          <w:highlight w:val="none"/>
          <w:lang w:bidi="ar"/>
        </w:rPr>
        <w:t>8-1法定代表人授权委托书</w:t>
      </w:r>
      <w:bookmarkEnd w:id="163"/>
      <w:bookmarkEnd w:id="164"/>
      <w:bookmarkEnd w:id="165"/>
      <w:bookmarkEnd w:id="166"/>
      <w:bookmarkEnd w:id="167"/>
      <w:bookmarkEnd w:id="168"/>
      <w:bookmarkEnd w:id="169"/>
      <w:bookmarkEnd w:id="170"/>
    </w:p>
    <w:p w14:paraId="64B37855">
      <w:pPr>
        <w:adjustRightInd w:val="0"/>
        <w:snapToGrid w:val="0"/>
        <w:spacing w:line="360" w:lineRule="auto"/>
        <w:jc w:val="center"/>
        <w:rPr>
          <w:rFonts w:hint="eastAsia" w:ascii="宋体" w:hAnsi="宋体" w:eastAsia="宋体" w:cs="宋体"/>
          <w:b/>
          <w:bCs/>
          <w:color w:val="auto"/>
          <w:sz w:val="24"/>
          <w:highlight w:val="none"/>
        </w:rPr>
      </w:pPr>
      <w:r>
        <w:rPr>
          <w:rFonts w:hint="eastAsia" w:ascii="宋体" w:hAnsi="宋体" w:eastAsia="宋体" w:cs="宋体"/>
          <w:color w:val="auto"/>
          <w:szCs w:val="21"/>
          <w:highlight w:val="none"/>
          <w:lang w:bidi="ar"/>
        </w:rPr>
        <w:t>(适用于授权代表参加投标)</w:t>
      </w:r>
    </w:p>
    <w:p w14:paraId="30CAC21C">
      <w:pPr>
        <w:pStyle w:val="21"/>
        <w:widowControl w:val="0"/>
        <w:spacing w:before="0" w:beforeAutospacing="0" w:after="0" w:afterAutospacing="0"/>
        <w:jc w:val="both"/>
        <w:rPr>
          <w:rFonts w:hint="eastAsia" w:ascii="宋体" w:hAnsi="宋体" w:eastAsia="宋体" w:cs="宋体"/>
          <w:color w:val="auto"/>
          <w:highlight w:val="none"/>
        </w:rPr>
      </w:pPr>
    </w:p>
    <w:p w14:paraId="0715045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致____________(采购人或采购代理机构)：</w:t>
      </w:r>
    </w:p>
    <w:p w14:paraId="37AE00F4">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本授权书声明：注册于___________（投标人住址）的___________（投标人名称）法定代表人_______（姓名、职务）代表本公司授权_______（被授权投标代表姓名、职务）为本公司的合法投标代表，就贵方组织的《</w:t>
      </w:r>
      <w:r>
        <w:rPr>
          <w:rFonts w:hint="eastAsia" w:ascii="宋体" w:hAnsi="宋体" w:eastAsia="宋体" w:cs="宋体"/>
          <w:color w:val="auto"/>
          <w:szCs w:val="21"/>
          <w:highlight w:val="none"/>
          <w:u w:val="single"/>
          <w:lang w:bidi="ar"/>
        </w:rPr>
        <w:t xml:space="preserve">          项目</w:t>
      </w:r>
      <w:r>
        <w:rPr>
          <w:rFonts w:hint="eastAsia" w:ascii="宋体" w:hAnsi="宋体" w:eastAsia="宋体" w:cs="宋体"/>
          <w:color w:val="auto"/>
          <w:szCs w:val="21"/>
          <w:highlight w:val="none"/>
          <w:lang w:bidi="ar"/>
        </w:rPr>
        <w:t>》（项目编号：_______）投标、合同的执行，以本公司名义处理一切与之有关的事务。</w:t>
      </w:r>
    </w:p>
    <w:p w14:paraId="2AEE1E09">
      <w:pPr>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本授权书于______年______月_____日生效，特此声明。</w:t>
      </w:r>
    </w:p>
    <w:p w14:paraId="17D69AB8">
      <w:pPr>
        <w:pStyle w:val="21"/>
        <w:widowControl w:val="0"/>
        <w:adjustRightInd w:val="0"/>
        <w:snapToGrid w:val="0"/>
        <w:spacing w:before="0" w:beforeAutospacing="0" w:after="0" w:afterAutospacing="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bidi="ar"/>
        </w:rPr>
        <w:t>被授权投标代表无转委托权。</w:t>
      </w:r>
    </w:p>
    <w:p w14:paraId="67C755D0">
      <w:pPr>
        <w:pStyle w:val="21"/>
        <w:widowControl w:val="0"/>
        <w:adjustRightInd w:val="0"/>
        <w:snapToGrid w:val="0"/>
        <w:spacing w:before="0" w:beforeAutospacing="0" w:after="0" w:afterAutospacing="0" w:line="360" w:lineRule="auto"/>
        <w:jc w:val="both"/>
        <w:rPr>
          <w:rFonts w:hint="eastAsia" w:ascii="宋体" w:hAnsi="宋体" w:eastAsia="宋体" w:cs="宋体"/>
          <w:color w:val="auto"/>
          <w:highlight w:val="none"/>
        </w:rPr>
      </w:pPr>
    </w:p>
    <w:tbl>
      <w:tblPr>
        <w:tblStyle w:val="23"/>
        <w:tblW w:w="7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5"/>
      </w:tblGrid>
      <w:tr w14:paraId="7EA2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D2F8A8">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22F3BCC0">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4EC047CF">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kern w:val="2"/>
                <w:sz w:val="21"/>
                <w:szCs w:val="21"/>
                <w:highlight w:val="none"/>
                <w:lang w:bidi="ar"/>
              </w:rPr>
              <w:t>被授权投标代表</w:t>
            </w:r>
            <w:r>
              <w:rPr>
                <w:rFonts w:hint="eastAsia" w:ascii="宋体" w:hAnsi="宋体" w:eastAsia="宋体" w:cs="宋体"/>
                <w:color w:val="auto"/>
                <w:kern w:val="2"/>
                <w:sz w:val="21"/>
                <w:szCs w:val="21"/>
                <w:highlight w:val="none"/>
                <w:lang w:bidi="ar"/>
              </w:rPr>
              <w:t>身份证复印件</w:t>
            </w:r>
          </w:p>
          <w:p w14:paraId="38BC8CD8">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64A54B26">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tc>
      </w:tr>
    </w:tbl>
    <w:p w14:paraId="15CBCA8A">
      <w:pPr>
        <w:pStyle w:val="21"/>
        <w:widowControl w:val="0"/>
        <w:adjustRightInd w:val="0"/>
        <w:snapToGrid w:val="0"/>
        <w:spacing w:before="0" w:beforeAutospacing="0" w:after="0" w:afterAutospacing="0" w:line="360" w:lineRule="auto"/>
        <w:rPr>
          <w:rFonts w:hint="eastAsia" w:ascii="宋体" w:hAnsi="宋体" w:eastAsia="宋体" w:cs="宋体"/>
          <w:color w:val="auto"/>
          <w:highlight w:val="none"/>
        </w:rPr>
      </w:pPr>
    </w:p>
    <w:p w14:paraId="3EF728C6">
      <w:pPr>
        <w:tabs>
          <w:tab w:val="left" w:pos="1230"/>
        </w:tabs>
        <w:topLinePunct/>
        <w:autoSpaceDE w:val="0"/>
        <w:autoSpaceDN w:val="0"/>
        <w:adjustRightInd w:val="0"/>
        <w:snapToGrid w:val="0"/>
        <w:spacing w:line="360" w:lineRule="auto"/>
        <w:ind w:left="363"/>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投标人名称（公章）：________________</w:t>
      </w:r>
    </w:p>
    <w:p w14:paraId="76669769">
      <w:pPr>
        <w:tabs>
          <w:tab w:val="left" w:pos="1230"/>
        </w:tabs>
        <w:topLinePunct/>
        <w:autoSpaceDE w:val="0"/>
        <w:autoSpaceDN w:val="0"/>
        <w:adjustRightInd w:val="0"/>
        <w:snapToGrid w:val="0"/>
        <w:spacing w:line="360" w:lineRule="auto"/>
        <w:ind w:left="363"/>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法定代表人（签字）：________________</w:t>
      </w:r>
    </w:p>
    <w:p w14:paraId="35F19BBF">
      <w:pPr>
        <w:tabs>
          <w:tab w:val="left" w:pos="1230"/>
        </w:tabs>
        <w:topLinePunct/>
        <w:autoSpaceDE w:val="0"/>
        <w:autoSpaceDN w:val="0"/>
        <w:adjustRightInd w:val="0"/>
        <w:snapToGrid w:val="0"/>
        <w:spacing w:line="360" w:lineRule="auto"/>
        <w:ind w:left="363"/>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被授权投标代表（签字）：________________</w:t>
      </w:r>
    </w:p>
    <w:p w14:paraId="4D18F73B">
      <w:pPr>
        <w:tabs>
          <w:tab w:val="left" w:pos="1230"/>
        </w:tabs>
        <w:topLinePunct/>
        <w:autoSpaceDE w:val="0"/>
        <w:autoSpaceDN w:val="0"/>
        <w:adjustRightInd w:val="0"/>
        <w:snapToGrid w:val="0"/>
        <w:spacing w:line="360" w:lineRule="auto"/>
        <w:ind w:left="363"/>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被授权投标代表联系电话：____________</w:t>
      </w:r>
    </w:p>
    <w:p w14:paraId="5590734F">
      <w:pPr>
        <w:tabs>
          <w:tab w:val="left" w:pos="1230"/>
        </w:tabs>
        <w:topLinePunct/>
        <w:autoSpaceDE w:val="0"/>
        <w:autoSpaceDN w:val="0"/>
        <w:adjustRightInd w:val="0"/>
        <w:snapToGrid w:val="0"/>
        <w:spacing w:line="360" w:lineRule="auto"/>
        <w:ind w:left="363"/>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日期：____________</w:t>
      </w:r>
    </w:p>
    <w:p w14:paraId="68C22F16">
      <w:pPr>
        <w:topLinePunct/>
        <w:autoSpaceDE w:val="0"/>
        <w:autoSpaceDN w:val="0"/>
        <w:adjustRightInd w:val="0"/>
        <w:snapToGrid w:val="0"/>
        <w:spacing w:line="360" w:lineRule="auto"/>
        <w:jc w:val="left"/>
        <w:rPr>
          <w:rFonts w:hint="eastAsia" w:ascii="宋体" w:hAnsi="宋体" w:eastAsia="宋体" w:cs="宋体"/>
          <w:color w:val="auto"/>
          <w:highlight w:val="none"/>
        </w:rPr>
      </w:pPr>
    </w:p>
    <w:p w14:paraId="70C03C32">
      <w:pPr>
        <w:topLinePunct/>
        <w:autoSpaceDE w:val="0"/>
        <w:autoSpaceDN w:val="0"/>
        <w:adjustRightInd w:val="0"/>
        <w:snapToGrid w:val="0"/>
        <w:spacing w:line="360" w:lineRule="auto"/>
        <w:jc w:val="left"/>
        <w:rPr>
          <w:rFonts w:hint="eastAsia" w:ascii="宋体" w:hAnsi="宋体" w:eastAsia="宋体" w:cs="宋体"/>
          <w:i/>
          <w:iCs/>
          <w:color w:val="auto"/>
          <w:highlight w:val="none"/>
        </w:rPr>
      </w:pPr>
      <w:r>
        <w:rPr>
          <w:rFonts w:hint="eastAsia" w:ascii="宋体" w:hAnsi="宋体" w:eastAsia="宋体" w:cs="宋体"/>
          <w:color w:val="auto"/>
          <w:highlight w:val="none"/>
          <w:lang w:bidi="ar"/>
        </w:rPr>
        <w:t>特别说明：</w:t>
      </w:r>
    </w:p>
    <w:p w14:paraId="7E9162CC">
      <w:pPr>
        <w:tabs>
          <w:tab w:val="left" w:pos="312"/>
        </w:tabs>
        <w:topLinePunct/>
        <w:autoSpaceDE w:val="0"/>
        <w:autoSpaceDN w:val="0"/>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1.投标人如由被授权投标代表参与投标活动的，须同时提供《法定代表人授权委托书》和被授权投标代表身份证复印件</w:t>
      </w:r>
      <w:r>
        <w:rPr>
          <w:rFonts w:hint="eastAsia" w:ascii="宋体" w:hAnsi="宋体" w:eastAsia="宋体" w:cs="宋体"/>
          <w:bCs/>
          <w:color w:val="auto"/>
          <w:szCs w:val="21"/>
          <w:highlight w:val="none"/>
          <w:lang w:bidi="ar"/>
        </w:rPr>
        <w:t>（线上采购项目提供扫描件，下同）</w:t>
      </w:r>
      <w:r>
        <w:rPr>
          <w:rFonts w:hint="eastAsia" w:ascii="宋体" w:hAnsi="宋体" w:eastAsia="宋体" w:cs="宋体"/>
          <w:color w:val="auto"/>
          <w:highlight w:val="none"/>
          <w:lang w:bidi="ar"/>
        </w:rPr>
        <w:t>。《法定代表人授权委托书》应当按本格式要求加盖与投标人名称全称一致的标准公章，并签署法定代表人或被授权投标代表的全名</w:t>
      </w:r>
      <w:r>
        <w:rPr>
          <w:rFonts w:hint="eastAsia" w:ascii="宋体" w:hAnsi="宋体" w:eastAsia="宋体" w:cs="宋体"/>
          <w:color w:val="auto"/>
          <w:szCs w:val="21"/>
          <w:highlight w:val="none"/>
          <w:lang w:bidi="ar"/>
        </w:rPr>
        <w:t>。(线上采购项目应上传扫描件)</w:t>
      </w:r>
      <w:r>
        <w:rPr>
          <w:rFonts w:hint="eastAsia" w:ascii="宋体" w:hAnsi="宋体" w:eastAsia="宋体" w:cs="宋体"/>
          <w:color w:val="auto"/>
          <w:highlight w:val="none"/>
          <w:lang w:bidi="ar"/>
        </w:rPr>
        <w:t>。</w:t>
      </w:r>
    </w:p>
    <w:p w14:paraId="28790B94">
      <w:pPr>
        <w:ind w:firstLine="420" w:firstLineChars="200"/>
        <w:jc w:val="left"/>
        <w:rPr>
          <w:color w:val="auto"/>
          <w:highlight w:val="none"/>
        </w:rPr>
      </w:pPr>
      <w:r>
        <w:rPr>
          <w:rFonts w:hint="eastAsia" w:ascii="宋体" w:hAnsi="宋体" w:eastAsia="宋体" w:cs="宋体"/>
          <w:bCs w:val="0"/>
          <w:color w:val="auto"/>
          <w:kern w:val="2"/>
          <w:szCs w:val="22"/>
          <w:highlight w:val="none"/>
        </w:rPr>
        <w:t>2.</w:t>
      </w:r>
      <w:r>
        <w:rPr>
          <w:rFonts w:hint="eastAsia" w:ascii="宋体" w:hAnsi="宋体" w:eastAsia="宋体" w:cs="宋体"/>
          <w:b/>
          <w:bCs/>
          <w:color w:val="auto"/>
          <w:kern w:val="2"/>
          <w:szCs w:val="22"/>
          <w:highlight w:val="none"/>
        </w:rPr>
        <w:t>投标人如由法定代表人作为投标代表参与投标活动的，仅须提供法定代表人身份证复印件。</w:t>
      </w:r>
    </w:p>
    <w:p w14:paraId="3CEB2796">
      <w:pPr>
        <w:adjustRightInd w:val="0"/>
        <w:snapToGrid w:val="0"/>
        <w:spacing w:line="360" w:lineRule="auto"/>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lang w:bidi="ar"/>
        </w:rPr>
        <w:br w:type="page"/>
      </w:r>
      <w:bookmarkStart w:id="171" w:name="_Toc10282"/>
      <w:bookmarkStart w:id="172" w:name="_Toc16797"/>
      <w:bookmarkStart w:id="173" w:name="_Toc8948"/>
      <w:bookmarkStart w:id="174" w:name="_Toc28759"/>
      <w:bookmarkStart w:id="175" w:name="_Toc30285"/>
      <w:bookmarkStart w:id="176" w:name="_Toc2144"/>
      <w:bookmarkStart w:id="177" w:name="_Toc24621"/>
      <w:bookmarkStart w:id="178" w:name="_Toc1384"/>
      <w:r>
        <w:rPr>
          <w:rFonts w:hint="eastAsia" w:ascii="宋体" w:hAnsi="宋体" w:eastAsia="宋体" w:cs="宋体"/>
          <w:b/>
          <w:bCs/>
          <w:color w:val="auto"/>
          <w:sz w:val="28"/>
          <w:szCs w:val="28"/>
          <w:highlight w:val="none"/>
          <w:lang w:bidi="ar"/>
        </w:rPr>
        <w:t>8-2法定代表人身份证明复印件</w:t>
      </w:r>
      <w:bookmarkEnd w:id="171"/>
      <w:bookmarkEnd w:id="172"/>
      <w:bookmarkEnd w:id="173"/>
      <w:bookmarkEnd w:id="174"/>
      <w:bookmarkEnd w:id="175"/>
      <w:bookmarkEnd w:id="176"/>
      <w:bookmarkEnd w:id="177"/>
      <w:bookmarkEnd w:id="178"/>
    </w:p>
    <w:p w14:paraId="7326BD49">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(适用于法定代表人参加投标)</w:t>
      </w:r>
    </w:p>
    <w:p w14:paraId="53F2DA24">
      <w:pPr>
        <w:topLinePunct/>
        <w:autoSpaceDE w:val="0"/>
        <w:autoSpaceDN w:val="0"/>
        <w:adjustRightInd w:val="0"/>
        <w:snapToGrid w:val="0"/>
        <w:spacing w:line="360" w:lineRule="auto"/>
        <w:ind w:firstLine="420" w:firstLineChars="200"/>
        <w:rPr>
          <w:rFonts w:hint="eastAsia" w:ascii="宋体" w:hAnsi="宋体" w:eastAsia="宋体" w:cs="宋体"/>
          <w:color w:val="auto"/>
          <w:highlight w:val="none"/>
        </w:rPr>
      </w:pPr>
    </w:p>
    <w:tbl>
      <w:tblPr>
        <w:tblStyle w:val="23"/>
        <w:tblW w:w="7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5"/>
      </w:tblGrid>
      <w:tr w14:paraId="0629D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C4286E">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754DD2EF">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41CAA89A">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12D7AA18">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418B9958">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bidi="ar"/>
              </w:rPr>
              <w:t>法定代表人身份证明复印件</w:t>
            </w:r>
          </w:p>
          <w:p w14:paraId="2BE673D9">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7F5B4176">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2673D808">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p w14:paraId="30F016BE">
            <w:pPr>
              <w:pStyle w:val="21"/>
              <w:widowControl w:val="0"/>
              <w:adjustRightInd w:val="0"/>
              <w:snapToGrid w:val="0"/>
              <w:spacing w:before="0" w:beforeAutospacing="0" w:after="0" w:afterAutospacing="0" w:line="360" w:lineRule="auto"/>
              <w:jc w:val="center"/>
              <w:rPr>
                <w:rFonts w:hint="eastAsia" w:ascii="宋体" w:hAnsi="宋体" w:eastAsia="宋体" w:cs="宋体"/>
                <w:color w:val="auto"/>
                <w:highlight w:val="none"/>
              </w:rPr>
            </w:pPr>
          </w:p>
        </w:tc>
      </w:tr>
    </w:tbl>
    <w:p w14:paraId="4D3FFC20">
      <w:pPr>
        <w:topLinePunct/>
        <w:autoSpaceDE w:val="0"/>
        <w:autoSpaceDN w:val="0"/>
        <w:adjustRightInd w:val="0"/>
        <w:snapToGrid w:val="0"/>
        <w:spacing w:line="360" w:lineRule="auto"/>
        <w:jc w:val="left"/>
        <w:rPr>
          <w:rFonts w:hint="eastAsia" w:ascii="宋体" w:hAnsi="宋体" w:eastAsia="宋体" w:cs="宋体"/>
          <w:color w:val="auto"/>
          <w:highlight w:val="none"/>
        </w:rPr>
      </w:pPr>
    </w:p>
    <w:p w14:paraId="0410C09D">
      <w:pPr>
        <w:topLinePunct/>
        <w:autoSpaceDE w:val="0"/>
        <w:autoSpaceDN w:val="0"/>
        <w:adjustRightInd w:val="0"/>
        <w:snapToGrid w:val="0"/>
        <w:spacing w:line="360" w:lineRule="auto"/>
        <w:jc w:val="left"/>
        <w:rPr>
          <w:rFonts w:hint="eastAsia" w:ascii="宋体" w:hAnsi="宋体" w:eastAsia="宋体" w:cs="宋体"/>
          <w:i/>
          <w:iCs/>
          <w:color w:val="auto"/>
          <w:highlight w:val="none"/>
        </w:rPr>
      </w:pPr>
      <w:r>
        <w:rPr>
          <w:rFonts w:hint="eastAsia" w:ascii="宋体" w:hAnsi="宋体" w:eastAsia="宋体" w:cs="宋体"/>
          <w:color w:val="auto"/>
          <w:highlight w:val="none"/>
          <w:lang w:bidi="ar"/>
        </w:rPr>
        <w:t>特别说明：</w:t>
      </w:r>
    </w:p>
    <w:p w14:paraId="14755FDB">
      <w:pPr>
        <w:tabs>
          <w:tab w:val="left" w:pos="312"/>
        </w:tabs>
        <w:topLinePunct/>
        <w:autoSpaceDE w:val="0"/>
        <w:autoSpaceDN w:val="0"/>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投标人如由</w:t>
      </w:r>
      <w:r>
        <w:rPr>
          <w:rFonts w:hint="eastAsia" w:ascii="宋体" w:hAnsi="宋体" w:eastAsia="宋体" w:cs="宋体"/>
          <w:b/>
          <w:bCs/>
          <w:color w:val="auto"/>
          <w:highlight w:val="none"/>
          <w:lang w:bidi="ar"/>
        </w:rPr>
        <w:t>法定代表人作为投标代表参与投标活动的，仅须提供法定代表人身份证复印件</w:t>
      </w:r>
      <w:r>
        <w:rPr>
          <w:rFonts w:hint="eastAsia" w:ascii="宋体" w:hAnsi="宋体" w:eastAsia="宋体" w:cs="宋体"/>
          <w:bCs/>
          <w:color w:val="auto"/>
          <w:szCs w:val="21"/>
          <w:highlight w:val="none"/>
          <w:lang w:bidi="ar"/>
        </w:rPr>
        <w:t>（线上采购项目提供扫描件，下同）</w:t>
      </w:r>
      <w:r>
        <w:rPr>
          <w:rFonts w:hint="eastAsia" w:ascii="宋体" w:hAnsi="宋体" w:eastAsia="宋体" w:cs="宋体"/>
          <w:color w:val="auto"/>
          <w:highlight w:val="none"/>
          <w:lang w:bidi="ar"/>
        </w:rPr>
        <w:t>。</w:t>
      </w:r>
    </w:p>
    <w:p w14:paraId="3B028330">
      <w:pPr>
        <w:pStyle w:val="21"/>
        <w:widowControl w:val="0"/>
        <w:spacing w:before="0" w:beforeAutospacing="0" w:after="0" w:afterAutospacing="0"/>
        <w:ind w:firstLine="480" w:firstLineChars="200"/>
        <w:jc w:val="both"/>
        <w:rPr>
          <w:rFonts w:hint="eastAsia" w:ascii="宋体" w:hAnsi="宋体" w:eastAsia="宋体" w:cs="宋体"/>
          <w:color w:val="auto"/>
          <w:highlight w:val="none"/>
        </w:rPr>
      </w:pPr>
    </w:p>
    <w:p w14:paraId="375FDF4C">
      <w:pPr>
        <w:widowControl/>
        <w:jc w:val="lef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bidi="ar"/>
        </w:rPr>
        <w:br w:type="page"/>
      </w:r>
    </w:p>
    <w:p w14:paraId="6AC9C436">
      <w:pPr>
        <w:adjustRightInd w:val="0"/>
        <w:snapToGrid w:val="0"/>
        <w:spacing w:line="360" w:lineRule="auto"/>
        <w:jc w:val="center"/>
        <w:outlineLvl w:val="2"/>
        <w:rPr>
          <w:rFonts w:hint="eastAsia" w:ascii="宋体" w:hAnsi="宋体" w:eastAsia="宋体" w:cs="宋体"/>
          <w:b/>
          <w:bCs/>
          <w:color w:val="auto"/>
          <w:sz w:val="28"/>
          <w:szCs w:val="28"/>
          <w:highlight w:val="none"/>
        </w:rPr>
      </w:pPr>
      <w:bookmarkStart w:id="179" w:name="_Toc10829"/>
      <w:bookmarkStart w:id="180" w:name="_Toc20134"/>
      <w:bookmarkStart w:id="181" w:name="_Toc25379"/>
      <w:bookmarkStart w:id="182" w:name="_Toc29943"/>
      <w:bookmarkStart w:id="183" w:name="_Toc26046"/>
      <w:bookmarkStart w:id="184" w:name="_Toc3761"/>
      <w:bookmarkStart w:id="185" w:name="_Toc30237"/>
      <w:bookmarkStart w:id="186" w:name="_Toc2445"/>
      <w:r>
        <w:rPr>
          <w:rFonts w:hint="eastAsia" w:ascii="宋体" w:hAnsi="宋体" w:eastAsia="宋体" w:cs="宋体"/>
          <w:b/>
          <w:bCs/>
          <w:color w:val="auto"/>
          <w:sz w:val="28"/>
          <w:szCs w:val="28"/>
          <w:highlight w:val="none"/>
          <w:lang w:bidi="ar"/>
        </w:rPr>
        <w:t>8-3自然人授权委托书</w:t>
      </w:r>
      <w:bookmarkEnd w:id="179"/>
      <w:bookmarkEnd w:id="180"/>
      <w:bookmarkEnd w:id="181"/>
      <w:bookmarkEnd w:id="182"/>
      <w:bookmarkEnd w:id="183"/>
      <w:bookmarkEnd w:id="184"/>
      <w:bookmarkEnd w:id="185"/>
      <w:bookmarkEnd w:id="186"/>
    </w:p>
    <w:p w14:paraId="6DC53532">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(适用于自然人投标)</w:t>
      </w:r>
    </w:p>
    <w:p w14:paraId="1B6D8335">
      <w:pPr>
        <w:pStyle w:val="21"/>
        <w:widowControl w:val="0"/>
        <w:spacing w:before="0" w:beforeAutospacing="0" w:after="0" w:afterAutospacing="0"/>
        <w:jc w:val="both"/>
        <w:rPr>
          <w:rFonts w:hint="eastAsia" w:ascii="宋体" w:hAnsi="宋体" w:eastAsia="宋体" w:cs="宋体"/>
          <w:color w:val="auto"/>
          <w:highlight w:val="none"/>
        </w:rPr>
      </w:pPr>
    </w:p>
    <w:p w14:paraId="00515F9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致____________(采购人或采购代理机构)：</w:t>
      </w:r>
    </w:p>
    <w:p w14:paraId="39F8802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本授权书声明：我________(姓名、身份证号码)系自然人，现授权委托____________(姓名、身份证号码)以本人名义参加《</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bidi="ar"/>
        </w:rPr>
        <w:t>项目》（项目编号：</w:t>
      </w:r>
      <w:r>
        <w:rPr>
          <w:rFonts w:hint="eastAsia" w:ascii="宋体" w:hAnsi="宋体" w:eastAsia="宋体" w:cs="宋体"/>
          <w:color w:val="auto"/>
          <w:highlight w:val="none"/>
          <w:u w:val="single"/>
          <w:lang w:bidi="ar"/>
        </w:rPr>
        <w:t xml:space="preserve">    </w:t>
      </w:r>
      <w:r>
        <w:rPr>
          <w:rFonts w:hint="eastAsia" w:ascii="宋体" w:hAnsi="宋体" w:eastAsia="宋体" w:cs="宋体"/>
          <w:color w:val="auto"/>
          <w:highlight w:val="none"/>
          <w:lang w:bidi="ar"/>
        </w:rPr>
        <w:t>）的投标活动，并代表本人全权办理针对上述项目的投标、签约等具体事务和签署相关文件。</w:t>
      </w:r>
    </w:p>
    <w:p w14:paraId="409B2B3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本人对被授权人的签字事项负全部责任。</w:t>
      </w:r>
    </w:p>
    <w:p w14:paraId="6429D09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授权委托代理期限：从</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年</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月</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日起至</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年</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月</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日止。</w:t>
      </w:r>
    </w:p>
    <w:p w14:paraId="57CCF391">
      <w:pPr>
        <w:spacing w:line="360" w:lineRule="auto"/>
        <w:ind w:firstLine="420" w:firstLineChars="200"/>
        <w:rPr>
          <w:rFonts w:hint="eastAsia" w:ascii="宋体" w:hAnsi="宋体" w:eastAsia="宋体" w:cs="宋体"/>
          <w:color w:val="auto"/>
          <w:highlight w:val="none"/>
        </w:rPr>
      </w:pPr>
    </w:p>
    <w:p w14:paraId="6EB1699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代理人无转委托权，特此委托。</w:t>
      </w:r>
    </w:p>
    <w:p w14:paraId="146B78CA">
      <w:pPr>
        <w:spacing w:line="360" w:lineRule="auto"/>
        <w:ind w:firstLine="420" w:firstLineChars="200"/>
        <w:rPr>
          <w:rFonts w:hint="eastAsia" w:ascii="宋体" w:hAnsi="宋体" w:eastAsia="宋体" w:cs="宋体"/>
          <w:color w:val="auto"/>
          <w:highlight w:val="none"/>
        </w:rPr>
      </w:pPr>
    </w:p>
    <w:p w14:paraId="2C5FA58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我已在下面签字，以资证明。</w:t>
      </w:r>
    </w:p>
    <w:p w14:paraId="7F47C521">
      <w:pPr>
        <w:spacing w:line="360" w:lineRule="auto"/>
        <w:ind w:firstLine="420" w:firstLineChars="200"/>
        <w:rPr>
          <w:rFonts w:hint="eastAsia" w:ascii="宋体" w:hAnsi="宋体" w:eastAsia="宋体" w:cs="宋体"/>
          <w:color w:val="auto"/>
          <w:highlight w:val="none"/>
        </w:rPr>
      </w:pPr>
    </w:p>
    <w:p w14:paraId="0C683C0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自然人签字并在签名处加盖食指指印：</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年</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月</w:t>
      </w:r>
      <w:r>
        <w:rPr>
          <w:rFonts w:hint="eastAsia" w:ascii="宋体" w:hAnsi="宋体" w:eastAsia="宋体" w:cs="宋体"/>
          <w:color w:val="auto"/>
          <w:highlight w:val="none"/>
          <w:u w:val="single"/>
          <w:lang w:bidi="ar"/>
        </w:rPr>
        <w:t>　　</w:t>
      </w:r>
      <w:r>
        <w:rPr>
          <w:rFonts w:hint="eastAsia" w:ascii="宋体" w:hAnsi="宋体" w:eastAsia="宋体" w:cs="宋体"/>
          <w:color w:val="auto"/>
          <w:highlight w:val="none"/>
          <w:lang w:bidi="ar"/>
        </w:rPr>
        <w:t>日</w:t>
      </w:r>
    </w:p>
    <w:p w14:paraId="7B18A915">
      <w:pPr>
        <w:pStyle w:val="21"/>
        <w:widowControl w:val="0"/>
        <w:spacing w:before="0" w:beforeAutospacing="0" w:after="0" w:afterAutospacing="0" w:line="360" w:lineRule="auto"/>
        <w:ind w:firstLine="480" w:firstLineChars="200"/>
        <w:jc w:val="both"/>
        <w:rPr>
          <w:rFonts w:hint="eastAsia" w:ascii="宋体" w:hAnsi="宋体" w:eastAsia="宋体" w:cs="宋体"/>
          <w:color w:val="auto"/>
          <w:highlight w:val="none"/>
        </w:rPr>
      </w:pPr>
    </w:p>
    <w:p w14:paraId="13E0B36C">
      <w:pPr>
        <w:topLinePunct/>
        <w:autoSpaceDE w:val="0"/>
        <w:autoSpaceDN w:val="0"/>
        <w:adjustRightInd w:val="0"/>
        <w:snapToGrid w:val="0"/>
        <w:spacing w:line="360" w:lineRule="auto"/>
        <w:jc w:val="left"/>
        <w:rPr>
          <w:rFonts w:hint="eastAsia" w:ascii="宋体" w:hAnsi="宋体" w:eastAsia="宋体" w:cs="宋体"/>
          <w:color w:val="auto"/>
          <w:highlight w:val="none"/>
        </w:rPr>
      </w:pPr>
    </w:p>
    <w:p w14:paraId="4369CC00">
      <w:pPr>
        <w:topLinePunct/>
        <w:autoSpaceDE w:val="0"/>
        <w:autoSpaceDN w:val="0"/>
        <w:adjustRightInd w:val="0"/>
        <w:snapToGrid w:val="0"/>
        <w:spacing w:line="360" w:lineRule="auto"/>
        <w:jc w:val="left"/>
        <w:rPr>
          <w:rFonts w:hint="eastAsia" w:ascii="宋体" w:hAnsi="宋体" w:eastAsia="宋体" w:cs="宋体"/>
          <w:i/>
          <w:iCs/>
          <w:color w:val="auto"/>
          <w:highlight w:val="none"/>
        </w:rPr>
      </w:pPr>
      <w:r>
        <w:rPr>
          <w:rFonts w:hint="eastAsia" w:ascii="宋体" w:hAnsi="宋体" w:eastAsia="宋体" w:cs="宋体"/>
          <w:color w:val="auto"/>
          <w:highlight w:val="none"/>
          <w:lang w:bidi="ar"/>
        </w:rPr>
        <w:t>特别说明：</w:t>
      </w:r>
    </w:p>
    <w:p w14:paraId="673FB250">
      <w:pPr>
        <w:tabs>
          <w:tab w:val="left" w:pos="312"/>
        </w:tabs>
        <w:topLinePunct/>
        <w:autoSpaceDE w:val="0"/>
        <w:autoSpaceDN w:val="0"/>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投标人如由</w:t>
      </w:r>
      <w:r>
        <w:rPr>
          <w:rFonts w:hint="eastAsia" w:ascii="宋体" w:hAnsi="宋体" w:eastAsia="宋体" w:cs="宋体"/>
          <w:b/>
          <w:bCs/>
          <w:color w:val="auto"/>
          <w:highlight w:val="none"/>
          <w:lang w:bidi="ar"/>
        </w:rPr>
        <w:t>被授权人参与投标活动的，</w:t>
      </w:r>
      <w:r>
        <w:rPr>
          <w:rFonts w:hint="eastAsia" w:ascii="宋体" w:hAnsi="宋体" w:eastAsia="宋体" w:cs="宋体"/>
          <w:color w:val="auto"/>
          <w:highlight w:val="none"/>
          <w:lang w:bidi="ar"/>
        </w:rPr>
        <w:t>须提供《自然人授权委托书》，《自然人授权委托书》应当按本格式要求签字并由自然人在签名处加盖食指指印</w:t>
      </w:r>
      <w:r>
        <w:rPr>
          <w:rFonts w:hint="eastAsia" w:ascii="宋体" w:hAnsi="宋体" w:eastAsia="宋体" w:cs="宋体"/>
          <w:color w:val="auto"/>
          <w:szCs w:val="21"/>
          <w:highlight w:val="none"/>
          <w:lang w:bidi="ar"/>
        </w:rPr>
        <w:t>。</w:t>
      </w:r>
    </w:p>
    <w:p w14:paraId="1F44E37F">
      <w:pPr>
        <w:pStyle w:val="21"/>
        <w:widowControl w:val="0"/>
        <w:spacing w:before="0" w:beforeAutospacing="0" w:after="0" w:afterAutospacing="0" w:line="360" w:lineRule="auto"/>
        <w:ind w:firstLine="480" w:firstLineChars="200"/>
        <w:jc w:val="both"/>
        <w:rPr>
          <w:rFonts w:hint="eastAsia" w:ascii="宋体" w:hAnsi="宋体" w:eastAsia="宋体" w:cs="宋体"/>
          <w:color w:val="auto"/>
          <w:highlight w:val="none"/>
        </w:rPr>
      </w:pPr>
    </w:p>
    <w:p w14:paraId="33469429">
      <w:pPr>
        <w:pStyle w:val="21"/>
        <w:widowControl w:val="0"/>
        <w:spacing w:before="0" w:beforeAutospacing="0" w:after="0" w:afterAutospacing="0"/>
        <w:ind w:firstLine="420" w:firstLineChars="200"/>
        <w:jc w:val="both"/>
        <w:rPr>
          <w:rFonts w:hint="eastAsia" w:ascii="宋体" w:hAnsi="宋体" w:eastAsia="宋体" w:cs="宋体"/>
          <w:b/>
          <w:bCs/>
          <w:color w:val="auto"/>
          <w:sz w:val="36"/>
          <w:szCs w:val="36"/>
          <w:highlight w:val="none"/>
        </w:rPr>
      </w:pPr>
      <w:r>
        <w:rPr>
          <w:rFonts w:hint="eastAsia" w:ascii="宋体" w:hAnsi="宋体" w:eastAsia="宋体" w:cs="宋体"/>
          <w:color w:val="auto"/>
          <w:kern w:val="2"/>
          <w:sz w:val="21"/>
          <w:szCs w:val="21"/>
          <w:highlight w:val="none"/>
          <w:lang w:bidi="ar"/>
        </w:rPr>
        <w:br w:type="page"/>
      </w:r>
    </w:p>
    <w:p w14:paraId="0F716F4D">
      <w:pPr>
        <w:adjustRightInd w:val="0"/>
        <w:snapToGrid w:val="0"/>
        <w:spacing w:line="360" w:lineRule="auto"/>
        <w:jc w:val="center"/>
        <w:outlineLvl w:val="1"/>
        <w:rPr>
          <w:rFonts w:hint="eastAsia" w:ascii="宋体" w:hAnsi="宋体" w:eastAsia="宋体" w:cs="宋体"/>
          <w:b/>
          <w:bCs/>
          <w:color w:val="auto"/>
          <w:sz w:val="28"/>
          <w:szCs w:val="28"/>
          <w:highlight w:val="none"/>
        </w:rPr>
      </w:pPr>
      <w:bookmarkStart w:id="187" w:name="_Toc15634"/>
      <w:bookmarkStart w:id="188" w:name="_Toc16857"/>
      <w:bookmarkStart w:id="189" w:name="_Toc19983"/>
      <w:bookmarkStart w:id="190" w:name="_Toc28396"/>
      <w:bookmarkStart w:id="191" w:name="_Toc15842"/>
      <w:bookmarkStart w:id="192" w:name="_Toc24894"/>
      <w:bookmarkStart w:id="193" w:name="_Toc15982"/>
      <w:bookmarkStart w:id="194" w:name="_Toc54"/>
      <w:r>
        <w:rPr>
          <w:rFonts w:hint="eastAsia" w:ascii="宋体" w:hAnsi="宋体" w:eastAsia="宋体" w:cs="宋体"/>
          <w:b/>
          <w:bCs/>
          <w:color w:val="auto"/>
          <w:sz w:val="28"/>
          <w:szCs w:val="28"/>
          <w:highlight w:val="none"/>
        </w:rPr>
        <w:t xml:space="preserve">格式9  </w:t>
      </w:r>
      <w:r>
        <w:rPr>
          <w:rFonts w:hint="eastAsia" w:ascii="宋体" w:hAnsi="宋体" w:eastAsia="宋体" w:cs="宋体"/>
          <w:b/>
          <w:bCs/>
          <w:color w:val="auto"/>
          <w:sz w:val="28"/>
          <w:szCs w:val="28"/>
          <w:highlight w:val="none"/>
          <w:lang w:bidi="ar"/>
        </w:rPr>
        <w:t>投标函</w:t>
      </w:r>
      <w:bookmarkEnd w:id="187"/>
      <w:bookmarkEnd w:id="188"/>
      <w:bookmarkEnd w:id="189"/>
      <w:bookmarkEnd w:id="190"/>
      <w:bookmarkEnd w:id="191"/>
      <w:bookmarkEnd w:id="192"/>
      <w:bookmarkEnd w:id="193"/>
      <w:bookmarkEnd w:id="194"/>
    </w:p>
    <w:p w14:paraId="0B9C08C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致________（采购人或采购代理机构）：</w:t>
      </w:r>
    </w:p>
    <w:p w14:paraId="5D9FE39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根据______（项目名称）（项目编号：______）的招标公告，______（姓名、职务）代表投标人______（投标人名称、地址）参加项目招标的有关活动。据此函，作如下承诺：</w:t>
      </w:r>
    </w:p>
    <w:p w14:paraId="1C418AC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1.同意在本项目招标文件中规定的开标日起</w:t>
      </w:r>
      <w:r>
        <w:rPr>
          <w:rFonts w:hint="eastAsia" w:ascii="宋体" w:hAnsi="宋体" w:cs="宋体"/>
          <w:color w:val="auto"/>
          <w:highlight w:val="none"/>
          <w:u w:val="single"/>
          <w:lang w:val="en-US" w:eastAsia="zh-CN" w:bidi="ar"/>
        </w:rPr>
        <w:t>120</w:t>
      </w:r>
      <w:r>
        <w:rPr>
          <w:rFonts w:hint="eastAsia" w:ascii="宋体" w:hAnsi="宋体" w:eastAsia="宋体" w:cs="宋体"/>
          <w:color w:val="auto"/>
          <w:highlight w:val="none"/>
          <w:lang w:bidi="ar"/>
        </w:rPr>
        <w:t>天遵守本投标文件中的承诺，且在期满之前均具有约束力。</w:t>
      </w:r>
    </w:p>
    <w:p w14:paraId="5DC46EC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2.具备政府采购相关法律法规规定的参加政府采购活动的供应商应当具备的条件：</w:t>
      </w:r>
    </w:p>
    <w:p w14:paraId="0388E2E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（1）具有独立承担民事责任的能力；</w:t>
      </w:r>
    </w:p>
    <w:p w14:paraId="2EA3FD9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（2）具有良好的商业信誉和健全的财务会计制度；</w:t>
      </w:r>
    </w:p>
    <w:p w14:paraId="2EAE1F2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（3）具有履行合同所必需的设备和专业技术能力；</w:t>
      </w:r>
    </w:p>
    <w:p w14:paraId="0B6DC47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（4）有依法缴纳税收和社会保障资金的良好记录；</w:t>
      </w:r>
    </w:p>
    <w:p w14:paraId="33F7C75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（5）参加此项采购活动前三年内，在经营活动中没有重大违法记录。</w:t>
      </w:r>
    </w:p>
    <w:p w14:paraId="291A0BF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（6）法律、行政法规规定的其他条件。 </w:t>
      </w:r>
    </w:p>
    <w:p w14:paraId="1436A56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3.具备本项目招标文件中规定的其他要求和资质条件。</w:t>
      </w:r>
    </w:p>
    <w:p w14:paraId="76E86F5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4.提供投标人须知规定的全部投标文件。</w:t>
      </w:r>
    </w:p>
    <w:p w14:paraId="4F05237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5.已详细审阅全部招标文件（包括招标文件澄清函），理解投标人须知的所有条款。</w:t>
      </w:r>
    </w:p>
    <w:p w14:paraId="0D2BEDE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6.完全理解贵方“最低报价不能作为中标的保证”的规定。</w:t>
      </w:r>
    </w:p>
    <w:p w14:paraId="560BA96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7.接受招标文件中全部合同条款，且无任何异议；保证忠实地执行双方所签订的合同，并承担合同规定的责任和义务。</w:t>
      </w:r>
    </w:p>
    <w:p w14:paraId="04F1281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8.完全满足和响应招标文件中的各项商务和技术要求，若有偏差，已在投标文件中明确说明。</w:t>
      </w:r>
    </w:p>
    <w:p w14:paraId="16C6124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9.愿意提供任何与投标有关的数据、情况和技术资料等。若贵方需要，愿意提供一切证明材料。</w:t>
      </w:r>
    </w:p>
    <w:p w14:paraId="6B53E5F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10.我方已详细审核全部投标文件、参考资料及有关附件，确认无误。</w:t>
      </w:r>
    </w:p>
    <w:p w14:paraId="434280F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11.对本次招标内容及与本项目有关的知识产权、技术资料、商业秘密及相关信息保密。</w:t>
      </w:r>
    </w:p>
    <w:p w14:paraId="187021A5">
      <w:pPr>
        <w:spacing w:line="360" w:lineRule="auto"/>
        <w:ind w:firstLine="420" w:firstLineChars="200"/>
        <w:rPr>
          <w:rFonts w:hint="eastAsia" w:ascii="宋体" w:hAnsi="宋体" w:eastAsia="宋体" w:cs="宋体"/>
          <w:color w:val="auto"/>
          <w:highlight w:val="none"/>
        </w:rPr>
      </w:pPr>
    </w:p>
    <w:p w14:paraId="19CFF6CE">
      <w:pPr>
        <w:spacing w:line="360" w:lineRule="auto"/>
        <w:ind w:firstLine="420" w:firstLineChars="200"/>
        <w:rPr>
          <w:rFonts w:hint="eastAsia" w:ascii="宋体" w:hAnsi="宋体" w:eastAsia="宋体" w:cs="宋体"/>
          <w:color w:val="auto"/>
          <w:highlight w:val="none"/>
        </w:rPr>
      </w:pPr>
    </w:p>
    <w:p w14:paraId="613B266A">
      <w:pPr>
        <w:spacing w:line="360" w:lineRule="auto"/>
        <w:ind w:firstLine="420" w:firstLineChars="200"/>
        <w:rPr>
          <w:rFonts w:hint="eastAsia" w:ascii="宋体" w:hAnsi="宋体" w:eastAsia="宋体" w:cs="宋体"/>
          <w:color w:val="auto"/>
          <w:highlight w:val="none"/>
        </w:rPr>
      </w:pPr>
    </w:p>
    <w:p w14:paraId="6878218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投标人名称（公章）：____________</w:t>
      </w:r>
    </w:p>
    <w:p w14:paraId="30AAF17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法定代表人（签字）/被授权投标代表（签字）：____________</w:t>
      </w:r>
    </w:p>
    <w:p w14:paraId="5C8775F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投标人地址：____________</w:t>
      </w:r>
    </w:p>
    <w:p w14:paraId="0C592AF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邮编：____________</w:t>
      </w:r>
    </w:p>
    <w:p w14:paraId="58B8ABB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电话：____________</w:t>
      </w:r>
    </w:p>
    <w:p w14:paraId="4B67376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传真：____________</w:t>
      </w:r>
    </w:p>
    <w:p w14:paraId="4EF872B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日  期：____________          </w:t>
      </w:r>
    </w:p>
    <w:p w14:paraId="06332959">
      <w:pPr>
        <w:spacing w:line="360" w:lineRule="auto"/>
        <w:ind w:firstLine="420" w:firstLineChars="200"/>
        <w:rPr>
          <w:rFonts w:hint="eastAsia" w:ascii="宋体" w:hAnsi="宋体" w:eastAsia="宋体" w:cs="宋体"/>
          <w:color w:val="auto"/>
          <w:highlight w:val="none"/>
        </w:rPr>
      </w:pPr>
    </w:p>
    <w:p w14:paraId="2BD5721B">
      <w:pPr>
        <w:ind w:firstLine="480" w:firstLineChars="200"/>
        <w:rPr>
          <w:rFonts w:hint="eastAsia" w:ascii="宋体" w:hAnsi="宋体" w:eastAsia="宋体" w:cs="宋体"/>
          <w:color w:val="auto"/>
          <w:sz w:val="24"/>
          <w:highlight w:val="none"/>
        </w:rPr>
      </w:pPr>
    </w:p>
    <w:p w14:paraId="31B17E80">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bidi="ar"/>
        </w:rPr>
        <w:t>特别说明：</w:t>
      </w:r>
    </w:p>
    <w:p w14:paraId="67BE8F3D">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投标人应当按上述格式要求加盖与投标人名称全称一致的标准公章，并签署法定代表人或</w:t>
      </w:r>
      <w:r>
        <w:rPr>
          <w:rFonts w:hint="eastAsia" w:ascii="宋体" w:hAnsi="宋体" w:eastAsia="宋体" w:cs="宋体"/>
          <w:bCs/>
          <w:color w:val="auto"/>
          <w:szCs w:val="21"/>
          <w:highlight w:val="none"/>
          <w:lang w:bidi="ar"/>
        </w:rPr>
        <w:t>被授权投标代表</w:t>
      </w:r>
      <w:r>
        <w:rPr>
          <w:rFonts w:hint="eastAsia" w:ascii="宋体" w:hAnsi="宋体" w:eastAsia="宋体" w:cs="宋体"/>
          <w:color w:val="auto"/>
          <w:szCs w:val="21"/>
          <w:highlight w:val="none"/>
          <w:lang w:bidi="ar"/>
        </w:rPr>
        <w:t>的全名，线上采购项目应上传扫描件。</w:t>
      </w:r>
    </w:p>
    <w:p w14:paraId="604B7D59">
      <w:pPr>
        <w:widowControl/>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bidi="ar"/>
        </w:rPr>
        <w:br w:type="page"/>
      </w:r>
    </w:p>
    <w:p w14:paraId="4C062783">
      <w:pPr>
        <w:widowControl/>
        <w:jc w:val="center"/>
        <w:outlineLvl w:val="1"/>
        <w:rPr>
          <w:rFonts w:hint="eastAsia" w:ascii="宋体" w:hAnsi="宋体" w:eastAsia="宋体" w:cs="宋体"/>
          <w:b/>
          <w:bCs/>
          <w:color w:val="auto"/>
          <w:sz w:val="28"/>
          <w:szCs w:val="28"/>
          <w:highlight w:val="none"/>
        </w:rPr>
      </w:pPr>
      <w:bookmarkStart w:id="195" w:name="_Toc4152"/>
      <w:bookmarkStart w:id="196" w:name="_Toc28361"/>
      <w:bookmarkStart w:id="197" w:name="_Toc19671"/>
      <w:bookmarkStart w:id="198" w:name="_Toc26841"/>
      <w:bookmarkStart w:id="199" w:name="_Toc7527"/>
      <w:bookmarkStart w:id="200" w:name="_Toc28206"/>
      <w:bookmarkStart w:id="201" w:name="_Toc1978"/>
      <w:bookmarkStart w:id="202" w:name="_Toc13428"/>
      <w:r>
        <w:rPr>
          <w:rFonts w:hint="eastAsia" w:ascii="宋体" w:hAnsi="宋体" w:eastAsia="宋体" w:cs="宋体"/>
          <w:b/>
          <w:bCs/>
          <w:color w:val="auto"/>
          <w:sz w:val="28"/>
          <w:szCs w:val="28"/>
          <w:highlight w:val="none"/>
        </w:rPr>
        <w:t>格式10  商务条款偏离表</w:t>
      </w:r>
      <w:bookmarkEnd w:id="195"/>
      <w:bookmarkEnd w:id="196"/>
      <w:bookmarkEnd w:id="197"/>
      <w:bookmarkEnd w:id="198"/>
      <w:bookmarkEnd w:id="199"/>
      <w:bookmarkEnd w:id="200"/>
      <w:bookmarkEnd w:id="201"/>
      <w:bookmarkEnd w:id="202"/>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5"/>
        <w:gridCol w:w="1910"/>
        <w:gridCol w:w="1892"/>
        <w:gridCol w:w="1904"/>
        <w:gridCol w:w="1587"/>
      </w:tblGrid>
      <w:tr w14:paraId="5FC22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pct"/>
            <w:tcBorders>
              <w:top w:val="single" w:color="auto" w:sz="4" w:space="0"/>
              <w:left w:val="single" w:color="auto" w:sz="4" w:space="0"/>
              <w:bottom w:val="single" w:color="auto" w:sz="4" w:space="0"/>
              <w:right w:val="single" w:color="auto" w:sz="4" w:space="0"/>
            </w:tcBorders>
            <w:noWrap/>
            <w:vAlign w:val="center"/>
          </w:tcPr>
          <w:p w14:paraId="7079F0DB">
            <w:pPr>
              <w:topLinePunct/>
              <w:autoSpaceDE w:val="0"/>
              <w:autoSpaceDN w:val="0"/>
              <w:spacing w:before="62" w:beforeLines="20" w:after="4"/>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112" w:type="pct"/>
            <w:tcBorders>
              <w:top w:val="single" w:color="auto" w:sz="4" w:space="0"/>
              <w:left w:val="single" w:color="auto" w:sz="4" w:space="0"/>
              <w:bottom w:val="single" w:color="auto" w:sz="4" w:space="0"/>
              <w:right w:val="single" w:color="auto" w:sz="4" w:space="0"/>
            </w:tcBorders>
            <w:noWrap/>
            <w:vAlign w:val="center"/>
          </w:tcPr>
          <w:p w14:paraId="6D332FDB">
            <w:pPr>
              <w:topLinePunct/>
              <w:autoSpaceDE w:val="0"/>
              <w:autoSpaceDN w:val="0"/>
              <w:spacing w:before="62" w:beforeLines="20" w:after="4"/>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w:t>
            </w:r>
          </w:p>
          <w:p w14:paraId="58D16114">
            <w:pPr>
              <w:topLinePunct/>
              <w:autoSpaceDE w:val="0"/>
              <w:autoSpaceDN w:val="0"/>
              <w:spacing w:before="62" w:beforeLines="20" w:after="4"/>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商务条款内容要求</w:t>
            </w:r>
          </w:p>
        </w:tc>
        <w:tc>
          <w:tcPr>
            <w:tcW w:w="1101" w:type="pct"/>
            <w:tcBorders>
              <w:top w:val="single" w:color="auto" w:sz="4" w:space="0"/>
              <w:left w:val="single" w:color="auto" w:sz="4" w:space="0"/>
              <w:bottom w:val="single" w:color="auto" w:sz="4" w:space="0"/>
              <w:right w:val="single" w:color="auto" w:sz="4" w:space="0"/>
            </w:tcBorders>
            <w:noWrap/>
            <w:vAlign w:val="center"/>
          </w:tcPr>
          <w:p w14:paraId="3E118DFA">
            <w:pPr>
              <w:topLinePunct/>
              <w:autoSpaceDE w:val="0"/>
              <w:autoSpaceDN w:val="0"/>
              <w:spacing w:before="62" w:beforeLines="20" w:after="4"/>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投标文件</w:t>
            </w:r>
          </w:p>
          <w:p w14:paraId="6B2FB42C">
            <w:pPr>
              <w:topLinePunct/>
              <w:autoSpaceDE w:val="0"/>
              <w:autoSpaceDN w:val="0"/>
              <w:spacing w:before="62" w:beforeLines="20" w:after="4"/>
              <w:jc w:val="center"/>
              <w:rPr>
                <w:rFonts w:hint="eastAsia" w:ascii="宋体" w:hAnsi="宋体" w:eastAsia="宋体" w:cs="宋体"/>
                <w:b/>
                <w:color w:val="auto"/>
                <w:szCs w:val="21"/>
                <w:highlight w:val="none"/>
              </w:rPr>
            </w:pPr>
            <w:bookmarkStart w:id="203" w:name="OLE_LINK6"/>
            <w:r>
              <w:rPr>
                <w:rFonts w:hint="eastAsia" w:ascii="宋体" w:hAnsi="宋体" w:eastAsia="宋体" w:cs="宋体"/>
                <w:b/>
                <w:color w:val="auto"/>
                <w:szCs w:val="21"/>
                <w:highlight w:val="none"/>
              </w:rPr>
              <w:t>应答情况</w:t>
            </w:r>
            <w:bookmarkEnd w:id="203"/>
          </w:p>
        </w:tc>
        <w:tc>
          <w:tcPr>
            <w:tcW w:w="1090" w:type="pct"/>
            <w:tcBorders>
              <w:top w:val="single" w:color="auto" w:sz="4" w:space="0"/>
              <w:left w:val="single" w:color="auto" w:sz="4" w:space="0"/>
              <w:bottom w:val="single" w:color="auto" w:sz="4" w:space="0"/>
              <w:right w:val="single" w:color="auto" w:sz="4" w:space="0"/>
            </w:tcBorders>
            <w:noWrap/>
            <w:vAlign w:val="center"/>
          </w:tcPr>
          <w:p w14:paraId="6C80BA5D">
            <w:pPr>
              <w:topLinePunct/>
              <w:autoSpaceDE w:val="0"/>
              <w:autoSpaceDN w:val="0"/>
              <w:spacing w:before="62" w:beforeLines="20" w:after="4"/>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偏离（无/正/负）</w:t>
            </w:r>
          </w:p>
        </w:tc>
        <w:tc>
          <w:tcPr>
            <w:tcW w:w="924" w:type="pct"/>
            <w:tcBorders>
              <w:top w:val="single" w:color="auto" w:sz="4" w:space="0"/>
              <w:left w:val="single" w:color="auto" w:sz="4" w:space="0"/>
              <w:bottom w:val="single" w:color="auto" w:sz="4" w:space="0"/>
              <w:right w:val="single" w:color="auto" w:sz="4" w:space="0"/>
            </w:tcBorders>
            <w:noWrap/>
            <w:vAlign w:val="center"/>
          </w:tcPr>
          <w:p w14:paraId="1255AD36">
            <w:pPr>
              <w:topLinePunct/>
              <w:autoSpaceDE w:val="0"/>
              <w:autoSpaceDN w:val="0"/>
              <w:spacing w:before="62" w:beforeLines="20" w:after="4"/>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说明</w:t>
            </w:r>
          </w:p>
        </w:tc>
      </w:tr>
      <w:tr w14:paraId="6208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pct"/>
            <w:tcBorders>
              <w:top w:val="single" w:color="auto" w:sz="4" w:space="0"/>
              <w:left w:val="single" w:color="auto" w:sz="4" w:space="0"/>
              <w:bottom w:val="single" w:color="auto" w:sz="4" w:space="0"/>
              <w:right w:val="single" w:color="auto" w:sz="4" w:space="0"/>
            </w:tcBorders>
            <w:noWrap/>
            <w:vAlign w:val="center"/>
          </w:tcPr>
          <w:p w14:paraId="6B587C79">
            <w:pPr>
              <w:topLinePunct/>
              <w:autoSpaceDE w:val="0"/>
              <w:autoSpaceDN w:val="0"/>
              <w:spacing w:before="62" w:beforeLines="20" w:after="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112" w:type="pct"/>
            <w:tcBorders>
              <w:top w:val="single" w:color="auto" w:sz="4" w:space="0"/>
              <w:left w:val="single" w:color="auto" w:sz="4" w:space="0"/>
              <w:bottom w:val="single" w:color="auto" w:sz="4" w:space="0"/>
              <w:right w:val="single" w:color="auto" w:sz="4" w:space="0"/>
            </w:tcBorders>
            <w:noWrap/>
          </w:tcPr>
          <w:p w14:paraId="08B8215E">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101" w:type="pct"/>
            <w:tcBorders>
              <w:top w:val="single" w:color="auto" w:sz="4" w:space="0"/>
              <w:left w:val="single" w:color="auto" w:sz="4" w:space="0"/>
              <w:bottom w:val="single" w:color="auto" w:sz="4" w:space="0"/>
              <w:right w:val="single" w:color="auto" w:sz="4" w:space="0"/>
            </w:tcBorders>
            <w:noWrap/>
          </w:tcPr>
          <w:p w14:paraId="213113F0">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090" w:type="pct"/>
            <w:tcBorders>
              <w:top w:val="single" w:color="auto" w:sz="4" w:space="0"/>
              <w:left w:val="single" w:color="auto" w:sz="4" w:space="0"/>
              <w:bottom w:val="single" w:color="auto" w:sz="4" w:space="0"/>
              <w:right w:val="single" w:color="auto" w:sz="4" w:space="0"/>
            </w:tcBorders>
            <w:noWrap/>
          </w:tcPr>
          <w:p w14:paraId="0BF4E69C">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924" w:type="pct"/>
            <w:tcBorders>
              <w:top w:val="single" w:color="auto" w:sz="4" w:space="0"/>
              <w:left w:val="single" w:color="auto" w:sz="4" w:space="0"/>
              <w:bottom w:val="single" w:color="auto" w:sz="4" w:space="0"/>
              <w:right w:val="single" w:color="auto" w:sz="4" w:space="0"/>
            </w:tcBorders>
            <w:noWrap/>
          </w:tcPr>
          <w:p w14:paraId="132EDADE">
            <w:pPr>
              <w:topLinePunct/>
              <w:autoSpaceDE w:val="0"/>
              <w:autoSpaceDN w:val="0"/>
              <w:spacing w:before="62" w:beforeLines="20" w:after="312"/>
              <w:jc w:val="center"/>
              <w:rPr>
                <w:rFonts w:hint="eastAsia" w:ascii="宋体" w:hAnsi="宋体" w:eastAsia="宋体" w:cs="宋体"/>
                <w:b/>
                <w:bCs/>
                <w:color w:val="auto"/>
                <w:szCs w:val="21"/>
                <w:highlight w:val="none"/>
              </w:rPr>
            </w:pPr>
          </w:p>
        </w:tc>
      </w:tr>
      <w:tr w14:paraId="24F9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pct"/>
            <w:tcBorders>
              <w:top w:val="single" w:color="auto" w:sz="4" w:space="0"/>
              <w:left w:val="single" w:color="auto" w:sz="4" w:space="0"/>
              <w:bottom w:val="single" w:color="auto" w:sz="4" w:space="0"/>
              <w:right w:val="single" w:color="auto" w:sz="4" w:space="0"/>
            </w:tcBorders>
            <w:noWrap/>
            <w:vAlign w:val="center"/>
          </w:tcPr>
          <w:p w14:paraId="451A7128">
            <w:pPr>
              <w:topLinePunct/>
              <w:autoSpaceDE w:val="0"/>
              <w:autoSpaceDN w:val="0"/>
              <w:spacing w:before="62" w:beforeLines="20" w:after="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112" w:type="pct"/>
            <w:tcBorders>
              <w:top w:val="single" w:color="auto" w:sz="4" w:space="0"/>
              <w:left w:val="single" w:color="auto" w:sz="4" w:space="0"/>
              <w:bottom w:val="single" w:color="auto" w:sz="4" w:space="0"/>
              <w:right w:val="single" w:color="auto" w:sz="4" w:space="0"/>
            </w:tcBorders>
            <w:noWrap/>
          </w:tcPr>
          <w:p w14:paraId="6A61D7EB">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101" w:type="pct"/>
            <w:tcBorders>
              <w:top w:val="single" w:color="auto" w:sz="4" w:space="0"/>
              <w:left w:val="single" w:color="auto" w:sz="4" w:space="0"/>
              <w:bottom w:val="single" w:color="auto" w:sz="4" w:space="0"/>
              <w:right w:val="single" w:color="auto" w:sz="4" w:space="0"/>
            </w:tcBorders>
            <w:noWrap/>
          </w:tcPr>
          <w:p w14:paraId="60D84744">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090" w:type="pct"/>
            <w:tcBorders>
              <w:top w:val="single" w:color="auto" w:sz="4" w:space="0"/>
              <w:left w:val="single" w:color="auto" w:sz="4" w:space="0"/>
              <w:bottom w:val="single" w:color="auto" w:sz="4" w:space="0"/>
              <w:right w:val="single" w:color="auto" w:sz="4" w:space="0"/>
            </w:tcBorders>
            <w:noWrap/>
          </w:tcPr>
          <w:p w14:paraId="014803E7">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924" w:type="pct"/>
            <w:tcBorders>
              <w:top w:val="single" w:color="auto" w:sz="4" w:space="0"/>
              <w:left w:val="single" w:color="auto" w:sz="4" w:space="0"/>
              <w:bottom w:val="single" w:color="auto" w:sz="4" w:space="0"/>
              <w:right w:val="single" w:color="auto" w:sz="4" w:space="0"/>
            </w:tcBorders>
            <w:noWrap/>
          </w:tcPr>
          <w:p w14:paraId="5CD1270F">
            <w:pPr>
              <w:topLinePunct/>
              <w:autoSpaceDE w:val="0"/>
              <w:autoSpaceDN w:val="0"/>
              <w:spacing w:before="62" w:beforeLines="20" w:after="312"/>
              <w:jc w:val="center"/>
              <w:rPr>
                <w:rFonts w:hint="eastAsia" w:ascii="宋体" w:hAnsi="宋体" w:eastAsia="宋体" w:cs="宋体"/>
                <w:b/>
                <w:bCs/>
                <w:color w:val="auto"/>
                <w:szCs w:val="21"/>
                <w:highlight w:val="none"/>
              </w:rPr>
            </w:pPr>
          </w:p>
        </w:tc>
      </w:tr>
      <w:tr w14:paraId="33FA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pct"/>
            <w:tcBorders>
              <w:top w:val="single" w:color="auto" w:sz="4" w:space="0"/>
              <w:left w:val="single" w:color="auto" w:sz="4" w:space="0"/>
              <w:bottom w:val="single" w:color="auto" w:sz="4" w:space="0"/>
              <w:right w:val="single" w:color="auto" w:sz="4" w:space="0"/>
            </w:tcBorders>
            <w:noWrap/>
            <w:vAlign w:val="center"/>
          </w:tcPr>
          <w:p w14:paraId="2BB5DD20">
            <w:pPr>
              <w:topLinePunct/>
              <w:autoSpaceDE w:val="0"/>
              <w:autoSpaceDN w:val="0"/>
              <w:spacing w:before="62" w:beforeLines="20" w:after="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112" w:type="pct"/>
            <w:tcBorders>
              <w:top w:val="single" w:color="auto" w:sz="4" w:space="0"/>
              <w:left w:val="single" w:color="auto" w:sz="4" w:space="0"/>
              <w:bottom w:val="single" w:color="auto" w:sz="4" w:space="0"/>
              <w:right w:val="single" w:color="auto" w:sz="4" w:space="0"/>
            </w:tcBorders>
            <w:noWrap/>
          </w:tcPr>
          <w:p w14:paraId="571549C3">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101" w:type="pct"/>
            <w:tcBorders>
              <w:top w:val="single" w:color="auto" w:sz="4" w:space="0"/>
              <w:left w:val="single" w:color="auto" w:sz="4" w:space="0"/>
              <w:bottom w:val="single" w:color="auto" w:sz="4" w:space="0"/>
              <w:right w:val="single" w:color="auto" w:sz="4" w:space="0"/>
            </w:tcBorders>
            <w:noWrap/>
          </w:tcPr>
          <w:p w14:paraId="1D46466F">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090" w:type="pct"/>
            <w:tcBorders>
              <w:top w:val="single" w:color="auto" w:sz="4" w:space="0"/>
              <w:left w:val="single" w:color="auto" w:sz="4" w:space="0"/>
              <w:bottom w:val="single" w:color="auto" w:sz="4" w:space="0"/>
              <w:right w:val="single" w:color="auto" w:sz="4" w:space="0"/>
            </w:tcBorders>
            <w:noWrap/>
          </w:tcPr>
          <w:p w14:paraId="3A6FFD4F">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924" w:type="pct"/>
            <w:tcBorders>
              <w:top w:val="single" w:color="auto" w:sz="4" w:space="0"/>
              <w:left w:val="single" w:color="auto" w:sz="4" w:space="0"/>
              <w:bottom w:val="single" w:color="auto" w:sz="4" w:space="0"/>
              <w:right w:val="single" w:color="auto" w:sz="4" w:space="0"/>
            </w:tcBorders>
            <w:noWrap/>
          </w:tcPr>
          <w:p w14:paraId="581863A7">
            <w:pPr>
              <w:topLinePunct/>
              <w:autoSpaceDE w:val="0"/>
              <w:autoSpaceDN w:val="0"/>
              <w:spacing w:before="62" w:beforeLines="20" w:after="312"/>
              <w:jc w:val="center"/>
              <w:rPr>
                <w:rFonts w:hint="eastAsia" w:ascii="宋体" w:hAnsi="宋体" w:eastAsia="宋体" w:cs="宋体"/>
                <w:b/>
                <w:bCs/>
                <w:color w:val="auto"/>
                <w:szCs w:val="21"/>
                <w:highlight w:val="none"/>
              </w:rPr>
            </w:pPr>
          </w:p>
        </w:tc>
      </w:tr>
      <w:tr w14:paraId="23E13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pct"/>
            <w:tcBorders>
              <w:top w:val="single" w:color="auto" w:sz="4" w:space="0"/>
              <w:left w:val="single" w:color="auto" w:sz="4" w:space="0"/>
              <w:bottom w:val="single" w:color="auto" w:sz="4" w:space="0"/>
              <w:right w:val="single" w:color="auto" w:sz="4" w:space="0"/>
            </w:tcBorders>
            <w:noWrap/>
            <w:vAlign w:val="center"/>
          </w:tcPr>
          <w:p w14:paraId="39DF66C2">
            <w:pPr>
              <w:topLinePunct/>
              <w:autoSpaceDE w:val="0"/>
              <w:autoSpaceDN w:val="0"/>
              <w:spacing w:before="62" w:beforeLines="20" w:after="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112" w:type="pct"/>
            <w:tcBorders>
              <w:top w:val="single" w:color="auto" w:sz="4" w:space="0"/>
              <w:left w:val="single" w:color="auto" w:sz="4" w:space="0"/>
              <w:bottom w:val="single" w:color="auto" w:sz="4" w:space="0"/>
              <w:right w:val="single" w:color="auto" w:sz="4" w:space="0"/>
            </w:tcBorders>
            <w:noWrap/>
          </w:tcPr>
          <w:p w14:paraId="046D0F87">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101" w:type="pct"/>
            <w:tcBorders>
              <w:top w:val="single" w:color="auto" w:sz="4" w:space="0"/>
              <w:left w:val="single" w:color="auto" w:sz="4" w:space="0"/>
              <w:bottom w:val="single" w:color="auto" w:sz="4" w:space="0"/>
              <w:right w:val="single" w:color="auto" w:sz="4" w:space="0"/>
            </w:tcBorders>
            <w:noWrap/>
          </w:tcPr>
          <w:p w14:paraId="1360FD4E">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090" w:type="pct"/>
            <w:tcBorders>
              <w:top w:val="single" w:color="auto" w:sz="4" w:space="0"/>
              <w:left w:val="single" w:color="auto" w:sz="4" w:space="0"/>
              <w:bottom w:val="single" w:color="auto" w:sz="4" w:space="0"/>
              <w:right w:val="single" w:color="auto" w:sz="4" w:space="0"/>
            </w:tcBorders>
            <w:noWrap/>
          </w:tcPr>
          <w:p w14:paraId="3916E183">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924" w:type="pct"/>
            <w:tcBorders>
              <w:top w:val="single" w:color="auto" w:sz="4" w:space="0"/>
              <w:left w:val="single" w:color="auto" w:sz="4" w:space="0"/>
              <w:bottom w:val="single" w:color="auto" w:sz="4" w:space="0"/>
              <w:right w:val="single" w:color="auto" w:sz="4" w:space="0"/>
            </w:tcBorders>
            <w:noWrap/>
          </w:tcPr>
          <w:p w14:paraId="7CFDA9A7">
            <w:pPr>
              <w:topLinePunct/>
              <w:autoSpaceDE w:val="0"/>
              <w:autoSpaceDN w:val="0"/>
              <w:spacing w:before="62" w:beforeLines="20" w:after="312"/>
              <w:jc w:val="center"/>
              <w:rPr>
                <w:rFonts w:hint="eastAsia" w:ascii="宋体" w:hAnsi="宋体" w:eastAsia="宋体" w:cs="宋体"/>
                <w:b/>
                <w:bCs/>
                <w:color w:val="auto"/>
                <w:szCs w:val="21"/>
                <w:highlight w:val="none"/>
              </w:rPr>
            </w:pPr>
          </w:p>
        </w:tc>
      </w:tr>
      <w:tr w14:paraId="7EC6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pct"/>
            <w:tcBorders>
              <w:top w:val="single" w:color="auto" w:sz="4" w:space="0"/>
              <w:left w:val="single" w:color="auto" w:sz="4" w:space="0"/>
              <w:bottom w:val="single" w:color="auto" w:sz="4" w:space="0"/>
              <w:right w:val="single" w:color="auto" w:sz="4" w:space="0"/>
            </w:tcBorders>
            <w:noWrap/>
            <w:vAlign w:val="center"/>
          </w:tcPr>
          <w:p w14:paraId="6FF94F89">
            <w:pPr>
              <w:topLinePunct/>
              <w:autoSpaceDE w:val="0"/>
              <w:autoSpaceDN w:val="0"/>
              <w:spacing w:before="62" w:beforeLines="20" w:after="4"/>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112" w:type="pct"/>
            <w:tcBorders>
              <w:top w:val="single" w:color="auto" w:sz="4" w:space="0"/>
              <w:left w:val="single" w:color="auto" w:sz="4" w:space="0"/>
              <w:bottom w:val="single" w:color="auto" w:sz="4" w:space="0"/>
              <w:right w:val="single" w:color="auto" w:sz="4" w:space="0"/>
            </w:tcBorders>
            <w:noWrap/>
          </w:tcPr>
          <w:p w14:paraId="0AF12BB8">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101" w:type="pct"/>
            <w:tcBorders>
              <w:top w:val="single" w:color="auto" w:sz="4" w:space="0"/>
              <w:left w:val="single" w:color="auto" w:sz="4" w:space="0"/>
              <w:bottom w:val="single" w:color="auto" w:sz="4" w:space="0"/>
              <w:right w:val="single" w:color="auto" w:sz="4" w:space="0"/>
            </w:tcBorders>
            <w:noWrap/>
          </w:tcPr>
          <w:p w14:paraId="41ADD80A">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1090" w:type="pct"/>
            <w:tcBorders>
              <w:top w:val="single" w:color="auto" w:sz="4" w:space="0"/>
              <w:left w:val="single" w:color="auto" w:sz="4" w:space="0"/>
              <w:bottom w:val="single" w:color="auto" w:sz="4" w:space="0"/>
              <w:right w:val="single" w:color="auto" w:sz="4" w:space="0"/>
            </w:tcBorders>
            <w:noWrap/>
          </w:tcPr>
          <w:p w14:paraId="4D73DBB3">
            <w:pPr>
              <w:topLinePunct/>
              <w:autoSpaceDE w:val="0"/>
              <w:autoSpaceDN w:val="0"/>
              <w:spacing w:before="62" w:beforeLines="20" w:after="312"/>
              <w:jc w:val="center"/>
              <w:rPr>
                <w:rFonts w:hint="eastAsia" w:ascii="宋体" w:hAnsi="宋体" w:eastAsia="宋体" w:cs="宋体"/>
                <w:b/>
                <w:bCs/>
                <w:color w:val="auto"/>
                <w:szCs w:val="21"/>
                <w:highlight w:val="none"/>
              </w:rPr>
            </w:pPr>
          </w:p>
        </w:tc>
        <w:tc>
          <w:tcPr>
            <w:tcW w:w="924" w:type="pct"/>
            <w:tcBorders>
              <w:top w:val="single" w:color="auto" w:sz="4" w:space="0"/>
              <w:left w:val="single" w:color="auto" w:sz="4" w:space="0"/>
              <w:bottom w:val="single" w:color="auto" w:sz="4" w:space="0"/>
              <w:right w:val="single" w:color="auto" w:sz="4" w:space="0"/>
            </w:tcBorders>
            <w:noWrap/>
          </w:tcPr>
          <w:p w14:paraId="3AD41297">
            <w:pPr>
              <w:topLinePunct/>
              <w:autoSpaceDE w:val="0"/>
              <w:autoSpaceDN w:val="0"/>
              <w:spacing w:before="62" w:beforeLines="20" w:after="312"/>
              <w:jc w:val="center"/>
              <w:rPr>
                <w:rFonts w:hint="eastAsia" w:ascii="宋体" w:hAnsi="宋体" w:eastAsia="宋体" w:cs="宋体"/>
                <w:b/>
                <w:bCs/>
                <w:color w:val="auto"/>
                <w:szCs w:val="21"/>
                <w:highlight w:val="none"/>
              </w:rPr>
            </w:pPr>
          </w:p>
        </w:tc>
      </w:tr>
    </w:tbl>
    <w:p w14:paraId="4DB7D617">
      <w:pPr>
        <w:pStyle w:val="32"/>
        <w:outlineLvl w:val="9"/>
        <w:rPr>
          <w:rFonts w:hint="eastAsia" w:ascii="宋体" w:hAnsi="宋体" w:eastAsia="宋体" w:cs="宋体"/>
          <w:color w:val="auto"/>
          <w:highlight w:val="none"/>
        </w:rPr>
      </w:pPr>
    </w:p>
    <w:p w14:paraId="4384C4F6">
      <w:pPr>
        <w:topLinePunct/>
        <w:autoSpaceDE w:val="0"/>
        <w:autoSpaceDN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特别说明：</w:t>
      </w:r>
      <w:bookmarkStart w:id="204" w:name="_Hlk55382356"/>
    </w:p>
    <w:p w14:paraId="7AA347F1">
      <w:pPr>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1.投标人应按招标文件《第六章　项目采购需求》中的商务要求，结合自身投标情况对商务条款逐条响应，未逐条响应的视为投标无效。</w:t>
      </w:r>
      <w:bookmarkEnd w:id="204"/>
    </w:p>
    <w:p w14:paraId="5C3E425A">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2.投标文件响应的商务内容完全响应招标文件要求的，投标人应注明“无偏离”；不满足或不响应招标文件要求的，应注明“负偏离”；优于招标文件要求的，应注明“正偏离”。</w:t>
      </w:r>
    </w:p>
    <w:p w14:paraId="1092ACC3">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3.本表可扩展。</w:t>
      </w:r>
    </w:p>
    <w:p w14:paraId="03CA7D60">
      <w:pPr>
        <w:topLinePunct/>
        <w:autoSpaceDE w:val="0"/>
        <w:autoSpaceDN w:val="0"/>
        <w:spacing w:line="500" w:lineRule="exact"/>
        <w:rPr>
          <w:rFonts w:hint="eastAsia" w:ascii="宋体" w:hAnsi="宋体" w:eastAsia="宋体" w:cs="宋体"/>
          <w:color w:val="auto"/>
          <w:sz w:val="24"/>
          <w:highlight w:val="none"/>
        </w:rPr>
      </w:pPr>
    </w:p>
    <w:p w14:paraId="521BA5F2">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0B7077DD">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6FDC96BF">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p>
    <w:p w14:paraId="0CE1E867">
      <w:pPr>
        <w:rPr>
          <w:rFonts w:hint="eastAsia" w:ascii="宋体" w:hAnsi="宋体" w:eastAsia="宋体" w:cs="宋体"/>
          <w:b/>
          <w:bCs/>
          <w:color w:val="auto"/>
          <w:sz w:val="28"/>
          <w:szCs w:val="28"/>
          <w:highlight w:val="none"/>
        </w:rPr>
      </w:pPr>
    </w:p>
    <w:p w14:paraId="5032FC08">
      <w:pPr>
        <w:snapToGrid w:val="0"/>
        <w:spacing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bookmarkStart w:id="205" w:name="_Toc16319"/>
      <w:bookmarkStart w:id="206" w:name="_Toc24596"/>
      <w:bookmarkStart w:id="207" w:name="_Toc5031"/>
      <w:bookmarkStart w:id="208" w:name="_Toc22560"/>
      <w:bookmarkStart w:id="209" w:name="_Toc22512"/>
      <w:bookmarkStart w:id="210" w:name="_Toc3769"/>
      <w:bookmarkStart w:id="211" w:name="_Toc7962"/>
      <w:bookmarkStart w:id="212" w:name="_Toc267"/>
      <w:r>
        <w:rPr>
          <w:rFonts w:hint="eastAsia" w:ascii="宋体" w:hAnsi="宋体" w:eastAsia="宋体" w:cs="宋体"/>
          <w:b/>
          <w:bCs/>
          <w:color w:val="auto"/>
          <w:sz w:val="28"/>
          <w:szCs w:val="28"/>
          <w:highlight w:val="none"/>
        </w:rPr>
        <w:t xml:space="preserve">格式11  </w:t>
      </w:r>
      <w:r>
        <w:rPr>
          <w:rFonts w:hint="eastAsia" w:ascii="宋体" w:hAnsi="宋体" w:eastAsia="宋体" w:cs="宋体"/>
          <w:b/>
          <w:bCs/>
          <w:color w:val="auto"/>
          <w:sz w:val="28"/>
          <w:szCs w:val="28"/>
          <w:highlight w:val="none"/>
          <w:lang w:bidi="ar"/>
        </w:rPr>
        <w:t>中小企业声明函</w:t>
      </w:r>
      <w:bookmarkEnd w:id="205"/>
      <w:bookmarkEnd w:id="206"/>
      <w:bookmarkEnd w:id="207"/>
      <w:bookmarkEnd w:id="208"/>
      <w:bookmarkEnd w:id="209"/>
      <w:bookmarkEnd w:id="210"/>
      <w:bookmarkEnd w:id="211"/>
      <w:bookmarkEnd w:id="212"/>
    </w:p>
    <w:p w14:paraId="1509B74C">
      <w:pPr>
        <w:widowControl/>
        <w:jc w:val="center"/>
        <w:outlineLvl w:val="2"/>
        <w:rPr>
          <w:rFonts w:hint="eastAsia" w:ascii="宋体" w:hAnsi="宋体" w:eastAsia="宋体" w:cs="宋体"/>
          <w:b/>
          <w:bCs/>
          <w:color w:val="auto"/>
          <w:sz w:val="28"/>
          <w:szCs w:val="28"/>
          <w:highlight w:val="none"/>
        </w:rPr>
      </w:pPr>
      <w:bookmarkStart w:id="213" w:name="_Toc16593"/>
      <w:bookmarkStart w:id="214" w:name="_Toc26942"/>
      <w:bookmarkStart w:id="215" w:name="_Toc30161"/>
      <w:bookmarkStart w:id="216" w:name="_Toc17049"/>
      <w:bookmarkStart w:id="217" w:name="_Toc22735"/>
      <w:bookmarkStart w:id="218" w:name="_Toc17680"/>
      <w:bookmarkStart w:id="219" w:name="_Toc14822"/>
      <w:bookmarkStart w:id="220" w:name="_Toc18105"/>
      <w:r>
        <w:rPr>
          <w:rFonts w:hint="eastAsia" w:ascii="宋体" w:hAnsi="宋体" w:eastAsia="宋体" w:cs="宋体"/>
          <w:b/>
          <w:bCs/>
          <w:color w:val="auto"/>
          <w:sz w:val="28"/>
          <w:szCs w:val="28"/>
          <w:highlight w:val="none"/>
          <w:lang w:bidi="ar"/>
        </w:rPr>
        <w:t>中小企业声明函（服务）</w:t>
      </w:r>
      <w:bookmarkEnd w:id="213"/>
      <w:bookmarkEnd w:id="214"/>
      <w:bookmarkEnd w:id="215"/>
      <w:bookmarkEnd w:id="216"/>
      <w:bookmarkEnd w:id="217"/>
      <w:bookmarkEnd w:id="218"/>
      <w:bookmarkEnd w:id="219"/>
      <w:bookmarkEnd w:id="220"/>
    </w:p>
    <w:p w14:paraId="554E37C2">
      <w:pPr>
        <w:widowControl/>
        <w:spacing w:line="360" w:lineRule="auto"/>
        <w:ind w:firstLine="480" w:firstLineChars="200"/>
        <w:jc w:val="left"/>
        <w:rPr>
          <w:rFonts w:hint="eastAsia" w:ascii="宋体" w:hAnsi="宋体" w:eastAsia="宋体" w:cs="宋体"/>
          <w:color w:val="auto"/>
          <w:kern w:val="0"/>
          <w:sz w:val="24"/>
          <w:highlight w:val="none"/>
        </w:rPr>
      </w:pPr>
    </w:p>
    <w:p w14:paraId="54A4A863">
      <w:pPr>
        <w:pStyle w:val="21"/>
        <w:widowControl w:val="0"/>
        <w:snapToGrid w:val="0"/>
        <w:spacing w:before="0" w:beforeAutospacing="0" w:after="0" w:afterAutospacing="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bidi="ar"/>
        </w:rPr>
        <w:t>本公司（联合体）郑重声明，根据《政府采购促进中小企业发展管理办法》（财库﹝2020﹞46 号）的规定，本公司（联合体）参加</w:t>
      </w:r>
      <w:r>
        <w:rPr>
          <w:rFonts w:hint="eastAsia" w:cs="宋体"/>
          <w:color w:val="auto"/>
          <w:kern w:val="2"/>
          <w:sz w:val="21"/>
          <w:szCs w:val="21"/>
          <w:highlight w:val="none"/>
          <w:u w:val="single"/>
          <w:lang w:eastAsia="zh-CN" w:bidi="ar"/>
        </w:rPr>
        <w:t>广西税务2026年电子发票服务平台等相关系统运行维护</w:t>
      </w:r>
      <w:r>
        <w:rPr>
          <w:rFonts w:hint="eastAsia" w:ascii="宋体" w:hAnsi="宋体" w:eastAsia="宋体" w:cs="宋体"/>
          <w:color w:val="auto"/>
          <w:kern w:val="2"/>
          <w:sz w:val="21"/>
          <w:szCs w:val="21"/>
          <w:highlight w:val="none"/>
          <w:lang w:bidi="ar"/>
        </w:rPr>
        <w:t>采购活动，服务全部由符合政策要求的中小企业承接。相关企业（含联合体中的中小企业、签订分包意向协议的中小企业）的具体情况如下：</w:t>
      </w:r>
    </w:p>
    <w:p w14:paraId="00A5F395">
      <w:pPr>
        <w:pStyle w:val="21"/>
        <w:widowControl w:val="0"/>
        <w:snapToGrid w:val="0"/>
        <w:spacing w:before="0" w:beforeAutospacing="0" w:after="0" w:afterAutospacing="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bidi="ar"/>
        </w:rPr>
        <w:t>1.</w:t>
      </w:r>
      <w:r>
        <w:rPr>
          <w:rFonts w:hint="eastAsia" w:cs="宋体"/>
          <w:color w:val="auto"/>
          <w:kern w:val="2"/>
          <w:sz w:val="21"/>
          <w:szCs w:val="21"/>
          <w:highlight w:val="none"/>
          <w:u w:val="single"/>
          <w:lang w:eastAsia="zh-CN" w:bidi="ar"/>
        </w:rPr>
        <w:t>广西税务2026年电子发票服务平台等相关系统运行维护</w:t>
      </w:r>
      <w:r>
        <w:rPr>
          <w:rFonts w:hint="eastAsia" w:cs="宋体"/>
          <w:color w:val="auto"/>
          <w:kern w:val="2"/>
          <w:sz w:val="21"/>
          <w:szCs w:val="21"/>
          <w:highlight w:val="none"/>
          <w:u w:val="single"/>
          <w:lang w:val="en-US" w:eastAsia="zh-CN" w:bidi="ar"/>
        </w:rPr>
        <w:t>的</w:t>
      </w:r>
      <w:r>
        <w:rPr>
          <w:rFonts w:hint="eastAsia" w:cs="宋体"/>
          <w:color w:val="auto"/>
          <w:kern w:val="2"/>
          <w:sz w:val="21"/>
          <w:szCs w:val="21"/>
          <w:highlight w:val="none"/>
          <w:u w:val="single"/>
          <w:lang w:eastAsia="zh-CN" w:bidi="ar"/>
        </w:rPr>
        <w:t>【</w:t>
      </w:r>
      <w:r>
        <w:rPr>
          <w:rFonts w:hint="eastAsia" w:cs="宋体"/>
          <w:color w:val="auto"/>
          <w:kern w:val="2"/>
          <w:sz w:val="21"/>
          <w:szCs w:val="21"/>
          <w:highlight w:val="none"/>
          <w:u w:val="single"/>
          <w:lang w:val="en-US" w:eastAsia="zh-CN" w:bidi="ar"/>
        </w:rPr>
        <w:t xml:space="preserve">   某服务内容    </w:t>
      </w:r>
      <w:r>
        <w:rPr>
          <w:rFonts w:hint="eastAsia" w:cs="宋体"/>
          <w:color w:val="auto"/>
          <w:kern w:val="2"/>
          <w:sz w:val="21"/>
          <w:szCs w:val="21"/>
          <w:highlight w:val="none"/>
          <w:u w:val="single"/>
          <w:lang w:eastAsia="zh-CN" w:bidi="ar"/>
        </w:rPr>
        <w:t>】</w:t>
      </w:r>
      <w:r>
        <w:rPr>
          <w:rFonts w:hint="eastAsia" w:ascii="宋体" w:hAnsi="宋体" w:eastAsia="宋体" w:cs="宋体"/>
          <w:color w:val="auto"/>
          <w:kern w:val="2"/>
          <w:sz w:val="21"/>
          <w:szCs w:val="21"/>
          <w:highlight w:val="none"/>
          <w:lang w:bidi="ar"/>
        </w:rPr>
        <w:t>，属于</w:t>
      </w:r>
      <w:r>
        <w:rPr>
          <w:rFonts w:hint="eastAsia" w:cs="宋体"/>
          <w:color w:val="auto"/>
          <w:kern w:val="2"/>
          <w:sz w:val="21"/>
          <w:szCs w:val="21"/>
          <w:highlight w:val="none"/>
          <w:u w:val="single"/>
          <w:lang w:val="en-US" w:eastAsia="zh-CN" w:bidi="ar"/>
        </w:rPr>
        <w:t>软件和信息技术服务业</w:t>
      </w:r>
      <w:r>
        <w:rPr>
          <w:rFonts w:hint="eastAsia" w:ascii="宋体" w:hAnsi="宋体" w:eastAsia="宋体" w:cs="宋体"/>
          <w:color w:val="auto"/>
          <w:kern w:val="2"/>
          <w:sz w:val="21"/>
          <w:szCs w:val="21"/>
          <w:highlight w:val="none"/>
          <w:lang w:bidi="ar"/>
        </w:rPr>
        <w:t>；承建（承接）企业为</w:t>
      </w:r>
      <w:r>
        <w:rPr>
          <w:rFonts w:hint="eastAsia" w:ascii="宋体" w:hAnsi="宋体" w:eastAsia="宋体" w:cs="宋体"/>
          <w:i/>
          <w:iCs/>
          <w:color w:val="auto"/>
          <w:kern w:val="2"/>
          <w:sz w:val="21"/>
          <w:szCs w:val="21"/>
          <w:highlight w:val="none"/>
          <w:u w:val="single"/>
          <w:lang w:bidi="ar"/>
        </w:rPr>
        <w:t>（企业名称）</w:t>
      </w:r>
      <w:r>
        <w:rPr>
          <w:rFonts w:hint="eastAsia" w:ascii="宋体" w:hAnsi="宋体" w:eastAsia="宋体" w:cs="宋体"/>
          <w:color w:val="auto"/>
          <w:kern w:val="2"/>
          <w:sz w:val="21"/>
          <w:szCs w:val="21"/>
          <w:highlight w:val="none"/>
          <w:lang w:bidi="ar"/>
        </w:rPr>
        <w:t>，从业人员</w:t>
      </w:r>
      <w:r>
        <w:rPr>
          <w:rFonts w:hint="eastAsia" w:ascii="宋体" w:hAnsi="宋体" w:eastAsia="宋体" w:cs="宋体"/>
          <w:color w:val="auto"/>
          <w:kern w:val="2"/>
          <w:sz w:val="21"/>
          <w:szCs w:val="21"/>
          <w:highlight w:val="none"/>
          <w:u w:val="single"/>
          <w:lang w:bidi="ar"/>
        </w:rPr>
        <w:tab/>
      </w:r>
      <w:r>
        <w:rPr>
          <w:rFonts w:hint="eastAsia" w:ascii="宋体" w:hAnsi="宋体" w:eastAsia="宋体" w:cs="宋体"/>
          <w:color w:val="auto"/>
          <w:kern w:val="2"/>
          <w:sz w:val="21"/>
          <w:szCs w:val="21"/>
          <w:highlight w:val="none"/>
          <w:u w:val="single"/>
          <w:lang w:bidi="ar"/>
        </w:rPr>
        <w:t xml:space="preserve">   </w:t>
      </w:r>
      <w:r>
        <w:rPr>
          <w:rFonts w:hint="eastAsia" w:ascii="宋体" w:hAnsi="宋体" w:eastAsia="宋体" w:cs="宋体"/>
          <w:color w:val="auto"/>
          <w:kern w:val="2"/>
          <w:sz w:val="21"/>
          <w:szCs w:val="21"/>
          <w:highlight w:val="none"/>
          <w:lang w:bidi="ar"/>
        </w:rPr>
        <w:t>人，营业收入为</w:t>
      </w:r>
      <w:r>
        <w:rPr>
          <w:rFonts w:hint="eastAsia" w:ascii="宋体" w:hAnsi="宋体" w:eastAsia="宋体" w:cs="宋体"/>
          <w:color w:val="auto"/>
          <w:kern w:val="2"/>
          <w:sz w:val="21"/>
          <w:szCs w:val="21"/>
          <w:highlight w:val="none"/>
          <w:u w:val="single"/>
          <w:lang w:bidi="ar"/>
        </w:rPr>
        <w:tab/>
      </w:r>
      <w:r>
        <w:rPr>
          <w:rFonts w:hint="eastAsia" w:ascii="宋体" w:hAnsi="宋体" w:eastAsia="宋体" w:cs="宋体"/>
          <w:color w:val="auto"/>
          <w:kern w:val="2"/>
          <w:sz w:val="21"/>
          <w:szCs w:val="21"/>
          <w:highlight w:val="none"/>
          <w:u w:val="single"/>
          <w:lang w:bidi="ar"/>
        </w:rPr>
        <w:t xml:space="preserve">   </w:t>
      </w:r>
      <w:r>
        <w:rPr>
          <w:rFonts w:hint="eastAsia" w:ascii="宋体" w:hAnsi="宋体" w:eastAsia="宋体" w:cs="宋体"/>
          <w:color w:val="auto"/>
          <w:kern w:val="2"/>
          <w:sz w:val="21"/>
          <w:szCs w:val="21"/>
          <w:highlight w:val="none"/>
          <w:lang w:bidi="ar"/>
        </w:rPr>
        <w:t>万元，资产总额为</w:t>
      </w:r>
      <w:r>
        <w:rPr>
          <w:rFonts w:hint="eastAsia" w:ascii="宋体" w:hAnsi="宋体" w:eastAsia="宋体" w:cs="宋体"/>
          <w:color w:val="auto"/>
          <w:kern w:val="2"/>
          <w:sz w:val="21"/>
          <w:szCs w:val="21"/>
          <w:highlight w:val="none"/>
          <w:u w:val="single"/>
          <w:lang w:bidi="ar"/>
        </w:rPr>
        <w:tab/>
      </w:r>
      <w:r>
        <w:rPr>
          <w:rFonts w:hint="eastAsia" w:ascii="宋体" w:hAnsi="宋体" w:eastAsia="宋体" w:cs="宋体"/>
          <w:color w:val="auto"/>
          <w:kern w:val="2"/>
          <w:sz w:val="21"/>
          <w:szCs w:val="21"/>
          <w:highlight w:val="none"/>
          <w:u w:val="single"/>
          <w:lang w:bidi="ar"/>
        </w:rPr>
        <w:t xml:space="preserve">   </w:t>
      </w:r>
      <w:r>
        <w:rPr>
          <w:rFonts w:hint="eastAsia" w:ascii="宋体" w:hAnsi="宋体" w:eastAsia="宋体" w:cs="宋体"/>
          <w:color w:val="auto"/>
          <w:kern w:val="2"/>
          <w:sz w:val="21"/>
          <w:szCs w:val="21"/>
          <w:highlight w:val="none"/>
          <w:lang w:bidi="ar"/>
        </w:rPr>
        <w:t>万元</w:t>
      </w:r>
      <w:r>
        <w:rPr>
          <w:rFonts w:hint="eastAsia" w:ascii="宋体" w:hAnsi="宋体" w:eastAsia="宋体" w:cs="宋体"/>
          <w:color w:val="auto"/>
          <w:kern w:val="2"/>
          <w:sz w:val="21"/>
          <w:szCs w:val="21"/>
          <w:highlight w:val="none"/>
          <w:vertAlign w:val="superscript"/>
          <w:lang w:bidi="ar"/>
        </w:rPr>
        <w:t>1</w:t>
      </w:r>
      <w:r>
        <w:rPr>
          <w:rFonts w:hint="eastAsia" w:ascii="宋体" w:hAnsi="宋体" w:eastAsia="宋体" w:cs="宋体"/>
          <w:color w:val="auto"/>
          <w:kern w:val="2"/>
          <w:sz w:val="21"/>
          <w:szCs w:val="21"/>
          <w:highlight w:val="none"/>
          <w:lang w:bidi="ar"/>
        </w:rPr>
        <w:t>，属于</w:t>
      </w:r>
      <w:r>
        <w:rPr>
          <w:rFonts w:hint="eastAsia" w:ascii="宋体" w:hAnsi="宋体" w:eastAsia="宋体" w:cs="宋体"/>
          <w:i/>
          <w:iCs/>
          <w:color w:val="auto"/>
          <w:kern w:val="2"/>
          <w:sz w:val="21"/>
          <w:szCs w:val="21"/>
          <w:highlight w:val="none"/>
          <w:u w:val="single"/>
          <w:lang w:bidi="ar"/>
        </w:rPr>
        <w:t>（中型企业、小型企业、微型企业）</w:t>
      </w:r>
      <w:r>
        <w:rPr>
          <w:rFonts w:hint="eastAsia" w:ascii="宋体" w:hAnsi="宋体" w:eastAsia="宋体" w:cs="宋体"/>
          <w:color w:val="auto"/>
          <w:kern w:val="2"/>
          <w:sz w:val="21"/>
          <w:szCs w:val="21"/>
          <w:highlight w:val="none"/>
          <w:lang w:bidi="ar"/>
        </w:rPr>
        <w:t xml:space="preserve">； </w:t>
      </w:r>
    </w:p>
    <w:p w14:paraId="617E5BEF">
      <w:pPr>
        <w:pStyle w:val="21"/>
        <w:widowControl w:val="0"/>
        <w:snapToGrid w:val="0"/>
        <w:spacing w:before="0" w:beforeAutospacing="0" w:after="0" w:afterAutospacing="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bidi="ar"/>
        </w:rPr>
        <w:t>2.</w:t>
      </w:r>
      <w:r>
        <w:rPr>
          <w:rFonts w:hint="eastAsia" w:ascii="宋体" w:hAnsi="宋体" w:eastAsia="宋体" w:cs="宋体"/>
          <w:i/>
          <w:iCs/>
          <w:color w:val="auto"/>
          <w:kern w:val="2"/>
          <w:sz w:val="21"/>
          <w:szCs w:val="21"/>
          <w:highlight w:val="none"/>
          <w:u w:val="single"/>
          <w:lang w:bidi="ar"/>
        </w:rPr>
        <w:t xml:space="preserve"> （标的名称） </w:t>
      </w:r>
      <w:r>
        <w:rPr>
          <w:rFonts w:hint="eastAsia" w:ascii="宋体" w:hAnsi="宋体" w:eastAsia="宋体" w:cs="宋体"/>
          <w:color w:val="auto"/>
          <w:kern w:val="2"/>
          <w:sz w:val="21"/>
          <w:szCs w:val="21"/>
          <w:highlight w:val="none"/>
          <w:lang w:bidi="ar"/>
        </w:rPr>
        <w:t>，属于</w:t>
      </w:r>
      <w:r>
        <w:rPr>
          <w:rFonts w:hint="eastAsia" w:ascii="宋体" w:hAnsi="宋体" w:eastAsia="宋体" w:cs="宋体"/>
          <w:i/>
          <w:iCs/>
          <w:color w:val="auto"/>
          <w:kern w:val="2"/>
          <w:sz w:val="21"/>
          <w:szCs w:val="21"/>
          <w:highlight w:val="none"/>
          <w:u w:val="single"/>
          <w:lang w:bidi="ar"/>
        </w:rPr>
        <w:t>（采购文件中明确的所属行业）</w:t>
      </w:r>
      <w:r>
        <w:rPr>
          <w:rFonts w:hint="eastAsia" w:ascii="宋体" w:hAnsi="宋体" w:eastAsia="宋体" w:cs="宋体"/>
          <w:color w:val="auto"/>
          <w:kern w:val="2"/>
          <w:sz w:val="21"/>
          <w:szCs w:val="21"/>
          <w:highlight w:val="none"/>
          <w:lang w:bidi="ar"/>
        </w:rPr>
        <w:t>；承建（承接）企业为</w:t>
      </w:r>
      <w:r>
        <w:rPr>
          <w:rFonts w:hint="eastAsia" w:ascii="宋体" w:hAnsi="宋体" w:eastAsia="宋体" w:cs="宋体"/>
          <w:i/>
          <w:iCs/>
          <w:color w:val="auto"/>
          <w:kern w:val="2"/>
          <w:sz w:val="21"/>
          <w:szCs w:val="21"/>
          <w:highlight w:val="none"/>
          <w:u w:val="single"/>
          <w:lang w:bidi="ar"/>
        </w:rPr>
        <w:t>（企业名称）</w:t>
      </w:r>
      <w:r>
        <w:rPr>
          <w:rFonts w:hint="eastAsia" w:ascii="宋体" w:hAnsi="宋体" w:eastAsia="宋体" w:cs="宋体"/>
          <w:color w:val="auto"/>
          <w:kern w:val="2"/>
          <w:sz w:val="21"/>
          <w:szCs w:val="21"/>
          <w:highlight w:val="none"/>
          <w:lang w:bidi="ar"/>
        </w:rPr>
        <w:t>，从业人员</w:t>
      </w:r>
      <w:r>
        <w:rPr>
          <w:rFonts w:hint="eastAsia" w:ascii="宋体" w:hAnsi="宋体" w:eastAsia="宋体" w:cs="宋体"/>
          <w:color w:val="auto"/>
          <w:kern w:val="2"/>
          <w:sz w:val="21"/>
          <w:szCs w:val="21"/>
          <w:highlight w:val="none"/>
          <w:u w:val="single"/>
          <w:lang w:bidi="ar"/>
        </w:rPr>
        <w:tab/>
      </w:r>
      <w:r>
        <w:rPr>
          <w:rFonts w:hint="eastAsia" w:ascii="宋体" w:hAnsi="宋体" w:eastAsia="宋体" w:cs="宋体"/>
          <w:color w:val="auto"/>
          <w:kern w:val="2"/>
          <w:sz w:val="21"/>
          <w:szCs w:val="21"/>
          <w:highlight w:val="none"/>
          <w:u w:val="single"/>
          <w:lang w:bidi="ar"/>
        </w:rPr>
        <w:t xml:space="preserve">   </w:t>
      </w:r>
      <w:r>
        <w:rPr>
          <w:rFonts w:hint="eastAsia" w:ascii="宋体" w:hAnsi="宋体" w:eastAsia="宋体" w:cs="宋体"/>
          <w:color w:val="auto"/>
          <w:kern w:val="2"/>
          <w:sz w:val="21"/>
          <w:szCs w:val="21"/>
          <w:highlight w:val="none"/>
          <w:lang w:bidi="ar"/>
        </w:rPr>
        <w:t>人，营业收入为</w:t>
      </w:r>
      <w:r>
        <w:rPr>
          <w:rFonts w:hint="eastAsia" w:ascii="宋体" w:hAnsi="宋体" w:eastAsia="宋体" w:cs="宋体"/>
          <w:color w:val="auto"/>
          <w:kern w:val="2"/>
          <w:sz w:val="21"/>
          <w:szCs w:val="21"/>
          <w:highlight w:val="none"/>
          <w:u w:val="single"/>
          <w:lang w:bidi="ar"/>
        </w:rPr>
        <w:tab/>
      </w:r>
      <w:r>
        <w:rPr>
          <w:rFonts w:hint="eastAsia" w:ascii="宋体" w:hAnsi="宋体" w:eastAsia="宋体" w:cs="宋体"/>
          <w:color w:val="auto"/>
          <w:kern w:val="2"/>
          <w:sz w:val="21"/>
          <w:szCs w:val="21"/>
          <w:highlight w:val="none"/>
          <w:u w:val="single"/>
          <w:lang w:bidi="ar"/>
        </w:rPr>
        <w:t xml:space="preserve">   </w:t>
      </w:r>
      <w:r>
        <w:rPr>
          <w:rFonts w:hint="eastAsia" w:ascii="宋体" w:hAnsi="宋体" w:eastAsia="宋体" w:cs="宋体"/>
          <w:color w:val="auto"/>
          <w:kern w:val="2"/>
          <w:sz w:val="21"/>
          <w:szCs w:val="21"/>
          <w:highlight w:val="none"/>
          <w:lang w:bidi="ar"/>
        </w:rPr>
        <w:t>万元，资产总额为</w:t>
      </w:r>
      <w:r>
        <w:rPr>
          <w:rFonts w:hint="eastAsia" w:ascii="宋体" w:hAnsi="宋体" w:eastAsia="宋体" w:cs="宋体"/>
          <w:color w:val="auto"/>
          <w:kern w:val="2"/>
          <w:sz w:val="21"/>
          <w:szCs w:val="21"/>
          <w:highlight w:val="none"/>
          <w:u w:val="single"/>
          <w:lang w:bidi="ar"/>
        </w:rPr>
        <w:tab/>
      </w:r>
      <w:r>
        <w:rPr>
          <w:rFonts w:hint="eastAsia" w:ascii="宋体" w:hAnsi="宋体" w:eastAsia="宋体" w:cs="宋体"/>
          <w:color w:val="auto"/>
          <w:kern w:val="2"/>
          <w:sz w:val="21"/>
          <w:szCs w:val="21"/>
          <w:highlight w:val="none"/>
          <w:u w:val="single"/>
          <w:lang w:bidi="ar"/>
        </w:rPr>
        <w:t xml:space="preserve">   </w:t>
      </w:r>
      <w:r>
        <w:rPr>
          <w:rFonts w:hint="eastAsia" w:ascii="宋体" w:hAnsi="宋体" w:eastAsia="宋体" w:cs="宋体"/>
          <w:color w:val="auto"/>
          <w:kern w:val="2"/>
          <w:sz w:val="21"/>
          <w:szCs w:val="21"/>
          <w:highlight w:val="none"/>
          <w:lang w:bidi="ar"/>
        </w:rPr>
        <w:t>万元</w:t>
      </w:r>
      <w:r>
        <w:rPr>
          <w:rFonts w:hint="eastAsia" w:ascii="宋体" w:hAnsi="宋体" w:eastAsia="宋体" w:cs="宋体"/>
          <w:color w:val="auto"/>
          <w:kern w:val="2"/>
          <w:sz w:val="21"/>
          <w:szCs w:val="21"/>
          <w:highlight w:val="none"/>
          <w:vertAlign w:val="superscript"/>
          <w:lang w:bidi="ar"/>
        </w:rPr>
        <w:t>1</w:t>
      </w:r>
      <w:r>
        <w:rPr>
          <w:rFonts w:hint="eastAsia" w:ascii="宋体" w:hAnsi="宋体" w:eastAsia="宋体" w:cs="宋体"/>
          <w:color w:val="auto"/>
          <w:kern w:val="2"/>
          <w:sz w:val="21"/>
          <w:szCs w:val="21"/>
          <w:highlight w:val="none"/>
          <w:lang w:bidi="ar"/>
        </w:rPr>
        <w:t>，属于</w:t>
      </w:r>
      <w:r>
        <w:rPr>
          <w:rFonts w:hint="eastAsia" w:ascii="宋体" w:hAnsi="宋体" w:eastAsia="宋体" w:cs="宋体"/>
          <w:i/>
          <w:iCs/>
          <w:color w:val="auto"/>
          <w:kern w:val="2"/>
          <w:sz w:val="21"/>
          <w:szCs w:val="21"/>
          <w:highlight w:val="none"/>
          <w:u w:val="single"/>
          <w:lang w:bidi="ar"/>
        </w:rPr>
        <w:t>（中型企业、小型企业、微型企业）</w:t>
      </w:r>
      <w:r>
        <w:rPr>
          <w:rFonts w:hint="eastAsia" w:ascii="宋体" w:hAnsi="宋体" w:eastAsia="宋体" w:cs="宋体"/>
          <w:color w:val="auto"/>
          <w:kern w:val="2"/>
          <w:sz w:val="21"/>
          <w:szCs w:val="21"/>
          <w:highlight w:val="none"/>
          <w:lang w:bidi="ar"/>
        </w:rPr>
        <w:t xml:space="preserve">； </w:t>
      </w:r>
    </w:p>
    <w:p w14:paraId="307C5310">
      <w:pPr>
        <w:pStyle w:val="21"/>
        <w:widowControl w:val="0"/>
        <w:snapToGrid w:val="0"/>
        <w:spacing w:before="0" w:beforeAutospacing="0" w:after="0" w:afterAutospacing="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bidi="ar"/>
        </w:rPr>
        <w:t>……</w:t>
      </w:r>
    </w:p>
    <w:p w14:paraId="70A32232">
      <w:pPr>
        <w:pStyle w:val="21"/>
        <w:widowControl w:val="0"/>
        <w:snapToGrid w:val="0"/>
        <w:spacing w:before="0" w:beforeAutospacing="0" w:after="0" w:afterAutospacing="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bidi="ar"/>
        </w:rPr>
        <w:t>以上企业，不属于大企业的分支机构，不存在控股股东为大企业的情形，也不存在与大企业的负责人为同一人的情形。</w:t>
      </w:r>
    </w:p>
    <w:p w14:paraId="754B73E5">
      <w:pPr>
        <w:pStyle w:val="21"/>
        <w:widowControl w:val="0"/>
        <w:snapToGrid w:val="0"/>
        <w:spacing w:before="0" w:beforeAutospacing="0" w:after="0" w:afterAutospacing="0"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lang w:bidi="ar"/>
        </w:rPr>
        <w:t xml:space="preserve">本企业对上述声明内容的真实性负责。如有虚假，将依法承担相应责任。 </w:t>
      </w:r>
    </w:p>
    <w:p w14:paraId="6ED73BA5">
      <w:pPr>
        <w:pStyle w:val="21"/>
        <w:widowControl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rPr>
      </w:pPr>
    </w:p>
    <w:p w14:paraId="370A29CE">
      <w:pPr>
        <w:pStyle w:val="21"/>
        <w:widowControl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rPr>
      </w:pPr>
    </w:p>
    <w:p w14:paraId="7E038A66">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投标人</w:t>
      </w:r>
      <w:r>
        <w:rPr>
          <w:rFonts w:hint="eastAsia" w:ascii="宋体" w:hAnsi="宋体" w:eastAsia="宋体" w:cs="宋体"/>
          <w:color w:val="auto"/>
          <w:kern w:val="0"/>
          <w:szCs w:val="21"/>
          <w:highlight w:val="none"/>
          <w:lang w:bidi="ar"/>
        </w:rPr>
        <w:t>（全称并加盖公章</w:t>
      </w:r>
      <w:r>
        <w:rPr>
          <w:rFonts w:hint="eastAsia" w:ascii="宋体" w:hAnsi="宋体" w:eastAsia="宋体" w:cs="宋体"/>
          <w:color w:val="auto"/>
          <w:szCs w:val="21"/>
          <w:highlight w:val="none"/>
          <w:lang w:bidi="ar"/>
        </w:rPr>
        <w:t>）：</w:t>
      </w:r>
      <w:r>
        <w:rPr>
          <w:rFonts w:hint="eastAsia" w:ascii="宋体" w:hAnsi="宋体" w:eastAsia="宋体" w:cs="宋体"/>
          <w:color w:val="auto"/>
          <w:szCs w:val="21"/>
          <w:highlight w:val="none"/>
          <w:u w:val="single"/>
          <w:lang w:bidi="ar"/>
        </w:rPr>
        <w:t xml:space="preserve">             </w:t>
      </w:r>
    </w:p>
    <w:p w14:paraId="78D86B4B">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日期：</w:t>
      </w:r>
      <w:r>
        <w:rPr>
          <w:rFonts w:hint="eastAsia" w:ascii="宋体" w:hAnsi="宋体" w:eastAsia="宋体" w:cs="宋体"/>
          <w:color w:val="auto"/>
          <w:szCs w:val="21"/>
          <w:highlight w:val="none"/>
          <w:u w:val="single"/>
          <w:lang w:bidi="ar"/>
        </w:rPr>
        <w:t xml:space="preserve">                                 </w:t>
      </w:r>
    </w:p>
    <w:p w14:paraId="3AA99DD4">
      <w:pPr>
        <w:pStyle w:val="21"/>
        <w:widowControl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rPr>
      </w:pPr>
    </w:p>
    <w:p w14:paraId="161A182D">
      <w:pPr>
        <w:pStyle w:val="21"/>
        <w:widowControl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rPr>
      </w:pPr>
    </w:p>
    <w:p w14:paraId="22778382">
      <w:pPr>
        <w:widowControl/>
        <w:rPr>
          <w:rFonts w:hint="eastAsia" w:ascii="宋体" w:hAnsi="宋体" w:eastAsia="宋体" w:cs="宋体"/>
          <w:color w:val="auto"/>
          <w:highlight w:val="none"/>
        </w:rPr>
      </w:pPr>
    </w:p>
    <w:p w14:paraId="4013B7BC">
      <w:pPr>
        <w:widowControl/>
        <w:jc w:val="left"/>
        <w:rPr>
          <w:rFonts w:hint="eastAsia" w:ascii="宋体" w:hAnsi="宋体" w:eastAsia="宋体" w:cs="宋体"/>
          <w:color w:val="auto"/>
          <w:highlight w:val="none"/>
        </w:rPr>
      </w:pPr>
      <w:r>
        <w:rPr>
          <w:rFonts w:hint="eastAsia" w:ascii="宋体" w:hAnsi="宋体" w:eastAsia="宋体" w:cs="宋体"/>
          <w:color w:val="auto"/>
          <w:kern w:val="0"/>
          <w:sz w:val="18"/>
          <w:szCs w:val="18"/>
          <w:highlight w:val="none"/>
          <w:lang w:bidi="ar"/>
        </w:rPr>
        <w:t>1从业人员、营业收入、资产总额填报上一年度数据，无上一年度数据的新成立企业可不填报。</w:t>
      </w:r>
    </w:p>
    <w:p w14:paraId="402D090E">
      <w:pPr>
        <w:pStyle w:val="21"/>
        <w:widowControl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rPr>
      </w:pPr>
    </w:p>
    <w:p w14:paraId="349E94B8">
      <w:pPr>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lang w:bidi="ar"/>
        </w:rPr>
        <w:br w:type="page"/>
      </w:r>
    </w:p>
    <w:p w14:paraId="6E4782B7">
      <w:pPr>
        <w:shd w:val="clear"/>
        <w:spacing w:before="0" w:beforeAutospacing="0" w:after="0" w:afterAutospacing="0" w:line="240" w:lineRule="auto"/>
        <w:jc w:val="center"/>
        <w:outlineLvl w:val="2"/>
        <w:rPr>
          <w:rFonts w:hint="eastAsia" w:ascii="宋体" w:hAnsi="宋体" w:eastAsia="宋体" w:cs="宋体"/>
          <w:b/>
          <w:bCs/>
          <w:color w:val="auto"/>
          <w:sz w:val="28"/>
          <w:szCs w:val="28"/>
          <w:highlight w:val="none"/>
        </w:rPr>
      </w:pPr>
      <w:bookmarkStart w:id="221" w:name="_Toc14699"/>
      <w:bookmarkStart w:id="222" w:name="_Toc17275"/>
      <w:bookmarkStart w:id="223" w:name="_Toc13055"/>
      <w:bookmarkStart w:id="224" w:name="_Toc26112"/>
      <w:bookmarkStart w:id="225" w:name="_Toc30550"/>
      <w:bookmarkStart w:id="226" w:name="_Toc18290"/>
      <w:bookmarkStart w:id="227" w:name="_Toc38030071"/>
      <w:bookmarkStart w:id="228" w:name="_Toc113393336"/>
      <w:bookmarkStart w:id="229" w:name="_Toc1652355655"/>
      <w:bookmarkStart w:id="230" w:name="_Toc386861148"/>
      <w:bookmarkStart w:id="231" w:name="_Toc1403531177"/>
      <w:bookmarkStart w:id="232" w:name="_Toc38030154"/>
      <w:r>
        <w:rPr>
          <w:rFonts w:hint="eastAsia" w:ascii="宋体" w:hAnsi="宋体" w:eastAsia="宋体" w:cs="宋体"/>
          <w:b/>
          <w:bCs/>
          <w:color w:val="auto"/>
          <w:sz w:val="28"/>
          <w:szCs w:val="28"/>
          <w:highlight w:val="none"/>
        </w:rPr>
        <w:t>中小微企业划型标准</w:t>
      </w:r>
      <w:bookmarkEnd w:id="221"/>
      <w:bookmarkEnd w:id="222"/>
      <w:bookmarkEnd w:id="223"/>
      <w:bookmarkEnd w:id="224"/>
      <w:bookmarkEnd w:id="225"/>
      <w:bookmarkEnd w:id="226"/>
    </w:p>
    <w:tbl>
      <w:tblPr>
        <w:tblStyle w:val="23"/>
        <w:tblW w:w="0" w:type="auto"/>
        <w:jc w:val="center"/>
        <w:tblLayout w:type="fixed"/>
        <w:tblCellMar>
          <w:top w:w="0" w:type="dxa"/>
          <w:left w:w="108" w:type="dxa"/>
          <w:bottom w:w="0" w:type="dxa"/>
          <w:right w:w="108" w:type="dxa"/>
        </w:tblCellMar>
      </w:tblPr>
      <w:tblGrid>
        <w:gridCol w:w="1230"/>
        <w:gridCol w:w="1440"/>
        <w:gridCol w:w="1155"/>
        <w:gridCol w:w="2073"/>
        <w:gridCol w:w="1649"/>
        <w:gridCol w:w="1070"/>
      </w:tblGrid>
      <w:tr w14:paraId="0F661AA4">
        <w:tblPrEx>
          <w:tblCellMar>
            <w:top w:w="0" w:type="dxa"/>
            <w:left w:w="108" w:type="dxa"/>
            <w:bottom w:w="0" w:type="dxa"/>
            <w:right w:w="108" w:type="dxa"/>
          </w:tblCellMar>
        </w:tblPrEx>
        <w:trPr>
          <w:trHeight w:val="339" w:hRule="atLeast"/>
          <w:jc w:val="center"/>
        </w:trPr>
        <w:tc>
          <w:tcPr>
            <w:tcW w:w="1230" w:type="dxa"/>
            <w:tcBorders>
              <w:top w:val="single" w:color="auto" w:sz="4" w:space="0"/>
              <w:left w:val="single" w:color="auto" w:sz="4" w:space="0"/>
              <w:bottom w:val="single" w:color="auto" w:sz="4" w:space="0"/>
              <w:right w:val="single" w:color="auto" w:sz="4" w:space="0"/>
            </w:tcBorders>
            <w:noWrap w:val="0"/>
            <w:vAlign w:val="center"/>
          </w:tcPr>
          <w:p w14:paraId="3293F9D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行业名称</w:t>
            </w:r>
          </w:p>
        </w:tc>
        <w:tc>
          <w:tcPr>
            <w:tcW w:w="1440" w:type="dxa"/>
            <w:tcBorders>
              <w:top w:val="single" w:color="auto" w:sz="4" w:space="0"/>
              <w:left w:val="nil"/>
              <w:bottom w:val="single" w:color="auto" w:sz="4" w:space="0"/>
              <w:right w:val="single" w:color="auto" w:sz="4" w:space="0"/>
            </w:tcBorders>
            <w:noWrap w:val="0"/>
            <w:vAlign w:val="center"/>
          </w:tcPr>
          <w:p w14:paraId="749F625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指标名称</w:t>
            </w:r>
          </w:p>
        </w:tc>
        <w:tc>
          <w:tcPr>
            <w:tcW w:w="1155" w:type="dxa"/>
            <w:tcBorders>
              <w:top w:val="single" w:color="auto" w:sz="4" w:space="0"/>
              <w:left w:val="nil"/>
              <w:bottom w:val="single" w:color="auto" w:sz="4" w:space="0"/>
              <w:right w:val="single" w:color="auto" w:sz="4" w:space="0"/>
            </w:tcBorders>
            <w:noWrap w:val="0"/>
            <w:vAlign w:val="center"/>
          </w:tcPr>
          <w:p w14:paraId="2ADCA21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计量单位</w:t>
            </w:r>
          </w:p>
        </w:tc>
        <w:tc>
          <w:tcPr>
            <w:tcW w:w="2073" w:type="dxa"/>
            <w:tcBorders>
              <w:top w:val="single" w:color="auto" w:sz="4" w:space="0"/>
              <w:left w:val="nil"/>
              <w:bottom w:val="single" w:color="auto" w:sz="4" w:space="0"/>
              <w:right w:val="single" w:color="auto" w:sz="4" w:space="0"/>
            </w:tcBorders>
            <w:noWrap w:val="0"/>
            <w:vAlign w:val="center"/>
          </w:tcPr>
          <w:p w14:paraId="47F1E58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中型</w:t>
            </w:r>
          </w:p>
        </w:tc>
        <w:tc>
          <w:tcPr>
            <w:tcW w:w="1649" w:type="dxa"/>
            <w:tcBorders>
              <w:top w:val="single" w:color="auto" w:sz="4" w:space="0"/>
              <w:left w:val="nil"/>
              <w:bottom w:val="single" w:color="auto" w:sz="4" w:space="0"/>
              <w:right w:val="single" w:color="auto" w:sz="4" w:space="0"/>
            </w:tcBorders>
            <w:noWrap w:val="0"/>
            <w:vAlign w:val="center"/>
          </w:tcPr>
          <w:p w14:paraId="643DC64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小型</w:t>
            </w:r>
          </w:p>
        </w:tc>
        <w:tc>
          <w:tcPr>
            <w:tcW w:w="1070" w:type="dxa"/>
            <w:tcBorders>
              <w:top w:val="single" w:color="auto" w:sz="4" w:space="0"/>
              <w:left w:val="nil"/>
              <w:bottom w:val="single" w:color="auto" w:sz="4" w:space="0"/>
              <w:right w:val="single" w:color="auto" w:sz="4" w:space="0"/>
            </w:tcBorders>
            <w:noWrap w:val="0"/>
            <w:vAlign w:val="center"/>
          </w:tcPr>
          <w:p w14:paraId="185489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微型</w:t>
            </w:r>
          </w:p>
        </w:tc>
      </w:tr>
      <w:tr w14:paraId="1FCAC49B">
        <w:tblPrEx>
          <w:tblCellMar>
            <w:top w:w="0" w:type="dxa"/>
            <w:left w:w="108" w:type="dxa"/>
            <w:bottom w:w="0" w:type="dxa"/>
            <w:right w:w="108" w:type="dxa"/>
          </w:tblCellMar>
        </w:tblPrEx>
        <w:trPr>
          <w:trHeight w:val="510" w:hRule="atLeast"/>
          <w:jc w:val="center"/>
        </w:trPr>
        <w:tc>
          <w:tcPr>
            <w:tcW w:w="1230" w:type="dxa"/>
            <w:tcBorders>
              <w:top w:val="nil"/>
              <w:left w:val="single" w:color="auto" w:sz="4" w:space="0"/>
              <w:bottom w:val="single" w:color="auto" w:sz="4" w:space="0"/>
              <w:right w:val="single" w:color="auto" w:sz="4" w:space="0"/>
            </w:tcBorders>
            <w:noWrap w:val="0"/>
            <w:vAlign w:val="center"/>
          </w:tcPr>
          <w:p w14:paraId="7D83B92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农、林、牧、渔</w:t>
            </w:r>
          </w:p>
        </w:tc>
        <w:tc>
          <w:tcPr>
            <w:tcW w:w="1440" w:type="dxa"/>
            <w:tcBorders>
              <w:top w:val="nil"/>
              <w:left w:val="nil"/>
              <w:bottom w:val="single" w:color="auto" w:sz="4" w:space="0"/>
              <w:right w:val="single" w:color="auto" w:sz="4" w:space="0"/>
            </w:tcBorders>
            <w:noWrap w:val="0"/>
            <w:vAlign w:val="center"/>
          </w:tcPr>
          <w:p w14:paraId="714F523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4F8A158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0837C47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500≤Y＜20000</w:t>
            </w:r>
          </w:p>
        </w:tc>
        <w:tc>
          <w:tcPr>
            <w:tcW w:w="1649" w:type="dxa"/>
            <w:tcBorders>
              <w:top w:val="nil"/>
              <w:left w:val="nil"/>
              <w:bottom w:val="single" w:color="auto" w:sz="4" w:space="0"/>
              <w:right w:val="single" w:color="auto" w:sz="4" w:space="0"/>
            </w:tcBorders>
            <w:noWrap w:val="0"/>
            <w:vAlign w:val="center"/>
          </w:tcPr>
          <w:p w14:paraId="5D9E6C3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50≤Y＜500</w:t>
            </w:r>
          </w:p>
        </w:tc>
        <w:tc>
          <w:tcPr>
            <w:tcW w:w="1070" w:type="dxa"/>
            <w:tcBorders>
              <w:top w:val="nil"/>
              <w:left w:val="nil"/>
              <w:bottom w:val="single" w:color="auto" w:sz="4" w:space="0"/>
              <w:right w:val="single" w:color="auto" w:sz="4" w:space="0"/>
            </w:tcBorders>
            <w:noWrap w:val="0"/>
            <w:vAlign w:val="center"/>
          </w:tcPr>
          <w:p w14:paraId="50D8FEF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Y＜50</w:t>
            </w:r>
          </w:p>
        </w:tc>
      </w:tr>
      <w:tr w14:paraId="3DA6B3CD">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55B0020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工业</w:t>
            </w:r>
          </w:p>
        </w:tc>
        <w:tc>
          <w:tcPr>
            <w:tcW w:w="1440" w:type="dxa"/>
            <w:tcBorders>
              <w:top w:val="nil"/>
              <w:left w:val="nil"/>
              <w:bottom w:val="single" w:color="auto" w:sz="4" w:space="0"/>
              <w:right w:val="single" w:color="auto" w:sz="4" w:space="0"/>
            </w:tcBorders>
            <w:noWrap w:val="0"/>
            <w:vAlign w:val="center"/>
          </w:tcPr>
          <w:p w14:paraId="153538F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2BE03E2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1C5A55B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300≤X＜1000</w:t>
            </w:r>
          </w:p>
        </w:tc>
        <w:tc>
          <w:tcPr>
            <w:tcW w:w="1649" w:type="dxa"/>
            <w:tcBorders>
              <w:top w:val="nil"/>
              <w:left w:val="nil"/>
              <w:bottom w:val="single" w:color="auto" w:sz="4" w:space="0"/>
              <w:right w:val="single" w:color="auto" w:sz="4" w:space="0"/>
            </w:tcBorders>
            <w:noWrap w:val="0"/>
            <w:vAlign w:val="center"/>
          </w:tcPr>
          <w:p w14:paraId="77D1388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20≤X＜300</w:t>
            </w:r>
          </w:p>
        </w:tc>
        <w:tc>
          <w:tcPr>
            <w:tcW w:w="1070" w:type="dxa"/>
            <w:tcBorders>
              <w:top w:val="nil"/>
              <w:left w:val="nil"/>
              <w:bottom w:val="single" w:color="auto" w:sz="4" w:space="0"/>
              <w:right w:val="single" w:color="auto" w:sz="4" w:space="0"/>
            </w:tcBorders>
            <w:noWrap w:val="0"/>
            <w:vAlign w:val="center"/>
          </w:tcPr>
          <w:p w14:paraId="5B28377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w:t>
            </w:r>
          </w:p>
        </w:tc>
      </w:tr>
      <w:tr w14:paraId="32DDD38B">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71404CF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6DFAE05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3C8537F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0103CF7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2000≤Y＜40000</w:t>
            </w:r>
          </w:p>
        </w:tc>
        <w:tc>
          <w:tcPr>
            <w:tcW w:w="1649" w:type="dxa"/>
            <w:tcBorders>
              <w:top w:val="nil"/>
              <w:left w:val="nil"/>
              <w:bottom w:val="single" w:color="auto" w:sz="4" w:space="0"/>
              <w:right w:val="single" w:color="auto" w:sz="4" w:space="0"/>
            </w:tcBorders>
            <w:noWrap w:val="0"/>
            <w:vAlign w:val="center"/>
          </w:tcPr>
          <w:p w14:paraId="750B9DA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300≤Y＜2000</w:t>
            </w:r>
          </w:p>
        </w:tc>
        <w:tc>
          <w:tcPr>
            <w:tcW w:w="1070" w:type="dxa"/>
            <w:tcBorders>
              <w:top w:val="nil"/>
              <w:left w:val="nil"/>
              <w:bottom w:val="single" w:color="auto" w:sz="4" w:space="0"/>
              <w:right w:val="single" w:color="auto" w:sz="4" w:space="0"/>
            </w:tcBorders>
            <w:noWrap w:val="0"/>
            <w:vAlign w:val="center"/>
          </w:tcPr>
          <w:p w14:paraId="4C99C0C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Y＜300</w:t>
            </w:r>
          </w:p>
        </w:tc>
      </w:tr>
      <w:tr w14:paraId="43317A81">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211E813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建筑业</w:t>
            </w:r>
          </w:p>
        </w:tc>
        <w:tc>
          <w:tcPr>
            <w:tcW w:w="1440" w:type="dxa"/>
            <w:tcBorders>
              <w:top w:val="nil"/>
              <w:left w:val="nil"/>
              <w:bottom w:val="single" w:color="auto" w:sz="4" w:space="0"/>
              <w:right w:val="single" w:color="auto" w:sz="4" w:space="0"/>
            </w:tcBorders>
            <w:noWrap w:val="0"/>
            <w:vAlign w:val="center"/>
          </w:tcPr>
          <w:p w14:paraId="2072C62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33628BF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4955E54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6000≤Y＜80000</w:t>
            </w:r>
          </w:p>
        </w:tc>
        <w:tc>
          <w:tcPr>
            <w:tcW w:w="1649" w:type="dxa"/>
            <w:tcBorders>
              <w:top w:val="nil"/>
              <w:left w:val="nil"/>
              <w:bottom w:val="single" w:color="auto" w:sz="4" w:space="0"/>
              <w:right w:val="single" w:color="auto" w:sz="4" w:space="0"/>
            </w:tcBorders>
            <w:noWrap w:val="0"/>
            <w:vAlign w:val="center"/>
          </w:tcPr>
          <w:p w14:paraId="79D9B5F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300≤Y＜6000</w:t>
            </w:r>
          </w:p>
        </w:tc>
        <w:tc>
          <w:tcPr>
            <w:tcW w:w="1070" w:type="dxa"/>
            <w:tcBorders>
              <w:top w:val="nil"/>
              <w:left w:val="nil"/>
              <w:bottom w:val="single" w:color="auto" w:sz="4" w:space="0"/>
              <w:right w:val="single" w:color="auto" w:sz="4" w:space="0"/>
            </w:tcBorders>
            <w:noWrap w:val="0"/>
            <w:vAlign w:val="center"/>
          </w:tcPr>
          <w:p w14:paraId="1D2596C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Y＜300</w:t>
            </w:r>
          </w:p>
        </w:tc>
      </w:tr>
      <w:tr w14:paraId="301294DB">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07D79AF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7909B8D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资产总额（Z）</w:t>
            </w:r>
          </w:p>
        </w:tc>
        <w:tc>
          <w:tcPr>
            <w:tcW w:w="1155" w:type="dxa"/>
            <w:tcBorders>
              <w:top w:val="nil"/>
              <w:left w:val="nil"/>
              <w:bottom w:val="single" w:color="auto" w:sz="4" w:space="0"/>
              <w:right w:val="single" w:color="auto" w:sz="4" w:space="0"/>
            </w:tcBorders>
            <w:noWrap w:val="0"/>
            <w:vAlign w:val="center"/>
          </w:tcPr>
          <w:p w14:paraId="7E54BFE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7B10F9F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5000≤Z＜80000</w:t>
            </w:r>
          </w:p>
        </w:tc>
        <w:tc>
          <w:tcPr>
            <w:tcW w:w="1649" w:type="dxa"/>
            <w:tcBorders>
              <w:top w:val="nil"/>
              <w:left w:val="nil"/>
              <w:bottom w:val="single" w:color="auto" w:sz="4" w:space="0"/>
              <w:right w:val="single" w:color="auto" w:sz="4" w:space="0"/>
            </w:tcBorders>
            <w:noWrap w:val="0"/>
            <w:vAlign w:val="center"/>
          </w:tcPr>
          <w:p w14:paraId="7C84673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300≤Z＜5000</w:t>
            </w:r>
          </w:p>
        </w:tc>
        <w:tc>
          <w:tcPr>
            <w:tcW w:w="1070" w:type="dxa"/>
            <w:tcBorders>
              <w:top w:val="nil"/>
              <w:left w:val="nil"/>
              <w:bottom w:val="single" w:color="auto" w:sz="4" w:space="0"/>
              <w:right w:val="single" w:color="auto" w:sz="4" w:space="0"/>
            </w:tcBorders>
            <w:noWrap w:val="0"/>
            <w:vAlign w:val="center"/>
          </w:tcPr>
          <w:p w14:paraId="3869688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Z＜300</w:t>
            </w:r>
          </w:p>
        </w:tc>
      </w:tr>
      <w:tr w14:paraId="1C184514">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780D14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批发业</w:t>
            </w:r>
          </w:p>
        </w:tc>
        <w:tc>
          <w:tcPr>
            <w:tcW w:w="1440" w:type="dxa"/>
            <w:tcBorders>
              <w:top w:val="nil"/>
              <w:left w:val="nil"/>
              <w:bottom w:val="single" w:color="auto" w:sz="4" w:space="0"/>
              <w:right w:val="single" w:color="auto" w:sz="4" w:space="0"/>
            </w:tcBorders>
            <w:noWrap w:val="0"/>
            <w:vAlign w:val="center"/>
          </w:tcPr>
          <w:p w14:paraId="5ABB5F0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67E5D55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07F65F3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20≤X＜200</w:t>
            </w:r>
          </w:p>
        </w:tc>
        <w:tc>
          <w:tcPr>
            <w:tcW w:w="1649" w:type="dxa"/>
            <w:tcBorders>
              <w:top w:val="nil"/>
              <w:left w:val="nil"/>
              <w:bottom w:val="single" w:color="auto" w:sz="4" w:space="0"/>
              <w:right w:val="single" w:color="auto" w:sz="4" w:space="0"/>
            </w:tcBorders>
            <w:noWrap w:val="0"/>
            <w:vAlign w:val="center"/>
          </w:tcPr>
          <w:p w14:paraId="796C76E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5≤X＜20</w:t>
            </w:r>
          </w:p>
        </w:tc>
        <w:tc>
          <w:tcPr>
            <w:tcW w:w="1070" w:type="dxa"/>
            <w:tcBorders>
              <w:top w:val="nil"/>
              <w:left w:val="nil"/>
              <w:bottom w:val="single" w:color="auto" w:sz="4" w:space="0"/>
              <w:right w:val="single" w:color="auto" w:sz="4" w:space="0"/>
            </w:tcBorders>
            <w:noWrap w:val="0"/>
            <w:vAlign w:val="center"/>
          </w:tcPr>
          <w:p w14:paraId="6F1D613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X＜5</w:t>
            </w:r>
          </w:p>
        </w:tc>
      </w:tr>
      <w:tr w14:paraId="5D0D9070">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58FE116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5D0D314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16BB40F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5801114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5000≤Y＜40000</w:t>
            </w:r>
          </w:p>
        </w:tc>
        <w:tc>
          <w:tcPr>
            <w:tcW w:w="1649" w:type="dxa"/>
            <w:tcBorders>
              <w:top w:val="nil"/>
              <w:left w:val="nil"/>
              <w:bottom w:val="single" w:color="auto" w:sz="4" w:space="0"/>
              <w:right w:val="single" w:color="auto" w:sz="4" w:space="0"/>
            </w:tcBorders>
            <w:noWrap w:val="0"/>
            <w:vAlign w:val="center"/>
          </w:tcPr>
          <w:p w14:paraId="1403C61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1000≤Y＜5000</w:t>
            </w:r>
          </w:p>
        </w:tc>
        <w:tc>
          <w:tcPr>
            <w:tcW w:w="1070" w:type="dxa"/>
            <w:tcBorders>
              <w:top w:val="nil"/>
              <w:left w:val="nil"/>
              <w:bottom w:val="single" w:color="auto" w:sz="4" w:space="0"/>
              <w:right w:val="single" w:color="auto" w:sz="4" w:space="0"/>
            </w:tcBorders>
            <w:noWrap w:val="0"/>
            <w:vAlign w:val="center"/>
          </w:tcPr>
          <w:p w14:paraId="01EA0A5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Y＜1000</w:t>
            </w:r>
          </w:p>
        </w:tc>
      </w:tr>
      <w:tr w14:paraId="2F0004C2">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1E00B50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零售业</w:t>
            </w:r>
          </w:p>
        </w:tc>
        <w:tc>
          <w:tcPr>
            <w:tcW w:w="1440" w:type="dxa"/>
            <w:tcBorders>
              <w:top w:val="nil"/>
              <w:left w:val="nil"/>
              <w:bottom w:val="single" w:color="auto" w:sz="4" w:space="0"/>
              <w:right w:val="single" w:color="auto" w:sz="4" w:space="0"/>
            </w:tcBorders>
            <w:noWrap w:val="0"/>
            <w:vAlign w:val="center"/>
          </w:tcPr>
          <w:p w14:paraId="3BD1D9B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7E93D67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14586E6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50≤X＜300</w:t>
            </w:r>
          </w:p>
        </w:tc>
        <w:tc>
          <w:tcPr>
            <w:tcW w:w="1649" w:type="dxa"/>
            <w:tcBorders>
              <w:top w:val="nil"/>
              <w:left w:val="nil"/>
              <w:bottom w:val="single" w:color="auto" w:sz="4" w:space="0"/>
              <w:right w:val="single" w:color="auto" w:sz="4" w:space="0"/>
            </w:tcBorders>
            <w:noWrap w:val="0"/>
            <w:vAlign w:val="center"/>
          </w:tcPr>
          <w:p w14:paraId="4FA79FA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10≤X＜50</w:t>
            </w:r>
          </w:p>
        </w:tc>
        <w:tc>
          <w:tcPr>
            <w:tcW w:w="1070" w:type="dxa"/>
            <w:tcBorders>
              <w:top w:val="nil"/>
              <w:left w:val="nil"/>
              <w:bottom w:val="single" w:color="auto" w:sz="4" w:space="0"/>
              <w:right w:val="single" w:color="auto" w:sz="4" w:space="0"/>
            </w:tcBorders>
            <w:noWrap w:val="0"/>
            <w:vAlign w:val="center"/>
          </w:tcPr>
          <w:p w14:paraId="5F4B169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6E69449C">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144D939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319073E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443C978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0C4A28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500≤Y＜20000</w:t>
            </w:r>
          </w:p>
        </w:tc>
        <w:tc>
          <w:tcPr>
            <w:tcW w:w="1649" w:type="dxa"/>
            <w:tcBorders>
              <w:top w:val="nil"/>
              <w:left w:val="nil"/>
              <w:bottom w:val="single" w:color="auto" w:sz="4" w:space="0"/>
              <w:right w:val="single" w:color="auto" w:sz="4" w:space="0"/>
            </w:tcBorders>
            <w:noWrap w:val="0"/>
            <w:vAlign w:val="center"/>
          </w:tcPr>
          <w:p w14:paraId="2150A67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100≤Y＜500</w:t>
            </w:r>
          </w:p>
        </w:tc>
        <w:tc>
          <w:tcPr>
            <w:tcW w:w="1070" w:type="dxa"/>
            <w:tcBorders>
              <w:top w:val="nil"/>
              <w:left w:val="nil"/>
              <w:bottom w:val="single" w:color="auto" w:sz="4" w:space="0"/>
              <w:right w:val="single" w:color="auto" w:sz="4" w:space="0"/>
            </w:tcBorders>
            <w:noWrap w:val="0"/>
            <w:vAlign w:val="center"/>
          </w:tcPr>
          <w:p w14:paraId="0AE2FD8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50894C61">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5CF57CC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交通运输业</w:t>
            </w:r>
          </w:p>
        </w:tc>
        <w:tc>
          <w:tcPr>
            <w:tcW w:w="1440" w:type="dxa"/>
            <w:tcBorders>
              <w:top w:val="nil"/>
              <w:left w:val="nil"/>
              <w:bottom w:val="single" w:color="auto" w:sz="4" w:space="0"/>
              <w:right w:val="single" w:color="auto" w:sz="4" w:space="0"/>
            </w:tcBorders>
            <w:noWrap w:val="0"/>
            <w:vAlign w:val="center"/>
          </w:tcPr>
          <w:p w14:paraId="265513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3F0BAA6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705D1B4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300≤X＜1000</w:t>
            </w:r>
          </w:p>
        </w:tc>
        <w:tc>
          <w:tcPr>
            <w:tcW w:w="1649" w:type="dxa"/>
            <w:tcBorders>
              <w:top w:val="nil"/>
              <w:left w:val="nil"/>
              <w:bottom w:val="single" w:color="auto" w:sz="4" w:space="0"/>
              <w:right w:val="single" w:color="auto" w:sz="4" w:space="0"/>
            </w:tcBorders>
            <w:noWrap w:val="0"/>
            <w:vAlign w:val="center"/>
          </w:tcPr>
          <w:p w14:paraId="54C98DC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20≤X＜300</w:t>
            </w:r>
          </w:p>
        </w:tc>
        <w:tc>
          <w:tcPr>
            <w:tcW w:w="1070" w:type="dxa"/>
            <w:tcBorders>
              <w:top w:val="nil"/>
              <w:left w:val="nil"/>
              <w:bottom w:val="single" w:color="auto" w:sz="4" w:space="0"/>
              <w:right w:val="single" w:color="auto" w:sz="4" w:space="0"/>
            </w:tcBorders>
            <w:noWrap w:val="0"/>
            <w:vAlign w:val="center"/>
          </w:tcPr>
          <w:p w14:paraId="1B0D5B9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w:t>
            </w:r>
          </w:p>
        </w:tc>
      </w:tr>
      <w:tr w14:paraId="6660947C">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120C0BB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1AE5965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1C7F81C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202062C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3000≤Y＜30000</w:t>
            </w:r>
          </w:p>
        </w:tc>
        <w:tc>
          <w:tcPr>
            <w:tcW w:w="1649" w:type="dxa"/>
            <w:tcBorders>
              <w:top w:val="nil"/>
              <w:left w:val="nil"/>
              <w:bottom w:val="single" w:color="auto" w:sz="4" w:space="0"/>
              <w:right w:val="single" w:color="auto" w:sz="4" w:space="0"/>
            </w:tcBorders>
            <w:noWrap w:val="0"/>
            <w:vAlign w:val="center"/>
          </w:tcPr>
          <w:p w14:paraId="6C35323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200≤Y＜3000</w:t>
            </w:r>
          </w:p>
        </w:tc>
        <w:tc>
          <w:tcPr>
            <w:tcW w:w="1070" w:type="dxa"/>
            <w:tcBorders>
              <w:top w:val="nil"/>
              <w:left w:val="nil"/>
              <w:bottom w:val="single" w:color="auto" w:sz="4" w:space="0"/>
              <w:right w:val="single" w:color="auto" w:sz="4" w:space="0"/>
            </w:tcBorders>
            <w:noWrap w:val="0"/>
            <w:vAlign w:val="center"/>
          </w:tcPr>
          <w:p w14:paraId="5450743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Y＜200</w:t>
            </w:r>
          </w:p>
        </w:tc>
      </w:tr>
      <w:tr w14:paraId="03E14798">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7996499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仓储业</w:t>
            </w:r>
          </w:p>
        </w:tc>
        <w:tc>
          <w:tcPr>
            <w:tcW w:w="1440" w:type="dxa"/>
            <w:tcBorders>
              <w:top w:val="nil"/>
              <w:left w:val="nil"/>
              <w:bottom w:val="single" w:color="auto" w:sz="4" w:space="0"/>
              <w:right w:val="single" w:color="auto" w:sz="4" w:space="0"/>
            </w:tcBorders>
            <w:noWrap w:val="0"/>
            <w:vAlign w:val="center"/>
          </w:tcPr>
          <w:p w14:paraId="33468E4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1E76515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4E006B4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100≤X＜200</w:t>
            </w:r>
          </w:p>
        </w:tc>
        <w:tc>
          <w:tcPr>
            <w:tcW w:w="1649" w:type="dxa"/>
            <w:tcBorders>
              <w:top w:val="nil"/>
              <w:left w:val="nil"/>
              <w:bottom w:val="single" w:color="auto" w:sz="4" w:space="0"/>
              <w:right w:val="single" w:color="auto" w:sz="4" w:space="0"/>
            </w:tcBorders>
            <w:noWrap w:val="0"/>
            <w:vAlign w:val="center"/>
          </w:tcPr>
          <w:p w14:paraId="0A4903A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20≤X＜100</w:t>
            </w:r>
          </w:p>
        </w:tc>
        <w:tc>
          <w:tcPr>
            <w:tcW w:w="1070" w:type="dxa"/>
            <w:tcBorders>
              <w:top w:val="nil"/>
              <w:left w:val="nil"/>
              <w:bottom w:val="single" w:color="auto" w:sz="4" w:space="0"/>
              <w:right w:val="single" w:color="auto" w:sz="4" w:space="0"/>
            </w:tcBorders>
            <w:noWrap w:val="0"/>
            <w:vAlign w:val="center"/>
          </w:tcPr>
          <w:p w14:paraId="3FE1D6F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w:t>
            </w:r>
          </w:p>
        </w:tc>
      </w:tr>
      <w:tr w14:paraId="4A0F24EC">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6413B94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271923A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3879897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5F85539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1000≤Y＜30000</w:t>
            </w:r>
          </w:p>
        </w:tc>
        <w:tc>
          <w:tcPr>
            <w:tcW w:w="1649" w:type="dxa"/>
            <w:tcBorders>
              <w:top w:val="nil"/>
              <w:left w:val="nil"/>
              <w:bottom w:val="single" w:color="auto" w:sz="4" w:space="0"/>
              <w:right w:val="single" w:color="auto" w:sz="4" w:space="0"/>
            </w:tcBorders>
            <w:noWrap w:val="0"/>
            <w:vAlign w:val="center"/>
          </w:tcPr>
          <w:p w14:paraId="5F81C19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100≤Y＜1000</w:t>
            </w:r>
          </w:p>
        </w:tc>
        <w:tc>
          <w:tcPr>
            <w:tcW w:w="1070" w:type="dxa"/>
            <w:tcBorders>
              <w:top w:val="nil"/>
              <w:left w:val="nil"/>
              <w:bottom w:val="single" w:color="auto" w:sz="4" w:space="0"/>
              <w:right w:val="single" w:color="auto" w:sz="4" w:space="0"/>
            </w:tcBorders>
            <w:noWrap w:val="0"/>
            <w:vAlign w:val="center"/>
          </w:tcPr>
          <w:p w14:paraId="247878E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495F0B5A">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2A4472C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邮政业</w:t>
            </w:r>
          </w:p>
        </w:tc>
        <w:tc>
          <w:tcPr>
            <w:tcW w:w="1440" w:type="dxa"/>
            <w:tcBorders>
              <w:top w:val="nil"/>
              <w:left w:val="nil"/>
              <w:bottom w:val="single" w:color="auto" w:sz="4" w:space="0"/>
              <w:right w:val="single" w:color="auto" w:sz="4" w:space="0"/>
            </w:tcBorders>
            <w:noWrap w:val="0"/>
            <w:vAlign w:val="center"/>
          </w:tcPr>
          <w:p w14:paraId="5E41FC0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4B92CF3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6FCAD53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300≤X＜1000</w:t>
            </w:r>
          </w:p>
        </w:tc>
        <w:tc>
          <w:tcPr>
            <w:tcW w:w="1649" w:type="dxa"/>
            <w:tcBorders>
              <w:top w:val="nil"/>
              <w:left w:val="nil"/>
              <w:bottom w:val="single" w:color="auto" w:sz="4" w:space="0"/>
              <w:right w:val="single" w:color="auto" w:sz="4" w:space="0"/>
            </w:tcBorders>
            <w:noWrap w:val="0"/>
            <w:vAlign w:val="center"/>
          </w:tcPr>
          <w:p w14:paraId="0226316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20≤X＜300</w:t>
            </w:r>
          </w:p>
        </w:tc>
        <w:tc>
          <w:tcPr>
            <w:tcW w:w="1070" w:type="dxa"/>
            <w:tcBorders>
              <w:top w:val="nil"/>
              <w:left w:val="nil"/>
              <w:bottom w:val="single" w:color="auto" w:sz="4" w:space="0"/>
              <w:right w:val="single" w:color="auto" w:sz="4" w:space="0"/>
            </w:tcBorders>
            <w:noWrap w:val="0"/>
            <w:vAlign w:val="center"/>
          </w:tcPr>
          <w:p w14:paraId="7A6658F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X＜20</w:t>
            </w:r>
          </w:p>
        </w:tc>
      </w:tr>
      <w:tr w14:paraId="43B0D5B6">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474A7A4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250CB3C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2301902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743552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2000≤Y＜30000</w:t>
            </w:r>
          </w:p>
        </w:tc>
        <w:tc>
          <w:tcPr>
            <w:tcW w:w="1649" w:type="dxa"/>
            <w:tcBorders>
              <w:top w:val="nil"/>
              <w:left w:val="nil"/>
              <w:bottom w:val="single" w:color="auto" w:sz="4" w:space="0"/>
              <w:right w:val="single" w:color="auto" w:sz="4" w:space="0"/>
            </w:tcBorders>
            <w:noWrap w:val="0"/>
            <w:vAlign w:val="center"/>
          </w:tcPr>
          <w:p w14:paraId="6126EAF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100≤Y＜2000</w:t>
            </w:r>
          </w:p>
        </w:tc>
        <w:tc>
          <w:tcPr>
            <w:tcW w:w="1070" w:type="dxa"/>
            <w:tcBorders>
              <w:top w:val="nil"/>
              <w:left w:val="nil"/>
              <w:bottom w:val="single" w:color="auto" w:sz="4" w:space="0"/>
              <w:right w:val="single" w:color="auto" w:sz="4" w:space="0"/>
            </w:tcBorders>
            <w:noWrap w:val="0"/>
            <w:vAlign w:val="center"/>
          </w:tcPr>
          <w:p w14:paraId="01187BD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40AB8643">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1030E67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住宿业</w:t>
            </w:r>
          </w:p>
        </w:tc>
        <w:tc>
          <w:tcPr>
            <w:tcW w:w="1440" w:type="dxa"/>
            <w:tcBorders>
              <w:top w:val="nil"/>
              <w:left w:val="nil"/>
              <w:bottom w:val="single" w:color="auto" w:sz="4" w:space="0"/>
              <w:right w:val="single" w:color="auto" w:sz="4" w:space="0"/>
            </w:tcBorders>
            <w:noWrap w:val="0"/>
            <w:vAlign w:val="center"/>
          </w:tcPr>
          <w:p w14:paraId="196C449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3F8B1EC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0765074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100≤X＜300</w:t>
            </w:r>
          </w:p>
        </w:tc>
        <w:tc>
          <w:tcPr>
            <w:tcW w:w="1649" w:type="dxa"/>
            <w:tcBorders>
              <w:top w:val="nil"/>
              <w:left w:val="nil"/>
              <w:bottom w:val="single" w:color="auto" w:sz="4" w:space="0"/>
              <w:right w:val="single" w:color="auto" w:sz="4" w:space="0"/>
            </w:tcBorders>
            <w:noWrap w:val="0"/>
            <w:vAlign w:val="center"/>
          </w:tcPr>
          <w:p w14:paraId="2E0B064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10≤X＜100</w:t>
            </w:r>
          </w:p>
        </w:tc>
        <w:tc>
          <w:tcPr>
            <w:tcW w:w="1070" w:type="dxa"/>
            <w:tcBorders>
              <w:top w:val="nil"/>
              <w:left w:val="nil"/>
              <w:bottom w:val="single" w:color="auto" w:sz="4" w:space="0"/>
              <w:right w:val="single" w:color="auto" w:sz="4" w:space="0"/>
            </w:tcBorders>
            <w:noWrap w:val="0"/>
            <w:vAlign w:val="center"/>
          </w:tcPr>
          <w:p w14:paraId="2F9BC61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5D77960A">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12687DE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06E0A38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18955F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396E38F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2000≤Y＜10000</w:t>
            </w:r>
          </w:p>
        </w:tc>
        <w:tc>
          <w:tcPr>
            <w:tcW w:w="1649" w:type="dxa"/>
            <w:tcBorders>
              <w:top w:val="nil"/>
              <w:left w:val="nil"/>
              <w:bottom w:val="single" w:color="auto" w:sz="4" w:space="0"/>
              <w:right w:val="single" w:color="auto" w:sz="4" w:space="0"/>
            </w:tcBorders>
            <w:noWrap w:val="0"/>
            <w:vAlign w:val="center"/>
          </w:tcPr>
          <w:p w14:paraId="2114E5F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100≤Y＜2000</w:t>
            </w:r>
          </w:p>
        </w:tc>
        <w:tc>
          <w:tcPr>
            <w:tcW w:w="1070" w:type="dxa"/>
            <w:tcBorders>
              <w:top w:val="nil"/>
              <w:left w:val="nil"/>
              <w:bottom w:val="single" w:color="auto" w:sz="4" w:space="0"/>
              <w:right w:val="single" w:color="auto" w:sz="4" w:space="0"/>
            </w:tcBorders>
            <w:noWrap w:val="0"/>
            <w:vAlign w:val="center"/>
          </w:tcPr>
          <w:p w14:paraId="130BD67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65A69115">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3865CAD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餐饮业</w:t>
            </w:r>
          </w:p>
        </w:tc>
        <w:tc>
          <w:tcPr>
            <w:tcW w:w="1440" w:type="dxa"/>
            <w:tcBorders>
              <w:top w:val="nil"/>
              <w:left w:val="nil"/>
              <w:bottom w:val="single" w:color="auto" w:sz="4" w:space="0"/>
              <w:right w:val="single" w:color="auto" w:sz="4" w:space="0"/>
            </w:tcBorders>
            <w:noWrap w:val="0"/>
            <w:vAlign w:val="center"/>
          </w:tcPr>
          <w:p w14:paraId="2C00DFE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48041F4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6638D1E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100≤X＜300</w:t>
            </w:r>
          </w:p>
        </w:tc>
        <w:tc>
          <w:tcPr>
            <w:tcW w:w="1649" w:type="dxa"/>
            <w:tcBorders>
              <w:top w:val="nil"/>
              <w:left w:val="nil"/>
              <w:bottom w:val="single" w:color="auto" w:sz="4" w:space="0"/>
              <w:right w:val="single" w:color="auto" w:sz="4" w:space="0"/>
            </w:tcBorders>
            <w:noWrap w:val="0"/>
            <w:vAlign w:val="center"/>
          </w:tcPr>
          <w:p w14:paraId="777DCAC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10≤X＜100</w:t>
            </w:r>
          </w:p>
        </w:tc>
        <w:tc>
          <w:tcPr>
            <w:tcW w:w="1070" w:type="dxa"/>
            <w:tcBorders>
              <w:top w:val="nil"/>
              <w:left w:val="nil"/>
              <w:bottom w:val="single" w:color="auto" w:sz="4" w:space="0"/>
              <w:right w:val="single" w:color="auto" w:sz="4" w:space="0"/>
            </w:tcBorders>
            <w:noWrap w:val="0"/>
            <w:vAlign w:val="center"/>
          </w:tcPr>
          <w:p w14:paraId="24304A7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7F802734">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0C0EA5E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0C381E3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57B47E9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385E42B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2000≤Y＜10000</w:t>
            </w:r>
          </w:p>
        </w:tc>
        <w:tc>
          <w:tcPr>
            <w:tcW w:w="1649" w:type="dxa"/>
            <w:tcBorders>
              <w:top w:val="nil"/>
              <w:left w:val="nil"/>
              <w:bottom w:val="single" w:color="auto" w:sz="4" w:space="0"/>
              <w:right w:val="single" w:color="auto" w:sz="4" w:space="0"/>
            </w:tcBorders>
            <w:noWrap w:val="0"/>
            <w:vAlign w:val="center"/>
          </w:tcPr>
          <w:p w14:paraId="1A071F0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100≤Y＜2000</w:t>
            </w:r>
          </w:p>
        </w:tc>
        <w:tc>
          <w:tcPr>
            <w:tcW w:w="1070" w:type="dxa"/>
            <w:tcBorders>
              <w:top w:val="nil"/>
              <w:left w:val="nil"/>
              <w:bottom w:val="single" w:color="auto" w:sz="4" w:space="0"/>
              <w:right w:val="single" w:color="auto" w:sz="4" w:space="0"/>
            </w:tcBorders>
            <w:noWrap w:val="0"/>
            <w:vAlign w:val="center"/>
          </w:tcPr>
          <w:p w14:paraId="24B87E0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23938CF9">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5C58FBC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信息传输业</w:t>
            </w:r>
          </w:p>
        </w:tc>
        <w:tc>
          <w:tcPr>
            <w:tcW w:w="1440" w:type="dxa"/>
            <w:tcBorders>
              <w:top w:val="nil"/>
              <w:left w:val="nil"/>
              <w:bottom w:val="single" w:color="auto" w:sz="4" w:space="0"/>
              <w:right w:val="single" w:color="auto" w:sz="4" w:space="0"/>
            </w:tcBorders>
            <w:noWrap w:val="0"/>
            <w:vAlign w:val="center"/>
          </w:tcPr>
          <w:p w14:paraId="44EDCD3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0F81E99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7496F3C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100≤X＜2000</w:t>
            </w:r>
          </w:p>
        </w:tc>
        <w:tc>
          <w:tcPr>
            <w:tcW w:w="1649" w:type="dxa"/>
            <w:tcBorders>
              <w:top w:val="nil"/>
              <w:left w:val="nil"/>
              <w:bottom w:val="single" w:color="auto" w:sz="4" w:space="0"/>
              <w:right w:val="single" w:color="auto" w:sz="4" w:space="0"/>
            </w:tcBorders>
            <w:noWrap w:val="0"/>
            <w:vAlign w:val="center"/>
          </w:tcPr>
          <w:p w14:paraId="7F31E6F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10≤X＜100</w:t>
            </w:r>
          </w:p>
        </w:tc>
        <w:tc>
          <w:tcPr>
            <w:tcW w:w="1070" w:type="dxa"/>
            <w:tcBorders>
              <w:top w:val="nil"/>
              <w:left w:val="nil"/>
              <w:bottom w:val="single" w:color="auto" w:sz="4" w:space="0"/>
              <w:right w:val="single" w:color="auto" w:sz="4" w:space="0"/>
            </w:tcBorders>
            <w:noWrap w:val="0"/>
            <w:vAlign w:val="center"/>
          </w:tcPr>
          <w:p w14:paraId="2F66DB1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7AFAB110">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2F7F03A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366CEA9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2C9F3AB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2EC4E20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1000≤Y＜100000</w:t>
            </w:r>
          </w:p>
        </w:tc>
        <w:tc>
          <w:tcPr>
            <w:tcW w:w="1649" w:type="dxa"/>
            <w:tcBorders>
              <w:top w:val="nil"/>
              <w:left w:val="nil"/>
              <w:bottom w:val="single" w:color="auto" w:sz="4" w:space="0"/>
              <w:right w:val="single" w:color="auto" w:sz="4" w:space="0"/>
            </w:tcBorders>
            <w:noWrap w:val="0"/>
            <w:vAlign w:val="center"/>
          </w:tcPr>
          <w:p w14:paraId="6D8915C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100≤Y＜1000</w:t>
            </w:r>
          </w:p>
        </w:tc>
        <w:tc>
          <w:tcPr>
            <w:tcW w:w="1070" w:type="dxa"/>
            <w:tcBorders>
              <w:top w:val="nil"/>
              <w:left w:val="nil"/>
              <w:bottom w:val="single" w:color="auto" w:sz="4" w:space="0"/>
              <w:right w:val="single" w:color="auto" w:sz="4" w:space="0"/>
            </w:tcBorders>
            <w:noWrap w:val="0"/>
            <w:vAlign w:val="center"/>
          </w:tcPr>
          <w:p w14:paraId="540BF5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7ECBA78A">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1504AEB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软件和信息技术服务业</w:t>
            </w:r>
          </w:p>
        </w:tc>
        <w:tc>
          <w:tcPr>
            <w:tcW w:w="1440" w:type="dxa"/>
            <w:tcBorders>
              <w:top w:val="nil"/>
              <w:left w:val="nil"/>
              <w:bottom w:val="single" w:color="auto" w:sz="4" w:space="0"/>
              <w:right w:val="single" w:color="auto" w:sz="4" w:space="0"/>
            </w:tcBorders>
            <w:noWrap w:val="0"/>
            <w:vAlign w:val="center"/>
          </w:tcPr>
          <w:p w14:paraId="7ED89D8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2A743D9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44B2587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100≤X＜300</w:t>
            </w:r>
          </w:p>
        </w:tc>
        <w:tc>
          <w:tcPr>
            <w:tcW w:w="1649" w:type="dxa"/>
            <w:tcBorders>
              <w:top w:val="nil"/>
              <w:left w:val="nil"/>
              <w:bottom w:val="single" w:color="auto" w:sz="4" w:space="0"/>
              <w:right w:val="single" w:color="auto" w:sz="4" w:space="0"/>
            </w:tcBorders>
            <w:noWrap w:val="0"/>
            <w:vAlign w:val="center"/>
          </w:tcPr>
          <w:p w14:paraId="04769AF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10≤X＜100</w:t>
            </w:r>
          </w:p>
        </w:tc>
        <w:tc>
          <w:tcPr>
            <w:tcW w:w="1070" w:type="dxa"/>
            <w:tcBorders>
              <w:top w:val="nil"/>
              <w:left w:val="nil"/>
              <w:bottom w:val="single" w:color="auto" w:sz="4" w:space="0"/>
              <w:right w:val="single" w:color="auto" w:sz="4" w:space="0"/>
            </w:tcBorders>
            <w:noWrap w:val="0"/>
            <w:vAlign w:val="center"/>
          </w:tcPr>
          <w:p w14:paraId="66CF200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0F56EC07">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24A4D97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5615555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1D8CAFC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16D5676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1000≤Y＜10000</w:t>
            </w:r>
          </w:p>
        </w:tc>
        <w:tc>
          <w:tcPr>
            <w:tcW w:w="1649" w:type="dxa"/>
            <w:tcBorders>
              <w:top w:val="nil"/>
              <w:left w:val="nil"/>
              <w:bottom w:val="single" w:color="auto" w:sz="4" w:space="0"/>
              <w:right w:val="single" w:color="auto" w:sz="4" w:space="0"/>
            </w:tcBorders>
            <w:noWrap w:val="0"/>
            <w:vAlign w:val="center"/>
          </w:tcPr>
          <w:p w14:paraId="090F296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50≤Y＜1000</w:t>
            </w:r>
          </w:p>
        </w:tc>
        <w:tc>
          <w:tcPr>
            <w:tcW w:w="1070" w:type="dxa"/>
            <w:tcBorders>
              <w:top w:val="nil"/>
              <w:left w:val="nil"/>
              <w:bottom w:val="single" w:color="auto" w:sz="4" w:space="0"/>
              <w:right w:val="single" w:color="auto" w:sz="4" w:space="0"/>
            </w:tcBorders>
            <w:noWrap w:val="0"/>
            <w:vAlign w:val="center"/>
          </w:tcPr>
          <w:p w14:paraId="669BF3F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Y＜50</w:t>
            </w:r>
          </w:p>
        </w:tc>
      </w:tr>
      <w:tr w14:paraId="2DC27D2D">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77B117C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房地产开发经营</w:t>
            </w:r>
          </w:p>
        </w:tc>
        <w:tc>
          <w:tcPr>
            <w:tcW w:w="1440" w:type="dxa"/>
            <w:tcBorders>
              <w:top w:val="nil"/>
              <w:left w:val="nil"/>
              <w:bottom w:val="single" w:color="auto" w:sz="4" w:space="0"/>
              <w:right w:val="single" w:color="auto" w:sz="4" w:space="0"/>
            </w:tcBorders>
            <w:noWrap w:val="0"/>
            <w:vAlign w:val="center"/>
          </w:tcPr>
          <w:p w14:paraId="318E14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41DF4BB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2DAA62F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1000≤Y＜200000</w:t>
            </w:r>
          </w:p>
        </w:tc>
        <w:tc>
          <w:tcPr>
            <w:tcW w:w="1649" w:type="dxa"/>
            <w:tcBorders>
              <w:top w:val="nil"/>
              <w:left w:val="nil"/>
              <w:bottom w:val="single" w:color="auto" w:sz="4" w:space="0"/>
              <w:right w:val="single" w:color="auto" w:sz="4" w:space="0"/>
            </w:tcBorders>
            <w:noWrap w:val="0"/>
            <w:vAlign w:val="center"/>
          </w:tcPr>
          <w:p w14:paraId="01EF5C8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100≤X＜1000</w:t>
            </w:r>
          </w:p>
        </w:tc>
        <w:tc>
          <w:tcPr>
            <w:tcW w:w="1070" w:type="dxa"/>
            <w:tcBorders>
              <w:top w:val="nil"/>
              <w:left w:val="nil"/>
              <w:bottom w:val="single" w:color="auto" w:sz="4" w:space="0"/>
              <w:right w:val="single" w:color="auto" w:sz="4" w:space="0"/>
            </w:tcBorders>
            <w:noWrap w:val="0"/>
            <w:vAlign w:val="center"/>
          </w:tcPr>
          <w:p w14:paraId="03B12A3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X＜100</w:t>
            </w:r>
          </w:p>
        </w:tc>
      </w:tr>
      <w:tr w14:paraId="2541BE27">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16E599A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376B30F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资产总额（Z）</w:t>
            </w:r>
          </w:p>
        </w:tc>
        <w:tc>
          <w:tcPr>
            <w:tcW w:w="1155" w:type="dxa"/>
            <w:tcBorders>
              <w:top w:val="nil"/>
              <w:left w:val="nil"/>
              <w:bottom w:val="single" w:color="auto" w:sz="4" w:space="0"/>
              <w:right w:val="single" w:color="auto" w:sz="4" w:space="0"/>
            </w:tcBorders>
            <w:noWrap w:val="0"/>
            <w:vAlign w:val="center"/>
          </w:tcPr>
          <w:p w14:paraId="2ED5EC1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4F29E9E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5000≤Z＜10000</w:t>
            </w:r>
          </w:p>
        </w:tc>
        <w:tc>
          <w:tcPr>
            <w:tcW w:w="1649" w:type="dxa"/>
            <w:tcBorders>
              <w:top w:val="nil"/>
              <w:left w:val="nil"/>
              <w:bottom w:val="single" w:color="auto" w:sz="4" w:space="0"/>
              <w:right w:val="single" w:color="auto" w:sz="4" w:space="0"/>
            </w:tcBorders>
            <w:noWrap w:val="0"/>
            <w:vAlign w:val="center"/>
          </w:tcPr>
          <w:p w14:paraId="2269D88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2000≤Y＜5000</w:t>
            </w:r>
          </w:p>
        </w:tc>
        <w:tc>
          <w:tcPr>
            <w:tcW w:w="1070" w:type="dxa"/>
            <w:tcBorders>
              <w:top w:val="nil"/>
              <w:left w:val="nil"/>
              <w:bottom w:val="single" w:color="auto" w:sz="4" w:space="0"/>
              <w:right w:val="single" w:color="auto" w:sz="4" w:space="0"/>
            </w:tcBorders>
            <w:noWrap w:val="0"/>
            <w:vAlign w:val="center"/>
          </w:tcPr>
          <w:p w14:paraId="50A876F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Y＜2000</w:t>
            </w:r>
          </w:p>
        </w:tc>
      </w:tr>
      <w:tr w14:paraId="35294E6D">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52B8D53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物业管理</w:t>
            </w:r>
          </w:p>
        </w:tc>
        <w:tc>
          <w:tcPr>
            <w:tcW w:w="1440" w:type="dxa"/>
            <w:tcBorders>
              <w:top w:val="nil"/>
              <w:left w:val="nil"/>
              <w:bottom w:val="single" w:color="auto" w:sz="4" w:space="0"/>
              <w:right w:val="single" w:color="auto" w:sz="4" w:space="0"/>
            </w:tcBorders>
            <w:noWrap w:val="0"/>
            <w:vAlign w:val="center"/>
          </w:tcPr>
          <w:p w14:paraId="468F0BE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77F6F99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0414E97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300≤X＜1000</w:t>
            </w:r>
          </w:p>
        </w:tc>
        <w:tc>
          <w:tcPr>
            <w:tcW w:w="1649" w:type="dxa"/>
            <w:tcBorders>
              <w:top w:val="nil"/>
              <w:left w:val="nil"/>
              <w:bottom w:val="single" w:color="auto" w:sz="4" w:space="0"/>
              <w:right w:val="single" w:color="auto" w:sz="4" w:space="0"/>
            </w:tcBorders>
            <w:noWrap w:val="0"/>
            <w:vAlign w:val="center"/>
          </w:tcPr>
          <w:p w14:paraId="3ADDA90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100≤X＜300</w:t>
            </w:r>
          </w:p>
        </w:tc>
        <w:tc>
          <w:tcPr>
            <w:tcW w:w="1070" w:type="dxa"/>
            <w:tcBorders>
              <w:top w:val="nil"/>
              <w:left w:val="nil"/>
              <w:bottom w:val="single" w:color="auto" w:sz="4" w:space="0"/>
              <w:right w:val="single" w:color="auto" w:sz="4" w:space="0"/>
            </w:tcBorders>
            <w:noWrap w:val="0"/>
            <w:vAlign w:val="center"/>
          </w:tcPr>
          <w:p w14:paraId="1E2871D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X＜100</w:t>
            </w:r>
          </w:p>
        </w:tc>
      </w:tr>
      <w:tr w14:paraId="24780448">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4B24BEE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13CF87F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营业收入（Y）</w:t>
            </w:r>
          </w:p>
        </w:tc>
        <w:tc>
          <w:tcPr>
            <w:tcW w:w="1155" w:type="dxa"/>
            <w:tcBorders>
              <w:top w:val="nil"/>
              <w:left w:val="nil"/>
              <w:bottom w:val="single" w:color="auto" w:sz="4" w:space="0"/>
              <w:right w:val="single" w:color="auto" w:sz="4" w:space="0"/>
            </w:tcBorders>
            <w:noWrap w:val="0"/>
            <w:vAlign w:val="center"/>
          </w:tcPr>
          <w:p w14:paraId="465BB5D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31C78FD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1000≤Y＜5000</w:t>
            </w:r>
          </w:p>
        </w:tc>
        <w:tc>
          <w:tcPr>
            <w:tcW w:w="1649" w:type="dxa"/>
            <w:tcBorders>
              <w:top w:val="nil"/>
              <w:left w:val="nil"/>
              <w:bottom w:val="single" w:color="auto" w:sz="4" w:space="0"/>
              <w:right w:val="single" w:color="auto" w:sz="4" w:space="0"/>
            </w:tcBorders>
            <w:noWrap w:val="0"/>
            <w:vAlign w:val="center"/>
          </w:tcPr>
          <w:p w14:paraId="5C6AFF6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500≤Y＜1000</w:t>
            </w:r>
          </w:p>
        </w:tc>
        <w:tc>
          <w:tcPr>
            <w:tcW w:w="1070" w:type="dxa"/>
            <w:tcBorders>
              <w:top w:val="nil"/>
              <w:left w:val="nil"/>
              <w:bottom w:val="single" w:color="auto" w:sz="4" w:space="0"/>
              <w:right w:val="single" w:color="auto" w:sz="4" w:space="0"/>
            </w:tcBorders>
            <w:noWrap w:val="0"/>
            <w:vAlign w:val="center"/>
          </w:tcPr>
          <w:p w14:paraId="1C1A676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Y＜500</w:t>
            </w:r>
          </w:p>
        </w:tc>
      </w:tr>
      <w:tr w14:paraId="3F27039D">
        <w:tblPrEx>
          <w:tblCellMar>
            <w:top w:w="0" w:type="dxa"/>
            <w:left w:w="108" w:type="dxa"/>
            <w:bottom w:w="0" w:type="dxa"/>
            <w:right w:w="108" w:type="dxa"/>
          </w:tblCellMar>
        </w:tblPrEx>
        <w:trPr>
          <w:trHeight w:val="339" w:hRule="atLeast"/>
          <w:jc w:val="center"/>
        </w:trPr>
        <w:tc>
          <w:tcPr>
            <w:tcW w:w="1230" w:type="dxa"/>
            <w:vMerge w:val="restart"/>
            <w:tcBorders>
              <w:top w:val="nil"/>
              <w:left w:val="single" w:color="auto" w:sz="4" w:space="0"/>
              <w:bottom w:val="single" w:color="auto" w:sz="4" w:space="0"/>
              <w:right w:val="single" w:color="auto" w:sz="4" w:space="0"/>
            </w:tcBorders>
            <w:noWrap w:val="0"/>
            <w:vAlign w:val="center"/>
          </w:tcPr>
          <w:p w14:paraId="2CF0A89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租赁和商务服务业</w:t>
            </w:r>
          </w:p>
        </w:tc>
        <w:tc>
          <w:tcPr>
            <w:tcW w:w="1440" w:type="dxa"/>
            <w:tcBorders>
              <w:top w:val="nil"/>
              <w:left w:val="nil"/>
              <w:bottom w:val="single" w:color="auto" w:sz="4" w:space="0"/>
              <w:right w:val="single" w:color="auto" w:sz="4" w:space="0"/>
            </w:tcBorders>
            <w:noWrap w:val="0"/>
            <w:vAlign w:val="center"/>
          </w:tcPr>
          <w:p w14:paraId="5EAFF5B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0B5A176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6D2B905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100≤X＜300</w:t>
            </w:r>
          </w:p>
        </w:tc>
        <w:tc>
          <w:tcPr>
            <w:tcW w:w="1649" w:type="dxa"/>
            <w:tcBorders>
              <w:top w:val="nil"/>
              <w:left w:val="nil"/>
              <w:bottom w:val="single" w:color="auto" w:sz="4" w:space="0"/>
              <w:right w:val="single" w:color="auto" w:sz="4" w:space="0"/>
            </w:tcBorders>
            <w:noWrap w:val="0"/>
            <w:vAlign w:val="center"/>
          </w:tcPr>
          <w:p w14:paraId="3714A9B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10≤X＜100</w:t>
            </w:r>
          </w:p>
        </w:tc>
        <w:tc>
          <w:tcPr>
            <w:tcW w:w="1070" w:type="dxa"/>
            <w:tcBorders>
              <w:top w:val="nil"/>
              <w:left w:val="nil"/>
              <w:bottom w:val="single" w:color="auto" w:sz="4" w:space="0"/>
              <w:right w:val="single" w:color="auto" w:sz="4" w:space="0"/>
            </w:tcBorders>
            <w:noWrap w:val="0"/>
            <w:vAlign w:val="center"/>
          </w:tcPr>
          <w:p w14:paraId="34D1FB9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r w14:paraId="2364504B">
        <w:tblPrEx>
          <w:tblCellMar>
            <w:top w:w="0" w:type="dxa"/>
            <w:left w:w="108" w:type="dxa"/>
            <w:bottom w:w="0" w:type="dxa"/>
            <w:right w:w="108" w:type="dxa"/>
          </w:tblCellMar>
        </w:tblPrEx>
        <w:trPr>
          <w:trHeight w:val="339" w:hRule="atLeast"/>
          <w:jc w:val="center"/>
        </w:trPr>
        <w:tc>
          <w:tcPr>
            <w:tcW w:w="1230" w:type="dxa"/>
            <w:vMerge w:val="continue"/>
            <w:tcBorders>
              <w:top w:val="nil"/>
              <w:left w:val="single" w:color="auto" w:sz="4" w:space="0"/>
              <w:bottom w:val="single" w:color="auto" w:sz="4" w:space="0"/>
              <w:right w:val="single" w:color="auto" w:sz="4" w:space="0"/>
            </w:tcBorders>
            <w:noWrap w:val="0"/>
            <w:vAlign w:val="center"/>
          </w:tcPr>
          <w:p w14:paraId="5B6670F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p>
        </w:tc>
        <w:tc>
          <w:tcPr>
            <w:tcW w:w="1440" w:type="dxa"/>
            <w:tcBorders>
              <w:top w:val="nil"/>
              <w:left w:val="nil"/>
              <w:bottom w:val="single" w:color="auto" w:sz="4" w:space="0"/>
              <w:right w:val="single" w:color="auto" w:sz="4" w:space="0"/>
            </w:tcBorders>
            <w:noWrap w:val="0"/>
            <w:vAlign w:val="center"/>
          </w:tcPr>
          <w:p w14:paraId="1C8A040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资产总额（Z）</w:t>
            </w:r>
          </w:p>
        </w:tc>
        <w:tc>
          <w:tcPr>
            <w:tcW w:w="1155" w:type="dxa"/>
            <w:tcBorders>
              <w:top w:val="nil"/>
              <w:left w:val="nil"/>
              <w:bottom w:val="single" w:color="auto" w:sz="4" w:space="0"/>
              <w:right w:val="single" w:color="auto" w:sz="4" w:space="0"/>
            </w:tcBorders>
            <w:noWrap w:val="0"/>
            <w:vAlign w:val="center"/>
          </w:tcPr>
          <w:p w14:paraId="4819F7B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万元</w:t>
            </w:r>
          </w:p>
        </w:tc>
        <w:tc>
          <w:tcPr>
            <w:tcW w:w="2073" w:type="dxa"/>
            <w:tcBorders>
              <w:top w:val="nil"/>
              <w:left w:val="nil"/>
              <w:bottom w:val="single" w:color="auto" w:sz="4" w:space="0"/>
              <w:right w:val="single" w:color="auto" w:sz="4" w:space="0"/>
            </w:tcBorders>
            <w:noWrap w:val="0"/>
            <w:vAlign w:val="center"/>
          </w:tcPr>
          <w:p w14:paraId="368E860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8000≤Z＜120000</w:t>
            </w:r>
          </w:p>
        </w:tc>
        <w:tc>
          <w:tcPr>
            <w:tcW w:w="1649" w:type="dxa"/>
            <w:tcBorders>
              <w:top w:val="nil"/>
              <w:left w:val="nil"/>
              <w:bottom w:val="single" w:color="auto" w:sz="4" w:space="0"/>
              <w:right w:val="single" w:color="auto" w:sz="4" w:space="0"/>
            </w:tcBorders>
            <w:noWrap w:val="0"/>
            <w:vAlign w:val="center"/>
          </w:tcPr>
          <w:p w14:paraId="5A1E860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100≤Z＜8000</w:t>
            </w:r>
          </w:p>
        </w:tc>
        <w:tc>
          <w:tcPr>
            <w:tcW w:w="1070" w:type="dxa"/>
            <w:tcBorders>
              <w:top w:val="nil"/>
              <w:left w:val="nil"/>
              <w:bottom w:val="single" w:color="auto" w:sz="4" w:space="0"/>
              <w:right w:val="single" w:color="auto" w:sz="4" w:space="0"/>
            </w:tcBorders>
            <w:noWrap w:val="0"/>
            <w:vAlign w:val="center"/>
          </w:tcPr>
          <w:p w14:paraId="7D8D752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Y＜100</w:t>
            </w:r>
          </w:p>
        </w:tc>
      </w:tr>
      <w:tr w14:paraId="15094406">
        <w:tblPrEx>
          <w:tblCellMar>
            <w:top w:w="0" w:type="dxa"/>
            <w:left w:w="108" w:type="dxa"/>
            <w:bottom w:w="0" w:type="dxa"/>
            <w:right w:w="108" w:type="dxa"/>
          </w:tblCellMar>
        </w:tblPrEx>
        <w:trPr>
          <w:trHeight w:val="349" w:hRule="atLeast"/>
          <w:jc w:val="center"/>
        </w:trPr>
        <w:tc>
          <w:tcPr>
            <w:tcW w:w="1230" w:type="dxa"/>
            <w:tcBorders>
              <w:top w:val="nil"/>
              <w:left w:val="single" w:color="auto" w:sz="4" w:space="0"/>
              <w:bottom w:val="single" w:color="auto" w:sz="4" w:space="0"/>
              <w:right w:val="single" w:color="auto" w:sz="4" w:space="0"/>
            </w:tcBorders>
            <w:noWrap w:val="0"/>
            <w:vAlign w:val="center"/>
          </w:tcPr>
          <w:p w14:paraId="63D74EC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其他未列明行业</w:t>
            </w:r>
          </w:p>
        </w:tc>
        <w:tc>
          <w:tcPr>
            <w:tcW w:w="1440" w:type="dxa"/>
            <w:tcBorders>
              <w:top w:val="nil"/>
              <w:left w:val="nil"/>
              <w:bottom w:val="single" w:color="auto" w:sz="4" w:space="0"/>
              <w:right w:val="single" w:color="auto" w:sz="4" w:space="0"/>
            </w:tcBorders>
            <w:noWrap w:val="0"/>
            <w:vAlign w:val="center"/>
          </w:tcPr>
          <w:p w14:paraId="5BF763C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从业人员（X）</w:t>
            </w:r>
          </w:p>
        </w:tc>
        <w:tc>
          <w:tcPr>
            <w:tcW w:w="1155" w:type="dxa"/>
            <w:tcBorders>
              <w:top w:val="nil"/>
              <w:left w:val="nil"/>
              <w:bottom w:val="single" w:color="auto" w:sz="4" w:space="0"/>
              <w:right w:val="single" w:color="auto" w:sz="4" w:space="0"/>
            </w:tcBorders>
            <w:noWrap w:val="0"/>
            <w:vAlign w:val="center"/>
          </w:tcPr>
          <w:p w14:paraId="52707C1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w:t>
            </w:r>
          </w:p>
        </w:tc>
        <w:tc>
          <w:tcPr>
            <w:tcW w:w="2073" w:type="dxa"/>
            <w:tcBorders>
              <w:top w:val="nil"/>
              <w:left w:val="nil"/>
              <w:bottom w:val="single" w:color="auto" w:sz="4" w:space="0"/>
              <w:right w:val="single" w:color="auto" w:sz="4" w:space="0"/>
            </w:tcBorders>
            <w:noWrap w:val="0"/>
            <w:vAlign w:val="center"/>
          </w:tcPr>
          <w:p w14:paraId="053DEF7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100≤X＜300</w:t>
            </w:r>
          </w:p>
        </w:tc>
        <w:tc>
          <w:tcPr>
            <w:tcW w:w="1649" w:type="dxa"/>
            <w:tcBorders>
              <w:top w:val="nil"/>
              <w:left w:val="nil"/>
              <w:bottom w:val="single" w:color="auto" w:sz="4" w:space="0"/>
              <w:right w:val="single" w:color="auto" w:sz="4" w:space="0"/>
            </w:tcBorders>
            <w:noWrap w:val="0"/>
            <w:vAlign w:val="center"/>
          </w:tcPr>
          <w:p w14:paraId="7184C72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10≤X＜100</w:t>
            </w:r>
          </w:p>
        </w:tc>
        <w:tc>
          <w:tcPr>
            <w:tcW w:w="1070" w:type="dxa"/>
            <w:tcBorders>
              <w:top w:val="nil"/>
              <w:left w:val="nil"/>
              <w:bottom w:val="single" w:color="auto" w:sz="4" w:space="0"/>
              <w:right w:val="single" w:color="auto" w:sz="4" w:space="0"/>
            </w:tcBorders>
            <w:noWrap w:val="0"/>
            <w:vAlign w:val="center"/>
          </w:tcPr>
          <w:p w14:paraId="23E2CF9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300" w:lineRule="exact"/>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X＜10</w:t>
            </w:r>
          </w:p>
        </w:tc>
      </w:tr>
    </w:tbl>
    <w:p w14:paraId="21AC2A00">
      <w:pPr>
        <w:shd w:val="clear"/>
        <w:topLinePunct/>
        <w:autoSpaceDE w:val="0"/>
        <w:autoSpaceDN w:val="0"/>
        <w:spacing w:before="0" w:beforeAutospacing="0" w:after="0" w:afterAutospacing="0" w:line="46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说明：上述标准参照《关于印发中小企业划型标准规定的通知》（工信部联企业[2011]300号），大型、中型和小型企业须同时满足所列指标的下限，否则下划一档；微型企业</w:t>
      </w:r>
      <w:r>
        <w:rPr>
          <w:rFonts w:hint="eastAsia" w:ascii="宋体" w:hAnsi="宋体" w:eastAsia="宋体" w:cs="宋体"/>
          <w:color w:val="auto"/>
          <w:szCs w:val="21"/>
          <w:highlight w:val="none"/>
          <w:lang w:eastAsia="zh-CN"/>
        </w:rPr>
        <w:t>只需</w:t>
      </w:r>
      <w:r>
        <w:rPr>
          <w:rFonts w:hint="eastAsia" w:ascii="宋体" w:hAnsi="宋体" w:eastAsia="宋体" w:cs="宋体"/>
          <w:color w:val="auto"/>
          <w:szCs w:val="21"/>
          <w:highlight w:val="none"/>
        </w:rPr>
        <w:t>满足所列指标中的一项即可。</w:t>
      </w:r>
    </w:p>
    <w:p w14:paraId="7354771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2F53AED">
      <w:pPr>
        <w:pStyle w:val="12"/>
        <w:ind w:firstLine="1968" w:firstLineChars="700"/>
        <w:outlineLvl w:val="1"/>
        <w:rPr>
          <w:rFonts w:hint="eastAsia" w:ascii="宋体" w:hAnsi="宋体" w:eastAsia="宋体" w:cs="宋体"/>
          <w:b/>
          <w:bCs/>
          <w:color w:val="auto"/>
          <w:sz w:val="28"/>
          <w:szCs w:val="28"/>
          <w:highlight w:val="none"/>
        </w:rPr>
      </w:pPr>
      <w:bookmarkStart w:id="233" w:name="_Toc3503"/>
      <w:bookmarkStart w:id="234" w:name="_Toc18866"/>
      <w:bookmarkStart w:id="235" w:name="_Toc6110"/>
      <w:bookmarkStart w:id="236" w:name="_Toc10792"/>
      <w:bookmarkStart w:id="237" w:name="_Toc28421"/>
      <w:bookmarkStart w:id="238" w:name="_Toc5296"/>
      <w:bookmarkStart w:id="239" w:name="_Toc27977"/>
      <w:bookmarkStart w:id="240" w:name="_Toc19271"/>
      <w:r>
        <w:rPr>
          <w:rFonts w:hint="eastAsia" w:ascii="宋体" w:hAnsi="宋体" w:eastAsia="宋体" w:cs="宋体"/>
          <w:b/>
          <w:bCs/>
          <w:color w:val="auto"/>
          <w:sz w:val="28"/>
          <w:szCs w:val="28"/>
          <w:highlight w:val="none"/>
        </w:rPr>
        <w:t>格式12  监狱企业的证明材料文件</w:t>
      </w:r>
      <w:bookmarkEnd w:id="233"/>
      <w:bookmarkEnd w:id="234"/>
      <w:bookmarkEnd w:id="235"/>
      <w:bookmarkEnd w:id="236"/>
      <w:bookmarkEnd w:id="237"/>
      <w:bookmarkEnd w:id="238"/>
      <w:bookmarkEnd w:id="239"/>
      <w:bookmarkEnd w:id="240"/>
    </w:p>
    <w:p w14:paraId="70C98676">
      <w:pPr>
        <w:pStyle w:val="12"/>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说明：</w:t>
      </w:r>
    </w:p>
    <w:p w14:paraId="5D0D05DB">
      <w:pPr>
        <w:pStyle w:val="12"/>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本文件无固定模板，具体要求为：</w:t>
      </w:r>
    </w:p>
    <w:p w14:paraId="63BF587F">
      <w:pPr>
        <w:pStyle w:val="12"/>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监狱企业参加政府采购活动时，应当提供由省级以上监狱管理局、戒毒管理局（含新疆生产建设兵团）出具的属于监狱企业的证明文件。（投标人如能够在线查询的材料，请提供查询网址链接，可以不用同时提供纸质材料，原件备查）</w:t>
      </w:r>
    </w:p>
    <w:p w14:paraId="304F3635">
      <w:pPr>
        <w:pStyle w:val="12"/>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2.未按上述要求提供、填写的，评标时不予以考虑。</w:t>
      </w:r>
    </w:p>
    <w:p w14:paraId="037AC975">
      <w:pPr>
        <w:pStyle w:val="12"/>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(示例略)</w:t>
      </w:r>
    </w:p>
    <w:p w14:paraId="6DE2443A">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747D34FD">
      <w:pPr>
        <w:pStyle w:val="12"/>
        <w:topLinePunct/>
        <w:autoSpaceDE w:val="0"/>
        <w:autoSpaceDN w:val="0"/>
        <w:spacing w:line="460" w:lineRule="exact"/>
        <w:jc w:val="center"/>
        <w:outlineLvl w:val="1"/>
        <w:rPr>
          <w:rFonts w:hint="eastAsia" w:ascii="宋体" w:hAnsi="宋体" w:eastAsia="宋体" w:cs="宋体"/>
          <w:b/>
          <w:bCs/>
          <w:color w:val="auto"/>
          <w:sz w:val="28"/>
          <w:szCs w:val="28"/>
          <w:highlight w:val="none"/>
        </w:rPr>
      </w:pPr>
      <w:bookmarkStart w:id="241" w:name="_Toc29447"/>
      <w:bookmarkStart w:id="242" w:name="_Toc16615"/>
      <w:bookmarkStart w:id="243" w:name="_Toc10269"/>
      <w:bookmarkStart w:id="244" w:name="_Toc8309"/>
      <w:bookmarkStart w:id="245" w:name="_Toc7147"/>
      <w:bookmarkStart w:id="246" w:name="_Toc18765"/>
      <w:bookmarkStart w:id="247" w:name="_Toc30902"/>
      <w:bookmarkStart w:id="248" w:name="_Toc15920"/>
      <w:r>
        <w:rPr>
          <w:rFonts w:hint="eastAsia" w:ascii="宋体" w:hAnsi="宋体" w:eastAsia="宋体" w:cs="宋体"/>
          <w:b/>
          <w:bCs/>
          <w:color w:val="auto"/>
          <w:sz w:val="28"/>
          <w:szCs w:val="28"/>
          <w:highlight w:val="none"/>
        </w:rPr>
        <w:t>格式13  残疾人福利性单位声明函</w:t>
      </w:r>
      <w:bookmarkEnd w:id="241"/>
      <w:bookmarkEnd w:id="242"/>
      <w:bookmarkEnd w:id="243"/>
      <w:bookmarkEnd w:id="244"/>
      <w:bookmarkEnd w:id="245"/>
      <w:bookmarkEnd w:id="246"/>
      <w:bookmarkEnd w:id="247"/>
      <w:bookmarkEnd w:id="248"/>
    </w:p>
    <w:p w14:paraId="0245BAF5">
      <w:pPr>
        <w:spacing w:line="588" w:lineRule="exact"/>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3DC9DA9">
      <w:pPr>
        <w:spacing w:line="588" w:lineRule="exact"/>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本单位对上述声明的真实性负责。如有虚假，将依法承担相应责任。</w:t>
      </w:r>
    </w:p>
    <w:p w14:paraId="2B4C83C0">
      <w:pPr>
        <w:spacing w:line="588" w:lineRule="exact"/>
        <w:ind w:firstLine="444" w:firstLineChars="200"/>
        <w:rPr>
          <w:rFonts w:hint="eastAsia" w:ascii="宋体" w:hAnsi="宋体" w:eastAsia="宋体" w:cs="宋体"/>
          <w:color w:val="auto"/>
          <w:spacing w:val="6"/>
          <w:szCs w:val="21"/>
          <w:highlight w:val="none"/>
        </w:rPr>
      </w:pPr>
    </w:p>
    <w:p w14:paraId="4EBB718F">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351C9BA9">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p>
    <w:p w14:paraId="372B2DCE">
      <w:pPr>
        <w:topLinePunct/>
        <w:autoSpaceDE w:val="0"/>
        <w:autoSpaceDN w:val="0"/>
        <w:spacing w:line="460" w:lineRule="exact"/>
        <w:jc w:val="center"/>
        <w:rPr>
          <w:rFonts w:hint="eastAsia" w:ascii="宋体" w:hAnsi="宋体" w:eastAsia="宋体" w:cs="宋体"/>
          <w:color w:val="auto"/>
          <w:spacing w:val="6"/>
          <w:szCs w:val="21"/>
          <w:highlight w:val="none"/>
        </w:rPr>
      </w:pPr>
    </w:p>
    <w:p w14:paraId="1CC3B79D">
      <w:pPr>
        <w:pStyle w:val="31"/>
        <w:tabs>
          <w:tab w:val="left" w:pos="420"/>
        </w:tabs>
        <w:snapToGrid w:val="0"/>
        <w:spacing w:line="460" w:lineRule="atLeast"/>
        <w:outlineLvl w:val="1"/>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br w:type="page"/>
      </w:r>
      <w:bookmarkStart w:id="249" w:name="_Toc16703"/>
      <w:bookmarkStart w:id="250" w:name="_Toc27095"/>
      <w:bookmarkStart w:id="251" w:name="_Toc220361175"/>
      <w:bookmarkStart w:id="252" w:name="_Toc17448"/>
      <w:bookmarkStart w:id="253" w:name="_Toc21401"/>
      <w:bookmarkStart w:id="254" w:name="_Toc1381122819"/>
      <w:bookmarkStart w:id="255" w:name="_Toc598152851"/>
      <w:bookmarkStart w:id="256" w:name="_Toc20846"/>
      <w:bookmarkStart w:id="257" w:name="_Toc680706022"/>
      <w:bookmarkStart w:id="258" w:name="_Toc1749127877"/>
      <w:bookmarkStart w:id="259" w:name="_Toc31694"/>
      <w:bookmarkStart w:id="260" w:name="_Toc1615545750"/>
      <w:bookmarkStart w:id="261" w:name="_Toc78504842"/>
      <w:bookmarkStart w:id="262" w:name="_Toc681730266"/>
      <w:bookmarkStart w:id="263" w:name="_Toc1097421187"/>
      <w:bookmarkStart w:id="264" w:name="_Toc12335"/>
      <w:bookmarkStart w:id="265" w:name="_Toc27845"/>
      <w:r>
        <w:rPr>
          <w:rFonts w:hint="eastAsia" w:ascii="宋体" w:hAnsi="宋体" w:eastAsia="宋体" w:cs="宋体"/>
          <w:b/>
          <w:bCs/>
          <w:color w:val="auto"/>
          <w:sz w:val="28"/>
          <w:szCs w:val="28"/>
          <w:highlight w:val="none"/>
        </w:rPr>
        <w:t>格式14  成功案例一览表</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0C6DD7D1">
      <w:pPr>
        <w:jc w:val="center"/>
        <w:rPr>
          <w:rFonts w:hint="eastAsia" w:ascii="宋体" w:hAnsi="宋体" w:eastAsia="宋体" w:cs="宋体"/>
          <w:color w:val="auto"/>
          <w:highlight w:val="none"/>
        </w:rPr>
      </w:pPr>
      <w:r>
        <w:rPr>
          <w:rFonts w:hint="eastAsia" w:ascii="宋体" w:hAnsi="宋体" w:eastAsia="宋体" w:cs="宋体"/>
          <w:color w:val="auto"/>
          <w:highlight w:val="none"/>
        </w:rPr>
        <w:t>（根据招标文件要求调整）</w:t>
      </w:r>
    </w:p>
    <w:tbl>
      <w:tblPr>
        <w:tblStyle w:val="23"/>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19"/>
        <w:gridCol w:w="864"/>
        <w:gridCol w:w="707"/>
        <w:gridCol w:w="744"/>
        <w:gridCol w:w="1221"/>
        <w:gridCol w:w="1161"/>
        <w:gridCol w:w="1065"/>
        <w:gridCol w:w="1737"/>
      </w:tblGrid>
      <w:tr w14:paraId="7EF3B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59FFB5A0">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819" w:type="dxa"/>
            <w:tcBorders>
              <w:top w:val="single" w:color="auto" w:sz="4" w:space="0"/>
              <w:left w:val="single" w:color="auto" w:sz="4" w:space="0"/>
              <w:bottom w:val="single" w:color="auto" w:sz="4" w:space="0"/>
              <w:right w:val="single" w:color="auto" w:sz="4" w:space="0"/>
            </w:tcBorders>
            <w:noWrap/>
            <w:vAlign w:val="center"/>
          </w:tcPr>
          <w:p w14:paraId="4634A8C0">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5FB0FCD9">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名称</w:t>
            </w:r>
          </w:p>
        </w:tc>
        <w:tc>
          <w:tcPr>
            <w:tcW w:w="864" w:type="dxa"/>
            <w:tcBorders>
              <w:top w:val="single" w:color="auto" w:sz="4" w:space="0"/>
              <w:left w:val="single" w:color="auto" w:sz="4" w:space="0"/>
              <w:bottom w:val="single" w:color="auto" w:sz="4" w:space="0"/>
              <w:right w:val="single" w:color="auto" w:sz="4" w:space="0"/>
            </w:tcBorders>
            <w:noWrap/>
            <w:vAlign w:val="center"/>
          </w:tcPr>
          <w:p w14:paraId="1C77B4DC">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33933675">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甲方</w:t>
            </w:r>
          </w:p>
        </w:tc>
        <w:tc>
          <w:tcPr>
            <w:tcW w:w="707" w:type="dxa"/>
            <w:tcBorders>
              <w:top w:val="single" w:color="auto" w:sz="4" w:space="0"/>
              <w:left w:val="single" w:color="auto" w:sz="4" w:space="0"/>
              <w:bottom w:val="single" w:color="auto" w:sz="4" w:space="0"/>
              <w:right w:val="single" w:color="auto" w:sz="4" w:space="0"/>
            </w:tcBorders>
            <w:noWrap/>
            <w:vAlign w:val="center"/>
          </w:tcPr>
          <w:p w14:paraId="0342CF1A">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合同时间</w:t>
            </w:r>
          </w:p>
        </w:tc>
        <w:tc>
          <w:tcPr>
            <w:tcW w:w="744" w:type="dxa"/>
            <w:tcBorders>
              <w:top w:val="single" w:color="auto" w:sz="4" w:space="0"/>
              <w:left w:val="single" w:color="auto" w:sz="4" w:space="0"/>
              <w:bottom w:val="single" w:color="auto" w:sz="4" w:space="0"/>
              <w:right w:val="single" w:color="auto" w:sz="4" w:space="0"/>
            </w:tcBorders>
            <w:noWrap/>
            <w:vAlign w:val="center"/>
          </w:tcPr>
          <w:p w14:paraId="3119455E">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42AF6352">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金额</w:t>
            </w:r>
          </w:p>
        </w:tc>
        <w:tc>
          <w:tcPr>
            <w:tcW w:w="1221" w:type="dxa"/>
            <w:tcBorders>
              <w:top w:val="single" w:color="auto" w:sz="4" w:space="0"/>
              <w:left w:val="single" w:color="auto" w:sz="4" w:space="0"/>
              <w:bottom w:val="single" w:color="auto" w:sz="4" w:space="0"/>
              <w:right w:val="single" w:color="auto" w:sz="4" w:space="0"/>
            </w:tcBorders>
            <w:noWrap/>
            <w:vAlign w:val="center"/>
          </w:tcPr>
          <w:p w14:paraId="6213439B">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合同主要</w:t>
            </w:r>
          </w:p>
          <w:p w14:paraId="2D9CCF34">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内容</w:t>
            </w:r>
          </w:p>
        </w:tc>
        <w:tc>
          <w:tcPr>
            <w:tcW w:w="1161" w:type="dxa"/>
            <w:tcBorders>
              <w:top w:val="single" w:color="auto" w:sz="4" w:space="0"/>
              <w:left w:val="single" w:color="auto" w:sz="4" w:space="0"/>
              <w:bottom w:val="single" w:color="auto" w:sz="4" w:space="0"/>
              <w:right w:val="single" w:color="auto" w:sz="4" w:space="0"/>
            </w:tcBorders>
            <w:noWrap/>
            <w:vAlign w:val="center"/>
          </w:tcPr>
          <w:p w14:paraId="7C71BFA0">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用户</w:t>
            </w:r>
          </w:p>
          <w:p w14:paraId="11F21BB6">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联系人</w:t>
            </w:r>
          </w:p>
        </w:tc>
        <w:tc>
          <w:tcPr>
            <w:tcW w:w="1065" w:type="dxa"/>
            <w:tcBorders>
              <w:top w:val="single" w:color="auto" w:sz="4" w:space="0"/>
              <w:left w:val="single" w:color="auto" w:sz="4" w:space="0"/>
              <w:bottom w:val="single" w:color="auto" w:sz="4" w:space="0"/>
              <w:right w:val="single" w:color="auto" w:sz="4" w:space="0"/>
            </w:tcBorders>
            <w:noWrap/>
            <w:vAlign w:val="center"/>
          </w:tcPr>
          <w:p w14:paraId="2956DB63">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用户联</w:t>
            </w:r>
          </w:p>
          <w:p w14:paraId="6EBE885F">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系电话</w:t>
            </w:r>
          </w:p>
        </w:tc>
        <w:tc>
          <w:tcPr>
            <w:tcW w:w="1737" w:type="dxa"/>
            <w:tcBorders>
              <w:top w:val="single" w:color="auto" w:sz="4" w:space="0"/>
              <w:left w:val="single" w:color="auto" w:sz="4" w:space="0"/>
              <w:bottom w:val="single" w:color="auto" w:sz="4" w:space="0"/>
              <w:right w:val="single" w:color="auto" w:sz="4" w:space="0"/>
            </w:tcBorders>
            <w:noWrap/>
            <w:vAlign w:val="center"/>
          </w:tcPr>
          <w:p w14:paraId="5746A5AC">
            <w:pPr>
              <w:topLinePunct/>
              <w:autoSpaceDE w:val="0"/>
              <w:autoSpaceDN w:val="0"/>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36866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38965254">
            <w:pPr>
              <w:topLinePunct/>
              <w:autoSpaceDE w:val="0"/>
              <w:autoSpaceDN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19" w:type="dxa"/>
            <w:tcBorders>
              <w:top w:val="single" w:color="auto" w:sz="4" w:space="0"/>
              <w:left w:val="single" w:color="auto" w:sz="4" w:space="0"/>
              <w:bottom w:val="single" w:color="auto" w:sz="4" w:space="0"/>
              <w:right w:val="single" w:color="auto" w:sz="4" w:space="0"/>
            </w:tcBorders>
            <w:noWrap/>
            <w:vAlign w:val="center"/>
          </w:tcPr>
          <w:p w14:paraId="6149063D">
            <w:pPr>
              <w:topLinePunct/>
              <w:autoSpaceDE w:val="0"/>
              <w:autoSpaceDN w:val="0"/>
              <w:adjustRightInd w:val="0"/>
              <w:snapToGrid w:val="0"/>
              <w:jc w:val="center"/>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69EB01A">
            <w:pPr>
              <w:topLinePunct/>
              <w:autoSpaceDE w:val="0"/>
              <w:autoSpaceDN w:val="0"/>
              <w:adjustRightInd w:val="0"/>
              <w:snapToGrid w:val="0"/>
              <w:jc w:val="center"/>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53362379">
            <w:pPr>
              <w:topLinePunct/>
              <w:autoSpaceDE w:val="0"/>
              <w:autoSpaceDN w:val="0"/>
              <w:adjustRightInd w:val="0"/>
              <w:snapToGrid w:val="0"/>
              <w:jc w:val="center"/>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232A9402">
            <w:pPr>
              <w:topLinePunct/>
              <w:autoSpaceDE w:val="0"/>
              <w:autoSpaceDN w:val="0"/>
              <w:adjustRightInd w:val="0"/>
              <w:snapToGrid w:val="0"/>
              <w:jc w:val="center"/>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5359AF91">
            <w:pPr>
              <w:topLinePunct/>
              <w:autoSpaceDE w:val="0"/>
              <w:autoSpaceDN w:val="0"/>
              <w:adjustRightInd w:val="0"/>
              <w:snapToGrid w:val="0"/>
              <w:jc w:val="center"/>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F81FBB0">
            <w:pPr>
              <w:topLinePunct/>
              <w:autoSpaceDE w:val="0"/>
              <w:autoSpaceDN w:val="0"/>
              <w:adjustRightInd w:val="0"/>
              <w:snapToGrid w:val="0"/>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1FDAF4B3">
            <w:pPr>
              <w:topLinePunct/>
              <w:autoSpaceDE w:val="0"/>
              <w:autoSpaceDN w:val="0"/>
              <w:adjustRightInd w:val="0"/>
              <w:snapToGrid w:val="0"/>
              <w:jc w:val="center"/>
              <w:rPr>
                <w:rFonts w:hint="eastAsia" w:ascii="宋体" w:hAnsi="宋体" w:eastAsia="宋体" w:cs="宋体"/>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623C6E63">
            <w:pPr>
              <w:topLinePunct/>
              <w:autoSpaceDE w:val="0"/>
              <w:autoSpaceDN w:val="0"/>
              <w:adjustRightInd w:val="0"/>
              <w:snapToGrid w:val="0"/>
              <w:jc w:val="center"/>
              <w:rPr>
                <w:rFonts w:hint="eastAsia" w:ascii="宋体" w:hAnsi="宋体" w:eastAsia="宋体" w:cs="宋体"/>
                <w:color w:val="auto"/>
                <w:szCs w:val="21"/>
                <w:highlight w:val="none"/>
              </w:rPr>
            </w:pPr>
          </w:p>
        </w:tc>
      </w:tr>
      <w:tr w14:paraId="5149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0F5025A0">
            <w:pPr>
              <w:topLinePunct/>
              <w:autoSpaceDE w:val="0"/>
              <w:autoSpaceDN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19" w:type="dxa"/>
            <w:tcBorders>
              <w:top w:val="single" w:color="auto" w:sz="4" w:space="0"/>
              <w:left w:val="single" w:color="auto" w:sz="4" w:space="0"/>
              <w:bottom w:val="single" w:color="auto" w:sz="4" w:space="0"/>
              <w:right w:val="single" w:color="auto" w:sz="4" w:space="0"/>
            </w:tcBorders>
            <w:noWrap/>
            <w:vAlign w:val="center"/>
          </w:tcPr>
          <w:p w14:paraId="1FD4EF8B">
            <w:pPr>
              <w:topLinePunct/>
              <w:autoSpaceDE w:val="0"/>
              <w:autoSpaceDN w:val="0"/>
              <w:adjustRightInd w:val="0"/>
              <w:snapToGrid w:val="0"/>
              <w:jc w:val="center"/>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53C58E95">
            <w:pPr>
              <w:topLinePunct/>
              <w:autoSpaceDE w:val="0"/>
              <w:autoSpaceDN w:val="0"/>
              <w:adjustRightInd w:val="0"/>
              <w:snapToGrid w:val="0"/>
              <w:jc w:val="center"/>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7C90392B">
            <w:pPr>
              <w:topLinePunct/>
              <w:autoSpaceDE w:val="0"/>
              <w:autoSpaceDN w:val="0"/>
              <w:adjustRightInd w:val="0"/>
              <w:snapToGrid w:val="0"/>
              <w:jc w:val="center"/>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35E24287">
            <w:pPr>
              <w:topLinePunct/>
              <w:autoSpaceDE w:val="0"/>
              <w:autoSpaceDN w:val="0"/>
              <w:adjustRightInd w:val="0"/>
              <w:snapToGrid w:val="0"/>
              <w:jc w:val="center"/>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7B9EFBC1">
            <w:pPr>
              <w:topLinePunct/>
              <w:autoSpaceDE w:val="0"/>
              <w:autoSpaceDN w:val="0"/>
              <w:adjustRightInd w:val="0"/>
              <w:snapToGrid w:val="0"/>
              <w:jc w:val="center"/>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50B641BA">
            <w:pPr>
              <w:topLinePunct/>
              <w:autoSpaceDE w:val="0"/>
              <w:autoSpaceDN w:val="0"/>
              <w:adjustRightInd w:val="0"/>
              <w:snapToGrid w:val="0"/>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43656861">
            <w:pPr>
              <w:topLinePunct/>
              <w:autoSpaceDE w:val="0"/>
              <w:autoSpaceDN w:val="0"/>
              <w:adjustRightInd w:val="0"/>
              <w:snapToGrid w:val="0"/>
              <w:jc w:val="center"/>
              <w:rPr>
                <w:rFonts w:hint="eastAsia" w:ascii="宋体" w:hAnsi="宋体" w:eastAsia="宋体" w:cs="宋体"/>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3F464CC4">
            <w:pPr>
              <w:topLinePunct/>
              <w:autoSpaceDE w:val="0"/>
              <w:autoSpaceDN w:val="0"/>
              <w:adjustRightInd w:val="0"/>
              <w:snapToGrid w:val="0"/>
              <w:jc w:val="center"/>
              <w:rPr>
                <w:rFonts w:hint="eastAsia" w:ascii="宋体" w:hAnsi="宋体" w:eastAsia="宋体" w:cs="宋体"/>
                <w:color w:val="auto"/>
                <w:szCs w:val="21"/>
                <w:highlight w:val="none"/>
              </w:rPr>
            </w:pPr>
          </w:p>
        </w:tc>
      </w:tr>
      <w:tr w14:paraId="7F839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963889E">
            <w:pPr>
              <w:topLinePunct/>
              <w:autoSpaceDE w:val="0"/>
              <w:autoSpaceDN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19" w:type="dxa"/>
            <w:tcBorders>
              <w:top w:val="single" w:color="auto" w:sz="4" w:space="0"/>
              <w:left w:val="single" w:color="auto" w:sz="4" w:space="0"/>
              <w:bottom w:val="single" w:color="auto" w:sz="4" w:space="0"/>
              <w:right w:val="single" w:color="auto" w:sz="4" w:space="0"/>
            </w:tcBorders>
            <w:noWrap/>
            <w:vAlign w:val="center"/>
          </w:tcPr>
          <w:p w14:paraId="235565F7">
            <w:pPr>
              <w:topLinePunct/>
              <w:autoSpaceDE w:val="0"/>
              <w:autoSpaceDN w:val="0"/>
              <w:adjustRightInd w:val="0"/>
              <w:snapToGrid w:val="0"/>
              <w:jc w:val="center"/>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2CC0F993">
            <w:pPr>
              <w:topLinePunct/>
              <w:autoSpaceDE w:val="0"/>
              <w:autoSpaceDN w:val="0"/>
              <w:adjustRightInd w:val="0"/>
              <w:snapToGrid w:val="0"/>
              <w:jc w:val="center"/>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0A847653">
            <w:pPr>
              <w:topLinePunct/>
              <w:autoSpaceDE w:val="0"/>
              <w:autoSpaceDN w:val="0"/>
              <w:adjustRightInd w:val="0"/>
              <w:snapToGrid w:val="0"/>
              <w:jc w:val="center"/>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35362B18">
            <w:pPr>
              <w:topLinePunct/>
              <w:autoSpaceDE w:val="0"/>
              <w:autoSpaceDN w:val="0"/>
              <w:adjustRightInd w:val="0"/>
              <w:snapToGrid w:val="0"/>
              <w:jc w:val="center"/>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76E115D0">
            <w:pPr>
              <w:topLinePunct/>
              <w:autoSpaceDE w:val="0"/>
              <w:autoSpaceDN w:val="0"/>
              <w:adjustRightInd w:val="0"/>
              <w:snapToGrid w:val="0"/>
              <w:jc w:val="center"/>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1893CF1">
            <w:pPr>
              <w:topLinePunct/>
              <w:autoSpaceDE w:val="0"/>
              <w:autoSpaceDN w:val="0"/>
              <w:adjustRightInd w:val="0"/>
              <w:snapToGrid w:val="0"/>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2BA94EC0">
            <w:pPr>
              <w:topLinePunct/>
              <w:autoSpaceDE w:val="0"/>
              <w:autoSpaceDN w:val="0"/>
              <w:adjustRightInd w:val="0"/>
              <w:snapToGrid w:val="0"/>
              <w:jc w:val="center"/>
              <w:rPr>
                <w:rFonts w:hint="eastAsia" w:ascii="宋体" w:hAnsi="宋体" w:eastAsia="宋体" w:cs="宋体"/>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13D4B1CE">
            <w:pPr>
              <w:topLinePunct/>
              <w:autoSpaceDE w:val="0"/>
              <w:autoSpaceDN w:val="0"/>
              <w:adjustRightInd w:val="0"/>
              <w:snapToGrid w:val="0"/>
              <w:jc w:val="center"/>
              <w:rPr>
                <w:rFonts w:hint="eastAsia" w:ascii="宋体" w:hAnsi="宋体" w:eastAsia="宋体" w:cs="宋体"/>
                <w:color w:val="auto"/>
                <w:szCs w:val="21"/>
                <w:highlight w:val="none"/>
              </w:rPr>
            </w:pPr>
          </w:p>
        </w:tc>
      </w:tr>
      <w:tr w14:paraId="1CDF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45064055">
            <w:pPr>
              <w:topLinePunct/>
              <w:autoSpaceDE w:val="0"/>
              <w:autoSpaceDN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819" w:type="dxa"/>
            <w:tcBorders>
              <w:top w:val="single" w:color="auto" w:sz="4" w:space="0"/>
              <w:left w:val="single" w:color="auto" w:sz="4" w:space="0"/>
              <w:bottom w:val="single" w:color="auto" w:sz="4" w:space="0"/>
              <w:right w:val="single" w:color="auto" w:sz="4" w:space="0"/>
            </w:tcBorders>
            <w:noWrap/>
            <w:vAlign w:val="center"/>
          </w:tcPr>
          <w:p w14:paraId="0700804F">
            <w:pPr>
              <w:topLinePunct/>
              <w:autoSpaceDE w:val="0"/>
              <w:autoSpaceDN w:val="0"/>
              <w:adjustRightInd w:val="0"/>
              <w:snapToGrid w:val="0"/>
              <w:jc w:val="center"/>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0C13ADE0">
            <w:pPr>
              <w:topLinePunct/>
              <w:autoSpaceDE w:val="0"/>
              <w:autoSpaceDN w:val="0"/>
              <w:adjustRightInd w:val="0"/>
              <w:snapToGrid w:val="0"/>
              <w:jc w:val="center"/>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24084BA8">
            <w:pPr>
              <w:topLinePunct/>
              <w:autoSpaceDE w:val="0"/>
              <w:autoSpaceDN w:val="0"/>
              <w:adjustRightInd w:val="0"/>
              <w:snapToGrid w:val="0"/>
              <w:jc w:val="center"/>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015CB5D6">
            <w:pPr>
              <w:topLinePunct/>
              <w:autoSpaceDE w:val="0"/>
              <w:autoSpaceDN w:val="0"/>
              <w:adjustRightInd w:val="0"/>
              <w:snapToGrid w:val="0"/>
              <w:jc w:val="center"/>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58480EC3">
            <w:pPr>
              <w:topLinePunct/>
              <w:autoSpaceDE w:val="0"/>
              <w:autoSpaceDN w:val="0"/>
              <w:adjustRightInd w:val="0"/>
              <w:snapToGrid w:val="0"/>
              <w:jc w:val="center"/>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9AB2709">
            <w:pPr>
              <w:topLinePunct/>
              <w:autoSpaceDE w:val="0"/>
              <w:autoSpaceDN w:val="0"/>
              <w:adjustRightInd w:val="0"/>
              <w:snapToGrid w:val="0"/>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6F594DFD">
            <w:pPr>
              <w:topLinePunct/>
              <w:autoSpaceDE w:val="0"/>
              <w:autoSpaceDN w:val="0"/>
              <w:adjustRightInd w:val="0"/>
              <w:snapToGrid w:val="0"/>
              <w:jc w:val="center"/>
              <w:rPr>
                <w:rFonts w:hint="eastAsia" w:ascii="宋体" w:hAnsi="宋体" w:eastAsia="宋体" w:cs="宋体"/>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172EAE79">
            <w:pPr>
              <w:topLinePunct/>
              <w:autoSpaceDE w:val="0"/>
              <w:autoSpaceDN w:val="0"/>
              <w:adjustRightInd w:val="0"/>
              <w:snapToGrid w:val="0"/>
              <w:jc w:val="center"/>
              <w:rPr>
                <w:rFonts w:hint="eastAsia" w:ascii="宋体" w:hAnsi="宋体" w:eastAsia="宋体" w:cs="宋体"/>
                <w:color w:val="auto"/>
                <w:szCs w:val="21"/>
                <w:highlight w:val="none"/>
              </w:rPr>
            </w:pPr>
          </w:p>
        </w:tc>
      </w:tr>
      <w:tr w14:paraId="1395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5AF62A7E">
            <w:pPr>
              <w:topLinePunct/>
              <w:autoSpaceDE w:val="0"/>
              <w:autoSpaceDN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819" w:type="dxa"/>
            <w:tcBorders>
              <w:top w:val="single" w:color="auto" w:sz="4" w:space="0"/>
              <w:left w:val="single" w:color="auto" w:sz="4" w:space="0"/>
              <w:bottom w:val="single" w:color="auto" w:sz="4" w:space="0"/>
              <w:right w:val="single" w:color="auto" w:sz="4" w:space="0"/>
            </w:tcBorders>
            <w:noWrap/>
            <w:vAlign w:val="center"/>
          </w:tcPr>
          <w:p w14:paraId="03E6B665">
            <w:pPr>
              <w:topLinePunct/>
              <w:autoSpaceDE w:val="0"/>
              <w:autoSpaceDN w:val="0"/>
              <w:adjustRightInd w:val="0"/>
              <w:snapToGrid w:val="0"/>
              <w:jc w:val="center"/>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7BD96807">
            <w:pPr>
              <w:topLinePunct/>
              <w:autoSpaceDE w:val="0"/>
              <w:autoSpaceDN w:val="0"/>
              <w:adjustRightInd w:val="0"/>
              <w:snapToGrid w:val="0"/>
              <w:jc w:val="center"/>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6371D05D">
            <w:pPr>
              <w:topLinePunct/>
              <w:autoSpaceDE w:val="0"/>
              <w:autoSpaceDN w:val="0"/>
              <w:adjustRightInd w:val="0"/>
              <w:snapToGrid w:val="0"/>
              <w:jc w:val="center"/>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729F2438">
            <w:pPr>
              <w:topLinePunct/>
              <w:autoSpaceDE w:val="0"/>
              <w:autoSpaceDN w:val="0"/>
              <w:adjustRightInd w:val="0"/>
              <w:snapToGrid w:val="0"/>
              <w:jc w:val="center"/>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3B32631A">
            <w:pPr>
              <w:topLinePunct/>
              <w:autoSpaceDE w:val="0"/>
              <w:autoSpaceDN w:val="0"/>
              <w:adjustRightInd w:val="0"/>
              <w:snapToGrid w:val="0"/>
              <w:jc w:val="center"/>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C0AC868">
            <w:pPr>
              <w:topLinePunct/>
              <w:autoSpaceDE w:val="0"/>
              <w:autoSpaceDN w:val="0"/>
              <w:adjustRightInd w:val="0"/>
              <w:snapToGrid w:val="0"/>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DB093F2">
            <w:pPr>
              <w:topLinePunct/>
              <w:autoSpaceDE w:val="0"/>
              <w:autoSpaceDN w:val="0"/>
              <w:adjustRightInd w:val="0"/>
              <w:snapToGrid w:val="0"/>
              <w:jc w:val="center"/>
              <w:rPr>
                <w:rFonts w:hint="eastAsia" w:ascii="宋体" w:hAnsi="宋体" w:eastAsia="宋体" w:cs="宋体"/>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1A97757B">
            <w:pPr>
              <w:topLinePunct/>
              <w:autoSpaceDE w:val="0"/>
              <w:autoSpaceDN w:val="0"/>
              <w:adjustRightInd w:val="0"/>
              <w:snapToGrid w:val="0"/>
              <w:jc w:val="center"/>
              <w:rPr>
                <w:rFonts w:hint="eastAsia" w:ascii="宋体" w:hAnsi="宋体" w:eastAsia="宋体" w:cs="宋体"/>
                <w:color w:val="auto"/>
                <w:szCs w:val="21"/>
                <w:highlight w:val="none"/>
              </w:rPr>
            </w:pPr>
          </w:p>
        </w:tc>
      </w:tr>
      <w:tr w14:paraId="200A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67BB887A">
            <w:pPr>
              <w:topLinePunct/>
              <w:autoSpaceDE w:val="0"/>
              <w:autoSpaceDN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819" w:type="dxa"/>
            <w:tcBorders>
              <w:top w:val="single" w:color="auto" w:sz="4" w:space="0"/>
              <w:left w:val="single" w:color="auto" w:sz="4" w:space="0"/>
              <w:bottom w:val="single" w:color="auto" w:sz="4" w:space="0"/>
              <w:right w:val="single" w:color="auto" w:sz="4" w:space="0"/>
            </w:tcBorders>
            <w:noWrap/>
            <w:vAlign w:val="center"/>
          </w:tcPr>
          <w:p w14:paraId="6178EA93">
            <w:pPr>
              <w:topLinePunct/>
              <w:autoSpaceDE w:val="0"/>
              <w:autoSpaceDN w:val="0"/>
              <w:adjustRightInd w:val="0"/>
              <w:snapToGrid w:val="0"/>
              <w:jc w:val="center"/>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97F54A8">
            <w:pPr>
              <w:topLinePunct/>
              <w:autoSpaceDE w:val="0"/>
              <w:autoSpaceDN w:val="0"/>
              <w:adjustRightInd w:val="0"/>
              <w:snapToGrid w:val="0"/>
              <w:jc w:val="center"/>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7AA965F1">
            <w:pPr>
              <w:topLinePunct/>
              <w:autoSpaceDE w:val="0"/>
              <w:autoSpaceDN w:val="0"/>
              <w:adjustRightInd w:val="0"/>
              <w:snapToGrid w:val="0"/>
              <w:jc w:val="center"/>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63FB468A">
            <w:pPr>
              <w:topLinePunct/>
              <w:autoSpaceDE w:val="0"/>
              <w:autoSpaceDN w:val="0"/>
              <w:adjustRightInd w:val="0"/>
              <w:snapToGrid w:val="0"/>
              <w:jc w:val="center"/>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0ECBD52B">
            <w:pPr>
              <w:topLinePunct/>
              <w:autoSpaceDE w:val="0"/>
              <w:autoSpaceDN w:val="0"/>
              <w:adjustRightInd w:val="0"/>
              <w:snapToGrid w:val="0"/>
              <w:jc w:val="center"/>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6322126F">
            <w:pPr>
              <w:topLinePunct/>
              <w:autoSpaceDE w:val="0"/>
              <w:autoSpaceDN w:val="0"/>
              <w:adjustRightInd w:val="0"/>
              <w:snapToGrid w:val="0"/>
              <w:jc w:val="center"/>
              <w:rPr>
                <w:rFonts w:hint="eastAsia" w:ascii="宋体" w:hAnsi="宋体" w:eastAsia="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37CF7B97">
            <w:pPr>
              <w:topLinePunct/>
              <w:autoSpaceDE w:val="0"/>
              <w:autoSpaceDN w:val="0"/>
              <w:adjustRightInd w:val="0"/>
              <w:snapToGrid w:val="0"/>
              <w:jc w:val="center"/>
              <w:rPr>
                <w:rFonts w:hint="eastAsia" w:ascii="宋体" w:hAnsi="宋体" w:eastAsia="宋体" w:cs="宋体"/>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74A24073">
            <w:pPr>
              <w:topLinePunct/>
              <w:autoSpaceDE w:val="0"/>
              <w:autoSpaceDN w:val="0"/>
              <w:adjustRightInd w:val="0"/>
              <w:snapToGrid w:val="0"/>
              <w:jc w:val="center"/>
              <w:rPr>
                <w:rFonts w:hint="eastAsia" w:ascii="宋体" w:hAnsi="宋体" w:eastAsia="宋体" w:cs="宋体"/>
                <w:color w:val="auto"/>
                <w:szCs w:val="21"/>
                <w:highlight w:val="none"/>
              </w:rPr>
            </w:pPr>
          </w:p>
        </w:tc>
      </w:tr>
    </w:tbl>
    <w:p w14:paraId="3AAD4CCF">
      <w:pPr>
        <w:topLinePunct/>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bookmarkEnd w:id="227"/>
    <w:bookmarkEnd w:id="228"/>
    <w:bookmarkEnd w:id="229"/>
    <w:bookmarkEnd w:id="230"/>
    <w:bookmarkEnd w:id="231"/>
    <w:bookmarkEnd w:id="232"/>
    <w:p w14:paraId="45FCD7AD">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1.投标人根据实际情况，按照第三章《评标方法及标准》进行提供。</w:t>
      </w:r>
    </w:p>
    <w:p w14:paraId="7A272669">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2.应提供合同复印件（线上采购项目提供扫描件，下同）。合同复印件应能清晰体现合同甲乙双方、合同时间、合同金额、合同主要内容等，并提供对方联系人及联系方式，否则不能获得相应分值。</w:t>
      </w:r>
    </w:p>
    <w:p w14:paraId="7347FAE6">
      <w:pPr>
        <w:pStyle w:val="12"/>
        <w:topLinePunct/>
        <w:autoSpaceDE w:val="0"/>
        <w:autoSpaceDN w:val="0"/>
        <w:spacing w:line="460" w:lineRule="exact"/>
        <w:jc w:val="center"/>
        <w:rPr>
          <w:rFonts w:hint="eastAsia" w:ascii="宋体" w:hAnsi="宋体" w:eastAsia="宋体" w:cs="宋体"/>
          <w:b/>
          <w:bCs/>
          <w:color w:val="auto"/>
          <w:sz w:val="36"/>
          <w:szCs w:val="36"/>
          <w:highlight w:val="none"/>
        </w:rPr>
      </w:pPr>
    </w:p>
    <w:p w14:paraId="65335022">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41B15569">
      <w:pPr>
        <w:widowControl w:val="0"/>
        <w:overflowPunct/>
        <w:autoSpaceDE/>
        <w:autoSpaceDN/>
        <w:adjustRightInd/>
        <w:spacing w:before="0" w:beforeAutospacing="0" w:after="0" w:afterAutospacing="0" w:line="240" w:lineRule="auto"/>
        <w:ind w:firstLine="0" w:firstLineChars="0"/>
        <w:jc w:val="center"/>
        <w:textAlignment w:val="auto"/>
        <w:outlineLvl w:val="1"/>
        <w:rPr>
          <w:rFonts w:ascii="Calibri" w:hAnsi="Calibri" w:eastAsia="宋体" w:cs="Times New Roman"/>
          <w:bCs w:val="0"/>
          <w:color w:val="auto"/>
          <w:kern w:val="2"/>
          <w:szCs w:val="22"/>
          <w:highlight w:val="none"/>
        </w:rPr>
      </w:pPr>
      <w:bookmarkStart w:id="266" w:name="_Toc6682"/>
      <w:bookmarkStart w:id="267" w:name="_Toc23380"/>
      <w:r>
        <w:rPr>
          <w:rFonts w:ascii="Times New Roman" w:hAnsi="Times New Roman" w:eastAsia="宋体" w:cs="Times New Roman"/>
          <w:b/>
          <w:bCs/>
          <w:color w:val="auto"/>
          <w:kern w:val="2"/>
          <w:sz w:val="28"/>
          <w:szCs w:val="28"/>
          <w:highlight w:val="none"/>
        </w:rPr>
        <w:t>格式</w:t>
      </w:r>
      <w:r>
        <w:rPr>
          <w:rFonts w:hint="eastAsia" w:ascii="Times New Roman" w:hAnsi="Times New Roman" w:eastAsia="宋体" w:cs="Times New Roman"/>
          <w:b/>
          <w:bCs/>
          <w:color w:val="auto"/>
          <w:kern w:val="2"/>
          <w:sz w:val="28"/>
          <w:szCs w:val="28"/>
          <w:highlight w:val="none"/>
          <w:lang w:val="en-US" w:eastAsia="zh-CN"/>
        </w:rPr>
        <w:t>1</w:t>
      </w:r>
      <w:r>
        <w:rPr>
          <w:rFonts w:hint="eastAsia" w:ascii="Times New Roman" w:hAnsi="Times New Roman" w:cs="Times New Roman"/>
          <w:b/>
          <w:bCs/>
          <w:color w:val="auto"/>
          <w:kern w:val="2"/>
          <w:sz w:val="28"/>
          <w:szCs w:val="28"/>
          <w:highlight w:val="none"/>
          <w:lang w:val="en-US" w:eastAsia="zh-CN"/>
        </w:rPr>
        <w:t>5</w:t>
      </w:r>
      <w:r>
        <w:rPr>
          <w:rFonts w:ascii="Times New Roman" w:hAnsi="Times New Roman" w:eastAsia="宋体" w:cs="Times New Roman"/>
          <w:b/>
          <w:bCs/>
          <w:color w:val="auto"/>
          <w:kern w:val="2"/>
          <w:sz w:val="28"/>
          <w:szCs w:val="28"/>
          <w:highlight w:val="none"/>
        </w:rPr>
        <w:t xml:space="preserve"> </w:t>
      </w:r>
      <w:r>
        <w:rPr>
          <w:rFonts w:hint="eastAsia" w:ascii="宋体" w:hAnsi="宋体" w:eastAsia="宋体" w:cs="宋体"/>
          <w:b/>
          <w:bCs/>
          <w:color w:val="auto"/>
          <w:kern w:val="2"/>
          <w:sz w:val="28"/>
          <w:szCs w:val="28"/>
          <w:highlight w:val="none"/>
          <w:lang w:val="en-US" w:eastAsia="zh-CN" w:bidi="ar"/>
        </w:rPr>
        <w:t xml:space="preserve"> </w:t>
      </w:r>
      <w:r>
        <w:rPr>
          <w:rFonts w:hint="eastAsia" w:ascii="宋体" w:hAnsi="宋体" w:eastAsia="宋体" w:cs="Times New Roman"/>
          <w:b/>
          <w:bCs/>
          <w:color w:val="auto"/>
          <w:kern w:val="2"/>
          <w:sz w:val="36"/>
          <w:szCs w:val="36"/>
          <w:highlight w:val="none"/>
          <w:lang w:val="en-US" w:eastAsia="zh-CN" w:bidi="ar-SA"/>
        </w:rPr>
        <w:t>关于符合本国产品标准的声明函</w:t>
      </w:r>
      <w:bookmarkEnd w:id="266"/>
      <w:bookmarkEnd w:id="267"/>
    </w:p>
    <w:p w14:paraId="36109EF6">
      <w:pPr>
        <w:widowControl w:val="0"/>
        <w:snapToGrid w:val="0"/>
        <w:spacing w:before="0" w:beforeAutospacing="0" w:after="0" w:afterAutospacing="0" w:line="360" w:lineRule="auto"/>
        <w:ind w:firstLine="480" w:firstLineChars="200"/>
        <w:jc w:val="both"/>
        <w:rPr>
          <w:rFonts w:hint="default" w:ascii="宋体" w:hAnsi="宋体" w:eastAsia="宋体" w:cs="Courier New"/>
          <w:color w:val="auto"/>
          <w:kern w:val="2"/>
          <w:sz w:val="24"/>
          <w:szCs w:val="24"/>
          <w:highlight w:val="none"/>
          <w:lang w:val="en-US" w:eastAsia="zh-CN" w:bidi="ar-SA"/>
        </w:rPr>
      </w:pPr>
    </w:p>
    <w:p w14:paraId="4D749DA5">
      <w:pPr>
        <w:widowControl w:val="0"/>
        <w:snapToGrid w:val="0"/>
        <w:spacing w:before="0" w:beforeAutospacing="0" w:after="0" w:afterAutospacing="0" w:line="360" w:lineRule="auto"/>
        <w:ind w:firstLine="480" w:firstLineChars="200"/>
        <w:jc w:val="both"/>
        <w:rPr>
          <w:rFonts w:hint="default" w:ascii="宋体" w:hAnsi="宋体" w:eastAsia="宋体" w:cs="Courier New"/>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448E86E0">
      <w:pPr>
        <w:widowControl w:val="0"/>
        <w:snapToGrid w:val="0"/>
        <w:spacing w:before="0" w:beforeAutospacing="0" w:after="0" w:afterAutospacing="0" w:line="360" w:lineRule="auto"/>
        <w:ind w:firstLine="480" w:firstLineChars="200"/>
        <w:jc w:val="both"/>
        <w:rPr>
          <w:rFonts w:hint="default" w:ascii="宋体" w:hAnsi="宋体" w:eastAsia="宋体" w:cs="Courier New"/>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1.</w:t>
      </w:r>
      <w:r>
        <w:rPr>
          <w:rFonts w:hint="default" w:ascii="宋体" w:hAnsi="宋体" w:eastAsia="宋体" w:cs="Times New Roman"/>
          <w:i/>
          <w:iCs/>
          <w:color w:val="auto"/>
          <w:kern w:val="2"/>
          <w:sz w:val="24"/>
          <w:szCs w:val="24"/>
          <w:highlight w:val="none"/>
          <w:u w:val="single"/>
          <w:lang w:val="en-US" w:eastAsia="zh-CN" w:bidi="ar-SA"/>
        </w:rPr>
        <w:t>（产品名称1）</w:t>
      </w:r>
      <w:r>
        <w:rPr>
          <w:rStyle w:val="30"/>
          <w:rFonts w:hint="default" w:ascii="Calibri" w:hAnsi="宋体" w:eastAsia="宋体" w:cs="Times New Roman"/>
          <w:i/>
          <w:iCs/>
          <w:color w:val="auto"/>
          <w:kern w:val="2"/>
          <w:sz w:val="24"/>
          <w:szCs w:val="24"/>
          <w:highlight w:val="none"/>
          <w:lang w:val="en-US" w:eastAsia="zh-CN" w:bidi="ar-SA"/>
        </w:rPr>
        <w:footnoteReference w:id="0"/>
      </w:r>
      <w:r>
        <w:rPr>
          <w:rFonts w:hint="default" w:ascii="宋体" w:hAnsi="宋体" w:eastAsia="宋体" w:cs="Times New Roman"/>
          <w:color w:val="auto"/>
          <w:kern w:val="2"/>
          <w:sz w:val="24"/>
          <w:szCs w:val="24"/>
          <w:highlight w:val="none"/>
          <w:lang w:val="en-US" w:eastAsia="zh-CN" w:bidi="ar-SA"/>
        </w:rPr>
        <w:t>，生产厂为</w:t>
      </w:r>
      <w:r>
        <w:rPr>
          <w:rFonts w:hint="default" w:ascii="宋体" w:hAnsi="宋体" w:eastAsia="宋体" w:cs="Times New Roman"/>
          <w:i/>
          <w:iCs/>
          <w:color w:val="auto"/>
          <w:kern w:val="2"/>
          <w:sz w:val="24"/>
          <w:szCs w:val="24"/>
          <w:highlight w:val="none"/>
          <w:u w:val="single"/>
          <w:lang w:val="en-US" w:eastAsia="zh-CN" w:bidi="ar-SA"/>
        </w:rPr>
        <w:t>（厂名）</w:t>
      </w:r>
      <w:r>
        <w:rPr>
          <w:rStyle w:val="30"/>
          <w:rFonts w:hint="default" w:ascii="Calibri" w:hAnsi="宋体" w:eastAsia="宋体" w:cs="Times New Roman"/>
          <w:i/>
          <w:iCs/>
          <w:color w:val="auto"/>
          <w:kern w:val="2"/>
          <w:sz w:val="24"/>
          <w:szCs w:val="24"/>
          <w:highlight w:val="none"/>
          <w:lang w:val="en-US" w:eastAsia="zh-CN" w:bidi="ar-SA"/>
        </w:rPr>
        <w:footnoteReference w:id="1"/>
      </w:r>
      <w:r>
        <w:rPr>
          <w:rFonts w:hint="default" w:ascii="宋体" w:hAnsi="宋体" w:eastAsia="宋体" w:cs="Times New Roman"/>
          <w:color w:val="auto"/>
          <w:kern w:val="2"/>
          <w:sz w:val="24"/>
          <w:szCs w:val="24"/>
          <w:highlight w:val="none"/>
          <w:lang w:val="en-US" w:eastAsia="zh-CN" w:bidi="ar-SA"/>
        </w:rPr>
        <w:t>，厂址为</w:t>
      </w:r>
      <w:r>
        <w:rPr>
          <w:rFonts w:hint="default" w:ascii="宋体" w:hAnsi="宋体" w:eastAsia="宋体" w:cs="Times New Roman"/>
          <w:i/>
          <w:iCs/>
          <w:color w:val="auto"/>
          <w:kern w:val="2"/>
          <w:sz w:val="24"/>
          <w:szCs w:val="24"/>
          <w:highlight w:val="none"/>
          <w:u w:val="single"/>
          <w:lang w:val="en-US" w:eastAsia="zh-CN" w:bidi="ar-SA"/>
        </w:rPr>
        <w:t>（生产厂址）</w:t>
      </w:r>
      <w:r>
        <w:rPr>
          <w:rFonts w:hint="default" w:ascii="宋体" w:hAnsi="宋体" w:eastAsia="宋体" w:cs="Times New Roman"/>
          <w:color w:val="auto"/>
          <w:kern w:val="2"/>
          <w:sz w:val="24"/>
          <w:szCs w:val="24"/>
          <w:highlight w:val="none"/>
          <w:lang w:val="en-US" w:eastAsia="zh-CN" w:bidi="ar-SA"/>
        </w:rPr>
        <w:t>。</w:t>
      </w:r>
      <w:r>
        <w:rPr>
          <w:rFonts w:hint="default" w:ascii="宋体" w:hAnsi="宋体" w:eastAsia="宋体" w:cs="Times New Roman"/>
          <w:i/>
          <w:iCs/>
          <w:color w:val="auto"/>
          <w:kern w:val="2"/>
          <w:sz w:val="24"/>
          <w:szCs w:val="24"/>
          <w:highlight w:val="none"/>
          <w:u w:val="single"/>
          <w:lang w:val="en-US" w:eastAsia="zh-CN" w:bidi="ar-SA"/>
        </w:rPr>
        <w:t>（产品名称1）</w:t>
      </w:r>
      <w:r>
        <w:rPr>
          <w:rFonts w:hint="default" w:ascii="宋体" w:hAnsi="宋体" w:eastAsia="宋体" w:cs="Times New Roman"/>
          <w:color w:val="auto"/>
          <w:kern w:val="2"/>
          <w:sz w:val="24"/>
          <w:szCs w:val="24"/>
          <w:highlight w:val="none"/>
          <w:lang w:val="en-US" w:eastAsia="zh-CN" w:bidi="ar-SA"/>
        </w:rPr>
        <w:t>的中国境内生产的组件成本占比≥</w:t>
      </w:r>
      <w:r>
        <w:rPr>
          <w:rFonts w:hint="default" w:ascii="宋体" w:hAnsi="宋体" w:eastAsia="宋体" w:cs="Times New Roman"/>
          <w:i/>
          <w:iCs/>
          <w:color w:val="auto"/>
          <w:kern w:val="2"/>
          <w:sz w:val="24"/>
          <w:szCs w:val="24"/>
          <w:highlight w:val="none"/>
          <w:u w:val="single"/>
          <w:lang w:val="en-US" w:eastAsia="zh-CN" w:bidi="ar-SA"/>
        </w:rPr>
        <w:t>（规定比例）</w:t>
      </w:r>
      <w:r>
        <w:rPr>
          <w:rStyle w:val="30"/>
          <w:rFonts w:hint="default" w:ascii="Calibri" w:hAnsi="宋体" w:eastAsia="宋体" w:cs="Times New Roman"/>
          <w:i/>
          <w:iCs/>
          <w:color w:val="auto"/>
          <w:kern w:val="2"/>
          <w:sz w:val="24"/>
          <w:szCs w:val="24"/>
          <w:highlight w:val="none"/>
          <w:lang w:val="en-US" w:eastAsia="zh-CN" w:bidi="ar-SA"/>
        </w:rPr>
        <w:footnoteReference w:id="2"/>
      </w:r>
      <w:r>
        <w:rPr>
          <w:rFonts w:hint="default" w:ascii="宋体" w:hAnsi="宋体" w:eastAsia="宋体" w:cs="Times New Roman"/>
          <w:color w:val="auto"/>
          <w:kern w:val="2"/>
          <w:sz w:val="24"/>
          <w:szCs w:val="24"/>
          <w:highlight w:val="none"/>
          <w:lang w:val="en-US" w:eastAsia="zh-CN" w:bidi="ar-SA"/>
        </w:rPr>
        <w:t>。</w:t>
      </w:r>
      <w:r>
        <w:rPr>
          <w:rFonts w:hint="default" w:ascii="宋体" w:hAnsi="宋体" w:eastAsia="宋体" w:cs="Times New Roman"/>
          <w:i/>
          <w:iCs/>
          <w:color w:val="auto"/>
          <w:kern w:val="2"/>
          <w:sz w:val="24"/>
          <w:szCs w:val="24"/>
          <w:highlight w:val="none"/>
          <w:u w:val="single"/>
          <w:lang w:val="en-US" w:eastAsia="zh-CN" w:bidi="ar-SA"/>
        </w:rPr>
        <w:t>（产品名称1）</w:t>
      </w:r>
      <w:r>
        <w:rPr>
          <w:rFonts w:hint="default" w:ascii="宋体" w:hAnsi="宋体" w:eastAsia="宋体" w:cs="Times New Roman"/>
          <w:color w:val="auto"/>
          <w:kern w:val="2"/>
          <w:sz w:val="24"/>
          <w:szCs w:val="24"/>
          <w:highlight w:val="none"/>
          <w:lang w:val="en-US" w:eastAsia="zh-CN" w:bidi="ar-SA"/>
        </w:rPr>
        <w:t>的</w:t>
      </w:r>
      <w:r>
        <w:rPr>
          <w:rFonts w:hint="default" w:ascii="宋体" w:hAnsi="宋体" w:eastAsia="宋体" w:cs="Times New Roman"/>
          <w:i/>
          <w:iCs/>
          <w:color w:val="auto"/>
          <w:kern w:val="2"/>
          <w:sz w:val="24"/>
          <w:szCs w:val="24"/>
          <w:highlight w:val="none"/>
          <w:u w:val="single"/>
          <w:lang w:val="en-US" w:eastAsia="zh-CN" w:bidi="ar-SA"/>
        </w:rPr>
        <w:t>（关键组件）</w:t>
      </w:r>
      <w:r>
        <w:rPr>
          <w:rStyle w:val="30"/>
          <w:rFonts w:hint="default" w:ascii="Calibri" w:hAnsi="宋体" w:eastAsia="宋体" w:cs="Times New Roman"/>
          <w:i/>
          <w:iCs/>
          <w:color w:val="auto"/>
          <w:kern w:val="2"/>
          <w:sz w:val="24"/>
          <w:szCs w:val="24"/>
          <w:highlight w:val="none"/>
          <w:lang w:val="en-US" w:eastAsia="zh-CN" w:bidi="ar-SA"/>
        </w:rPr>
        <w:footnoteReference w:id="3"/>
      </w:r>
      <w:r>
        <w:rPr>
          <w:rFonts w:hint="default" w:ascii="宋体" w:hAnsi="宋体" w:eastAsia="宋体" w:cs="Times New Roman"/>
          <w:color w:val="auto"/>
          <w:kern w:val="2"/>
          <w:sz w:val="24"/>
          <w:szCs w:val="24"/>
          <w:highlight w:val="none"/>
          <w:lang w:val="en-US" w:eastAsia="zh-CN" w:bidi="ar-SA"/>
        </w:rPr>
        <w:t>在中国境内生产。</w:t>
      </w:r>
      <w:r>
        <w:rPr>
          <w:rFonts w:hint="default" w:ascii="宋体" w:hAnsi="宋体" w:eastAsia="宋体" w:cs="Times New Roman"/>
          <w:i/>
          <w:iCs/>
          <w:color w:val="auto"/>
          <w:kern w:val="2"/>
          <w:sz w:val="24"/>
          <w:szCs w:val="24"/>
          <w:highlight w:val="none"/>
          <w:u w:val="single"/>
          <w:lang w:val="en-US" w:eastAsia="zh-CN" w:bidi="ar-SA"/>
        </w:rPr>
        <w:t>（产品名称1）</w:t>
      </w:r>
      <w:r>
        <w:rPr>
          <w:rFonts w:hint="default" w:ascii="宋体" w:hAnsi="宋体" w:eastAsia="宋体" w:cs="Times New Roman"/>
          <w:color w:val="auto"/>
          <w:kern w:val="2"/>
          <w:sz w:val="24"/>
          <w:szCs w:val="24"/>
          <w:highlight w:val="none"/>
          <w:lang w:val="en-US" w:eastAsia="zh-CN" w:bidi="ar-SA"/>
        </w:rPr>
        <w:t>的</w:t>
      </w:r>
      <w:r>
        <w:rPr>
          <w:rFonts w:hint="default" w:ascii="宋体" w:hAnsi="宋体" w:eastAsia="宋体" w:cs="Times New Roman"/>
          <w:i/>
          <w:iCs/>
          <w:color w:val="auto"/>
          <w:kern w:val="2"/>
          <w:sz w:val="24"/>
          <w:szCs w:val="24"/>
          <w:highlight w:val="none"/>
          <w:u w:val="single"/>
          <w:lang w:val="en-US" w:eastAsia="zh-CN" w:bidi="ar-SA"/>
        </w:rPr>
        <w:t>（关键工序）</w:t>
      </w:r>
      <w:r>
        <w:rPr>
          <w:rStyle w:val="30"/>
          <w:rFonts w:hint="default" w:ascii="Calibri" w:hAnsi="宋体" w:eastAsia="宋体" w:cs="Times New Roman"/>
          <w:i/>
          <w:iCs/>
          <w:color w:val="auto"/>
          <w:kern w:val="2"/>
          <w:sz w:val="24"/>
          <w:szCs w:val="24"/>
          <w:highlight w:val="none"/>
          <w:lang w:val="en-US" w:eastAsia="zh-CN" w:bidi="ar-SA"/>
        </w:rPr>
        <w:footnoteReference w:id="4"/>
      </w:r>
      <w:r>
        <w:rPr>
          <w:rFonts w:hint="default" w:ascii="宋体" w:hAnsi="宋体" w:eastAsia="宋体" w:cs="Times New Roman"/>
          <w:color w:val="auto"/>
          <w:kern w:val="2"/>
          <w:sz w:val="24"/>
          <w:szCs w:val="24"/>
          <w:highlight w:val="none"/>
          <w:lang w:val="en-US" w:eastAsia="zh-CN" w:bidi="ar-SA"/>
        </w:rPr>
        <w:t>在中国境内完成。</w:t>
      </w:r>
    </w:p>
    <w:p w14:paraId="6BB92563">
      <w:pPr>
        <w:widowControl w:val="0"/>
        <w:snapToGrid w:val="0"/>
        <w:spacing w:before="0" w:beforeAutospacing="0" w:after="0" w:afterAutospacing="0" w:line="360" w:lineRule="auto"/>
        <w:ind w:firstLine="480" w:firstLineChars="200"/>
        <w:jc w:val="both"/>
        <w:rPr>
          <w:rFonts w:hint="default" w:ascii="宋体" w:hAnsi="宋体" w:eastAsia="宋体" w:cs="Courier New"/>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2.</w:t>
      </w:r>
      <w:r>
        <w:rPr>
          <w:rFonts w:hint="default" w:ascii="宋体" w:hAnsi="宋体" w:eastAsia="宋体" w:cs="Times New Roman"/>
          <w:i/>
          <w:iCs/>
          <w:color w:val="auto"/>
          <w:kern w:val="2"/>
          <w:sz w:val="24"/>
          <w:szCs w:val="24"/>
          <w:highlight w:val="none"/>
          <w:u w:val="single"/>
          <w:lang w:val="en-US" w:eastAsia="zh-CN" w:bidi="ar-SA"/>
        </w:rPr>
        <w:t>（产品名称2）</w:t>
      </w:r>
      <w:r>
        <w:rPr>
          <w:rFonts w:hint="default" w:ascii="宋体" w:hAnsi="宋体" w:eastAsia="宋体" w:cs="Times New Roman"/>
          <w:color w:val="auto"/>
          <w:kern w:val="2"/>
          <w:sz w:val="24"/>
          <w:szCs w:val="24"/>
          <w:highlight w:val="none"/>
          <w:lang w:val="en-US" w:eastAsia="zh-CN" w:bidi="ar-SA"/>
        </w:rPr>
        <w:t>，生产厂为</w:t>
      </w:r>
      <w:r>
        <w:rPr>
          <w:rFonts w:hint="default" w:ascii="宋体" w:hAnsi="宋体" w:eastAsia="宋体" w:cs="Times New Roman"/>
          <w:i/>
          <w:iCs/>
          <w:color w:val="auto"/>
          <w:kern w:val="2"/>
          <w:sz w:val="24"/>
          <w:szCs w:val="24"/>
          <w:highlight w:val="none"/>
          <w:u w:val="single"/>
          <w:lang w:val="en-US" w:eastAsia="zh-CN" w:bidi="ar-SA"/>
        </w:rPr>
        <w:t>（厂名）</w:t>
      </w:r>
      <w:r>
        <w:rPr>
          <w:rFonts w:hint="default" w:ascii="宋体" w:hAnsi="宋体" w:eastAsia="宋体" w:cs="Times New Roman"/>
          <w:color w:val="auto"/>
          <w:kern w:val="2"/>
          <w:sz w:val="24"/>
          <w:szCs w:val="24"/>
          <w:highlight w:val="none"/>
          <w:lang w:val="en-US" w:eastAsia="zh-CN" w:bidi="ar-SA"/>
        </w:rPr>
        <w:t>，厂址为</w:t>
      </w:r>
      <w:r>
        <w:rPr>
          <w:rFonts w:hint="default" w:ascii="宋体" w:hAnsi="宋体" w:eastAsia="宋体" w:cs="Times New Roman"/>
          <w:i/>
          <w:iCs/>
          <w:color w:val="auto"/>
          <w:kern w:val="2"/>
          <w:sz w:val="24"/>
          <w:szCs w:val="24"/>
          <w:highlight w:val="none"/>
          <w:u w:val="single"/>
          <w:lang w:val="en-US" w:eastAsia="zh-CN" w:bidi="ar-SA"/>
        </w:rPr>
        <w:t>（生产厂址）</w:t>
      </w:r>
      <w:r>
        <w:rPr>
          <w:rFonts w:hint="default" w:ascii="宋体" w:hAnsi="宋体" w:eastAsia="宋体" w:cs="Times New Roman"/>
          <w:color w:val="auto"/>
          <w:kern w:val="2"/>
          <w:sz w:val="24"/>
          <w:szCs w:val="24"/>
          <w:highlight w:val="none"/>
          <w:lang w:val="en-US" w:eastAsia="zh-CN" w:bidi="ar-SA"/>
        </w:rPr>
        <w:t>。</w:t>
      </w:r>
      <w:r>
        <w:rPr>
          <w:rFonts w:hint="default" w:ascii="宋体" w:hAnsi="宋体" w:eastAsia="宋体" w:cs="Times New Roman"/>
          <w:i/>
          <w:iCs/>
          <w:color w:val="auto"/>
          <w:kern w:val="2"/>
          <w:sz w:val="24"/>
          <w:szCs w:val="24"/>
          <w:highlight w:val="none"/>
          <w:u w:val="single"/>
          <w:lang w:val="en-US" w:eastAsia="zh-CN" w:bidi="ar-SA"/>
        </w:rPr>
        <w:t>（产品名称2）</w:t>
      </w:r>
      <w:r>
        <w:rPr>
          <w:rFonts w:hint="default" w:ascii="宋体" w:hAnsi="宋体" w:eastAsia="宋体" w:cs="Times New Roman"/>
          <w:color w:val="auto"/>
          <w:kern w:val="2"/>
          <w:sz w:val="24"/>
          <w:szCs w:val="24"/>
          <w:highlight w:val="none"/>
          <w:lang w:val="en-US" w:eastAsia="zh-CN" w:bidi="ar-SA"/>
        </w:rPr>
        <w:t>的中国境内生产的组件成本占比≥</w:t>
      </w:r>
      <w:r>
        <w:rPr>
          <w:rFonts w:hint="default" w:ascii="宋体" w:hAnsi="宋体" w:eastAsia="宋体" w:cs="Times New Roman"/>
          <w:i/>
          <w:iCs/>
          <w:color w:val="auto"/>
          <w:kern w:val="2"/>
          <w:sz w:val="24"/>
          <w:szCs w:val="24"/>
          <w:highlight w:val="none"/>
          <w:u w:val="single"/>
          <w:lang w:val="en-US" w:eastAsia="zh-CN" w:bidi="ar-SA"/>
        </w:rPr>
        <w:t>（规定比例）</w:t>
      </w:r>
      <w:r>
        <w:rPr>
          <w:rFonts w:hint="default" w:ascii="宋体" w:hAnsi="宋体" w:eastAsia="宋体" w:cs="Times New Roman"/>
          <w:color w:val="auto"/>
          <w:kern w:val="2"/>
          <w:sz w:val="24"/>
          <w:szCs w:val="24"/>
          <w:highlight w:val="none"/>
          <w:lang w:val="en-US" w:eastAsia="zh-CN" w:bidi="ar-SA"/>
        </w:rPr>
        <w:t>。</w:t>
      </w:r>
      <w:r>
        <w:rPr>
          <w:rFonts w:hint="default" w:ascii="宋体" w:hAnsi="宋体" w:eastAsia="宋体" w:cs="Times New Roman"/>
          <w:i/>
          <w:iCs/>
          <w:color w:val="auto"/>
          <w:kern w:val="2"/>
          <w:sz w:val="24"/>
          <w:szCs w:val="24"/>
          <w:highlight w:val="none"/>
          <w:u w:val="single"/>
          <w:lang w:val="en-US" w:eastAsia="zh-CN" w:bidi="ar-SA"/>
        </w:rPr>
        <w:t>（产品名称2）</w:t>
      </w:r>
      <w:r>
        <w:rPr>
          <w:rFonts w:hint="default" w:ascii="宋体" w:hAnsi="宋体" w:eastAsia="宋体" w:cs="Times New Roman"/>
          <w:color w:val="auto"/>
          <w:kern w:val="2"/>
          <w:sz w:val="24"/>
          <w:szCs w:val="24"/>
          <w:highlight w:val="none"/>
          <w:lang w:val="en-US" w:eastAsia="zh-CN" w:bidi="ar-SA"/>
        </w:rPr>
        <w:t>的</w:t>
      </w:r>
      <w:r>
        <w:rPr>
          <w:rFonts w:hint="default" w:ascii="宋体" w:hAnsi="宋体" w:eastAsia="宋体" w:cs="Times New Roman"/>
          <w:i/>
          <w:iCs/>
          <w:color w:val="auto"/>
          <w:kern w:val="2"/>
          <w:sz w:val="24"/>
          <w:szCs w:val="24"/>
          <w:highlight w:val="none"/>
          <w:u w:val="single"/>
          <w:lang w:val="en-US" w:eastAsia="zh-CN" w:bidi="ar-SA"/>
        </w:rPr>
        <w:t>（关键组件）</w:t>
      </w:r>
      <w:r>
        <w:rPr>
          <w:rFonts w:hint="default" w:ascii="宋体" w:hAnsi="宋体" w:eastAsia="宋体" w:cs="Times New Roman"/>
          <w:color w:val="auto"/>
          <w:kern w:val="2"/>
          <w:sz w:val="24"/>
          <w:szCs w:val="24"/>
          <w:highlight w:val="none"/>
          <w:lang w:val="en-US" w:eastAsia="zh-CN" w:bidi="ar-SA"/>
        </w:rPr>
        <w:t>在中国境内生产。</w:t>
      </w:r>
      <w:r>
        <w:rPr>
          <w:rFonts w:hint="default" w:ascii="宋体" w:hAnsi="宋体" w:eastAsia="宋体" w:cs="Times New Roman"/>
          <w:i/>
          <w:iCs/>
          <w:color w:val="auto"/>
          <w:kern w:val="2"/>
          <w:sz w:val="24"/>
          <w:szCs w:val="24"/>
          <w:highlight w:val="none"/>
          <w:u w:val="single"/>
          <w:lang w:val="en-US" w:eastAsia="zh-CN" w:bidi="ar-SA"/>
        </w:rPr>
        <w:t>（产品名称2）</w:t>
      </w:r>
      <w:r>
        <w:rPr>
          <w:rFonts w:hint="default" w:ascii="宋体" w:hAnsi="宋体" w:eastAsia="宋体" w:cs="Times New Roman"/>
          <w:color w:val="auto"/>
          <w:kern w:val="2"/>
          <w:sz w:val="24"/>
          <w:szCs w:val="24"/>
          <w:highlight w:val="none"/>
          <w:lang w:val="en-US" w:eastAsia="zh-CN" w:bidi="ar-SA"/>
        </w:rPr>
        <w:t>的</w:t>
      </w:r>
      <w:r>
        <w:rPr>
          <w:rFonts w:hint="default" w:ascii="宋体" w:hAnsi="宋体" w:eastAsia="宋体" w:cs="Times New Roman"/>
          <w:i/>
          <w:iCs/>
          <w:color w:val="auto"/>
          <w:kern w:val="2"/>
          <w:sz w:val="24"/>
          <w:szCs w:val="24"/>
          <w:highlight w:val="none"/>
          <w:u w:val="single"/>
          <w:lang w:val="en-US" w:eastAsia="zh-CN" w:bidi="ar-SA"/>
        </w:rPr>
        <w:t>（关键工序）</w:t>
      </w:r>
      <w:r>
        <w:rPr>
          <w:rFonts w:hint="default" w:ascii="宋体" w:hAnsi="宋体" w:eastAsia="宋体" w:cs="Times New Roman"/>
          <w:color w:val="auto"/>
          <w:kern w:val="2"/>
          <w:sz w:val="24"/>
          <w:szCs w:val="24"/>
          <w:highlight w:val="none"/>
          <w:lang w:val="en-US" w:eastAsia="zh-CN" w:bidi="ar-SA"/>
        </w:rPr>
        <w:t>在中国境内完成。</w:t>
      </w:r>
    </w:p>
    <w:p w14:paraId="2499F1AC">
      <w:pPr>
        <w:widowControl w:val="0"/>
        <w:snapToGrid w:val="0"/>
        <w:spacing w:before="0" w:beforeAutospacing="0" w:after="0" w:afterAutospacing="0" w:line="360" w:lineRule="auto"/>
        <w:ind w:firstLine="480" w:firstLineChars="200"/>
        <w:jc w:val="both"/>
        <w:rPr>
          <w:rFonts w:hint="default" w:ascii="宋体" w:hAnsi="宋体" w:eastAsia="宋体" w:cs="Courier New"/>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w:t>
      </w:r>
    </w:p>
    <w:p w14:paraId="116EDACF">
      <w:pPr>
        <w:widowControl w:val="0"/>
        <w:snapToGrid w:val="0"/>
        <w:spacing w:before="0" w:beforeAutospacing="0" w:after="0" w:afterAutospacing="0" w:line="360" w:lineRule="auto"/>
        <w:ind w:firstLine="480" w:firstLineChars="200"/>
        <w:jc w:val="both"/>
        <w:rPr>
          <w:rFonts w:hint="default" w:ascii="宋体" w:hAnsi="宋体" w:eastAsia="宋体" w:cs="Courier New"/>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本公司（单位）对上述声明内容的真实性负责。如有虚假，愿承担相应法律责任。</w:t>
      </w:r>
    </w:p>
    <w:p w14:paraId="0E5F5D5E">
      <w:pPr>
        <w:widowControl w:val="0"/>
        <w:snapToGrid w:val="0"/>
        <w:spacing w:before="0" w:beforeAutospacing="0" w:after="0" w:afterAutospacing="0" w:line="360" w:lineRule="auto"/>
        <w:ind w:firstLine="480" w:firstLineChars="200"/>
        <w:jc w:val="right"/>
        <w:rPr>
          <w:rFonts w:hint="default" w:ascii="宋体" w:hAnsi="宋体" w:eastAsia="宋体" w:cs="Courier New"/>
          <w:color w:val="auto"/>
          <w:kern w:val="2"/>
          <w:sz w:val="24"/>
          <w:szCs w:val="24"/>
          <w:highlight w:val="none"/>
          <w:lang w:val="en-US" w:eastAsia="zh-CN" w:bidi="ar-SA"/>
        </w:rPr>
      </w:pPr>
    </w:p>
    <w:p w14:paraId="2F463750">
      <w:pPr>
        <w:widowControl w:val="0"/>
        <w:snapToGrid w:val="0"/>
        <w:spacing w:before="0" w:beforeAutospacing="0" w:after="0" w:afterAutospacing="0" w:line="360" w:lineRule="auto"/>
        <w:ind w:firstLine="480" w:firstLineChars="200"/>
        <w:jc w:val="right"/>
        <w:rPr>
          <w:rFonts w:hint="default" w:ascii="宋体" w:hAnsi="宋体" w:eastAsia="宋体" w:cs="Courier New"/>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 xml:space="preserve">    </w:t>
      </w:r>
      <w:r>
        <w:rPr>
          <w:rFonts w:hint="default" w:ascii="宋体" w:hAnsi="宋体" w:eastAsia="宋体" w:cs="Times New Roman"/>
          <w:color w:val="auto"/>
          <w:kern w:val="2"/>
          <w:sz w:val="24"/>
          <w:szCs w:val="24"/>
          <w:highlight w:val="none"/>
          <w:lang w:val="en-US" w:eastAsia="zh-CN" w:bidi="ar-SA"/>
        </w:rPr>
        <w:t>公司（单位）名称（盖章）：　        </w:t>
      </w:r>
    </w:p>
    <w:p w14:paraId="5F01FB0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80" w:lineRule="atLeast"/>
        <w:ind w:left="0" w:firstLine="4080" w:firstLineChars="1700"/>
        <w:jc w:val="left"/>
        <w:rPr>
          <w:rFonts w:hint="default" w:ascii="宋体" w:hAnsi="宋体" w:eastAsia="宋体" w:cs="Times New Roman"/>
          <w:color w:val="auto"/>
          <w:kern w:val="0"/>
          <w:sz w:val="24"/>
          <w:szCs w:val="24"/>
          <w:highlight w:val="none"/>
          <w:lang w:val="en-US" w:eastAsia="zh-CN" w:bidi="ar-SA"/>
        </w:rPr>
      </w:pPr>
      <w:r>
        <w:rPr>
          <w:rFonts w:hint="default" w:ascii="宋体" w:hAnsi="宋体" w:eastAsia="宋体" w:cs="Times New Roman"/>
          <w:color w:val="auto"/>
          <w:kern w:val="0"/>
          <w:sz w:val="24"/>
          <w:szCs w:val="24"/>
          <w:highlight w:val="none"/>
          <w:lang w:val="en-US" w:eastAsia="zh-CN" w:bidi="ar-SA"/>
        </w:rPr>
        <w:t>日期：　     年　  月　  日  </w:t>
      </w:r>
    </w:p>
    <w:p w14:paraId="0B616172">
      <w:pPr>
        <w:widowControl w:val="0"/>
        <w:overflowPunct/>
        <w:autoSpaceDE/>
        <w:autoSpaceDN/>
        <w:adjustRightInd/>
        <w:spacing w:before="0" w:beforeAutospacing="0" w:after="0" w:afterAutospacing="0" w:line="240" w:lineRule="auto"/>
        <w:jc w:val="both"/>
        <w:textAlignment w:val="auto"/>
        <w:rPr>
          <w:rFonts w:ascii="Calibri" w:hAnsi="Calibri" w:eastAsia="宋体" w:cs="Times New Roman"/>
          <w:bCs w:val="0"/>
          <w:color w:val="auto"/>
          <w:kern w:val="2"/>
          <w:szCs w:val="22"/>
          <w:highlight w:val="none"/>
        </w:rPr>
      </w:pPr>
    </w:p>
    <w:p w14:paraId="718DE80C">
      <w:pPr>
        <w:widowControl w:val="0"/>
        <w:overflowPunct/>
        <w:autoSpaceDE/>
        <w:autoSpaceDN/>
        <w:adjustRightInd/>
        <w:spacing w:line="240" w:lineRule="auto"/>
        <w:jc w:val="both"/>
        <w:textAlignment w:val="auto"/>
        <w:rPr>
          <w:rFonts w:ascii="Calibri" w:hAnsi="Calibri" w:eastAsia="宋体" w:cs="Times New Roman"/>
          <w:bCs w:val="0"/>
          <w:color w:val="auto"/>
          <w:kern w:val="2"/>
          <w:szCs w:val="22"/>
          <w:highlight w:val="none"/>
        </w:rPr>
      </w:pPr>
    </w:p>
    <w:p w14:paraId="0B2BCC95">
      <w:pPr>
        <w:widowControl w:val="0"/>
        <w:overflowPunct/>
        <w:autoSpaceDE/>
        <w:autoSpaceDN/>
        <w:adjustRightInd/>
        <w:snapToGrid w:val="0"/>
        <w:spacing w:before="0" w:beforeAutospacing="0" w:after="0" w:afterAutospacing="0" w:line="360" w:lineRule="auto"/>
        <w:jc w:val="center"/>
        <w:textAlignment w:val="auto"/>
        <w:rPr>
          <w:rFonts w:ascii="宋体" w:hAnsi="宋体" w:eastAsia="宋体" w:cs="宋体"/>
          <w:b/>
          <w:bCs/>
          <w:color w:val="auto"/>
          <w:kern w:val="2"/>
          <w:sz w:val="36"/>
          <w:szCs w:val="36"/>
          <w:highlight w:val="none"/>
        </w:rPr>
      </w:pPr>
    </w:p>
    <w:p w14:paraId="45CAEA72">
      <w:pPr>
        <w:widowControl w:val="0"/>
        <w:overflowPunct/>
        <w:autoSpaceDE/>
        <w:autoSpaceDN/>
        <w:adjustRightInd/>
        <w:spacing w:line="240" w:lineRule="auto"/>
        <w:jc w:val="both"/>
        <w:textAlignment w:val="auto"/>
        <w:rPr>
          <w:rFonts w:ascii="宋体" w:hAnsi="宋体" w:eastAsia="宋体" w:cs="Times New Roman"/>
          <w:b/>
          <w:bCs w:val="0"/>
          <w:color w:val="auto"/>
          <w:kern w:val="0"/>
          <w:sz w:val="44"/>
          <w:szCs w:val="44"/>
          <w:highlight w:val="none"/>
        </w:rPr>
      </w:pPr>
      <w:r>
        <w:rPr>
          <w:rFonts w:ascii="宋体" w:hAnsi="宋体" w:eastAsia="宋体" w:cs="宋体"/>
          <w:b w:val="0"/>
          <w:bCs w:val="0"/>
          <w:color w:val="auto"/>
          <w:kern w:val="2"/>
          <w:sz w:val="24"/>
          <w:szCs w:val="24"/>
          <w:highlight w:val="none"/>
        </w:rPr>
        <w:br w:type="page"/>
      </w:r>
    </w:p>
    <w:p w14:paraId="04BAAC84">
      <w:pPr>
        <w:spacing w:line="600" w:lineRule="auto"/>
        <w:jc w:val="center"/>
        <w:rPr>
          <w:rFonts w:hint="eastAsia" w:ascii="宋体" w:hAnsi="宋体" w:eastAsia="宋体" w:cs="宋体"/>
          <w:b/>
          <w:color w:val="auto"/>
          <w:kern w:val="0"/>
          <w:sz w:val="44"/>
          <w:szCs w:val="44"/>
          <w:highlight w:val="none"/>
        </w:rPr>
      </w:pPr>
    </w:p>
    <w:p w14:paraId="119E3045">
      <w:pPr>
        <w:spacing w:line="600" w:lineRule="auto"/>
        <w:jc w:val="center"/>
        <w:rPr>
          <w:rFonts w:hint="eastAsia" w:ascii="宋体" w:hAnsi="宋体" w:eastAsia="宋体" w:cs="宋体"/>
          <w:bCs/>
          <w:color w:val="auto"/>
          <w:kern w:val="0"/>
          <w:sz w:val="32"/>
          <w:szCs w:val="32"/>
          <w:highlight w:val="none"/>
        </w:rPr>
      </w:pPr>
      <w:r>
        <w:rPr>
          <w:rFonts w:hint="eastAsia" w:ascii="宋体" w:hAnsi="宋体" w:eastAsia="宋体" w:cs="宋体"/>
          <w:bCs/>
          <w:color w:val="auto"/>
          <w:kern w:val="0"/>
          <w:sz w:val="32"/>
          <w:szCs w:val="32"/>
          <w:highlight w:val="none"/>
        </w:rPr>
        <w:t>投  标  文  件</w:t>
      </w:r>
    </w:p>
    <w:p w14:paraId="47B86AF5">
      <w:pPr>
        <w:spacing w:line="600" w:lineRule="auto"/>
        <w:jc w:val="center"/>
        <w:outlineLvl w:val="1"/>
        <w:rPr>
          <w:rFonts w:hint="eastAsia" w:ascii="宋体" w:hAnsi="宋体" w:eastAsia="宋体" w:cs="宋体"/>
          <w:bCs/>
          <w:color w:val="auto"/>
          <w:kern w:val="0"/>
          <w:sz w:val="32"/>
          <w:szCs w:val="32"/>
          <w:highlight w:val="none"/>
        </w:rPr>
      </w:pPr>
      <w:bookmarkStart w:id="268" w:name="_Toc13630"/>
      <w:bookmarkStart w:id="269" w:name="_Toc5440"/>
      <w:bookmarkStart w:id="270" w:name="_Toc25288"/>
      <w:bookmarkStart w:id="271" w:name="_Toc10847"/>
      <w:bookmarkStart w:id="272" w:name="_Toc7827"/>
      <w:r>
        <w:rPr>
          <w:rFonts w:hint="eastAsia" w:ascii="宋体" w:hAnsi="宋体" w:eastAsia="宋体" w:cs="宋体"/>
          <w:bCs/>
          <w:color w:val="auto"/>
          <w:kern w:val="0"/>
          <w:sz w:val="32"/>
          <w:szCs w:val="32"/>
          <w:highlight w:val="none"/>
        </w:rPr>
        <w:t>技术部分</w:t>
      </w:r>
      <w:bookmarkEnd w:id="268"/>
      <w:bookmarkEnd w:id="269"/>
      <w:bookmarkEnd w:id="270"/>
      <w:bookmarkEnd w:id="271"/>
      <w:bookmarkEnd w:id="272"/>
    </w:p>
    <w:p w14:paraId="2A10EDE5">
      <w:pPr>
        <w:spacing w:line="360" w:lineRule="auto"/>
        <w:jc w:val="center"/>
        <w:rPr>
          <w:rFonts w:hint="eastAsia" w:ascii="宋体" w:hAnsi="宋体" w:eastAsia="宋体" w:cs="宋体"/>
          <w:color w:val="auto"/>
          <w:kern w:val="0"/>
          <w:sz w:val="32"/>
          <w:szCs w:val="32"/>
          <w:highlight w:val="none"/>
        </w:rPr>
      </w:pPr>
    </w:p>
    <w:p w14:paraId="4B4A940F">
      <w:pPr>
        <w:spacing w:line="360" w:lineRule="auto"/>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（填写正本或副本）</w:t>
      </w:r>
    </w:p>
    <w:p w14:paraId="66D71C14">
      <w:pPr>
        <w:spacing w:line="360" w:lineRule="auto"/>
        <w:ind w:firstLine="480" w:firstLineChars="200"/>
        <w:jc w:val="center"/>
        <w:rPr>
          <w:rFonts w:hint="eastAsia" w:ascii="宋体" w:hAnsi="宋体" w:eastAsia="宋体" w:cs="宋体"/>
          <w:bCs/>
          <w:color w:val="auto"/>
          <w:kern w:val="0"/>
          <w:sz w:val="24"/>
          <w:szCs w:val="24"/>
          <w:highlight w:val="none"/>
        </w:rPr>
      </w:pPr>
    </w:p>
    <w:p w14:paraId="2C7E05ED">
      <w:pPr>
        <w:pStyle w:val="2"/>
        <w:rPr>
          <w:rFonts w:hint="eastAsia" w:ascii="宋体" w:hAnsi="宋体" w:eastAsia="宋体" w:cs="宋体"/>
          <w:b w:val="0"/>
          <w:bCs/>
          <w:color w:val="auto"/>
          <w:kern w:val="0"/>
          <w:sz w:val="24"/>
          <w:highlight w:val="none"/>
        </w:rPr>
      </w:pPr>
    </w:p>
    <w:p w14:paraId="669390B9">
      <w:pPr>
        <w:rPr>
          <w:rFonts w:hint="eastAsia" w:ascii="宋体" w:hAnsi="宋体" w:eastAsia="宋体" w:cs="宋体"/>
          <w:color w:val="auto"/>
          <w:highlight w:val="none"/>
        </w:rPr>
      </w:pPr>
    </w:p>
    <w:p w14:paraId="3A17529E">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项目名称：</w:t>
      </w:r>
      <w:r>
        <w:rPr>
          <w:rFonts w:hint="eastAsia" w:ascii="宋体" w:hAnsi="宋体" w:eastAsia="宋体" w:cs="宋体"/>
          <w:bCs/>
          <w:color w:val="auto"/>
          <w:kern w:val="0"/>
          <w:sz w:val="24"/>
          <w:szCs w:val="24"/>
          <w:highlight w:val="none"/>
          <w:u w:val="single"/>
        </w:rPr>
        <w:t xml:space="preserve">               </w:t>
      </w:r>
    </w:p>
    <w:p w14:paraId="13BE4F25">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项目编号：</w:t>
      </w:r>
      <w:r>
        <w:rPr>
          <w:rFonts w:hint="eastAsia" w:ascii="宋体" w:hAnsi="宋体" w:eastAsia="宋体" w:cs="宋体"/>
          <w:bCs/>
          <w:color w:val="auto"/>
          <w:kern w:val="0"/>
          <w:sz w:val="24"/>
          <w:szCs w:val="24"/>
          <w:highlight w:val="none"/>
          <w:u w:val="single"/>
        </w:rPr>
        <w:t xml:space="preserve">               </w:t>
      </w:r>
    </w:p>
    <w:p w14:paraId="09CA0B3A">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所投采购包：</w:t>
      </w:r>
      <w:r>
        <w:rPr>
          <w:rFonts w:hint="eastAsia" w:ascii="宋体" w:hAnsi="宋体" w:eastAsia="宋体" w:cs="宋体"/>
          <w:bCs/>
          <w:color w:val="auto"/>
          <w:kern w:val="0"/>
          <w:sz w:val="24"/>
          <w:szCs w:val="24"/>
          <w:highlight w:val="none"/>
          <w:u w:val="single"/>
        </w:rPr>
        <w:t xml:space="preserve">             </w:t>
      </w:r>
    </w:p>
    <w:p w14:paraId="76FFF256">
      <w:pPr>
        <w:spacing w:line="360" w:lineRule="auto"/>
        <w:ind w:left="1470" w:leftChars="700" w:firstLine="480" w:firstLineChars="200"/>
        <w:jc w:val="center"/>
        <w:rPr>
          <w:rFonts w:hint="eastAsia" w:ascii="宋体" w:hAnsi="宋体" w:eastAsia="宋体" w:cs="宋体"/>
          <w:bCs/>
          <w:color w:val="auto"/>
          <w:kern w:val="0"/>
          <w:sz w:val="24"/>
          <w:szCs w:val="24"/>
          <w:highlight w:val="none"/>
        </w:rPr>
      </w:pPr>
    </w:p>
    <w:p w14:paraId="5705CFBD">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投标人：</w:t>
      </w:r>
      <w:r>
        <w:rPr>
          <w:rFonts w:hint="eastAsia" w:ascii="宋体" w:hAnsi="宋体" w:eastAsia="宋体" w:cs="宋体"/>
          <w:bCs/>
          <w:color w:val="auto"/>
          <w:kern w:val="0"/>
          <w:sz w:val="24"/>
          <w:szCs w:val="24"/>
          <w:highlight w:val="none"/>
          <w:u w:val="single"/>
        </w:rPr>
        <w:t xml:space="preserve">                 </w:t>
      </w:r>
    </w:p>
    <w:p w14:paraId="2B787E1D">
      <w:pPr>
        <w:spacing w:line="360" w:lineRule="auto"/>
        <w:ind w:left="1470" w:leftChars="700" w:firstLine="1680" w:firstLineChars="7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日  期：</w:t>
      </w:r>
      <w:r>
        <w:rPr>
          <w:rFonts w:hint="eastAsia" w:ascii="宋体" w:hAnsi="宋体" w:eastAsia="宋体" w:cs="宋体"/>
          <w:bCs/>
          <w:color w:val="auto"/>
          <w:kern w:val="0"/>
          <w:sz w:val="24"/>
          <w:szCs w:val="24"/>
          <w:highlight w:val="none"/>
          <w:u w:val="single"/>
        </w:rPr>
        <w:t xml:space="preserve">                 </w:t>
      </w:r>
    </w:p>
    <w:p w14:paraId="7CA72F28">
      <w:pPr>
        <w:widowControl/>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br w:type="page"/>
      </w:r>
      <w:bookmarkStart w:id="273" w:name="_Toc12471"/>
      <w:bookmarkStart w:id="274" w:name="_Toc7108"/>
      <w:bookmarkStart w:id="275" w:name="_Toc14971"/>
      <w:bookmarkStart w:id="276" w:name="_Toc15280"/>
      <w:bookmarkStart w:id="277" w:name="_Toc14828"/>
      <w:bookmarkStart w:id="278" w:name="_Toc6906"/>
      <w:bookmarkStart w:id="279" w:name="_Toc5758"/>
      <w:bookmarkStart w:id="280" w:name="_Toc18838"/>
      <w:r>
        <w:rPr>
          <w:rFonts w:hint="eastAsia" w:ascii="宋体" w:hAnsi="宋体" w:eastAsia="宋体" w:cs="宋体"/>
          <w:b/>
          <w:bCs/>
          <w:color w:val="auto"/>
          <w:sz w:val="28"/>
          <w:szCs w:val="28"/>
          <w:highlight w:val="none"/>
        </w:rPr>
        <w:t>格式1</w:t>
      </w:r>
      <w:r>
        <w:rPr>
          <w:rFonts w:hint="eastAsia" w:ascii="宋体" w:hAnsi="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 xml:space="preserve">  技术条款偏离表</w:t>
      </w:r>
      <w:bookmarkEnd w:id="273"/>
      <w:bookmarkEnd w:id="274"/>
      <w:bookmarkEnd w:id="275"/>
      <w:bookmarkEnd w:id="276"/>
      <w:bookmarkEnd w:id="277"/>
      <w:bookmarkEnd w:id="278"/>
      <w:bookmarkEnd w:id="279"/>
      <w:bookmarkEnd w:id="280"/>
    </w:p>
    <w:tbl>
      <w:tblPr>
        <w:tblStyle w:val="2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052"/>
        <w:gridCol w:w="2401"/>
        <w:gridCol w:w="1910"/>
        <w:gridCol w:w="2370"/>
        <w:gridCol w:w="725"/>
      </w:tblGrid>
      <w:tr w14:paraId="176F5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2" w:type="pct"/>
            <w:noWrap/>
            <w:vAlign w:val="center"/>
          </w:tcPr>
          <w:p w14:paraId="1CBA326E">
            <w:pPr>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419" w:type="pct"/>
            <w:noWrap/>
            <w:vAlign w:val="center"/>
          </w:tcPr>
          <w:p w14:paraId="2C2A540C">
            <w:pPr>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w:t>
            </w:r>
          </w:p>
          <w:p w14:paraId="302BCC26">
            <w:pPr>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技术部分内容要求</w:t>
            </w:r>
          </w:p>
        </w:tc>
        <w:tc>
          <w:tcPr>
            <w:tcW w:w="1129" w:type="pct"/>
            <w:noWrap/>
            <w:vAlign w:val="center"/>
          </w:tcPr>
          <w:p w14:paraId="4A8D8E81">
            <w:pPr>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投标文件</w:t>
            </w:r>
          </w:p>
          <w:p w14:paraId="714970A9">
            <w:pPr>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应答情况</w:t>
            </w:r>
          </w:p>
        </w:tc>
        <w:tc>
          <w:tcPr>
            <w:tcW w:w="1401" w:type="pct"/>
            <w:noWrap/>
            <w:vAlign w:val="center"/>
          </w:tcPr>
          <w:p w14:paraId="7B323655">
            <w:pPr>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偏离（无/正/负）</w:t>
            </w:r>
          </w:p>
        </w:tc>
        <w:tc>
          <w:tcPr>
            <w:tcW w:w="428" w:type="pct"/>
            <w:noWrap/>
            <w:vAlign w:val="center"/>
          </w:tcPr>
          <w:p w14:paraId="07A11BFB">
            <w:pPr>
              <w:adjustRightInd w:val="0"/>
              <w:snapToGri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41E95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2" w:type="pct"/>
            <w:noWrap/>
            <w:vAlign w:val="center"/>
          </w:tcPr>
          <w:p w14:paraId="5213F784">
            <w:pPr>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419" w:type="pct"/>
            <w:noWrap/>
            <w:vAlign w:val="center"/>
          </w:tcPr>
          <w:p w14:paraId="1FB4DA1A">
            <w:pPr>
              <w:adjustRightInd w:val="0"/>
              <w:snapToGrid w:val="0"/>
              <w:ind w:left="50" w:leftChars="24" w:right="55" w:rightChars="26"/>
              <w:jc w:val="center"/>
              <w:rPr>
                <w:rFonts w:hint="eastAsia" w:ascii="宋体" w:hAnsi="宋体" w:eastAsia="宋体" w:cs="宋体"/>
                <w:color w:val="auto"/>
                <w:szCs w:val="21"/>
                <w:highlight w:val="none"/>
              </w:rPr>
            </w:pPr>
          </w:p>
        </w:tc>
        <w:tc>
          <w:tcPr>
            <w:tcW w:w="1129" w:type="pct"/>
            <w:noWrap/>
            <w:vAlign w:val="center"/>
          </w:tcPr>
          <w:p w14:paraId="09195978">
            <w:pPr>
              <w:adjustRightInd w:val="0"/>
              <w:snapToGrid w:val="0"/>
              <w:jc w:val="center"/>
              <w:rPr>
                <w:rFonts w:hint="eastAsia" w:ascii="宋体" w:hAnsi="宋体" w:eastAsia="宋体" w:cs="宋体"/>
                <w:color w:val="auto"/>
                <w:szCs w:val="21"/>
                <w:highlight w:val="none"/>
              </w:rPr>
            </w:pPr>
          </w:p>
        </w:tc>
        <w:tc>
          <w:tcPr>
            <w:tcW w:w="1401" w:type="pct"/>
            <w:noWrap/>
            <w:vAlign w:val="center"/>
          </w:tcPr>
          <w:p w14:paraId="50660DFE">
            <w:pPr>
              <w:adjustRightInd w:val="0"/>
              <w:snapToGrid w:val="0"/>
              <w:jc w:val="center"/>
              <w:rPr>
                <w:rFonts w:hint="eastAsia" w:ascii="宋体" w:hAnsi="宋体" w:eastAsia="宋体" w:cs="宋体"/>
                <w:color w:val="auto"/>
                <w:szCs w:val="21"/>
                <w:highlight w:val="none"/>
              </w:rPr>
            </w:pPr>
          </w:p>
        </w:tc>
        <w:tc>
          <w:tcPr>
            <w:tcW w:w="428" w:type="pct"/>
            <w:noWrap/>
            <w:vAlign w:val="center"/>
          </w:tcPr>
          <w:p w14:paraId="6D1C00D2">
            <w:pPr>
              <w:adjustRightInd w:val="0"/>
              <w:snapToGrid w:val="0"/>
              <w:jc w:val="center"/>
              <w:rPr>
                <w:rFonts w:hint="eastAsia" w:ascii="宋体" w:hAnsi="宋体" w:eastAsia="宋体" w:cs="宋体"/>
                <w:color w:val="auto"/>
                <w:szCs w:val="21"/>
                <w:highlight w:val="none"/>
              </w:rPr>
            </w:pPr>
          </w:p>
        </w:tc>
      </w:tr>
      <w:tr w14:paraId="29090E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2" w:type="pct"/>
            <w:noWrap/>
            <w:vAlign w:val="center"/>
          </w:tcPr>
          <w:p w14:paraId="2FF892F0">
            <w:pPr>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419" w:type="pct"/>
            <w:noWrap/>
            <w:vAlign w:val="center"/>
          </w:tcPr>
          <w:p w14:paraId="3BF79D09">
            <w:pPr>
              <w:adjustRightInd w:val="0"/>
              <w:snapToGrid w:val="0"/>
              <w:ind w:left="50" w:leftChars="24" w:right="55" w:rightChars="26"/>
              <w:jc w:val="center"/>
              <w:rPr>
                <w:rFonts w:hint="eastAsia" w:ascii="宋体" w:hAnsi="宋体" w:eastAsia="宋体" w:cs="宋体"/>
                <w:color w:val="auto"/>
                <w:szCs w:val="21"/>
                <w:highlight w:val="none"/>
              </w:rPr>
            </w:pPr>
          </w:p>
        </w:tc>
        <w:tc>
          <w:tcPr>
            <w:tcW w:w="1129" w:type="pct"/>
            <w:noWrap/>
            <w:vAlign w:val="center"/>
          </w:tcPr>
          <w:p w14:paraId="2AF5BF18">
            <w:pPr>
              <w:adjustRightInd w:val="0"/>
              <w:snapToGrid w:val="0"/>
              <w:jc w:val="center"/>
              <w:rPr>
                <w:rFonts w:hint="eastAsia" w:ascii="宋体" w:hAnsi="宋体" w:eastAsia="宋体" w:cs="宋体"/>
                <w:color w:val="auto"/>
                <w:szCs w:val="21"/>
                <w:highlight w:val="none"/>
              </w:rPr>
            </w:pPr>
          </w:p>
        </w:tc>
        <w:tc>
          <w:tcPr>
            <w:tcW w:w="1401" w:type="pct"/>
            <w:noWrap/>
            <w:vAlign w:val="center"/>
          </w:tcPr>
          <w:p w14:paraId="7CBDBF1B">
            <w:pPr>
              <w:adjustRightInd w:val="0"/>
              <w:snapToGrid w:val="0"/>
              <w:jc w:val="center"/>
              <w:rPr>
                <w:rFonts w:hint="eastAsia" w:ascii="宋体" w:hAnsi="宋体" w:eastAsia="宋体" w:cs="宋体"/>
                <w:color w:val="auto"/>
                <w:szCs w:val="21"/>
                <w:highlight w:val="none"/>
              </w:rPr>
            </w:pPr>
          </w:p>
        </w:tc>
        <w:tc>
          <w:tcPr>
            <w:tcW w:w="428" w:type="pct"/>
            <w:noWrap/>
            <w:vAlign w:val="center"/>
          </w:tcPr>
          <w:p w14:paraId="1FCA0004">
            <w:pPr>
              <w:adjustRightInd w:val="0"/>
              <w:snapToGrid w:val="0"/>
              <w:jc w:val="center"/>
              <w:rPr>
                <w:rFonts w:hint="eastAsia" w:ascii="宋体" w:hAnsi="宋体" w:eastAsia="宋体" w:cs="宋体"/>
                <w:color w:val="auto"/>
                <w:szCs w:val="21"/>
                <w:highlight w:val="none"/>
              </w:rPr>
            </w:pPr>
          </w:p>
        </w:tc>
      </w:tr>
      <w:tr w14:paraId="5CFE8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2" w:type="pct"/>
            <w:noWrap/>
            <w:vAlign w:val="center"/>
          </w:tcPr>
          <w:p w14:paraId="7FD9A4C9">
            <w:pPr>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419" w:type="pct"/>
            <w:noWrap/>
            <w:vAlign w:val="center"/>
          </w:tcPr>
          <w:p w14:paraId="39C96DEC">
            <w:pPr>
              <w:adjustRightInd w:val="0"/>
              <w:snapToGrid w:val="0"/>
              <w:ind w:left="50" w:leftChars="24" w:right="55" w:rightChars="26"/>
              <w:jc w:val="center"/>
              <w:rPr>
                <w:rFonts w:hint="eastAsia" w:ascii="宋体" w:hAnsi="宋体" w:eastAsia="宋体" w:cs="宋体"/>
                <w:color w:val="auto"/>
                <w:szCs w:val="21"/>
                <w:highlight w:val="none"/>
              </w:rPr>
            </w:pPr>
          </w:p>
        </w:tc>
        <w:tc>
          <w:tcPr>
            <w:tcW w:w="1129" w:type="pct"/>
            <w:noWrap/>
            <w:vAlign w:val="center"/>
          </w:tcPr>
          <w:p w14:paraId="58405FC0">
            <w:pPr>
              <w:adjustRightInd w:val="0"/>
              <w:snapToGrid w:val="0"/>
              <w:jc w:val="center"/>
              <w:rPr>
                <w:rFonts w:hint="eastAsia" w:ascii="宋体" w:hAnsi="宋体" w:eastAsia="宋体" w:cs="宋体"/>
                <w:color w:val="auto"/>
                <w:szCs w:val="21"/>
                <w:highlight w:val="none"/>
              </w:rPr>
            </w:pPr>
          </w:p>
        </w:tc>
        <w:tc>
          <w:tcPr>
            <w:tcW w:w="1401" w:type="pct"/>
            <w:noWrap/>
            <w:vAlign w:val="center"/>
          </w:tcPr>
          <w:p w14:paraId="77B1969E">
            <w:pPr>
              <w:adjustRightInd w:val="0"/>
              <w:snapToGrid w:val="0"/>
              <w:jc w:val="center"/>
              <w:rPr>
                <w:rFonts w:hint="eastAsia" w:ascii="宋体" w:hAnsi="宋体" w:eastAsia="宋体" w:cs="宋体"/>
                <w:color w:val="auto"/>
                <w:szCs w:val="21"/>
                <w:highlight w:val="none"/>
              </w:rPr>
            </w:pPr>
          </w:p>
        </w:tc>
        <w:tc>
          <w:tcPr>
            <w:tcW w:w="428" w:type="pct"/>
            <w:noWrap/>
            <w:vAlign w:val="center"/>
          </w:tcPr>
          <w:p w14:paraId="4DB9C433">
            <w:pPr>
              <w:adjustRightInd w:val="0"/>
              <w:snapToGrid w:val="0"/>
              <w:jc w:val="center"/>
              <w:rPr>
                <w:rFonts w:hint="eastAsia" w:ascii="宋体" w:hAnsi="宋体" w:eastAsia="宋体" w:cs="宋体"/>
                <w:color w:val="auto"/>
                <w:szCs w:val="21"/>
                <w:highlight w:val="none"/>
              </w:rPr>
            </w:pPr>
          </w:p>
        </w:tc>
      </w:tr>
      <w:tr w14:paraId="3E808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2" w:type="pct"/>
            <w:noWrap/>
            <w:vAlign w:val="center"/>
          </w:tcPr>
          <w:p w14:paraId="45DF5FC4">
            <w:pPr>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419" w:type="pct"/>
            <w:noWrap/>
            <w:vAlign w:val="center"/>
          </w:tcPr>
          <w:p w14:paraId="4E36AB7E">
            <w:pPr>
              <w:adjustRightInd w:val="0"/>
              <w:snapToGrid w:val="0"/>
              <w:ind w:left="50" w:leftChars="24" w:right="55" w:rightChars="26"/>
              <w:jc w:val="center"/>
              <w:rPr>
                <w:rFonts w:hint="eastAsia" w:ascii="宋体" w:hAnsi="宋体" w:eastAsia="宋体" w:cs="宋体"/>
                <w:color w:val="auto"/>
                <w:szCs w:val="21"/>
                <w:highlight w:val="none"/>
              </w:rPr>
            </w:pPr>
          </w:p>
        </w:tc>
        <w:tc>
          <w:tcPr>
            <w:tcW w:w="1129" w:type="pct"/>
            <w:noWrap/>
            <w:vAlign w:val="center"/>
          </w:tcPr>
          <w:p w14:paraId="32D8892C">
            <w:pPr>
              <w:adjustRightInd w:val="0"/>
              <w:snapToGrid w:val="0"/>
              <w:jc w:val="center"/>
              <w:rPr>
                <w:rFonts w:hint="eastAsia" w:ascii="宋体" w:hAnsi="宋体" w:eastAsia="宋体" w:cs="宋体"/>
                <w:color w:val="auto"/>
                <w:szCs w:val="21"/>
                <w:highlight w:val="none"/>
              </w:rPr>
            </w:pPr>
          </w:p>
        </w:tc>
        <w:tc>
          <w:tcPr>
            <w:tcW w:w="1401" w:type="pct"/>
            <w:noWrap/>
            <w:vAlign w:val="center"/>
          </w:tcPr>
          <w:p w14:paraId="63267D29">
            <w:pPr>
              <w:adjustRightInd w:val="0"/>
              <w:snapToGrid w:val="0"/>
              <w:jc w:val="center"/>
              <w:rPr>
                <w:rFonts w:hint="eastAsia" w:ascii="宋体" w:hAnsi="宋体" w:eastAsia="宋体" w:cs="宋体"/>
                <w:color w:val="auto"/>
                <w:szCs w:val="21"/>
                <w:highlight w:val="none"/>
              </w:rPr>
            </w:pPr>
          </w:p>
        </w:tc>
        <w:tc>
          <w:tcPr>
            <w:tcW w:w="428" w:type="pct"/>
            <w:noWrap/>
            <w:vAlign w:val="center"/>
          </w:tcPr>
          <w:p w14:paraId="22924055">
            <w:pPr>
              <w:adjustRightInd w:val="0"/>
              <w:snapToGrid w:val="0"/>
              <w:jc w:val="center"/>
              <w:rPr>
                <w:rFonts w:hint="eastAsia" w:ascii="宋体" w:hAnsi="宋体" w:eastAsia="宋体" w:cs="宋体"/>
                <w:color w:val="auto"/>
                <w:szCs w:val="21"/>
                <w:highlight w:val="none"/>
              </w:rPr>
            </w:pPr>
          </w:p>
        </w:tc>
      </w:tr>
      <w:tr w14:paraId="76BAB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2" w:type="pct"/>
            <w:noWrap/>
            <w:vAlign w:val="center"/>
          </w:tcPr>
          <w:p w14:paraId="089EE1D0">
            <w:pPr>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419" w:type="pct"/>
            <w:noWrap/>
            <w:vAlign w:val="center"/>
          </w:tcPr>
          <w:p w14:paraId="40018DC8">
            <w:pPr>
              <w:adjustRightInd w:val="0"/>
              <w:snapToGrid w:val="0"/>
              <w:jc w:val="center"/>
              <w:rPr>
                <w:rFonts w:hint="eastAsia" w:ascii="宋体" w:hAnsi="宋体" w:eastAsia="宋体" w:cs="宋体"/>
                <w:color w:val="auto"/>
                <w:szCs w:val="21"/>
                <w:highlight w:val="none"/>
              </w:rPr>
            </w:pPr>
          </w:p>
        </w:tc>
        <w:tc>
          <w:tcPr>
            <w:tcW w:w="1129" w:type="pct"/>
            <w:noWrap/>
            <w:vAlign w:val="center"/>
          </w:tcPr>
          <w:p w14:paraId="088C9532">
            <w:pPr>
              <w:adjustRightInd w:val="0"/>
              <w:snapToGrid w:val="0"/>
              <w:jc w:val="center"/>
              <w:rPr>
                <w:rFonts w:hint="eastAsia" w:ascii="宋体" w:hAnsi="宋体" w:eastAsia="宋体" w:cs="宋体"/>
                <w:color w:val="auto"/>
                <w:szCs w:val="21"/>
                <w:highlight w:val="none"/>
              </w:rPr>
            </w:pPr>
          </w:p>
        </w:tc>
        <w:tc>
          <w:tcPr>
            <w:tcW w:w="1401" w:type="pct"/>
            <w:noWrap/>
            <w:vAlign w:val="center"/>
          </w:tcPr>
          <w:p w14:paraId="4037D169">
            <w:pPr>
              <w:adjustRightInd w:val="0"/>
              <w:snapToGrid w:val="0"/>
              <w:jc w:val="center"/>
              <w:rPr>
                <w:rFonts w:hint="eastAsia" w:ascii="宋体" w:hAnsi="宋体" w:eastAsia="宋体" w:cs="宋体"/>
                <w:color w:val="auto"/>
                <w:szCs w:val="21"/>
                <w:highlight w:val="none"/>
              </w:rPr>
            </w:pPr>
          </w:p>
        </w:tc>
        <w:tc>
          <w:tcPr>
            <w:tcW w:w="428" w:type="pct"/>
            <w:noWrap/>
            <w:vAlign w:val="center"/>
          </w:tcPr>
          <w:p w14:paraId="3A8D6030">
            <w:pPr>
              <w:adjustRightInd w:val="0"/>
              <w:snapToGrid w:val="0"/>
              <w:jc w:val="center"/>
              <w:rPr>
                <w:rFonts w:hint="eastAsia" w:ascii="宋体" w:hAnsi="宋体" w:eastAsia="宋体" w:cs="宋体"/>
                <w:color w:val="auto"/>
                <w:szCs w:val="21"/>
                <w:highlight w:val="none"/>
              </w:rPr>
            </w:pPr>
          </w:p>
        </w:tc>
      </w:tr>
      <w:tr w14:paraId="74907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2" w:type="pct"/>
            <w:noWrap/>
            <w:vAlign w:val="center"/>
          </w:tcPr>
          <w:p w14:paraId="58389F41">
            <w:pPr>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419" w:type="pct"/>
            <w:noWrap/>
            <w:vAlign w:val="center"/>
          </w:tcPr>
          <w:p w14:paraId="68D133E5">
            <w:pPr>
              <w:adjustRightInd w:val="0"/>
              <w:snapToGrid w:val="0"/>
              <w:jc w:val="center"/>
              <w:rPr>
                <w:rFonts w:hint="eastAsia" w:ascii="宋体" w:hAnsi="宋体" w:eastAsia="宋体" w:cs="宋体"/>
                <w:color w:val="auto"/>
                <w:szCs w:val="21"/>
                <w:highlight w:val="none"/>
              </w:rPr>
            </w:pPr>
          </w:p>
        </w:tc>
        <w:tc>
          <w:tcPr>
            <w:tcW w:w="1129" w:type="pct"/>
            <w:noWrap/>
            <w:vAlign w:val="center"/>
          </w:tcPr>
          <w:p w14:paraId="70FAD8AC">
            <w:pPr>
              <w:adjustRightInd w:val="0"/>
              <w:snapToGrid w:val="0"/>
              <w:jc w:val="center"/>
              <w:rPr>
                <w:rFonts w:hint="eastAsia" w:ascii="宋体" w:hAnsi="宋体" w:eastAsia="宋体" w:cs="宋体"/>
                <w:color w:val="auto"/>
                <w:szCs w:val="21"/>
                <w:highlight w:val="none"/>
              </w:rPr>
            </w:pPr>
          </w:p>
        </w:tc>
        <w:tc>
          <w:tcPr>
            <w:tcW w:w="1401" w:type="pct"/>
            <w:noWrap/>
            <w:vAlign w:val="center"/>
          </w:tcPr>
          <w:p w14:paraId="7A308C7F">
            <w:pPr>
              <w:adjustRightInd w:val="0"/>
              <w:snapToGrid w:val="0"/>
              <w:jc w:val="center"/>
              <w:rPr>
                <w:rFonts w:hint="eastAsia" w:ascii="宋体" w:hAnsi="宋体" w:eastAsia="宋体" w:cs="宋体"/>
                <w:color w:val="auto"/>
                <w:szCs w:val="21"/>
                <w:highlight w:val="none"/>
              </w:rPr>
            </w:pPr>
          </w:p>
        </w:tc>
        <w:tc>
          <w:tcPr>
            <w:tcW w:w="428" w:type="pct"/>
            <w:noWrap/>
            <w:vAlign w:val="center"/>
          </w:tcPr>
          <w:p w14:paraId="711F704E">
            <w:pPr>
              <w:adjustRightInd w:val="0"/>
              <w:snapToGrid w:val="0"/>
              <w:jc w:val="center"/>
              <w:rPr>
                <w:rFonts w:hint="eastAsia" w:ascii="宋体" w:hAnsi="宋体" w:eastAsia="宋体" w:cs="宋体"/>
                <w:color w:val="auto"/>
                <w:szCs w:val="21"/>
                <w:highlight w:val="none"/>
              </w:rPr>
            </w:pPr>
          </w:p>
        </w:tc>
      </w:tr>
    </w:tbl>
    <w:p w14:paraId="63576700">
      <w:pPr>
        <w:topLinePunct/>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6048F437">
      <w:pPr>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1.投标人应按招标文件《第六章　项目采购需求》中的技术要求，结合自身投标情况对技术条款逐条响应，未逐条响应的视为投标无效。</w:t>
      </w:r>
    </w:p>
    <w:p w14:paraId="16D052D1">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2.投标文件响应的技术内容完全响应招标文件要求的，投标人应注明“无偏离”；不满足或不响应招标文件要求的，应注明“负偏离”；优于招标文件要求的，应注明“正偏离”。</w:t>
      </w:r>
    </w:p>
    <w:p w14:paraId="4E63DD6A">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3.本表可扩展。</w:t>
      </w:r>
    </w:p>
    <w:p w14:paraId="0EB9BB70">
      <w:pPr>
        <w:ind w:firstLine="420" w:firstLineChars="200"/>
        <w:rPr>
          <w:rFonts w:hint="eastAsia" w:ascii="宋体" w:hAnsi="宋体" w:eastAsia="宋体" w:cs="宋体"/>
          <w:color w:val="auto"/>
          <w:highlight w:val="none"/>
        </w:rPr>
      </w:pPr>
    </w:p>
    <w:p w14:paraId="18978C82">
      <w:pPr>
        <w:topLinePunct/>
        <w:autoSpaceDE w:val="0"/>
        <w:autoSpaceDN w:val="0"/>
        <w:spacing w:line="360" w:lineRule="auto"/>
        <w:ind w:firstLine="420" w:firstLineChars="200"/>
        <w:rPr>
          <w:rFonts w:hint="eastAsia" w:ascii="宋体" w:hAnsi="宋体" w:eastAsia="宋体" w:cs="宋体"/>
          <w:color w:val="auto"/>
          <w:szCs w:val="21"/>
          <w:highlight w:val="none"/>
        </w:rPr>
      </w:pPr>
    </w:p>
    <w:p w14:paraId="38FB0D6B">
      <w:pPr>
        <w:pStyle w:val="36"/>
        <w:spacing w:after="156"/>
        <w:rPr>
          <w:rFonts w:hint="eastAsia" w:ascii="宋体" w:hAnsi="宋体" w:eastAsia="宋体" w:cs="宋体"/>
          <w:color w:val="auto"/>
          <w:sz w:val="21"/>
          <w:szCs w:val="21"/>
          <w:highlight w:val="none"/>
        </w:rPr>
      </w:pPr>
    </w:p>
    <w:p w14:paraId="396A3D40">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1C8360AA">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49AC7BA3">
      <w:pPr>
        <w:tabs>
          <w:tab w:val="left" w:pos="1230"/>
        </w:tabs>
        <w:topLinePunct/>
        <w:autoSpaceDE w:val="0"/>
        <w:autoSpaceDN w:val="0"/>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p>
    <w:p w14:paraId="66526CA8">
      <w:pPr>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4B1BFF2D">
      <w:pPr>
        <w:jc w:val="center"/>
        <w:outlineLvl w:val="1"/>
        <w:rPr>
          <w:rFonts w:hint="eastAsia" w:ascii="宋体" w:hAnsi="宋体" w:eastAsia="宋体" w:cs="宋体"/>
          <w:b/>
          <w:bCs/>
          <w:color w:val="auto"/>
          <w:sz w:val="36"/>
          <w:szCs w:val="36"/>
          <w:highlight w:val="none"/>
        </w:rPr>
      </w:pPr>
      <w:bookmarkStart w:id="281" w:name="_Toc14637"/>
      <w:bookmarkStart w:id="282" w:name="_Toc28755"/>
      <w:bookmarkStart w:id="283" w:name="_Toc7119"/>
      <w:bookmarkStart w:id="284" w:name="_Toc20056"/>
      <w:bookmarkStart w:id="285" w:name="_Toc30099"/>
      <w:bookmarkStart w:id="286" w:name="_Toc7976"/>
      <w:bookmarkStart w:id="287" w:name="_Toc23668"/>
      <w:bookmarkStart w:id="288" w:name="_Toc20844"/>
      <w:r>
        <w:rPr>
          <w:rFonts w:hint="eastAsia" w:ascii="宋体" w:hAnsi="宋体" w:eastAsia="宋体" w:cs="宋体"/>
          <w:b/>
          <w:bCs/>
          <w:color w:val="auto"/>
          <w:sz w:val="28"/>
          <w:szCs w:val="28"/>
          <w:highlight w:val="none"/>
        </w:rPr>
        <w:t>格式1</w:t>
      </w:r>
      <w:r>
        <w:rPr>
          <w:rFonts w:hint="eastAsia" w:ascii="宋体" w:hAnsi="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 xml:space="preserve">  服务方案</w:t>
      </w:r>
      <w:bookmarkEnd w:id="281"/>
      <w:bookmarkEnd w:id="282"/>
      <w:bookmarkEnd w:id="283"/>
      <w:bookmarkEnd w:id="284"/>
      <w:bookmarkEnd w:id="285"/>
      <w:bookmarkEnd w:id="286"/>
      <w:bookmarkEnd w:id="287"/>
      <w:bookmarkEnd w:id="288"/>
    </w:p>
    <w:p w14:paraId="4D1D062C">
      <w:pPr>
        <w:ind w:firstLine="420" w:firstLineChars="200"/>
        <w:rPr>
          <w:rFonts w:hint="eastAsia" w:ascii="宋体" w:hAnsi="宋体" w:eastAsia="宋体" w:cs="宋体"/>
          <w:color w:val="auto"/>
          <w:szCs w:val="21"/>
          <w:highlight w:val="none"/>
        </w:rPr>
      </w:pPr>
    </w:p>
    <w:p w14:paraId="6C5AE2C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投标人</w:t>
      </w:r>
      <w:r>
        <w:rPr>
          <w:rFonts w:hint="eastAsia" w:ascii="宋体" w:hAnsi="宋体" w:eastAsia="宋体" w:cs="宋体"/>
          <w:color w:val="auto"/>
          <w:kern w:val="0"/>
          <w:szCs w:val="21"/>
          <w:highlight w:val="none"/>
        </w:rPr>
        <w:t>应根据第六章</w:t>
      </w:r>
      <w:r>
        <w:rPr>
          <w:rFonts w:hint="eastAsia" w:ascii="宋体" w:hAnsi="宋体" w:eastAsia="宋体" w:cs="宋体"/>
          <w:color w:val="auto"/>
          <w:kern w:val="0"/>
          <w:szCs w:val="21"/>
          <w:highlight w:val="none"/>
          <w:lang w:eastAsia="zh-CN"/>
        </w:rPr>
        <w:t>《项目采购需求》及第三章《评标方法及标准》</w:t>
      </w:r>
      <w:r>
        <w:rPr>
          <w:rFonts w:hint="eastAsia" w:ascii="宋体" w:hAnsi="宋体" w:eastAsia="宋体" w:cs="宋体"/>
          <w:color w:val="auto"/>
          <w:kern w:val="0"/>
          <w:szCs w:val="21"/>
          <w:highlight w:val="none"/>
        </w:rPr>
        <w:t>编写服务方案</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服务方案包括但不限于：</w:t>
      </w:r>
    </w:p>
    <w:p w14:paraId="7B2E8F28">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项目需求理解；</w:t>
      </w:r>
    </w:p>
    <w:p w14:paraId="309CA26F">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网站可用性保障方案</w:t>
      </w:r>
      <w:r>
        <w:rPr>
          <w:rFonts w:hint="eastAsia" w:ascii="宋体" w:hAnsi="宋体" w:eastAsia="宋体" w:cs="宋体"/>
          <w:color w:val="auto"/>
          <w:kern w:val="0"/>
          <w:szCs w:val="21"/>
          <w:highlight w:val="none"/>
        </w:rPr>
        <w:t>；</w:t>
      </w:r>
    </w:p>
    <w:p w14:paraId="2A4617F6">
      <w:pPr>
        <w:spacing w:line="360"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实施</w:t>
      </w:r>
      <w:r>
        <w:rPr>
          <w:rFonts w:hint="eastAsia" w:ascii="宋体" w:hAnsi="宋体" w:eastAsia="宋体" w:cs="宋体"/>
          <w:color w:val="auto"/>
          <w:kern w:val="0"/>
          <w:szCs w:val="21"/>
          <w:highlight w:val="none"/>
          <w:lang w:eastAsia="zh-CN"/>
        </w:rPr>
        <w:t>方案；</w:t>
      </w:r>
    </w:p>
    <w:p w14:paraId="43BC6257">
      <w:pPr>
        <w:spacing w:line="360"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lang w:eastAsia="zh-CN"/>
        </w:rPr>
        <w:t>）其他。</w:t>
      </w:r>
    </w:p>
    <w:p w14:paraId="556227FD">
      <w:pPr>
        <w:spacing w:line="360" w:lineRule="auto"/>
        <w:ind w:firstLine="420" w:firstLineChars="200"/>
        <w:jc w:val="left"/>
        <w:rPr>
          <w:rFonts w:hint="eastAsia" w:ascii="宋体" w:hAnsi="宋体" w:eastAsia="宋体" w:cs="宋体"/>
          <w:color w:val="auto"/>
          <w:kern w:val="0"/>
          <w:szCs w:val="21"/>
          <w:highlight w:val="none"/>
        </w:rPr>
      </w:pPr>
    </w:p>
    <w:p w14:paraId="2876CD9B">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(示例略)</w:t>
      </w:r>
    </w:p>
    <w:p w14:paraId="3AD793BD">
      <w:pPr>
        <w:spacing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color w:val="auto"/>
          <w:kern w:val="0"/>
          <w:sz w:val="24"/>
          <w:highlight w:val="none"/>
        </w:rPr>
        <w:br w:type="page"/>
      </w:r>
      <w:bookmarkStart w:id="289" w:name="_Toc26459"/>
      <w:bookmarkStart w:id="290" w:name="_Toc24321"/>
      <w:bookmarkStart w:id="291" w:name="_Toc20633"/>
      <w:bookmarkStart w:id="292" w:name="_Toc17561"/>
      <w:bookmarkStart w:id="293" w:name="_Toc20809"/>
      <w:bookmarkStart w:id="294" w:name="_Toc5622"/>
      <w:bookmarkStart w:id="295" w:name="_Toc26976"/>
      <w:bookmarkStart w:id="296" w:name="_Toc27276"/>
      <w:r>
        <w:rPr>
          <w:rFonts w:hint="eastAsia" w:ascii="宋体" w:hAnsi="宋体" w:eastAsia="宋体" w:cs="宋体"/>
          <w:b/>
          <w:bCs/>
          <w:color w:val="auto"/>
          <w:sz w:val="28"/>
          <w:szCs w:val="28"/>
          <w:highlight w:val="none"/>
        </w:rPr>
        <w:t>格式</w:t>
      </w:r>
      <w:bookmarkStart w:id="297" w:name="_Toc231801039"/>
      <w:r>
        <w:rPr>
          <w:rFonts w:hint="eastAsia" w:ascii="宋体" w:hAnsi="宋体" w:eastAsia="宋体" w:cs="宋体"/>
          <w:b/>
          <w:bCs/>
          <w:color w:val="auto"/>
          <w:sz w:val="28"/>
          <w:szCs w:val="28"/>
          <w:highlight w:val="none"/>
        </w:rPr>
        <w:t>1</w:t>
      </w:r>
      <w:r>
        <w:rPr>
          <w:rFonts w:hint="eastAsia" w:ascii="宋体" w:hAnsi="宋体" w:cs="宋体"/>
          <w:b/>
          <w:bCs/>
          <w:color w:val="auto"/>
          <w:sz w:val="28"/>
          <w:szCs w:val="28"/>
          <w:highlight w:val="none"/>
          <w:lang w:val="en-US" w:eastAsia="zh-CN"/>
        </w:rPr>
        <w:t>8</w:t>
      </w:r>
      <w:r>
        <w:rPr>
          <w:rFonts w:hint="eastAsia" w:ascii="宋体" w:hAnsi="宋体" w:eastAsia="宋体" w:cs="宋体"/>
          <w:b/>
          <w:bCs/>
          <w:color w:val="auto"/>
          <w:sz w:val="28"/>
          <w:szCs w:val="28"/>
          <w:highlight w:val="none"/>
        </w:rPr>
        <w:t xml:space="preserve">  技术力量一览表</w:t>
      </w:r>
      <w:bookmarkEnd w:id="289"/>
      <w:bookmarkEnd w:id="290"/>
      <w:bookmarkEnd w:id="291"/>
      <w:bookmarkEnd w:id="292"/>
      <w:bookmarkEnd w:id="293"/>
      <w:bookmarkEnd w:id="294"/>
      <w:bookmarkEnd w:id="295"/>
      <w:bookmarkEnd w:id="296"/>
    </w:p>
    <w:bookmarkEnd w:id="297"/>
    <w:tbl>
      <w:tblPr>
        <w:tblStyle w:val="23"/>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356"/>
        <w:gridCol w:w="1187"/>
        <w:gridCol w:w="1189"/>
        <w:gridCol w:w="1275"/>
        <w:gridCol w:w="1243"/>
        <w:gridCol w:w="1916"/>
      </w:tblGrid>
      <w:tr w14:paraId="70FD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794" w:type="dxa"/>
            <w:tcBorders>
              <w:top w:val="single" w:color="auto" w:sz="4" w:space="0"/>
              <w:left w:val="single" w:color="auto" w:sz="4" w:space="0"/>
              <w:bottom w:val="single" w:color="auto" w:sz="4" w:space="0"/>
              <w:right w:val="single" w:color="auto" w:sz="4" w:space="0"/>
            </w:tcBorders>
            <w:noWrap/>
            <w:vAlign w:val="center"/>
          </w:tcPr>
          <w:p w14:paraId="7472174A">
            <w:pPr>
              <w:adjustRightInd w:val="0"/>
              <w:jc w:val="center"/>
              <w:rPr>
                <w:rFonts w:ascii="Times New Roman" w:hAnsi="Times New Roman"/>
                <w:b/>
                <w:color w:val="auto"/>
                <w:szCs w:val="21"/>
                <w:highlight w:val="none"/>
              </w:rPr>
            </w:pPr>
            <w:r>
              <w:rPr>
                <w:rFonts w:ascii="Times New Roman" w:hAnsi="Times New Roman"/>
                <w:b/>
                <w:color w:val="auto"/>
                <w:szCs w:val="21"/>
                <w:highlight w:val="none"/>
              </w:rPr>
              <w:t>序号</w:t>
            </w:r>
          </w:p>
        </w:tc>
        <w:tc>
          <w:tcPr>
            <w:tcW w:w="1356" w:type="dxa"/>
            <w:tcBorders>
              <w:top w:val="single" w:color="auto" w:sz="4" w:space="0"/>
              <w:left w:val="single" w:color="auto" w:sz="4" w:space="0"/>
              <w:bottom w:val="single" w:color="auto" w:sz="4" w:space="0"/>
              <w:right w:val="single" w:color="auto" w:sz="4" w:space="0"/>
            </w:tcBorders>
            <w:noWrap/>
            <w:vAlign w:val="center"/>
          </w:tcPr>
          <w:p w14:paraId="2BAB3F28">
            <w:pPr>
              <w:adjustRightInd w:val="0"/>
              <w:jc w:val="center"/>
              <w:rPr>
                <w:rFonts w:ascii="Times New Roman" w:hAnsi="Times New Roman"/>
                <w:b/>
                <w:color w:val="auto"/>
                <w:szCs w:val="21"/>
                <w:highlight w:val="none"/>
              </w:rPr>
            </w:pPr>
            <w:r>
              <w:rPr>
                <w:rFonts w:ascii="Times New Roman" w:hAnsi="Times New Roman"/>
                <w:b/>
                <w:color w:val="auto"/>
                <w:szCs w:val="21"/>
                <w:highlight w:val="none"/>
              </w:rPr>
              <w:t>姓 名</w:t>
            </w:r>
          </w:p>
        </w:tc>
        <w:tc>
          <w:tcPr>
            <w:tcW w:w="1187" w:type="dxa"/>
            <w:tcBorders>
              <w:top w:val="single" w:color="auto" w:sz="4" w:space="0"/>
              <w:left w:val="single" w:color="auto" w:sz="4" w:space="0"/>
              <w:bottom w:val="single" w:color="auto" w:sz="4" w:space="0"/>
              <w:right w:val="single" w:color="auto" w:sz="4" w:space="0"/>
            </w:tcBorders>
            <w:noWrap/>
            <w:vAlign w:val="center"/>
          </w:tcPr>
          <w:p w14:paraId="38CD92BB">
            <w:pPr>
              <w:adjustRightInd w:val="0"/>
              <w:jc w:val="center"/>
              <w:rPr>
                <w:rFonts w:ascii="Times New Roman" w:hAnsi="Times New Roman"/>
                <w:b/>
                <w:color w:val="auto"/>
                <w:szCs w:val="21"/>
                <w:highlight w:val="none"/>
              </w:rPr>
            </w:pPr>
            <w:r>
              <w:rPr>
                <w:rFonts w:ascii="Times New Roman" w:hAnsi="Times New Roman"/>
                <w:b/>
                <w:color w:val="auto"/>
                <w:szCs w:val="21"/>
                <w:highlight w:val="none"/>
              </w:rPr>
              <w:t>技术职称</w:t>
            </w:r>
          </w:p>
        </w:tc>
        <w:tc>
          <w:tcPr>
            <w:tcW w:w="1189" w:type="dxa"/>
            <w:tcBorders>
              <w:top w:val="single" w:color="auto" w:sz="4" w:space="0"/>
              <w:left w:val="single" w:color="auto" w:sz="4" w:space="0"/>
              <w:bottom w:val="single" w:color="auto" w:sz="4" w:space="0"/>
              <w:right w:val="single" w:color="auto" w:sz="4" w:space="0"/>
            </w:tcBorders>
            <w:noWrap/>
            <w:vAlign w:val="center"/>
          </w:tcPr>
          <w:p w14:paraId="0CD5DA2D">
            <w:pPr>
              <w:adjustRightInd w:val="0"/>
              <w:jc w:val="center"/>
              <w:rPr>
                <w:rFonts w:ascii="Times New Roman" w:hAnsi="Times New Roman"/>
                <w:b/>
                <w:color w:val="auto"/>
                <w:szCs w:val="21"/>
                <w:highlight w:val="none"/>
              </w:rPr>
            </w:pPr>
            <w:r>
              <w:rPr>
                <w:rFonts w:ascii="Times New Roman" w:hAnsi="Times New Roman"/>
                <w:b/>
                <w:color w:val="auto"/>
                <w:szCs w:val="21"/>
                <w:highlight w:val="none"/>
              </w:rPr>
              <w:t>人员级别</w:t>
            </w:r>
          </w:p>
        </w:tc>
        <w:tc>
          <w:tcPr>
            <w:tcW w:w="1275" w:type="dxa"/>
            <w:tcBorders>
              <w:top w:val="single" w:color="auto" w:sz="4" w:space="0"/>
              <w:left w:val="single" w:color="auto" w:sz="4" w:space="0"/>
              <w:bottom w:val="single" w:color="auto" w:sz="4" w:space="0"/>
              <w:right w:val="single" w:color="auto" w:sz="4" w:space="0"/>
            </w:tcBorders>
            <w:noWrap/>
            <w:vAlign w:val="center"/>
          </w:tcPr>
          <w:p w14:paraId="37A30C0D">
            <w:pPr>
              <w:adjustRightInd w:val="0"/>
              <w:jc w:val="center"/>
              <w:rPr>
                <w:rFonts w:ascii="Times New Roman" w:hAnsi="Times New Roman"/>
                <w:b/>
                <w:color w:val="auto"/>
                <w:szCs w:val="21"/>
                <w:highlight w:val="none"/>
              </w:rPr>
            </w:pPr>
            <w:r>
              <w:rPr>
                <w:rFonts w:ascii="Times New Roman" w:hAnsi="Times New Roman"/>
                <w:b/>
                <w:color w:val="auto"/>
                <w:szCs w:val="21"/>
                <w:highlight w:val="none"/>
              </w:rPr>
              <w:t>工作年限</w:t>
            </w:r>
          </w:p>
        </w:tc>
        <w:tc>
          <w:tcPr>
            <w:tcW w:w="1243" w:type="dxa"/>
            <w:tcBorders>
              <w:top w:val="single" w:color="auto" w:sz="4" w:space="0"/>
              <w:left w:val="single" w:color="auto" w:sz="4" w:space="0"/>
              <w:bottom w:val="single" w:color="auto" w:sz="4" w:space="0"/>
              <w:right w:val="single" w:color="auto" w:sz="4" w:space="0"/>
            </w:tcBorders>
            <w:noWrap/>
            <w:vAlign w:val="center"/>
          </w:tcPr>
          <w:p w14:paraId="7CF65AF8">
            <w:pPr>
              <w:adjustRightInd w:val="0"/>
              <w:jc w:val="center"/>
              <w:rPr>
                <w:rFonts w:ascii="Times New Roman" w:hAnsi="Times New Roman"/>
                <w:b/>
                <w:color w:val="auto"/>
                <w:szCs w:val="21"/>
                <w:highlight w:val="none"/>
              </w:rPr>
            </w:pPr>
            <w:r>
              <w:rPr>
                <w:rFonts w:ascii="Times New Roman" w:hAnsi="Times New Roman"/>
                <w:b/>
                <w:color w:val="auto"/>
                <w:szCs w:val="21"/>
                <w:highlight w:val="none"/>
              </w:rPr>
              <w:t>本项目中担任职务</w:t>
            </w:r>
          </w:p>
        </w:tc>
        <w:tc>
          <w:tcPr>
            <w:tcW w:w="1916" w:type="dxa"/>
            <w:tcBorders>
              <w:top w:val="single" w:color="auto" w:sz="4" w:space="0"/>
              <w:left w:val="single" w:color="auto" w:sz="4" w:space="0"/>
              <w:bottom w:val="single" w:color="auto" w:sz="4" w:space="0"/>
              <w:right w:val="single" w:color="auto" w:sz="4" w:space="0"/>
            </w:tcBorders>
            <w:noWrap/>
            <w:vAlign w:val="center"/>
          </w:tcPr>
          <w:p w14:paraId="061FDDC5">
            <w:pPr>
              <w:adjustRightInd w:val="0"/>
              <w:jc w:val="center"/>
              <w:rPr>
                <w:rFonts w:ascii="Times New Roman" w:hAnsi="Times New Roman"/>
                <w:b/>
                <w:color w:val="auto"/>
                <w:szCs w:val="21"/>
                <w:highlight w:val="none"/>
              </w:rPr>
            </w:pPr>
            <w:r>
              <w:rPr>
                <w:rFonts w:ascii="Times New Roman" w:hAnsi="Times New Roman"/>
                <w:b/>
                <w:color w:val="auto"/>
                <w:szCs w:val="21"/>
                <w:highlight w:val="none"/>
              </w:rPr>
              <w:t>认证情况</w:t>
            </w:r>
          </w:p>
        </w:tc>
      </w:tr>
      <w:tr w14:paraId="3BB5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32194D3D">
            <w:pPr>
              <w:adjustRightInd w:val="0"/>
              <w:jc w:val="left"/>
              <w:rPr>
                <w:rFonts w:ascii="Times New Roman" w:hAnsi="Times New Roman"/>
                <w:color w:val="auto"/>
                <w:szCs w:val="21"/>
                <w:highlight w:val="none"/>
              </w:rPr>
            </w:pPr>
            <w:r>
              <w:rPr>
                <w:rFonts w:ascii="Times New Roman" w:hAnsi="Times New Roman"/>
                <w:color w:val="auto"/>
                <w:szCs w:val="21"/>
                <w:highlight w:val="none"/>
              </w:rPr>
              <w:t>项目管理人员</w:t>
            </w:r>
          </w:p>
          <w:p w14:paraId="6AC3C063">
            <w:pPr>
              <w:adjustRightInd w:val="0"/>
              <w:jc w:val="left"/>
              <w:rPr>
                <w:rFonts w:ascii="Times New Roman" w:hAnsi="Times New Roman"/>
                <w:color w:val="auto"/>
                <w:szCs w:val="21"/>
                <w:highlight w:val="none"/>
              </w:rPr>
            </w:pPr>
            <w:r>
              <w:rPr>
                <w:rFonts w:ascii="Times New Roman" w:hAnsi="Times New Roman"/>
                <w:color w:val="auto"/>
                <w:szCs w:val="21"/>
                <w:highlight w:val="none"/>
              </w:rPr>
              <w:t>（一）项目负责人</w:t>
            </w:r>
          </w:p>
        </w:tc>
      </w:tr>
      <w:tr w14:paraId="2CFE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tcBorders>
              <w:top w:val="single" w:color="auto" w:sz="4" w:space="0"/>
              <w:left w:val="single" w:color="auto" w:sz="4" w:space="0"/>
              <w:bottom w:val="single" w:color="auto" w:sz="4" w:space="0"/>
              <w:right w:val="single" w:color="auto" w:sz="4" w:space="0"/>
            </w:tcBorders>
            <w:noWrap/>
            <w:vAlign w:val="center"/>
          </w:tcPr>
          <w:p w14:paraId="1306CEBE">
            <w:pPr>
              <w:adjustRightInd w:val="0"/>
              <w:jc w:val="center"/>
              <w:rPr>
                <w:rFonts w:ascii="Times New Roman" w:hAnsi="Times New Roman"/>
                <w:color w:val="auto"/>
                <w:szCs w:val="21"/>
                <w:highlight w:val="none"/>
              </w:rPr>
            </w:pPr>
            <w:r>
              <w:rPr>
                <w:rFonts w:ascii="Times New Roman" w:hAnsi="Times New Roman"/>
                <w:color w:val="auto"/>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38D5CF3E">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4585BB93">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367E27B2">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C6303E4">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5C1E401">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35E0461E">
            <w:pPr>
              <w:adjustRightInd w:val="0"/>
              <w:jc w:val="center"/>
              <w:rPr>
                <w:rFonts w:ascii="Times New Roman" w:hAnsi="Times New Roman"/>
                <w:color w:val="auto"/>
                <w:szCs w:val="21"/>
                <w:highlight w:val="none"/>
              </w:rPr>
            </w:pPr>
          </w:p>
        </w:tc>
      </w:tr>
      <w:tr w14:paraId="32DE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1C5538DE">
            <w:pPr>
              <w:adjustRightInd w:val="0"/>
              <w:jc w:val="center"/>
              <w:rPr>
                <w:rFonts w:ascii="Times New Roman" w:hAnsi="Times New Roman"/>
                <w:color w:val="auto"/>
                <w:szCs w:val="21"/>
                <w:highlight w:val="none"/>
              </w:rPr>
            </w:pPr>
            <w:r>
              <w:rPr>
                <w:rFonts w:ascii="Times New Roman" w:hAnsi="Times New Roman"/>
                <w:color w:val="auto"/>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4A0F06DD">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79B674B1">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7B01576E">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6ECC3635">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136EE01">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E734611">
            <w:pPr>
              <w:adjustRightInd w:val="0"/>
              <w:jc w:val="center"/>
              <w:rPr>
                <w:rFonts w:ascii="Times New Roman" w:hAnsi="Times New Roman"/>
                <w:color w:val="auto"/>
                <w:szCs w:val="21"/>
                <w:highlight w:val="none"/>
              </w:rPr>
            </w:pPr>
          </w:p>
        </w:tc>
      </w:tr>
      <w:tr w14:paraId="49412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055E3A79">
            <w:pPr>
              <w:adjustRightInd w:val="0"/>
              <w:jc w:val="center"/>
              <w:rPr>
                <w:rFonts w:ascii="Times New Roman" w:hAnsi="Times New Roman"/>
                <w:color w:val="auto"/>
                <w:szCs w:val="21"/>
                <w:highlight w:val="none"/>
              </w:rPr>
            </w:pPr>
            <w:r>
              <w:rPr>
                <w:rFonts w:ascii="Times New Roman" w:hAnsi="Times New Roman"/>
                <w:color w:val="auto"/>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7E4323BD">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6F432589">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7DCD17B6">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684DB63">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45E09C9">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05A2D988">
            <w:pPr>
              <w:adjustRightInd w:val="0"/>
              <w:jc w:val="center"/>
              <w:rPr>
                <w:rFonts w:ascii="Times New Roman" w:hAnsi="Times New Roman"/>
                <w:color w:val="auto"/>
                <w:szCs w:val="21"/>
                <w:highlight w:val="none"/>
              </w:rPr>
            </w:pPr>
          </w:p>
        </w:tc>
      </w:tr>
      <w:tr w14:paraId="08458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0E8098E2">
            <w:pPr>
              <w:adjustRightInd w:val="0"/>
              <w:jc w:val="left"/>
              <w:rPr>
                <w:rFonts w:ascii="Times New Roman" w:hAnsi="Times New Roman"/>
                <w:color w:val="auto"/>
                <w:szCs w:val="21"/>
                <w:highlight w:val="none"/>
              </w:rPr>
            </w:pPr>
            <w:r>
              <w:rPr>
                <w:rFonts w:ascii="Times New Roman" w:hAnsi="Times New Roman"/>
                <w:color w:val="auto"/>
                <w:szCs w:val="21"/>
                <w:highlight w:val="none"/>
              </w:rPr>
              <w:t>（二）技术负责人</w:t>
            </w:r>
          </w:p>
        </w:tc>
      </w:tr>
      <w:tr w14:paraId="6294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56E02086">
            <w:pPr>
              <w:adjustRightInd w:val="0"/>
              <w:jc w:val="center"/>
              <w:rPr>
                <w:rFonts w:ascii="Times New Roman" w:hAnsi="Times New Roman"/>
                <w:color w:val="auto"/>
                <w:szCs w:val="21"/>
                <w:highlight w:val="none"/>
              </w:rPr>
            </w:pPr>
            <w:r>
              <w:rPr>
                <w:rFonts w:ascii="Times New Roman" w:hAnsi="Times New Roman"/>
                <w:color w:val="auto"/>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4DBE7B27">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7AEAD2C3">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78402CE1">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67AE54A7">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2D09234A">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50F3471">
            <w:pPr>
              <w:adjustRightInd w:val="0"/>
              <w:jc w:val="center"/>
              <w:rPr>
                <w:rFonts w:ascii="Times New Roman" w:hAnsi="Times New Roman"/>
                <w:color w:val="auto"/>
                <w:szCs w:val="21"/>
                <w:highlight w:val="none"/>
              </w:rPr>
            </w:pPr>
          </w:p>
        </w:tc>
      </w:tr>
      <w:tr w14:paraId="5661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5952F0B6">
            <w:pPr>
              <w:adjustRightInd w:val="0"/>
              <w:jc w:val="center"/>
              <w:rPr>
                <w:rFonts w:ascii="Times New Roman" w:hAnsi="Times New Roman"/>
                <w:color w:val="auto"/>
                <w:szCs w:val="21"/>
                <w:highlight w:val="none"/>
              </w:rPr>
            </w:pPr>
            <w:r>
              <w:rPr>
                <w:rFonts w:ascii="Times New Roman" w:hAnsi="Times New Roman"/>
                <w:color w:val="auto"/>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4D961E49">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4CC45904">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5D8F86D3">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C738E9C">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6263EB70">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30C2ACB9">
            <w:pPr>
              <w:adjustRightInd w:val="0"/>
              <w:jc w:val="center"/>
              <w:rPr>
                <w:rFonts w:ascii="Times New Roman" w:hAnsi="Times New Roman"/>
                <w:color w:val="auto"/>
                <w:szCs w:val="21"/>
                <w:highlight w:val="none"/>
              </w:rPr>
            </w:pPr>
          </w:p>
        </w:tc>
      </w:tr>
      <w:tr w14:paraId="62E5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7B40E571">
            <w:pPr>
              <w:adjustRightInd w:val="0"/>
              <w:jc w:val="center"/>
              <w:rPr>
                <w:rFonts w:ascii="Times New Roman" w:hAnsi="Times New Roman"/>
                <w:color w:val="auto"/>
                <w:szCs w:val="21"/>
                <w:highlight w:val="none"/>
              </w:rPr>
            </w:pPr>
            <w:r>
              <w:rPr>
                <w:rFonts w:ascii="Times New Roman" w:hAnsi="Times New Roman"/>
                <w:color w:val="auto"/>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6D1F95D7">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59FECAB7">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6D34B087">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8F305A1">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33E4BD8B">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522213FF">
            <w:pPr>
              <w:adjustRightInd w:val="0"/>
              <w:jc w:val="center"/>
              <w:rPr>
                <w:rFonts w:ascii="Times New Roman" w:hAnsi="Times New Roman"/>
                <w:color w:val="auto"/>
                <w:szCs w:val="21"/>
                <w:highlight w:val="none"/>
              </w:rPr>
            </w:pPr>
          </w:p>
        </w:tc>
      </w:tr>
      <w:tr w14:paraId="3E9D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121DD8DB">
            <w:pPr>
              <w:adjustRightInd w:val="0"/>
              <w:jc w:val="left"/>
              <w:rPr>
                <w:rFonts w:ascii="Times New Roman" w:hAnsi="Times New Roman"/>
                <w:color w:val="auto"/>
                <w:szCs w:val="21"/>
                <w:highlight w:val="none"/>
              </w:rPr>
            </w:pPr>
            <w:r>
              <w:rPr>
                <w:rFonts w:ascii="Times New Roman" w:hAnsi="Times New Roman"/>
                <w:color w:val="auto"/>
                <w:szCs w:val="21"/>
                <w:highlight w:val="none"/>
              </w:rPr>
              <w:t>二、XX人员</w:t>
            </w:r>
          </w:p>
        </w:tc>
      </w:tr>
      <w:tr w14:paraId="38FE1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57DA8EB2">
            <w:pPr>
              <w:adjustRightInd w:val="0"/>
              <w:jc w:val="center"/>
              <w:rPr>
                <w:rFonts w:ascii="Times New Roman" w:hAnsi="Times New Roman"/>
                <w:color w:val="auto"/>
                <w:szCs w:val="21"/>
                <w:highlight w:val="none"/>
              </w:rPr>
            </w:pPr>
            <w:r>
              <w:rPr>
                <w:rFonts w:ascii="Times New Roman" w:hAnsi="Times New Roman"/>
                <w:color w:val="auto"/>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20E10191">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1EDF3B81">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327A7B73">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0BB0A3F">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15D3AD6D">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2FEFDBFB">
            <w:pPr>
              <w:adjustRightInd w:val="0"/>
              <w:jc w:val="center"/>
              <w:rPr>
                <w:rFonts w:ascii="Times New Roman" w:hAnsi="Times New Roman"/>
                <w:color w:val="auto"/>
                <w:szCs w:val="21"/>
                <w:highlight w:val="none"/>
              </w:rPr>
            </w:pPr>
          </w:p>
        </w:tc>
      </w:tr>
      <w:tr w14:paraId="1F81B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66E15412">
            <w:pPr>
              <w:adjustRightInd w:val="0"/>
              <w:jc w:val="center"/>
              <w:rPr>
                <w:rFonts w:ascii="Times New Roman" w:hAnsi="Times New Roman"/>
                <w:color w:val="auto"/>
                <w:szCs w:val="21"/>
                <w:highlight w:val="none"/>
              </w:rPr>
            </w:pPr>
            <w:r>
              <w:rPr>
                <w:rFonts w:ascii="Times New Roman" w:hAnsi="Times New Roman"/>
                <w:color w:val="auto"/>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42DA66EA">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2E3EBC6">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F341D36">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62252C9">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90CB271">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7392E93">
            <w:pPr>
              <w:adjustRightInd w:val="0"/>
              <w:jc w:val="center"/>
              <w:rPr>
                <w:rFonts w:ascii="Times New Roman" w:hAnsi="Times New Roman"/>
                <w:color w:val="auto"/>
                <w:szCs w:val="21"/>
                <w:highlight w:val="none"/>
              </w:rPr>
            </w:pPr>
          </w:p>
        </w:tc>
      </w:tr>
      <w:tr w14:paraId="7DA4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007995E9">
            <w:pPr>
              <w:adjustRightInd w:val="0"/>
              <w:jc w:val="center"/>
              <w:rPr>
                <w:rFonts w:ascii="Times New Roman" w:hAnsi="Times New Roman"/>
                <w:color w:val="auto"/>
                <w:szCs w:val="21"/>
                <w:highlight w:val="none"/>
              </w:rPr>
            </w:pPr>
            <w:r>
              <w:rPr>
                <w:rFonts w:ascii="Times New Roman" w:hAnsi="Times New Roman"/>
                <w:color w:val="auto"/>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0E1276FC">
            <w:pPr>
              <w:adjustRightInd w:val="0"/>
              <w:jc w:val="center"/>
              <w:rPr>
                <w:rFonts w:ascii="Times New Roman" w:hAnsi="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3E1EC65">
            <w:pPr>
              <w:adjustRightInd w:val="0"/>
              <w:jc w:val="center"/>
              <w:rPr>
                <w:rFonts w:ascii="Times New Roman" w:hAnsi="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5A86F234">
            <w:pPr>
              <w:adjustRightInd w:val="0"/>
              <w:jc w:val="center"/>
              <w:rPr>
                <w:rFonts w:ascii="Times New Roman" w:hAnsi="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5DD96C2">
            <w:pPr>
              <w:adjustRightInd w:val="0"/>
              <w:jc w:val="center"/>
              <w:rPr>
                <w:rFonts w:ascii="Times New Roman" w:hAnsi="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53C46DC">
            <w:pPr>
              <w:adjustRightInd w:val="0"/>
              <w:jc w:val="center"/>
              <w:rPr>
                <w:rFonts w:ascii="Times New Roman" w:hAnsi="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5D16C257">
            <w:pPr>
              <w:adjustRightInd w:val="0"/>
              <w:jc w:val="center"/>
              <w:rPr>
                <w:rFonts w:ascii="Times New Roman" w:hAnsi="Times New Roman"/>
                <w:color w:val="auto"/>
                <w:szCs w:val="21"/>
                <w:highlight w:val="none"/>
              </w:rPr>
            </w:pPr>
          </w:p>
        </w:tc>
      </w:tr>
      <w:tr w14:paraId="77BB7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53917F31">
            <w:pPr>
              <w:adjustRightInd w:val="0"/>
              <w:jc w:val="left"/>
              <w:rPr>
                <w:rFonts w:ascii="Times New Roman" w:hAnsi="Times New Roman"/>
                <w:color w:val="auto"/>
                <w:szCs w:val="21"/>
                <w:highlight w:val="none"/>
              </w:rPr>
            </w:pPr>
            <w:r>
              <w:rPr>
                <w:rFonts w:ascii="Times New Roman" w:hAnsi="Times New Roman"/>
                <w:color w:val="auto"/>
                <w:szCs w:val="21"/>
                <w:highlight w:val="none"/>
              </w:rPr>
              <w:t>三、XX人员</w:t>
            </w:r>
          </w:p>
        </w:tc>
      </w:tr>
      <w:tr w14:paraId="29111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14:paraId="47E60CA4">
            <w:pPr>
              <w:adjustRightInd w:val="0"/>
              <w:jc w:val="center"/>
              <w:rPr>
                <w:rFonts w:ascii="Times New Roman" w:hAnsi="Times New Roman"/>
                <w:color w:val="auto"/>
                <w:szCs w:val="21"/>
                <w:highlight w:val="none"/>
              </w:rPr>
            </w:pPr>
            <w:r>
              <w:rPr>
                <w:rFonts w:ascii="Times New Roman" w:hAnsi="Times New Roman"/>
                <w:color w:val="auto"/>
                <w:szCs w:val="21"/>
                <w:highlight w:val="none"/>
              </w:rPr>
              <w:t>1</w:t>
            </w:r>
          </w:p>
        </w:tc>
        <w:tc>
          <w:tcPr>
            <w:tcW w:w="1356" w:type="dxa"/>
            <w:vAlign w:val="center"/>
          </w:tcPr>
          <w:p w14:paraId="668E2059">
            <w:pPr>
              <w:adjustRightInd w:val="0"/>
              <w:jc w:val="center"/>
              <w:rPr>
                <w:rFonts w:ascii="Times New Roman" w:hAnsi="Times New Roman"/>
                <w:color w:val="auto"/>
                <w:szCs w:val="21"/>
                <w:highlight w:val="none"/>
              </w:rPr>
            </w:pPr>
          </w:p>
        </w:tc>
        <w:tc>
          <w:tcPr>
            <w:tcW w:w="1187" w:type="dxa"/>
            <w:vAlign w:val="center"/>
          </w:tcPr>
          <w:p w14:paraId="2D590B7C">
            <w:pPr>
              <w:adjustRightInd w:val="0"/>
              <w:jc w:val="center"/>
              <w:rPr>
                <w:rFonts w:ascii="Times New Roman" w:hAnsi="Times New Roman"/>
                <w:color w:val="auto"/>
                <w:szCs w:val="21"/>
                <w:highlight w:val="none"/>
              </w:rPr>
            </w:pPr>
          </w:p>
        </w:tc>
        <w:tc>
          <w:tcPr>
            <w:tcW w:w="1189" w:type="dxa"/>
            <w:vAlign w:val="center"/>
          </w:tcPr>
          <w:p w14:paraId="5E371ADD">
            <w:pPr>
              <w:adjustRightInd w:val="0"/>
              <w:jc w:val="center"/>
              <w:rPr>
                <w:rFonts w:ascii="Times New Roman" w:hAnsi="Times New Roman"/>
                <w:color w:val="auto"/>
                <w:szCs w:val="21"/>
                <w:highlight w:val="none"/>
              </w:rPr>
            </w:pPr>
          </w:p>
        </w:tc>
        <w:tc>
          <w:tcPr>
            <w:tcW w:w="1275" w:type="dxa"/>
            <w:vAlign w:val="center"/>
          </w:tcPr>
          <w:p w14:paraId="119ABBF8">
            <w:pPr>
              <w:adjustRightInd w:val="0"/>
              <w:jc w:val="center"/>
              <w:rPr>
                <w:rFonts w:ascii="Times New Roman" w:hAnsi="Times New Roman"/>
                <w:color w:val="auto"/>
                <w:szCs w:val="21"/>
                <w:highlight w:val="none"/>
              </w:rPr>
            </w:pPr>
          </w:p>
        </w:tc>
        <w:tc>
          <w:tcPr>
            <w:tcW w:w="1243" w:type="dxa"/>
            <w:vAlign w:val="center"/>
          </w:tcPr>
          <w:p w14:paraId="02A6C70D">
            <w:pPr>
              <w:adjustRightInd w:val="0"/>
              <w:jc w:val="center"/>
              <w:rPr>
                <w:rFonts w:ascii="Times New Roman" w:hAnsi="Times New Roman"/>
                <w:color w:val="auto"/>
                <w:szCs w:val="21"/>
                <w:highlight w:val="none"/>
              </w:rPr>
            </w:pPr>
          </w:p>
        </w:tc>
        <w:tc>
          <w:tcPr>
            <w:tcW w:w="1916" w:type="dxa"/>
            <w:vAlign w:val="center"/>
          </w:tcPr>
          <w:p w14:paraId="234FCF6B">
            <w:pPr>
              <w:adjustRightInd w:val="0"/>
              <w:jc w:val="center"/>
              <w:rPr>
                <w:rFonts w:ascii="Times New Roman" w:hAnsi="Times New Roman"/>
                <w:color w:val="auto"/>
                <w:szCs w:val="21"/>
                <w:highlight w:val="none"/>
              </w:rPr>
            </w:pPr>
          </w:p>
        </w:tc>
      </w:tr>
      <w:tr w14:paraId="01E83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14:paraId="601FEE5A">
            <w:pPr>
              <w:adjustRightInd w:val="0"/>
              <w:jc w:val="center"/>
              <w:rPr>
                <w:rFonts w:ascii="Times New Roman" w:hAnsi="Times New Roman"/>
                <w:color w:val="auto"/>
                <w:szCs w:val="21"/>
                <w:highlight w:val="none"/>
              </w:rPr>
            </w:pPr>
            <w:r>
              <w:rPr>
                <w:rFonts w:ascii="Times New Roman" w:hAnsi="Times New Roman"/>
                <w:color w:val="auto"/>
                <w:szCs w:val="21"/>
                <w:highlight w:val="none"/>
              </w:rPr>
              <w:t>2</w:t>
            </w:r>
          </w:p>
        </w:tc>
        <w:tc>
          <w:tcPr>
            <w:tcW w:w="1356" w:type="dxa"/>
            <w:vAlign w:val="center"/>
          </w:tcPr>
          <w:p w14:paraId="2C5FBBC6">
            <w:pPr>
              <w:adjustRightInd w:val="0"/>
              <w:jc w:val="center"/>
              <w:rPr>
                <w:rFonts w:ascii="Times New Roman" w:hAnsi="Times New Roman"/>
                <w:color w:val="auto"/>
                <w:szCs w:val="21"/>
                <w:highlight w:val="none"/>
              </w:rPr>
            </w:pPr>
          </w:p>
        </w:tc>
        <w:tc>
          <w:tcPr>
            <w:tcW w:w="1187" w:type="dxa"/>
            <w:vAlign w:val="center"/>
          </w:tcPr>
          <w:p w14:paraId="30612CC2">
            <w:pPr>
              <w:adjustRightInd w:val="0"/>
              <w:jc w:val="center"/>
              <w:rPr>
                <w:rFonts w:ascii="Times New Roman" w:hAnsi="Times New Roman"/>
                <w:color w:val="auto"/>
                <w:szCs w:val="21"/>
                <w:highlight w:val="none"/>
              </w:rPr>
            </w:pPr>
          </w:p>
        </w:tc>
        <w:tc>
          <w:tcPr>
            <w:tcW w:w="1189" w:type="dxa"/>
            <w:vAlign w:val="center"/>
          </w:tcPr>
          <w:p w14:paraId="7A7A6928">
            <w:pPr>
              <w:adjustRightInd w:val="0"/>
              <w:jc w:val="center"/>
              <w:rPr>
                <w:rFonts w:ascii="Times New Roman" w:hAnsi="Times New Roman"/>
                <w:color w:val="auto"/>
                <w:szCs w:val="21"/>
                <w:highlight w:val="none"/>
              </w:rPr>
            </w:pPr>
          </w:p>
        </w:tc>
        <w:tc>
          <w:tcPr>
            <w:tcW w:w="1275" w:type="dxa"/>
            <w:vAlign w:val="center"/>
          </w:tcPr>
          <w:p w14:paraId="2898777F">
            <w:pPr>
              <w:adjustRightInd w:val="0"/>
              <w:jc w:val="center"/>
              <w:rPr>
                <w:rFonts w:ascii="Times New Roman" w:hAnsi="Times New Roman"/>
                <w:color w:val="auto"/>
                <w:szCs w:val="21"/>
                <w:highlight w:val="none"/>
              </w:rPr>
            </w:pPr>
          </w:p>
        </w:tc>
        <w:tc>
          <w:tcPr>
            <w:tcW w:w="1243" w:type="dxa"/>
            <w:vAlign w:val="center"/>
          </w:tcPr>
          <w:p w14:paraId="36CDF4C7">
            <w:pPr>
              <w:adjustRightInd w:val="0"/>
              <w:jc w:val="center"/>
              <w:rPr>
                <w:rFonts w:ascii="Times New Roman" w:hAnsi="Times New Roman"/>
                <w:color w:val="auto"/>
                <w:szCs w:val="21"/>
                <w:highlight w:val="none"/>
              </w:rPr>
            </w:pPr>
          </w:p>
        </w:tc>
        <w:tc>
          <w:tcPr>
            <w:tcW w:w="1916" w:type="dxa"/>
            <w:vAlign w:val="center"/>
          </w:tcPr>
          <w:p w14:paraId="3787DCAF">
            <w:pPr>
              <w:adjustRightInd w:val="0"/>
              <w:jc w:val="center"/>
              <w:rPr>
                <w:rFonts w:ascii="Times New Roman" w:hAnsi="Times New Roman"/>
                <w:color w:val="auto"/>
                <w:szCs w:val="21"/>
                <w:highlight w:val="none"/>
              </w:rPr>
            </w:pPr>
          </w:p>
        </w:tc>
      </w:tr>
      <w:tr w14:paraId="07462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14:paraId="690DF5A1">
            <w:pPr>
              <w:adjustRightInd w:val="0"/>
              <w:jc w:val="center"/>
              <w:rPr>
                <w:rFonts w:ascii="Times New Roman" w:hAnsi="Times New Roman"/>
                <w:color w:val="auto"/>
                <w:szCs w:val="21"/>
                <w:highlight w:val="none"/>
              </w:rPr>
            </w:pPr>
            <w:r>
              <w:rPr>
                <w:rFonts w:ascii="Times New Roman" w:hAnsi="Times New Roman"/>
                <w:color w:val="auto"/>
                <w:szCs w:val="21"/>
                <w:highlight w:val="none"/>
              </w:rPr>
              <w:t>……</w:t>
            </w:r>
          </w:p>
        </w:tc>
        <w:tc>
          <w:tcPr>
            <w:tcW w:w="1356" w:type="dxa"/>
            <w:vAlign w:val="center"/>
          </w:tcPr>
          <w:p w14:paraId="0143AD01">
            <w:pPr>
              <w:adjustRightInd w:val="0"/>
              <w:jc w:val="center"/>
              <w:rPr>
                <w:rFonts w:ascii="Times New Roman" w:hAnsi="Times New Roman"/>
                <w:color w:val="auto"/>
                <w:szCs w:val="21"/>
                <w:highlight w:val="none"/>
              </w:rPr>
            </w:pPr>
          </w:p>
        </w:tc>
        <w:tc>
          <w:tcPr>
            <w:tcW w:w="1187" w:type="dxa"/>
            <w:vAlign w:val="center"/>
          </w:tcPr>
          <w:p w14:paraId="5550E5AF">
            <w:pPr>
              <w:adjustRightInd w:val="0"/>
              <w:jc w:val="center"/>
              <w:rPr>
                <w:rFonts w:ascii="Times New Roman" w:hAnsi="Times New Roman"/>
                <w:color w:val="auto"/>
                <w:szCs w:val="21"/>
                <w:highlight w:val="none"/>
              </w:rPr>
            </w:pPr>
          </w:p>
        </w:tc>
        <w:tc>
          <w:tcPr>
            <w:tcW w:w="1189" w:type="dxa"/>
            <w:vAlign w:val="center"/>
          </w:tcPr>
          <w:p w14:paraId="06CC7407">
            <w:pPr>
              <w:adjustRightInd w:val="0"/>
              <w:jc w:val="center"/>
              <w:rPr>
                <w:rFonts w:ascii="Times New Roman" w:hAnsi="Times New Roman"/>
                <w:color w:val="auto"/>
                <w:szCs w:val="21"/>
                <w:highlight w:val="none"/>
              </w:rPr>
            </w:pPr>
          </w:p>
        </w:tc>
        <w:tc>
          <w:tcPr>
            <w:tcW w:w="1275" w:type="dxa"/>
            <w:vAlign w:val="center"/>
          </w:tcPr>
          <w:p w14:paraId="64B7B116">
            <w:pPr>
              <w:adjustRightInd w:val="0"/>
              <w:jc w:val="center"/>
              <w:rPr>
                <w:rFonts w:ascii="Times New Roman" w:hAnsi="Times New Roman"/>
                <w:color w:val="auto"/>
                <w:szCs w:val="21"/>
                <w:highlight w:val="none"/>
              </w:rPr>
            </w:pPr>
          </w:p>
        </w:tc>
        <w:tc>
          <w:tcPr>
            <w:tcW w:w="1243" w:type="dxa"/>
            <w:vAlign w:val="center"/>
          </w:tcPr>
          <w:p w14:paraId="62B381ED">
            <w:pPr>
              <w:adjustRightInd w:val="0"/>
              <w:jc w:val="center"/>
              <w:rPr>
                <w:rFonts w:ascii="Times New Roman" w:hAnsi="Times New Roman"/>
                <w:color w:val="auto"/>
                <w:szCs w:val="21"/>
                <w:highlight w:val="none"/>
              </w:rPr>
            </w:pPr>
          </w:p>
        </w:tc>
        <w:tc>
          <w:tcPr>
            <w:tcW w:w="1916" w:type="dxa"/>
            <w:vAlign w:val="center"/>
          </w:tcPr>
          <w:p w14:paraId="64531069">
            <w:pPr>
              <w:adjustRightInd w:val="0"/>
              <w:jc w:val="center"/>
              <w:rPr>
                <w:rFonts w:ascii="Times New Roman" w:hAnsi="Times New Roman"/>
                <w:color w:val="auto"/>
                <w:szCs w:val="21"/>
                <w:highlight w:val="none"/>
              </w:rPr>
            </w:pPr>
          </w:p>
        </w:tc>
      </w:tr>
    </w:tbl>
    <w:p w14:paraId="13CF3F30">
      <w:pPr>
        <w:topLinePunct/>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525C5DC6">
      <w:pPr>
        <w:topLinePunct/>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投标人须按照上述格式填写投入本项目所有人员的相关信息。</w:t>
      </w:r>
    </w:p>
    <w:p w14:paraId="65E455FB">
      <w:pPr>
        <w:topLinePunct/>
        <w:autoSpaceDE w:val="0"/>
        <w:autoSpaceDN w:val="0"/>
        <w:spacing w:line="360" w:lineRule="auto"/>
        <w:ind w:firstLine="420" w:firstLineChars="200"/>
        <w:rPr>
          <w:rFonts w:hint="eastAsia"/>
          <w:color w:val="auto"/>
          <w:highlight w:val="none"/>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以上</w:t>
      </w:r>
      <w:r>
        <w:rPr>
          <w:rFonts w:hint="eastAsia" w:ascii="宋体" w:hAnsi="宋体" w:eastAsia="宋体" w:cs="宋体"/>
          <w:color w:val="auto"/>
          <w:szCs w:val="21"/>
          <w:highlight w:val="none"/>
        </w:rPr>
        <w:t>人员应</w:t>
      </w:r>
      <w:r>
        <w:rPr>
          <w:rFonts w:hint="eastAsia" w:ascii="宋体" w:hAnsi="宋体" w:cs="宋体"/>
          <w:color w:val="auto"/>
          <w:szCs w:val="21"/>
          <w:highlight w:val="none"/>
          <w:lang w:val="en-US" w:eastAsia="zh-CN"/>
        </w:rPr>
        <w:t>根据采购需求的人员配置要求、评分办法要求按需</w:t>
      </w:r>
      <w:r>
        <w:rPr>
          <w:rFonts w:hint="eastAsia" w:ascii="宋体" w:hAnsi="宋体" w:eastAsia="宋体" w:cs="宋体"/>
          <w:color w:val="auto"/>
          <w:szCs w:val="21"/>
          <w:highlight w:val="none"/>
        </w:rPr>
        <w:t>提供</w:t>
      </w:r>
      <w:r>
        <w:rPr>
          <w:rFonts w:hint="default" w:ascii="宋体" w:hAnsi="宋体" w:eastAsia="宋体" w:cs="宋体"/>
          <w:b/>
          <w:bCs/>
          <w:color w:val="auto"/>
          <w:spacing w:val="-2"/>
          <w:kern w:val="2"/>
          <w:sz w:val="21"/>
          <w:szCs w:val="21"/>
          <w:highlight w:val="none"/>
          <w:lang w:val="en-US" w:eastAsia="zh-CN"/>
        </w:rPr>
        <w:t>相关认证或资格（职称）证书、与投标单位签署的劳动合同</w:t>
      </w:r>
      <w:r>
        <w:rPr>
          <w:rFonts w:hint="eastAsia" w:ascii="宋体" w:hAnsi="宋体" w:cs="宋体"/>
          <w:color w:val="auto"/>
          <w:szCs w:val="21"/>
          <w:highlight w:val="none"/>
          <w:u w:val="single"/>
          <w:lang w:val="en-US" w:eastAsia="zh-CN"/>
        </w:rPr>
        <w:t>等</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复印件。</w:t>
      </w:r>
    </w:p>
    <w:p w14:paraId="07BE4858">
      <w:pPr>
        <w:topLinePunct w:val="0"/>
        <w:autoSpaceDE/>
        <w:autoSpaceDN/>
        <w:spacing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color w:val="auto"/>
          <w:sz w:val="30"/>
          <w:szCs w:val="30"/>
          <w:highlight w:val="none"/>
        </w:rPr>
        <w:br w:type="page"/>
      </w:r>
      <w:bookmarkStart w:id="298" w:name="_Toc8136"/>
      <w:bookmarkStart w:id="299" w:name="_Toc25423"/>
      <w:bookmarkStart w:id="300" w:name="_Toc11144"/>
      <w:bookmarkStart w:id="301" w:name="_Toc4709"/>
      <w:bookmarkStart w:id="302" w:name="_Toc1738"/>
      <w:bookmarkStart w:id="303" w:name="_Toc10281"/>
      <w:bookmarkStart w:id="304" w:name="_Toc31327"/>
      <w:bookmarkStart w:id="305" w:name="_Toc1196"/>
      <w:r>
        <w:rPr>
          <w:rFonts w:hint="eastAsia" w:ascii="宋体" w:hAnsi="宋体" w:eastAsia="宋体" w:cs="宋体"/>
          <w:b/>
          <w:bCs/>
          <w:color w:val="auto"/>
          <w:sz w:val="28"/>
          <w:szCs w:val="28"/>
          <w:highlight w:val="none"/>
        </w:rPr>
        <w:t>格式1</w:t>
      </w:r>
      <w:r>
        <w:rPr>
          <w:rFonts w:hint="eastAsia" w:ascii="宋体" w:hAnsi="宋体" w:cs="宋体"/>
          <w:b/>
          <w:bCs/>
          <w:color w:val="auto"/>
          <w:sz w:val="28"/>
          <w:szCs w:val="28"/>
          <w:highlight w:val="none"/>
          <w:lang w:val="en-US" w:eastAsia="zh-CN"/>
        </w:rPr>
        <w:t>9</w:t>
      </w:r>
      <w:r>
        <w:rPr>
          <w:rFonts w:hint="eastAsia" w:ascii="宋体" w:hAnsi="宋体" w:eastAsia="宋体" w:cs="宋体"/>
          <w:b/>
          <w:bCs/>
          <w:color w:val="auto"/>
          <w:sz w:val="28"/>
          <w:szCs w:val="28"/>
          <w:highlight w:val="none"/>
        </w:rPr>
        <w:t xml:space="preserve">  技术人员简历表</w:t>
      </w:r>
      <w:bookmarkEnd w:id="298"/>
      <w:bookmarkEnd w:id="299"/>
      <w:bookmarkEnd w:id="300"/>
      <w:bookmarkEnd w:id="301"/>
      <w:bookmarkEnd w:id="302"/>
      <w:bookmarkEnd w:id="303"/>
      <w:bookmarkEnd w:id="304"/>
      <w:bookmarkEnd w:id="305"/>
    </w:p>
    <w:tbl>
      <w:tblPr>
        <w:tblStyle w:val="2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713"/>
        <w:gridCol w:w="1505"/>
        <w:gridCol w:w="1388"/>
        <w:gridCol w:w="1796"/>
        <w:gridCol w:w="1263"/>
      </w:tblGrid>
      <w:tr w14:paraId="5762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666E1DD9">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p>
        </w:tc>
        <w:tc>
          <w:tcPr>
            <w:tcW w:w="1714" w:type="dxa"/>
            <w:tcBorders>
              <w:top w:val="single" w:color="auto" w:sz="4" w:space="0"/>
              <w:left w:val="single" w:color="auto" w:sz="4" w:space="0"/>
              <w:bottom w:val="single" w:color="auto" w:sz="4" w:space="0"/>
              <w:right w:val="single" w:color="auto" w:sz="4" w:space="0"/>
            </w:tcBorders>
            <w:vAlign w:val="center"/>
          </w:tcPr>
          <w:p w14:paraId="62D87798">
            <w:pPr>
              <w:adjustRightInd w:val="0"/>
              <w:jc w:val="center"/>
              <w:rPr>
                <w:rFonts w:hint="eastAsia" w:ascii="宋体" w:hAnsi="宋体" w:eastAsia="宋体" w:cs="宋体"/>
                <w:color w:val="auto"/>
                <w:szCs w:val="21"/>
                <w:highlight w:val="none"/>
              </w:rPr>
            </w:pPr>
          </w:p>
        </w:tc>
        <w:tc>
          <w:tcPr>
            <w:tcW w:w="1506" w:type="dxa"/>
            <w:tcBorders>
              <w:top w:val="single" w:color="auto" w:sz="4" w:space="0"/>
              <w:left w:val="single" w:color="auto" w:sz="4" w:space="0"/>
              <w:bottom w:val="single" w:color="auto" w:sz="4" w:space="0"/>
              <w:right w:val="single" w:color="auto" w:sz="4" w:space="0"/>
            </w:tcBorders>
            <w:vAlign w:val="center"/>
          </w:tcPr>
          <w:p w14:paraId="242D5461">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性    别</w:t>
            </w:r>
          </w:p>
        </w:tc>
        <w:tc>
          <w:tcPr>
            <w:tcW w:w="1385" w:type="dxa"/>
            <w:tcBorders>
              <w:top w:val="single" w:color="auto" w:sz="4" w:space="0"/>
              <w:left w:val="single" w:color="auto" w:sz="4" w:space="0"/>
              <w:bottom w:val="single" w:color="auto" w:sz="4" w:space="0"/>
              <w:right w:val="single" w:color="auto" w:sz="4" w:space="0"/>
            </w:tcBorders>
            <w:vAlign w:val="center"/>
          </w:tcPr>
          <w:p w14:paraId="75F18912">
            <w:pPr>
              <w:adjustRightInd w:val="0"/>
              <w:jc w:val="center"/>
              <w:rPr>
                <w:rFonts w:hint="eastAsia" w:ascii="宋体" w:hAnsi="宋体" w:eastAsia="宋体" w:cs="宋体"/>
                <w:color w:val="auto"/>
                <w:szCs w:val="21"/>
                <w:highlight w:val="none"/>
              </w:rPr>
            </w:pPr>
          </w:p>
        </w:tc>
        <w:tc>
          <w:tcPr>
            <w:tcW w:w="1797" w:type="dxa"/>
            <w:tcBorders>
              <w:top w:val="single" w:color="auto" w:sz="4" w:space="0"/>
              <w:left w:val="single" w:color="auto" w:sz="4" w:space="0"/>
              <w:bottom w:val="single" w:color="auto" w:sz="4" w:space="0"/>
              <w:right w:val="single" w:color="auto" w:sz="4" w:space="0"/>
            </w:tcBorders>
            <w:vAlign w:val="center"/>
          </w:tcPr>
          <w:p w14:paraId="21F1E682">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出生日期</w:t>
            </w:r>
          </w:p>
        </w:tc>
        <w:tc>
          <w:tcPr>
            <w:tcW w:w="1263" w:type="dxa"/>
            <w:tcBorders>
              <w:top w:val="single" w:color="auto" w:sz="4" w:space="0"/>
              <w:left w:val="single" w:color="auto" w:sz="4" w:space="0"/>
              <w:bottom w:val="single" w:color="auto" w:sz="4" w:space="0"/>
              <w:right w:val="single" w:color="auto" w:sz="4" w:space="0"/>
            </w:tcBorders>
            <w:vAlign w:val="center"/>
          </w:tcPr>
          <w:p w14:paraId="4717AA6F">
            <w:pPr>
              <w:adjustRightInd w:val="0"/>
              <w:jc w:val="center"/>
              <w:rPr>
                <w:rFonts w:hint="eastAsia" w:ascii="宋体" w:hAnsi="宋体" w:eastAsia="宋体" w:cs="宋体"/>
                <w:color w:val="auto"/>
                <w:szCs w:val="21"/>
                <w:highlight w:val="none"/>
              </w:rPr>
            </w:pPr>
          </w:p>
        </w:tc>
      </w:tr>
      <w:tr w14:paraId="1917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10F8D81C">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学   历</w:t>
            </w:r>
          </w:p>
        </w:tc>
        <w:tc>
          <w:tcPr>
            <w:tcW w:w="1714" w:type="dxa"/>
            <w:tcBorders>
              <w:top w:val="single" w:color="auto" w:sz="4" w:space="0"/>
              <w:left w:val="single" w:color="auto" w:sz="4" w:space="0"/>
              <w:bottom w:val="single" w:color="auto" w:sz="4" w:space="0"/>
              <w:right w:val="single" w:color="auto" w:sz="4" w:space="0"/>
            </w:tcBorders>
            <w:vAlign w:val="center"/>
          </w:tcPr>
          <w:p w14:paraId="740446A1">
            <w:pPr>
              <w:adjustRightInd w:val="0"/>
              <w:jc w:val="center"/>
              <w:rPr>
                <w:rFonts w:hint="eastAsia" w:ascii="宋体" w:hAnsi="宋体" w:eastAsia="宋体" w:cs="宋体"/>
                <w:color w:val="auto"/>
                <w:szCs w:val="21"/>
                <w:highlight w:val="none"/>
              </w:rPr>
            </w:pPr>
          </w:p>
        </w:tc>
        <w:tc>
          <w:tcPr>
            <w:tcW w:w="1506" w:type="dxa"/>
            <w:tcBorders>
              <w:top w:val="single" w:color="auto" w:sz="4" w:space="0"/>
              <w:left w:val="single" w:color="auto" w:sz="4" w:space="0"/>
              <w:bottom w:val="single" w:color="auto" w:sz="4" w:space="0"/>
              <w:right w:val="single" w:color="auto" w:sz="4" w:space="0"/>
            </w:tcBorders>
            <w:vAlign w:val="center"/>
          </w:tcPr>
          <w:p w14:paraId="43ABCDF0">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毕业学校</w:t>
            </w:r>
          </w:p>
        </w:tc>
        <w:tc>
          <w:tcPr>
            <w:tcW w:w="1385" w:type="dxa"/>
            <w:tcBorders>
              <w:top w:val="single" w:color="auto" w:sz="4" w:space="0"/>
              <w:left w:val="single" w:color="auto" w:sz="4" w:space="0"/>
              <w:bottom w:val="single" w:color="auto" w:sz="4" w:space="0"/>
              <w:right w:val="single" w:color="auto" w:sz="4" w:space="0"/>
            </w:tcBorders>
            <w:vAlign w:val="center"/>
          </w:tcPr>
          <w:p w14:paraId="5831A541">
            <w:pPr>
              <w:adjustRightInd w:val="0"/>
              <w:jc w:val="center"/>
              <w:rPr>
                <w:rFonts w:hint="eastAsia" w:ascii="宋体" w:hAnsi="宋体" w:eastAsia="宋体" w:cs="宋体"/>
                <w:color w:val="auto"/>
                <w:szCs w:val="21"/>
                <w:highlight w:val="none"/>
              </w:rPr>
            </w:pPr>
          </w:p>
        </w:tc>
        <w:tc>
          <w:tcPr>
            <w:tcW w:w="1797" w:type="dxa"/>
            <w:tcBorders>
              <w:top w:val="single" w:color="auto" w:sz="4" w:space="0"/>
              <w:left w:val="single" w:color="auto" w:sz="4" w:space="0"/>
              <w:bottom w:val="single" w:color="auto" w:sz="4" w:space="0"/>
              <w:right w:val="single" w:color="auto" w:sz="4" w:space="0"/>
            </w:tcBorders>
            <w:vAlign w:val="center"/>
          </w:tcPr>
          <w:p w14:paraId="12BB5D25">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技术职称</w:t>
            </w:r>
          </w:p>
        </w:tc>
        <w:tc>
          <w:tcPr>
            <w:tcW w:w="1263" w:type="dxa"/>
            <w:tcBorders>
              <w:top w:val="single" w:color="auto" w:sz="4" w:space="0"/>
              <w:left w:val="single" w:color="auto" w:sz="4" w:space="0"/>
              <w:bottom w:val="single" w:color="auto" w:sz="4" w:space="0"/>
              <w:right w:val="single" w:color="auto" w:sz="4" w:space="0"/>
            </w:tcBorders>
            <w:vAlign w:val="center"/>
          </w:tcPr>
          <w:p w14:paraId="495F8195">
            <w:pPr>
              <w:adjustRightInd w:val="0"/>
              <w:jc w:val="center"/>
              <w:rPr>
                <w:rFonts w:hint="eastAsia" w:ascii="宋体" w:hAnsi="宋体" w:eastAsia="宋体" w:cs="宋体"/>
                <w:color w:val="auto"/>
                <w:szCs w:val="21"/>
                <w:highlight w:val="none"/>
              </w:rPr>
            </w:pPr>
          </w:p>
        </w:tc>
      </w:tr>
      <w:tr w14:paraId="766F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580105C0">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公司职务</w:t>
            </w:r>
          </w:p>
        </w:tc>
        <w:tc>
          <w:tcPr>
            <w:tcW w:w="1714" w:type="dxa"/>
            <w:tcBorders>
              <w:top w:val="single" w:color="auto" w:sz="4" w:space="0"/>
              <w:left w:val="single" w:color="auto" w:sz="4" w:space="0"/>
              <w:bottom w:val="single" w:color="auto" w:sz="4" w:space="0"/>
              <w:right w:val="single" w:color="auto" w:sz="4" w:space="0"/>
            </w:tcBorders>
            <w:vAlign w:val="center"/>
          </w:tcPr>
          <w:p w14:paraId="569E8CD8">
            <w:pPr>
              <w:adjustRightInd w:val="0"/>
              <w:jc w:val="center"/>
              <w:rPr>
                <w:rFonts w:hint="eastAsia" w:ascii="宋体" w:hAnsi="宋体" w:eastAsia="宋体" w:cs="宋体"/>
                <w:color w:val="auto"/>
                <w:szCs w:val="21"/>
                <w:highlight w:val="none"/>
              </w:rPr>
            </w:pPr>
          </w:p>
        </w:tc>
        <w:tc>
          <w:tcPr>
            <w:tcW w:w="1506" w:type="dxa"/>
            <w:tcBorders>
              <w:top w:val="single" w:color="auto" w:sz="4" w:space="0"/>
              <w:left w:val="single" w:color="auto" w:sz="4" w:space="0"/>
              <w:bottom w:val="single" w:color="auto" w:sz="4" w:space="0"/>
              <w:right w:val="single" w:color="auto" w:sz="4" w:space="0"/>
            </w:tcBorders>
            <w:vAlign w:val="center"/>
          </w:tcPr>
          <w:p w14:paraId="152608F2">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任职时间</w:t>
            </w:r>
          </w:p>
        </w:tc>
        <w:tc>
          <w:tcPr>
            <w:tcW w:w="1385" w:type="dxa"/>
            <w:tcBorders>
              <w:top w:val="single" w:color="auto" w:sz="4" w:space="0"/>
              <w:left w:val="single" w:color="auto" w:sz="4" w:space="0"/>
              <w:bottom w:val="single" w:color="auto" w:sz="4" w:space="0"/>
              <w:right w:val="single" w:color="auto" w:sz="4" w:space="0"/>
            </w:tcBorders>
            <w:vAlign w:val="center"/>
          </w:tcPr>
          <w:p w14:paraId="188F826E">
            <w:pPr>
              <w:adjustRightInd w:val="0"/>
              <w:jc w:val="center"/>
              <w:rPr>
                <w:rFonts w:hint="eastAsia" w:ascii="宋体" w:hAnsi="宋体" w:eastAsia="宋体" w:cs="宋体"/>
                <w:color w:val="auto"/>
                <w:szCs w:val="21"/>
                <w:highlight w:val="none"/>
              </w:rPr>
            </w:pPr>
          </w:p>
        </w:tc>
        <w:tc>
          <w:tcPr>
            <w:tcW w:w="1797" w:type="dxa"/>
            <w:tcBorders>
              <w:top w:val="single" w:color="auto" w:sz="4" w:space="0"/>
              <w:left w:val="single" w:color="auto" w:sz="4" w:space="0"/>
              <w:bottom w:val="single" w:color="auto" w:sz="4" w:space="0"/>
              <w:right w:val="single" w:color="auto" w:sz="4" w:space="0"/>
            </w:tcBorders>
            <w:vAlign w:val="center"/>
          </w:tcPr>
          <w:p w14:paraId="1341C90B">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本项目任职</w:t>
            </w:r>
          </w:p>
        </w:tc>
        <w:tc>
          <w:tcPr>
            <w:tcW w:w="1263" w:type="dxa"/>
            <w:tcBorders>
              <w:top w:val="single" w:color="auto" w:sz="4" w:space="0"/>
              <w:left w:val="single" w:color="auto" w:sz="4" w:space="0"/>
              <w:bottom w:val="single" w:color="auto" w:sz="4" w:space="0"/>
              <w:right w:val="single" w:color="auto" w:sz="4" w:space="0"/>
            </w:tcBorders>
            <w:vAlign w:val="center"/>
          </w:tcPr>
          <w:p w14:paraId="0843E8BF">
            <w:pPr>
              <w:adjustRightInd w:val="0"/>
              <w:jc w:val="center"/>
              <w:rPr>
                <w:rFonts w:hint="eastAsia" w:ascii="宋体" w:hAnsi="宋体" w:eastAsia="宋体" w:cs="宋体"/>
                <w:color w:val="auto"/>
                <w:szCs w:val="21"/>
                <w:highlight w:val="none"/>
              </w:rPr>
            </w:pPr>
          </w:p>
        </w:tc>
      </w:tr>
      <w:tr w14:paraId="1FDEE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63" w:type="dxa"/>
            <w:tcBorders>
              <w:top w:val="single" w:color="auto" w:sz="4" w:space="0"/>
              <w:left w:val="single" w:color="auto" w:sz="4" w:space="0"/>
              <w:bottom w:val="single" w:color="auto" w:sz="4" w:space="0"/>
              <w:right w:val="single" w:color="auto" w:sz="4" w:space="0"/>
            </w:tcBorders>
            <w:vAlign w:val="center"/>
          </w:tcPr>
          <w:p w14:paraId="5A4ED8A4">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人员级别</w:t>
            </w:r>
          </w:p>
        </w:tc>
        <w:tc>
          <w:tcPr>
            <w:tcW w:w="1714" w:type="dxa"/>
            <w:tcBorders>
              <w:top w:val="single" w:color="auto" w:sz="4" w:space="0"/>
              <w:left w:val="single" w:color="auto" w:sz="4" w:space="0"/>
              <w:bottom w:val="single" w:color="auto" w:sz="4" w:space="0"/>
              <w:right w:val="single" w:color="auto" w:sz="4" w:space="0"/>
            </w:tcBorders>
            <w:vAlign w:val="center"/>
          </w:tcPr>
          <w:p w14:paraId="4494CA7A">
            <w:pPr>
              <w:adjustRightInd w:val="0"/>
              <w:jc w:val="center"/>
              <w:rPr>
                <w:rFonts w:hint="eastAsia" w:ascii="宋体" w:hAnsi="宋体" w:eastAsia="宋体" w:cs="宋体"/>
                <w:color w:val="auto"/>
                <w:szCs w:val="21"/>
                <w:highlight w:val="none"/>
              </w:rPr>
            </w:pPr>
          </w:p>
        </w:tc>
        <w:tc>
          <w:tcPr>
            <w:tcW w:w="1506" w:type="dxa"/>
            <w:tcBorders>
              <w:top w:val="single" w:color="auto" w:sz="4" w:space="0"/>
              <w:left w:val="single" w:color="auto" w:sz="4" w:space="0"/>
              <w:bottom w:val="single" w:color="auto" w:sz="4" w:space="0"/>
              <w:right w:val="single" w:color="auto" w:sz="4" w:space="0"/>
            </w:tcBorders>
            <w:vAlign w:val="center"/>
          </w:tcPr>
          <w:p w14:paraId="79E40994">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从事XXX工作年限</w:t>
            </w:r>
          </w:p>
        </w:tc>
        <w:tc>
          <w:tcPr>
            <w:tcW w:w="1388" w:type="dxa"/>
            <w:tcBorders>
              <w:top w:val="single" w:color="auto" w:sz="4" w:space="0"/>
              <w:left w:val="single" w:color="auto" w:sz="4" w:space="0"/>
              <w:bottom w:val="single" w:color="auto" w:sz="4" w:space="0"/>
              <w:right w:val="single" w:color="auto" w:sz="4" w:space="0"/>
            </w:tcBorders>
            <w:vAlign w:val="center"/>
          </w:tcPr>
          <w:p w14:paraId="03CBC463">
            <w:pPr>
              <w:adjustRightInd w:val="0"/>
              <w:jc w:val="center"/>
              <w:rPr>
                <w:rFonts w:hint="eastAsia" w:ascii="宋体" w:hAnsi="宋体" w:eastAsia="宋体" w:cs="宋体"/>
                <w:color w:val="auto"/>
                <w:szCs w:val="21"/>
                <w:highlight w:val="none"/>
              </w:rPr>
            </w:pPr>
          </w:p>
        </w:tc>
        <w:tc>
          <w:tcPr>
            <w:tcW w:w="1794" w:type="dxa"/>
            <w:tcBorders>
              <w:top w:val="single" w:color="auto" w:sz="4" w:space="0"/>
              <w:left w:val="single" w:color="auto" w:sz="4" w:space="0"/>
              <w:bottom w:val="single" w:color="auto" w:sz="4" w:space="0"/>
              <w:right w:val="single" w:color="auto" w:sz="4" w:space="0"/>
            </w:tcBorders>
            <w:vAlign w:val="center"/>
          </w:tcPr>
          <w:p w14:paraId="6A61CB34">
            <w:pPr>
              <w:adjustRightInd w:val="0"/>
              <w:jc w:val="center"/>
              <w:rPr>
                <w:rFonts w:hint="eastAsia" w:ascii="宋体" w:hAnsi="宋体" w:eastAsia="宋体" w:cs="宋体"/>
                <w:color w:val="auto"/>
                <w:szCs w:val="21"/>
                <w:highlight w:val="none"/>
              </w:rPr>
            </w:pPr>
            <w:r>
              <w:rPr>
                <w:rFonts w:hint="default" w:ascii="宋体" w:hAnsi="宋体" w:eastAsia="宋体" w:cs="宋体"/>
                <w:color w:val="auto"/>
                <w:szCs w:val="21"/>
                <w:highlight w:val="none"/>
                <w:lang w:val="en-US"/>
              </w:rPr>
              <w:t>从事</w:t>
            </w:r>
            <w:r>
              <w:rPr>
                <w:rFonts w:hint="eastAsia" w:ascii="宋体" w:hAnsi="宋体" w:eastAsia="宋体" w:cs="宋体"/>
                <w:color w:val="auto"/>
                <w:szCs w:val="21"/>
                <w:highlight w:val="none"/>
              </w:rPr>
              <w:t>XXXX年限</w:t>
            </w:r>
          </w:p>
        </w:tc>
        <w:tc>
          <w:tcPr>
            <w:tcW w:w="1263" w:type="dxa"/>
            <w:tcBorders>
              <w:top w:val="single" w:color="auto" w:sz="4" w:space="0"/>
              <w:left w:val="single" w:color="auto" w:sz="4" w:space="0"/>
              <w:bottom w:val="single" w:color="auto" w:sz="4" w:space="0"/>
              <w:right w:val="single" w:color="auto" w:sz="4" w:space="0"/>
            </w:tcBorders>
            <w:vAlign w:val="center"/>
          </w:tcPr>
          <w:p w14:paraId="11E64BBB">
            <w:pPr>
              <w:adjustRightInd w:val="0"/>
              <w:jc w:val="center"/>
              <w:rPr>
                <w:rFonts w:hint="eastAsia" w:ascii="宋体" w:hAnsi="宋体" w:eastAsia="宋体" w:cs="宋体"/>
                <w:color w:val="auto"/>
                <w:szCs w:val="21"/>
                <w:highlight w:val="none"/>
              </w:rPr>
            </w:pPr>
          </w:p>
        </w:tc>
      </w:tr>
      <w:tr w14:paraId="723BA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3" w:type="dxa"/>
            <w:tcBorders>
              <w:top w:val="single" w:color="auto" w:sz="4" w:space="0"/>
              <w:left w:val="single" w:color="auto" w:sz="4" w:space="0"/>
              <w:bottom w:val="single" w:color="auto" w:sz="4" w:space="0"/>
              <w:right w:val="single" w:color="auto" w:sz="4" w:space="0"/>
            </w:tcBorders>
            <w:vAlign w:val="center"/>
          </w:tcPr>
          <w:p w14:paraId="0C79881C">
            <w:pPr>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认证证书</w:t>
            </w:r>
          </w:p>
        </w:tc>
        <w:tc>
          <w:tcPr>
            <w:tcW w:w="7665" w:type="dxa"/>
            <w:gridSpan w:val="5"/>
            <w:tcBorders>
              <w:top w:val="single" w:color="auto" w:sz="4" w:space="0"/>
              <w:left w:val="single" w:color="auto" w:sz="4" w:space="0"/>
              <w:bottom w:val="single" w:color="auto" w:sz="4" w:space="0"/>
              <w:right w:val="single" w:color="auto" w:sz="4" w:space="0"/>
            </w:tcBorders>
            <w:vAlign w:val="center"/>
          </w:tcPr>
          <w:p w14:paraId="1FE763BA">
            <w:pPr>
              <w:adjustRightInd w:val="0"/>
              <w:jc w:val="center"/>
              <w:rPr>
                <w:rFonts w:hint="eastAsia" w:ascii="宋体" w:hAnsi="宋体" w:eastAsia="宋体" w:cs="宋体"/>
                <w:color w:val="auto"/>
                <w:szCs w:val="21"/>
                <w:highlight w:val="none"/>
              </w:rPr>
            </w:pPr>
          </w:p>
        </w:tc>
      </w:tr>
      <w:tr w14:paraId="1BF3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trPr>
        <w:tc>
          <w:tcPr>
            <w:tcW w:w="8928" w:type="dxa"/>
            <w:gridSpan w:val="6"/>
            <w:tcBorders>
              <w:top w:val="single" w:color="auto" w:sz="4" w:space="0"/>
              <w:left w:val="single" w:color="auto" w:sz="4" w:space="0"/>
              <w:bottom w:val="single" w:color="auto" w:sz="4" w:space="0"/>
              <w:right w:val="single" w:color="auto" w:sz="4" w:space="0"/>
            </w:tcBorders>
          </w:tcPr>
          <w:p w14:paraId="0B5BE934">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工作简历及主要业绩</w:t>
            </w:r>
          </w:p>
          <w:p w14:paraId="6AD3D832">
            <w:pPr>
              <w:adjustRightInd w:val="0"/>
              <w:rPr>
                <w:rFonts w:hint="eastAsia" w:ascii="宋体" w:hAnsi="宋体" w:eastAsia="宋体" w:cs="宋体"/>
                <w:color w:val="auto"/>
                <w:szCs w:val="21"/>
                <w:highlight w:val="none"/>
              </w:rPr>
            </w:pPr>
          </w:p>
        </w:tc>
      </w:tr>
    </w:tbl>
    <w:p w14:paraId="4E66AF6D">
      <w:pPr>
        <w:topLinePunct/>
        <w:autoSpaceDE w:val="0"/>
        <w:autoSpaceDN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特别说明：投标人应提供投入本项目技术人员的简历。</w:t>
      </w:r>
    </w:p>
    <w:p w14:paraId="2BF9BB59">
      <w:pPr>
        <w:topLinePunct/>
        <w:autoSpaceDE w:val="0"/>
        <w:autoSpaceDN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w:t>
      </w:r>
    </w:p>
    <w:p w14:paraId="47216F0A">
      <w:pPr>
        <w:widowControl/>
        <w:jc w:val="left"/>
        <w:rPr>
          <w:rFonts w:hint="eastAsia" w:ascii="宋体" w:hAnsi="宋体" w:eastAsia="宋体" w:cs="宋体"/>
          <w:color w:val="auto"/>
          <w:highlight w:val="none"/>
        </w:rPr>
      </w:pPr>
    </w:p>
    <w:p w14:paraId="1F0793D8">
      <w:pPr>
        <w:topLinePunct w:val="0"/>
        <w:autoSpaceDE/>
        <w:autoSpaceDN/>
        <w:adjustRightInd/>
        <w:snapToGrid/>
        <w:spacing w:after="0" w:line="360" w:lineRule="auto"/>
        <w:jc w:val="center"/>
        <w:outlineLvl w:val="1"/>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bookmarkStart w:id="306" w:name="_Toc18567"/>
      <w:bookmarkStart w:id="307" w:name="_Toc30594"/>
      <w:bookmarkStart w:id="308" w:name="_Toc12134"/>
      <w:bookmarkStart w:id="309" w:name="_Toc9070"/>
      <w:bookmarkStart w:id="310" w:name="_Toc10599"/>
      <w:bookmarkStart w:id="311" w:name="_Toc5456"/>
      <w:bookmarkStart w:id="312" w:name="_Toc28518"/>
      <w:r>
        <w:rPr>
          <w:rFonts w:hint="eastAsia" w:ascii="宋体" w:hAnsi="宋体"/>
          <w:b/>
          <w:bCs/>
          <w:color w:val="auto"/>
          <w:sz w:val="28"/>
          <w:szCs w:val="28"/>
          <w:highlight w:val="none"/>
        </w:rPr>
        <w:t>格式</w:t>
      </w:r>
      <w:r>
        <w:rPr>
          <w:rFonts w:hint="eastAsia" w:ascii="宋体" w:hAnsi="宋体"/>
          <w:b/>
          <w:bCs/>
          <w:color w:val="auto"/>
          <w:sz w:val="28"/>
          <w:szCs w:val="28"/>
          <w:highlight w:val="none"/>
          <w:lang w:val="en-US" w:eastAsia="zh-CN"/>
        </w:rPr>
        <w:t>20</w:t>
      </w:r>
      <w:r>
        <w:rPr>
          <w:rFonts w:hint="eastAsia" w:ascii="宋体" w:hAnsi="宋体"/>
          <w:b/>
          <w:bCs/>
          <w:color w:val="auto"/>
          <w:sz w:val="28"/>
          <w:szCs w:val="28"/>
          <w:highlight w:val="none"/>
        </w:rPr>
        <w:t xml:space="preserve">  </w:t>
      </w:r>
      <w:r>
        <w:rPr>
          <w:rFonts w:hint="eastAsia" w:ascii="宋体" w:hAnsi="宋体" w:eastAsia="宋体" w:cs="Times New Roman"/>
          <w:b/>
          <w:bCs/>
          <w:color w:val="auto"/>
          <w:sz w:val="28"/>
          <w:szCs w:val="28"/>
          <w:highlight w:val="none"/>
          <w:lang w:eastAsia="zh-CN"/>
        </w:rPr>
        <w:t>供应商</w:t>
      </w:r>
      <w:r>
        <w:rPr>
          <w:rFonts w:hint="eastAsia" w:ascii="宋体" w:hAnsi="宋体" w:eastAsia="宋体" w:cs="Times New Roman"/>
          <w:b/>
          <w:bCs/>
          <w:color w:val="auto"/>
          <w:sz w:val="28"/>
          <w:szCs w:val="28"/>
          <w:highlight w:val="none"/>
          <w:lang w:val="en-US" w:eastAsia="zh-CN"/>
        </w:rPr>
        <w:t>公平参与市场竞争</w:t>
      </w:r>
      <w:r>
        <w:rPr>
          <w:rFonts w:hint="eastAsia" w:ascii="宋体" w:hAnsi="宋体" w:eastAsia="宋体" w:cs="Times New Roman"/>
          <w:b/>
          <w:bCs/>
          <w:color w:val="auto"/>
          <w:sz w:val="28"/>
          <w:szCs w:val="28"/>
          <w:highlight w:val="none"/>
          <w:lang w:eastAsia="zh-CN"/>
        </w:rPr>
        <w:t>承诺</w:t>
      </w:r>
      <w:r>
        <w:rPr>
          <w:rFonts w:hint="eastAsia" w:ascii="宋体" w:hAnsi="宋体" w:eastAsia="宋体" w:cs="Times New Roman"/>
          <w:b/>
          <w:bCs/>
          <w:color w:val="auto"/>
          <w:sz w:val="28"/>
          <w:szCs w:val="28"/>
          <w:highlight w:val="none"/>
        </w:rPr>
        <w:t>函</w:t>
      </w:r>
    </w:p>
    <w:p w14:paraId="1C50BD20">
      <w:pPr>
        <w:pStyle w:val="12"/>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（采购人名称）</w:t>
      </w:r>
    </w:p>
    <w:p w14:paraId="0C5B8770">
      <w:pPr>
        <w:pStyle w:val="12"/>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）的招标</w:t>
      </w:r>
      <w:r>
        <w:rPr>
          <w:rFonts w:hint="eastAsia" w:ascii="宋体" w:hAnsi="宋体" w:eastAsia="宋体" w:cs="宋体"/>
          <w:color w:val="auto"/>
          <w:sz w:val="24"/>
          <w:szCs w:val="24"/>
          <w:highlight w:val="none"/>
          <w:lang w:eastAsia="zh-CN"/>
        </w:rPr>
        <w:t>（谈判、磋商、询价）</w:t>
      </w:r>
      <w:r>
        <w:rPr>
          <w:rFonts w:hint="eastAsia" w:ascii="宋体" w:hAnsi="宋体" w:eastAsia="宋体" w:cs="宋体"/>
          <w:color w:val="auto"/>
          <w:sz w:val="24"/>
          <w:szCs w:val="24"/>
          <w:highlight w:val="none"/>
        </w:rPr>
        <w:t>公告，</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，以下简称“我单位”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lang w:eastAsia="zh-CN"/>
        </w:rPr>
        <w:t>本</w:t>
      </w:r>
      <w:r>
        <w:rPr>
          <w:rFonts w:hint="eastAsia" w:ascii="宋体" w:hAnsi="宋体" w:eastAsia="宋体" w:cs="宋体"/>
          <w:color w:val="auto"/>
          <w:sz w:val="24"/>
          <w:szCs w:val="24"/>
          <w:highlight w:val="none"/>
        </w:rPr>
        <w:t>项目招标</w:t>
      </w:r>
      <w:r>
        <w:rPr>
          <w:rFonts w:hint="eastAsia" w:ascii="宋体" w:hAnsi="宋体" w:eastAsia="宋体" w:cs="宋体"/>
          <w:color w:val="auto"/>
          <w:sz w:val="24"/>
          <w:szCs w:val="24"/>
          <w:highlight w:val="none"/>
          <w:lang w:eastAsia="zh-CN"/>
        </w:rPr>
        <w:t>（谈判、磋商、询价）</w:t>
      </w:r>
      <w:r>
        <w:rPr>
          <w:rFonts w:hint="eastAsia" w:ascii="宋体" w:hAnsi="宋体" w:eastAsia="宋体" w:cs="宋体"/>
          <w:color w:val="auto"/>
          <w:sz w:val="24"/>
          <w:szCs w:val="24"/>
          <w:highlight w:val="none"/>
        </w:rPr>
        <w:t>活动。</w:t>
      </w:r>
      <w:r>
        <w:rPr>
          <w:rFonts w:hint="eastAsia" w:ascii="宋体" w:hAnsi="宋体" w:eastAsia="宋体" w:cs="宋体"/>
          <w:color w:val="auto"/>
          <w:sz w:val="24"/>
          <w:szCs w:val="24"/>
          <w:highlight w:val="none"/>
          <w:lang w:eastAsia="zh-CN"/>
        </w:rPr>
        <w:t>现</w:t>
      </w:r>
      <w:r>
        <w:rPr>
          <w:rFonts w:hint="eastAsia" w:ascii="宋体" w:hAnsi="宋体" w:eastAsia="宋体" w:cs="宋体"/>
          <w:color w:val="auto"/>
          <w:kern w:val="0"/>
          <w:sz w:val="24"/>
          <w:szCs w:val="24"/>
          <w:highlight w:val="none"/>
          <w:lang w:val="en-US" w:eastAsia="zh-CN" w:bidi="ar"/>
        </w:rPr>
        <w:t>就有关情况进行说明，并就公平参与市场竞争作如下承诺：</w:t>
      </w:r>
    </w:p>
    <w:p w14:paraId="40AE77A5">
      <w:pPr>
        <w:pStyle w:val="12"/>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1.我单位</w:t>
      </w:r>
      <w:r>
        <w:rPr>
          <w:rFonts w:hint="eastAsia" w:ascii="宋体" w:hAnsi="宋体" w:eastAsia="宋体" w:cs="宋体"/>
          <w:b w:val="0"/>
          <w:bCs w:val="0"/>
          <w:color w:val="auto"/>
          <w:kern w:val="0"/>
          <w:sz w:val="24"/>
          <w:szCs w:val="24"/>
          <w:highlight w:val="none"/>
          <w:lang w:val="en-US" w:eastAsia="zh-CN" w:bidi="ar"/>
        </w:rPr>
        <w:t>被</w:t>
      </w:r>
      <w:r>
        <w:rPr>
          <w:rFonts w:hint="eastAsia" w:ascii="宋体" w:hAnsi="宋体" w:eastAsia="宋体" w:cs="宋体"/>
          <w:color w:val="auto"/>
          <w:kern w:val="0"/>
          <w:sz w:val="24"/>
          <w:szCs w:val="24"/>
          <w:highlight w:val="none"/>
          <w:lang w:val="en-US" w:eastAsia="zh-CN" w:bidi="ar"/>
        </w:rPr>
        <w:t>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被授权代表姓名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lang w:eastAsia="zh-CN"/>
        </w:rPr>
        <w:t>被授权代表所在单位名称</w:t>
      </w:r>
      <w:r>
        <w:rPr>
          <w:rFonts w:hint="eastAsia" w:ascii="宋体" w:hAnsi="宋体" w:eastAsia="宋体" w:cs="宋体"/>
          <w:color w:val="auto"/>
          <w:sz w:val="24"/>
          <w:szCs w:val="24"/>
          <w:highlight w:val="none"/>
          <w:u w:val="none"/>
          <w:lang w:eastAsia="zh-CN"/>
        </w:rPr>
        <w:t>）员工，其由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（为</w:t>
      </w:r>
      <w:r>
        <w:rPr>
          <w:rFonts w:hint="eastAsia" w:ascii="宋体" w:hAnsi="宋体" w:eastAsia="宋体" w:cs="宋体"/>
          <w:color w:val="auto"/>
          <w:sz w:val="24"/>
          <w:szCs w:val="24"/>
          <w:highlight w:val="none"/>
          <w:lang w:eastAsia="zh-CN"/>
        </w:rPr>
        <w:t>被授权代表缴纳社保费和个人所得税的单位名称</w:t>
      </w:r>
      <w:r>
        <w:rPr>
          <w:rFonts w:hint="eastAsia" w:ascii="宋体" w:hAnsi="宋体" w:eastAsia="宋体" w:cs="宋体"/>
          <w:color w:val="auto"/>
          <w:sz w:val="24"/>
          <w:szCs w:val="24"/>
          <w:highlight w:val="none"/>
          <w:u w:val="none"/>
          <w:lang w:eastAsia="zh-CN"/>
        </w:rPr>
        <w:t>）统一缴纳社保费和办理个人所得税代扣代缴申报。</w:t>
      </w:r>
      <w:r>
        <w:rPr>
          <w:rFonts w:hint="eastAsia" w:ascii="宋体" w:hAnsi="宋体" w:eastAsia="宋体" w:cs="宋体"/>
          <w:color w:val="auto"/>
          <w:kern w:val="0"/>
          <w:sz w:val="24"/>
          <w:szCs w:val="24"/>
          <w:highlight w:val="none"/>
          <w:lang w:val="en-US" w:eastAsia="zh-CN" w:bidi="ar"/>
        </w:rPr>
        <w:t>我单位承诺：不存在与其他参与本项目的供应商委托同一单位或者个人办</w:t>
      </w:r>
      <w:r>
        <w:rPr>
          <w:rFonts w:hint="eastAsia" w:ascii="宋体" w:hAnsi="宋体" w:eastAsia="宋体" w:cs="宋体"/>
          <w:b w:val="0"/>
          <w:bCs w:val="0"/>
          <w:color w:val="auto"/>
          <w:kern w:val="0"/>
          <w:sz w:val="24"/>
          <w:szCs w:val="24"/>
          <w:highlight w:val="none"/>
          <w:lang w:val="en-US" w:eastAsia="zh-CN" w:bidi="ar"/>
        </w:rPr>
        <w:t>理投标</w:t>
      </w:r>
      <w:r>
        <w:rPr>
          <w:rFonts w:hint="eastAsia" w:ascii="宋体" w:hAnsi="宋体" w:eastAsia="宋体" w:cs="宋体"/>
          <w:b w:val="0"/>
          <w:bCs w:val="0"/>
          <w:color w:val="auto"/>
          <w:sz w:val="24"/>
          <w:szCs w:val="24"/>
          <w:highlight w:val="none"/>
          <w:lang w:eastAsia="zh-CN"/>
        </w:rPr>
        <w:t>（谈判、磋商、询价）</w:t>
      </w:r>
      <w:r>
        <w:rPr>
          <w:rFonts w:hint="eastAsia" w:ascii="宋体" w:hAnsi="宋体" w:eastAsia="宋体" w:cs="宋体"/>
          <w:b w:val="0"/>
          <w:bCs w:val="0"/>
          <w:color w:val="auto"/>
          <w:kern w:val="0"/>
          <w:sz w:val="24"/>
          <w:szCs w:val="24"/>
          <w:highlight w:val="none"/>
          <w:lang w:val="en-US" w:eastAsia="zh-CN" w:bidi="ar"/>
        </w:rPr>
        <w:t>事宜的情况，也不存在接受其他供应商委托办理投标</w:t>
      </w:r>
      <w:r>
        <w:rPr>
          <w:rFonts w:hint="eastAsia" w:ascii="宋体" w:hAnsi="宋体" w:eastAsia="宋体" w:cs="宋体"/>
          <w:b w:val="0"/>
          <w:bCs w:val="0"/>
          <w:color w:val="auto"/>
          <w:sz w:val="24"/>
          <w:szCs w:val="24"/>
          <w:highlight w:val="none"/>
          <w:lang w:eastAsia="zh-CN"/>
        </w:rPr>
        <w:t>（谈判、磋商、询价）</w:t>
      </w:r>
      <w:r>
        <w:rPr>
          <w:rFonts w:hint="eastAsia" w:ascii="宋体" w:hAnsi="宋体" w:eastAsia="宋体" w:cs="宋体"/>
          <w:b w:val="0"/>
          <w:bCs w:val="0"/>
          <w:color w:val="auto"/>
          <w:kern w:val="0"/>
          <w:sz w:val="24"/>
          <w:szCs w:val="24"/>
          <w:highlight w:val="none"/>
          <w:lang w:val="en-US" w:eastAsia="zh-CN" w:bidi="ar"/>
        </w:rPr>
        <w:t>事宜的情况。如我单位被授权代表与参与该项目的其他供应商被授权代表为同一单位员工，或者由同一单位缴纳社保费或办理个人所得税代扣代缴申报；或者我单位被授权代表由参与本项目的其他供应商缴纳社保费或办理个人所得税代扣代缴申报，我单位同意按无效投标（响应）处理。</w:t>
      </w:r>
    </w:p>
    <w:p w14:paraId="4924FA56">
      <w:pPr>
        <w:pStyle w:val="12"/>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我单位承诺诚信参与政府采购活动，投标（响应）文件中所有资料均合法、真实，不存在下列情形：（1）提供虚假材料；（2）《政府采购法实施条例》第七十四条规定的恶意串通行为；（3）《政府采购货物和服务招标投标管理办法》（财政部令第87号）第三十七条规定的串通投标行为；（4）与其他参与本项目的供应商具有关联关系（包括：单位负责人、实际控制人为同一人，存在直接控股、管理关系）。</w:t>
      </w:r>
    </w:p>
    <w:p w14:paraId="6DFC82ED">
      <w:pPr>
        <w:pStyle w:val="31"/>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sz w:val="24"/>
          <w:szCs w:val="24"/>
          <w:highlight w:val="none"/>
          <w:lang w:eastAsia="zh-CN"/>
        </w:rPr>
      </w:pPr>
    </w:p>
    <w:p w14:paraId="1DF64294">
      <w:pPr>
        <w:pStyle w:val="31"/>
        <w:numPr>
          <w:ilvl w:val="0"/>
          <w:numId w:val="0"/>
        </w:numPr>
        <w:tabs>
          <w:tab w:val="left" w:pos="420"/>
        </w:tabs>
        <w:topLinePunct/>
        <w:autoSpaceDE w:val="0"/>
        <w:autoSpaceDN w:val="0"/>
        <w:snapToGrid w:val="0"/>
        <w:spacing w:before="0" w:beforeAutospacing="0" w:after="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054FE563">
      <w:pPr>
        <w:pStyle w:val="31"/>
        <w:numPr>
          <w:ilvl w:val="0"/>
          <w:numId w:val="0"/>
        </w:numPr>
        <w:tabs>
          <w:tab w:val="left" w:pos="420"/>
        </w:tabs>
        <w:topLinePunct/>
        <w:autoSpaceDE w:val="0"/>
        <w:autoSpaceDN w:val="0"/>
        <w:snapToGrid w:val="0"/>
        <w:spacing w:before="0" w:beforeAutospacing="0" w:after="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法定代表人（签字或签章）/被授权投标代表（签字）：</w:t>
      </w:r>
    </w:p>
    <w:p w14:paraId="26B3D3FE">
      <w:pPr>
        <w:pStyle w:val="31"/>
        <w:numPr>
          <w:ilvl w:val="0"/>
          <w:numId w:val="0"/>
        </w:numPr>
        <w:tabs>
          <w:tab w:val="left" w:pos="420"/>
        </w:tabs>
        <w:topLinePunct/>
        <w:autoSpaceDE w:val="0"/>
        <w:autoSpaceDN w:val="0"/>
        <w:snapToGrid w:val="0"/>
        <w:spacing w:before="0" w:beforeAutospacing="0" w:after="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0031E39F">
      <w:pPr>
        <w:pStyle w:val="31"/>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05E49B0C">
      <w:pPr>
        <w:pStyle w:val="31"/>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3DFCAC07">
      <w:pPr>
        <w:pStyle w:val="31"/>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1CC7E681">
      <w:pPr>
        <w:pStyle w:val="31"/>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188B38E4">
      <w:pPr>
        <w:widowControl/>
        <w:jc w:val="left"/>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4A3FF2C4">
      <w:pPr>
        <w:widowControl/>
        <w:jc w:val="center"/>
        <w:outlineLvl w:val="1"/>
        <w:rPr>
          <w:rFonts w:hint="eastAsia" w:ascii="宋体" w:hAnsi="宋体" w:eastAsia="宋体" w:cs="宋体"/>
          <w:b/>
          <w:bCs/>
          <w:color w:val="auto"/>
          <w:sz w:val="36"/>
          <w:szCs w:val="36"/>
          <w:highlight w:val="none"/>
        </w:rPr>
      </w:pPr>
      <w:bookmarkStart w:id="313" w:name="_Toc19434"/>
      <w:r>
        <w:rPr>
          <w:rFonts w:hint="eastAsia" w:ascii="宋体" w:hAnsi="宋体" w:eastAsia="宋体" w:cs="宋体"/>
          <w:b/>
          <w:bCs/>
          <w:color w:val="auto"/>
          <w:sz w:val="28"/>
          <w:szCs w:val="28"/>
          <w:highlight w:val="none"/>
        </w:rPr>
        <w:t>格式</w:t>
      </w:r>
      <w:r>
        <w:rPr>
          <w:rFonts w:hint="eastAsia" w:ascii="宋体" w:hAnsi="宋体" w:cs="宋体"/>
          <w:b/>
          <w:bCs/>
          <w:color w:val="auto"/>
          <w:sz w:val="28"/>
          <w:szCs w:val="28"/>
          <w:highlight w:val="none"/>
          <w:lang w:val="en-US" w:eastAsia="zh-CN"/>
        </w:rPr>
        <w:t>21</w:t>
      </w:r>
      <w:r>
        <w:rPr>
          <w:rFonts w:hint="eastAsia" w:ascii="宋体" w:hAnsi="宋体" w:eastAsia="宋体" w:cs="宋体"/>
          <w:b/>
          <w:bCs/>
          <w:color w:val="auto"/>
          <w:sz w:val="28"/>
          <w:szCs w:val="28"/>
          <w:highlight w:val="none"/>
        </w:rPr>
        <w:t xml:space="preserve">  投标人售后服务承诺</w:t>
      </w:r>
      <w:bookmarkEnd w:id="306"/>
      <w:bookmarkEnd w:id="307"/>
      <w:bookmarkEnd w:id="308"/>
      <w:bookmarkEnd w:id="309"/>
      <w:bookmarkEnd w:id="310"/>
      <w:bookmarkEnd w:id="311"/>
      <w:bookmarkEnd w:id="312"/>
      <w:bookmarkEnd w:id="313"/>
    </w:p>
    <w:p w14:paraId="3AC9F01D">
      <w:pPr>
        <w:ind w:firstLine="420" w:firstLineChars="200"/>
        <w:rPr>
          <w:rFonts w:hint="eastAsia" w:ascii="宋体" w:hAnsi="宋体" w:eastAsia="宋体" w:cs="宋体"/>
          <w:color w:val="auto"/>
          <w:szCs w:val="21"/>
          <w:highlight w:val="none"/>
        </w:rPr>
      </w:pPr>
    </w:p>
    <w:p w14:paraId="62D382B5">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(示例略)</w:t>
      </w:r>
    </w:p>
    <w:p w14:paraId="6761A344">
      <w:pPr>
        <w:rPr>
          <w:rFonts w:hint="eastAsia" w:ascii="宋体" w:hAnsi="宋体" w:eastAsia="宋体" w:cs="宋体"/>
          <w:color w:val="auto"/>
          <w:szCs w:val="21"/>
          <w:highlight w:val="none"/>
        </w:rPr>
        <w:sectPr>
          <w:pgSz w:w="11906" w:h="16838"/>
          <w:pgMar w:top="1440" w:right="1752" w:bottom="1440" w:left="1752"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4B212E3B">
      <w:pPr>
        <w:topLinePunct/>
        <w:autoSpaceDE w:val="0"/>
        <w:autoSpaceDN w:val="0"/>
        <w:jc w:val="center"/>
        <w:rPr>
          <w:rFonts w:hint="eastAsia" w:ascii="宋体" w:hAnsi="宋体" w:eastAsia="宋体" w:cs="宋体"/>
          <w:bCs/>
          <w:color w:val="auto"/>
          <w:sz w:val="32"/>
          <w:szCs w:val="32"/>
          <w:highlight w:val="none"/>
        </w:rPr>
      </w:pPr>
    </w:p>
    <w:p w14:paraId="06209A5D">
      <w:pPr>
        <w:topLinePunct/>
        <w:autoSpaceDE w:val="0"/>
        <w:autoSpaceDN w:val="0"/>
        <w:jc w:val="center"/>
        <w:rPr>
          <w:rFonts w:hint="eastAsia" w:ascii="宋体" w:hAnsi="宋体" w:eastAsia="宋体" w:cs="宋体"/>
          <w:bCs/>
          <w:color w:val="auto"/>
          <w:sz w:val="32"/>
          <w:szCs w:val="32"/>
          <w:highlight w:val="none"/>
        </w:rPr>
      </w:pPr>
    </w:p>
    <w:p w14:paraId="023184D4">
      <w:pPr>
        <w:topLinePunct/>
        <w:autoSpaceDE w:val="0"/>
        <w:autoSpaceDN w:val="0"/>
        <w:jc w:val="center"/>
        <w:rPr>
          <w:rFonts w:hint="eastAsia" w:ascii="宋体" w:hAnsi="宋体" w:eastAsia="宋体" w:cs="宋体"/>
          <w:bCs/>
          <w:color w:val="auto"/>
          <w:sz w:val="32"/>
          <w:szCs w:val="32"/>
          <w:highlight w:val="none"/>
        </w:rPr>
      </w:pPr>
    </w:p>
    <w:p w14:paraId="24316AF2">
      <w:pPr>
        <w:topLinePunct/>
        <w:autoSpaceDE w:val="0"/>
        <w:autoSpaceDN w:val="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招 标 文 件</w:t>
      </w:r>
    </w:p>
    <w:p w14:paraId="1F5C9F52">
      <w:pPr>
        <w:topLinePunct/>
        <w:autoSpaceDE w:val="0"/>
        <w:autoSpaceDN w:val="0"/>
        <w:spacing w:line="60" w:lineRule="exact"/>
        <w:jc w:val="center"/>
        <w:rPr>
          <w:rFonts w:hint="eastAsia" w:ascii="宋体" w:hAnsi="宋体" w:eastAsia="宋体" w:cs="宋体"/>
          <w:bCs/>
          <w:color w:val="auto"/>
          <w:sz w:val="32"/>
          <w:szCs w:val="32"/>
          <w:highlight w:val="none"/>
        </w:rPr>
      </w:pPr>
    </w:p>
    <w:p w14:paraId="5BB388ED">
      <w:pPr>
        <w:topLinePunct/>
        <w:autoSpaceDE w:val="0"/>
        <w:autoSpaceDN w:val="0"/>
        <w:snapToGrid w:val="0"/>
        <w:jc w:val="center"/>
        <w:outlineLvl w:val="0"/>
        <w:rPr>
          <w:rFonts w:hint="eastAsia" w:ascii="宋体" w:hAnsi="宋体" w:eastAsia="宋体" w:cs="宋体"/>
          <w:bCs/>
          <w:color w:val="auto"/>
          <w:sz w:val="32"/>
          <w:szCs w:val="32"/>
          <w:highlight w:val="none"/>
        </w:rPr>
      </w:pPr>
      <w:bookmarkStart w:id="314" w:name="_Toc26998"/>
      <w:bookmarkStart w:id="315" w:name="_Toc11376"/>
      <w:r>
        <w:rPr>
          <w:rFonts w:hint="eastAsia" w:ascii="宋体" w:hAnsi="宋体" w:eastAsia="宋体" w:cs="宋体"/>
          <w:bCs/>
          <w:color w:val="auto"/>
          <w:sz w:val="32"/>
          <w:szCs w:val="32"/>
          <w:highlight w:val="none"/>
        </w:rPr>
        <w:t>（技术部分）</w:t>
      </w:r>
      <w:bookmarkEnd w:id="314"/>
      <w:bookmarkEnd w:id="315"/>
    </w:p>
    <w:p w14:paraId="0A279447">
      <w:pPr>
        <w:jc w:val="center"/>
        <w:rPr>
          <w:rFonts w:hint="eastAsia" w:ascii="宋体" w:hAnsi="宋体" w:eastAsia="宋体" w:cs="宋体"/>
          <w:color w:val="auto"/>
          <w:sz w:val="24"/>
          <w:szCs w:val="24"/>
          <w:highlight w:val="none"/>
        </w:rPr>
      </w:pPr>
    </w:p>
    <w:p w14:paraId="390B5C99">
      <w:pPr>
        <w:keepNext w:val="0"/>
        <w:keepLines w:val="0"/>
        <w:pageBreakBefore w:val="0"/>
        <w:widowControl w:val="0"/>
        <w:kinsoku/>
        <w:wordWrap/>
        <w:overflowPunct/>
        <w:bidi w:val="0"/>
        <w:adjustRightInd/>
        <w:snapToGrid/>
        <w:spacing w:line="480" w:lineRule="auto"/>
        <w:jc w:val="center"/>
        <w:textAlignment w:val="auto"/>
        <w:rPr>
          <w:rFonts w:hint="eastAsia" w:ascii="宋体" w:hAnsi="宋体" w:eastAsia="宋体" w:cs="宋体"/>
          <w:color w:val="auto"/>
          <w:sz w:val="24"/>
          <w:szCs w:val="24"/>
          <w:highlight w:val="none"/>
        </w:rPr>
      </w:pPr>
    </w:p>
    <w:p w14:paraId="428AC193">
      <w:pPr>
        <w:pStyle w:val="2"/>
        <w:rPr>
          <w:rFonts w:hint="eastAsia" w:ascii="宋体" w:hAnsi="宋体" w:eastAsia="宋体" w:cs="宋体"/>
          <w:color w:val="auto"/>
          <w:sz w:val="24"/>
          <w:szCs w:val="24"/>
          <w:highlight w:val="none"/>
        </w:rPr>
      </w:pPr>
    </w:p>
    <w:p w14:paraId="372B2D66">
      <w:pPr>
        <w:rPr>
          <w:rFonts w:hint="eastAsia"/>
          <w:color w:val="auto"/>
          <w:highlight w:val="none"/>
        </w:rPr>
      </w:pPr>
    </w:p>
    <w:p w14:paraId="319A5F84">
      <w:pPr>
        <w:keepNext w:val="0"/>
        <w:keepLines w:val="0"/>
        <w:pageBreakBefore w:val="0"/>
        <w:widowControl w:val="0"/>
        <w:kinsoku/>
        <w:wordWrap/>
        <w:overflowPunct/>
        <w:bidi w:val="0"/>
        <w:adjustRightInd/>
        <w:snapToGrid/>
        <w:spacing w:line="480" w:lineRule="auto"/>
        <w:ind w:left="2109" w:leftChars="400" w:hanging="1269" w:hangingChars="529"/>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项目名称：</w:t>
      </w:r>
      <w:r>
        <w:rPr>
          <w:rFonts w:hint="eastAsia" w:ascii="宋体" w:hAnsi="宋体" w:cs="宋体"/>
          <w:color w:val="auto"/>
          <w:sz w:val="24"/>
          <w:szCs w:val="24"/>
          <w:highlight w:val="none"/>
          <w:u w:val="none"/>
          <w:lang w:eastAsia="zh-CN"/>
        </w:rPr>
        <w:t>广西税务2026年电子发票服务平台等相关系统运行维护</w:t>
      </w:r>
    </w:p>
    <w:p w14:paraId="43331935">
      <w:pPr>
        <w:keepNext w:val="0"/>
        <w:keepLines w:val="0"/>
        <w:pageBreakBefore w:val="0"/>
        <w:widowControl w:val="0"/>
        <w:kinsoku/>
        <w:wordWrap/>
        <w:overflowPunct/>
        <w:bidi w:val="0"/>
        <w:adjustRightInd/>
        <w:snapToGrid/>
        <w:spacing w:line="480" w:lineRule="auto"/>
        <w:ind w:left="1430" w:leftChars="400" w:hanging="590" w:hangingChars="246"/>
        <w:jc w:val="left"/>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项目编号：</w:t>
      </w:r>
      <w:r>
        <w:rPr>
          <w:rFonts w:hint="eastAsia" w:ascii="宋体" w:hAnsi="宋体" w:cs="宋体"/>
          <w:color w:val="auto"/>
          <w:sz w:val="24"/>
          <w:szCs w:val="24"/>
          <w:highlight w:val="none"/>
          <w:u w:val="none"/>
          <w:lang w:eastAsia="zh-CN"/>
        </w:rPr>
        <w:t>GX2026-DLGK-C0048-B00</w:t>
      </w:r>
    </w:p>
    <w:p w14:paraId="68D26F50">
      <w:pPr>
        <w:keepNext w:val="0"/>
        <w:keepLines w:val="0"/>
        <w:pageBreakBefore w:val="0"/>
        <w:widowControl w:val="0"/>
        <w:kinsoku/>
        <w:wordWrap/>
        <w:overflowPunct/>
        <w:bidi w:val="0"/>
        <w:adjustRightInd/>
        <w:snapToGrid/>
        <w:spacing w:line="480" w:lineRule="auto"/>
        <w:ind w:left="1430" w:leftChars="400" w:hanging="590" w:hangingChars="246"/>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采 购 人：国家税务总局广西壮族自治区税务局</w:t>
      </w:r>
    </w:p>
    <w:p w14:paraId="041AF577">
      <w:pPr>
        <w:keepNext w:val="0"/>
        <w:keepLines w:val="0"/>
        <w:pageBreakBefore w:val="0"/>
        <w:widowControl w:val="0"/>
        <w:kinsoku/>
        <w:wordWrap/>
        <w:overflowPunct/>
        <w:bidi w:val="0"/>
        <w:adjustRightInd/>
        <w:snapToGrid/>
        <w:spacing w:line="480" w:lineRule="auto"/>
        <w:ind w:left="1430" w:leftChars="400" w:hanging="590" w:hangingChars="246"/>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采购代理机构：</w:t>
      </w:r>
      <w:r>
        <w:rPr>
          <w:rFonts w:hint="eastAsia" w:ascii="宋体" w:hAnsi="宋体" w:eastAsia="宋体" w:cs="宋体"/>
          <w:color w:val="auto"/>
          <w:sz w:val="24"/>
          <w:szCs w:val="24"/>
          <w:highlight w:val="none"/>
          <w:u w:val="none"/>
          <w:lang w:val="en-US" w:eastAsia="zh-CN"/>
        </w:rPr>
        <w:t>广西建设工程机电设备招标中心有限公司</w:t>
      </w:r>
    </w:p>
    <w:p w14:paraId="473EE04F">
      <w:pPr>
        <w:keepNext w:val="0"/>
        <w:keepLines w:val="0"/>
        <w:pageBreakBefore w:val="0"/>
        <w:widowControl w:val="0"/>
        <w:kinsoku/>
        <w:wordWrap/>
        <w:overflowPunct/>
        <w:topLinePunct/>
        <w:autoSpaceDE w:val="0"/>
        <w:autoSpaceDN w:val="0"/>
        <w:bidi w:val="0"/>
        <w:adjustRightInd/>
        <w:snapToGrid/>
        <w:spacing w:line="480" w:lineRule="auto"/>
        <w:ind w:left="1430" w:leftChars="400" w:hanging="590" w:hangingChars="246"/>
        <w:jc w:val="left"/>
        <w:textAlignment w:val="auto"/>
        <w:rPr>
          <w:rFonts w:hint="eastAsia" w:ascii="宋体" w:hAnsi="宋体" w:eastAsia="宋体" w:cs="宋体"/>
          <w:color w:val="auto"/>
          <w:sz w:val="24"/>
          <w:szCs w:val="24"/>
          <w:highlight w:val="none"/>
        </w:rPr>
      </w:pPr>
    </w:p>
    <w:p w14:paraId="65AA3A45">
      <w:pPr>
        <w:keepNext w:val="0"/>
        <w:keepLines w:val="0"/>
        <w:pageBreakBefore w:val="0"/>
        <w:widowControl w:val="0"/>
        <w:kinsoku/>
        <w:wordWrap/>
        <w:overflowPunct/>
        <w:topLinePunct/>
        <w:autoSpaceDE w:val="0"/>
        <w:autoSpaceDN w:val="0"/>
        <w:bidi w:val="0"/>
        <w:adjustRightInd/>
        <w:snapToGrid/>
        <w:spacing w:line="480" w:lineRule="auto"/>
        <w:jc w:val="center"/>
        <w:textAlignment w:val="auto"/>
        <w:rPr>
          <w:rFonts w:hint="eastAsia" w:ascii="宋体" w:hAnsi="宋体" w:eastAsia="宋体" w:cs="宋体"/>
          <w:color w:val="auto"/>
          <w:sz w:val="24"/>
          <w:szCs w:val="24"/>
          <w:highlight w:val="none"/>
        </w:rPr>
      </w:pPr>
    </w:p>
    <w:p w14:paraId="12C1A1FB">
      <w:pPr>
        <w:keepNext w:val="0"/>
        <w:keepLines w:val="0"/>
        <w:pageBreakBefore w:val="0"/>
        <w:widowControl w:val="0"/>
        <w:kinsoku/>
        <w:wordWrap/>
        <w:overflowPunct/>
        <w:topLinePunct/>
        <w:autoSpaceDE w:val="0"/>
        <w:autoSpaceDN w:val="0"/>
        <w:bidi w:val="0"/>
        <w:adjustRightInd/>
        <w:snapToGrid/>
        <w:spacing w:line="48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国家税务总局广西壮族自治区税务局</w:t>
      </w:r>
    </w:p>
    <w:p w14:paraId="02E5B32C">
      <w:pPr>
        <w:keepNext w:val="0"/>
        <w:keepLines w:val="0"/>
        <w:pageBreakBefore w:val="0"/>
        <w:widowControl w:val="0"/>
        <w:kinsoku/>
        <w:wordWrap/>
        <w:overflowPunct/>
        <w:topLinePunct/>
        <w:autoSpaceDE w:val="0"/>
        <w:autoSpaceDN w:val="0"/>
        <w:bidi w:val="0"/>
        <w:adjustRightInd/>
        <w:snapToGrid/>
        <w:spacing w:line="480" w:lineRule="auto"/>
        <w:jc w:val="center"/>
        <w:textAlignment w:val="auto"/>
        <w:rPr>
          <w:rFonts w:hint="eastAsia" w:ascii="宋体" w:hAnsi="宋体" w:eastAsia="宋体" w:cs="宋体"/>
          <w:color w:val="auto"/>
          <w:sz w:val="24"/>
          <w:szCs w:val="24"/>
          <w:highlight w:val="none"/>
        </w:rPr>
      </w:pPr>
    </w:p>
    <w:p w14:paraId="1F67BE35">
      <w:pPr>
        <w:rPr>
          <w:rFonts w:hint="eastAsia" w:ascii="宋体" w:hAnsi="宋体" w:eastAsia="宋体" w:cs="宋体"/>
          <w:color w:val="auto"/>
          <w:sz w:val="32"/>
          <w:szCs w:val="32"/>
          <w:highlight w:val="none"/>
        </w:rPr>
      </w:pPr>
    </w:p>
    <w:p w14:paraId="63C7B306">
      <w:pPr>
        <w:widowControl/>
        <w:jc w:val="center"/>
        <w:outlineLvl w:val="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r>
      <w:bookmarkStart w:id="316" w:name="_Toc27804"/>
      <w:r>
        <w:rPr>
          <w:rFonts w:hint="eastAsia" w:ascii="宋体" w:hAnsi="宋体" w:eastAsia="宋体" w:cs="宋体"/>
          <w:b/>
          <w:bCs/>
          <w:color w:val="auto"/>
          <w:sz w:val="28"/>
          <w:szCs w:val="28"/>
          <w:highlight w:val="none"/>
        </w:rPr>
        <w:t>第六章  项目采购需求</w:t>
      </w:r>
      <w:bookmarkEnd w:id="316"/>
    </w:p>
    <w:p w14:paraId="23906E8E">
      <w:pPr>
        <w:jc w:val="center"/>
        <w:rPr>
          <w:rFonts w:hint="eastAsia"/>
          <w:b/>
          <w:bCs/>
          <w:color w:val="auto"/>
          <w:sz w:val="32"/>
          <w:szCs w:val="32"/>
          <w:highlight w:val="none"/>
          <w:lang w:val="en-US" w:eastAsia="zh-CN"/>
        </w:rPr>
      </w:pPr>
    </w:p>
    <w:p w14:paraId="2E2895FE">
      <w:pPr>
        <w:jc w:val="center"/>
        <w:rPr>
          <w:rFonts w:hint="eastAsia" w:eastAsia="宋体"/>
          <w:b/>
          <w:bCs/>
          <w:color w:val="auto"/>
          <w:sz w:val="32"/>
          <w:szCs w:val="32"/>
          <w:highlight w:val="none"/>
          <w:lang w:val="en-US" w:eastAsia="zh-CN"/>
        </w:rPr>
      </w:pPr>
      <w:bookmarkStart w:id="317" w:name="_GoBack"/>
      <w:bookmarkEnd w:id="317"/>
      <w:r>
        <w:rPr>
          <w:rFonts w:hint="eastAsia"/>
          <w:b/>
          <w:bCs/>
          <w:color w:val="auto"/>
          <w:sz w:val="32"/>
          <w:szCs w:val="32"/>
          <w:highlight w:val="none"/>
          <w:lang w:val="en-US" w:eastAsia="zh-CN"/>
        </w:rPr>
        <w:t>略</w:t>
      </w:r>
    </w:p>
    <w:sectPr>
      <w:footerReference r:id="rId12" w:type="default"/>
      <w:pgSz w:w="11906" w:h="16838"/>
      <w:pgMar w:top="1417" w:right="1417" w:bottom="1417" w:left="141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B57B1B2-A0B7-4C54-89C9-5BF8CCDB7B89}"/>
  </w:font>
  <w:font w:name="黑体">
    <w:panose1 w:val="02010609060101010101"/>
    <w:charset w:val="86"/>
    <w:family w:val="auto"/>
    <w:pitch w:val="default"/>
    <w:sig w:usb0="800002BF" w:usb1="38CF7CFA" w:usb2="00000016" w:usb3="00000000" w:csb0="00040001" w:csb1="00000000"/>
    <w:embedRegular r:id="rId2" w:fontKey="{9E7C89C6-3323-4448-828D-067C9C428597}"/>
  </w:font>
  <w:font w:name="Courier New">
    <w:panose1 w:val="02070309020205020404"/>
    <w:charset w:val="01"/>
    <w:family w:val="modern"/>
    <w:pitch w:val="default"/>
    <w:sig w:usb0="E0002EFF" w:usb1="C0007843" w:usb2="00000009" w:usb3="00000000" w:csb0="400001FF" w:csb1="FFFF0000"/>
    <w:embedRegular r:id="rId3" w:fontKey="{C89E0713-F48C-424C-AAE1-9A77E646F58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5F21375F-4409-419D-9A30-058EAA5002D4}"/>
  </w:font>
  <w:font w:name="仿宋">
    <w:panose1 w:val="02010609060101010101"/>
    <w:charset w:val="86"/>
    <w:family w:val="modern"/>
    <w:pitch w:val="default"/>
    <w:sig w:usb0="800002BF" w:usb1="38CF7CFA" w:usb2="00000016" w:usb3="00000000" w:csb0="00040001" w:csb1="00000000"/>
    <w:embedRegular r:id="rId5" w:fontKey="{BB4B234B-3AF5-435B-BD84-930C1140FEC7}"/>
  </w:font>
  <w:font w:name="Tahoma">
    <w:panose1 w:val="020B0604030504040204"/>
    <w:charset w:val="00"/>
    <w:family w:val="auto"/>
    <w:pitch w:val="default"/>
    <w:sig w:usb0="E1002EFF" w:usb1="C000605B" w:usb2="00000029" w:usb3="00000000" w:csb0="200101FF" w:csb1="20280000"/>
  </w:font>
  <w:font w:name="方正大标宋简体">
    <w:panose1 w:val="02000000000000000000"/>
    <w:charset w:val="86"/>
    <w:family w:val="script"/>
    <w:pitch w:val="default"/>
    <w:sig w:usb0="A00002BF" w:usb1="184F6CFA" w:usb2="00000012" w:usb3="00000000" w:csb0="00040001" w:csb1="00000000"/>
  </w:font>
  <w:font w:name="MingLiU_HKSCS">
    <w:altName w:val="PMingLiU-ExtB"/>
    <w:panose1 w:val="02020500000000000000"/>
    <w:charset w:val="88"/>
    <w:family w:val="roman"/>
    <w:pitch w:val="default"/>
    <w:sig w:usb0="00000000" w:usb1="00000000" w:usb2="00000016" w:usb3="00000000" w:csb0="00100001" w:csb1="00000000"/>
    <w:embedRegular r:id="rId6" w:fontKey="{7E786D66-99AE-4A20-91B2-4FE6A78F49E8}"/>
  </w:font>
  <w:font w:name="PMingLiU-ExtB">
    <w:panose1 w:val="02020500000000000000"/>
    <w:charset w:val="88"/>
    <w:family w:val="auto"/>
    <w:pitch w:val="default"/>
    <w:sig w:usb0="8000002F" w:usb1="02000008" w:usb2="00000000" w:usb3="00000000" w:csb0="00100001" w:csb1="00000000"/>
  </w:font>
  <w:font w:name="华文中宋">
    <w:panose1 w:val="02010600040101010101"/>
    <w:charset w:val="86"/>
    <w:family w:val="auto"/>
    <w:pitch w:val="default"/>
    <w:sig w:usb0="00000287" w:usb1="080F0000" w:usb2="00000000" w:usb3="00000000" w:csb0="0004009F" w:csb1="DFD70000"/>
    <w:embedRegular r:id="rId7" w:fontKey="{AE4D8F78-D095-488D-B156-9EA52E7F6FB9}"/>
  </w:font>
  <w:font w:name="Arial Unicode MS">
    <w:altName w:val="宋体"/>
    <w:panose1 w:val="020B0604020202020204"/>
    <w:charset w:val="86"/>
    <w:family w:val="auto"/>
    <w:pitch w:val="default"/>
    <w:sig w:usb0="00000000" w:usb1="00000000" w:usb2="0000003F" w:usb3="00000000" w:csb0="603F01FF" w:csb1="FFFF0000"/>
    <w:embedRegular r:id="rId8" w:fontKey="{6149EECA-6996-4AAC-A9B7-E46061B80766}"/>
  </w:font>
  <w:font w:name="仿宋_GB2312">
    <w:altName w:val="仿宋"/>
    <w:panose1 w:val="02010609030101010101"/>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A30D5">
    <w:pPr>
      <w:jc w:val="center"/>
      <w:rPr>
        <w:rFonts w:ascii="宋体" w:hAnsi="宋体"/>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F78203">
    <w:pPr>
      <w:jc w:val="center"/>
      <w:rPr>
        <w:rFonts w:ascii="宋体" w:hAnsi="宋体"/>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B1ABA">
    <w:pPr>
      <w:pStyle w:val="15"/>
      <w:framePr w:wrap="around" w:vAnchor="text" w:hAnchor="margin" w:xAlign="center" w:y="1"/>
      <w:rPr>
        <w:rStyle w:val="27"/>
      </w:rPr>
    </w:pPr>
    <w:r>
      <w:fldChar w:fldCharType="begin"/>
    </w:r>
    <w:r>
      <w:rPr>
        <w:rStyle w:val="27"/>
      </w:rPr>
      <w:instrText xml:space="preserve">PAGE  </w:instrText>
    </w:r>
    <w:r>
      <w:fldChar w:fldCharType="end"/>
    </w:r>
  </w:p>
  <w:p w14:paraId="163B6E9E">
    <w:pPr>
      <w:pStyle w:val="15"/>
    </w:pPr>
  </w:p>
  <w:p w14:paraId="3B2104DC"/>
  <w:p w14:paraId="5F165DDF"/>
  <w:p w14:paraId="1320175F"/>
  <w:p w14:paraId="61E70F1E"/>
  <w:p w14:paraId="4BD0CD15"/>
  <w:p w14:paraId="78A4FF1A"/>
  <w:p w14:paraId="328A94B6"/>
  <w:p w14:paraId="425A4F86"/>
  <w:p w14:paraId="7337F9A9"/>
  <w:p w14:paraId="2E6896D2"/>
  <w:p w14:paraId="66C4CFE4"/>
  <w:p w14:paraId="205A4602"/>
  <w:p w14:paraId="5DE8B795"/>
  <w:p w14:paraId="46298832"/>
  <w:p w14:paraId="11A5185A"/>
  <w:p w14:paraId="639975D0"/>
  <w:p w14:paraId="2AF5E53A"/>
  <w:p w14:paraId="177D51D1"/>
  <w:p w14:paraId="75EE1E44"/>
  <w:p w14:paraId="706D7BB7"/>
  <w:p w14:paraId="0F158B70"/>
  <w:p w14:paraId="0A1684DE"/>
  <w:p w14:paraId="3E847225"/>
  <w:p w14:paraId="10A19881"/>
  <w:p w14:paraId="26516B65"/>
  <w:p w14:paraId="0F66443A"/>
  <w:p w14:paraId="1C4D35EE"/>
  <w:p w14:paraId="6439600F"/>
  <w:p w14:paraId="536520D4"/>
  <w:p w14:paraId="596EC0E4"/>
  <w:p w14:paraId="7CB34549"/>
  <w:p w14:paraId="5C0B4C24"/>
  <w:p w14:paraId="42AC31F0"/>
  <w:p w14:paraId="7BE8DBF9"/>
  <w:p w14:paraId="64190ADA"/>
  <w:p w14:paraId="33BF027F"/>
  <w:p w14:paraId="7807ED61"/>
  <w:p w14:paraId="566DB995"/>
  <w:p w14:paraId="263618BC"/>
  <w:p w14:paraId="103034A0"/>
  <w:p w14:paraId="3FB0080A"/>
  <w:p w14:paraId="09B3977A"/>
  <w:p w14:paraId="6F2886F0"/>
  <w:p w14:paraId="4A5A6410"/>
  <w:p w14:paraId="22CFF993"/>
  <w:p w14:paraId="2E6A6D93"/>
  <w:p w14:paraId="5EC4395C"/>
  <w:p w14:paraId="27B30EBE"/>
  <w:p w14:paraId="1A6458EF"/>
  <w:p w14:paraId="4FFF0FBC"/>
  <w:p w14:paraId="09D4A66E"/>
  <w:p w14:paraId="0A6F461A"/>
  <w:p w14:paraId="4908EF86"/>
  <w:p w14:paraId="5423F8D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CFDD4">
    <w:pPr>
      <w:jc w:val="center"/>
      <w:rPr>
        <w:rFonts w:ascii="宋体" w:hAnsi="宋体"/>
        <w:sz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BF17D">
    <w:pPr>
      <w:jc w:val="center"/>
      <w:rPr>
        <w:rFonts w:ascii="宋体" w:hAnsi="宋体"/>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A82D86">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31A82D86">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0BE3F">
    <w:pPr>
      <w:jc w:val="center"/>
      <w:rPr>
        <w:rFonts w:ascii="宋体" w:hAnsi="宋体"/>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F0143">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090F0143">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F7A65">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A79524">
                          <w:pPr>
                            <w:pStyle w:val="1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71A79524">
                    <w:pPr>
                      <w:pStyle w:val="1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DFF6D">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8D37C">
                          <w:pPr>
                            <w:pStyle w:val="15"/>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2098D37C">
                    <w:pPr>
                      <w:pStyle w:val="15"/>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r>
        <w:separator/>
      </w:r>
    </w:p>
  </w:footnote>
  <w:footnote w:type="continuationSeparator" w:id="11">
    <w:p>
      <w:r>
        <w:continuationSeparator/>
      </w:r>
    </w:p>
  </w:footnote>
  <w:footnote w:id="0">
    <w:p w14:paraId="3F44EDB7">
      <w:pPr>
        <w:pStyle w:val="18"/>
        <w:overflowPunct/>
        <w:autoSpaceDE/>
        <w:autoSpaceDN/>
        <w:adjustRightInd/>
        <w:snapToGrid w:val="0"/>
        <w:spacing w:before="0" w:beforeAutospacing="0" w:after="0" w:afterAutospacing="0"/>
        <w:textAlignment w:val="auto"/>
        <w:rPr>
          <w:rFonts w:hint="eastAsia"/>
          <w:bCs w:val="0"/>
        </w:rPr>
      </w:pPr>
      <w:r>
        <w:rPr>
          <w:rStyle w:val="30"/>
          <w:bCs w:val="0"/>
          <w:sz w:val="21"/>
        </w:rPr>
        <w:footnoteRef/>
      </w:r>
      <w:r>
        <w:rPr>
          <w:bCs w:val="0"/>
        </w:rPr>
        <w:t xml:space="preserve"> </w:t>
      </w:r>
      <w:r>
        <w:rPr>
          <w:rFonts w:hint="eastAsia"/>
          <w:bCs w:val="0"/>
          <w:lang w:eastAsia="zh-CN"/>
        </w:rPr>
        <w:t>产品如有型号，请在“产品名称”栏一并填写。</w:t>
      </w:r>
    </w:p>
  </w:footnote>
  <w:footnote w:id="1">
    <w:p w14:paraId="7E47B80F">
      <w:pPr>
        <w:pStyle w:val="18"/>
        <w:overflowPunct/>
        <w:autoSpaceDE/>
        <w:autoSpaceDN/>
        <w:adjustRightInd/>
        <w:snapToGrid w:val="0"/>
        <w:spacing w:before="0" w:beforeAutospacing="0" w:after="0" w:afterAutospacing="0"/>
        <w:textAlignment w:val="auto"/>
        <w:rPr>
          <w:bCs w:val="0"/>
        </w:rPr>
      </w:pPr>
      <w:r>
        <w:rPr>
          <w:rStyle w:val="30"/>
          <w:bCs w:val="0"/>
          <w:sz w:val="21"/>
        </w:rPr>
        <w:footnoteRef/>
      </w:r>
      <w:r>
        <w:rPr>
          <w:bCs w:val="0"/>
        </w:rPr>
        <w:t xml:space="preserve"> </w:t>
      </w:r>
      <w:r>
        <w:rPr>
          <w:rFonts w:hint="eastAsia"/>
          <w:bCs w:val="0"/>
        </w:rPr>
        <w:t>生产厂名与厂址应与生产厂营业执照载明的相关信息保持一致。</w:t>
      </w:r>
    </w:p>
  </w:footnote>
  <w:footnote w:id="2">
    <w:p w14:paraId="3065C917">
      <w:pPr>
        <w:pStyle w:val="18"/>
        <w:overflowPunct/>
        <w:autoSpaceDE/>
        <w:autoSpaceDN/>
        <w:adjustRightInd/>
        <w:snapToGrid w:val="0"/>
        <w:spacing w:before="0" w:beforeAutospacing="0" w:after="0" w:afterAutospacing="0"/>
        <w:textAlignment w:val="auto"/>
        <w:rPr>
          <w:bCs w:val="0"/>
        </w:rPr>
      </w:pPr>
      <w:r>
        <w:rPr>
          <w:rStyle w:val="30"/>
          <w:bCs w:val="0"/>
          <w:sz w:val="21"/>
        </w:rPr>
        <w:footnoteRef/>
      </w:r>
      <w:r>
        <w:rPr>
          <w:bCs w:val="0"/>
        </w:rPr>
        <w:t xml:space="preserve"> </w:t>
      </w:r>
      <w:r>
        <w:rPr>
          <w:rFonts w:hint="eastAsia"/>
          <w:bCs w:val="0"/>
        </w:rPr>
        <w:t>该产品的中国境内生产的组件成本占比相关要求实施前，“规定比例”栏可不填，下同。</w:t>
      </w:r>
    </w:p>
  </w:footnote>
  <w:footnote w:id="3">
    <w:p w14:paraId="04685E60">
      <w:pPr>
        <w:pStyle w:val="18"/>
        <w:overflowPunct/>
        <w:autoSpaceDE/>
        <w:autoSpaceDN/>
        <w:adjustRightInd/>
        <w:snapToGrid w:val="0"/>
        <w:spacing w:before="0" w:beforeAutospacing="0" w:after="0" w:afterAutospacing="0"/>
        <w:textAlignment w:val="auto"/>
        <w:rPr>
          <w:bCs w:val="0"/>
        </w:rPr>
      </w:pPr>
      <w:r>
        <w:rPr>
          <w:rStyle w:val="30"/>
          <w:bCs w:val="0"/>
          <w:sz w:val="21"/>
        </w:rPr>
        <w:footnoteRef/>
      </w:r>
      <w:r>
        <w:rPr>
          <w:bCs w:val="0"/>
        </w:rPr>
        <w:t xml:space="preserve"> </w:t>
      </w:r>
      <w:r>
        <w:rPr>
          <w:rFonts w:hint="eastAsia"/>
          <w:bCs w:val="0"/>
        </w:rPr>
        <w:t>该产品的关键组件要求实施前，“关键组件”栏可不填，下同。</w:t>
      </w:r>
    </w:p>
  </w:footnote>
  <w:footnote w:id="4">
    <w:p w14:paraId="046F8AD4">
      <w:pPr>
        <w:pStyle w:val="18"/>
        <w:overflowPunct/>
        <w:autoSpaceDE/>
        <w:autoSpaceDN/>
        <w:adjustRightInd/>
        <w:snapToGrid w:val="0"/>
        <w:spacing w:before="0" w:beforeAutospacing="0" w:after="0" w:afterAutospacing="0"/>
        <w:textAlignment w:val="auto"/>
        <w:rPr>
          <w:bCs w:val="0"/>
        </w:rPr>
      </w:pPr>
      <w:r>
        <w:rPr>
          <w:rStyle w:val="30"/>
          <w:bCs w:val="0"/>
          <w:sz w:val="21"/>
        </w:rPr>
        <w:footnoteRef/>
      </w:r>
      <w:r>
        <w:rPr>
          <w:bCs w:val="0"/>
        </w:rPr>
        <w:t xml:space="preserve"> </w:t>
      </w:r>
      <w:r>
        <w:rPr>
          <w:rFonts w:hint="eastAsia"/>
          <w:bCs w:val="0"/>
        </w:rPr>
        <w:t>该产品的关键工序要求实施前，“关键工序”栏可不填，下同。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62058"/>
  <w:p w14:paraId="1EE29585"/>
  <w:p w14:paraId="45057688"/>
  <w:p w14:paraId="0A6F959C"/>
  <w:p w14:paraId="52D3CD53"/>
  <w:p w14:paraId="46C50DFC"/>
  <w:p w14:paraId="1856FFEF"/>
  <w:p w14:paraId="72C18C68"/>
  <w:p w14:paraId="4E7D22DE"/>
  <w:p w14:paraId="73A8DC04"/>
  <w:p w14:paraId="7495F647"/>
  <w:p w14:paraId="55725DE7"/>
  <w:p w14:paraId="39CB6B97"/>
  <w:p w14:paraId="6ABDAB0C"/>
  <w:p w14:paraId="1B9A975B"/>
  <w:p w14:paraId="345DA9F0"/>
  <w:p w14:paraId="0513F53A"/>
  <w:p w14:paraId="2E371453"/>
  <w:p w14:paraId="1EBBBF48"/>
  <w:p w14:paraId="254E7B50"/>
  <w:p w14:paraId="6BD8AE65"/>
  <w:p w14:paraId="202670B8"/>
  <w:p w14:paraId="6B327189"/>
  <w:p w14:paraId="760190C7"/>
  <w:p w14:paraId="2852B2A3"/>
  <w:p w14:paraId="4C2DB0CA"/>
  <w:p w14:paraId="149F1C46"/>
  <w:p w14:paraId="0792B115"/>
  <w:p w14:paraId="5E8A09BC"/>
  <w:p w14:paraId="39BAAA10"/>
  <w:p w14:paraId="2E6C377F"/>
  <w:p w14:paraId="76AF5FC1"/>
  <w:p w14:paraId="612C741B"/>
  <w:p w14:paraId="210ADC2A"/>
  <w:p w14:paraId="1710BE29"/>
  <w:p w14:paraId="2B088F41"/>
  <w:p w14:paraId="7827700A"/>
  <w:p w14:paraId="5644500E"/>
  <w:p w14:paraId="13CCCA6A"/>
  <w:p w14:paraId="70C115EB"/>
  <w:p w14:paraId="02EF0416"/>
  <w:p w14:paraId="5F4F6D78"/>
  <w:p w14:paraId="6FD4F111"/>
  <w:p w14:paraId="50A483D1"/>
  <w:p w14:paraId="5205050A"/>
  <w:p w14:paraId="07AB7421"/>
  <w:p w14:paraId="14D9D451"/>
  <w:p w14:paraId="1263208A"/>
  <w:p w14:paraId="38D861B2"/>
  <w:p w14:paraId="3FB9A3C4"/>
  <w:p w14:paraId="6B036A63"/>
  <w:p w14:paraId="72789F33"/>
  <w:p w14:paraId="76F35E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D2F73"/>
    <w:multiLevelType w:val="singleLevel"/>
    <w:tmpl w:val="810D2F73"/>
    <w:lvl w:ilvl="0" w:tentative="0">
      <w:start w:val="1"/>
      <w:numFmt w:val="decimal"/>
      <w:pStyle w:val="8"/>
      <w:lvlText w:val="%1."/>
      <w:lvlJc w:val="left"/>
      <w:pPr>
        <w:tabs>
          <w:tab w:val="left" w:pos="780"/>
        </w:tabs>
        <w:ind w:left="780" w:hanging="360"/>
      </w:pPr>
    </w:lvl>
  </w:abstractNum>
  <w:abstractNum w:abstractNumId="1">
    <w:nsid w:val="8910E827"/>
    <w:multiLevelType w:val="singleLevel"/>
    <w:tmpl w:val="8910E827"/>
    <w:lvl w:ilvl="0" w:tentative="0">
      <w:start w:val="1"/>
      <w:numFmt w:val="decimal"/>
      <w:pStyle w:val="13"/>
      <w:lvlText w:val="%1."/>
      <w:lvlJc w:val="left"/>
      <w:pPr>
        <w:tabs>
          <w:tab w:val="left" w:pos="2040"/>
        </w:tabs>
        <w:ind w:left="2040" w:hanging="360"/>
      </w:pPr>
    </w:lvl>
  </w:abstractNum>
  <w:abstractNum w:abstractNumId="2">
    <w:nsid w:val="DB551C66"/>
    <w:multiLevelType w:val="singleLevel"/>
    <w:tmpl w:val="DB551C66"/>
    <w:lvl w:ilvl="0" w:tentative="0">
      <w:start w:val="2"/>
      <w:numFmt w:val="chineseCounting"/>
      <w:suff w:val="nothing"/>
      <w:lvlText w:val="%1、"/>
      <w:lvlJc w:val="left"/>
      <w:rPr>
        <w:rFonts w:hint="eastAsia"/>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0"/>
    <w:footnote w:id="1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JjNDc1ZDFjYTI0YmFhYmRmNmU2ZTcxNzRkZmY3MGUifQ=="/>
  </w:docVars>
  <w:rsids>
    <w:rsidRoot w:val="324B3C83"/>
    <w:rsid w:val="00030793"/>
    <w:rsid w:val="00310188"/>
    <w:rsid w:val="00A948DD"/>
    <w:rsid w:val="01806A48"/>
    <w:rsid w:val="01916C5A"/>
    <w:rsid w:val="022332E0"/>
    <w:rsid w:val="026440D5"/>
    <w:rsid w:val="02893147"/>
    <w:rsid w:val="029F5F78"/>
    <w:rsid w:val="02BE3D22"/>
    <w:rsid w:val="03355B7E"/>
    <w:rsid w:val="033A4520"/>
    <w:rsid w:val="03E9270F"/>
    <w:rsid w:val="04E10E6F"/>
    <w:rsid w:val="05D962CC"/>
    <w:rsid w:val="06076D71"/>
    <w:rsid w:val="063D06AC"/>
    <w:rsid w:val="06611885"/>
    <w:rsid w:val="06937678"/>
    <w:rsid w:val="06FD56AE"/>
    <w:rsid w:val="072E0457"/>
    <w:rsid w:val="074027DA"/>
    <w:rsid w:val="077103B0"/>
    <w:rsid w:val="0796104F"/>
    <w:rsid w:val="08F0744D"/>
    <w:rsid w:val="090A687F"/>
    <w:rsid w:val="09324D44"/>
    <w:rsid w:val="093735A2"/>
    <w:rsid w:val="093D5CB8"/>
    <w:rsid w:val="093D6475"/>
    <w:rsid w:val="0A1848E9"/>
    <w:rsid w:val="0A3946AA"/>
    <w:rsid w:val="0A487919"/>
    <w:rsid w:val="0A7B66FE"/>
    <w:rsid w:val="0AF21185"/>
    <w:rsid w:val="0B2B3C7B"/>
    <w:rsid w:val="0B5B7AAA"/>
    <w:rsid w:val="0B7E67EB"/>
    <w:rsid w:val="0BA9222C"/>
    <w:rsid w:val="0BFA1141"/>
    <w:rsid w:val="0C656D19"/>
    <w:rsid w:val="0CB008C2"/>
    <w:rsid w:val="0DDE4CE2"/>
    <w:rsid w:val="0DFF5E71"/>
    <w:rsid w:val="0E435ECF"/>
    <w:rsid w:val="0EB348EC"/>
    <w:rsid w:val="0EEF0B44"/>
    <w:rsid w:val="0F0106A7"/>
    <w:rsid w:val="0F171786"/>
    <w:rsid w:val="10097946"/>
    <w:rsid w:val="105759F9"/>
    <w:rsid w:val="107D19F7"/>
    <w:rsid w:val="12F22BF1"/>
    <w:rsid w:val="132D5795"/>
    <w:rsid w:val="13AD173D"/>
    <w:rsid w:val="13EA0221"/>
    <w:rsid w:val="13ED7FBF"/>
    <w:rsid w:val="14061EEE"/>
    <w:rsid w:val="14522C9A"/>
    <w:rsid w:val="148320D6"/>
    <w:rsid w:val="14F35ADD"/>
    <w:rsid w:val="156004AE"/>
    <w:rsid w:val="15691975"/>
    <w:rsid w:val="159E47E9"/>
    <w:rsid w:val="15B83A6E"/>
    <w:rsid w:val="15CA31FC"/>
    <w:rsid w:val="16F3412E"/>
    <w:rsid w:val="16F7621B"/>
    <w:rsid w:val="174B602F"/>
    <w:rsid w:val="17B33365"/>
    <w:rsid w:val="181A60AA"/>
    <w:rsid w:val="1914780A"/>
    <w:rsid w:val="194603F4"/>
    <w:rsid w:val="19480E30"/>
    <w:rsid w:val="195B19FE"/>
    <w:rsid w:val="19FFA475"/>
    <w:rsid w:val="1A374F92"/>
    <w:rsid w:val="1ABC1611"/>
    <w:rsid w:val="1AC15FC0"/>
    <w:rsid w:val="1AFB71F5"/>
    <w:rsid w:val="1B523227"/>
    <w:rsid w:val="1B6E5BA7"/>
    <w:rsid w:val="1B7C0170"/>
    <w:rsid w:val="1BEC33E8"/>
    <w:rsid w:val="1BFFF31E"/>
    <w:rsid w:val="1C362CCA"/>
    <w:rsid w:val="1D705364"/>
    <w:rsid w:val="1D730DAD"/>
    <w:rsid w:val="1DBA7D48"/>
    <w:rsid w:val="1E363300"/>
    <w:rsid w:val="1E3E40F4"/>
    <w:rsid w:val="1E64009E"/>
    <w:rsid w:val="1E7963A6"/>
    <w:rsid w:val="1E872DDC"/>
    <w:rsid w:val="1EBA3CF3"/>
    <w:rsid w:val="1F016BC6"/>
    <w:rsid w:val="1F386A75"/>
    <w:rsid w:val="1FB61240"/>
    <w:rsid w:val="1FB759C8"/>
    <w:rsid w:val="1FDD435C"/>
    <w:rsid w:val="1FFC7EB3"/>
    <w:rsid w:val="1FFF65F1"/>
    <w:rsid w:val="20907E4D"/>
    <w:rsid w:val="20927DC8"/>
    <w:rsid w:val="211F6C2E"/>
    <w:rsid w:val="21865BA6"/>
    <w:rsid w:val="22765007"/>
    <w:rsid w:val="230134E6"/>
    <w:rsid w:val="23AC0B6B"/>
    <w:rsid w:val="241B04C9"/>
    <w:rsid w:val="25AF1BE4"/>
    <w:rsid w:val="25D82742"/>
    <w:rsid w:val="262D1BC1"/>
    <w:rsid w:val="265669B8"/>
    <w:rsid w:val="267A6D2D"/>
    <w:rsid w:val="26B358B0"/>
    <w:rsid w:val="27204080"/>
    <w:rsid w:val="275E7989"/>
    <w:rsid w:val="279315B4"/>
    <w:rsid w:val="27C17FE0"/>
    <w:rsid w:val="27CE4099"/>
    <w:rsid w:val="28070C20"/>
    <w:rsid w:val="286700EB"/>
    <w:rsid w:val="28D84532"/>
    <w:rsid w:val="296C1F21"/>
    <w:rsid w:val="29F74A0B"/>
    <w:rsid w:val="2A352355"/>
    <w:rsid w:val="2A4C1CBD"/>
    <w:rsid w:val="2A8F356D"/>
    <w:rsid w:val="2A9770AA"/>
    <w:rsid w:val="2B346E08"/>
    <w:rsid w:val="2B372E74"/>
    <w:rsid w:val="2C1B76F5"/>
    <w:rsid w:val="2C3726EA"/>
    <w:rsid w:val="2C6333E2"/>
    <w:rsid w:val="2C863E1B"/>
    <w:rsid w:val="2D9772CA"/>
    <w:rsid w:val="2D9900F8"/>
    <w:rsid w:val="2DC14EA2"/>
    <w:rsid w:val="2E280F69"/>
    <w:rsid w:val="2E345593"/>
    <w:rsid w:val="2E3946DC"/>
    <w:rsid w:val="2EC141E3"/>
    <w:rsid w:val="2F7A7441"/>
    <w:rsid w:val="2FAF2B8C"/>
    <w:rsid w:val="2FCB7D74"/>
    <w:rsid w:val="2FCF48E2"/>
    <w:rsid w:val="2FDD13FB"/>
    <w:rsid w:val="2FFF6552"/>
    <w:rsid w:val="30B13A43"/>
    <w:rsid w:val="317937B2"/>
    <w:rsid w:val="31936E07"/>
    <w:rsid w:val="31EB5C95"/>
    <w:rsid w:val="324B3C83"/>
    <w:rsid w:val="3256643C"/>
    <w:rsid w:val="33171535"/>
    <w:rsid w:val="33466F8E"/>
    <w:rsid w:val="33F318CB"/>
    <w:rsid w:val="34427425"/>
    <w:rsid w:val="34526717"/>
    <w:rsid w:val="346231D5"/>
    <w:rsid w:val="352606EA"/>
    <w:rsid w:val="35413AED"/>
    <w:rsid w:val="355A312A"/>
    <w:rsid w:val="356B1B37"/>
    <w:rsid w:val="366366A0"/>
    <w:rsid w:val="37382AC6"/>
    <w:rsid w:val="37697DF6"/>
    <w:rsid w:val="377D3E47"/>
    <w:rsid w:val="37CBFE78"/>
    <w:rsid w:val="383429C9"/>
    <w:rsid w:val="38611A90"/>
    <w:rsid w:val="38C1214B"/>
    <w:rsid w:val="39A13419"/>
    <w:rsid w:val="39BB0486"/>
    <w:rsid w:val="39F83928"/>
    <w:rsid w:val="3A071D19"/>
    <w:rsid w:val="3A337717"/>
    <w:rsid w:val="3A497725"/>
    <w:rsid w:val="3ADC2301"/>
    <w:rsid w:val="3AE17E64"/>
    <w:rsid w:val="3AF71A3E"/>
    <w:rsid w:val="3B1B3D10"/>
    <w:rsid w:val="3B316B38"/>
    <w:rsid w:val="3B9913B7"/>
    <w:rsid w:val="3C390875"/>
    <w:rsid w:val="3C464D3A"/>
    <w:rsid w:val="3C662FBB"/>
    <w:rsid w:val="3CB61A62"/>
    <w:rsid w:val="3D5E3FCB"/>
    <w:rsid w:val="3D9D2C5B"/>
    <w:rsid w:val="3E0775EF"/>
    <w:rsid w:val="3E0F1324"/>
    <w:rsid w:val="3E210FF5"/>
    <w:rsid w:val="3E532167"/>
    <w:rsid w:val="3E642795"/>
    <w:rsid w:val="3EB35583"/>
    <w:rsid w:val="3EC766C1"/>
    <w:rsid w:val="3ED707DE"/>
    <w:rsid w:val="3F1276B7"/>
    <w:rsid w:val="3F512FE1"/>
    <w:rsid w:val="3F5B0648"/>
    <w:rsid w:val="3F7660C9"/>
    <w:rsid w:val="3FA36664"/>
    <w:rsid w:val="3FDC5A97"/>
    <w:rsid w:val="401F73E1"/>
    <w:rsid w:val="41332C97"/>
    <w:rsid w:val="413E667D"/>
    <w:rsid w:val="41BF493F"/>
    <w:rsid w:val="42057899"/>
    <w:rsid w:val="422162E1"/>
    <w:rsid w:val="422B5250"/>
    <w:rsid w:val="425D3867"/>
    <w:rsid w:val="427B5B84"/>
    <w:rsid w:val="431A55A6"/>
    <w:rsid w:val="4322147F"/>
    <w:rsid w:val="43384D1F"/>
    <w:rsid w:val="43456B78"/>
    <w:rsid w:val="43582D33"/>
    <w:rsid w:val="435D1E7F"/>
    <w:rsid w:val="43E63B73"/>
    <w:rsid w:val="447A5E01"/>
    <w:rsid w:val="45030E6C"/>
    <w:rsid w:val="450D212B"/>
    <w:rsid w:val="45323C4D"/>
    <w:rsid w:val="45805F6E"/>
    <w:rsid w:val="458F0D2D"/>
    <w:rsid w:val="46F85E2E"/>
    <w:rsid w:val="46FA2178"/>
    <w:rsid w:val="46FC373E"/>
    <w:rsid w:val="470C60EA"/>
    <w:rsid w:val="47183123"/>
    <w:rsid w:val="478A3A8E"/>
    <w:rsid w:val="481B63B6"/>
    <w:rsid w:val="484603DA"/>
    <w:rsid w:val="489D65B2"/>
    <w:rsid w:val="48BC2DE1"/>
    <w:rsid w:val="49553D97"/>
    <w:rsid w:val="496729D2"/>
    <w:rsid w:val="4981448B"/>
    <w:rsid w:val="49D91065"/>
    <w:rsid w:val="4A464F68"/>
    <w:rsid w:val="4ACA658F"/>
    <w:rsid w:val="4AF246CA"/>
    <w:rsid w:val="4B6A2E62"/>
    <w:rsid w:val="4B6BEB89"/>
    <w:rsid w:val="4BD31F7C"/>
    <w:rsid w:val="4BE66417"/>
    <w:rsid w:val="4C147660"/>
    <w:rsid w:val="4CA31BB5"/>
    <w:rsid w:val="4CDB5BF8"/>
    <w:rsid w:val="4D440F6B"/>
    <w:rsid w:val="4D7A2024"/>
    <w:rsid w:val="4DCB18C2"/>
    <w:rsid w:val="4EA02F4D"/>
    <w:rsid w:val="4EB07238"/>
    <w:rsid w:val="4EDD76FB"/>
    <w:rsid w:val="4EF50E4C"/>
    <w:rsid w:val="4F392A23"/>
    <w:rsid w:val="4FAB41C8"/>
    <w:rsid w:val="4FBE2522"/>
    <w:rsid w:val="4FC66214"/>
    <w:rsid w:val="4FD973BE"/>
    <w:rsid w:val="4FFB6D64"/>
    <w:rsid w:val="4FFC8EB6"/>
    <w:rsid w:val="507669F7"/>
    <w:rsid w:val="50AA5AE5"/>
    <w:rsid w:val="50D53840"/>
    <w:rsid w:val="50E550DB"/>
    <w:rsid w:val="516738CC"/>
    <w:rsid w:val="51A92AE4"/>
    <w:rsid w:val="521138D2"/>
    <w:rsid w:val="527F6D13"/>
    <w:rsid w:val="52B07C35"/>
    <w:rsid w:val="52B32A71"/>
    <w:rsid w:val="54A20133"/>
    <w:rsid w:val="54A61B6E"/>
    <w:rsid w:val="54E9ACFF"/>
    <w:rsid w:val="55372A4C"/>
    <w:rsid w:val="55722158"/>
    <w:rsid w:val="55EFFBBD"/>
    <w:rsid w:val="564D4ED2"/>
    <w:rsid w:val="56580E3C"/>
    <w:rsid w:val="56761DE9"/>
    <w:rsid w:val="56EA24F8"/>
    <w:rsid w:val="56FFB09D"/>
    <w:rsid w:val="57655C57"/>
    <w:rsid w:val="57A62889"/>
    <w:rsid w:val="58306501"/>
    <w:rsid w:val="58AD57AF"/>
    <w:rsid w:val="591332B4"/>
    <w:rsid w:val="59626CB4"/>
    <w:rsid w:val="5A8D4EC8"/>
    <w:rsid w:val="5B5F32E7"/>
    <w:rsid w:val="5B8C7800"/>
    <w:rsid w:val="5B9F3912"/>
    <w:rsid w:val="5BE32634"/>
    <w:rsid w:val="5C081C11"/>
    <w:rsid w:val="5C33130F"/>
    <w:rsid w:val="5D086927"/>
    <w:rsid w:val="5D2A58C2"/>
    <w:rsid w:val="5D5C4448"/>
    <w:rsid w:val="5D650B39"/>
    <w:rsid w:val="5D702D19"/>
    <w:rsid w:val="5DB663F5"/>
    <w:rsid w:val="5DBA7750"/>
    <w:rsid w:val="5E074753"/>
    <w:rsid w:val="5E0A6592"/>
    <w:rsid w:val="5E971A23"/>
    <w:rsid w:val="5EBF3F02"/>
    <w:rsid w:val="5FA70A8D"/>
    <w:rsid w:val="5FB91A95"/>
    <w:rsid w:val="5FE02631"/>
    <w:rsid w:val="5FFF5A4D"/>
    <w:rsid w:val="60484EF5"/>
    <w:rsid w:val="60BC6C5F"/>
    <w:rsid w:val="612F0485"/>
    <w:rsid w:val="61651237"/>
    <w:rsid w:val="61964313"/>
    <w:rsid w:val="62312A09"/>
    <w:rsid w:val="623962A3"/>
    <w:rsid w:val="62DE4CC2"/>
    <w:rsid w:val="63A64DC2"/>
    <w:rsid w:val="63BE0A52"/>
    <w:rsid w:val="63D32AD8"/>
    <w:rsid w:val="640F2F61"/>
    <w:rsid w:val="64C8715B"/>
    <w:rsid w:val="64CA7CEA"/>
    <w:rsid w:val="65275896"/>
    <w:rsid w:val="65BD23C3"/>
    <w:rsid w:val="65EE7F4E"/>
    <w:rsid w:val="66686491"/>
    <w:rsid w:val="66AF1ADA"/>
    <w:rsid w:val="66DD4D68"/>
    <w:rsid w:val="66FE7AD5"/>
    <w:rsid w:val="67095D94"/>
    <w:rsid w:val="67700BD5"/>
    <w:rsid w:val="679C7C11"/>
    <w:rsid w:val="67BFE434"/>
    <w:rsid w:val="67EB0ADD"/>
    <w:rsid w:val="6844179A"/>
    <w:rsid w:val="684F2053"/>
    <w:rsid w:val="685942AA"/>
    <w:rsid w:val="68A4600E"/>
    <w:rsid w:val="68E326F1"/>
    <w:rsid w:val="69302A7A"/>
    <w:rsid w:val="693D20FC"/>
    <w:rsid w:val="6A4953F1"/>
    <w:rsid w:val="6ABD0542"/>
    <w:rsid w:val="6B1D1948"/>
    <w:rsid w:val="6B896E7A"/>
    <w:rsid w:val="6B981292"/>
    <w:rsid w:val="6C6F411C"/>
    <w:rsid w:val="6CCC00C4"/>
    <w:rsid w:val="6CE95536"/>
    <w:rsid w:val="6CF06AEC"/>
    <w:rsid w:val="6D5F51DB"/>
    <w:rsid w:val="6D7B5D0F"/>
    <w:rsid w:val="6D8A7D24"/>
    <w:rsid w:val="6D8C03C7"/>
    <w:rsid w:val="6DCF3802"/>
    <w:rsid w:val="6DE505D2"/>
    <w:rsid w:val="6E0B53FF"/>
    <w:rsid w:val="6E1F0BFE"/>
    <w:rsid w:val="6EDE7F19"/>
    <w:rsid w:val="6F1E7F4D"/>
    <w:rsid w:val="6F292251"/>
    <w:rsid w:val="6F8077C2"/>
    <w:rsid w:val="6FDFB67E"/>
    <w:rsid w:val="705F2E65"/>
    <w:rsid w:val="706D1F5D"/>
    <w:rsid w:val="70A67761"/>
    <w:rsid w:val="70DF6FAD"/>
    <w:rsid w:val="70E4327F"/>
    <w:rsid w:val="712356E8"/>
    <w:rsid w:val="71585098"/>
    <w:rsid w:val="715D19E6"/>
    <w:rsid w:val="716A32CE"/>
    <w:rsid w:val="71C37EBC"/>
    <w:rsid w:val="71D055CE"/>
    <w:rsid w:val="71FD5FD6"/>
    <w:rsid w:val="72032105"/>
    <w:rsid w:val="72A82FD0"/>
    <w:rsid w:val="72FD0B86"/>
    <w:rsid w:val="73772FF4"/>
    <w:rsid w:val="7379186C"/>
    <w:rsid w:val="738303C6"/>
    <w:rsid w:val="73BC12BB"/>
    <w:rsid w:val="73E2431D"/>
    <w:rsid w:val="747C7F04"/>
    <w:rsid w:val="74EA6189"/>
    <w:rsid w:val="75284004"/>
    <w:rsid w:val="754404D2"/>
    <w:rsid w:val="756D2197"/>
    <w:rsid w:val="75A6494D"/>
    <w:rsid w:val="75A70A70"/>
    <w:rsid w:val="7646562A"/>
    <w:rsid w:val="76952E4B"/>
    <w:rsid w:val="7715546B"/>
    <w:rsid w:val="7717426B"/>
    <w:rsid w:val="77744639"/>
    <w:rsid w:val="77770338"/>
    <w:rsid w:val="7794710B"/>
    <w:rsid w:val="77B79D9C"/>
    <w:rsid w:val="77F5E9B9"/>
    <w:rsid w:val="78295214"/>
    <w:rsid w:val="782F2414"/>
    <w:rsid w:val="787B3748"/>
    <w:rsid w:val="79237E0D"/>
    <w:rsid w:val="796C4B39"/>
    <w:rsid w:val="79DC5DC8"/>
    <w:rsid w:val="7A2C7FFC"/>
    <w:rsid w:val="7A7818A0"/>
    <w:rsid w:val="7A7F9100"/>
    <w:rsid w:val="7A8C7E39"/>
    <w:rsid w:val="7B207590"/>
    <w:rsid w:val="7B217D7D"/>
    <w:rsid w:val="7B5B1999"/>
    <w:rsid w:val="7B6E0B88"/>
    <w:rsid w:val="7B8F6361"/>
    <w:rsid w:val="7B9C0912"/>
    <w:rsid w:val="7BB71A43"/>
    <w:rsid w:val="7BF887EB"/>
    <w:rsid w:val="7BFA4F65"/>
    <w:rsid w:val="7C142DB9"/>
    <w:rsid w:val="7CAE5E5E"/>
    <w:rsid w:val="7CE30A89"/>
    <w:rsid w:val="7D177B8B"/>
    <w:rsid w:val="7D9B762C"/>
    <w:rsid w:val="7DBB60B0"/>
    <w:rsid w:val="7DBD1CD3"/>
    <w:rsid w:val="7DBE312F"/>
    <w:rsid w:val="7E2C5F0E"/>
    <w:rsid w:val="7E7B82BD"/>
    <w:rsid w:val="7EBBCCFC"/>
    <w:rsid w:val="7F17D35D"/>
    <w:rsid w:val="7F7914B7"/>
    <w:rsid w:val="7F7BCC11"/>
    <w:rsid w:val="7F7C4E62"/>
    <w:rsid w:val="7F7E8853"/>
    <w:rsid w:val="7F9E3AA0"/>
    <w:rsid w:val="7FB44512"/>
    <w:rsid w:val="7FB7E2F6"/>
    <w:rsid w:val="7FD73353"/>
    <w:rsid w:val="7FF8CA62"/>
    <w:rsid w:val="7FFAC6FE"/>
    <w:rsid w:val="7FFB5E85"/>
    <w:rsid w:val="B279E5E0"/>
    <w:rsid w:val="B5F3720D"/>
    <w:rsid w:val="B65CC7A6"/>
    <w:rsid w:val="B7EFE8DF"/>
    <w:rsid w:val="BAB75790"/>
    <w:rsid w:val="BDFE75C1"/>
    <w:rsid w:val="BE8F5250"/>
    <w:rsid w:val="BFBD35F4"/>
    <w:rsid w:val="D3FB53C3"/>
    <w:rsid w:val="D5FF8536"/>
    <w:rsid w:val="D7E69118"/>
    <w:rsid w:val="DFFE5992"/>
    <w:rsid w:val="E7AFE51A"/>
    <w:rsid w:val="E7FBA909"/>
    <w:rsid w:val="E8DFFA27"/>
    <w:rsid w:val="ECF8263C"/>
    <w:rsid w:val="EE5E6B73"/>
    <w:rsid w:val="EFFF0743"/>
    <w:rsid w:val="F3FB4234"/>
    <w:rsid w:val="F6FBC84C"/>
    <w:rsid w:val="F79F995C"/>
    <w:rsid w:val="F7E81E89"/>
    <w:rsid w:val="F7F7BEFB"/>
    <w:rsid w:val="F7FB80EA"/>
    <w:rsid w:val="F9BB5715"/>
    <w:rsid w:val="F9D36DD0"/>
    <w:rsid w:val="FABFE5E3"/>
    <w:rsid w:val="FB5BB481"/>
    <w:rsid w:val="FB985EC2"/>
    <w:rsid w:val="FBF76AB1"/>
    <w:rsid w:val="FCD95F3F"/>
    <w:rsid w:val="FCE709AE"/>
    <w:rsid w:val="FDDFFC7E"/>
    <w:rsid w:val="FDFA224E"/>
    <w:rsid w:val="FEBFFF92"/>
    <w:rsid w:val="FECF68BA"/>
    <w:rsid w:val="FF7E71AE"/>
    <w:rsid w:val="FFFBD8C7"/>
    <w:rsid w:val="FFFF9BA1"/>
    <w:rsid w:val="FFFFDD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qFormat="1"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34"/>
    <w:qFormat/>
    <w:uiPriority w:val="9"/>
    <w:pPr>
      <w:keepNext/>
      <w:keepLines/>
      <w:adjustRightInd w:val="0"/>
      <w:spacing w:before="260" w:after="260" w:line="360" w:lineRule="auto"/>
      <w:ind w:firstLine="0" w:firstLineChars="0"/>
      <w:jc w:val="left"/>
      <w:outlineLvl w:val="2"/>
    </w:pPr>
    <w:rPr>
      <w:rFonts w:eastAsia="黑体"/>
      <w:bCs/>
      <w:sz w:val="32"/>
      <w:szCs w:val="32"/>
    </w:rPr>
  </w:style>
  <w:style w:type="paragraph" w:styleId="6">
    <w:name w:val="heading 4"/>
    <w:basedOn w:val="1"/>
    <w:next w:val="1"/>
    <w:qFormat/>
    <w:uiPriority w:val="0"/>
    <w:pPr>
      <w:keepNext/>
      <w:spacing w:before="240" w:after="60"/>
      <w:outlineLvl w:val="3"/>
    </w:pPr>
    <w:rPr>
      <w:b/>
      <w:bCs/>
      <w:sz w:val="28"/>
      <w:szCs w:val="28"/>
    </w:rPr>
  </w:style>
  <w:style w:type="paragraph" w:styleId="7">
    <w:name w:val="heading 5"/>
    <w:basedOn w:val="1"/>
    <w:next w:val="1"/>
    <w:unhideWhenUsed/>
    <w:qFormat/>
    <w:uiPriority w:val="0"/>
    <w:pPr>
      <w:keepNext/>
      <w:keepLines/>
      <w:tabs>
        <w:tab w:val="left" w:pos="780"/>
      </w:tabs>
      <w:spacing w:before="280" w:after="290" w:line="374" w:lineRule="auto"/>
      <w:outlineLvl w:val="4"/>
    </w:pPr>
    <w:rPr>
      <w:rFonts w:ascii="Calibri" w:hAnsi="Calibri" w:eastAsia="宋体" w:cs="Times New Roman"/>
      <w:b/>
      <w:bCs/>
      <w:sz w:val="28"/>
      <w:szCs w:val="28"/>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rPr>
      <w:b/>
      <w:szCs w:val="24"/>
    </w:rPr>
  </w:style>
  <w:style w:type="paragraph" w:styleId="8">
    <w:name w:val="List Number 2"/>
    <w:basedOn w:val="1"/>
    <w:qFormat/>
    <w:uiPriority w:val="0"/>
    <w:pPr>
      <w:numPr>
        <w:ilvl w:val="0"/>
        <w:numId w:val="1"/>
      </w:numPr>
    </w:pPr>
  </w:style>
  <w:style w:type="paragraph" w:styleId="9">
    <w:name w:val="Normal Indent"/>
    <w:basedOn w:val="1"/>
    <w:qFormat/>
    <w:uiPriority w:val="0"/>
    <w:pPr>
      <w:ind w:firstLine="420" w:firstLineChars="200"/>
    </w:pPr>
  </w:style>
  <w:style w:type="paragraph" w:styleId="10">
    <w:name w:val="annotation text"/>
    <w:basedOn w:val="1"/>
    <w:unhideWhenUsed/>
    <w:qFormat/>
    <w:uiPriority w:val="99"/>
    <w:pPr>
      <w:jc w:val="left"/>
    </w:pPr>
  </w:style>
  <w:style w:type="paragraph" w:styleId="11">
    <w:name w:val="toc 3"/>
    <w:basedOn w:val="1"/>
    <w:next w:val="1"/>
    <w:qFormat/>
    <w:uiPriority w:val="0"/>
    <w:pPr>
      <w:ind w:left="840" w:leftChars="400"/>
    </w:pPr>
  </w:style>
  <w:style w:type="paragraph" w:styleId="12">
    <w:name w:val="Plain Text"/>
    <w:basedOn w:val="1"/>
    <w:next w:val="13"/>
    <w:unhideWhenUsed/>
    <w:qFormat/>
    <w:uiPriority w:val="99"/>
    <w:rPr>
      <w:rFonts w:ascii="宋体" w:hAnsi="Courier New" w:eastAsia="宋体" w:cs="Courier New"/>
      <w:szCs w:val="21"/>
    </w:rPr>
  </w:style>
  <w:style w:type="paragraph" w:styleId="13">
    <w:name w:val="List Number 5"/>
    <w:basedOn w:val="1"/>
    <w:qFormat/>
    <w:uiPriority w:val="0"/>
    <w:pPr>
      <w:numPr>
        <w:ilvl w:val="0"/>
        <w:numId w:val="2"/>
      </w:numPr>
    </w:pPr>
  </w:style>
  <w:style w:type="paragraph" w:styleId="14">
    <w:name w:val="Balloon Text"/>
    <w:basedOn w:val="1"/>
    <w:qFormat/>
    <w:uiPriority w:val="99"/>
    <w:rPr>
      <w:sz w:val="18"/>
      <w:szCs w:val="18"/>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unhideWhenUsed/>
    <w:qFormat/>
    <w:uiPriority w:val="39"/>
  </w:style>
  <w:style w:type="paragraph" w:styleId="18">
    <w:name w:val="footnote text"/>
    <w:qFormat/>
    <w:uiPriority w:val="0"/>
    <w:pPr>
      <w:widowControl w:val="0"/>
      <w:snapToGrid w:val="0"/>
      <w:spacing w:after="0" w:line="240" w:lineRule="auto"/>
      <w:jc w:val="left"/>
    </w:pPr>
    <w:rPr>
      <w:rFonts w:ascii="Calibri" w:hAnsi="Calibri" w:eastAsia="宋体" w:cs="Times New Roman"/>
      <w:kern w:val="2"/>
      <w:sz w:val="18"/>
      <w:szCs w:val="22"/>
      <w:lang w:val="en-US" w:eastAsia="zh-CN" w:bidi="ar-SA"/>
    </w:rPr>
  </w:style>
  <w:style w:type="paragraph" w:styleId="19">
    <w:name w:val="toc 2"/>
    <w:basedOn w:val="1"/>
    <w:next w:val="1"/>
    <w:unhideWhenUsed/>
    <w:qFormat/>
    <w:uiPriority w:val="39"/>
    <w:pPr>
      <w:ind w:left="420" w:leftChars="200"/>
    </w:pPr>
  </w:style>
  <w:style w:type="paragraph" w:styleId="20">
    <w:name w:val="List 4"/>
    <w:basedOn w:val="1"/>
    <w:qFormat/>
    <w:uiPriority w:val="0"/>
    <w:pPr>
      <w:ind w:left="1680" w:hanging="420"/>
    </w:pPr>
    <w:rPr>
      <w:szCs w:val="24"/>
    </w:rPr>
  </w:style>
  <w:style w:type="paragraph" w:styleId="2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2">
    <w:name w:val="Body Text First Indent"/>
    <w:basedOn w:val="1"/>
    <w:qFormat/>
    <w:uiPriority w:val="0"/>
    <w:pPr>
      <w:spacing w:line="360" w:lineRule="auto"/>
      <w:ind w:firstLine="904" w:firstLineChars="200"/>
    </w:pPr>
    <w:rPr>
      <w:rFonts w:ascii="仿宋" w:hAnsi="仿宋"/>
      <w:sz w:val="28"/>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99"/>
  </w:style>
  <w:style w:type="character" w:styleId="28">
    <w:name w:val="Emphasis"/>
    <w:basedOn w:val="25"/>
    <w:qFormat/>
    <w:uiPriority w:val="0"/>
    <w:rPr>
      <w:rFonts w:ascii="Tahoma" w:hAnsi="Tahoma"/>
      <w:sz w:val="24"/>
      <w:szCs w:val="20"/>
    </w:rPr>
  </w:style>
  <w:style w:type="character" w:styleId="29">
    <w:name w:val="Hyperlink"/>
    <w:unhideWhenUsed/>
    <w:qFormat/>
    <w:uiPriority w:val="99"/>
    <w:rPr>
      <w:color w:val="0000FF"/>
      <w:u w:val="single"/>
    </w:rPr>
  </w:style>
  <w:style w:type="character" w:styleId="30">
    <w:name w:val="footnote reference"/>
    <w:qFormat/>
    <w:uiPriority w:val="0"/>
    <w:rPr>
      <w:vertAlign w:val="superscript"/>
    </w:rPr>
  </w:style>
  <w:style w:type="paragraph" w:customStyle="1" w:styleId="31">
    <w:name w:val="样式1"/>
    <w:basedOn w:val="1"/>
    <w:qFormat/>
    <w:uiPriority w:val="0"/>
    <w:pPr>
      <w:jc w:val="center"/>
    </w:pPr>
    <w:rPr>
      <w:rFonts w:eastAsia="方正大标宋简体"/>
      <w:sz w:val="52"/>
    </w:rPr>
  </w:style>
  <w:style w:type="paragraph" w:customStyle="1" w:styleId="32">
    <w:name w:val="标题 5（有编号）（绿盟科技）"/>
    <w:basedOn w:val="1"/>
    <w:next w:val="33"/>
    <w:qFormat/>
    <w:uiPriority w:val="0"/>
    <w:pPr>
      <w:keepNext/>
      <w:keepLines/>
      <w:numPr>
        <w:ilvl w:val="4"/>
        <w:numId w:val="3"/>
      </w:numPr>
      <w:spacing w:before="280" w:after="156" w:line="377" w:lineRule="auto"/>
      <w:jc w:val="left"/>
      <w:outlineLvl w:val="4"/>
    </w:pPr>
    <w:rPr>
      <w:rFonts w:ascii="Arial" w:hAnsi="Arial" w:eastAsia="黑体" w:cs="黑体"/>
      <w:b/>
      <w:kern w:val="0"/>
      <w:sz w:val="24"/>
      <w:szCs w:val="28"/>
    </w:rPr>
  </w:style>
  <w:style w:type="paragraph" w:customStyle="1" w:styleId="33">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34">
    <w:name w:val="标题 3 Char"/>
    <w:link w:val="5"/>
    <w:qFormat/>
    <w:uiPriority w:val="0"/>
    <w:rPr>
      <w:rFonts w:eastAsia="黑体"/>
      <w:bCs/>
      <w:sz w:val="32"/>
      <w:szCs w:val="32"/>
    </w:rPr>
  </w:style>
  <w:style w:type="paragraph" w:customStyle="1" w:styleId="35">
    <w:name w:val="null3"/>
    <w:qFormat/>
    <w:uiPriority w:val="0"/>
    <w:rPr>
      <w:rFonts w:hint="eastAsia" w:ascii="Calibri" w:hAnsi="Calibri" w:eastAsia="宋体" w:cs="Times New Roman"/>
      <w:lang w:val="en-US" w:eastAsia="zh-CN" w:bidi="ar-SA"/>
    </w:rPr>
  </w:style>
  <w:style w:type="paragraph" w:customStyle="1" w:styleId="36">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37">
    <w:name w:val="MsoNormal"/>
    <w:basedOn w:val="1"/>
    <w:qFormat/>
    <w:uiPriority w:val="0"/>
    <w:pPr>
      <w:widowControl/>
      <w:spacing w:after="0" w:line="240" w:lineRule="auto"/>
      <w:jc w:val="left"/>
    </w:pPr>
    <w:rPr>
      <w:rFonts w:eastAsia="Times New Roman"/>
      <w:kern w:val="0"/>
      <w:sz w:val="24"/>
      <w:lang w:eastAsia="en-US"/>
    </w:rPr>
  </w:style>
  <w:style w:type="paragraph" w:customStyle="1" w:styleId="38">
    <w:name w:val="Normal_0"/>
    <w:qFormat/>
    <w:uiPriority w:val="0"/>
    <w:pPr>
      <w:spacing w:after="160" w:line="259" w:lineRule="auto"/>
    </w:pPr>
    <w:rPr>
      <w:rFonts w:ascii="Times New Roman" w:hAnsi="Times New Roman" w:eastAsia="Times New Roman" w:cs="Times New Roman"/>
      <w:sz w:val="24"/>
      <w:szCs w:val="24"/>
      <w:lang w:val="en-US" w:eastAsia="en-US" w:bidi="ar-SA"/>
    </w:rPr>
  </w:style>
  <w:style w:type="paragraph" w:customStyle="1" w:styleId="39">
    <w:name w:val="Normal Indent1_0"/>
    <w:unhideWhenUsed/>
    <w:qFormat/>
    <w:uiPriority w:val="0"/>
    <w:pPr>
      <w:spacing w:beforeLines="0" w:afterLines="50" w:line="360" w:lineRule="auto"/>
      <w:ind w:firstLine="420" w:firstLineChars="200"/>
    </w:pPr>
    <w:rPr>
      <w:rFonts w:hint="default" w:ascii="Times New Roman" w:hAnsi="Times New Roman" w:eastAsia="宋体" w:cs="Times New Roman"/>
      <w:sz w:val="24"/>
      <w:szCs w:val="24"/>
      <w:lang w:val="en-US" w:eastAsia="zh-CN" w:bidi="ar-SA"/>
    </w:rPr>
  </w:style>
  <w:style w:type="table" w:customStyle="1" w:styleId="40">
    <w:name w:val="MsoNormalTable"/>
    <w:basedOn w:val="23"/>
    <w:qFormat/>
    <w:uiPriority w:val="0"/>
    <w:rPr>
      <w:rFonts w:eastAsia="Times New Roman"/>
      <w:lang w:val="en-US" w:eastAsia="en-US"/>
    </w:rPr>
  </w:style>
  <w:style w:type="character" w:customStyle="1" w:styleId="41">
    <w:name w:val="15_0"/>
    <w:basedOn w:val="25"/>
    <w:qFormat/>
    <w:uiPriority w:val="0"/>
  </w:style>
  <w:style w:type="paragraph" w:customStyle="1" w:styleId="42">
    <w:name w:val="Table Text"/>
    <w:basedOn w:val="1"/>
    <w:semiHidden/>
    <w:qFormat/>
    <w:uiPriority w:val="0"/>
    <w:rPr>
      <w:rFonts w:ascii="宋体" w:hAnsi="宋体" w:eastAsia="宋体" w:cs="宋体"/>
      <w:sz w:val="24"/>
      <w:szCs w:val="24"/>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 w:type="paragraph" w:customStyle="1" w:styleId="44">
    <w:name w:val="列出段落1"/>
    <w:basedOn w:val="1"/>
    <w:qFormat/>
    <w:uiPriority w:val="0"/>
    <w:pPr>
      <w:ind w:firstLine="420" w:firstLineChars="200"/>
    </w:pPr>
    <w:rPr>
      <w:rFonts w:ascii="Calibri" w:hAnsi="Calibri"/>
    </w:rPr>
  </w:style>
  <w:style w:type="paragraph" w:customStyle="1" w:styleId="45">
    <w:name w:val="Heading 3_0"/>
    <w:basedOn w:val="1"/>
    <w:next w:val="38"/>
    <w:qFormat/>
    <w:uiPriority w:val="0"/>
    <w:pPr>
      <w:keepNext/>
      <w:widowControl/>
      <w:spacing w:before="240" w:after="60" w:line="240" w:lineRule="auto"/>
      <w:jc w:val="left"/>
      <w:outlineLvl w:val="2"/>
    </w:pPr>
    <w:rPr>
      <w:rFonts w:ascii="Arial" w:hAnsi="Arial" w:eastAsia="Times New Roman" w:cs="Arial"/>
      <w:b/>
      <w:bCs/>
      <w:kern w:val="0"/>
      <w:sz w:val="26"/>
      <w:szCs w:val="26"/>
      <w:lang w:eastAsia="en-US"/>
    </w:rPr>
  </w:style>
  <w:style w:type="character" w:customStyle="1" w:styleId="46">
    <w:name w:val="font11"/>
    <w:basedOn w:val="25"/>
    <w:qFormat/>
    <w:uiPriority w:val="99"/>
    <w:rPr>
      <w:rFonts w:hint="eastAsia" w:ascii="宋体" w:hAnsi="宋体" w:eastAsia="宋体" w:cs="宋体"/>
      <w:color w:val="000000"/>
      <w:sz w:val="20"/>
      <w:szCs w:val="20"/>
      <w:u w:val="none"/>
    </w:rPr>
  </w:style>
  <w:style w:type="paragraph" w:customStyle="1" w:styleId="47">
    <w:name w:val="17"/>
    <w:basedOn w:val="1"/>
    <w:qFormat/>
    <w:uiPriority w:val="0"/>
  </w:style>
  <w:style w:type="paragraph" w:customStyle="1" w:styleId="48">
    <w:name w:val="_正文"/>
    <w:basedOn w:val="1"/>
    <w:qFormat/>
    <w:uiPriority w:val="0"/>
    <w:pPr>
      <w:snapToGrid w:val="0"/>
      <w:spacing w:line="360" w:lineRule="auto"/>
      <w:ind w:firstLine="200" w:firstLineChars="200"/>
    </w:pPr>
    <w:rPr>
      <w:rFonts w:ascii="Times New Roman" w:hAnsi="Times New Roman"/>
      <w:sz w:val="24"/>
      <w:szCs w:val="24"/>
    </w:rPr>
  </w:style>
  <w:style w:type="paragraph" w:customStyle="1" w:styleId="49">
    <w:name w:val="19"/>
    <w:basedOn w:val="1"/>
    <w:qFormat/>
    <w:uiPriority w:val="0"/>
  </w:style>
  <w:style w:type="paragraph" w:customStyle="1" w:styleId="50">
    <w:name w:val="MsoBodyText"/>
    <w:basedOn w:val="1"/>
    <w:qFormat/>
    <w:uiPriority w:val="0"/>
  </w:style>
  <w:style w:type="character" w:customStyle="1" w:styleId="51">
    <w:name w:val="15"/>
    <w:basedOn w:val="25"/>
    <w:qFormat/>
    <w:uiPriority w:val="0"/>
  </w:style>
  <w:style w:type="character" w:customStyle="1" w:styleId="52">
    <w:name w:val="16"/>
    <w:basedOn w:val="25"/>
    <w:qFormat/>
    <w:uiPriority w:val="0"/>
  </w:style>
  <w:style w:type="paragraph" w:customStyle="1" w:styleId="53">
    <w:name w:val="MsoNormalIndent"/>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85</Pages>
  <Words>2534</Words>
  <Characters>3108</Characters>
  <Lines>0</Lines>
  <Paragraphs>0</Paragraphs>
  <TotalTime>1</TotalTime>
  <ScaleCrop>false</ScaleCrop>
  <LinksUpToDate>false</LinksUpToDate>
  <CharactersWithSpaces>3231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2024-04-26T18:04:00Z</dcterms:created>
  <dc:creator>宁冰</dc:creator>
  <cp:lastModifiedBy>修订</cp:lastModifiedBy>
  <dcterms:modified xsi:type="dcterms:W3CDTF">2026-11-02T00:32:30Z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775F330441884F639C2C62DB85153BA8_13</vt:lpwstr>
  </property>
  <property fmtid="{D5CDD505-2E9C-101B-9397-08002B2CF9AE}" pid="4" name="KSOTemplateDocerSaveRecord">
    <vt:lpwstr>eyJoZGlkIjoiNDI1NGQ4MDY4NjMxYWVlMzc3ODM2NDE0MmU1ODUxYzYiLCJ1c2VySWQiOiIyMzc2NjUxMyJ9</vt:lpwstr>
  </property>
</Properties>
</file>