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color w:val="auto"/>
          <w:sz w:val="24"/>
          <w:highlight w:val="none"/>
        </w:rPr>
      </w:pPr>
      <w:bookmarkStart w:id="1002" w:name="_GoBack"/>
    </w:p>
    <w:p>
      <w:pPr>
        <w:jc w:val="center"/>
        <w:rPr>
          <w:b/>
          <w:bCs/>
          <w:color w:val="auto"/>
          <w:highlight w:val="none"/>
        </w:rPr>
      </w:pPr>
    </w:p>
    <w:p>
      <w:pPr>
        <w:jc w:val="center"/>
        <w:rPr>
          <w:b/>
          <w:bCs/>
          <w:color w:val="auto"/>
          <w:sz w:val="32"/>
          <w:highlight w:val="none"/>
        </w:rPr>
      </w:pPr>
    </w:p>
    <w:p>
      <w:pPr>
        <w:rPr>
          <w:b/>
          <w:bCs/>
          <w:color w:val="auto"/>
          <w:spacing w:val="26"/>
          <w:sz w:val="72"/>
          <w:szCs w:val="72"/>
          <w:highlight w:val="none"/>
        </w:rPr>
      </w:pPr>
    </w:p>
    <w:p>
      <w:pPr>
        <w:jc w:val="center"/>
        <w:rPr>
          <w:b/>
          <w:bCs/>
          <w:color w:val="auto"/>
          <w:spacing w:val="26"/>
          <w:sz w:val="84"/>
          <w:szCs w:val="84"/>
          <w:highlight w:val="none"/>
        </w:rPr>
      </w:pPr>
      <w:r>
        <w:rPr>
          <w:b/>
          <w:bCs/>
          <w:color w:val="auto"/>
          <w:spacing w:val="26"/>
          <w:sz w:val="84"/>
          <w:szCs w:val="84"/>
          <w:highlight w:val="none"/>
        </w:rPr>
        <w:t xml:space="preserve"> </w:t>
      </w:r>
      <w:r>
        <w:rPr>
          <w:b/>
          <w:color w:val="auto"/>
          <w:sz w:val="84"/>
          <w:szCs w:val="84"/>
          <w:highlight w:val="none"/>
        </w:rPr>
        <w:t>评 比 文 件</w:t>
      </w:r>
    </w:p>
    <w:p>
      <w:pPr>
        <w:jc w:val="center"/>
        <w:rPr>
          <w:b/>
          <w:bCs/>
          <w:color w:val="auto"/>
          <w:sz w:val="32"/>
          <w:highlight w:val="none"/>
        </w:rPr>
      </w:pPr>
    </w:p>
    <w:p>
      <w:pPr>
        <w:jc w:val="center"/>
        <w:rPr>
          <w:b/>
          <w:bCs/>
          <w:color w:val="auto"/>
          <w:sz w:val="72"/>
          <w:highlight w:val="none"/>
        </w:rPr>
      </w:pPr>
    </w:p>
    <w:p>
      <w:pPr>
        <w:jc w:val="center"/>
        <w:rPr>
          <w:b/>
          <w:bCs/>
          <w:color w:val="auto"/>
          <w:sz w:val="72"/>
          <w:highlight w:val="none"/>
        </w:rPr>
      </w:pPr>
    </w:p>
    <w:p>
      <w:pPr>
        <w:jc w:val="center"/>
        <w:rPr>
          <w:b/>
          <w:bCs/>
          <w:color w:val="auto"/>
          <w:sz w:val="72"/>
          <w:highlight w:val="none"/>
        </w:rPr>
      </w:pPr>
    </w:p>
    <w:p>
      <w:pPr>
        <w:adjustRightInd w:val="0"/>
        <w:snapToGrid w:val="0"/>
        <w:spacing w:line="360" w:lineRule="auto"/>
        <w:ind w:firstLine="2400" w:firstLineChars="800"/>
        <w:rPr>
          <w:color w:val="auto"/>
          <w:sz w:val="30"/>
          <w:szCs w:val="30"/>
          <w:highlight w:val="none"/>
        </w:rPr>
      </w:pPr>
      <w:r>
        <w:rPr>
          <w:color w:val="auto"/>
          <w:sz w:val="30"/>
          <w:szCs w:val="30"/>
          <w:highlight w:val="none"/>
        </w:rPr>
        <w:t>项目编号：SDZB-22-</w:t>
      </w:r>
      <w:r>
        <w:rPr>
          <w:rFonts w:hint="eastAsia"/>
          <w:color w:val="auto"/>
          <w:sz w:val="30"/>
          <w:szCs w:val="30"/>
          <w:highlight w:val="none"/>
          <w:lang w:val="en-US" w:eastAsia="zh-CN"/>
        </w:rPr>
        <w:t>265</w:t>
      </w:r>
      <w:r>
        <w:rPr>
          <w:color w:val="auto"/>
          <w:sz w:val="30"/>
          <w:szCs w:val="30"/>
          <w:highlight w:val="none"/>
        </w:rPr>
        <w:t>W</w:t>
      </w:r>
    </w:p>
    <w:p>
      <w:pPr>
        <w:adjustRightInd w:val="0"/>
        <w:snapToGrid w:val="0"/>
        <w:spacing w:line="360" w:lineRule="auto"/>
        <w:ind w:left="3886" w:leftChars="1136" w:hanging="1500" w:hangingChars="500"/>
        <w:rPr>
          <w:color w:val="auto"/>
          <w:spacing w:val="-20"/>
          <w:sz w:val="30"/>
          <w:szCs w:val="30"/>
          <w:highlight w:val="none"/>
        </w:rPr>
      </w:pPr>
      <w:r>
        <w:rPr>
          <w:color w:val="auto"/>
          <w:sz w:val="30"/>
          <w:szCs w:val="30"/>
          <w:highlight w:val="none"/>
        </w:rPr>
        <w:t>项目名称：</w:t>
      </w:r>
      <w:r>
        <w:rPr>
          <w:rFonts w:hint="eastAsia"/>
          <w:color w:val="auto"/>
          <w:sz w:val="30"/>
          <w:szCs w:val="30"/>
          <w:highlight w:val="none"/>
        </w:rPr>
        <w:t>北京理工大学重庆微电子研究院净化间实验室装修改造及实验环境改造项目</w:t>
      </w:r>
    </w:p>
    <w:p>
      <w:pPr>
        <w:adjustRightInd w:val="0"/>
        <w:snapToGrid w:val="0"/>
        <w:spacing w:line="360" w:lineRule="auto"/>
        <w:ind w:firstLine="790" w:firstLineChars="246"/>
        <w:rPr>
          <w:b/>
          <w:bCs/>
          <w:color w:val="auto"/>
          <w:sz w:val="32"/>
          <w:highlight w:val="none"/>
        </w:rPr>
      </w:pPr>
    </w:p>
    <w:p>
      <w:pPr>
        <w:jc w:val="center"/>
        <w:rPr>
          <w:b/>
          <w:bCs/>
          <w:color w:val="auto"/>
          <w:sz w:val="30"/>
          <w:highlight w:val="none"/>
        </w:rPr>
      </w:pPr>
    </w:p>
    <w:p>
      <w:pPr>
        <w:rPr>
          <w:b/>
          <w:bCs/>
          <w:color w:val="auto"/>
          <w:sz w:val="30"/>
          <w:highlight w:val="none"/>
        </w:rPr>
      </w:pPr>
    </w:p>
    <w:p>
      <w:pPr>
        <w:rPr>
          <w:b/>
          <w:bCs/>
          <w:color w:val="auto"/>
          <w:sz w:val="30"/>
          <w:highlight w:val="none"/>
        </w:rPr>
      </w:pPr>
    </w:p>
    <w:p>
      <w:pPr>
        <w:adjustRightInd w:val="0"/>
        <w:snapToGrid w:val="0"/>
        <w:spacing w:line="360" w:lineRule="auto"/>
        <w:ind w:left="899" w:leftChars="428"/>
        <w:rPr>
          <w:b/>
          <w:bCs/>
          <w:color w:val="auto"/>
          <w:sz w:val="32"/>
          <w:highlight w:val="none"/>
        </w:rPr>
      </w:pPr>
    </w:p>
    <w:p>
      <w:pPr>
        <w:adjustRightInd w:val="0"/>
        <w:snapToGrid w:val="0"/>
        <w:spacing w:line="360" w:lineRule="auto"/>
        <w:ind w:left="899" w:leftChars="428"/>
        <w:rPr>
          <w:b/>
          <w:bCs/>
          <w:color w:val="auto"/>
          <w:sz w:val="32"/>
          <w:highlight w:val="none"/>
        </w:rPr>
      </w:pPr>
    </w:p>
    <w:p>
      <w:pPr>
        <w:spacing w:line="480" w:lineRule="exact"/>
        <w:jc w:val="center"/>
        <w:outlineLvl w:val="0"/>
        <w:rPr>
          <w:color w:val="auto"/>
          <w:sz w:val="30"/>
          <w:szCs w:val="30"/>
          <w:highlight w:val="none"/>
        </w:rPr>
      </w:pPr>
      <w:r>
        <w:rPr>
          <w:color w:val="auto"/>
          <w:sz w:val="30"/>
          <w:szCs w:val="30"/>
          <w:highlight w:val="none"/>
        </w:rPr>
        <w:t xml:space="preserve">  采购人：</w:t>
      </w:r>
      <w:r>
        <w:rPr>
          <w:bCs/>
          <w:color w:val="auto"/>
          <w:sz w:val="30"/>
          <w:szCs w:val="30"/>
          <w:highlight w:val="none"/>
        </w:rPr>
        <w:t>北京理工大学重庆微电子研究院</w:t>
      </w:r>
      <w:r>
        <w:rPr>
          <w:color w:val="auto"/>
          <w:sz w:val="30"/>
          <w:szCs w:val="30"/>
          <w:highlight w:val="none"/>
        </w:rPr>
        <w:tab/>
      </w:r>
    </w:p>
    <w:p>
      <w:pPr>
        <w:spacing w:line="480" w:lineRule="exact"/>
        <w:jc w:val="center"/>
        <w:outlineLvl w:val="0"/>
        <w:rPr>
          <w:color w:val="auto"/>
          <w:sz w:val="30"/>
          <w:szCs w:val="30"/>
          <w:highlight w:val="none"/>
        </w:rPr>
      </w:pPr>
      <w:r>
        <w:rPr>
          <w:color w:val="auto"/>
          <w:sz w:val="30"/>
          <w:szCs w:val="30"/>
          <w:highlight w:val="none"/>
        </w:rPr>
        <w:t xml:space="preserve">   采购代理机构：重庆赛迪工程咨询有限公司</w:t>
      </w:r>
    </w:p>
    <w:p>
      <w:pPr>
        <w:snapToGrid w:val="0"/>
        <w:spacing w:line="480" w:lineRule="exact"/>
        <w:jc w:val="center"/>
        <w:rPr>
          <w:color w:val="auto"/>
          <w:sz w:val="30"/>
          <w:szCs w:val="30"/>
          <w:highlight w:val="none"/>
        </w:rPr>
      </w:pPr>
    </w:p>
    <w:p>
      <w:pPr>
        <w:snapToGrid w:val="0"/>
        <w:spacing w:line="480" w:lineRule="exact"/>
        <w:jc w:val="center"/>
        <w:rPr>
          <w:color w:val="auto"/>
          <w:sz w:val="30"/>
          <w:szCs w:val="30"/>
          <w:highlight w:val="none"/>
        </w:rPr>
      </w:pPr>
      <w:r>
        <w:rPr>
          <w:color w:val="auto"/>
          <w:sz w:val="30"/>
          <w:szCs w:val="30"/>
          <w:highlight w:val="none"/>
        </w:rPr>
        <w:t>二</w:t>
      </w:r>
      <w:r>
        <w:rPr>
          <w:rFonts w:hint="eastAsia"/>
          <w:color w:val="auto"/>
          <w:sz w:val="30"/>
          <w:szCs w:val="30"/>
          <w:highlight w:val="none"/>
        </w:rPr>
        <w:t>〇</w:t>
      </w:r>
      <w:r>
        <w:rPr>
          <w:color w:val="auto"/>
          <w:sz w:val="30"/>
          <w:szCs w:val="30"/>
          <w:highlight w:val="none"/>
        </w:rPr>
        <w:t>二二年七月</w:t>
      </w:r>
    </w:p>
    <w:p>
      <w:pPr>
        <w:snapToGrid w:val="0"/>
        <w:spacing w:line="480" w:lineRule="exact"/>
        <w:rPr>
          <w:color w:val="auto"/>
          <w:sz w:val="30"/>
          <w:szCs w:val="30"/>
          <w:highlight w:val="none"/>
        </w:rPr>
        <w:sectPr>
          <w:headerReference r:id="rId4" w:type="first"/>
          <w:headerReference r:id="rId3" w:type="default"/>
          <w:footerReference r:id="rId5" w:type="default"/>
          <w:footerReference r:id="rId6" w:type="even"/>
          <w:pgSz w:w="11907" w:h="16840"/>
          <w:pgMar w:top="1134" w:right="1191" w:bottom="1134" w:left="1304" w:header="964" w:footer="992" w:gutter="0"/>
          <w:pgNumType w:start="1"/>
          <w:cols w:space="720" w:num="1"/>
          <w:titlePg/>
          <w:docGrid w:linePitch="312" w:charSpace="0"/>
        </w:sectPr>
      </w:pPr>
    </w:p>
    <w:p>
      <w:pPr>
        <w:jc w:val="center"/>
        <w:rPr>
          <w:b/>
          <w:color w:val="auto"/>
          <w:sz w:val="44"/>
          <w:szCs w:val="36"/>
          <w:highlight w:val="none"/>
        </w:rPr>
      </w:pPr>
      <w:bookmarkStart w:id="0" w:name="_Toc68963457"/>
      <w:r>
        <w:rPr>
          <w:b/>
          <w:color w:val="auto"/>
          <w:sz w:val="44"/>
          <w:szCs w:val="36"/>
          <w:highlight w:val="none"/>
        </w:rPr>
        <w:t>目 录</w:t>
      </w:r>
      <w:bookmarkEnd w:id="0"/>
    </w:p>
    <w:p>
      <w:pPr>
        <w:jc w:val="center"/>
        <w:rPr>
          <w:b/>
          <w:color w:val="auto"/>
          <w:sz w:val="44"/>
          <w:szCs w:val="36"/>
          <w:highlight w:val="none"/>
        </w:rPr>
      </w:pPr>
    </w:p>
    <w:p>
      <w:pPr>
        <w:pStyle w:val="28"/>
        <w:spacing w:line="360" w:lineRule="auto"/>
        <w:jc w:val="center"/>
        <w:rPr>
          <w:color w:val="auto"/>
          <w:sz w:val="24"/>
          <w:highlight w:val="none"/>
        </w:rPr>
      </w:pPr>
      <w:r>
        <w:rPr>
          <w:color w:val="auto"/>
          <w:sz w:val="24"/>
          <w:highlight w:val="none"/>
        </w:rPr>
        <w:fldChar w:fldCharType="begin"/>
      </w:r>
      <w:r>
        <w:rPr>
          <w:color w:val="auto"/>
          <w:sz w:val="24"/>
          <w:highlight w:val="none"/>
        </w:rPr>
        <w:instrText xml:space="preserve"> TOC \o "1-3" \h \z \u </w:instrText>
      </w:r>
      <w:r>
        <w:rPr>
          <w:color w:val="auto"/>
          <w:sz w:val="24"/>
          <w:highlight w:val="none"/>
        </w:rPr>
        <w:fldChar w:fldCharType="separate"/>
      </w:r>
      <w:r>
        <w:rPr>
          <w:color w:val="auto"/>
          <w:highlight w:val="none"/>
        </w:rPr>
        <w:fldChar w:fldCharType="begin"/>
      </w:r>
      <w:r>
        <w:rPr>
          <w:color w:val="auto"/>
          <w:highlight w:val="none"/>
        </w:rPr>
        <w:instrText xml:space="preserve"> HYPERLINK \l "_Toc10213425" </w:instrText>
      </w:r>
      <w:r>
        <w:rPr>
          <w:color w:val="auto"/>
          <w:highlight w:val="none"/>
        </w:rPr>
        <w:fldChar w:fldCharType="separate"/>
      </w:r>
      <w:r>
        <w:rPr>
          <w:rStyle w:val="47"/>
          <w:color w:val="auto"/>
          <w:sz w:val="24"/>
          <w:highlight w:val="none"/>
        </w:rPr>
        <w:t>第一章 评比公告</w:t>
      </w:r>
      <w:r>
        <w:rPr>
          <w:color w:val="auto"/>
          <w:sz w:val="24"/>
          <w:highlight w:val="none"/>
        </w:rPr>
        <w:tab/>
      </w:r>
      <w:r>
        <w:rPr>
          <w:color w:val="auto"/>
          <w:sz w:val="24"/>
          <w:highlight w:val="none"/>
        </w:rPr>
        <w:fldChar w:fldCharType="begin"/>
      </w:r>
      <w:r>
        <w:rPr>
          <w:color w:val="auto"/>
          <w:sz w:val="24"/>
          <w:highlight w:val="none"/>
        </w:rPr>
        <w:instrText xml:space="preserve"> PAGEREF _Toc10213425 \h </w:instrText>
      </w:r>
      <w:r>
        <w:rPr>
          <w:color w:val="auto"/>
          <w:sz w:val="24"/>
          <w:highlight w:val="none"/>
        </w:rPr>
        <w:fldChar w:fldCharType="separate"/>
      </w:r>
      <w:r>
        <w:rPr>
          <w:color w:val="auto"/>
          <w:sz w:val="24"/>
          <w:highlight w:val="none"/>
        </w:rPr>
        <w:t>2</w:t>
      </w:r>
      <w:r>
        <w:rPr>
          <w:color w:val="auto"/>
          <w:sz w:val="24"/>
          <w:highlight w:val="none"/>
        </w:rPr>
        <w:fldChar w:fldCharType="end"/>
      </w:r>
      <w:r>
        <w:rPr>
          <w:color w:val="auto"/>
          <w:sz w:val="24"/>
          <w:highlight w:val="none"/>
        </w:rPr>
        <w:fldChar w:fldCharType="end"/>
      </w:r>
    </w:p>
    <w:p>
      <w:pPr>
        <w:pStyle w:val="28"/>
        <w:spacing w:line="360" w:lineRule="auto"/>
        <w:jc w:val="center"/>
        <w:rPr>
          <w:color w:val="auto"/>
          <w:sz w:val="24"/>
          <w:highlight w:val="none"/>
        </w:rPr>
      </w:pPr>
      <w:r>
        <w:rPr>
          <w:color w:val="auto"/>
          <w:highlight w:val="none"/>
        </w:rPr>
        <w:fldChar w:fldCharType="begin"/>
      </w:r>
      <w:r>
        <w:rPr>
          <w:color w:val="auto"/>
          <w:highlight w:val="none"/>
        </w:rPr>
        <w:instrText xml:space="preserve"> HYPERLINK \l "_Toc10213426" </w:instrText>
      </w:r>
      <w:r>
        <w:rPr>
          <w:color w:val="auto"/>
          <w:highlight w:val="none"/>
        </w:rPr>
        <w:fldChar w:fldCharType="separate"/>
      </w:r>
      <w:r>
        <w:rPr>
          <w:rStyle w:val="47"/>
          <w:color w:val="auto"/>
          <w:sz w:val="24"/>
          <w:highlight w:val="none"/>
        </w:rPr>
        <w:t>第二章 评比供应商须知</w:t>
      </w:r>
      <w:r>
        <w:rPr>
          <w:color w:val="auto"/>
          <w:sz w:val="24"/>
          <w:highlight w:val="none"/>
        </w:rPr>
        <w:tab/>
      </w:r>
      <w:r>
        <w:rPr>
          <w:color w:val="auto"/>
          <w:sz w:val="24"/>
          <w:highlight w:val="none"/>
        </w:rPr>
        <w:fldChar w:fldCharType="begin"/>
      </w:r>
      <w:r>
        <w:rPr>
          <w:color w:val="auto"/>
          <w:sz w:val="24"/>
          <w:highlight w:val="none"/>
        </w:rPr>
        <w:instrText xml:space="preserve"> PAGEREF _Toc10213426 \h </w:instrText>
      </w:r>
      <w:r>
        <w:rPr>
          <w:color w:val="auto"/>
          <w:sz w:val="24"/>
          <w:highlight w:val="none"/>
        </w:rPr>
        <w:fldChar w:fldCharType="separate"/>
      </w:r>
      <w:r>
        <w:rPr>
          <w:color w:val="auto"/>
          <w:sz w:val="24"/>
          <w:highlight w:val="none"/>
        </w:rPr>
        <w:t>5</w:t>
      </w:r>
      <w:r>
        <w:rPr>
          <w:color w:val="auto"/>
          <w:sz w:val="24"/>
          <w:highlight w:val="none"/>
        </w:rPr>
        <w:fldChar w:fldCharType="end"/>
      </w:r>
      <w:r>
        <w:rPr>
          <w:color w:val="auto"/>
          <w:sz w:val="24"/>
          <w:highlight w:val="none"/>
        </w:rPr>
        <w:fldChar w:fldCharType="end"/>
      </w:r>
    </w:p>
    <w:p>
      <w:pPr>
        <w:pStyle w:val="28"/>
        <w:spacing w:line="360" w:lineRule="auto"/>
        <w:jc w:val="center"/>
        <w:rPr>
          <w:color w:val="auto"/>
          <w:sz w:val="24"/>
          <w:highlight w:val="none"/>
        </w:rPr>
      </w:pPr>
      <w:r>
        <w:rPr>
          <w:color w:val="auto"/>
          <w:highlight w:val="none"/>
        </w:rPr>
        <w:fldChar w:fldCharType="begin"/>
      </w:r>
      <w:r>
        <w:rPr>
          <w:color w:val="auto"/>
          <w:highlight w:val="none"/>
        </w:rPr>
        <w:instrText xml:space="preserve"> HYPERLINK \l "_Toc10213433" </w:instrText>
      </w:r>
      <w:r>
        <w:rPr>
          <w:color w:val="auto"/>
          <w:highlight w:val="none"/>
        </w:rPr>
        <w:fldChar w:fldCharType="separate"/>
      </w:r>
      <w:r>
        <w:rPr>
          <w:rStyle w:val="47"/>
          <w:color w:val="auto"/>
          <w:sz w:val="24"/>
          <w:highlight w:val="none"/>
        </w:rPr>
        <w:t>第三章 合同条件、格式</w:t>
      </w:r>
      <w:r>
        <w:rPr>
          <w:color w:val="auto"/>
          <w:sz w:val="24"/>
          <w:highlight w:val="none"/>
        </w:rPr>
        <w:tab/>
      </w:r>
      <w:r>
        <w:rPr>
          <w:color w:val="auto"/>
          <w:sz w:val="24"/>
          <w:highlight w:val="none"/>
        </w:rPr>
        <w:fldChar w:fldCharType="begin"/>
      </w:r>
      <w:r>
        <w:rPr>
          <w:color w:val="auto"/>
          <w:sz w:val="24"/>
          <w:highlight w:val="none"/>
        </w:rPr>
        <w:instrText xml:space="preserve"> PAGEREF _Toc10213433 \h </w:instrText>
      </w:r>
      <w:r>
        <w:rPr>
          <w:color w:val="auto"/>
          <w:sz w:val="24"/>
          <w:highlight w:val="none"/>
        </w:rPr>
        <w:fldChar w:fldCharType="separate"/>
      </w:r>
      <w:r>
        <w:rPr>
          <w:color w:val="auto"/>
          <w:sz w:val="24"/>
          <w:highlight w:val="none"/>
        </w:rPr>
        <w:t>17</w:t>
      </w:r>
      <w:r>
        <w:rPr>
          <w:color w:val="auto"/>
          <w:sz w:val="24"/>
          <w:highlight w:val="none"/>
        </w:rPr>
        <w:fldChar w:fldCharType="end"/>
      </w:r>
      <w:r>
        <w:rPr>
          <w:color w:val="auto"/>
          <w:sz w:val="24"/>
          <w:highlight w:val="none"/>
        </w:rPr>
        <w:fldChar w:fldCharType="end"/>
      </w:r>
    </w:p>
    <w:p>
      <w:pPr>
        <w:pStyle w:val="28"/>
        <w:spacing w:line="360" w:lineRule="auto"/>
        <w:jc w:val="center"/>
        <w:rPr>
          <w:color w:val="auto"/>
          <w:sz w:val="24"/>
          <w:highlight w:val="none"/>
        </w:rPr>
      </w:pPr>
      <w:r>
        <w:rPr>
          <w:color w:val="auto"/>
          <w:highlight w:val="none"/>
        </w:rPr>
        <w:fldChar w:fldCharType="begin"/>
      </w:r>
      <w:r>
        <w:rPr>
          <w:color w:val="auto"/>
          <w:highlight w:val="none"/>
        </w:rPr>
        <w:instrText xml:space="preserve"> HYPERLINK \l "_Toc10213449" </w:instrText>
      </w:r>
      <w:r>
        <w:rPr>
          <w:color w:val="auto"/>
          <w:highlight w:val="none"/>
        </w:rPr>
        <w:fldChar w:fldCharType="separate"/>
      </w:r>
      <w:r>
        <w:rPr>
          <w:rStyle w:val="47"/>
          <w:color w:val="auto"/>
          <w:sz w:val="24"/>
          <w:highlight w:val="none"/>
        </w:rPr>
        <w:t>第四章 技术服务需求及说明</w:t>
      </w:r>
      <w:r>
        <w:rPr>
          <w:color w:val="auto"/>
          <w:sz w:val="24"/>
          <w:highlight w:val="none"/>
        </w:rPr>
        <w:tab/>
      </w:r>
      <w:r>
        <w:rPr>
          <w:color w:val="auto"/>
          <w:sz w:val="24"/>
          <w:highlight w:val="none"/>
        </w:rPr>
        <w:fldChar w:fldCharType="begin"/>
      </w:r>
      <w:r>
        <w:rPr>
          <w:color w:val="auto"/>
          <w:sz w:val="24"/>
          <w:highlight w:val="none"/>
        </w:rPr>
        <w:instrText xml:space="preserve"> PAGEREF _Toc10213449 \h </w:instrText>
      </w:r>
      <w:r>
        <w:rPr>
          <w:color w:val="auto"/>
          <w:sz w:val="24"/>
          <w:highlight w:val="none"/>
        </w:rPr>
        <w:fldChar w:fldCharType="separate"/>
      </w:r>
      <w:r>
        <w:rPr>
          <w:color w:val="auto"/>
          <w:sz w:val="24"/>
          <w:highlight w:val="none"/>
        </w:rPr>
        <w:t>76</w:t>
      </w:r>
      <w:r>
        <w:rPr>
          <w:color w:val="auto"/>
          <w:sz w:val="24"/>
          <w:highlight w:val="none"/>
        </w:rPr>
        <w:fldChar w:fldCharType="end"/>
      </w:r>
      <w:r>
        <w:rPr>
          <w:color w:val="auto"/>
          <w:sz w:val="24"/>
          <w:highlight w:val="none"/>
        </w:rPr>
        <w:fldChar w:fldCharType="end"/>
      </w:r>
    </w:p>
    <w:p>
      <w:pPr>
        <w:pStyle w:val="28"/>
        <w:spacing w:line="360" w:lineRule="auto"/>
        <w:jc w:val="center"/>
        <w:rPr>
          <w:color w:val="auto"/>
          <w:sz w:val="24"/>
          <w:highlight w:val="none"/>
        </w:rPr>
      </w:pPr>
      <w:r>
        <w:rPr>
          <w:color w:val="auto"/>
          <w:highlight w:val="none"/>
        </w:rPr>
        <w:fldChar w:fldCharType="begin"/>
      </w:r>
      <w:r>
        <w:rPr>
          <w:color w:val="auto"/>
          <w:highlight w:val="none"/>
        </w:rPr>
        <w:instrText xml:space="preserve"> HYPERLINK \l "_Toc10213450" </w:instrText>
      </w:r>
      <w:r>
        <w:rPr>
          <w:color w:val="auto"/>
          <w:highlight w:val="none"/>
        </w:rPr>
        <w:fldChar w:fldCharType="separate"/>
      </w:r>
      <w:r>
        <w:rPr>
          <w:rStyle w:val="47"/>
          <w:color w:val="auto"/>
          <w:sz w:val="24"/>
          <w:highlight w:val="none"/>
        </w:rPr>
        <w:t>第五章 评比响应文件格式</w:t>
      </w:r>
      <w:r>
        <w:rPr>
          <w:color w:val="auto"/>
          <w:sz w:val="24"/>
          <w:highlight w:val="none"/>
        </w:rPr>
        <w:tab/>
      </w:r>
      <w:r>
        <w:rPr>
          <w:color w:val="auto"/>
          <w:sz w:val="24"/>
          <w:highlight w:val="none"/>
        </w:rPr>
        <w:fldChar w:fldCharType="begin"/>
      </w:r>
      <w:r>
        <w:rPr>
          <w:color w:val="auto"/>
          <w:sz w:val="24"/>
          <w:highlight w:val="none"/>
        </w:rPr>
        <w:instrText xml:space="preserve"> PAGEREF _Toc10213450 \h </w:instrText>
      </w:r>
      <w:r>
        <w:rPr>
          <w:color w:val="auto"/>
          <w:sz w:val="24"/>
          <w:highlight w:val="none"/>
        </w:rPr>
        <w:fldChar w:fldCharType="separate"/>
      </w:r>
      <w:r>
        <w:rPr>
          <w:color w:val="auto"/>
          <w:sz w:val="24"/>
          <w:highlight w:val="none"/>
        </w:rPr>
        <w:t>88</w:t>
      </w:r>
      <w:r>
        <w:rPr>
          <w:color w:val="auto"/>
          <w:sz w:val="24"/>
          <w:highlight w:val="none"/>
        </w:rPr>
        <w:fldChar w:fldCharType="end"/>
      </w:r>
      <w:r>
        <w:rPr>
          <w:color w:val="auto"/>
          <w:sz w:val="24"/>
          <w:highlight w:val="none"/>
        </w:rPr>
        <w:fldChar w:fldCharType="end"/>
      </w:r>
    </w:p>
    <w:p>
      <w:pPr>
        <w:pStyle w:val="28"/>
        <w:spacing w:line="360" w:lineRule="auto"/>
        <w:jc w:val="center"/>
        <w:rPr>
          <w:color w:val="auto"/>
          <w:sz w:val="24"/>
          <w:highlight w:val="none"/>
        </w:rPr>
      </w:pPr>
      <w:r>
        <w:rPr>
          <w:color w:val="auto"/>
          <w:highlight w:val="none"/>
        </w:rPr>
        <w:fldChar w:fldCharType="begin"/>
      </w:r>
      <w:r>
        <w:rPr>
          <w:color w:val="auto"/>
          <w:highlight w:val="none"/>
        </w:rPr>
        <w:instrText xml:space="preserve"> HYPERLINK \l "_Toc10213462" </w:instrText>
      </w:r>
      <w:r>
        <w:rPr>
          <w:color w:val="auto"/>
          <w:highlight w:val="none"/>
        </w:rPr>
        <w:fldChar w:fldCharType="separate"/>
      </w:r>
      <w:r>
        <w:rPr>
          <w:rStyle w:val="47"/>
          <w:color w:val="auto"/>
          <w:sz w:val="24"/>
          <w:highlight w:val="none"/>
        </w:rPr>
        <w:t>第六章 评审办法</w:t>
      </w:r>
      <w:r>
        <w:rPr>
          <w:color w:val="auto"/>
          <w:sz w:val="24"/>
          <w:highlight w:val="none"/>
        </w:rPr>
        <w:tab/>
      </w:r>
      <w:r>
        <w:rPr>
          <w:color w:val="auto"/>
          <w:sz w:val="24"/>
          <w:highlight w:val="none"/>
        </w:rPr>
        <w:fldChar w:fldCharType="begin"/>
      </w:r>
      <w:r>
        <w:rPr>
          <w:color w:val="auto"/>
          <w:sz w:val="24"/>
          <w:highlight w:val="none"/>
        </w:rPr>
        <w:instrText xml:space="preserve"> PAGEREF _Toc10213462 \h </w:instrText>
      </w:r>
      <w:r>
        <w:rPr>
          <w:color w:val="auto"/>
          <w:sz w:val="24"/>
          <w:highlight w:val="none"/>
        </w:rPr>
        <w:fldChar w:fldCharType="separate"/>
      </w:r>
      <w:r>
        <w:rPr>
          <w:color w:val="auto"/>
          <w:sz w:val="24"/>
          <w:highlight w:val="none"/>
        </w:rPr>
        <w:t>109</w:t>
      </w:r>
      <w:r>
        <w:rPr>
          <w:color w:val="auto"/>
          <w:sz w:val="24"/>
          <w:highlight w:val="none"/>
        </w:rPr>
        <w:fldChar w:fldCharType="end"/>
      </w:r>
      <w:r>
        <w:rPr>
          <w:color w:val="auto"/>
          <w:sz w:val="24"/>
          <w:highlight w:val="none"/>
        </w:rPr>
        <w:fldChar w:fldCharType="end"/>
      </w:r>
    </w:p>
    <w:p>
      <w:pPr>
        <w:spacing w:line="360" w:lineRule="auto"/>
        <w:jc w:val="center"/>
        <w:rPr>
          <w:color w:val="auto"/>
          <w:sz w:val="24"/>
          <w:highlight w:val="none"/>
        </w:rPr>
      </w:pPr>
      <w:r>
        <w:rPr>
          <w:color w:val="auto"/>
          <w:sz w:val="24"/>
          <w:highlight w:val="none"/>
        </w:rPr>
        <w:fldChar w:fldCharType="end"/>
      </w:r>
    </w:p>
    <w:p>
      <w:pPr>
        <w:rPr>
          <w:color w:val="auto"/>
          <w:sz w:val="24"/>
          <w:highlight w:val="none"/>
        </w:rPr>
        <w:sectPr>
          <w:headerReference r:id="rId7" w:type="default"/>
          <w:footerReference r:id="rId8" w:type="default"/>
          <w:pgSz w:w="11906" w:h="16838"/>
          <w:pgMar w:top="851" w:right="1134" w:bottom="851" w:left="1247" w:header="851" w:footer="992" w:gutter="0"/>
          <w:pgNumType w:start="1"/>
          <w:cols w:space="720" w:num="1"/>
          <w:docGrid w:type="lines" w:linePitch="312" w:charSpace="0"/>
        </w:sectPr>
      </w:pPr>
    </w:p>
    <w:p>
      <w:pPr>
        <w:pStyle w:val="3"/>
        <w:keepLines w:val="0"/>
        <w:widowControl w:val="0"/>
        <w:tabs>
          <w:tab w:val="left" w:pos="1530"/>
          <w:tab w:val="left" w:pos="3360"/>
          <w:tab w:val="left" w:pos="8052"/>
        </w:tabs>
        <w:adjustRightInd/>
        <w:spacing w:line="480" w:lineRule="auto"/>
        <w:ind w:left="1531" w:hanging="1531"/>
        <w:rPr>
          <w:rFonts w:eastAsia="宋体"/>
          <w:bCs w:val="0"/>
          <w:color w:val="auto"/>
          <w:kern w:val="2"/>
          <w:szCs w:val="36"/>
          <w:highlight w:val="none"/>
        </w:rPr>
      </w:pPr>
      <w:bookmarkStart w:id="1" w:name="_Toc10213425"/>
      <w:r>
        <w:rPr>
          <w:rFonts w:eastAsia="宋体"/>
          <w:bCs w:val="0"/>
          <w:color w:val="auto"/>
          <w:kern w:val="2"/>
          <w:szCs w:val="36"/>
          <w:highlight w:val="none"/>
        </w:rPr>
        <w:t>第一章  评比公告</w:t>
      </w:r>
      <w:bookmarkEnd w:id="1"/>
    </w:p>
    <w:p>
      <w:pPr>
        <w:adjustRightInd w:val="0"/>
        <w:snapToGrid w:val="0"/>
        <w:spacing w:line="480" w:lineRule="exact"/>
        <w:ind w:firstLine="420" w:firstLineChars="200"/>
        <w:rPr>
          <w:color w:val="auto"/>
          <w:szCs w:val="21"/>
          <w:highlight w:val="none"/>
        </w:rPr>
      </w:pPr>
      <w:r>
        <w:rPr>
          <w:color w:val="auto"/>
          <w:szCs w:val="21"/>
          <w:highlight w:val="none"/>
        </w:rPr>
        <w:t>重庆赛迪工程咨询有限公司（以下简称：采购代理机构）受北京理工大学重庆微电子研究院（以下简称：采购人）的委托，对“</w:t>
      </w:r>
      <w:r>
        <w:rPr>
          <w:rFonts w:hint="eastAsia"/>
          <w:color w:val="auto"/>
          <w:szCs w:val="21"/>
          <w:highlight w:val="none"/>
        </w:rPr>
        <w:t>北京理工大学重庆微电子研究院净化间实验室装修改造及实验环境改造项目</w:t>
      </w:r>
      <w:r>
        <w:rPr>
          <w:color w:val="auto"/>
          <w:szCs w:val="21"/>
          <w:highlight w:val="none"/>
        </w:rPr>
        <w:t>（项目编号：SDZB-22-</w:t>
      </w:r>
      <w:r>
        <w:rPr>
          <w:rFonts w:hint="eastAsia"/>
          <w:color w:val="auto"/>
          <w:szCs w:val="21"/>
          <w:highlight w:val="none"/>
        </w:rPr>
        <w:t xml:space="preserve">  </w:t>
      </w:r>
      <w:r>
        <w:rPr>
          <w:color w:val="auto"/>
          <w:szCs w:val="21"/>
          <w:highlight w:val="none"/>
        </w:rPr>
        <w:t>W）”组织评比采购，欢迎有资格的供应商参加本项目的评比。</w:t>
      </w:r>
    </w:p>
    <w:p>
      <w:pPr>
        <w:snapToGrid w:val="0"/>
        <w:spacing w:line="440" w:lineRule="exact"/>
        <w:ind w:firstLine="422" w:firstLineChars="200"/>
        <w:rPr>
          <w:color w:val="auto"/>
          <w:szCs w:val="21"/>
          <w:highlight w:val="none"/>
        </w:rPr>
      </w:pPr>
      <w:r>
        <w:rPr>
          <w:b/>
          <w:color w:val="auto"/>
          <w:szCs w:val="21"/>
          <w:highlight w:val="none"/>
        </w:rPr>
        <w:t>1．项目名称：</w:t>
      </w:r>
      <w:r>
        <w:rPr>
          <w:rFonts w:hint="eastAsia"/>
          <w:color w:val="auto"/>
          <w:szCs w:val="21"/>
          <w:highlight w:val="none"/>
        </w:rPr>
        <w:t>北京理工大学重庆微电子研究院净化间实验室装修改造及实验环境改造项目</w:t>
      </w:r>
    </w:p>
    <w:p>
      <w:pPr>
        <w:snapToGrid w:val="0"/>
        <w:spacing w:line="440" w:lineRule="exact"/>
        <w:ind w:firstLine="422" w:firstLineChars="200"/>
        <w:rPr>
          <w:b/>
          <w:color w:val="auto"/>
          <w:szCs w:val="21"/>
          <w:highlight w:val="none"/>
        </w:rPr>
      </w:pPr>
      <w:r>
        <w:rPr>
          <w:b/>
          <w:color w:val="auto"/>
          <w:szCs w:val="21"/>
          <w:highlight w:val="none"/>
        </w:rPr>
        <w:t>2．项目概况：</w:t>
      </w:r>
    </w:p>
    <w:tbl>
      <w:tblPr>
        <w:tblStyle w:val="40"/>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
        <w:gridCol w:w="1821"/>
        <w:gridCol w:w="3810"/>
        <w:gridCol w:w="662"/>
        <w:gridCol w:w="675"/>
        <w:gridCol w:w="887"/>
        <w:gridCol w:w="9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4" w:hRule="exact"/>
          <w:jc w:val="center"/>
        </w:trPr>
        <w:tc>
          <w:tcPr>
            <w:tcW w:w="442" w:type="dxa"/>
            <w:tcBorders>
              <w:top w:val="single" w:color="auto" w:sz="4" w:space="0"/>
              <w:left w:val="single" w:color="auto" w:sz="4" w:space="0"/>
              <w:bottom w:val="single" w:color="auto" w:sz="4" w:space="0"/>
              <w:right w:val="single" w:color="auto" w:sz="4" w:space="0"/>
            </w:tcBorders>
            <w:vAlign w:val="center"/>
          </w:tcPr>
          <w:p>
            <w:pPr>
              <w:pStyle w:val="22"/>
              <w:adjustRightInd w:val="0"/>
              <w:snapToGrid w:val="0"/>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序号</w:t>
            </w:r>
          </w:p>
        </w:tc>
        <w:tc>
          <w:tcPr>
            <w:tcW w:w="1821" w:type="dxa"/>
            <w:tcBorders>
              <w:top w:val="single" w:color="auto" w:sz="4" w:space="0"/>
              <w:left w:val="single" w:color="auto" w:sz="4" w:space="0"/>
              <w:bottom w:val="single" w:color="auto" w:sz="4" w:space="0"/>
              <w:right w:val="single" w:color="auto" w:sz="4" w:space="0"/>
            </w:tcBorders>
            <w:vAlign w:val="center"/>
          </w:tcPr>
          <w:p>
            <w:pPr>
              <w:pStyle w:val="22"/>
              <w:adjustRightInd w:val="0"/>
              <w:snapToGrid w:val="0"/>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名称</w:t>
            </w:r>
          </w:p>
        </w:tc>
        <w:tc>
          <w:tcPr>
            <w:tcW w:w="3810" w:type="dxa"/>
            <w:tcBorders>
              <w:top w:val="single" w:color="auto" w:sz="4" w:space="0"/>
              <w:left w:val="single" w:color="auto" w:sz="4" w:space="0"/>
              <w:bottom w:val="single" w:color="auto" w:sz="4" w:space="0"/>
              <w:right w:val="single" w:color="auto" w:sz="4" w:space="0"/>
            </w:tcBorders>
            <w:vAlign w:val="center"/>
          </w:tcPr>
          <w:p>
            <w:pPr>
              <w:jc w:val="center"/>
              <w:rPr>
                <w:b/>
                <w:color w:val="auto"/>
                <w:szCs w:val="21"/>
                <w:highlight w:val="none"/>
              </w:rPr>
            </w:pPr>
            <w:r>
              <w:rPr>
                <w:rFonts w:hint="eastAsia"/>
                <w:b/>
                <w:color w:val="auto"/>
                <w:szCs w:val="21"/>
                <w:highlight w:val="none"/>
              </w:rPr>
              <w:t>主要内容</w:t>
            </w:r>
          </w:p>
          <w:p>
            <w:pPr>
              <w:pStyle w:val="22"/>
              <w:adjustRightInd w:val="0"/>
              <w:snapToGrid w:val="0"/>
              <w:jc w:val="center"/>
              <w:rPr>
                <w:rFonts w:ascii="Times New Roman" w:hAnsi="Times New Roman"/>
                <w:b/>
                <w:color w:val="auto"/>
                <w:sz w:val="21"/>
                <w:szCs w:val="21"/>
                <w:highlight w:val="none"/>
              </w:rPr>
            </w:pPr>
          </w:p>
        </w:tc>
        <w:tc>
          <w:tcPr>
            <w:tcW w:w="662" w:type="dxa"/>
            <w:tcBorders>
              <w:top w:val="single" w:color="auto" w:sz="4" w:space="0"/>
              <w:left w:val="single" w:color="auto" w:sz="4" w:space="0"/>
              <w:bottom w:val="single" w:color="auto" w:sz="4" w:space="0"/>
              <w:right w:val="single" w:color="auto" w:sz="4" w:space="0"/>
            </w:tcBorders>
            <w:vAlign w:val="center"/>
          </w:tcPr>
          <w:p>
            <w:pPr>
              <w:pStyle w:val="22"/>
              <w:adjustRightInd w:val="0"/>
              <w:snapToGrid w:val="0"/>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单位</w:t>
            </w:r>
          </w:p>
        </w:tc>
        <w:tc>
          <w:tcPr>
            <w:tcW w:w="675" w:type="dxa"/>
            <w:tcBorders>
              <w:top w:val="single" w:color="auto" w:sz="4" w:space="0"/>
              <w:left w:val="single" w:color="auto" w:sz="4" w:space="0"/>
              <w:bottom w:val="single" w:color="auto" w:sz="4" w:space="0"/>
              <w:right w:val="single" w:color="auto" w:sz="4" w:space="0"/>
            </w:tcBorders>
            <w:vAlign w:val="center"/>
          </w:tcPr>
          <w:p>
            <w:pPr>
              <w:pStyle w:val="22"/>
              <w:adjustRightInd w:val="0"/>
              <w:snapToGrid w:val="0"/>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数量</w:t>
            </w:r>
          </w:p>
        </w:tc>
        <w:tc>
          <w:tcPr>
            <w:tcW w:w="887" w:type="dxa"/>
            <w:tcBorders>
              <w:top w:val="single" w:color="auto" w:sz="4" w:space="0"/>
              <w:left w:val="single" w:color="auto" w:sz="4" w:space="0"/>
              <w:bottom w:val="single" w:color="auto" w:sz="4" w:space="0"/>
              <w:right w:val="single" w:color="auto" w:sz="4" w:space="0"/>
            </w:tcBorders>
            <w:vAlign w:val="center"/>
          </w:tcPr>
          <w:p>
            <w:pPr>
              <w:pStyle w:val="22"/>
              <w:adjustRightInd w:val="0"/>
              <w:snapToGrid w:val="0"/>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最高限价（万元）</w:t>
            </w:r>
          </w:p>
        </w:tc>
        <w:tc>
          <w:tcPr>
            <w:tcW w:w="933" w:type="dxa"/>
            <w:tcBorders>
              <w:top w:val="single" w:color="auto" w:sz="4" w:space="0"/>
              <w:left w:val="single" w:color="auto" w:sz="4" w:space="0"/>
              <w:right w:val="single" w:color="auto" w:sz="4" w:space="0"/>
            </w:tcBorders>
            <w:vAlign w:val="center"/>
          </w:tcPr>
          <w:p>
            <w:pPr>
              <w:pStyle w:val="22"/>
              <w:adjustRightInd w:val="0"/>
              <w:snapToGrid w:val="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中标人</w:t>
            </w:r>
          </w:p>
          <w:p>
            <w:pPr>
              <w:pStyle w:val="22"/>
              <w:adjustRightInd w:val="0"/>
              <w:snapToGrid w:val="0"/>
              <w:jc w:val="center"/>
              <w:rPr>
                <w:rFonts w:ascii="Times New Roman" w:hAnsi="Times New Roman"/>
                <w:b/>
                <w:color w:val="auto"/>
                <w:sz w:val="21"/>
                <w:szCs w:val="21"/>
                <w:highlight w:val="none"/>
              </w:rPr>
            </w:pPr>
            <w:r>
              <w:rPr>
                <w:rFonts w:ascii="Times New Roman" w:hAnsi="Times New Roman"/>
                <w:b/>
                <w:bCs/>
                <w:color w:val="auto"/>
                <w:spacing w:val="-59"/>
                <w:sz w:val="21"/>
                <w:szCs w:val="21"/>
                <w:highlight w:val="none"/>
              </w:rPr>
              <w:t xml:space="preserve"> </w:t>
            </w:r>
            <w:r>
              <w:rPr>
                <w:rFonts w:ascii="Times New Roman" w:hAnsi="Times New Roman"/>
                <w:b/>
                <w:bCs/>
                <w:color w:val="auto"/>
                <w:sz w:val="21"/>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6" w:hRule="exact"/>
          <w:jc w:val="center"/>
        </w:trPr>
        <w:tc>
          <w:tcPr>
            <w:tcW w:w="442"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color w:val="auto"/>
                <w:szCs w:val="21"/>
                <w:highlight w:val="none"/>
              </w:rPr>
            </w:pPr>
            <w:r>
              <w:rPr>
                <w:color w:val="auto"/>
                <w:szCs w:val="21"/>
                <w:highlight w:val="none"/>
              </w:rPr>
              <w:t>1</w:t>
            </w:r>
          </w:p>
        </w:tc>
        <w:tc>
          <w:tcPr>
            <w:tcW w:w="1821"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color w:val="auto"/>
                <w:szCs w:val="21"/>
                <w:highlight w:val="none"/>
              </w:rPr>
            </w:pPr>
            <w:r>
              <w:rPr>
                <w:rFonts w:hint="eastAsia"/>
                <w:color w:val="auto"/>
                <w:szCs w:val="21"/>
                <w:highlight w:val="none"/>
              </w:rPr>
              <w:t>北京理工大学重庆微电子研究院净化间实验室装修改造及实验环境改造</w:t>
            </w:r>
          </w:p>
        </w:tc>
        <w:tc>
          <w:tcPr>
            <w:tcW w:w="3810" w:type="dxa"/>
            <w:tcBorders>
              <w:top w:val="single" w:color="auto" w:sz="4" w:space="0"/>
              <w:left w:val="single" w:color="auto" w:sz="4" w:space="0"/>
              <w:bottom w:val="single" w:color="auto" w:sz="4" w:space="0"/>
              <w:right w:val="single" w:color="auto" w:sz="4" w:space="0"/>
            </w:tcBorders>
            <w:vAlign w:val="center"/>
          </w:tcPr>
          <w:p>
            <w:pPr>
              <w:spacing w:line="360" w:lineRule="exact"/>
              <w:ind w:firstLine="420" w:firstLineChars="200"/>
              <w:jc w:val="both"/>
              <w:rPr>
                <w:color w:val="auto"/>
                <w:szCs w:val="21"/>
                <w:highlight w:val="none"/>
              </w:rPr>
            </w:pPr>
            <w:r>
              <w:rPr>
                <w:rFonts w:hint="eastAsia"/>
                <w:color w:val="auto"/>
                <w:szCs w:val="21"/>
                <w:highlight w:val="none"/>
              </w:rPr>
              <w:t>对北京理工大学重庆微电子研究院净化间实验室（包括MEMS封测实验室、光学实验室、电子实验室、机加工实验室、生物光子实验室、公共平台实验室、五平台实验室）进行电力、接地、布局等方面的装修改造。</w:t>
            </w:r>
          </w:p>
          <w:p>
            <w:pPr>
              <w:pStyle w:val="2"/>
              <w:ind w:firstLine="420" w:firstLineChars="200"/>
              <w:jc w:val="both"/>
              <w:rPr>
                <w:color w:val="auto"/>
                <w:highlight w:val="none"/>
              </w:rPr>
            </w:pPr>
            <w:r>
              <w:rPr>
                <w:rFonts w:hint="eastAsia"/>
                <w:color w:val="auto"/>
                <w:szCs w:val="21"/>
                <w:highlight w:val="none"/>
              </w:rPr>
              <w:t>对北京理工大学重庆微电子研究院生物光子实验室进行纯水、通风等实验环境改造。</w:t>
            </w:r>
          </w:p>
        </w:tc>
        <w:tc>
          <w:tcPr>
            <w:tcW w:w="662"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bCs/>
                <w:color w:val="auto"/>
                <w:szCs w:val="21"/>
                <w:highlight w:val="none"/>
              </w:rPr>
            </w:pPr>
            <w:r>
              <w:rPr>
                <w:rFonts w:hint="eastAsia"/>
                <w:bCs/>
                <w:color w:val="auto"/>
                <w:szCs w:val="21"/>
                <w:highlight w:val="none"/>
              </w:rPr>
              <w:t>项</w:t>
            </w:r>
          </w:p>
        </w:tc>
        <w:tc>
          <w:tcPr>
            <w:tcW w:w="675" w:type="dxa"/>
            <w:tcBorders>
              <w:top w:val="single" w:color="auto" w:sz="4" w:space="0"/>
              <w:left w:val="single" w:color="auto" w:sz="4" w:space="0"/>
              <w:bottom w:val="single" w:color="auto" w:sz="4" w:space="0"/>
              <w:right w:val="single" w:color="auto" w:sz="4" w:space="0"/>
            </w:tcBorders>
            <w:vAlign w:val="center"/>
          </w:tcPr>
          <w:p>
            <w:pPr>
              <w:pStyle w:val="22"/>
              <w:adjustRightInd w:val="0"/>
              <w:snapToGrid w:val="0"/>
              <w:spacing w:line="360" w:lineRule="exact"/>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w:t>
            </w:r>
          </w:p>
        </w:tc>
        <w:tc>
          <w:tcPr>
            <w:tcW w:w="887" w:type="dxa"/>
            <w:tcBorders>
              <w:top w:val="single" w:color="auto" w:sz="4" w:space="0"/>
              <w:left w:val="single" w:color="auto" w:sz="4" w:space="0"/>
              <w:bottom w:val="single" w:color="auto" w:sz="4" w:space="0"/>
              <w:right w:val="single" w:color="auto" w:sz="4" w:space="0"/>
            </w:tcBorders>
            <w:vAlign w:val="center"/>
          </w:tcPr>
          <w:p>
            <w:pPr>
              <w:pStyle w:val="22"/>
              <w:adjustRightInd w:val="0"/>
              <w:snapToGrid w:val="0"/>
              <w:spacing w:line="360" w:lineRule="exact"/>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55</w:t>
            </w:r>
          </w:p>
        </w:tc>
        <w:tc>
          <w:tcPr>
            <w:tcW w:w="933" w:type="dxa"/>
            <w:tcBorders>
              <w:left w:val="single" w:color="auto" w:sz="4" w:space="0"/>
              <w:right w:val="single" w:color="auto" w:sz="4" w:space="0"/>
            </w:tcBorders>
            <w:vAlign w:val="center"/>
          </w:tcPr>
          <w:p>
            <w:pPr>
              <w:pStyle w:val="22"/>
              <w:adjustRightInd w:val="0"/>
              <w:snapToGrid w:val="0"/>
              <w:spacing w:line="360" w:lineRule="exact"/>
              <w:jc w:val="center"/>
              <w:rPr>
                <w:rFonts w:ascii="Times New Roman" w:hAnsi="Times New Roman"/>
                <w:color w:val="auto"/>
                <w:sz w:val="21"/>
                <w:szCs w:val="21"/>
                <w:highlight w:val="none"/>
              </w:rPr>
            </w:pPr>
            <w:r>
              <w:rPr>
                <w:rFonts w:ascii="Times New Roman" w:hAnsi="Times New Roman"/>
                <w:color w:val="auto"/>
                <w:sz w:val="21"/>
                <w:szCs w:val="21"/>
                <w:highlight w:val="none"/>
              </w:rPr>
              <w:t>1名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jc w:val="center"/>
        </w:trPr>
        <w:tc>
          <w:tcPr>
            <w:tcW w:w="9230" w:type="dxa"/>
            <w:gridSpan w:val="7"/>
            <w:tcBorders>
              <w:top w:val="single" w:color="auto" w:sz="4" w:space="0"/>
              <w:left w:val="single" w:color="auto" w:sz="4" w:space="0"/>
              <w:bottom w:val="single" w:color="auto" w:sz="4" w:space="0"/>
              <w:right w:val="single" w:color="auto" w:sz="4" w:space="0"/>
            </w:tcBorders>
          </w:tcPr>
          <w:p>
            <w:pPr>
              <w:pStyle w:val="22"/>
              <w:adjustRightInd w:val="0"/>
              <w:snapToGrid w:val="0"/>
              <w:spacing w:line="360" w:lineRule="exact"/>
              <w:rPr>
                <w:rFonts w:ascii="Times New Roman" w:hAnsi="Times New Roman"/>
                <w:color w:val="auto"/>
                <w:sz w:val="21"/>
                <w:szCs w:val="21"/>
                <w:highlight w:val="none"/>
              </w:rPr>
            </w:pPr>
            <w:r>
              <w:rPr>
                <w:rFonts w:hint="eastAsia" w:ascii="Times New Roman" w:hAnsi="Times New Roman"/>
                <w:color w:val="auto"/>
                <w:sz w:val="21"/>
                <w:szCs w:val="21"/>
                <w:highlight w:val="none"/>
              </w:rPr>
              <w:t>交货期：供应商应在合同签署后的7周之内，完成工程的设计、施工等内容。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jc w:val="center"/>
        </w:trPr>
        <w:tc>
          <w:tcPr>
            <w:tcW w:w="9230" w:type="dxa"/>
            <w:gridSpan w:val="7"/>
            <w:tcBorders>
              <w:top w:val="single" w:color="auto" w:sz="4" w:space="0"/>
              <w:left w:val="single" w:color="auto" w:sz="4" w:space="0"/>
              <w:bottom w:val="single" w:color="auto" w:sz="4" w:space="0"/>
              <w:right w:val="single" w:color="auto" w:sz="4" w:space="0"/>
            </w:tcBorders>
          </w:tcPr>
          <w:p>
            <w:pPr>
              <w:pStyle w:val="22"/>
              <w:adjustRightInd w:val="0"/>
              <w:snapToGrid w:val="0"/>
              <w:spacing w:line="360" w:lineRule="exact"/>
              <w:rPr>
                <w:rFonts w:ascii="Times New Roman" w:hAnsi="Times New Roman"/>
                <w:color w:val="auto"/>
                <w:sz w:val="21"/>
                <w:szCs w:val="21"/>
                <w:highlight w:val="none"/>
              </w:rPr>
            </w:pPr>
            <w:r>
              <w:rPr>
                <w:rFonts w:hint="eastAsia" w:ascii="Times New Roman" w:hAnsi="Times New Roman"/>
                <w:color w:val="auto"/>
                <w:sz w:val="21"/>
                <w:szCs w:val="21"/>
                <w:highlight w:val="none"/>
              </w:rPr>
              <w:t>交货地点：沙坪坝区西永微电园研发楼</w:t>
            </w:r>
            <w:r>
              <w:rPr>
                <w:rFonts w:ascii="Times New Roman" w:hAnsi="Times New Roman"/>
                <w:color w:val="auto"/>
                <w:sz w:val="21"/>
                <w:szCs w:val="21"/>
                <w:highlight w:val="none"/>
              </w:rPr>
              <w:t>3期1号楼2单元</w:t>
            </w:r>
          </w:p>
        </w:tc>
      </w:tr>
    </w:tbl>
    <w:p>
      <w:pPr>
        <w:snapToGrid w:val="0"/>
        <w:spacing w:line="440" w:lineRule="exact"/>
        <w:ind w:firstLine="420" w:firstLineChars="200"/>
        <w:rPr>
          <w:color w:val="auto"/>
          <w:szCs w:val="21"/>
          <w:highlight w:val="none"/>
        </w:rPr>
      </w:pPr>
      <w:r>
        <w:rPr>
          <w:rFonts w:hint="eastAsia" w:ascii="宋体" w:hAnsi="宋体"/>
          <w:color w:val="auto"/>
          <w:szCs w:val="21"/>
          <w:highlight w:val="none"/>
        </w:rPr>
        <w:t>预算金额：</w:t>
      </w:r>
      <w:r>
        <w:rPr>
          <w:rFonts w:hint="eastAsia" w:ascii="宋体" w:hAnsi="宋体"/>
          <w:color w:val="auto"/>
          <w:szCs w:val="21"/>
          <w:highlight w:val="none"/>
        </w:rPr>
        <w:t>5</w:t>
      </w:r>
      <w:r>
        <w:rPr>
          <w:rFonts w:ascii="宋体" w:hAnsi="宋体"/>
          <w:color w:val="auto"/>
          <w:szCs w:val="21"/>
          <w:highlight w:val="none"/>
        </w:rPr>
        <w:t>5</w:t>
      </w:r>
      <w:r>
        <w:rPr>
          <w:rFonts w:ascii="宋体" w:hAnsi="宋体"/>
          <w:color w:val="auto"/>
          <w:szCs w:val="21"/>
          <w:highlight w:val="none"/>
        </w:rPr>
        <w:t>万元</w:t>
      </w:r>
      <w:r>
        <w:rPr>
          <w:color w:val="auto"/>
          <w:szCs w:val="21"/>
          <w:highlight w:val="none"/>
        </w:rPr>
        <w:t>。</w:t>
      </w:r>
    </w:p>
    <w:p>
      <w:pPr>
        <w:snapToGrid w:val="0"/>
        <w:spacing w:line="440" w:lineRule="exact"/>
        <w:ind w:firstLine="422" w:firstLineChars="200"/>
        <w:rPr>
          <w:color w:val="auto"/>
          <w:szCs w:val="21"/>
          <w:highlight w:val="none"/>
        </w:rPr>
      </w:pPr>
      <w:r>
        <w:rPr>
          <w:b/>
          <w:color w:val="auto"/>
          <w:szCs w:val="21"/>
          <w:highlight w:val="none"/>
        </w:rPr>
        <w:t>3．供应商资格要求</w:t>
      </w:r>
      <w:r>
        <w:rPr>
          <w:color w:val="auto"/>
          <w:szCs w:val="21"/>
          <w:highlight w:val="none"/>
        </w:rPr>
        <w:t>：</w:t>
      </w:r>
    </w:p>
    <w:p>
      <w:pPr>
        <w:snapToGrid w:val="0"/>
        <w:spacing w:line="440" w:lineRule="exact"/>
        <w:ind w:firstLine="422" w:firstLineChars="200"/>
        <w:rPr>
          <w:color w:val="auto"/>
          <w:szCs w:val="21"/>
          <w:highlight w:val="none"/>
        </w:rPr>
      </w:pPr>
      <w:r>
        <w:rPr>
          <w:b/>
          <w:bCs/>
          <w:color w:val="auto"/>
          <w:szCs w:val="21"/>
          <w:highlight w:val="none"/>
        </w:rPr>
        <w:t>3.1满足《中华人民共和国政府采购法》第二十二条要求</w:t>
      </w:r>
      <w:r>
        <w:rPr>
          <w:rFonts w:hint="eastAsia"/>
          <w:b/>
          <w:bCs/>
          <w:color w:val="auto"/>
          <w:szCs w:val="21"/>
          <w:highlight w:val="none"/>
        </w:rPr>
        <w:t>；</w:t>
      </w:r>
    </w:p>
    <w:p>
      <w:pPr>
        <w:snapToGrid w:val="0"/>
        <w:spacing w:line="440" w:lineRule="exact"/>
        <w:ind w:left="420" w:leftChars="200"/>
        <w:rPr>
          <w:b/>
          <w:bCs/>
          <w:color w:val="auto"/>
          <w:szCs w:val="21"/>
          <w:highlight w:val="none"/>
        </w:rPr>
      </w:pPr>
      <w:r>
        <w:rPr>
          <w:b/>
          <w:bCs/>
          <w:color w:val="auto"/>
          <w:szCs w:val="21"/>
          <w:highlight w:val="none"/>
        </w:rPr>
        <w:t>3.2落实政府采购政策需满足的资格要求：无</w:t>
      </w:r>
      <w:r>
        <w:rPr>
          <w:rFonts w:hint="eastAsia"/>
          <w:b/>
          <w:bCs/>
          <w:color w:val="auto"/>
          <w:szCs w:val="21"/>
          <w:highlight w:val="none"/>
        </w:rPr>
        <w:t>；</w:t>
      </w:r>
    </w:p>
    <w:p>
      <w:pPr>
        <w:snapToGrid w:val="0"/>
        <w:spacing w:line="440" w:lineRule="exact"/>
        <w:ind w:firstLine="422" w:firstLineChars="200"/>
        <w:rPr>
          <w:b/>
          <w:bCs/>
          <w:color w:val="auto"/>
          <w:szCs w:val="21"/>
          <w:highlight w:val="none"/>
        </w:rPr>
      </w:pPr>
      <w:r>
        <w:rPr>
          <w:b/>
          <w:bCs/>
          <w:color w:val="auto"/>
          <w:szCs w:val="21"/>
          <w:highlight w:val="none"/>
        </w:rPr>
        <w:t>3.3满足本项目的特定资格要求</w:t>
      </w:r>
      <w:r>
        <w:rPr>
          <w:b/>
          <w:bCs/>
          <w:color w:val="auto"/>
          <w:szCs w:val="21"/>
          <w:highlight w:val="none"/>
        </w:rPr>
        <w:t>：</w:t>
      </w:r>
    </w:p>
    <w:p>
      <w:pPr>
        <w:snapToGrid w:val="0"/>
        <w:spacing w:line="440" w:lineRule="exact"/>
        <w:ind w:left="420" w:leftChars="200"/>
        <w:rPr>
          <w:b/>
          <w:bCs/>
          <w:color w:val="auto"/>
          <w:szCs w:val="21"/>
          <w:highlight w:val="none"/>
        </w:rPr>
      </w:pPr>
      <w:r>
        <w:rPr>
          <w:rFonts w:hint="eastAsia"/>
          <w:b/>
          <w:bCs/>
          <w:color w:val="auto"/>
          <w:szCs w:val="21"/>
          <w:highlight w:val="none"/>
        </w:rPr>
        <w:t>1）供应商应具备建设行政主管部门颁发的建筑机电安装工程专业承包三级资质及以上，供应商应通过中国政府采购网登记加入“政府采购供应商库”，并在人员、设备和资金等方面具有相应的施工能力；</w:t>
      </w:r>
    </w:p>
    <w:p>
      <w:pPr>
        <w:snapToGrid w:val="0"/>
        <w:spacing w:line="440" w:lineRule="exact"/>
        <w:ind w:left="420" w:leftChars="200"/>
        <w:rPr>
          <w:b/>
          <w:bCs/>
          <w:color w:val="auto"/>
          <w:szCs w:val="21"/>
          <w:highlight w:val="none"/>
        </w:rPr>
      </w:pPr>
      <w:r>
        <w:rPr>
          <w:rFonts w:hint="eastAsia"/>
          <w:b/>
          <w:bCs/>
          <w:color w:val="auto"/>
          <w:szCs w:val="21"/>
          <w:highlight w:val="none"/>
        </w:rPr>
        <w:t>2）供应商具备建设行政主管部门颁发的有效的安全生产许可证。（提供相关的证书复印件并加盖供应商公章）。</w:t>
      </w:r>
    </w:p>
    <w:p>
      <w:pPr>
        <w:snapToGrid w:val="0"/>
        <w:spacing w:line="440" w:lineRule="exact"/>
        <w:ind w:left="420" w:leftChars="200"/>
        <w:rPr>
          <w:color w:val="auto"/>
          <w:szCs w:val="21"/>
          <w:highlight w:val="none"/>
        </w:rPr>
      </w:pPr>
      <w:r>
        <w:rPr>
          <w:rFonts w:hint="eastAsia"/>
          <w:b/>
          <w:bCs/>
          <w:color w:val="auto"/>
          <w:szCs w:val="21"/>
          <w:highlight w:val="none"/>
        </w:rPr>
        <w:t>注：本次评比不接受联合体。</w:t>
      </w:r>
    </w:p>
    <w:p>
      <w:pPr>
        <w:snapToGrid w:val="0"/>
        <w:spacing w:line="440" w:lineRule="exact"/>
        <w:ind w:left="420" w:leftChars="200"/>
        <w:rPr>
          <w:color w:val="auto"/>
          <w:szCs w:val="21"/>
          <w:highlight w:val="none"/>
        </w:rPr>
      </w:pPr>
      <w:r>
        <w:rPr>
          <w:b/>
          <w:color w:val="auto"/>
          <w:szCs w:val="21"/>
          <w:highlight w:val="none"/>
        </w:rPr>
        <w:t>4．评比报名时间及购买评比文件方式</w:t>
      </w:r>
      <w:r>
        <w:rPr>
          <w:color w:val="auto"/>
          <w:szCs w:val="21"/>
          <w:highlight w:val="none"/>
        </w:rPr>
        <w:t>：</w:t>
      </w:r>
    </w:p>
    <w:p>
      <w:pPr>
        <w:snapToGrid w:val="0"/>
        <w:spacing w:line="440" w:lineRule="exact"/>
        <w:ind w:firstLine="420" w:firstLineChars="200"/>
        <w:rPr>
          <w:color w:val="auto"/>
          <w:szCs w:val="21"/>
          <w:highlight w:val="none"/>
        </w:rPr>
      </w:pPr>
      <w:r>
        <w:rPr>
          <w:color w:val="auto"/>
          <w:szCs w:val="21"/>
          <w:highlight w:val="none"/>
        </w:rPr>
        <w:t>4.1</w:t>
      </w:r>
      <w:r>
        <w:rPr>
          <w:color w:val="auto"/>
          <w:szCs w:val="21"/>
          <w:highlight w:val="none"/>
        </w:rPr>
        <w:t>凡有意参加评比的供应商，请在《中国政府采购网》（http://www.ccgp. gov.cn）网上下载本项目评比文件、评比文件发售登记表以及图纸、澄清等开标前公布的所有项目资料，无论供应商下载与否，均视为已知晓所有评比内容。</w:t>
      </w:r>
    </w:p>
    <w:p>
      <w:pPr>
        <w:snapToGrid w:val="0"/>
        <w:spacing w:line="440" w:lineRule="exact"/>
        <w:ind w:firstLine="420" w:firstLineChars="200"/>
        <w:rPr>
          <w:color w:val="auto"/>
          <w:szCs w:val="21"/>
          <w:highlight w:val="none"/>
        </w:rPr>
      </w:pPr>
      <w:r>
        <w:rPr>
          <w:color w:val="auto"/>
          <w:szCs w:val="21"/>
          <w:highlight w:val="none"/>
        </w:rPr>
        <w:t>4.2</w:t>
      </w:r>
      <w:r>
        <w:rPr>
          <w:color w:val="auto"/>
          <w:szCs w:val="21"/>
          <w:highlight w:val="none"/>
        </w:rPr>
        <w:t>评比文件发售期：2022年</w:t>
      </w:r>
      <w:r>
        <w:rPr>
          <w:rFonts w:hint="eastAsia"/>
          <w:color w:val="auto"/>
          <w:szCs w:val="21"/>
          <w:highlight w:val="none"/>
          <w:lang w:val="en-US" w:eastAsia="zh-CN"/>
        </w:rPr>
        <w:t>7</w:t>
      </w:r>
      <w:r>
        <w:rPr>
          <w:rFonts w:hint="eastAsia"/>
          <w:color w:val="auto"/>
          <w:szCs w:val="21"/>
          <w:highlight w:val="none"/>
        </w:rPr>
        <w:t xml:space="preserve"> </w:t>
      </w:r>
      <w:r>
        <w:rPr>
          <w:color w:val="auto"/>
          <w:szCs w:val="21"/>
          <w:highlight w:val="none"/>
        </w:rPr>
        <w:t>月</w:t>
      </w:r>
      <w:r>
        <w:rPr>
          <w:rFonts w:hint="eastAsia"/>
          <w:color w:val="auto"/>
          <w:szCs w:val="21"/>
          <w:highlight w:val="none"/>
          <w:lang w:val="en-US" w:eastAsia="zh-CN"/>
        </w:rPr>
        <w:t>29</w:t>
      </w:r>
      <w:r>
        <w:rPr>
          <w:rFonts w:hint="eastAsia"/>
          <w:color w:val="auto"/>
          <w:szCs w:val="21"/>
          <w:highlight w:val="none"/>
        </w:rPr>
        <w:t xml:space="preserve"> </w:t>
      </w:r>
      <w:r>
        <w:rPr>
          <w:color w:val="auto"/>
          <w:szCs w:val="21"/>
          <w:highlight w:val="none"/>
        </w:rPr>
        <w:t>日--2022年</w:t>
      </w:r>
      <w:r>
        <w:rPr>
          <w:rFonts w:hint="eastAsia"/>
          <w:color w:val="auto"/>
          <w:szCs w:val="21"/>
          <w:highlight w:val="none"/>
          <w:lang w:val="en-US" w:eastAsia="zh-CN"/>
        </w:rPr>
        <w:t>8</w:t>
      </w:r>
      <w:r>
        <w:rPr>
          <w:rFonts w:hint="eastAsia"/>
          <w:color w:val="auto"/>
          <w:szCs w:val="21"/>
          <w:highlight w:val="none"/>
        </w:rPr>
        <w:t xml:space="preserve"> </w:t>
      </w:r>
      <w:r>
        <w:rPr>
          <w:color w:val="auto"/>
          <w:szCs w:val="21"/>
          <w:highlight w:val="none"/>
        </w:rPr>
        <w:t>月</w:t>
      </w:r>
      <w:r>
        <w:rPr>
          <w:rFonts w:hint="eastAsia"/>
          <w:color w:val="auto"/>
          <w:szCs w:val="21"/>
          <w:highlight w:val="none"/>
        </w:rPr>
        <w:t xml:space="preserve"> </w:t>
      </w:r>
      <w:r>
        <w:rPr>
          <w:rFonts w:hint="eastAsia"/>
          <w:color w:val="auto"/>
          <w:szCs w:val="21"/>
          <w:highlight w:val="none"/>
          <w:lang w:val="en-US" w:eastAsia="zh-CN"/>
        </w:rPr>
        <w:t>3</w:t>
      </w:r>
      <w:r>
        <w:rPr>
          <w:color w:val="auto"/>
          <w:szCs w:val="21"/>
          <w:highlight w:val="none"/>
        </w:rPr>
        <w:t>日17：00（工作时间）。</w:t>
      </w:r>
    </w:p>
    <w:p>
      <w:pPr>
        <w:snapToGrid w:val="0"/>
        <w:spacing w:line="440" w:lineRule="exact"/>
        <w:ind w:firstLine="420" w:firstLineChars="200"/>
        <w:rPr>
          <w:color w:val="auto"/>
          <w:szCs w:val="21"/>
          <w:highlight w:val="none"/>
        </w:rPr>
      </w:pPr>
      <w:r>
        <w:rPr>
          <w:color w:val="auto"/>
          <w:szCs w:val="21"/>
          <w:highlight w:val="none"/>
        </w:rPr>
        <w:t>4.3购买评比文件方式：在评比文件发售期内，供应商将评比文件购买费用以微信或支付宝转账方式汇至以下指定账户，转账成功后，需将转账截图和《评比文件发售登记表》（加盖公章）扫描件一起发送至采购代理机构</w:t>
      </w:r>
      <w:r>
        <w:rPr>
          <w:color w:val="auto"/>
          <w:szCs w:val="21"/>
          <w:highlight w:val="none"/>
          <w:u w:val="single"/>
        </w:rPr>
        <w:t>515571653@qq.com</w:t>
      </w:r>
      <w:r>
        <w:rPr>
          <w:color w:val="auto"/>
          <w:szCs w:val="21"/>
          <w:highlight w:val="none"/>
        </w:rPr>
        <w:t>邮箱进行确认（注：转账汇款时需按要求备注单位名称、项目名称和资料费等信息）。</w:t>
      </w:r>
    </w:p>
    <w:p>
      <w:pPr>
        <w:shd w:val="clear" w:color="auto" w:fill="FFFFFF"/>
        <w:spacing w:line="360" w:lineRule="auto"/>
        <w:ind w:firstLine="720"/>
        <w:rPr>
          <w:color w:val="auto"/>
          <w:szCs w:val="21"/>
          <w:highlight w:val="none"/>
        </w:rPr>
      </w:pPr>
      <w:r>
        <w:rPr>
          <w:color w:val="auto"/>
          <w:szCs w:val="21"/>
          <w:highlight w:val="none"/>
        </w:rPr>
        <w:t>二维码收款账户：</w:t>
      </w:r>
    </w:p>
    <w:p>
      <w:pPr>
        <w:shd w:val="clear" w:color="auto" w:fill="FFFFFF"/>
        <w:spacing w:line="360" w:lineRule="auto"/>
        <w:ind w:firstLine="720"/>
        <w:rPr>
          <w:color w:val="auto"/>
          <w:szCs w:val="21"/>
          <w:highlight w:val="none"/>
        </w:rPr>
      </w:pPr>
      <w:r>
        <w:rPr>
          <w:color w:val="auto"/>
          <w:szCs w:val="21"/>
          <w:highlight w:val="none"/>
        </w:rPr>
        <w:drawing>
          <wp:inline distT="0" distB="0" distL="0" distR="0">
            <wp:extent cx="1412240" cy="175768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3" cstate="print">
                      <a:extLst>
                        <a:ext uri="{28A0092B-C50C-407E-A947-70E740481C1C}">
                          <a14:useLocalDpi xmlns:a14="http://schemas.microsoft.com/office/drawing/2010/main" val="0"/>
                        </a:ext>
                      </a:extLst>
                    </a:blip>
                    <a:srcRect t="4124" b="1031"/>
                    <a:stretch>
                      <a:fillRect/>
                    </a:stretch>
                  </pic:blipFill>
                  <pic:spPr>
                    <a:xfrm>
                      <a:off x="0" y="0"/>
                      <a:ext cx="1412240" cy="1757680"/>
                    </a:xfrm>
                    <a:prstGeom prst="rect">
                      <a:avLst/>
                    </a:prstGeom>
                    <a:noFill/>
                    <a:ln>
                      <a:noFill/>
                    </a:ln>
                  </pic:spPr>
                </pic:pic>
              </a:graphicData>
            </a:graphic>
          </wp:inline>
        </w:drawing>
      </w:r>
    </w:p>
    <w:p>
      <w:pPr>
        <w:adjustRightInd w:val="0"/>
        <w:snapToGrid w:val="0"/>
        <w:spacing w:line="440" w:lineRule="exact"/>
        <w:ind w:firstLine="420" w:firstLineChars="200"/>
        <w:rPr>
          <w:color w:val="auto"/>
          <w:szCs w:val="21"/>
          <w:highlight w:val="none"/>
        </w:rPr>
      </w:pPr>
      <w:r>
        <w:rPr>
          <w:color w:val="auto"/>
          <w:szCs w:val="21"/>
          <w:highlight w:val="none"/>
        </w:rPr>
        <w:t>4.4评比文件费：</w:t>
      </w:r>
      <w:r>
        <w:rPr>
          <w:rFonts w:hint="eastAsia"/>
          <w:color w:val="auto"/>
          <w:szCs w:val="21"/>
          <w:highlight w:val="none"/>
          <w:u w:val="single"/>
          <w:lang w:val="en-US" w:eastAsia="zh-CN"/>
        </w:rPr>
        <w:t>5</w:t>
      </w:r>
      <w:r>
        <w:rPr>
          <w:color w:val="auto"/>
          <w:szCs w:val="21"/>
          <w:highlight w:val="none"/>
          <w:u w:val="single"/>
        </w:rPr>
        <w:t>00</w:t>
      </w:r>
      <w:r>
        <w:rPr>
          <w:color w:val="auto"/>
          <w:szCs w:val="21"/>
          <w:highlight w:val="none"/>
        </w:rPr>
        <w:t>元/份（售后不退）。报名成功后，由评比供应商自行在《中国政府采购网》上下载本项目评比文件。</w:t>
      </w:r>
      <w:r>
        <w:rPr>
          <w:color w:val="auto"/>
          <w:szCs w:val="21"/>
          <w:highlight w:val="none"/>
        </w:rPr>
        <w:t>在评比文件发售期内购买了评比文件的供应商，其响应文件才被接收。</w:t>
      </w:r>
    </w:p>
    <w:p>
      <w:pPr>
        <w:adjustRightInd w:val="0"/>
        <w:snapToGrid w:val="0"/>
        <w:spacing w:line="440" w:lineRule="exact"/>
        <w:ind w:firstLine="422" w:firstLineChars="200"/>
        <w:rPr>
          <w:color w:val="auto"/>
          <w:szCs w:val="21"/>
          <w:highlight w:val="none"/>
        </w:rPr>
      </w:pPr>
      <w:r>
        <w:rPr>
          <w:b/>
          <w:color w:val="auto"/>
          <w:szCs w:val="21"/>
          <w:highlight w:val="none"/>
        </w:rPr>
        <w:t>5．评比时间</w:t>
      </w:r>
      <w:r>
        <w:rPr>
          <w:color w:val="auto"/>
          <w:szCs w:val="21"/>
          <w:highlight w:val="none"/>
        </w:rPr>
        <w:t>：2022年</w:t>
      </w:r>
      <w:r>
        <w:rPr>
          <w:rFonts w:hint="eastAsia"/>
          <w:color w:val="auto"/>
          <w:szCs w:val="21"/>
          <w:highlight w:val="none"/>
          <w:lang w:val="en-US" w:eastAsia="zh-CN"/>
        </w:rPr>
        <w:t>8</w:t>
      </w:r>
      <w:r>
        <w:rPr>
          <w:color w:val="auto"/>
          <w:szCs w:val="21"/>
          <w:highlight w:val="none"/>
        </w:rPr>
        <w:t>月</w:t>
      </w:r>
      <w:r>
        <w:rPr>
          <w:rFonts w:hint="eastAsia"/>
          <w:color w:val="auto"/>
          <w:szCs w:val="21"/>
          <w:highlight w:val="none"/>
          <w:lang w:val="en-US" w:eastAsia="zh-CN"/>
        </w:rPr>
        <w:t>5</w:t>
      </w:r>
      <w:r>
        <w:rPr>
          <w:rFonts w:hint="eastAsia"/>
          <w:color w:val="auto"/>
          <w:szCs w:val="21"/>
          <w:highlight w:val="none"/>
        </w:rPr>
        <w:t xml:space="preserve">  </w:t>
      </w:r>
      <w:r>
        <w:rPr>
          <w:color w:val="auto"/>
          <w:szCs w:val="21"/>
          <w:highlight w:val="none"/>
        </w:rPr>
        <w:t>日下午14:</w:t>
      </w:r>
      <w:r>
        <w:rPr>
          <w:rFonts w:hint="eastAsia"/>
          <w:color w:val="auto"/>
          <w:szCs w:val="21"/>
          <w:highlight w:val="none"/>
          <w:lang w:val="en-US" w:eastAsia="zh-CN"/>
        </w:rPr>
        <w:t>3</w:t>
      </w:r>
      <w:r>
        <w:rPr>
          <w:color w:val="auto"/>
          <w:szCs w:val="21"/>
          <w:highlight w:val="none"/>
        </w:rPr>
        <w:t>0（北京时间），届时请参加评比的供应商出席评比仪式。</w:t>
      </w:r>
    </w:p>
    <w:p>
      <w:pPr>
        <w:adjustRightInd w:val="0"/>
        <w:snapToGrid w:val="0"/>
        <w:spacing w:line="440" w:lineRule="exact"/>
        <w:ind w:firstLine="422" w:firstLineChars="200"/>
        <w:rPr>
          <w:color w:val="auto"/>
          <w:szCs w:val="21"/>
          <w:highlight w:val="none"/>
        </w:rPr>
      </w:pPr>
      <w:r>
        <w:rPr>
          <w:b/>
          <w:color w:val="auto"/>
          <w:szCs w:val="21"/>
          <w:highlight w:val="none"/>
        </w:rPr>
        <w:t>6．评比地点：</w:t>
      </w:r>
      <w:r>
        <w:rPr>
          <w:color w:val="auto"/>
          <w:szCs w:val="21"/>
          <w:highlight w:val="none"/>
        </w:rPr>
        <w:t>重庆市渝中区双钢路1号8号楼1楼（重庆赛迪工程咨询有限公司会议中心）。</w:t>
      </w:r>
    </w:p>
    <w:p>
      <w:pPr>
        <w:pStyle w:val="22"/>
        <w:adjustRightInd w:val="0"/>
        <w:snapToGrid w:val="0"/>
        <w:spacing w:line="440" w:lineRule="exact"/>
        <w:ind w:firstLine="381" w:firstLineChars="200"/>
        <w:rPr>
          <w:rFonts w:ascii="Times New Roman" w:hAnsi="Times New Roman"/>
          <w:color w:val="auto"/>
          <w:sz w:val="21"/>
          <w:szCs w:val="21"/>
          <w:highlight w:val="none"/>
        </w:rPr>
      </w:pPr>
      <w:r>
        <w:rPr>
          <w:rFonts w:ascii="Times New Roman" w:hAnsi="Times New Roman"/>
          <w:b/>
          <w:color w:val="auto"/>
          <w:szCs w:val="21"/>
          <w:highlight w:val="none"/>
        </w:rPr>
        <w:t>7．响应文件的递交</w:t>
      </w:r>
      <w:r>
        <w:rPr>
          <w:rFonts w:ascii="Times New Roman" w:hAnsi="Times New Roman"/>
          <w:color w:val="auto"/>
          <w:szCs w:val="21"/>
          <w:highlight w:val="none"/>
        </w:rPr>
        <w:t>：</w:t>
      </w:r>
      <w:r>
        <w:rPr>
          <w:rFonts w:ascii="Times New Roman" w:hAnsi="Times New Roman"/>
          <w:color w:val="auto"/>
          <w:sz w:val="21"/>
          <w:szCs w:val="21"/>
          <w:highlight w:val="none"/>
        </w:rPr>
        <w:t>评比响应文件须密封后于（评比当日）评比时间前递至评比地点，逾期送达或密封不符合规定的评比响应文件恕不接受。</w:t>
      </w:r>
    </w:p>
    <w:p>
      <w:pPr>
        <w:adjustRightInd w:val="0"/>
        <w:snapToGrid w:val="0"/>
        <w:spacing w:line="440" w:lineRule="exact"/>
        <w:ind w:firstLine="422" w:firstLineChars="200"/>
        <w:rPr>
          <w:b/>
          <w:bCs/>
          <w:color w:val="auto"/>
          <w:szCs w:val="21"/>
          <w:highlight w:val="none"/>
        </w:rPr>
      </w:pPr>
      <w:r>
        <w:rPr>
          <w:b/>
          <w:bCs/>
          <w:color w:val="auto"/>
          <w:szCs w:val="21"/>
          <w:highlight w:val="none"/>
        </w:rPr>
        <w:t>注：外地供应商可通过邮寄方式递交响应文件，以邮寄方式递交响应文件的供应商应将响应文件用内、外两层信封密封，按评比文件中的总则第14款“评比响应文件的装订、密封和标记”执行。响应文件须于递交截止时间前送达，收件地址：重庆市渝中区双钢路1号 ，收件人：文老师，联系电话：15086825512。</w:t>
      </w:r>
    </w:p>
    <w:p>
      <w:pPr>
        <w:snapToGrid w:val="0"/>
        <w:spacing w:line="440" w:lineRule="exact"/>
        <w:ind w:firstLine="422" w:firstLineChars="200"/>
        <w:rPr>
          <w:b/>
          <w:bCs/>
          <w:color w:val="auto"/>
          <w:szCs w:val="21"/>
          <w:highlight w:val="none"/>
        </w:rPr>
      </w:pPr>
      <w:r>
        <w:rPr>
          <w:b/>
          <w:bCs/>
          <w:color w:val="auto"/>
          <w:szCs w:val="21"/>
          <w:highlight w:val="none"/>
        </w:rPr>
        <w:t>8.评比的有关规定</w:t>
      </w:r>
    </w:p>
    <w:p>
      <w:pPr>
        <w:snapToGrid w:val="0"/>
        <w:spacing w:line="440" w:lineRule="exact"/>
        <w:ind w:firstLine="420" w:firstLineChars="200"/>
        <w:rPr>
          <w:color w:val="auto"/>
          <w:szCs w:val="21"/>
          <w:highlight w:val="none"/>
        </w:rPr>
      </w:pPr>
      <w:r>
        <w:rPr>
          <w:color w:val="auto"/>
          <w:szCs w:val="21"/>
          <w:highlight w:val="none"/>
        </w:rPr>
        <w:t>8.1单位负责人为同一人或者存在直接控股、管理关系的不同供应商，不得参加同一合同项（分包）下的政府采购活动。</w:t>
      </w:r>
    </w:p>
    <w:p>
      <w:pPr>
        <w:snapToGrid w:val="0"/>
        <w:spacing w:line="440" w:lineRule="exact"/>
        <w:ind w:firstLine="420" w:firstLineChars="200"/>
        <w:rPr>
          <w:color w:val="auto"/>
          <w:szCs w:val="21"/>
          <w:highlight w:val="none"/>
        </w:rPr>
      </w:pPr>
      <w:r>
        <w:rPr>
          <w:color w:val="auto"/>
          <w:szCs w:val="21"/>
          <w:highlight w:val="none"/>
        </w:rPr>
        <w:t>8.2为采购项目提供整体设计、规范编制或者项目管理、监理、检测等服务的供应商，不得再参加该采购项目的其他采购活动。</w:t>
      </w:r>
    </w:p>
    <w:p>
      <w:pPr>
        <w:snapToGrid w:val="0"/>
        <w:spacing w:line="440" w:lineRule="exact"/>
        <w:ind w:firstLine="420" w:firstLineChars="200"/>
        <w:rPr>
          <w:color w:val="auto"/>
          <w:szCs w:val="21"/>
          <w:highlight w:val="none"/>
        </w:rPr>
      </w:pPr>
      <w:r>
        <w:rPr>
          <w:color w:val="auto"/>
          <w:szCs w:val="21"/>
          <w:highlight w:val="none"/>
        </w:rPr>
        <w:t>8.3响应费用：无论评选结果如何，供应商参与本项目评比的所有费用均应由供应商自行承担。</w:t>
      </w:r>
    </w:p>
    <w:p>
      <w:pPr>
        <w:snapToGrid w:val="0"/>
        <w:spacing w:line="440" w:lineRule="exact"/>
        <w:ind w:firstLine="420" w:firstLineChars="200"/>
        <w:rPr>
          <w:color w:val="auto"/>
          <w:szCs w:val="21"/>
          <w:highlight w:val="none"/>
        </w:rPr>
      </w:pPr>
      <w:r>
        <w:rPr>
          <w:color w:val="auto"/>
          <w:szCs w:val="21"/>
          <w:highlight w:val="none"/>
        </w:rPr>
        <w:t>8.4本项目不接受联合体参与响应。</w:t>
      </w:r>
    </w:p>
    <w:p>
      <w:pPr>
        <w:snapToGrid w:val="0"/>
        <w:spacing w:line="440" w:lineRule="exact"/>
        <w:ind w:firstLine="420" w:firstLineChars="200"/>
        <w:rPr>
          <w:color w:val="auto"/>
          <w:szCs w:val="21"/>
          <w:highlight w:val="none"/>
        </w:rPr>
      </w:pPr>
      <w:r>
        <w:rPr>
          <w:color w:val="auto"/>
          <w:szCs w:val="21"/>
          <w:highlight w:val="none"/>
        </w:rPr>
        <w:t>8.5本项目不接受合同分包。</w:t>
      </w:r>
    </w:p>
    <w:p>
      <w:pPr>
        <w:adjustRightInd w:val="0"/>
        <w:snapToGrid w:val="0"/>
        <w:spacing w:line="440" w:lineRule="exact"/>
        <w:ind w:firstLine="420" w:firstLineChars="200"/>
        <w:rPr>
          <w:color w:val="auto"/>
          <w:szCs w:val="21"/>
          <w:highlight w:val="none"/>
        </w:rPr>
      </w:pPr>
      <w:bookmarkStart w:id="2" w:name="OLE_LINK2"/>
      <w:bookmarkStart w:id="3" w:name="OLE_LINK1"/>
      <w:r>
        <w:rPr>
          <w:color w:val="auto"/>
          <w:szCs w:val="21"/>
          <w:highlight w:val="none"/>
        </w:rPr>
        <w:t>8.6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w:t>
      </w:r>
      <w:bookmarkEnd w:id="2"/>
      <w:bookmarkEnd w:id="3"/>
      <w:r>
        <w:rPr>
          <w:color w:val="auto"/>
          <w:szCs w:val="21"/>
          <w:highlight w:val="none"/>
        </w:rPr>
        <w:t>供应商，将拒绝其参与本项目采购活动。</w:t>
      </w:r>
    </w:p>
    <w:p>
      <w:pPr>
        <w:adjustRightInd w:val="0"/>
        <w:snapToGrid w:val="0"/>
        <w:spacing w:line="440" w:lineRule="exact"/>
        <w:ind w:firstLine="420" w:firstLineChars="200"/>
        <w:rPr>
          <w:color w:val="auto"/>
          <w:szCs w:val="21"/>
          <w:highlight w:val="none"/>
        </w:rPr>
      </w:pPr>
      <w:r>
        <w:rPr>
          <w:rFonts w:hint="eastAsia"/>
          <w:color w:val="auto"/>
          <w:szCs w:val="21"/>
          <w:highlight w:val="none"/>
        </w:rPr>
        <w:t>8</w:t>
      </w:r>
      <w:r>
        <w:rPr>
          <w:color w:val="auto"/>
          <w:szCs w:val="21"/>
          <w:highlight w:val="none"/>
        </w:rPr>
        <w:t>.7</w:t>
      </w:r>
      <w:r>
        <w:rPr>
          <w:rFonts w:hint="eastAsia"/>
          <w:color w:val="auto"/>
          <w:szCs w:val="21"/>
          <w:highlight w:val="none"/>
        </w:rPr>
        <w:t>本项目若有补遗文件一律在</w:t>
      </w:r>
      <w:r>
        <w:rPr>
          <w:color w:val="auto"/>
          <w:szCs w:val="21"/>
          <w:highlight w:val="none"/>
        </w:rPr>
        <w:t>《中国政府采购网》（http://www.ccgp. gov.cn）</w:t>
      </w:r>
      <w:r>
        <w:rPr>
          <w:rFonts w:hint="eastAsia"/>
          <w:color w:val="auto"/>
          <w:szCs w:val="21"/>
          <w:highlight w:val="none"/>
        </w:rPr>
        <w:t>上发布，请各供应商注意下载或到采购代理机构领取；无论供应商下载或领取与否，均视同供应商已知晓本项目补遗文件的内容。</w:t>
      </w:r>
    </w:p>
    <w:p>
      <w:pPr>
        <w:adjustRightInd w:val="0"/>
        <w:snapToGrid w:val="0"/>
        <w:spacing w:line="440" w:lineRule="exact"/>
        <w:ind w:firstLine="422" w:firstLineChars="200"/>
        <w:rPr>
          <w:color w:val="auto"/>
          <w:szCs w:val="21"/>
          <w:highlight w:val="none"/>
        </w:rPr>
      </w:pPr>
      <w:r>
        <w:rPr>
          <w:b/>
          <w:color w:val="auto"/>
          <w:szCs w:val="21"/>
          <w:highlight w:val="none"/>
        </w:rPr>
        <w:t>9．评分方法：</w:t>
      </w:r>
      <w:r>
        <w:rPr>
          <w:color w:val="auto"/>
          <w:szCs w:val="21"/>
          <w:highlight w:val="none"/>
        </w:rPr>
        <w:t>综合评分法</w:t>
      </w:r>
    </w:p>
    <w:p>
      <w:pPr>
        <w:adjustRightInd w:val="0"/>
        <w:snapToGrid w:val="0"/>
        <w:spacing w:line="440" w:lineRule="exact"/>
        <w:ind w:firstLine="422" w:firstLineChars="200"/>
        <w:rPr>
          <w:b/>
          <w:color w:val="auto"/>
          <w:szCs w:val="21"/>
          <w:highlight w:val="none"/>
        </w:rPr>
      </w:pPr>
      <w:r>
        <w:rPr>
          <w:b/>
          <w:color w:val="auto"/>
          <w:szCs w:val="21"/>
          <w:highlight w:val="none"/>
        </w:rPr>
        <w:t>10．联系人和联系方式</w:t>
      </w:r>
    </w:p>
    <w:p>
      <w:pPr>
        <w:adjustRightInd w:val="0"/>
        <w:snapToGrid w:val="0"/>
        <w:spacing w:line="440" w:lineRule="exact"/>
        <w:ind w:firstLine="422" w:firstLineChars="200"/>
        <w:rPr>
          <w:color w:val="auto"/>
          <w:szCs w:val="21"/>
          <w:highlight w:val="none"/>
        </w:rPr>
      </w:pPr>
      <w:r>
        <w:rPr>
          <w:b/>
          <w:color w:val="auto"/>
          <w:szCs w:val="21"/>
          <w:highlight w:val="none"/>
        </w:rPr>
        <w:t>采购人：</w:t>
      </w:r>
      <w:r>
        <w:rPr>
          <w:color w:val="auto"/>
          <w:szCs w:val="21"/>
          <w:highlight w:val="none"/>
        </w:rPr>
        <w:t>北京理工大学重庆微电子研究院</w:t>
      </w:r>
    </w:p>
    <w:p>
      <w:pPr>
        <w:snapToGrid w:val="0"/>
        <w:spacing w:line="440" w:lineRule="exact"/>
        <w:ind w:firstLine="420" w:firstLineChars="200"/>
        <w:rPr>
          <w:bCs/>
          <w:color w:val="auto"/>
          <w:szCs w:val="21"/>
          <w:highlight w:val="none"/>
        </w:rPr>
      </w:pPr>
      <w:r>
        <w:rPr>
          <w:bCs/>
          <w:color w:val="auto"/>
          <w:szCs w:val="21"/>
          <w:highlight w:val="none"/>
        </w:rPr>
        <w:t>联系人：安老师</w:t>
      </w:r>
    </w:p>
    <w:p>
      <w:pPr>
        <w:snapToGrid w:val="0"/>
        <w:spacing w:line="440" w:lineRule="exact"/>
        <w:ind w:firstLine="420" w:firstLineChars="200"/>
        <w:rPr>
          <w:bCs/>
          <w:color w:val="auto"/>
          <w:szCs w:val="21"/>
          <w:highlight w:val="none"/>
        </w:rPr>
      </w:pPr>
      <w:r>
        <w:rPr>
          <w:bCs/>
          <w:color w:val="auto"/>
          <w:szCs w:val="21"/>
          <w:highlight w:val="none"/>
        </w:rPr>
        <w:t>电话：18702386087</w:t>
      </w:r>
    </w:p>
    <w:p>
      <w:pPr>
        <w:snapToGrid w:val="0"/>
        <w:spacing w:line="440" w:lineRule="exact"/>
        <w:ind w:firstLine="420" w:firstLineChars="200"/>
        <w:rPr>
          <w:bCs/>
          <w:color w:val="auto"/>
          <w:szCs w:val="21"/>
          <w:highlight w:val="none"/>
        </w:rPr>
      </w:pPr>
      <w:r>
        <w:rPr>
          <w:bCs/>
          <w:color w:val="auto"/>
          <w:szCs w:val="21"/>
          <w:highlight w:val="none"/>
        </w:rPr>
        <w:t>技术负责人：焦</w:t>
      </w:r>
      <w:r>
        <w:rPr>
          <w:color w:val="auto"/>
          <w:highlight w:val="none"/>
        </w:rPr>
        <w:t>老师</w:t>
      </w:r>
    </w:p>
    <w:p>
      <w:pPr>
        <w:snapToGrid w:val="0"/>
        <w:spacing w:line="440" w:lineRule="exact"/>
        <w:ind w:firstLine="420" w:firstLineChars="200"/>
        <w:rPr>
          <w:bCs/>
          <w:color w:val="auto"/>
          <w:szCs w:val="21"/>
          <w:highlight w:val="none"/>
        </w:rPr>
      </w:pPr>
      <w:r>
        <w:rPr>
          <w:bCs/>
          <w:color w:val="auto"/>
          <w:szCs w:val="21"/>
          <w:highlight w:val="none"/>
        </w:rPr>
        <w:t>电话：</w:t>
      </w:r>
      <w:r>
        <w:rPr>
          <w:color w:val="auto"/>
          <w:highlight w:val="none"/>
        </w:rPr>
        <w:t>13594662014</w:t>
      </w:r>
    </w:p>
    <w:p>
      <w:pPr>
        <w:snapToGrid w:val="0"/>
        <w:spacing w:line="440" w:lineRule="exact"/>
        <w:ind w:firstLine="420" w:firstLineChars="200"/>
        <w:rPr>
          <w:color w:val="auto"/>
          <w:szCs w:val="21"/>
          <w:highlight w:val="none"/>
        </w:rPr>
      </w:pPr>
      <w:r>
        <w:rPr>
          <w:bCs/>
          <w:color w:val="auto"/>
          <w:szCs w:val="21"/>
          <w:highlight w:val="none"/>
        </w:rPr>
        <w:t>地址： 重庆市沙坪坝区西永微电园3期1号楼2单元</w:t>
      </w:r>
    </w:p>
    <w:p>
      <w:pPr>
        <w:snapToGrid w:val="0"/>
        <w:spacing w:line="440" w:lineRule="exact"/>
        <w:ind w:firstLine="420" w:firstLineChars="200"/>
        <w:rPr>
          <w:color w:val="auto"/>
          <w:szCs w:val="21"/>
          <w:highlight w:val="none"/>
        </w:rPr>
      </w:pPr>
    </w:p>
    <w:p>
      <w:pPr>
        <w:snapToGrid w:val="0"/>
        <w:spacing w:line="440" w:lineRule="exact"/>
        <w:ind w:firstLine="422" w:firstLineChars="200"/>
        <w:rPr>
          <w:color w:val="auto"/>
          <w:szCs w:val="21"/>
          <w:highlight w:val="none"/>
        </w:rPr>
      </w:pPr>
      <w:r>
        <w:rPr>
          <w:b/>
          <w:color w:val="auto"/>
          <w:szCs w:val="21"/>
          <w:highlight w:val="none"/>
        </w:rPr>
        <w:t>采购代理机构：</w:t>
      </w:r>
      <w:r>
        <w:rPr>
          <w:color w:val="auto"/>
          <w:szCs w:val="21"/>
          <w:highlight w:val="none"/>
        </w:rPr>
        <w:t>重庆赛迪工程咨询有限公司</w:t>
      </w:r>
    </w:p>
    <w:p>
      <w:pPr>
        <w:snapToGrid w:val="0"/>
        <w:spacing w:line="440" w:lineRule="exact"/>
        <w:ind w:firstLine="420" w:firstLineChars="200"/>
        <w:rPr>
          <w:color w:val="auto"/>
          <w:szCs w:val="21"/>
          <w:highlight w:val="none"/>
        </w:rPr>
      </w:pPr>
      <w:r>
        <w:rPr>
          <w:color w:val="auto"/>
          <w:szCs w:val="21"/>
          <w:highlight w:val="none"/>
        </w:rPr>
        <w:t>联系人：文老师</w:t>
      </w:r>
    </w:p>
    <w:p>
      <w:pPr>
        <w:snapToGrid w:val="0"/>
        <w:spacing w:line="440" w:lineRule="exact"/>
        <w:ind w:firstLine="420" w:firstLineChars="200"/>
        <w:rPr>
          <w:color w:val="auto"/>
          <w:szCs w:val="21"/>
          <w:highlight w:val="none"/>
        </w:rPr>
      </w:pPr>
      <w:r>
        <w:rPr>
          <w:color w:val="auto"/>
          <w:szCs w:val="21"/>
          <w:highlight w:val="none"/>
        </w:rPr>
        <w:t>电  话：023-63545924</w:t>
      </w:r>
    </w:p>
    <w:p>
      <w:pPr>
        <w:snapToGrid w:val="0"/>
        <w:spacing w:line="440" w:lineRule="exact"/>
        <w:ind w:firstLine="420" w:firstLineChars="200"/>
        <w:rPr>
          <w:color w:val="auto"/>
          <w:szCs w:val="21"/>
          <w:highlight w:val="none"/>
        </w:rPr>
      </w:pPr>
      <w:r>
        <w:rPr>
          <w:color w:val="auto"/>
          <w:szCs w:val="21"/>
          <w:highlight w:val="none"/>
        </w:rPr>
        <w:t>地  址：重庆市渝中区双钢路1号</w:t>
      </w:r>
    </w:p>
    <w:p>
      <w:pPr>
        <w:rPr>
          <w:color w:val="auto"/>
          <w:szCs w:val="36"/>
          <w:highlight w:val="none"/>
        </w:rPr>
      </w:pPr>
      <w:bookmarkStart w:id="4" w:name="_Toc10213426"/>
      <w:r>
        <w:rPr>
          <w:color w:val="auto"/>
          <w:szCs w:val="36"/>
          <w:highlight w:val="none"/>
        </w:rPr>
        <w:br w:type="page"/>
      </w:r>
    </w:p>
    <w:p>
      <w:pPr>
        <w:pStyle w:val="3"/>
        <w:rPr>
          <w:rFonts w:eastAsia="宋体"/>
          <w:bCs w:val="0"/>
          <w:color w:val="auto"/>
          <w:kern w:val="2"/>
          <w:szCs w:val="36"/>
          <w:highlight w:val="none"/>
        </w:rPr>
      </w:pPr>
      <w:r>
        <w:rPr>
          <w:rFonts w:eastAsia="宋体"/>
          <w:bCs w:val="0"/>
          <w:color w:val="auto"/>
          <w:kern w:val="2"/>
          <w:szCs w:val="36"/>
          <w:highlight w:val="none"/>
        </w:rPr>
        <w:t>第二章 评比供应商须知</w:t>
      </w:r>
      <w:bookmarkEnd w:id="4"/>
    </w:p>
    <w:p>
      <w:pPr>
        <w:jc w:val="center"/>
        <w:rPr>
          <w:b/>
          <w:color w:val="auto"/>
          <w:sz w:val="30"/>
          <w:szCs w:val="30"/>
          <w:highlight w:val="none"/>
        </w:rPr>
      </w:pPr>
      <w:bookmarkStart w:id="5" w:name="_Toc68963460"/>
      <w:r>
        <w:rPr>
          <w:b/>
          <w:color w:val="auto"/>
          <w:sz w:val="30"/>
          <w:szCs w:val="30"/>
          <w:highlight w:val="none"/>
        </w:rPr>
        <w:t>评比供应商须知前附表</w:t>
      </w:r>
      <w:bookmarkEnd w:id="5"/>
    </w:p>
    <w:tbl>
      <w:tblPr>
        <w:tblStyle w:val="40"/>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985"/>
        <w:gridCol w:w="8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720"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序号</w:t>
            </w:r>
          </w:p>
        </w:tc>
        <w:tc>
          <w:tcPr>
            <w:tcW w:w="985"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条款号</w:t>
            </w:r>
          </w:p>
        </w:tc>
        <w:tc>
          <w:tcPr>
            <w:tcW w:w="8135"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具 体 信 息 或 数 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20"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1</w:t>
            </w:r>
          </w:p>
        </w:tc>
        <w:tc>
          <w:tcPr>
            <w:tcW w:w="985"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1.1</w:t>
            </w:r>
          </w:p>
        </w:tc>
        <w:tc>
          <w:tcPr>
            <w:tcW w:w="8135" w:type="dxa"/>
            <w:tcMar>
              <w:top w:w="57" w:type="dxa"/>
              <w:bottom w:w="57" w:type="dxa"/>
            </w:tcMar>
            <w:vAlign w:val="center"/>
          </w:tcPr>
          <w:p>
            <w:pPr>
              <w:pStyle w:val="22"/>
              <w:adjustRightInd w:val="0"/>
              <w:snapToGrid w:val="0"/>
              <w:spacing w:line="440" w:lineRule="exact"/>
              <w:rPr>
                <w:rFonts w:ascii="Times New Roman" w:hAnsi="Times New Roman"/>
                <w:color w:val="auto"/>
                <w:sz w:val="21"/>
                <w:szCs w:val="21"/>
                <w:highlight w:val="none"/>
              </w:rPr>
            </w:pPr>
            <w:r>
              <w:rPr>
                <w:rFonts w:ascii="Times New Roman" w:hAnsi="Times New Roman"/>
                <w:color w:val="auto"/>
                <w:sz w:val="21"/>
                <w:szCs w:val="21"/>
                <w:highlight w:val="none"/>
              </w:rPr>
              <w:t>项目名称：</w:t>
            </w:r>
            <w:r>
              <w:rPr>
                <w:rFonts w:hint="eastAsia" w:ascii="Times New Roman" w:hAnsi="Times New Roman"/>
                <w:color w:val="auto"/>
                <w:sz w:val="21"/>
                <w:szCs w:val="21"/>
                <w:highlight w:val="none"/>
              </w:rPr>
              <w:t>北京理工大学重庆微电子研究院净化间实验室装修改造及实验环境改造项目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20"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2</w:t>
            </w:r>
          </w:p>
        </w:tc>
        <w:tc>
          <w:tcPr>
            <w:tcW w:w="985"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1.2</w:t>
            </w:r>
          </w:p>
        </w:tc>
        <w:tc>
          <w:tcPr>
            <w:tcW w:w="8135" w:type="dxa"/>
            <w:tcMar>
              <w:top w:w="57" w:type="dxa"/>
              <w:bottom w:w="57" w:type="dxa"/>
            </w:tcMar>
            <w:vAlign w:val="center"/>
          </w:tcPr>
          <w:p>
            <w:pPr>
              <w:pStyle w:val="22"/>
              <w:adjustRightInd w:val="0"/>
              <w:snapToGrid w:val="0"/>
              <w:spacing w:line="440" w:lineRule="exact"/>
              <w:rPr>
                <w:rFonts w:ascii="Times New Roman" w:hAnsi="Times New Roman"/>
                <w:color w:val="auto"/>
                <w:sz w:val="21"/>
                <w:szCs w:val="21"/>
                <w:highlight w:val="none"/>
              </w:rPr>
            </w:pPr>
            <w:r>
              <w:rPr>
                <w:rFonts w:ascii="Times New Roman" w:hAnsi="Times New Roman"/>
                <w:color w:val="auto"/>
                <w:sz w:val="21"/>
                <w:szCs w:val="21"/>
                <w:highlight w:val="none"/>
              </w:rPr>
              <w:t>采购人：北京理工大学重庆微电子研究院</w:t>
            </w:r>
          </w:p>
          <w:p>
            <w:pPr>
              <w:pStyle w:val="22"/>
              <w:adjustRightInd w:val="0"/>
              <w:snapToGrid w:val="0"/>
              <w:spacing w:line="440" w:lineRule="exact"/>
              <w:rPr>
                <w:rFonts w:ascii="Times New Roman" w:hAnsi="Times New Roman"/>
                <w:color w:val="auto"/>
                <w:sz w:val="21"/>
                <w:szCs w:val="21"/>
                <w:highlight w:val="none"/>
              </w:rPr>
            </w:pPr>
            <w:r>
              <w:rPr>
                <w:rFonts w:ascii="Times New Roman" w:hAnsi="Times New Roman"/>
                <w:color w:val="auto"/>
                <w:sz w:val="21"/>
                <w:szCs w:val="21"/>
                <w:highlight w:val="none"/>
              </w:rPr>
              <w:t>采购人地址：</w:t>
            </w:r>
            <w:r>
              <w:rPr>
                <w:rFonts w:ascii="Times New Roman" w:hAnsi="Times New Roman"/>
                <w:bCs/>
                <w:color w:val="auto"/>
                <w:sz w:val="21"/>
                <w:szCs w:val="21"/>
                <w:highlight w:val="none"/>
              </w:rPr>
              <w:t>重庆市沙坪坝区西永微电园3期1号楼2单元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20"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3</w:t>
            </w:r>
          </w:p>
        </w:tc>
        <w:tc>
          <w:tcPr>
            <w:tcW w:w="985"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1.4</w:t>
            </w:r>
          </w:p>
        </w:tc>
        <w:tc>
          <w:tcPr>
            <w:tcW w:w="8135" w:type="dxa"/>
            <w:tcMar>
              <w:top w:w="57" w:type="dxa"/>
              <w:bottom w:w="57" w:type="dxa"/>
            </w:tcMar>
            <w:vAlign w:val="center"/>
          </w:tcPr>
          <w:p>
            <w:pPr>
              <w:pStyle w:val="22"/>
              <w:adjustRightInd w:val="0"/>
              <w:snapToGrid w:val="0"/>
              <w:spacing w:line="440" w:lineRule="exact"/>
              <w:rPr>
                <w:rFonts w:ascii="Times New Roman" w:hAnsi="Times New Roman"/>
                <w:color w:val="auto"/>
                <w:sz w:val="21"/>
                <w:szCs w:val="21"/>
                <w:highlight w:val="none"/>
              </w:rPr>
            </w:pPr>
            <w:r>
              <w:rPr>
                <w:rFonts w:ascii="Times New Roman" w:hAnsi="Times New Roman"/>
                <w:bCs/>
                <w:color w:val="auto"/>
                <w:sz w:val="21"/>
                <w:szCs w:val="21"/>
                <w:highlight w:val="none"/>
              </w:rPr>
              <w:t>交货期：</w:t>
            </w:r>
            <w:r>
              <w:rPr>
                <w:rFonts w:hint="eastAsia" w:ascii="Times New Roman" w:hAnsi="Times New Roman"/>
                <w:color w:val="auto"/>
                <w:sz w:val="21"/>
                <w:szCs w:val="21"/>
                <w:highlight w:val="none"/>
              </w:rPr>
              <w:t>供应商应在合同签署后的7周之内，完成工程的设计、施工等内容</w:t>
            </w:r>
            <w:r>
              <w:rPr>
                <w:rFonts w:ascii="Times New Roman" w:hAnsi="Times New Roman"/>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 w:hRule="atLeast"/>
          <w:jc w:val="center"/>
        </w:trPr>
        <w:tc>
          <w:tcPr>
            <w:tcW w:w="720"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4</w:t>
            </w:r>
          </w:p>
        </w:tc>
        <w:tc>
          <w:tcPr>
            <w:tcW w:w="985"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3.1</w:t>
            </w:r>
          </w:p>
        </w:tc>
        <w:tc>
          <w:tcPr>
            <w:tcW w:w="8135" w:type="dxa"/>
            <w:tcMar>
              <w:top w:w="57" w:type="dxa"/>
              <w:bottom w:w="57" w:type="dxa"/>
            </w:tcMar>
            <w:vAlign w:val="center"/>
          </w:tcPr>
          <w:p>
            <w:pPr>
              <w:pStyle w:val="22"/>
              <w:adjustRightInd w:val="0"/>
              <w:snapToGrid w:val="0"/>
              <w:spacing w:line="440" w:lineRule="exact"/>
              <w:rPr>
                <w:rFonts w:ascii="Times New Roman" w:hAnsi="Times New Roman"/>
                <w:color w:val="auto"/>
                <w:sz w:val="21"/>
                <w:szCs w:val="21"/>
                <w:highlight w:val="none"/>
              </w:rPr>
            </w:pPr>
            <w:r>
              <w:rPr>
                <w:rFonts w:ascii="Times New Roman" w:hAnsi="Times New Roman"/>
                <w:color w:val="auto"/>
                <w:sz w:val="21"/>
                <w:szCs w:val="21"/>
                <w:highlight w:val="none"/>
              </w:rPr>
              <w:t>合格评比供应商必须同时满足下述资格条件：</w:t>
            </w:r>
          </w:p>
          <w:p>
            <w:pPr>
              <w:pStyle w:val="22"/>
              <w:adjustRightInd w:val="0"/>
              <w:snapToGrid w:val="0"/>
              <w:spacing w:line="440" w:lineRule="exact"/>
              <w:rPr>
                <w:rFonts w:ascii="Times New Roman" w:hAnsi="Times New Roman"/>
                <w:color w:val="auto"/>
                <w:sz w:val="21"/>
                <w:szCs w:val="21"/>
                <w:highlight w:val="none"/>
              </w:rPr>
            </w:pPr>
            <w:r>
              <w:rPr>
                <w:rFonts w:hint="eastAsia" w:ascii="Times New Roman" w:hAnsi="Times New Roman"/>
                <w:color w:val="auto"/>
                <w:sz w:val="21"/>
                <w:szCs w:val="21"/>
                <w:highlight w:val="none"/>
              </w:rPr>
              <w:t>（1）</w:t>
            </w:r>
            <w:r>
              <w:rPr>
                <w:rFonts w:ascii="Times New Roman" w:hAnsi="Times New Roman"/>
                <w:color w:val="auto"/>
                <w:sz w:val="21"/>
                <w:szCs w:val="21"/>
                <w:highlight w:val="none"/>
              </w:rPr>
              <w:t>满足《中华人民共和国政府采购法》第二十二条要求</w:t>
            </w:r>
            <w:r>
              <w:rPr>
                <w:rFonts w:hint="eastAsia" w:ascii="Times New Roman" w:hAnsi="Times New Roman"/>
                <w:color w:val="auto"/>
                <w:sz w:val="21"/>
                <w:szCs w:val="21"/>
                <w:highlight w:val="none"/>
              </w:rPr>
              <w:t>；</w:t>
            </w:r>
            <w:r>
              <w:rPr>
                <w:rFonts w:ascii="Times New Roman" w:hAnsi="Times New Roman"/>
                <w:color w:val="auto"/>
                <w:sz w:val="21"/>
                <w:szCs w:val="21"/>
                <w:highlight w:val="none"/>
              </w:rPr>
              <w:br w:type="textWrapping"/>
            </w:r>
            <w:r>
              <w:rPr>
                <w:rFonts w:ascii="Times New Roman" w:hAnsi="Times New Roman"/>
                <w:color w:val="auto"/>
                <w:sz w:val="21"/>
                <w:szCs w:val="21"/>
                <w:highlight w:val="none"/>
              </w:rPr>
              <w:t>（2）</w:t>
            </w:r>
            <w:r>
              <w:rPr>
                <w:rFonts w:ascii="Times New Roman" w:hAnsi="Times New Roman"/>
                <w:color w:val="auto"/>
                <w:sz w:val="21"/>
                <w:szCs w:val="21"/>
                <w:highlight w:val="none"/>
              </w:rPr>
              <w:t>落实政府采购政策需满足的资格要求：无</w:t>
            </w:r>
            <w:r>
              <w:rPr>
                <w:rFonts w:hint="eastAsia" w:ascii="Times New Roman" w:hAnsi="Times New Roman"/>
                <w:color w:val="auto"/>
                <w:sz w:val="21"/>
                <w:szCs w:val="21"/>
                <w:highlight w:val="none"/>
              </w:rPr>
              <w:t>；</w:t>
            </w:r>
          </w:p>
          <w:p>
            <w:pPr>
              <w:pStyle w:val="22"/>
              <w:adjustRightInd w:val="0"/>
              <w:snapToGrid w:val="0"/>
              <w:spacing w:line="440" w:lineRule="exact"/>
              <w:rPr>
                <w:rFonts w:ascii="Times New Roman" w:hAnsi="Times New Roman"/>
                <w:color w:val="auto"/>
                <w:sz w:val="21"/>
                <w:szCs w:val="21"/>
                <w:highlight w:val="none"/>
              </w:rPr>
            </w:pPr>
            <w:r>
              <w:rPr>
                <w:rFonts w:ascii="Times New Roman" w:hAnsi="Times New Roman"/>
                <w:color w:val="auto"/>
                <w:sz w:val="21"/>
                <w:szCs w:val="21"/>
                <w:highlight w:val="none"/>
              </w:rPr>
              <w:t>（3）</w:t>
            </w:r>
            <w:r>
              <w:rPr>
                <w:rFonts w:ascii="Times New Roman" w:hAnsi="Times New Roman"/>
                <w:color w:val="auto"/>
                <w:sz w:val="21"/>
                <w:szCs w:val="21"/>
                <w:highlight w:val="none"/>
              </w:rPr>
              <w:t>满足本项目的特定资格要求：</w:t>
            </w:r>
            <w:r>
              <w:rPr>
                <w:rFonts w:hint="eastAsia" w:ascii="Times New Roman" w:hAnsi="Times New Roman"/>
                <w:color w:val="auto"/>
                <w:sz w:val="21"/>
                <w:szCs w:val="21"/>
                <w:highlight w:val="none"/>
              </w:rPr>
              <w:t>建筑机电安装工程专业承包三级及以上资质</w:t>
            </w:r>
            <w:r>
              <w:rPr>
                <w:rFonts w:ascii="Times New Roman" w:hAnsi="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20"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5</w:t>
            </w:r>
          </w:p>
        </w:tc>
        <w:tc>
          <w:tcPr>
            <w:tcW w:w="985"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5.1</w:t>
            </w:r>
          </w:p>
        </w:tc>
        <w:tc>
          <w:tcPr>
            <w:tcW w:w="8135" w:type="dxa"/>
            <w:tcMar>
              <w:top w:w="57" w:type="dxa"/>
              <w:bottom w:w="57" w:type="dxa"/>
            </w:tcMar>
            <w:vAlign w:val="center"/>
          </w:tcPr>
          <w:p>
            <w:pPr>
              <w:pStyle w:val="22"/>
              <w:adjustRightInd w:val="0"/>
              <w:snapToGrid w:val="0"/>
              <w:spacing w:line="440" w:lineRule="exact"/>
              <w:rPr>
                <w:rFonts w:ascii="Times New Roman" w:hAnsi="Times New Roman"/>
                <w:color w:val="auto"/>
                <w:sz w:val="21"/>
                <w:szCs w:val="21"/>
                <w:highlight w:val="none"/>
              </w:rPr>
            </w:pPr>
            <w:r>
              <w:rPr>
                <w:rFonts w:ascii="Times New Roman" w:hAnsi="Times New Roman"/>
                <w:color w:val="auto"/>
                <w:sz w:val="21"/>
                <w:szCs w:val="21"/>
                <w:highlight w:val="none"/>
              </w:rPr>
              <w:t>现场考察</w:t>
            </w:r>
            <w:r>
              <w:rPr>
                <w:rFonts w:ascii="Times New Roman" w:hAnsi="Times New Roman"/>
                <w:color w:val="auto"/>
                <w:sz w:val="21"/>
                <w:szCs w:val="21"/>
                <w:highlight w:val="none"/>
              </w:rPr>
              <w:t>：按第四章 技术服务需求及说明</w:t>
            </w:r>
            <w:r>
              <w:rPr>
                <w:rFonts w:hint="eastAsia" w:ascii="Times New Roman" w:hAnsi="Times New Roman"/>
                <w:color w:val="auto"/>
                <w:sz w:val="21"/>
                <w:szCs w:val="21"/>
                <w:highlight w:val="none"/>
              </w:rPr>
              <w:t>中</w:t>
            </w:r>
            <w:r>
              <w:rPr>
                <w:rFonts w:ascii="Times New Roman" w:hAnsi="Times New Roman"/>
                <w:color w:val="auto"/>
                <w:sz w:val="21"/>
                <w:szCs w:val="21"/>
                <w:highlight w:val="none"/>
              </w:rPr>
              <w:t>第五现场</w:t>
            </w:r>
            <w:r>
              <w:rPr>
                <w:rFonts w:hint="eastAsia" w:ascii="Times New Roman" w:hAnsi="Times New Roman"/>
                <w:color w:val="auto"/>
                <w:sz w:val="21"/>
                <w:szCs w:val="21"/>
                <w:highlight w:val="none"/>
              </w:rPr>
              <w:t>踏勘</w:t>
            </w:r>
            <w:r>
              <w:rPr>
                <w:rFonts w:ascii="Times New Roman" w:hAnsi="Times New Roman"/>
                <w:color w:val="auto"/>
                <w:sz w:val="21"/>
                <w:szCs w:val="21"/>
                <w:highlight w:val="none"/>
              </w:rPr>
              <w:t>相关要求执行。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20"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6</w:t>
            </w:r>
          </w:p>
        </w:tc>
        <w:tc>
          <w:tcPr>
            <w:tcW w:w="985"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7.1</w:t>
            </w:r>
          </w:p>
        </w:tc>
        <w:tc>
          <w:tcPr>
            <w:tcW w:w="8135" w:type="dxa"/>
            <w:tcMar>
              <w:top w:w="57" w:type="dxa"/>
              <w:bottom w:w="57" w:type="dxa"/>
            </w:tcMar>
            <w:vAlign w:val="center"/>
          </w:tcPr>
          <w:p>
            <w:pPr>
              <w:pStyle w:val="22"/>
              <w:adjustRightInd w:val="0"/>
              <w:snapToGrid w:val="0"/>
              <w:rPr>
                <w:rFonts w:ascii="Times New Roman" w:hAnsi="Times New Roman"/>
                <w:color w:val="auto"/>
                <w:sz w:val="21"/>
                <w:szCs w:val="21"/>
                <w:highlight w:val="none"/>
              </w:rPr>
            </w:pPr>
            <w:r>
              <w:rPr>
                <w:rFonts w:ascii="Times New Roman" w:hAnsi="Times New Roman"/>
                <w:color w:val="auto"/>
                <w:sz w:val="21"/>
                <w:szCs w:val="21"/>
                <w:highlight w:val="none"/>
              </w:rPr>
              <w:t>评比文件澄清截止时间：评比响应文件递交截止时间3日之前。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20"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7</w:t>
            </w:r>
          </w:p>
        </w:tc>
        <w:tc>
          <w:tcPr>
            <w:tcW w:w="985"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11.1</w:t>
            </w:r>
          </w:p>
        </w:tc>
        <w:tc>
          <w:tcPr>
            <w:tcW w:w="8135" w:type="dxa"/>
            <w:tcMar>
              <w:top w:w="57" w:type="dxa"/>
              <w:bottom w:w="57" w:type="dxa"/>
            </w:tcMar>
            <w:vAlign w:val="center"/>
          </w:tcPr>
          <w:p>
            <w:pPr>
              <w:pStyle w:val="22"/>
              <w:adjustRightInd w:val="0"/>
              <w:snapToGrid w:val="0"/>
              <w:rPr>
                <w:rFonts w:ascii="Times New Roman" w:hAnsi="Times New Roman"/>
                <w:color w:val="auto"/>
                <w:sz w:val="21"/>
                <w:szCs w:val="21"/>
                <w:highlight w:val="none"/>
              </w:rPr>
            </w:pPr>
            <w:r>
              <w:rPr>
                <w:rFonts w:ascii="Times New Roman" w:hAnsi="Times New Roman"/>
                <w:color w:val="auto"/>
                <w:sz w:val="21"/>
                <w:szCs w:val="21"/>
                <w:highlight w:val="none"/>
              </w:rPr>
              <w:t>评比有效期：自评比响应文件递交截止之日起算90日历日。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720"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8</w:t>
            </w:r>
          </w:p>
        </w:tc>
        <w:tc>
          <w:tcPr>
            <w:tcW w:w="985"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12.1</w:t>
            </w:r>
          </w:p>
        </w:tc>
        <w:tc>
          <w:tcPr>
            <w:tcW w:w="8135" w:type="dxa"/>
            <w:tcMar>
              <w:top w:w="57" w:type="dxa"/>
              <w:bottom w:w="57" w:type="dxa"/>
            </w:tcMar>
            <w:vAlign w:val="center"/>
          </w:tcPr>
          <w:p>
            <w:pPr>
              <w:autoSpaceDE w:val="0"/>
              <w:autoSpaceDN w:val="0"/>
              <w:adjustRightInd w:val="0"/>
              <w:snapToGrid w:val="0"/>
              <w:spacing w:after="120"/>
              <w:rPr>
                <w:color w:val="auto"/>
                <w:szCs w:val="21"/>
                <w:highlight w:val="none"/>
              </w:rPr>
            </w:pPr>
            <w:r>
              <w:rPr>
                <w:color w:val="auto"/>
                <w:szCs w:val="21"/>
                <w:highlight w:val="none"/>
              </w:rPr>
              <w:t>评比保证金：无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0"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9</w:t>
            </w:r>
          </w:p>
        </w:tc>
        <w:tc>
          <w:tcPr>
            <w:tcW w:w="985"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13.1</w:t>
            </w:r>
          </w:p>
        </w:tc>
        <w:tc>
          <w:tcPr>
            <w:tcW w:w="8135" w:type="dxa"/>
            <w:tcMar>
              <w:top w:w="57" w:type="dxa"/>
              <w:bottom w:w="57" w:type="dxa"/>
            </w:tcMar>
            <w:vAlign w:val="center"/>
          </w:tcPr>
          <w:p>
            <w:pPr>
              <w:pStyle w:val="22"/>
              <w:adjustRightInd w:val="0"/>
              <w:snapToGrid w:val="0"/>
              <w:spacing w:line="440" w:lineRule="exact"/>
              <w:rPr>
                <w:rFonts w:ascii="Times New Roman" w:hAnsi="Times New Roman"/>
                <w:color w:val="auto"/>
                <w:sz w:val="21"/>
                <w:szCs w:val="21"/>
                <w:highlight w:val="none"/>
              </w:rPr>
            </w:pPr>
            <w:r>
              <w:rPr>
                <w:rFonts w:ascii="Times New Roman" w:hAnsi="Times New Roman"/>
                <w:color w:val="auto"/>
                <w:sz w:val="21"/>
                <w:szCs w:val="21"/>
                <w:highlight w:val="none"/>
              </w:rPr>
              <w:t>评比响应文件的份数：</w:t>
            </w:r>
            <w:r>
              <w:rPr>
                <w:rFonts w:ascii="Times New Roman" w:hAnsi="Times New Roman"/>
                <w:b/>
                <w:color w:val="auto"/>
                <w:sz w:val="21"/>
                <w:szCs w:val="21"/>
                <w:highlight w:val="none"/>
              </w:rPr>
              <w:t>纸质文件正本1份，副本2份，电子版1份（推荐采用光盘或U盘为电子文档载体）。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720"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10</w:t>
            </w:r>
          </w:p>
        </w:tc>
        <w:tc>
          <w:tcPr>
            <w:tcW w:w="985"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15.1</w:t>
            </w:r>
          </w:p>
        </w:tc>
        <w:tc>
          <w:tcPr>
            <w:tcW w:w="8135" w:type="dxa"/>
            <w:tcMar>
              <w:top w:w="57" w:type="dxa"/>
              <w:bottom w:w="57" w:type="dxa"/>
            </w:tcMar>
            <w:vAlign w:val="center"/>
          </w:tcPr>
          <w:p>
            <w:pPr>
              <w:adjustRightInd w:val="0"/>
              <w:snapToGrid w:val="0"/>
              <w:spacing w:line="440" w:lineRule="exact"/>
              <w:rPr>
                <w:color w:val="auto"/>
                <w:szCs w:val="21"/>
                <w:highlight w:val="none"/>
              </w:rPr>
            </w:pPr>
            <w:r>
              <w:rPr>
                <w:color w:val="auto"/>
                <w:szCs w:val="21"/>
                <w:highlight w:val="none"/>
              </w:rPr>
              <w:t>评比响应文件递交截止时间：2022年</w:t>
            </w:r>
            <w:r>
              <w:rPr>
                <w:rFonts w:hint="eastAsia"/>
                <w:color w:val="auto"/>
                <w:szCs w:val="21"/>
                <w:highlight w:val="none"/>
                <w:lang w:val="en-US" w:eastAsia="zh-CN"/>
              </w:rPr>
              <w:t>8</w:t>
            </w:r>
            <w:r>
              <w:rPr>
                <w:rFonts w:hint="eastAsia"/>
                <w:color w:val="auto"/>
                <w:szCs w:val="21"/>
                <w:highlight w:val="none"/>
              </w:rPr>
              <w:t xml:space="preserve"> </w:t>
            </w:r>
            <w:r>
              <w:rPr>
                <w:color w:val="auto"/>
                <w:szCs w:val="21"/>
                <w:highlight w:val="none"/>
              </w:rPr>
              <w:t>月</w:t>
            </w:r>
            <w:r>
              <w:rPr>
                <w:rFonts w:hint="eastAsia"/>
                <w:color w:val="auto"/>
                <w:szCs w:val="21"/>
                <w:highlight w:val="none"/>
                <w:lang w:val="en-US" w:eastAsia="zh-CN"/>
              </w:rPr>
              <w:t>5</w:t>
            </w:r>
            <w:r>
              <w:rPr>
                <w:rFonts w:hint="eastAsia"/>
                <w:color w:val="auto"/>
                <w:szCs w:val="21"/>
                <w:highlight w:val="none"/>
              </w:rPr>
              <w:t xml:space="preserve"> </w:t>
            </w:r>
            <w:r>
              <w:rPr>
                <w:color w:val="auto"/>
                <w:szCs w:val="21"/>
                <w:highlight w:val="none"/>
              </w:rPr>
              <w:t>日下午14：</w:t>
            </w:r>
            <w:r>
              <w:rPr>
                <w:rFonts w:hint="eastAsia"/>
                <w:color w:val="auto"/>
                <w:szCs w:val="21"/>
                <w:highlight w:val="none"/>
                <w:lang w:val="en-US" w:eastAsia="zh-CN"/>
              </w:rPr>
              <w:t>3</w:t>
            </w:r>
            <w:r>
              <w:rPr>
                <w:color w:val="auto"/>
                <w:szCs w:val="21"/>
                <w:highlight w:val="none"/>
              </w:rPr>
              <w:t>0（北京时间）</w:t>
            </w:r>
          </w:p>
          <w:p>
            <w:pPr>
              <w:adjustRightInd w:val="0"/>
              <w:snapToGrid w:val="0"/>
              <w:spacing w:line="440" w:lineRule="exact"/>
              <w:rPr>
                <w:color w:val="auto"/>
                <w:szCs w:val="21"/>
                <w:highlight w:val="none"/>
              </w:rPr>
            </w:pPr>
            <w:r>
              <w:rPr>
                <w:color w:val="auto"/>
                <w:szCs w:val="21"/>
                <w:highlight w:val="none"/>
              </w:rPr>
              <w:t>评比响应文件递交地点：重庆市渝中区双钢路1号8号楼1楼（重庆赛迪工程咨询有限公司会议中心）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jc w:val="center"/>
        </w:trPr>
        <w:tc>
          <w:tcPr>
            <w:tcW w:w="720"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11</w:t>
            </w:r>
          </w:p>
        </w:tc>
        <w:tc>
          <w:tcPr>
            <w:tcW w:w="985"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18.1</w:t>
            </w:r>
          </w:p>
        </w:tc>
        <w:tc>
          <w:tcPr>
            <w:tcW w:w="8135" w:type="dxa"/>
            <w:tcMar>
              <w:top w:w="57" w:type="dxa"/>
              <w:bottom w:w="57" w:type="dxa"/>
            </w:tcMar>
            <w:vAlign w:val="center"/>
          </w:tcPr>
          <w:p>
            <w:pPr>
              <w:adjustRightInd w:val="0"/>
              <w:snapToGrid w:val="0"/>
              <w:spacing w:line="440" w:lineRule="exact"/>
              <w:rPr>
                <w:color w:val="auto"/>
                <w:szCs w:val="21"/>
                <w:highlight w:val="none"/>
              </w:rPr>
            </w:pPr>
            <w:r>
              <w:rPr>
                <w:color w:val="auto"/>
                <w:szCs w:val="21"/>
                <w:highlight w:val="none"/>
              </w:rPr>
              <w:t>评比时间：2022年</w:t>
            </w:r>
            <w:r>
              <w:rPr>
                <w:rFonts w:hint="eastAsia"/>
                <w:color w:val="auto"/>
                <w:szCs w:val="21"/>
                <w:highlight w:val="none"/>
              </w:rPr>
              <w:t xml:space="preserve"> </w:t>
            </w:r>
            <w:r>
              <w:rPr>
                <w:rFonts w:hint="eastAsia"/>
                <w:color w:val="auto"/>
                <w:szCs w:val="21"/>
                <w:highlight w:val="none"/>
                <w:lang w:val="en-US" w:eastAsia="zh-CN"/>
              </w:rPr>
              <w:t>8</w:t>
            </w:r>
            <w:r>
              <w:rPr>
                <w:color w:val="auto"/>
                <w:szCs w:val="21"/>
                <w:highlight w:val="none"/>
              </w:rPr>
              <w:t>月</w:t>
            </w:r>
            <w:r>
              <w:rPr>
                <w:rFonts w:hint="eastAsia"/>
                <w:color w:val="auto"/>
                <w:szCs w:val="21"/>
                <w:highlight w:val="none"/>
                <w:lang w:val="en-US" w:eastAsia="zh-CN"/>
              </w:rPr>
              <w:t>5</w:t>
            </w:r>
            <w:r>
              <w:rPr>
                <w:rFonts w:hint="eastAsia"/>
                <w:color w:val="auto"/>
                <w:szCs w:val="21"/>
                <w:highlight w:val="none"/>
              </w:rPr>
              <w:t xml:space="preserve"> </w:t>
            </w:r>
            <w:r>
              <w:rPr>
                <w:color w:val="auto"/>
                <w:szCs w:val="21"/>
                <w:highlight w:val="none"/>
              </w:rPr>
              <w:t>日下午14:</w:t>
            </w:r>
            <w:r>
              <w:rPr>
                <w:rFonts w:hint="eastAsia"/>
                <w:color w:val="auto"/>
                <w:szCs w:val="21"/>
                <w:highlight w:val="none"/>
                <w:lang w:val="en-US" w:eastAsia="zh-CN"/>
              </w:rPr>
              <w:t>3</w:t>
            </w:r>
            <w:r>
              <w:rPr>
                <w:color w:val="auto"/>
                <w:szCs w:val="21"/>
                <w:highlight w:val="none"/>
              </w:rPr>
              <w:t>0（北京时间）</w:t>
            </w:r>
          </w:p>
          <w:p>
            <w:pPr>
              <w:adjustRightInd w:val="0"/>
              <w:snapToGrid w:val="0"/>
              <w:spacing w:line="440" w:lineRule="exact"/>
              <w:rPr>
                <w:color w:val="auto"/>
                <w:szCs w:val="21"/>
                <w:highlight w:val="none"/>
              </w:rPr>
            </w:pPr>
            <w:r>
              <w:rPr>
                <w:color w:val="auto"/>
                <w:szCs w:val="21"/>
                <w:highlight w:val="none"/>
              </w:rPr>
              <w:t>评比地点：重庆市渝中区双钢路1号8号楼1楼（重庆赛迪工程咨询有限公司会议中心）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20"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12</w:t>
            </w:r>
          </w:p>
        </w:tc>
        <w:tc>
          <w:tcPr>
            <w:tcW w:w="985"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23.1</w:t>
            </w:r>
          </w:p>
        </w:tc>
        <w:tc>
          <w:tcPr>
            <w:tcW w:w="8135" w:type="dxa"/>
            <w:tcMar>
              <w:top w:w="57" w:type="dxa"/>
              <w:bottom w:w="57" w:type="dxa"/>
            </w:tcMar>
            <w:vAlign w:val="center"/>
          </w:tcPr>
          <w:p>
            <w:pPr>
              <w:pStyle w:val="22"/>
              <w:adjustRightInd w:val="0"/>
              <w:snapToGrid w:val="0"/>
              <w:spacing w:line="440" w:lineRule="exact"/>
              <w:rPr>
                <w:rFonts w:ascii="Times New Roman" w:hAnsi="Times New Roman"/>
                <w:color w:val="auto"/>
                <w:sz w:val="21"/>
                <w:szCs w:val="21"/>
                <w:highlight w:val="none"/>
              </w:rPr>
            </w:pPr>
            <w:r>
              <w:rPr>
                <w:rFonts w:ascii="Times New Roman" w:hAnsi="Times New Roman"/>
                <w:color w:val="auto"/>
                <w:sz w:val="21"/>
                <w:szCs w:val="21"/>
                <w:highlight w:val="none"/>
              </w:rPr>
              <w:t>评审办法：综合评分法。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20"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13</w:t>
            </w:r>
          </w:p>
        </w:tc>
        <w:tc>
          <w:tcPr>
            <w:tcW w:w="985"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代理服务费计算</w:t>
            </w:r>
          </w:p>
        </w:tc>
        <w:tc>
          <w:tcPr>
            <w:tcW w:w="8135" w:type="dxa"/>
            <w:tcMar>
              <w:top w:w="57" w:type="dxa"/>
              <w:bottom w:w="57" w:type="dxa"/>
            </w:tcMar>
            <w:vAlign w:val="center"/>
          </w:tcPr>
          <w:p>
            <w:pPr>
              <w:pStyle w:val="22"/>
              <w:adjustRightInd w:val="0"/>
              <w:snapToGrid w:val="0"/>
              <w:spacing w:line="440" w:lineRule="exact"/>
              <w:rPr>
                <w:rFonts w:ascii="Times New Roman" w:hAnsi="Times New Roman"/>
                <w:color w:val="auto"/>
                <w:sz w:val="21"/>
                <w:szCs w:val="21"/>
                <w:highlight w:val="none"/>
              </w:rPr>
            </w:pPr>
            <w:r>
              <w:rPr>
                <w:rFonts w:ascii="Times New Roman" w:hAnsi="Times New Roman"/>
                <w:color w:val="auto"/>
                <w:sz w:val="21"/>
                <w:szCs w:val="21"/>
                <w:highlight w:val="none"/>
              </w:rPr>
              <w:t>按“计价格[2002]1980号”、“发改价格[2011]534号”文件所列的</w:t>
            </w:r>
            <w:r>
              <w:rPr>
                <w:rFonts w:ascii="Times New Roman" w:hAnsi="Times New Roman"/>
                <w:color w:val="auto"/>
                <w:sz w:val="21"/>
                <w:szCs w:val="21"/>
                <w:highlight w:val="none"/>
              </w:rPr>
              <w:t>“</w:t>
            </w:r>
            <w:r>
              <w:rPr>
                <w:rFonts w:hint="eastAsia" w:ascii="Times New Roman" w:hAnsi="Times New Roman"/>
                <w:color w:val="auto"/>
                <w:sz w:val="21"/>
                <w:szCs w:val="21"/>
                <w:highlight w:val="none"/>
              </w:rPr>
              <w:t>工程</w:t>
            </w:r>
            <w:r>
              <w:rPr>
                <w:rFonts w:ascii="Times New Roman" w:hAnsi="Times New Roman"/>
                <w:color w:val="auto"/>
                <w:sz w:val="21"/>
                <w:szCs w:val="21"/>
                <w:highlight w:val="none"/>
              </w:rPr>
              <w:t>类”</w:t>
            </w:r>
            <w:r>
              <w:rPr>
                <w:rFonts w:ascii="Times New Roman" w:hAnsi="Times New Roman"/>
                <w:color w:val="auto"/>
                <w:sz w:val="21"/>
                <w:szCs w:val="21"/>
                <w:highlight w:val="none"/>
              </w:rPr>
              <w:t>收费标准按差额累进方式计算。由成交供应商在领取成交通知书时向采购代理机构一次性支付。</w:t>
            </w:r>
          </w:p>
          <w:p>
            <w:pPr>
              <w:snapToGrid w:val="0"/>
              <w:spacing w:line="440" w:lineRule="exact"/>
              <w:ind w:firstLine="420" w:firstLineChars="200"/>
              <w:rPr>
                <w:color w:val="auto"/>
                <w:szCs w:val="21"/>
                <w:highlight w:val="none"/>
              </w:rPr>
            </w:pPr>
            <w:r>
              <w:rPr>
                <w:color w:val="auto"/>
                <w:szCs w:val="21"/>
                <w:highlight w:val="none"/>
              </w:rPr>
              <w:t>户 名：重庆赛迪工程咨询有限公司</w:t>
            </w:r>
          </w:p>
          <w:p>
            <w:pPr>
              <w:snapToGrid w:val="0"/>
              <w:spacing w:line="440" w:lineRule="exact"/>
              <w:ind w:firstLine="420" w:firstLineChars="200"/>
              <w:rPr>
                <w:color w:val="auto"/>
                <w:szCs w:val="21"/>
                <w:highlight w:val="none"/>
              </w:rPr>
            </w:pPr>
            <w:r>
              <w:rPr>
                <w:color w:val="auto"/>
                <w:szCs w:val="21"/>
                <w:highlight w:val="none"/>
              </w:rPr>
              <w:t>开户行：中国工商银行重庆大溪沟支行</w:t>
            </w:r>
          </w:p>
          <w:p>
            <w:pPr>
              <w:snapToGrid w:val="0"/>
              <w:spacing w:line="440" w:lineRule="exact"/>
              <w:ind w:firstLine="420" w:firstLineChars="200"/>
              <w:rPr>
                <w:color w:val="auto"/>
                <w:szCs w:val="21"/>
                <w:highlight w:val="none"/>
              </w:rPr>
            </w:pPr>
            <w:r>
              <w:rPr>
                <w:color w:val="auto"/>
                <w:szCs w:val="21"/>
                <w:highlight w:val="none"/>
              </w:rPr>
              <w:t>账 号：3100021409024809491</w:t>
            </w:r>
          </w:p>
          <w:p>
            <w:pPr>
              <w:snapToGrid w:val="0"/>
              <w:spacing w:line="440" w:lineRule="exact"/>
              <w:ind w:firstLine="420" w:firstLineChars="200"/>
              <w:rPr>
                <w:color w:val="auto"/>
                <w:szCs w:val="21"/>
                <w:highlight w:val="none"/>
              </w:rPr>
            </w:pPr>
            <w:r>
              <w:rPr>
                <w:color w:val="auto"/>
                <w:szCs w:val="21"/>
                <w:highlight w:val="none"/>
              </w:rPr>
              <w:t>银行联行号：102653000064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20"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14</w:t>
            </w:r>
          </w:p>
        </w:tc>
        <w:tc>
          <w:tcPr>
            <w:tcW w:w="985"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报价要求</w:t>
            </w:r>
          </w:p>
        </w:tc>
        <w:tc>
          <w:tcPr>
            <w:tcW w:w="8135" w:type="dxa"/>
            <w:tcMar>
              <w:top w:w="57" w:type="dxa"/>
              <w:bottom w:w="57" w:type="dxa"/>
            </w:tcMar>
            <w:vAlign w:val="center"/>
          </w:tcPr>
          <w:p>
            <w:pPr>
              <w:numPr>
                <w:ilvl w:val="255"/>
                <w:numId w:val="0"/>
              </w:numPr>
              <w:snapToGrid w:val="0"/>
              <w:spacing w:line="360" w:lineRule="auto"/>
              <w:ind w:firstLine="420" w:firstLineChars="200"/>
              <w:rPr>
                <w:color w:val="auto"/>
                <w:highlight w:val="none"/>
              </w:rPr>
            </w:pPr>
            <w:r>
              <w:rPr>
                <w:rFonts w:hint="eastAsia"/>
                <w:color w:val="auto"/>
                <w:highlight w:val="none"/>
              </w:rPr>
              <w:t>1.</w:t>
            </w:r>
            <w:r>
              <w:rPr>
                <w:color w:val="auto"/>
                <w:highlight w:val="none"/>
              </w:rPr>
              <w:t>本次</w:t>
            </w:r>
            <w:r>
              <w:rPr>
                <w:rFonts w:hint="eastAsia"/>
                <w:color w:val="auto"/>
                <w:highlight w:val="none"/>
              </w:rPr>
              <w:t>评比项目采用以人民币报价，总价包干，在合同实施期间不予调整（供应商自行考虑相应风险费用）</w:t>
            </w:r>
            <w:bookmarkStart w:id="6" w:name="_Hlk531684175"/>
            <w:r>
              <w:rPr>
                <w:rFonts w:hint="eastAsia"/>
                <w:color w:val="auto"/>
                <w:highlight w:val="none"/>
              </w:rPr>
              <w:t>，且质量符合国家</w:t>
            </w:r>
            <w:r>
              <w:rPr>
                <w:color w:val="auto"/>
                <w:highlight w:val="none"/>
              </w:rPr>
              <w:t>和重庆市现行</w:t>
            </w:r>
            <w:r>
              <w:rPr>
                <w:rFonts w:hint="eastAsia"/>
                <w:color w:val="auto"/>
                <w:highlight w:val="none"/>
              </w:rPr>
              <w:t>有关施工质量验收规范要求，并达到合格标准。</w:t>
            </w:r>
          </w:p>
          <w:p>
            <w:pPr>
              <w:adjustRightInd w:val="0"/>
              <w:snapToGrid w:val="0"/>
              <w:spacing w:line="440" w:lineRule="exact"/>
              <w:ind w:firstLine="420" w:firstLineChars="200"/>
              <w:rPr>
                <w:color w:val="auto"/>
                <w:highlight w:val="none"/>
              </w:rPr>
            </w:pPr>
            <w:r>
              <w:rPr>
                <w:rFonts w:hint="eastAsia"/>
                <w:color w:val="auto"/>
                <w:highlight w:val="none"/>
              </w:rPr>
              <w:t>2.评比报价应为包括完成本项目所需的人工费、材料费、机械费、企业管理费、利润、风险费用、措施费（含易撒漏物资密闭运输的费用）、规费、安全文明施工费、建设工程竣工档案编制费、税金、缺陷修复等所有费用，以及合同文件中明示或暗示的应由供应商承担的所有责任、义务和一般风险等费用</w:t>
            </w:r>
            <w:bookmarkEnd w:id="6"/>
            <w:r>
              <w:rPr>
                <w:color w:val="auto"/>
                <w:highlight w:val="none"/>
              </w:rPr>
              <w:t>。</w:t>
            </w:r>
          </w:p>
          <w:p>
            <w:pPr>
              <w:pStyle w:val="2"/>
              <w:adjustRightInd w:val="0"/>
              <w:snapToGrid w:val="0"/>
              <w:spacing w:after="0" w:line="440" w:lineRule="exact"/>
              <w:ind w:firstLine="420" w:firstLineChars="200"/>
              <w:rPr>
                <w:color w:val="auto"/>
                <w:highlight w:val="none"/>
              </w:rPr>
            </w:pPr>
            <w:r>
              <w:rPr>
                <w:rStyle w:val="48"/>
                <w:rFonts w:hint="eastAsia"/>
                <w:color w:val="auto"/>
                <w:highlight w:val="none"/>
              </w:rPr>
              <w:t>3.具体详见商务条款中具体要求。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20"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bookmarkStart w:id="7" w:name="_Toc68963461"/>
            <w:bookmarkStart w:id="8" w:name="_Toc10213427"/>
            <w:r>
              <w:rPr>
                <w:rFonts w:ascii="Times New Roman" w:hAnsi="Times New Roman"/>
                <w:color w:val="auto"/>
                <w:sz w:val="21"/>
                <w:szCs w:val="21"/>
                <w:highlight w:val="none"/>
              </w:rPr>
              <w:t>15</w:t>
            </w:r>
          </w:p>
        </w:tc>
        <w:tc>
          <w:tcPr>
            <w:tcW w:w="985" w:type="dxa"/>
            <w:tcMar>
              <w:top w:w="57" w:type="dxa"/>
              <w:bottom w:w="57" w:type="dxa"/>
            </w:tcMar>
            <w:vAlign w:val="center"/>
          </w:tcPr>
          <w:p>
            <w:pPr>
              <w:pStyle w:val="22"/>
              <w:adjustRightInd w:val="0"/>
              <w:snapToGrid w:val="0"/>
              <w:spacing w:line="400" w:lineRule="exact"/>
              <w:jc w:val="center"/>
              <w:rPr>
                <w:rFonts w:ascii="Times New Roman" w:hAnsi="Times New Roman"/>
                <w:color w:val="auto"/>
                <w:sz w:val="21"/>
                <w:szCs w:val="21"/>
                <w:highlight w:val="none"/>
              </w:rPr>
            </w:pPr>
            <w:r>
              <w:rPr>
                <w:rFonts w:ascii="Times New Roman" w:hAnsi="Times New Roman"/>
                <w:color w:val="auto"/>
                <w:sz w:val="21"/>
                <w:szCs w:val="21"/>
                <w:highlight w:val="none"/>
              </w:rPr>
              <w:t>付款方式</w:t>
            </w:r>
          </w:p>
        </w:tc>
        <w:tc>
          <w:tcPr>
            <w:tcW w:w="8135" w:type="dxa"/>
            <w:tcMar>
              <w:top w:w="57" w:type="dxa"/>
              <w:bottom w:w="57" w:type="dxa"/>
            </w:tcMar>
            <w:vAlign w:val="center"/>
          </w:tcPr>
          <w:p>
            <w:pPr>
              <w:adjustRightInd w:val="0"/>
              <w:snapToGrid w:val="0"/>
              <w:spacing w:line="440" w:lineRule="exact"/>
              <w:ind w:firstLine="420" w:firstLineChars="200"/>
              <w:rPr>
                <w:color w:val="auto"/>
                <w:szCs w:val="21"/>
                <w:highlight w:val="none"/>
              </w:rPr>
            </w:pPr>
            <w:r>
              <w:rPr>
                <w:rFonts w:hint="eastAsia"/>
                <w:color w:val="auto"/>
                <w:kern w:val="0"/>
                <w:szCs w:val="21"/>
                <w:highlight w:val="none"/>
              </w:rPr>
              <w:t>合同签订后支付4</w:t>
            </w:r>
            <w:r>
              <w:rPr>
                <w:color w:val="auto"/>
                <w:kern w:val="0"/>
                <w:szCs w:val="21"/>
                <w:highlight w:val="none"/>
              </w:rPr>
              <w:t>0</w:t>
            </w:r>
            <w:r>
              <w:rPr>
                <w:rFonts w:hint="eastAsia"/>
                <w:color w:val="auto"/>
                <w:kern w:val="0"/>
                <w:szCs w:val="21"/>
                <w:highlight w:val="none"/>
              </w:rPr>
              <w:t>%，工程竣工验收后支付至合同价的</w:t>
            </w:r>
            <w:r>
              <w:rPr>
                <w:color w:val="auto"/>
                <w:kern w:val="0"/>
                <w:szCs w:val="21"/>
                <w:highlight w:val="none"/>
              </w:rPr>
              <w:t>97%</w:t>
            </w:r>
            <w:r>
              <w:rPr>
                <w:rFonts w:hint="eastAsia"/>
                <w:color w:val="auto"/>
                <w:kern w:val="0"/>
                <w:szCs w:val="21"/>
                <w:highlight w:val="none"/>
              </w:rPr>
              <w:t>，缺陷责任期满后无息支付剩余3%。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20"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16</w:t>
            </w:r>
          </w:p>
        </w:tc>
        <w:tc>
          <w:tcPr>
            <w:tcW w:w="985" w:type="dxa"/>
            <w:tcMar>
              <w:top w:w="57" w:type="dxa"/>
              <w:bottom w:w="57" w:type="dxa"/>
            </w:tcMar>
            <w:vAlign w:val="center"/>
          </w:tcPr>
          <w:p>
            <w:pPr>
              <w:pStyle w:val="22"/>
              <w:adjustRightInd w:val="0"/>
              <w:snapToGrid w:val="0"/>
              <w:jc w:val="center"/>
              <w:rPr>
                <w:rFonts w:ascii="Times New Roman" w:hAnsi="Times New Roman"/>
                <w:color w:val="auto"/>
                <w:sz w:val="21"/>
                <w:szCs w:val="21"/>
                <w:highlight w:val="none"/>
              </w:rPr>
            </w:pPr>
            <w:r>
              <w:rPr>
                <w:rFonts w:ascii="Times New Roman" w:hAnsi="Times New Roman"/>
                <w:color w:val="auto"/>
                <w:sz w:val="21"/>
                <w:szCs w:val="21"/>
                <w:highlight w:val="none"/>
              </w:rPr>
              <w:t>知识产权</w:t>
            </w:r>
          </w:p>
        </w:tc>
        <w:tc>
          <w:tcPr>
            <w:tcW w:w="8135" w:type="dxa"/>
            <w:tcMar>
              <w:top w:w="57" w:type="dxa"/>
              <w:bottom w:w="57" w:type="dxa"/>
            </w:tcMar>
            <w:vAlign w:val="center"/>
          </w:tcPr>
          <w:p>
            <w:pPr>
              <w:pStyle w:val="22"/>
              <w:adjustRightInd w:val="0"/>
              <w:snapToGrid w:val="0"/>
              <w:spacing w:line="440" w:lineRule="exact"/>
              <w:ind w:firstLine="420" w:firstLineChars="200"/>
              <w:rPr>
                <w:rFonts w:ascii="Times New Roman" w:hAnsi="Times New Roman"/>
                <w:color w:val="auto"/>
                <w:sz w:val="21"/>
                <w:szCs w:val="21"/>
                <w:highlight w:val="none"/>
              </w:rPr>
            </w:pPr>
            <w:r>
              <w:rPr>
                <w:rFonts w:ascii="Times New Roman" w:hAnsi="Times New Roman"/>
                <w:color w:val="auto"/>
                <w:sz w:val="21"/>
                <w:szCs w:val="21"/>
                <w:highlight w:val="none"/>
              </w:rPr>
              <w:t>采购人在中华人民共和国境内使用供应商提供的货物及服务时免受第三方提出的侵犯其专利权或其它知识产权的起诉。如果第三方提出侵权指控，供应商应承担由此而引起的一切法律责任和费用。</w:t>
            </w:r>
          </w:p>
          <w:p>
            <w:pPr>
              <w:pStyle w:val="22"/>
              <w:adjustRightInd w:val="0"/>
              <w:snapToGrid w:val="0"/>
              <w:spacing w:line="440" w:lineRule="exact"/>
              <w:ind w:firstLine="420" w:firstLineChars="200"/>
              <w:rPr>
                <w:rFonts w:ascii="Times New Roman" w:hAnsi="Times New Roman"/>
                <w:color w:val="auto"/>
                <w:sz w:val="21"/>
                <w:szCs w:val="21"/>
                <w:highlight w:val="none"/>
              </w:rPr>
            </w:pPr>
            <w:r>
              <w:rPr>
                <w:rFonts w:ascii="Times New Roman" w:hAnsi="Times New Roman"/>
                <w:color w:val="auto"/>
                <w:sz w:val="21"/>
                <w:szCs w:val="21"/>
                <w:highlight w:val="none"/>
              </w:rPr>
              <w:t>涉及软件开发等服务类项目知识产权的，知识产权归采购人所有。</w:t>
            </w:r>
          </w:p>
          <w:p>
            <w:pPr>
              <w:pStyle w:val="22"/>
              <w:adjustRightInd w:val="0"/>
              <w:snapToGrid w:val="0"/>
              <w:spacing w:line="440" w:lineRule="exact"/>
              <w:ind w:firstLine="420" w:firstLineChars="200"/>
              <w:rPr>
                <w:rFonts w:ascii="Times New Roman" w:hAnsi="Times New Roman"/>
                <w:color w:val="auto"/>
                <w:sz w:val="21"/>
                <w:szCs w:val="21"/>
                <w:highlight w:val="none"/>
              </w:rPr>
            </w:pPr>
            <w:r>
              <w:rPr>
                <w:rFonts w:ascii="Times New Roman" w:hAnsi="Times New Roman"/>
                <w:color w:val="auto"/>
                <w:sz w:val="21"/>
                <w:szCs w:val="21"/>
                <w:highlight w:val="none"/>
              </w:rPr>
              <w:t>供应商不得泄露采购人所提供的属于国家秘密的信息和数据；未经采购人书面许可，不得使用或者以其他方式给任何第三方提供本项目的相关信息和数据。</w:t>
            </w:r>
          </w:p>
        </w:tc>
      </w:tr>
    </w:tbl>
    <w:p>
      <w:pPr>
        <w:rPr>
          <w:color w:val="auto"/>
          <w:highlight w:val="none"/>
        </w:rPr>
      </w:pPr>
    </w:p>
    <w:p>
      <w:pPr>
        <w:rPr>
          <w:color w:val="auto"/>
          <w:sz w:val="28"/>
          <w:szCs w:val="28"/>
          <w:highlight w:val="none"/>
        </w:rPr>
      </w:pPr>
      <w:r>
        <w:rPr>
          <w:color w:val="auto"/>
          <w:sz w:val="28"/>
          <w:szCs w:val="28"/>
          <w:highlight w:val="none"/>
        </w:rPr>
        <w:br w:type="page"/>
      </w:r>
    </w:p>
    <w:p>
      <w:pPr>
        <w:pStyle w:val="4"/>
        <w:spacing w:line="480" w:lineRule="auto"/>
        <w:rPr>
          <w:rFonts w:ascii="Times New Roman" w:hAnsi="Times New Roman" w:eastAsia="宋体"/>
          <w:color w:val="auto"/>
          <w:sz w:val="28"/>
          <w:szCs w:val="28"/>
          <w:highlight w:val="none"/>
        </w:rPr>
      </w:pPr>
      <w:r>
        <w:rPr>
          <w:rFonts w:ascii="Times New Roman" w:hAnsi="Times New Roman" w:eastAsia="宋体"/>
          <w:color w:val="auto"/>
          <w:sz w:val="28"/>
          <w:szCs w:val="28"/>
          <w:highlight w:val="none"/>
        </w:rPr>
        <w:t>一、总  则</w:t>
      </w:r>
      <w:bookmarkEnd w:id="7"/>
      <w:bookmarkEnd w:id="8"/>
    </w:p>
    <w:p>
      <w:pPr>
        <w:numPr>
          <w:ilvl w:val="0"/>
          <w:numId w:val="1"/>
        </w:numPr>
        <w:adjustRightInd w:val="0"/>
        <w:snapToGrid w:val="0"/>
        <w:spacing w:line="440" w:lineRule="exact"/>
        <w:rPr>
          <w:b/>
          <w:bCs/>
          <w:color w:val="auto"/>
          <w:szCs w:val="21"/>
          <w:highlight w:val="none"/>
        </w:rPr>
      </w:pPr>
      <w:r>
        <w:rPr>
          <w:b/>
          <w:bCs/>
          <w:color w:val="auto"/>
          <w:szCs w:val="21"/>
          <w:highlight w:val="none"/>
        </w:rPr>
        <w:t>概述</w:t>
      </w:r>
    </w:p>
    <w:p>
      <w:pPr>
        <w:numPr>
          <w:ilvl w:val="1"/>
          <w:numId w:val="2"/>
        </w:numPr>
        <w:adjustRightInd w:val="0"/>
        <w:snapToGrid w:val="0"/>
        <w:spacing w:line="440" w:lineRule="exact"/>
        <w:rPr>
          <w:color w:val="auto"/>
          <w:szCs w:val="21"/>
          <w:highlight w:val="none"/>
        </w:rPr>
      </w:pPr>
      <w:r>
        <w:rPr>
          <w:color w:val="auto"/>
          <w:szCs w:val="21"/>
          <w:highlight w:val="none"/>
        </w:rPr>
        <w:t>适用范围：本评比文件仅适用于第一章“评比邀请书”中所述项目。</w:t>
      </w:r>
    </w:p>
    <w:p>
      <w:pPr>
        <w:numPr>
          <w:ilvl w:val="1"/>
          <w:numId w:val="2"/>
        </w:numPr>
        <w:adjustRightInd w:val="0"/>
        <w:snapToGrid w:val="0"/>
        <w:spacing w:line="440" w:lineRule="exact"/>
        <w:rPr>
          <w:color w:val="auto"/>
          <w:szCs w:val="21"/>
          <w:highlight w:val="none"/>
        </w:rPr>
      </w:pPr>
      <w:r>
        <w:rPr>
          <w:color w:val="auto"/>
          <w:szCs w:val="21"/>
          <w:highlight w:val="none"/>
        </w:rPr>
        <w:t>定义：</w:t>
      </w:r>
    </w:p>
    <w:p>
      <w:pPr>
        <w:adjustRightInd w:val="0"/>
        <w:snapToGrid w:val="0"/>
        <w:spacing w:line="440" w:lineRule="exact"/>
        <w:rPr>
          <w:color w:val="auto"/>
          <w:szCs w:val="21"/>
          <w:highlight w:val="none"/>
        </w:rPr>
      </w:pPr>
      <w:r>
        <w:rPr>
          <w:color w:val="auto"/>
          <w:szCs w:val="21"/>
          <w:highlight w:val="none"/>
        </w:rPr>
        <w:t>1.2.1本项目：系指</w:t>
      </w:r>
      <w:r>
        <w:rPr>
          <w:rFonts w:hint="eastAsia"/>
          <w:color w:val="auto"/>
          <w:szCs w:val="21"/>
          <w:highlight w:val="none"/>
        </w:rPr>
        <w:t>北京理工大学重庆微电子研究院净化间实验室装修改造及实验环境改造项目</w:t>
      </w:r>
      <w:r>
        <w:rPr>
          <w:color w:val="auto"/>
          <w:szCs w:val="21"/>
          <w:highlight w:val="none"/>
        </w:rPr>
        <w:t>。</w:t>
      </w:r>
    </w:p>
    <w:p>
      <w:pPr>
        <w:adjustRightInd w:val="0"/>
        <w:snapToGrid w:val="0"/>
        <w:spacing w:line="440" w:lineRule="exact"/>
        <w:rPr>
          <w:color w:val="auto"/>
          <w:szCs w:val="21"/>
          <w:highlight w:val="none"/>
        </w:rPr>
      </w:pPr>
      <w:r>
        <w:rPr>
          <w:color w:val="auto"/>
          <w:szCs w:val="21"/>
          <w:highlight w:val="none"/>
        </w:rPr>
        <w:t>1.2.2采购人：系指北京理工大学重庆微电子研究院。</w:t>
      </w:r>
    </w:p>
    <w:p>
      <w:pPr>
        <w:adjustRightInd w:val="0"/>
        <w:snapToGrid w:val="0"/>
        <w:spacing w:line="440" w:lineRule="exact"/>
        <w:rPr>
          <w:color w:val="auto"/>
          <w:szCs w:val="21"/>
          <w:highlight w:val="none"/>
        </w:rPr>
      </w:pPr>
      <w:r>
        <w:rPr>
          <w:color w:val="auto"/>
          <w:szCs w:val="21"/>
          <w:highlight w:val="none"/>
        </w:rPr>
        <w:t>1.3  交货地点：</w:t>
      </w:r>
      <w:r>
        <w:rPr>
          <w:rFonts w:hint="eastAsia"/>
          <w:color w:val="auto"/>
          <w:szCs w:val="21"/>
          <w:highlight w:val="none"/>
        </w:rPr>
        <w:t>北京理工大学重庆微电子研究院</w:t>
      </w:r>
    </w:p>
    <w:p>
      <w:pPr>
        <w:adjustRightInd w:val="0"/>
        <w:snapToGrid w:val="0"/>
        <w:spacing w:line="440" w:lineRule="exact"/>
        <w:rPr>
          <w:color w:val="auto"/>
          <w:szCs w:val="21"/>
          <w:highlight w:val="none"/>
        </w:rPr>
      </w:pPr>
      <w:r>
        <w:rPr>
          <w:color w:val="auto"/>
          <w:szCs w:val="21"/>
          <w:highlight w:val="none"/>
        </w:rPr>
        <w:t>1.4  交货时间：满足本须知前附表中第</w:t>
      </w:r>
      <w:r>
        <w:rPr>
          <w:b/>
          <w:color w:val="auto"/>
          <w:szCs w:val="21"/>
          <w:highlight w:val="none"/>
          <w:u w:val="single"/>
        </w:rPr>
        <w:t>3</w:t>
      </w:r>
      <w:r>
        <w:rPr>
          <w:color w:val="auto"/>
          <w:szCs w:val="21"/>
          <w:highlight w:val="none"/>
        </w:rPr>
        <w:t>项</w:t>
      </w:r>
    </w:p>
    <w:p>
      <w:pPr>
        <w:numPr>
          <w:ilvl w:val="0"/>
          <w:numId w:val="1"/>
        </w:numPr>
        <w:adjustRightInd w:val="0"/>
        <w:snapToGrid w:val="0"/>
        <w:spacing w:line="440" w:lineRule="exact"/>
        <w:rPr>
          <w:b/>
          <w:bCs/>
          <w:color w:val="auto"/>
          <w:szCs w:val="21"/>
          <w:highlight w:val="none"/>
        </w:rPr>
      </w:pPr>
      <w:r>
        <w:rPr>
          <w:b/>
          <w:bCs/>
          <w:color w:val="auto"/>
          <w:szCs w:val="21"/>
          <w:highlight w:val="none"/>
        </w:rPr>
        <w:t>评比范围</w:t>
      </w:r>
    </w:p>
    <w:p>
      <w:pPr>
        <w:adjustRightInd w:val="0"/>
        <w:snapToGrid w:val="0"/>
        <w:spacing w:line="440" w:lineRule="exact"/>
        <w:rPr>
          <w:b/>
          <w:bCs/>
          <w:color w:val="auto"/>
          <w:szCs w:val="21"/>
          <w:highlight w:val="none"/>
        </w:rPr>
      </w:pPr>
      <w:r>
        <w:rPr>
          <w:bCs/>
          <w:color w:val="auto"/>
          <w:szCs w:val="21"/>
          <w:highlight w:val="none"/>
        </w:rPr>
        <w:t>2.1</w:t>
      </w:r>
      <w:r>
        <w:rPr>
          <w:color w:val="auto"/>
          <w:szCs w:val="21"/>
          <w:highlight w:val="none"/>
        </w:rPr>
        <w:t>详见第四章</w:t>
      </w:r>
      <w:r>
        <w:rPr>
          <w:bCs/>
          <w:color w:val="auto"/>
          <w:kern w:val="44"/>
          <w:szCs w:val="21"/>
          <w:highlight w:val="none"/>
        </w:rPr>
        <w:t>技术服务需求及说明。</w:t>
      </w:r>
    </w:p>
    <w:p>
      <w:pPr>
        <w:numPr>
          <w:ilvl w:val="0"/>
          <w:numId w:val="1"/>
        </w:numPr>
        <w:adjustRightInd w:val="0"/>
        <w:snapToGrid w:val="0"/>
        <w:spacing w:line="440" w:lineRule="exact"/>
        <w:rPr>
          <w:b/>
          <w:bCs/>
          <w:color w:val="auto"/>
          <w:szCs w:val="21"/>
          <w:highlight w:val="none"/>
        </w:rPr>
      </w:pPr>
      <w:bookmarkStart w:id="9" w:name="_Toc23613344"/>
      <w:r>
        <w:rPr>
          <w:b/>
          <w:bCs/>
          <w:color w:val="auto"/>
          <w:szCs w:val="21"/>
          <w:highlight w:val="none"/>
        </w:rPr>
        <w:t>评比供应商的资格</w:t>
      </w:r>
      <w:bookmarkEnd w:id="9"/>
    </w:p>
    <w:p>
      <w:pPr>
        <w:adjustRightInd w:val="0"/>
        <w:snapToGrid w:val="0"/>
        <w:spacing w:line="440" w:lineRule="exact"/>
        <w:ind w:left="372" w:hanging="371" w:hangingChars="177"/>
        <w:rPr>
          <w:color w:val="auto"/>
          <w:szCs w:val="21"/>
          <w:highlight w:val="none"/>
        </w:rPr>
      </w:pPr>
      <w:r>
        <w:rPr>
          <w:color w:val="auto"/>
          <w:szCs w:val="21"/>
          <w:highlight w:val="none"/>
        </w:rPr>
        <w:t>3.1参加本次服务项目评比的评比供应商必须满足本须知前附表中第</w:t>
      </w:r>
      <w:r>
        <w:rPr>
          <w:b/>
          <w:color w:val="auto"/>
          <w:szCs w:val="21"/>
          <w:highlight w:val="none"/>
          <w:u w:val="single"/>
        </w:rPr>
        <w:t>4</w:t>
      </w:r>
      <w:r>
        <w:rPr>
          <w:color w:val="auto"/>
          <w:szCs w:val="21"/>
          <w:highlight w:val="none"/>
        </w:rPr>
        <w:t>项的资格要求。</w:t>
      </w:r>
    </w:p>
    <w:p>
      <w:pPr>
        <w:adjustRightInd w:val="0"/>
        <w:snapToGrid w:val="0"/>
        <w:spacing w:line="440" w:lineRule="exact"/>
        <w:ind w:left="315" w:hanging="315" w:hangingChars="150"/>
        <w:rPr>
          <w:color w:val="auto"/>
          <w:szCs w:val="21"/>
          <w:highlight w:val="none"/>
        </w:rPr>
      </w:pPr>
      <w:r>
        <w:rPr>
          <w:color w:val="auto"/>
          <w:szCs w:val="21"/>
          <w:highlight w:val="none"/>
        </w:rPr>
        <w:t>3.2评比供应商必须向代理机构购买评比文件并登记备案，未向代理机构购买评比文件并登记备案的潜在评比供应商均无资格参加本次评比。</w:t>
      </w:r>
    </w:p>
    <w:p>
      <w:pPr>
        <w:adjustRightInd w:val="0"/>
        <w:snapToGrid w:val="0"/>
        <w:spacing w:line="440" w:lineRule="exact"/>
        <w:rPr>
          <w:color w:val="auto"/>
          <w:szCs w:val="21"/>
          <w:highlight w:val="none"/>
        </w:rPr>
      </w:pPr>
      <w:r>
        <w:rPr>
          <w:color w:val="auto"/>
          <w:szCs w:val="21"/>
          <w:highlight w:val="none"/>
        </w:rPr>
        <w:t>3.3评比供应商应遵守国家法律法规及采购人相关规定。</w:t>
      </w:r>
    </w:p>
    <w:p>
      <w:pPr>
        <w:adjustRightInd w:val="0"/>
        <w:snapToGrid w:val="0"/>
        <w:spacing w:line="440" w:lineRule="exact"/>
        <w:rPr>
          <w:color w:val="auto"/>
          <w:szCs w:val="21"/>
          <w:highlight w:val="none"/>
        </w:rPr>
      </w:pPr>
      <w:r>
        <w:rPr>
          <w:color w:val="auto"/>
          <w:szCs w:val="21"/>
          <w:highlight w:val="none"/>
        </w:rPr>
        <w:t>3.4本项目评比不接受联合体形式的评比。</w:t>
      </w:r>
    </w:p>
    <w:p>
      <w:pPr>
        <w:adjustRightInd w:val="0"/>
        <w:snapToGrid w:val="0"/>
        <w:spacing w:line="440" w:lineRule="exact"/>
        <w:rPr>
          <w:color w:val="auto"/>
          <w:szCs w:val="21"/>
          <w:highlight w:val="none"/>
        </w:rPr>
      </w:pPr>
      <w:r>
        <w:rPr>
          <w:color w:val="auto"/>
          <w:szCs w:val="21"/>
          <w:highlight w:val="none"/>
        </w:rPr>
        <w:t>3.5本项目评比不接受合同分包。</w:t>
      </w:r>
    </w:p>
    <w:p>
      <w:pPr>
        <w:numPr>
          <w:ilvl w:val="0"/>
          <w:numId w:val="1"/>
        </w:numPr>
        <w:adjustRightInd w:val="0"/>
        <w:snapToGrid w:val="0"/>
        <w:spacing w:line="440" w:lineRule="exact"/>
        <w:rPr>
          <w:b/>
          <w:bCs/>
          <w:color w:val="auto"/>
          <w:szCs w:val="21"/>
          <w:highlight w:val="none"/>
        </w:rPr>
      </w:pPr>
      <w:bookmarkStart w:id="10" w:name="_Toc23613345"/>
      <w:r>
        <w:rPr>
          <w:b/>
          <w:bCs/>
          <w:color w:val="auto"/>
          <w:szCs w:val="21"/>
          <w:highlight w:val="none"/>
        </w:rPr>
        <w:t>评比费用</w:t>
      </w:r>
      <w:bookmarkEnd w:id="10"/>
    </w:p>
    <w:p>
      <w:pPr>
        <w:adjustRightInd w:val="0"/>
        <w:snapToGrid w:val="0"/>
        <w:spacing w:line="440" w:lineRule="exact"/>
        <w:rPr>
          <w:color w:val="auto"/>
          <w:szCs w:val="21"/>
          <w:highlight w:val="none"/>
        </w:rPr>
      </w:pPr>
      <w:r>
        <w:rPr>
          <w:color w:val="auto"/>
          <w:szCs w:val="21"/>
          <w:highlight w:val="none"/>
        </w:rPr>
        <w:t>4.1 评比供应商在评比过程中发生的一切费用，无论成交与否，均由评比供应商自负。</w:t>
      </w:r>
    </w:p>
    <w:p>
      <w:pPr>
        <w:numPr>
          <w:ilvl w:val="0"/>
          <w:numId w:val="1"/>
        </w:numPr>
        <w:adjustRightInd w:val="0"/>
        <w:snapToGrid w:val="0"/>
        <w:spacing w:line="440" w:lineRule="exact"/>
        <w:rPr>
          <w:b/>
          <w:bCs/>
          <w:color w:val="auto"/>
          <w:szCs w:val="21"/>
          <w:highlight w:val="none"/>
        </w:rPr>
      </w:pPr>
      <w:r>
        <w:rPr>
          <w:b/>
          <w:bCs/>
          <w:color w:val="auto"/>
          <w:szCs w:val="21"/>
          <w:highlight w:val="none"/>
        </w:rPr>
        <w:t>现场考察</w:t>
      </w:r>
    </w:p>
    <w:p>
      <w:pPr>
        <w:adjustRightInd w:val="0"/>
        <w:snapToGrid w:val="0"/>
        <w:spacing w:line="440" w:lineRule="exact"/>
        <w:ind w:left="372" w:hanging="371" w:hangingChars="177"/>
        <w:rPr>
          <w:color w:val="auto"/>
          <w:szCs w:val="21"/>
          <w:highlight w:val="none"/>
        </w:rPr>
      </w:pPr>
      <w:r>
        <w:rPr>
          <w:color w:val="auto"/>
          <w:szCs w:val="21"/>
          <w:highlight w:val="none"/>
        </w:rPr>
        <w:t>5.1评比供应商应按照本须知前附表中第</w:t>
      </w:r>
      <w:r>
        <w:rPr>
          <w:b/>
          <w:color w:val="auto"/>
          <w:szCs w:val="21"/>
          <w:highlight w:val="none"/>
          <w:u w:val="single"/>
        </w:rPr>
        <w:t>5</w:t>
      </w:r>
      <w:r>
        <w:rPr>
          <w:color w:val="auto"/>
          <w:szCs w:val="21"/>
          <w:highlight w:val="none"/>
        </w:rPr>
        <w:t>项规定的时间和地点</w:t>
      </w:r>
      <w:r>
        <w:rPr>
          <w:rFonts w:hint="eastAsia"/>
          <w:color w:val="auto"/>
          <w:szCs w:val="21"/>
          <w:highlight w:val="none"/>
        </w:rPr>
        <w:t>进行</w:t>
      </w:r>
      <w:r>
        <w:rPr>
          <w:color w:val="auto"/>
          <w:szCs w:val="21"/>
          <w:highlight w:val="none"/>
        </w:rPr>
        <w:t>现场考察，了解项目情况。</w:t>
      </w:r>
    </w:p>
    <w:p>
      <w:pPr>
        <w:adjustRightInd w:val="0"/>
        <w:snapToGrid w:val="0"/>
        <w:spacing w:line="440" w:lineRule="exact"/>
        <w:ind w:left="372" w:hanging="371" w:hangingChars="177"/>
        <w:rPr>
          <w:color w:val="auto"/>
          <w:szCs w:val="21"/>
          <w:highlight w:val="none"/>
        </w:rPr>
      </w:pPr>
      <w:r>
        <w:rPr>
          <w:color w:val="auto"/>
          <w:szCs w:val="21"/>
          <w:highlight w:val="none"/>
        </w:rPr>
        <w:t>5.2评比供应商考察现场以后，将被认为已经对项目的总体情况、服务工作难度、条件及当地的有关情况获得了解，并认为评比供应商已充分了解了自己成交后有可能承担的风险、责任和义务，评比供应商未按时派人参加现场考察的，视为自动放弃该权利，在评比、合同签订及履行时不得以不熟悉项目情况为由提出相关要求。</w:t>
      </w:r>
    </w:p>
    <w:p>
      <w:pPr>
        <w:adjustRightInd w:val="0"/>
        <w:snapToGrid w:val="0"/>
        <w:spacing w:line="440" w:lineRule="exact"/>
        <w:ind w:left="372" w:hanging="371" w:hangingChars="177"/>
        <w:rPr>
          <w:color w:val="auto"/>
          <w:szCs w:val="21"/>
          <w:highlight w:val="none"/>
        </w:rPr>
      </w:pPr>
      <w:r>
        <w:rPr>
          <w:color w:val="auto"/>
          <w:szCs w:val="21"/>
          <w:highlight w:val="none"/>
        </w:rPr>
        <w:t>5.3考察现场过程中，评比供应商及其代表可能会对其自身或对第三方造成的人身伤害、财产损失或损坏，以及其他任何原因造成的损失、损坏或费用，必须由评比供应商及其代表自行承担。</w:t>
      </w:r>
    </w:p>
    <w:p>
      <w:pPr>
        <w:adjustRightInd w:val="0"/>
        <w:snapToGrid w:val="0"/>
        <w:spacing w:line="440" w:lineRule="exact"/>
        <w:ind w:left="372" w:hanging="371" w:hangingChars="177"/>
        <w:rPr>
          <w:color w:val="auto"/>
          <w:szCs w:val="21"/>
          <w:highlight w:val="none"/>
        </w:rPr>
      </w:pPr>
      <w:r>
        <w:rPr>
          <w:color w:val="auto"/>
          <w:szCs w:val="21"/>
          <w:highlight w:val="none"/>
        </w:rPr>
        <w:t>5.4 在现场考察过程中，评比供应商只许委派1-2名代表参加，并严格遵守评比方提出的纪律要求。</w:t>
      </w:r>
    </w:p>
    <w:p>
      <w:pPr>
        <w:adjustRightInd w:val="0"/>
        <w:snapToGrid w:val="0"/>
        <w:spacing w:line="440" w:lineRule="exact"/>
        <w:ind w:left="372" w:hanging="371" w:hangingChars="177"/>
        <w:rPr>
          <w:color w:val="auto"/>
          <w:szCs w:val="21"/>
          <w:highlight w:val="none"/>
        </w:rPr>
      </w:pPr>
    </w:p>
    <w:p>
      <w:pPr>
        <w:pStyle w:val="4"/>
        <w:spacing w:line="440" w:lineRule="exact"/>
        <w:rPr>
          <w:rFonts w:ascii="Times New Roman" w:hAnsi="Times New Roman" w:eastAsia="宋体"/>
          <w:color w:val="auto"/>
          <w:sz w:val="28"/>
          <w:szCs w:val="28"/>
          <w:highlight w:val="none"/>
        </w:rPr>
      </w:pPr>
      <w:bookmarkStart w:id="11" w:name="_Toc23613348"/>
      <w:bookmarkStart w:id="12" w:name="_Toc24083811"/>
      <w:bookmarkStart w:id="13" w:name="_Toc68963462"/>
      <w:bookmarkStart w:id="14" w:name="_Toc10213428"/>
      <w:bookmarkStart w:id="15" w:name="_Toc24455231"/>
      <w:bookmarkStart w:id="16" w:name="_Toc33340836"/>
      <w:r>
        <w:rPr>
          <w:rFonts w:ascii="Times New Roman" w:hAnsi="Times New Roman" w:eastAsia="宋体"/>
          <w:color w:val="auto"/>
          <w:sz w:val="28"/>
          <w:szCs w:val="28"/>
          <w:highlight w:val="none"/>
        </w:rPr>
        <w:t>二、评比文件</w:t>
      </w:r>
      <w:bookmarkEnd w:id="11"/>
      <w:bookmarkEnd w:id="12"/>
      <w:bookmarkEnd w:id="13"/>
      <w:bookmarkEnd w:id="14"/>
      <w:bookmarkEnd w:id="15"/>
      <w:bookmarkEnd w:id="16"/>
    </w:p>
    <w:p>
      <w:pPr>
        <w:numPr>
          <w:ilvl w:val="0"/>
          <w:numId w:val="1"/>
        </w:numPr>
        <w:adjustRightInd w:val="0"/>
        <w:snapToGrid w:val="0"/>
        <w:spacing w:line="440" w:lineRule="exact"/>
        <w:rPr>
          <w:b/>
          <w:bCs/>
          <w:color w:val="auto"/>
          <w:szCs w:val="21"/>
          <w:highlight w:val="none"/>
        </w:rPr>
      </w:pPr>
      <w:bookmarkStart w:id="17" w:name="_Toc23613349"/>
      <w:r>
        <w:rPr>
          <w:b/>
          <w:bCs/>
          <w:color w:val="auto"/>
          <w:szCs w:val="21"/>
          <w:highlight w:val="none"/>
        </w:rPr>
        <w:t>评比文件的内容</w:t>
      </w:r>
      <w:bookmarkEnd w:id="17"/>
    </w:p>
    <w:p>
      <w:pPr>
        <w:adjustRightInd w:val="0"/>
        <w:snapToGrid w:val="0"/>
        <w:spacing w:line="440" w:lineRule="exact"/>
        <w:rPr>
          <w:color w:val="auto"/>
          <w:szCs w:val="21"/>
          <w:highlight w:val="none"/>
        </w:rPr>
      </w:pPr>
      <w:r>
        <w:rPr>
          <w:color w:val="auto"/>
          <w:szCs w:val="21"/>
          <w:highlight w:val="none"/>
        </w:rPr>
        <w:t>6.1评比文件除本款下述内容外，还包括所有按照本须知第</w:t>
      </w:r>
      <w:r>
        <w:rPr>
          <w:b/>
          <w:color w:val="auto"/>
          <w:szCs w:val="21"/>
          <w:highlight w:val="none"/>
          <w:u w:val="single"/>
        </w:rPr>
        <w:t>7.1</w:t>
      </w:r>
      <w:r>
        <w:rPr>
          <w:color w:val="auto"/>
          <w:szCs w:val="21"/>
          <w:highlight w:val="none"/>
        </w:rPr>
        <w:t>款和第</w:t>
      </w:r>
      <w:r>
        <w:rPr>
          <w:color w:val="auto"/>
          <w:szCs w:val="21"/>
          <w:highlight w:val="none"/>
          <w:u w:val="single"/>
        </w:rPr>
        <w:t>8</w:t>
      </w:r>
      <w:r>
        <w:rPr>
          <w:color w:val="auto"/>
          <w:szCs w:val="21"/>
          <w:highlight w:val="none"/>
        </w:rPr>
        <w:t>条发出的澄清/修改补充文件。</w:t>
      </w:r>
    </w:p>
    <w:p>
      <w:pPr>
        <w:numPr>
          <w:ilvl w:val="0"/>
          <w:numId w:val="3"/>
        </w:numPr>
        <w:adjustRightInd w:val="0"/>
        <w:snapToGrid w:val="0"/>
        <w:spacing w:line="440" w:lineRule="exact"/>
        <w:rPr>
          <w:color w:val="auto"/>
          <w:szCs w:val="21"/>
          <w:highlight w:val="none"/>
        </w:rPr>
      </w:pPr>
      <w:r>
        <w:rPr>
          <w:color w:val="auto"/>
          <w:szCs w:val="21"/>
          <w:highlight w:val="none"/>
        </w:rPr>
        <w:t>评比公告</w:t>
      </w:r>
    </w:p>
    <w:p>
      <w:pPr>
        <w:numPr>
          <w:ilvl w:val="0"/>
          <w:numId w:val="3"/>
        </w:numPr>
        <w:adjustRightInd w:val="0"/>
        <w:snapToGrid w:val="0"/>
        <w:spacing w:line="440" w:lineRule="exact"/>
        <w:rPr>
          <w:color w:val="auto"/>
          <w:szCs w:val="21"/>
          <w:highlight w:val="none"/>
        </w:rPr>
      </w:pPr>
      <w:r>
        <w:rPr>
          <w:color w:val="auto"/>
          <w:szCs w:val="21"/>
          <w:highlight w:val="none"/>
        </w:rPr>
        <w:t>评比供应商须知</w:t>
      </w:r>
    </w:p>
    <w:p>
      <w:pPr>
        <w:numPr>
          <w:ilvl w:val="0"/>
          <w:numId w:val="3"/>
        </w:numPr>
        <w:adjustRightInd w:val="0"/>
        <w:snapToGrid w:val="0"/>
        <w:spacing w:line="440" w:lineRule="exact"/>
        <w:rPr>
          <w:color w:val="auto"/>
          <w:szCs w:val="21"/>
          <w:highlight w:val="none"/>
        </w:rPr>
      </w:pPr>
      <w:r>
        <w:rPr>
          <w:color w:val="auto"/>
          <w:szCs w:val="21"/>
          <w:highlight w:val="none"/>
        </w:rPr>
        <w:t>合同条件、格式</w:t>
      </w:r>
    </w:p>
    <w:p>
      <w:pPr>
        <w:numPr>
          <w:ilvl w:val="0"/>
          <w:numId w:val="3"/>
        </w:numPr>
        <w:adjustRightInd w:val="0"/>
        <w:snapToGrid w:val="0"/>
        <w:spacing w:line="440" w:lineRule="exact"/>
        <w:rPr>
          <w:color w:val="auto"/>
          <w:szCs w:val="21"/>
          <w:highlight w:val="none"/>
        </w:rPr>
      </w:pPr>
      <w:r>
        <w:rPr>
          <w:color w:val="auto"/>
          <w:szCs w:val="21"/>
          <w:highlight w:val="none"/>
        </w:rPr>
        <w:t>技术服务需求及说明</w:t>
      </w:r>
    </w:p>
    <w:p>
      <w:pPr>
        <w:numPr>
          <w:ilvl w:val="0"/>
          <w:numId w:val="3"/>
        </w:numPr>
        <w:adjustRightInd w:val="0"/>
        <w:snapToGrid w:val="0"/>
        <w:spacing w:line="440" w:lineRule="exact"/>
        <w:rPr>
          <w:color w:val="auto"/>
          <w:szCs w:val="21"/>
          <w:highlight w:val="none"/>
        </w:rPr>
      </w:pPr>
      <w:r>
        <w:rPr>
          <w:color w:val="auto"/>
          <w:szCs w:val="21"/>
          <w:highlight w:val="none"/>
        </w:rPr>
        <w:t>评比响应文件格式</w:t>
      </w:r>
    </w:p>
    <w:p>
      <w:pPr>
        <w:numPr>
          <w:ilvl w:val="0"/>
          <w:numId w:val="3"/>
        </w:numPr>
        <w:adjustRightInd w:val="0"/>
        <w:snapToGrid w:val="0"/>
        <w:spacing w:line="440" w:lineRule="exact"/>
        <w:rPr>
          <w:color w:val="auto"/>
          <w:szCs w:val="21"/>
          <w:highlight w:val="none"/>
        </w:rPr>
      </w:pPr>
      <w:r>
        <w:rPr>
          <w:color w:val="auto"/>
          <w:szCs w:val="21"/>
          <w:highlight w:val="none"/>
        </w:rPr>
        <w:t>评审办法</w:t>
      </w:r>
    </w:p>
    <w:p>
      <w:pPr>
        <w:adjustRightInd w:val="0"/>
        <w:snapToGrid w:val="0"/>
        <w:spacing w:line="440" w:lineRule="exact"/>
        <w:ind w:left="372" w:hanging="371" w:hangingChars="177"/>
        <w:rPr>
          <w:color w:val="auto"/>
          <w:szCs w:val="21"/>
          <w:highlight w:val="none"/>
        </w:rPr>
      </w:pPr>
      <w:r>
        <w:rPr>
          <w:color w:val="auto"/>
          <w:szCs w:val="21"/>
          <w:highlight w:val="none"/>
        </w:rPr>
        <w:t>6.2评比供应商应仔细阅读评比文件，并按照评比文件的规定格式编制评比响应文件，凡与评比文件的规定有重大不符的评比响应文件，将被视为无效评比，不予进入详细评审。</w:t>
      </w:r>
    </w:p>
    <w:p>
      <w:pPr>
        <w:numPr>
          <w:ilvl w:val="0"/>
          <w:numId w:val="1"/>
        </w:numPr>
        <w:adjustRightInd w:val="0"/>
        <w:snapToGrid w:val="0"/>
        <w:spacing w:line="440" w:lineRule="exact"/>
        <w:rPr>
          <w:b/>
          <w:bCs/>
          <w:color w:val="auto"/>
          <w:szCs w:val="21"/>
          <w:highlight w:val="none"/>
        </w:rPr>
      </w:pPr>
      <w:bookmarkStart w:id="18" w:name="_Toc23613350"/>
      <w:r>
        <w:rPr>
          <w:b/>
          <w:bCs/>
          <w:color w:val="auto"/>
          <w:szCs w:val="21"/>
          <w:highlight w:val="none"/>
        </w:rPr>
        <w:t>评比文件的澄清和解答</w:t>
      </w:r>
      <w:bookmarkEnd w:id="18"/>
    </w:p>
    <w:p>
      <w:pPr>
        <w:adjustRightInd w:val="0"/>
        <w:snapToGrid w:val="0"/>
        <w:spacing w:line="440" w:lineRule="exact"/>
        <w:ind w:left="372" w:hanging="371" w:hangingChars="177"/>
        <w:rPr>
          <w:color w:val="auto"/>
          <w:szCs w:val="21"/>
          <w:highlight w:val="none"/>
        </w:rPr>
      </w:pPr>
      <w:r>
        <w:rPr>
          <w:color w:val="auto"/>
          <w:szCs w:val="21"/>
          <w:highlight w:val="none"/>
        </w:rPr>
        <w:t>7.1评比供应商可以在本须知前附表中第6项规定的时间之前，对评比文件的有关事宜以书面形式（加盖公章）提请采购人予以澄清，采购人将通过书面形式向所有获得评比文件的评比供应商进行澄清（答复中不注明问题的来源）。</w:t>
      </w:r>
    </w:p>
    <w:p>
      <w:pPr>
        <w:numPr>
          <w:ilvl w:val="0"/>
          <w:numId w:val="1"/>
        </w:numPr>
        <w:adjustRightInd w:val="0"/>
        <w:snapToGrid w:val="0"/>
        <w:spacing w:line="440" w:lineRule="exact"/>
        <w:rPr>
          <w:b/>
          <w:bCs/>
          <w:color w:val="auto"/>
          <w:szCs w:val="21"/>
          <w:highlight w:val="none"/>
        </w:rPr>
      </w:pPr>
      <w:bookmarkStart w:id="19" w:name="_Toc23613351"/>
      <w:r>
        <w:rPr>
          <w:b/>
          <w:bCs/>
          <w:color w:val="auto"/>
          <w:szCs w:val="21"/>
          <w:highlight w:val="none"/>
        </w:rPr>
        <w:t>评比文件的修改</w:t>
      </w:r>
      <w:bookmarkEnd w:id="19"/>
    </w:p>
    <w:p>
      <w:pPr>
        <w:adjustRightInd w:val="0"/>
        <w:snapToGrid w:val="0"/>
        <w:spacing w:line="440" w:lineRule="exact"/>
        <w:ind w:left="372" w:hanging="371" w:hangingChars="177"/>
        <w:rPr>
          <w:color w:val="auto"/>
          <w:szCs w:val="21"/>
          <w:highlight w:val="none"/>
        </w:rPr>
      </w:pPr>
      <w:r>
        <w:rPr>
          <w:color w:val="auto"/>
          <w:szCs w:val="21"/>
          <w:highlight w:val="none"/>
        </w:rPr>
        <w:t>8.1采购人在评比截止日期3个工作日之前，可因任何原因，以补充通知的方式对评比文件进行修改。这种修改可能是采购人主动做出的，也可能是为了解答评比供应商疑问而做出的，采购人发出的所有的澄清/修改补充通知应视为评比文件的组成部分。</w:t>
      </w:r>
    </w:p>
    <w:p>
      <w:pPr>
        <w:adjustRightInd w:val="0"/>
        <w:snapToGrid w:val="0"/>
        <w:spacing w:line="440" w:lineRule="exact"/>
        <w:rPr>
          <w:color w:val="auto"/>
          <w:szCs w:val="21"/>
          <w:highlight w:val="none"/>
        </w:rPr>
      </w:pPr>
      <w:r>
        <w:rPr>
          <w:color w:val="auto"/>
          <w:szCs w:val="21"/>
          <w:highlight w:val="none"/>
        </w:rPr>
        <w:t>8.2采购人发出的补充通知若前后存在不一致，以后发者为准。</w:t>
      </w:r>
    </w:p>
    <w:p>
      <w:pPr>
        <w:adjustRightInd w:val="0"/>
        <w:snapToGrid w:val="0"/>
        <w:spacing w:line="440" w:lineRule="exact"/>
        <w:ind w:left="372" w:hanging="371" w:hangingChars="177"/>
        <w:rPr>
          <w:color w:val="auto"/>
          <w:szCs w:val="21"/>
          <w:highlight w:val="none"/>
        </w:rPr>
      </w:pPr>
      <w:r>
        <w:rPr>
          <w:color w:val="auto"/>
          <w:szCs w:val="21"/>
          <w:highlight w:val="none"/>
        </w:rPr>
        <w:t>8.3为便于评比供应商在合理的时间内，按照澄清/补充通知提出的要求编制评比响应文件，采购人可以在适当的时候延长评比截止期，采购人和评比供应商相应的权利与义务亦应随之延长。</w:t>
      </w:r>
    </w:p>
    <w:p>
      <w:pPr>
        <w:adjustRightInd w:val="0"/>
        <w:snapToGrid w:val="0"/>
        <w:spacing w:line="440" w:lineRule="exact"/>
        <w:ind w:left="372" w:hanging="371" w:hangingChars="177"/>
        <w:rPr>
          <w:color w:val="auto"/>
          <w:szCs w:val="21"/>
          <w:highlight w:val="none"/>
        </w:rPr>
      </w:pPr>
      <w:r>
        <w:rPr>
          <w:color w:val="auto"/>
          <w:szCs w:val="21"/>
          <w:highlight w:val="none"/>
        </w:rPr>
        <w:t>8.4评比供应商应在收到澄清/修改补充通知后24小时内以书面形式（加盖公章）向采购人确认收悉。</w:t>
      </w:r>
    </w:p>
    <w:p>
      <w:pPr>
        <w:adjustRightInd w:val="0"/>
        <w:snapToGrid w:val="0"/>
        <w:spacing w:line="440" w:lineRule="exact"/>
        <w:ind w:left="372" w:hanging="371" w:hangingChars="177"/>
        <w:rPr>
          <w:color w:val="auto"/>
          <w:szCs w:val="21"/>
          <w:highlight w:val="none"/>
        </w:rPr>
      </w:pPr>
    </w:p>
    <w:p>
      <w:pPr>
        <w:pStyle w:val="4"/>
        <w:spacing w:line="440" w:lineRule="exact"/>
        <w:rPr>
          <w:rFonts w:ascii="Times New Roman" w:hAnsi="Times New Roman" w:eastAsia="宋体"/>
          <w:color w:val="auto"/>
          <w:sz w:val="28"/>
          <w:szCs w:val="28"/>
          <w:highlight w:val="none"/>
        </w:rPr>
      </w:pPr>
      <w:bookmarkStart w:id="20" w:name="_Toc24455232"/>
      <w:bookmarkStart w:id="21" w:name="_Toc10213429"/>
      <w:bookmarkStart w:id="22" w:name="_Toc24083812"/>
      <w:bookmarkStart w:id="23" w:name="_Toc23613352"/>
      <w:bookmarkStart w:id="24" w:name="_Toc33340837"/>
      <w:bookmarkStart w:id="25" w:name="_Toc68963463"/>
      <w:r>
        <w:rPr>
          <w:rFonts w:ascii="Times New Roman" w:hAnsi="Times New Roman" w:eastAsia="宋体"/>
          <w:color w:val="auto"/>
          <w:sz w:val="28"/>
          <w:szCs w:val="28"/>
          <w:highlight w:val="none"/>
        </w:rPr>
        <w:t>三、评比响应文件的编制</w:t>
      </w:r>
      <w:bookmarkEnd w:id="20"/>
      <w:bookmarkEnd w:id="21"/>
      <w:bookmarkEnd w:id="22"/>
      <w:bookmarkEnd w:id="23"/>
      <w:bookmarkEnd w:id="24"/>
      <w:bookmarkEnd w:id="25"/>
    </w:p>
    <w:p>
      <w:pPr>
        <w:numPr>
          <w:ilvl w:val="0"/>
          <w:numId w:val="1"/>
        </w:numPr>
        <w:adjustRightInd w:val="0"/>
        <w:snapToGrid w:val="0"/>
        <w:spacing w:line="440" w:lineRule="exact"/>
        <w:rPr>
          <w:b/>
          <w:bCs/>
          <w:color w:val="auto"/>
          <w:szCs w:val="21"/>
          <w:highlight w:val="none"/>
        </w:rPr>
      </w:pPr>
      <w:r>
        <w:rPr>
          <w:b/>
          <w:bCs/>
          <w:color w:val="auto"/>
          <w:szCs w:val="21"/>
          <w:highlight w:val="none"/>
        </w:rPr>
        <w:t>评比响应文件的内容</w:t>
      </w:r>
    </w:p>
    <w:p>
      <w:pPr>
        <w:adjustRightInd w:val="0"/>
        <w:snapToGrid w:val="0"/>
        <w:spacing w:line="440" w:lineRule="exact"/>
        <w:rPr>
          <w:color w:val="auto"/>
          <w:szCs w:val="21"/>
          <w:highlight w:val="none"/>
        </w:rPr>
      </w:pPr>
      <w:r>
        <w:rPr>
          <w:color w:val="auto"/>
          <w:szCs w:val="21"/>
          <w:highlight w:val="none"/>
        </w:rPr>
        <w:t>9.1评比供应商编写的评比响应文件，应至少包括但不限于下列各项内容：</w:t>
      </w:r>
    </w:p>
    <w:p>
      <w:pPr>
        <w:adjustRightInd w:val="0"/>
        <w:snapToGrid w:val="0"/>
        <w:spacing w:line="480" w:lineRule="exact"/>
        <w:rPr>
          <w:color w:val="auto"/>
          <w:szCs w:val="21"/>
          <w:highlight w:val="none"/>
        </w:rPr>
      </w:pPr>
      <w:r>
        <w:rPr>
          <w:color w:val="auto"/>
          <w:szCs w:val="21"/>
          <w:highlight w:val="none"/>
        </w:rPr>
        <w:t>9.1.1评比函；</w:t>
      </w:r>
    </w:p>
    <w:p>
      <w:pPr>
        <w:tabs>
          <w:tab w:val="left" w:pos="644"/>
          <w:tab w:val="left" w:pos="1080"/>
          <w:tab w:val="left" w:pos="1260"/>
        </w:tabs>
        <w:adjustRightInd w:val="0"/>
        <w:snapToGrid w:val="0"/>
        <w:spacing w:line="480" w:lineRule="exact"/>
        <w:rPr>
          <w:color w:val="auto"/>
          <w:szCs w:val="21"/>
          <w:highlight w:val="none"/>
        </w:rPr>
      </w:pPr>
      <w:r>
        <w:rPr>
          <w:color w:val="auto"/>
          <w:szCs w:val="21"/>
          <w:highlight w:val="none"/>
        </w:rPr>
        <w:t>9.1.2 评比报价明细表；</w:t>
      </w:r>
    </w:p>
    <w:p>
      <w:pPr>
        <w:adjustRightInd w:val="0"/>
        <w:snapToGrid w:val="0"/>
        <w:spacing w:line="480" w:lineRule="exact"/>
        <w:rPr>
          <w:color w:val="auto"/>
          <w:szCs w:val="21"/>
          <w:highlight w:val="none"/>
        </w:rPr>
      </w:pPr>
      <w:r>
        <w:rPr>
          <w:color w:val="auto"/>
          <w:szCs w:val="21"/>
          <w:highlight w:val="none"/>
        </w:rPr>
        <w:t>9.1.3评比供应商基本情况表；</w:t>
      </w:r>
    </w:p>
    <w:p>
      <w:pPr>
        <w:tabs>
          <w:tab w:val="left" w:pos="644"/>
          <w:tab w:val="left" w:pos="1080"/>
          <w:tab w:val="left" w:pos="1260"/>
        </w:tabs>
        <w:adjustRightInd w:val="0"/>
        <w:snapToGrid w:val="0"/>
        <w:spacing w:line="480" w:lineRule="exact"/>
        <w:rPr>
          <w:color w:val="auto"/>
          <w:szCs w:val="21"/>
          <w:highlight w:val="none"/>
        </w:rPr>
      </w:pPr>
      <w:r>
        <w:rPr>
          <w:color w:val="auto"/>
          <w:szCs w:val="21"/>
          <w:highlight w:val="none"/>
        </w:rPr>
        <w:t>9.1.4</w:t>
      </w:r>
      <w:r>
        <w:rPr>
          <w:rFonts w:hint="eastAsia"/>
          <w:color w:val="auto"/>
          <w:szCs w:val="21"/>
          <w:highlight w:val="none"/>
        </w:rPr>
        <w:t>拟派</w:t>
      </w:r>
      <w:r>
        <w:rPr>
          <w:color w:val="auto"/>
          <w:szCs w:val="21"/>
          <w:highlight w:val="none"/>
        </w:rPr>
        <w:t>人员构成</w:t>
      </w:r>
      <w:r>
        <w:rPr>
          <w:rFonts w:hint="eastAsia"/>
          <w:color w:val="auto"/>
          <w:szCs w:val="21"/>
          <w:highlight w:val="none"/>
        </w:rPr>
        <w:t>表</w:t>
      </w:r>
      <w:r>
        <w:rPr>
          <w:color w:val="auto"/>
          <w:szCs w:val="21"/>
          <w:highlight w:val="none"/>
        </w:rPr>
        <w:t>；</w:t>
      </w:r>
    </w:p>
    <w:p>
      <w:pPr>
        <w:tabs>
          <w:tab w:val="left" w:pos="644"/>
          <w:tab w:val="left" w:pos="1080"/>
          <w:tab w:val="left" w:pos="1260"/>
        </w:tabs>
        <w:adjustRightInd w:val="0"/>
        <w:snapToGrid w:val="0"/>
        <w:spacing w:line="480" w:lineRule="exact"/>
        <w:rPr>
          <w:color w:val="auto"/>
          <w:szCs w:val="21"/>
          <w:highlight w:val="none"/>
        </w:rPr>
      </w:pPr>
      <w:r>
        <w:rPr>
          <w:color w:val="auto"/>
          <w:szCs w:val="21"/>
          <w:highlight w:val="none"/>
        </w:rPr>
        <w:t>9.1.5资质证明文件：</w:t>
      </w:r>
    </w:p>
    <w:p>
      <w:pPr>
        <w:tabs>
          <w:tab w:val="left" w:pos="5580"/>
        </w:tabs>
        <w:adjustRightInd w:val="0"/>
        <w:snapToGrid w:val="0"/>
        <w:spacing w:line="480" w:lineRule="exact"/>
        <w:rPr>
          <w:color w:val="auto"/>
          <w:szCs w:val="21"/>
          <w:highlight w:val="none"/>
        </w:rPr>
      </w:pPr>
      <w:r>
        <w:rPr>
          <w:color w:val="auto"/>
          <w:szCs w:val="21"/>
          <w:highlight w:val="none"/>
        </w:rPr>
        <w:t>(1) 营业执照（副本）或事业单位法人证书（副本）或个体工商户营业执照或有效的自然人身份证明或社会团体法人登记证书（提供复印件）</w:t>
      </w:r>
    </w:p>
    <w:p>
      <w:pPr>
        <w:tabs>
          <w:tab w:val="left" w:pos="5580"/>
        </w:tabs>
        <w:adjustRightInd w:val="0"/>
        <w:snapToGrid w:val="0"/>
        <w:spacing w:line="480" w:lineRule="exact"/>
        <w:rPr>
          <w:color w:val="auto"/>
          <w:szCs w:val="21"/>
          <w:highlight w:val="none"/>
        </w:rPr>
      </w:pPr>
      <w:r>
        <w:rPr>
          <w:color w:val="auto"/>
          <w:szCs w:val="21"/>
          <w:highlight w:val="none"/>
        </w:rPr>
        <w:t>(2) 法定代表人身份证明书（格式）</w:t>
      </w:r>
    </w:p>
    <w:p>
      <w:pPr>
        <w:tabs>
          <w:tab w:val="left" w:pos="6300"/>
        </w:tabs>
        <w:snapToGrid w:val="0"/>
        <w:spacing w:line="500" w:lineRule="exact"/>
        <w:rPr>
          <w:color w:val="auto"/>
          <w:szCs w:val="21"/>
          <w:highlight w:val="none"/>
        </w:rPr>
      </w:pPr>
      <w:r>
        <w:rPr>
          <w:color w:val="auto"/>
          <w:szCs w:val="21"/>
          <w:highlight w:val="none"/>
        </w:rPr>
        <w:t>(3)</w:t>
      </w:r>
      <w:r>
        <w:rPr>
          <w:rFonts w:hint="eastAsia"/>
          <w:color w:val="auto"/>
          <w:szCs w:val="21"/>
          <w:highlight w:val="none"/>
        </w:rPr>
        <w:t xml:space="preserve"> </w:t>
      </w:r>
      <w:r>
        <w:rPr>
          <w:color w:val="auto"/>
          <w:szCs w:val="21"/>
          <w:highlight w:val="none"/>
        </w:rPr>
        <w:t>法定代表人授权委托书（格式）</w:t>
      </w:r>
    </w:p>
    <w:p>
      <w:pPr>
        <w:tabs>
          <w:tab w:val="left" w:pos="5580"/>
        </w:tabs>
        <w:adjustRightInd w:val="0"/>
        <w:snapToGrid w:val="0"/>
        <w:spacing w:line="480" w:lineRule="exact"/>
        <w:rPr>
          <w:color w:val="auto"/>
          <w:szCs w:val="21"/>
          <w:highlight w:val="none"/>
        </w:rPr>
      </w:pPr>
      <w:r>
        <w:rPr>
          <w:color w:val="auto"/>
          <w:szCs w:val="21"/>
          <w:highlight w:val="none"/>
        </w:rPr>
        <w:t xml:space="preserve">(4) </w:t>
      </w:r>
      <w:r>
        <w:rPr>
          <w:rFonts w:hint="eastAsia" w:ascii="宋体" w:hAnsi="宋体" w:cs="宋体"/>
          <w:color w:val="auto"/>
          <w:szCs w:val="21"/>
          <w:highlight w:val="none"/>
        </w:rPr>
        <w:t>基本资格条件承诺函</w:t>
      </w:r>
      <w:r>
        <w:rPr>
          <w:color w:val="auto"/>
          <w:szCs w:val="21"/>
          <w:highlight w:val="none"/>
        </w:rPr>
        <w:t>（</w:t>
      </w:r>
      <w:r>
        <w:rPr>
          <w:rFonts w:hint="eastAsia"/>
          <w:color w:val="auto"/>
          <w:szCs w:val="21"/>
          <w:highlight w:val="none"/>
        </w:rPr>
        <w:t>格式</w:t>
      </w:r>
      <w:r>
        <w:rPr>
          <w:color w:val="auto"/>
          <w:szCs w:val="21"/>
          <w:highlight w:val="none"/>
        </w:rPr>
        <w:t>）</w:t>
      </w:r>
    </w:p>
    <w:p>
      <w:pPr>
        <w:pStyle w:val="22"/>
        <w:tabs>
          <w:tab w:val="left" w:pos="5580"/>
        </w:tabs>
        <w:adjustRightInd w:val="0"/>
        <w:snapToGrid w:val="0"/>
        <w:spacing w:line="480" w:lineRule="exact"/>
        <w:rPr>
          <w:rFonts w:ascii="Times New Roman" w:hAnsi="Times New Roman"/>
          <w:color w:val="auto"/>
          <w:sz w:val="21"/>
          <w:szCs w:val="21"/>
          <w:highlight w:val="none"/>
        </w:rPr>
      </w:pPr>
      <w:r>
        <w:rPr>
          <w:rFonts w:ascii="Times New Roman" w:hAnsi="Times New Roman"/>
          <w:color w:val="auto"/>
          <w:sz w:val="21"/>
          <w:szCs w:val="21"/>
          <w:highlight w:val="none"/>
        </w:rPr>
        <w:t>(5)</w:t>
      </w:r>
      <w:r>
        <w:rPr>
          <w:rFonts w:hint="eastAsia" w:ascii="Times New Roman" w:hAnsi="Times New Roman"/>
          <w:color w:val="auto"/>
          <w:sz w:val="21"/>
          <w:szCs w:val="21"/>
          <w:highlight w:val="none"/>
        </w:rPr>
        <w:t xml:space="preserve"> </w:t>
      </w:r>
      <w:r>
        <w:rPr>
          <w:rFonts w:ascii="Times New Roman" w:hAnsi="Times New Roman"/>
          <w:color w:val="auto"/>
          <w:sz w:val="21"/>
          <w:szCs w:val="21"/>
          <w:highlight w:val="none"/>
        </w:rPr>
        <w:t>特定资格条件证书或证明文件</w:t>
      </w:r>
    </w:p>
    <w:p>
      <w:pPr>
        <w:pStyle w:val="22"/>
        <w:tabs>
          <w:tab w:val="left" w:pos="5580"/>
        </w:tabs>
        <w:adjustRightInd w:val="0"/>
        <w:snapToGrid w:val="0"/>
        <w:spacing w:line="480" w:lineRule="exact"/>
        <w:rPr>
          <w:rFonts w:ascii="Times New Roman" w:hAnsi="Times New Roman"/>
          <w:color w:val="auto"/>
          <w:sz w:val="21"/>
          <w:szCs w:val="21"/>
          <w:highlight w:val="none"/>
        </w:rPr>
      </w:pPr>
      <w:r>
        <w:rPr>
          <w:rFonts w:ascii="Times New Roman" w:hAnsi="Times New Roman"/>
          <w:color w:val="auto"/>
          <w:sz w:val="21"/>
          <w:szCs w:val="21"/>
          <w:highlight w:val="none"/>
        </w:rPr>
        <w:t>(</w:t>
      </w:r>
      <w:r>
        <w:rPr>
          <w:rFonts w:hint="eastAsia" w:ascii="Times New Roman" w:hAnsi="Times New Roman"/>
          <w:color w:val="auto"/>
          <w:sz w:val="21"/>
          <w:szCs w:val="21"/>
          <w:highlight w:val="none"/>
        </w:rPr>
        <w:t>6</w:t>
      </w:r>
      <w:r>
        <w:rPr>
          <w:rFonts w:ascii="Times New Roman" w:hAnsi="Times New Roman"/>
          <w:color w:val="auto"/>
          <w:sz w:val="21"/>
          <w:szCs w:val="21"/>
          <w:highlight w:val="none"/>
        </w:rPr>
        <w:t>）评比文件要求的其他资格证明文件</w:t>
      </w:r>
      <w:r>
        <w:rPr>
          <w:rFonts w:hint="eastAsia" w:ascii="Times New Roman" w:hAnsi="Times New Roman"/>
          <w:color w:val="auto"/>
          <w:sz w:val="21"/>
          <w:szCs w:val="21"/>
          <w:highlight w:val="none"/>
        </w:rPr>
        <w:t>（若有）</w:t>
      </w:r>
      <w:r>
        <w:rPr>
          <w:rFonts w:ascii="Times New Roman" w:hAnsi="Times New Roman"/>
          <w:color w:val="auto"/>
          <w:sz w:val="21"/>
          <w:szCs w:val="21"/>
          <w:highlight w:val="none"/>
        </w:rPr>
        <w:t>。</w:t>
      </w:r>
    </w:p>
    <w:p>
      <w:pPr>
        <w:tabs>
          <w:tab w:val="left" w:pos="540"/>
          <w:tab w:val="left" w:pos="644"/>
          <w:tab w:val="left" w:pos="1080"/>
        </w:tabs>
        <w:adjustRightInd w:val="0"/>
        <w:snapToGrid w:val="0"/>
        <w:spacing w:line="440" w:lineRule="exact"/>
        <w:rPr>
          <w:b/>
          <w:color w:val="auto"/>
          <w:szCs w:val="21"/>
          <w:highlight w:val="none"/>
        </w:rPr>
      </w:pPr>
      <w:r>
        <w:rPr>
          <w:b/>
          <w:color w:val="auto"/>
          <w:szCs w:val="21"/>
          <w:highlight w:val="none"/>
        </w:rPr>
        <w:t>（说明：以上除注明须提供原件的文件以外，均需提供清晰复印件并加盖公章，评比供应商必须保证其真实有效，如有伪造或不实，将导致其评比响应文件被拒绝。）</w:t>
      </w:r>
    </w:p>
    <w:p>
      <w:pPr>
        <w:pStyle w:val="22"/>
        <w:tabs>
          <w:tab w:val="left" w:pos="5580"/>
        </w:tabs>
        <w:adjustRightInd w:val="0"/>
        <w:snapToGrid w:val="0"/>
        <w:spacing w:line="480" w:lineRule="exact"/>
        <w:rPr>
          <w:rFonts w:ascii="Times New Roman" w:hAnsi="Times New Roman"/>
          <w:color w:val="auto"/>
          <w:sz w:val="21"/>
          <w:szCs w:val="21"/>
          <w:highlight w:val="none"/>
        </w:rPr>
      </w:pPr>
      <w:r>
        <w:rPr>
          <w:rFonts w:ascii="Times New Roman" w:hAnsi="Times New Roman"/>
          <w:color w:val="auto"/>
          <w:sz w:val="21"/>
          <w:szCs w:val="21"/>
          <w:highlight w:val="none"/>
        </w:rPr>
        <w:t>9.1.6技术响应偏离表</w:t>
      </w:r>
    </w:p>
    <w:p>
      <w:pPr>
        <w:pStyle w:val="22"/>
        <w:tabs>
          <w:tab w:val="left" w:pos="5580"/>
        </w:tabs>
        <w:adjustRightInd w:val="0"/>
        <w:snapToGrid w:val="0"/>
        <w:spacing w:line="480" w:lineRule="exact"/>
        <w:rPr>
          <w:rFonts w:ascii="Times New Roman" w:hAnsi="Times New Roman"/>
          <w:color w:val="auto"/>
          <w:sz w:val="21"/>
          <w:szCs w:val="21"/>
          <w:highlight w:val="none"/>
        </w:rPr>
      </w:pPr>
      <w:r>
        <w:rPr>
          <w:rFonts w:ascii="Times New Roman" w:hAnsi="Times New Roman"/>
          <w:color w:val="auto"/>
          <w:sz w:val="21"/>
          <w:szCs w:val="21"/>
          <w:highlight w:val="none"/>
        </w:rPr>
        <w:t>9.1.7商务响应偏离表</w:t>
      </w:r>
    </w:p>
    <w:p>
      <w:pPr>
        <w:pStyle w:val="22"/>
        <w:tabs>
          <w:tab w:val="left" w:pos="5580"/>
        </w:tabs>
        <w:adjustRightInd w:val="0"/>
        <w:snapToGrid w:val="0"/>
        <w:spacing w:line="480" w:lineRule="exact"/>
        <w:rPr>
          <w:rFonts w:ascii="Times New Roman" w:hAnsi="Times New Roman"/>
          <w:color w:val="auto"/>
          <w:sz w:val="21"/>
          <w:szCs w:val="21"/>
          <w:highlight w:val="none"/>
        </w:rPr>
      </w:pPr>
      <w:r>
        <w:rPr>
          <w:rFonts w:ascii="Times New Roman" w:hAnsi="Times New Roman"/>
          <w:color w:val="auto"/>
          <w:sz w:val="21"/>
          <w:szCs w:val="21"/>
          <w:highlight w:val="none"/>
        </w:rPr>
        <w:t>9.1.8其他认为应该提供的资料</w:t>
      </w:r>
    </w:p>
    <w:p>
      <w:pPr>
        <w:adjustRightInd w:val="0"/>
        <w:snapToGrid w:val="0"/>
        <w:spacing w:line="480" w:lineRule="exact"/>
        <w:ind w:left="420" w:hanging="420" w:hangingChars="200"/>
        <w:rPr>
          <w:color w:val="auto"/>
          <w:szCs w:val="21"/>
          <w:highlight w:val="none"/>
        </w:rPr>
      </w:pPr>
      <w:r>
        <w:rPr>
          <w:color w:val="auto"/>
          <w:szCs w:val="21"/>
          <w:highlight w:val="none"/>
        </w:rPr>
        <w:t>9.2本评比文件应符合以下要求：</w:t>
      </w:r>
    </w:p>
    <w:p>
      <w:pPr>
        <w:adjustRightInd w:val="0"/>
        <w:snapToGrid w:val="0"/>
        <w:spacing w:line="480" w:lineRule="exact"/>
        <w:ind w:left="420" w:hanging="420" w:hangingChars="200"/>
        <w:rPr>
          <w:color w:val="auto"/>
          <w:szCs w:val="21"/>
          <w:highlight w:val="none"/>
        </w:rPr>
      </w:pPr>
      <w:r>
        <w:rPr>
          <w:color w:val="auto"/>
          <w:szCs w:val="21"/>
          <w:highlight w:val="none"/>
        </w:rPr>
        <w:t>9.2.1本评比文件要求的或评比供应商认为有必要提供的其他资料，可根据所提供资料的内容和性质列</w:t>
      </w:r>
    </w:p>
    <w:p>
      <w:pPr>
        <w:adjustRightInd w:val="0"/>
        <w:snapToGrid w:val="0"/>
        <w:spacing w:line="480" w:lineRule="exact"/>
        <w:rPr>
          <w:color w:val="auto"/>
          <w:szCs w:val="21"/>
          <w:highlight w:val="none"/>
        </w:rPr>
      </w:pPr>
      <w:r>
        <w:rPr>
          <w:color w:val="auto"/>
          <w:szCs w:val="21"/>
          <w:highlight w:val="none"/>
        </w:rPr>
        <w:t>入上述各部分的文件中。</w:t>
      </w:r>
    </w:p>
    <w:p>
      <w:pPr>
        <w:adjustRightInd w:val="0"/>
        <w:snapToGrid w:val="0"/>
        <w:spacing w:line="480" w:lineRule="exact"/>
        <w:rPr>
          <w:color w:val="auto"/>
          <w:szCs w:val="21"/>
          <w:highlight w:val="none"/>
        </w:rPr>
      </w:pPr>
      <w:r>
        <w:rPr>
          <w:color w:val="auto"/>
          <w:szCs w:val="21"/>
          <w:highlight w:val="none"/>
        </w:rPr>
        <w:t>9.2.2评比供应商应使用评比文件提供的评比响应文件格式，表格可以按同样格式扩展。</w:t>
      </w:r>
    </w:p>
    <w:p>
      <w:pPr>
        <w:adjustRightInd w:val="0"/>
        <w:snapToGrid w:val="0"/>
        <w:spacing w:line="480" w:lineRule="exact"/>
        <w:rPr>
          <w:color w:val="auto"/>
          <w:szCs w:val="21"/>
          <w:highlight w:val="none"/>
        </w:rPr>
      </w:pPr>
      <w:r>
        <w:rPr>
          <w:color w:val="auto"/>
          <w:szCs w:val="21"/>
          <w:highlight w:val="none"/>
        </w:rPr>
        <w:t>9.2.3评比响应文件应印刷清晰整洁，编制目录，注明页码，以便查阅。</w:t>
      </w:r>
    </w:p>
    <w:p>
      <w:pPr>
        <w:adjustRightInd w:val="0"/>
        <w:snapToGrid w:val="0"/>
        <w:spacing w:line="480" w:lineRule="exact"/>
        <w:ind w:left="420" w:hanging="420" w:hangingChars="200"/>
        <w:rPr>
          <w:color w:val="auto"/>
          <w:szCs w:val="21"/>
          <w:highlight w:val="none"/>
        </w:rPr>
      </w:pPr>
      <w:r>
        <w:rPr>
          <w:color w:val="auto"/>
          <w:szCs w:val="21"/>
          <w:highlight w:val="none"/>
        </w:rPr>
        <w:t>9.2.4评比响应文件、评比交换的文件和往来信函应采用简体中文。除非评比文件另有规定，计量单位</w:t>
      </w:r>
    </w:p>
    <w:p>
      <w:pPr>
        <w:adjustRightInd w:val="0"/>
        <w:snapToGrid w:val="0"/>
        <w:spacing w:line="480" w:lineRule="exact"/>
        <w:ind w:firstLine="420" w:firstLineChars="200"/>
        <w:rPr>
          <w:color w:val="auto"/>
          <w:szCs w:val="21"/>
          <w:highlight w:val="none"/>
        </w:rPr>
      </w:pPr>
      <w:r>
        <w:rPr>
          <w:color w:val="auto"/>
          <w:szCs w:val="21"/>
          <w:highlight w:val="none"/>
        </w:rPr>
        <w:t>应使用中华人民共和国法定计量单位。</w:t>
      </w:r>
    </w:p>
    <w:p>
      <w:pPr>
        <w:adjustRightInd w:val="0"/>
        <w:snapToGrid w:val="0"/>
        <w:spacing w:line="480" w:lineRule="exact"/>
        <w:ind w:left="420" w:hanging="420" w:hangingChars="200"/>
        <w:rPr>
          <w:color w:val="auto"/>
          <w:szCs w:val="21"/>
          <w:highlight w:val="none"/>
        </w:rPr>
      </w:pPr>
      <w:r>
        <w:rPr>
          <w:color w:val="auto"/>
          <w:szCs w:val="21"/>
          <w:highlight w:val="none"/>
        </w:rPr>
        <w:t>9.2.5评比供应商应详细阅读评比文件的全部内容。评比响应文件必须对评比文件中的内容作出实质性和完整的响应，如果评比响应文件填报的内容资料不详，或没有对评比文件中的内容作出实质性和完整的响应其后果将由评比供应商自己负责。</w:t>
      </w:r>
    </w:p>
    <w:p>
      <w:pPr>
        <w:numPr>
          <w:ilvl w:val="0"/>
          <w:numId w:val="4"/>
        </w:numPr>
        <w:adjustRightInd w:val="0"/>
        <w:snapToGrid w:val="0"/>
        <w:spacing w:line="440" w:lineRule="exact"/>
        <w:rPr>
          <w:b/>
          <w:bCs/>
          <w:color w:val="auto"/>
          <w:szCs w:val="21"/>
          <w:highlight w:val="none"/>
        </w:rPr>
      </w:pPr>
      <w:bookmarkStart w:id="26" w:name="_Toc23613354"/>
      <w:r>
        <w:rPr>
          <w:b/>
          <w:bCs/>
          <w:color w:val="auto"/>
          <w:szCs w:val="21"/>
          <w:highlight w:val="none"/>
        </w:rPr>
        <w:t>评比报价</w:t>
      </w:r>
      <w:bookmarkEnd w:id="26"/>
      <w:r>
        <w:rPr>
          <w:b/>
          <w:bCs/>
          <w:color w:val="auto"/>
          <w:szCs w:val="21"/>
          <w:highlight w:val="none"/>
        </w:rPr>
        <w:t>说明</w:t>
      </w:r>
    </w:p>
    <w:p>
      <w:pPr>
        <w:adjustRightInd w:val="0"/>
        <w:snapToGrid w:val="0"/>
        <w:spacing w:line="440" w:lineRule="exact"/>
        <w:ind w:left="420" w:hanging="420" w:hangingChars="200"/>
        <w:rPr>
          <w:color w:val="auto"/>
          <w:szCs w:val="21"/>
          <w:highlight w:val="none"/>
        </w:rPr>
      </w:pPr>
      <w:r>
        <w:rPr>
          <w:color w:val="auto"/>
          <w:szCs w:val="21"/>
          <w:highlight w:val="none"/>
        </w:rPr>
        <w:t>10.1除非本评比文件或补充/澄清通知另有规定，评比范围应包括本须知所述的全部内容，评比供应商的报价应是按照国家相关规定，实施评比范围内全部服务内容所需的全部费用。</w:t>
      </w:r>
    </w:p>
    <w:p>
      <w:pPr>
        <w:adjustRightInd w:val="0"/>
        <w:snapToGrid w:val="0"/>
        <w:spacing w:line="440" w:lineRule="exact"/>
        <w:ind w:left="420" w:hanging="420" w:hangingChars="200"/>
        <w:rPr>
          <w:color w:val="auto"/>
          <w:szCs w:val="21"/>
          <w:highlight w:val="none"/>
        </w:rPr>
      </w:pPr>
      <w:r>
        <w:rPr>
          <w:color w:val="auto"/>
          <w:szCs w:val="21"/>
          <w:highlight w:val="none"/>
        </w:rPr>
        <w:t>10.2对于评比供应商在评比报价中没有进行报价的项目，并且该项目在评比文件中并没有明确提出免除评比供应商的服务义务，采购人将视为该服务项目的价格已包含在评比报价中，或由评比供应商免费提供该服务。</w:t>
      </w:r>
    </w:p>
    <w:p>
      <w:pPr>
        <w:adjustRightInd w:val="0"/>
        <w:snapToGrid w:val="0"/>
        <w:spacing w:line="440" w:lineRule="exact"/>
        <w:ind w:left="420" w:hanging="420" w:hangingChars="200"/>
        <w:rPr>
          <w:color w:val="auto"/>
          <w:szCs w:val="21"/>
          <w:highlight w:val="none"/>
        </w:rPr>
      </w:pPr>
      <w:r>
        <w:rPr>
          <w:color w:val="auto"/>
          <w:szCs w:val="21"/>
          <w:highlight w:val="none"/>
        </w:rPr>
        <w:t>10.3</w:t>
      </w:r>
      <w:r>
        <w:rPr>
          <w:rFonts w:hint="eastAsia"/>
          <w:color w:val="auto"/>
          <w:szCs w:val="21"/>
          <w:highlight w:val="none"/>
        </w:rPr>
        <w:t>计费方式在委托范围内采用</w:t>
      </w:r>
      <w:r>
        <w:rPr>
          <w:rFonts w:hint="eastAsia"/>
          <w:b/>
          <w:bCs/>
          <w:color w:val="auto"/>
          <w:szCs w:val="21"/>
          <w:highlight w:val="none"/>
          <w:u w:val="single"/>
        </w:rPr>
        <w:t>总价包干的形式</w:t>
      </w:r>
      <w:r>
        <w:rPr>
          <w:rFonts w:hint="eastAsia"/>
          <w:color w:val="auto"/>
          <w:szCs w:val="21"/>
          <w:highlight w:val="none"/>
        </w:rPr>
        <w:t>。</w:t>
      </w:r>
      <w:r>
        <w:rPr>
          <w:color w:val="auto"/>
          <w:szCs w:val="21"/>
          <w:highlight w:val="none"/>
        </w:rPr>
        <w:t>评比供应商必须综合考虑本项目的具体情况、评比供应商自身实力、市场竞争因素规定发生调整的情况，按照评比文件规定的格式和内容进行报价。</w:t>
      </w:r>
    </w:p>
    <w:p>
      <w:pPr>
        <w:adjustRightInd w:val="0"/>
        <w:snapToGrid w:val="0"/>
        <w:spacing w:line="440" w:lineRule="exact"/>
        <w:rPr>
          <w:color w:val="auto"/>
          <w:szCs w:val="21"/>
          <w:highlight w:val="none"/>
        </w:rPr>
      </w:pPr>
      <w:r>
        <w:rPr>
          <w:color w:val="auto"/>
          <w:szCs w:val="21"/>
          <w:highlight w:val="none"/>
        </w:rPr>
        <w:t>10.4评比价格均采用人民币币种报出。</w:t>
      </w:r>
    </w:p>
    <w:p>
      <w:pPr>
        <w:adjustRightInd w:val="0"/>
        <w:snapToGrid w:val="0"/>
        <w:spacing w:line="440" w:lineRule="exact"/>
        <w:ind w:left="420" w:hanging="420" w:hangingChars="200"/>
        <w:rPr>
          <w:color w:val="auto"/>
          <w:szCs w:val="21"/>
          <w:highlight w:val="none"/>
        </w:rPr>
      </w:pPr>
      <w:r>
        <w:rPr>
          <w:color w:val="auto"/>
          <w:szCs w:val="21"/>
          <w:highlight w:val="none"/>
        </w:rPr>
        <w:t>10.5评比供应商对评比报价若有说明应在评比报价信显著处给予注明，只有评比时唱出的报价和优惠条件，在评审时才会予以考虑。本项目不接受可选择的评比方案和报价。任何有选择的或可调整的评比方案和报价将被视为非响应性响应而被拒绝。</w:t>
      </w:r>
    </w:p>
    <w:p>
      <w:pPr>
        <w:adjustRightInd w:val="0"/>
        <w:snapToGrid w:val="0"/>
        <w:spacing w:line="440" w:lineRule="exact"/>
        <w:ind w:left="420" w:hanging="420" w:hangingChars="200"/>
        <w:rPr>
          <w:color w:val="auto"/>
          <w:szCs w:val="21"/>
          <w:highlight w:val="none"/>
        </w:rPr>
      </w:pPr>
      <w:r>
        <w:rPr>
          <w:color w:val="auto"/>
          <w:szCs w:val="21"/>
          <w:highlight w:val="none"/>
        </w:rPr>
        <w:t>10.6评比供应商评比报价超出预算价的评比将被拒绝。</w:t>
      </w:r>
    </w:p>
    <w:p>
      <w:pPr>
        <w:adjustRightInd w:val="0"/>
        <w:snapToGrid w:val="0"/>
        <w:spacing w:line="440" w:lineRule="exact"/>
        <w:rPr>
          <w:b/>
          <w:bCs/>
          <w:color w:val="auto"/>
          <w:szCs w:val="21"/>
          <w:highlight w:val="none"/>
        </w:rPr>
      </w:pPr>
      <w:r>
        <w:rPr>
          <w:b/>
          <w:bCs/>
          <w:color w:val="auto"/>
          <w:szCs w:val="21"/>
          <w:highlight w:val="none"/>
        </w:rPr>
        <w:t>11.  评比有效期</w:t>
      </w:r>
    </w:p>
    <w:p>
      <w:pPr>
        <w:adjustRightInd w:val="0"/>
        <w:snapToGrid w:val="0"/>
        <w:spacing w:line="440" w:lineRule="exact"/>
        <w:ind w:left="420" w:hanging="420" w:hangingChars="200"/>
        <w:rPr>
          <w:color w:val="auto"/>
          <w:szCs w:val="21"/>
          <w:highlight w:val="none"/>
        </w:rPr>
      </w:pPr>
      <w:r>
        <w:rPr>
          <w:color w:val="auto"/>
          <w:szCs w:val="21"/>
          <w:highlight w:val="none"/>
        </w:rPr>
        <w:t>11.1评比有效期为评比之日后本须知前附表中第</w:t>
      </w:r>
      <w:r>
        <w:rPr>
          <w:color w:val="auto"/>
          <w:szCs w:val="21"/>
          <w:highlight w:val="none"/>
          <w:u w:val="single"/>
        </w:rPr>
        <w:t>7</w:t>
      </w:r>
      <w:r>
        <w:rPr>
          <w:color w:val="auto"/>
          <w:szCs w:val="21"/>
          <w:highlight w:val="none"/>
        </w:rPr>
        <w:t>项所述的日历日。在此期间内，所有评比响应文件均保持有效。</w:t>
      </w:r>
    </w:p>
    <w:p>
      <w:pPr>
        <w:adjustRightInd w:val="0"/>
        <w:snapToGrid w:val="0"/>
        <w:spacing w:line="440" w:lineRule="exact"/>
        <w:ind w:left="525" w:hanging="525" w:hangingChars="250"/>
        <w:rPr>
          <w:color w:val="auto"/>
          <w:szCs w:val="21"/>
          <w:highlight w:val="none"/>
        </w:rPr>
      </w:pPr>
      <w:r>
        <w:rPr>
          <w:color w:val="auto"/>
          <w:szCs w:val="21"/>
          <w:highlight w:val="none"/>
        </w:rPr>
        <w:t>11.2在原定评比有效期满之前，如果出现特殊情况，采购人可适当延长评比有效期，并及时通知评比供应商。</w:t>
      </w:r>
    </w:p>
    <w:p>
      <w:pPr>
        <w:adjustRightInd w:val="0"/>
        <w:snapToGrid w:val="0"/>
        <w:spacing w:line="440" w:lineRule="exact"/>
        <w:rPr>
          <w:b/>
          <w:bCs/>
          <w:color w:val="auto"/>
          <w:szCs w:val="21"/>
          <w:highlight w:val="none"/>
        </w:rPr>
      </w:pPr>
      <w:r>
        <w:rPr>
          <w:b/>
          <w:bCs/>
          <w:color w:val="auto"/>
          <w:szCs w:val="21"/>
          <w:highlight w:val="none"/>
        </w:rPr>
        <w:t>12．评比保证金（本项目不涉及）</w:t>
      </w:r>
    </w:p>
    <w:p>
      <w:pPr>
        <w:adjustRightInd w:val="0"/>
        <w:snapToGrid w:val="0"/>
        <w:spacing w:line="440" w:lineRule="exact"/>
        <w:ind w:left="420" w:hanging="420" w:hangingChars="200"/>
        <w:rPr>
          <w:color w:val="auto"/>
          <w:szCs w:val="21"/>
          <w:highlight w:val="none"/>
        </w:rPr>
      </w:pPr>
      <w:r>
        <w:rPr>
          <w:color w:val="auto"/>
          <w:szCs w:val="21"/>
          <w:highlight w:val="none"/>
        </w:rPr>
        <w:t>12.1评比供应商在递交评比响应文件之前必须向采购人交纳本须知前附表第</w:t>
      </w:r>
      <w:r>
        <w:rPr>
          <w:color w:val="auto"/>
          <w:szCs w:val="21"/>
          <w:highlight w:val="none"/>
          <w:u w:val="single"/>
        </w:rPr>
        <w:t>8</w:t>
      </w:r>
      <w:r>
        <w:rPr>
          <w:color w:val="auto"/>
          <w:szCs w:val="21"/>
          <w:highlight w:val="none"/>
        </w:rPr>
        <w:t>项所述金额的评比保证金。</w:t>
      </w:r>
    </w:p>
    <w:p>
      <w:pPr>
        <w:adjustRightInd w:val="0"/>
        <w:snapToGrid w:val="0"/>
        <w:spacing w:line="440" w:lineRule="exact"/>
        <w:rPr>
          <w:color w:val="auto"/>
          <w:szCs w:val="21"/>
          <w:highlight w:val="none"/>
        </w:rPr>
      </w:pPr>
      <w:r>
        <w:rPr>
          <w:color w:val="auto"/>
          <w:szCs w:val="21"/>
          <w:highlight w:val="none"/>
        </w:rPr>
        <w:t>12.2评比保证金有效期应与评比有效期保持一致。</w:t>
      </w:r>
    </w:p>
    <w:p>
      <w:pPr>
        <w:adjustRightInd w:val="0"/>
        <w:snapToGrid w:val="0"/>
        <w:spacing w:line="440" w:lineRule="exact"/>
        <w:ind w:left="420" w:hanging="420" w:hangingChars="200"/>
        <w:rPr>
          <w:color w:val="auto"/>
          <w:szCs w:val="21"/>
          <w:highlight w:val="none"/>
        </w:rPr>
      </w:pPr>
      <w:r>
        <w:rPr>
          <w:color w:val="auto"/>
          <w:szCs w:val="21"/>
          <w:highlight w:val="none"/>
        </w:rPr>
        <w:t>12.3评比供应商若依据本须知第</w:t>
      </w:r>
      <w:r>
        <w:rPr>
          <w:color w:val="auto"/>
          <w:szCs w:val="21"/>
          <w:highlight w:val="none"/>
          <w:u w:val="single"/>
        </w:rPr>
        <w:t>11</w:t>
      </w:r>
      <w:r>
        <w:rPr>
          <w:color w:val="auto"/>
          <w:szCs w:val="21"/>
          <w:highlight w:val="none"/>
        </w:rPr>
        <w:t>条的规定延长了评比响应文件有效期，评比保证金的有效期也相应延长；若评比供应商不同意延长评比有效期而放弃评比，评比代理机构将在原评比保证金有效期内退还其评比保证金。对于未能按要求提交足额评比保证金的评比响应文件，可视为不响应评比文件而予以拒绝。</w:t>
      </w:r>
    </w:p>
    <w:p>
      <w:pPr>
        <w:adjustRightInd w:val="0"/>
        <w:snapToGrid w:val="0"/>
        <w:spacing w:line="440" w:lineRule="exact"/>
        <w:ind w:left="420" w:hanging="420" w:hangingChars="200"/>
        <w:rPr>
          <w:color w:val="auto"/>
          <w:szCs w:val="21"/>
          <w:highlight w:val="none"/>
        </w:rPr>
      </w:pPr>
      <w:r>
        <w:rPr>
          <w:color w:val="auto"/>
          <w:szCs w:val="21"/>
          <w:highlight w:val="none"/>
        </w:rPr>
        <w:t>12.4成交人的评比保证金将在成交人按规定与评比供应商签订合同之后5个工作日内无息返还；未成交评比供应商的评比保证金，将在成交通知书发出后5个工作日内无息返还。</w:t>
      </w:r>
    </w:p>
    <w:p>
      <w:pPr>
        <w:adjustRightInd w:val="0"/>
        <w:snapToGrid w:val="0"/>
        <w:spacing w:line="440" w:lineRule="exact"/>
        <w:rPr>
          <w:color w:val="auto"/>
          <w:szCs w:val="21"/>
          <w:highlight w:val="none"/>
        </w:rPr>
      </w:pPr>
      <w:r>
        <w:rPr>
          <w:color w:val="auto"/>
          <w:szCs w:val="21"/>
          <w:highlight w:val="none"/>
        </w:rPr>
        <w:t>12.5评比供应商如有下列情况，其评比保证金将不予退还：</w:t>
      </w:r>
    </w:p>
    <w:p>
      <w:pPr>
        <w:tabs>
          <w:tab w:val="left" w:pos="882"/>
        </w:tabs>
        <w:adjustRightInd w:val="0"/>
        <w:snapToGrid w:val="0"/>
        <w:spacing w:line="440" w:lineRule="exact"/>
        <w:rPr>
          <w:color w:val="auto"/>
          <w:szCs w:val="21"/>
          <w:highlight w:val="none"/>
        </w:rPr>
      </w:pPr>
      <w:r>
        <w:rPr>
          <w:color w:val="auto"/>
          <w:szCs w:val="21"/>
          <w:highlight w:val="none"/>
        </w:rPr>
        <w:t>12.5.1评比供应商在评比有效期内修改或撤回其评比响应文件；</w:t>
      </w:r>
    </w:p>
    <w:p>
      <w:pPr>
        <w:tabs>
          <w:tab w:val="left" w:pos="882"/>
        </w:tabs>
        <w:adjustRightInd w:val="0"/>
        <w:snapToGrid w:val="0"/>
        <w:spacing w:line="440" w:lineRule="exact"/>
        <w:rPr>
          <w:color w:val="auto"/>
          <w:szCs w:val="21"/>
          <w:highlight w:val="none"/>
        </w:rPr>
      </w:pPr>
      <w:r>
        <w:rPr>
          <w:color w:val="auto"/>
          <w:szCs w:val="21"/>
          <w:highlight w:val="none"/>
        </w:rPr>
        <w:t>12.5.2串通作弊、哄抬标价；</w:t>
      </w:r>
    </w:p>
    <w:p>
      <w:pPr>
        <w:tabs>
          <w:tab w:val="left" w:pos="882"/>
        </w:tabs>
        <w:adjustRightInd w:val="0"/>
        <w:snapToGrid w:val="0"/>
        <w:spacing w:line="440" w:lineRule="exact"/>
        <w:rPr>
          <w:color w:val="auto"/>
          <w:szCs w:val="21"/>
          <w:highlight w:val="none"/>
        </w:rPr>
      </w:pPr>
      <w:r>
        <w:rPr>
          <w:color w:val="auto"/>
          <w:szCs w:val="21"/>
          <w:highlight w:val="none"/>
        </w:rPr>
        <w:t>12.5.3成交的评比供应商未能在规定的期限内与评比供应商签订合同；</w:t>
      </w:r>
    </w:p>
    <w:p>
      <w:pPr>
        <w:adjustRightInd w:val="0"/>
        <w:snapToGrid w:val="0"/>
        <w:spacing w:line="440" w:lineRule="exact"/>
        <w:rPr>
          <w:b/>
          <w:bCs/>
          <w:color w:val="auto"/>
          <w:szCs w:val="21"/>
          <w:highlight w:val="none"/>
        </w:rPr>
      </w:pPr>
      <w:bookmarkStart w:id="27" w:name="_Toc23613356"/>
      <w:r>
        <w:rPr>
          <w:b/>
          <w:bCs/>
          <w:color w:val="auto"/>
          <w:szCs w:val="21"/>
          <w:highlight w:val="none"/>
        </w:rPr>
        <w:t>13．评比响应文件的签署</w:t>
      </w:r>
      <w:bookmarkEnd w:id="27"/>
    </w:p>
    <w:p>
      <w:pPr>
        <w:numPr>
          <w:ilvl w:val="1"/>
          <w:numId w:val="5"/>
        </w:numPr>
        <w:adjustRightInd w:val="0"/>
        <w:snapToGrid w:val="0"/>
        <w:spacing w:line="440" w:lineRule="exact"/>
        <w:rPr>
          <w:color w:val="auto"/>
          <w:szCs w:val="21"/>
          <w:highlight w:val="none"/>
        </w:rPr>
      </w:pPr>
      <w:r>
        <w:rPr>
          <w:color w:val="auto"/>
          <w:szCs w:val="21"/>
          <w:highlight w:val="none"/>
        </w:rPr>
        <w:t>评比供应商应按本须知第9条规定内容与格式向采购人送交评比响应文件，评比供应商应针对所投项目</w:t>
      </w:r>
      <w:r>
        <w:rPr>
          <w:bCs/>
          <w:color w:val="auto"/>
          <w:szCs w:val="21"/>
          <w:highlight w:val="none"/>
        </w:rPr>
        <w:t>准备</w:t>
      </w:r>
      <w:r>
        <w:rPr>
          <w:color w:val="auto"/>
          <w:szCs w:val="21"/>
          <w:highlight w:val="none"/>
        </w:rPr>
        <w:t>评比响应</w:t>
      </w:r>
      <w:r>
        <w:rPr>
          <w:b/>
          <w:color w:val="auto"/>
          <w:szCs w:val="21"/>
          <w:highlight w:val="none"/>
        </w:rPr>
        <w:t>纸质文件</w:t>
      </w:r>
      <w:r>
        <w:rPr>
          <w:b/>
          <w:bCs/>
          <w:color w:val="auto"/>
          <w:szCs w:val="21"/>
          <w:highlight w:val="none"/>
        </w:rPr>
        <w:t>正</w:t>
      </w:r>
      <w:r>
        <w:rPr>
          <w:b/>
          <w:color w:val="auto"/>
          <w:szCs w:val="21"/>
          <w:highlight w:val="none"/>
        </w:rPr>
        <w:t>本一份，副本二份，</w:t>
      </w:r>
      <w:r>
        <w:rPr>
          <w:color w:val="auto"/>
          <w:szCs w:val="21"/>
          <w:highlight w:val="none"/>
        </w:rPr>
        <w:t>并在封面上明确标明“正本”和“副本”的字样，评比响应文件</w:t>
      </w:r>
      <w:r>
        <w:rPr>
          <w:b/>
          <w:color w:val="auto"/>
          <w:szCs w:val="21"/>
          <w:highlight w:val="none"/>
        </w:rPr>
        <w:t>电子版一份（推荐采用光盘或U盘为电子文档载体，并单独密封），</w:t>
      </w:r>
      <w:r>
        <w:rPr>
          <w:color w:val="auto"/>
          <w:szCs w:val="21"/>
          <w:highlight w:val="none"/>
        </w:rPr>
        <w:t>当正本与副本有不一致之处时，以正本为准。评比响应文件的副本可为正本的复印件。</w:t>
      </w:r>
    </w:p>
    <w:p>
      <w:pPr>
        <w:numPr>
          <w:ilvl w:val="1"/>
          <w:numId w:val="5"/>
        </w:numPr>
        <w:adjustRightInd w:val="0"/>
        <w:snapToGrid w:val="0"/>
        <w:spacing w:line="440" w:lineRule="exact"/>
        <w:rPr>
          <w:color w:val="auto"/>
          <w:szCs w:val="21"/>
          <w:highlight w:val="none"/>
        </w:rPr>
      </w:pPr>
      <w:r>
        <w:rPr>
          <w:color w:val="auto"/>
          <w:szCs w:val="21"/>
          <w:highlight w:val="none"/>
        </w:rPr>
        <w:t>评比响应文件的正本，一律用不褪色的墨水书写或打印，评比响应文件应按响应文件格式要求加盖评比供应商单位公章，并由评比供应商的法定代表人或其授权的代理人按其规定签字或盖章。</w:t>
      </w:r>
    </w:p>
    <w:p>
      <w:pPr>
        <w:numPr>
          <w:ilvl w:val="1"/>
          <w:numId w:val="5"/>
        </w:numPr>
        <w:adjustRightInd w:val="0"/>
        <w:snapToGrid w:val="0"/>
        <w:spacing w:line="440" w:lineRule="exact"/>
        <w:rPr>
          <w:color w:val="auto"/>
          <w:szCs w:val="21"/>
          <w:highlight w:val="none"/>
        </w:rPr>
      </w:pPr>
      <w:r>
        <w:rPr>
          <w:color w:val="auto"/>
          <w:szCs w:val="21"/>
          <w:highlight w:val="none"/>
        </w:rPr>
        <w:t>全套评比响应文件应无涂改和行间插字，若有改动，无论何种原因所造成，都应由评比供应商的法定代表人或其授权的代理人或自然人在改动处签字。</w:t>
      </w:r>
    </w:p>
    <w:p>
      <w:pPr>
        <w:numPr>
          <w:ilvl w:val="1"/>
          <w:numId w:val="5"/>
        </w:numPr>
        <w:adjustRightInd w:val="0"/>
        <w:snapToGrid w:val="0"/>
        <w:spacing w:line="440" w:lineRule="exact"/>
        <w:rPr>
          <w:color w:val="auto"/>
          <w:szCs w:val="21"/>
          <w:highlight w:val="none"/>
        </w:rPr>
      </w:pPr>
      <w:r>
        <w:rPr>
          <w:color w:val="auto"/>
          <w:szCs w:val="21"/>
          <w:highlight w:val="none"/>
        </w:rPr>
        <w:t>评比响应文件应严格按照评比文件规定的顺序装订成册并编制目录，由于编排混乱导致评比响应文件被误读或查找不到，视为评比供应商的责任。</w:t>
      </w:r>
    </w:p>
    <w:p>
      <w:pPr>
        <w:numPr>
          <w:ilvl w:val="1"/>
          <w:numId w:val="5"/>
        </w:numPr>
        <w:adjustRightInd w:val="0"/>
        <w:snapToGrid w:val="0"/>
        <w:spacing w:line="440" w:lineRule="exact"/>
        <w:rPr>
          <w:color w:val="auto"/>
          <w:szCs w:val="21"/>
          <w:highlight w:val="none"/>
        </w:rPr>
      </w:pPr>
      <w:r>
        <w:rPr>
          <w:color w:val="auto"/>
          <w:szCs w:val="21"/>
          <w:highlight w:val="none"/>
        </w:rPr>
        <w:t>评比响应文件应严格按照评比文件的要求提交，并按规定的统一格式逐项填写，不准有空项；无相应内容可填写“无”、“无相应指标”等明确的回答文字。</w:t>
      </w:r>
    </w:p>
    <w:p>
      <w:pPr>
        <w:numPr>
          <w:ilvl w:val="1"/>
          <w:numId w:val="5"/>
        </w:numPr>
        <w:adjustRightInd w:val="0"/>
        <w:snapToGrid w:val="0"/>
        <w:spacing w:line="440" w:lineRule="exact"/>
        <w:rPr>
          <w:color w:val="auto"/>
          <w:szCs w:val="21"/>
          <w:highlight w:val="none"/>
        </w:rPr>
      </w:pPr>
      <w:r>
        <w:rPr>
          <w:color w:val="auto"/>
          <w:szCs w:val="21"/>
          <w:highlight w:val="none"/>
        </w:rPr>
        <w:t>评比报价表为评比会上公开唱标的内容，要求按格式统一填写，不得自行增减内容。评比供应商必须保证评比响应文件所提供的全部资料真实可靠，并接受评审委员会对其中任何资料进一步审查的要求。</w:t>
      </w:r>
      <w:bookmarkStart w:id="28" w:name="_Toc24083813"/>
      <w:bookmarkStart w:id="29" w:name="_Toc33340838"/>
      <w:bookmarkStart w:id="30" w:name="_Toc10213430"/>
      <w:bookmarkStart w:id="31" w:name="_Toc68963464"/>
      <w:bookmarkStart w:id="32" w:name="_Toc24455233"/>
    </w:p>
    <w:p>
      <w:pPr>
        <w:tabs>
          <w:tab w:val="left" w:pos="420"/>
        </w:tabs>
        <w:adjustRightInd w:val="0"/>
        <w:snapToGrid w:val="0"/>
        <w:spacing w:line="440" w:lineRule="exact"/>
        <w:rPr>
          <w:color w:val="auto"/>
          <w:szCs w:val="21"/>
          <w:highlight w:val="none"/>
        </w:rPr>
      </w:pPr>
    </w:p>
    <w:p>
      <w:pPr>
        <w:pStyle w:val="4"/>
        <w:numPr>
          <w:ilvl w:val="0"/>
          <w:numId w:val="6"/>
        </w:numPr>
        <w:spacing w:line="440" w:lineRule="exact"/>
        <w:rPr>
          <w:rFonts w:ascii="Times New Roman" w:hAnsi="Times New Roman" w:eastAsia="宋体"/>
          <w:color w:val="auto"/>
          <w:sz w:val="28"/>
          <w:szCs w:val="28"/>
          <w:highlight w:val="none"/>
        </w:rPr>
      </w:pPr>
      <w:r>
        <w:rPr>
          <w:rFonts w:ascii="Times New Roman" w:hAnsi="Times New Roman" w:eastAsia="宋体"/>
          <w:color w:val="auto"/>
          <w:sz w:val="28"/>
          <w:szCs w:val="28"/>
          <w:highlight w:val="none"/>
        </w:rPr>
        <w:t>评比响应文件的递交</w:t>
      </w:r>
      <w:bookmarkEnd w:id="28"/>
      <w:bookmarkEnd w:id="29"/>
      <w:bookmarkEnd w:id="30"/>
      <w:bookmarkEnd w:id="31"/>
      <w:bookmarkEnd w:id="32"/>
    </w:p>
    <w:p>
      <w:pPr>
        <w:rPr>
          <w:color w:val="auto"/>
          <w:highlight w:val="none"/>
        </w:rPr>
      </w:pPr>
    </w:p>
    <w:p>
      <w:pPr>
        <w:adjustRightInd w:val="0"/>
        <w:snapToGrid w:val="0"/>
        <w:spacing w:line="440" w:lineRule="exact"/>
        <w:rPr>
          <w:b/>
          <w:bCs/>
          <w:color w:val="auto"/>
          <w:szCs w:val="21"/>
          <w:highlight w:val="none"/>
        </w:rPr>
      </w:pPr>
      <w:r>
        <w:rPr>
          <w:b/>
          <w:bCs/>
          <w:color w:val="auto"/>
          <w:szCs w:val="21"/>
          <w:highlight w:val="none"/>
        </w:rPr>
        <w:t>14.  评比响应文件的装订、密封和标记</w:t>
      </w:r>
    </w:p>
    <w:p>
      <w:pPr>
        <w:adjustRightInd w:val="0"/>
        <w:snapToGrid w:val="0"/>
        <w:spacing w:line="440" w:lineRule="exact"/>
        <w:ind w:firstLine="420" w:firstLineChars="200"/>
        <w:rPr>
          <w:color w:val="auto"/>
          <w:szCs w:val="21"/>
          <w:highlight w:val="none"/>
        </w:rPr>
      </w:pPr>
      <w:r>
        <w:rPr>
          <w:color w:val="auto"/>
          <w:szCs w:val="21"/>
          <w:highlight w:val="none"/>
        </w:rPr>
        <w:t>评比供应商应将评比响应文件按照本须知第</w:t>
      </w:r>
      <w:r>
        <w:rPr>
          <w:color w:val="auto"/>
          <w:szCs w:val="21"/>
          <w:highlight w:val="none"/>
          <w:u w:val="single"/>
        </w:rPr>
        <w:t>9</w:t>
      </w:r>
      <w:r>
        <w:rPr>
          <w:color w:val="auto"/>
          <w:szCs w:val="21"/>
          <w:highlight w:val="none"/>
        </w:rPr>
        <w:t>条规定的内容和顺序进行编排。</w:t>
      </w:r>
    </w:p>
    <w:p>
      <w:pPr>
        <w:adjustRightInd w:val="0"/>
        <w:snapToGrid w:val="0"/>
        <w:spacing w:line="440" w:lineRule="exact"/>
        <w:ind w:left="420" w:hanging="420" w:hangingChars="200"/>
        <w:rPr>
          <w:color w:val="auto"/>
          <w:szCs w:val="21"/>
          <w:highlight w:val="none"/>
        </w:rPr>
      </w:pPr>
      <w:r>
        <w:rPr>
          <w:color w:val="auto"/>
          <w:szCs w:val="21"/>
          <w:highlight w:val="none"/>
        </w:rPr>
        <w:t>14.1评比响应文件正本、副本电子版应分别密封，并注明“正本”、“副本”及“电子版”字样。然后将所有评比响应文件统一封装在一个外层封套中，封口处需加盖评比供应商公章。</w:t>
      </w:r>
    </w:p>
    <w:p>
      <w:pPr>
        <w:adjustRightInd w:val="0"/>
        <w:snapToGrid w:val="0"/>
        <w:spacing w:line="440" w:lineRule="exact"/>
        <w:rPr>
          <w:color w:val="auto"/>
          <w:szCs w:val="21"/>
          <w:highlight w:val="none"/>
        </w:rPr>
      </w:pPr>
      <w:r>
        <w:rPr>
          <w:color w:val="auto"/>
          <w:szCs w:val="21"/>
          <w:highlight w:val="none"/>
        </w:rPr>
        <w:t>14.2在评比响应文件外层封套上均应注明下列识别标志：</w:t>
      </w:r>
    </w:p>
    <w:p>
      <w:pPr>
        <w:numPr>
          <w:ilvl w:val="0"/>
          <w:numId w:val="7"/>
        </w:numPr>
        <w:adjustRightInd w:val="0"/>
        <w:snapToGrid w:val="0"/>
        <w:spacing w:line="440" w:lineRule="exact"/>
        <w:rPr>
          <w:color w:val="auto"/>
          <w:szCs w:val="21"/>
          <w:highlight w:val="none"/>
        </w:rPr>
      </w:pPr>
      <w:r>
        <w:rPr>
          <w:color w:val="auto"/>
          <w:szCs w:val="21"/>
          <w:highlight w:val="none"/>
        </w:rPr>
        <w:t>项目名称；</w:t>
      </w:r>
    </w:p>
    <w:p>
      <w:pPr>
        <w:numPr>
          <w:ilvl w:val="0"/>
          <w:numId w:val="7"/>
        </w:numPr>
        <w:adjustRightInd w:val="0"/>
        <w:snapToGrid w:val="0"/>
        <w:spacing w:line="440" w:lineRule="exact"/>
        <w:rPr>
          <w:color w:val="auto"/>
          <w:szCs w:val="21"/>
          <w:highlight w:val="none"/>
        </w:rPr>
      </w:pPr>
      <w:r>
        <w:rPr>
          <w:color w:val="auto"/>
          <w:szCs w:val="21"/>
          <w:highlight w:val="none"/>
        </w:rPr>
        <w:t>项目编号；</w:t>
      </w:r>
    </w:p>
    <w:p>
      <w:pPr>
        <w:numPr>
          <w:ilvl w:val="0"/>
          <w:numId w:val="7"/>
        </w:numPr>
        <w:adjustRightInd w:val="0"/>
        <w:snapToGrid w:val="0"/>
        <w:spacing w:line="440" w:lineRule="exact"/>
        <w:rPr>
          <w:color w:val="auto"/>
          <w:szCs w:val="21"/>
          <w:highlight w:val="none"/>
        </w:rPr>
      </w:pPr>
      <w:r>
        <w:rPr>
          <w:color w:val="auto"/>
          <w:szCs w:val="21"/>
          <w:highlight w:val="none"/>
        </w:rPr>
        <w:t>评比响应文件递交地点；</w:t>
      </w:r>
    </w:p>
    <w:p>
      <w:pPr>
        <w:numPr>
          <w:ilvl w:val="0"/>
          <w:numId w:val="7"/>
        </w:numPr>
        <w:adjustRightInd w:val="0"/>
        <w:snapToGrid w:val="0"/>
        <w:spacing w:line="440" w:lineRule="exact"/>
        <w:rPr>
          <w:color w:val="auto"/>
          <w:szCs w:val="21"/>
          <w:highlight w:val="none"/>
        </w:rPr>
      </w:pPr>
      <w:r>
        <w:rPr>
          <w:color w:val="auto"/>
          <w:szCs w:val="21"/>
          <w:highlight w:val="none"/>
        </w:rPr>
        <w:t>“</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r>
        <w:rPr>
          <w:color w:val="auto"/>
          <w:szCs w:val="21"/>
          <w:highlight w:val="none"/>
          <w:u w:val="single"/>
        </w:rPr>
        <w:t xml:space="preserve">   </w:t>
      </w:r>
      <w:r>
        <w:rPr>
          <w:color w:val="auto"/>
          <w:szCs w:val="21"/>
          <w:highlight w:val="none"/>
        </w:rPr>
        <w:t>时（北京时间）评比，此时间以前不得开启”的字样并加盖评比供应商公章</w:t>
      </w:r>
    </w:p>
    <w:p>
      <w:pPr>
        <w:adjustRightInd w:val="0"/>
        <w:snapToGrid w:val="0"/>
        <w:spacing w:line="440" w:lineRule="exact"/>
        <w:ind w:left="420" w:hanging="420" w:hangingChars="200"/>
        <w:rPr>
          <w:color w:val="auto"/>
          <w:szCs w:val="21"/>
          <w:highlight w:val="none"/>
        </w:rPr>
      </w:pPr>
      <w:r>
        <w:rPr>
          <w:color w:val="auto"/>
          <w:szCs w:val="21"/>
          <w:highlight w:val="none"/>
        </w:rPr>
        <w:t>14.3除了按本须知第</w:t>
      </w:r>
      <w:r>
        <w:rPr>
          <w:color w:val="auto"/>
          <w:szCs w:val="21"/>
          <w:highlight w:val="none"/>
          <w:u w:val="single"/>
        </w:rPr>
        <w:t>14.2</w:t>
      </w:r>
      <w:r>
        <w:rPr>
          <w:color w:val="auto"/>
          <w:szCs w:val="21"/>
          <w:highlight w:val="none"/>
        </w:rPr>
        <w:t>款所要求的识别字样外，在最外层封套上还应写明供应商的名称与地址、邮政编码，以便本须知第</w:t>
      </w:r>
      <w:r>
        <w:rPr>
          <w:color w:val="auto"/>
          <w:szCs w:val="21"/>
          <w:highlight w:val="none"/>
          <w:u w:val="single"/>
        </w:rPr>
        <w:t>16</w:t>
      </w:r>
      <w:r>
        <w:rPr>
          <w:color w:val="auto"/>
          <w:szCs w:val="21"/>
          <w:highlight w:val="none"/>
        </w:rPr>
        <w:t>条规定情况发生时，评比机构可按上面标明的评比供应商地址将评比响应文件原封退回。</w:t>
      </w:r>
    </w:p>
    <w:p>
      <w:pPr>
        <w:adjustRightInd w:val="0"/>
        <w:snapToGrid w:val="0"/>
        <w:spacing w:line="440" w:lineRule="exact"/>
        <w:ind w:left="420" w:hanging="420" w:hangingChars="200"/>
        <w:rPr>
          <w:color w:val="auto"/>
          <w:szCs w:val="21"/>
          <w:highlight w:val="none"/>
        </w:rPr>
      </w:pPr>
      <w:r>
        <w:rPr>
          <w:color w:val="auto"/>
          <w:szCs w:val="21"/>
          <w:highlight w:val="none"/>
        </w:rPr>
        <w:t>14.4如果评比响应文件没有按本须知第</w:t>
      </w:r>
      <w:r>
        <w:rPr>
          <w:color w:val="auto"/>
          <w:szCs w:val="21"/>
          <w:highlight w:val="none"/>
          <w:u w:val="single"/>
        </w:rPr>
        <w:t>14</w:t>
      </w:r>
      <w:r>
        <w:rPr>
          <w:color w:val="auto"/>
          <w:szCs w:val="21"/>
          <w:highlight w:val="none"/>
        </w:rPr>
        <w:t>条的有关规定进行标记和密封，采购人将不承担评比响应文件错放或提前开封的责任。</w:t>
      </w:r>
    </w:p>
    <w:p>
      <w:pPr>
        <w:adjustRightInd w:val="0"/>
        <w:snapToGrid w:val="0"/>
        <w:spacing w:line="440" w:lineRule="exact"/>
        <w:rPr>
          <w:b/>
          <w:bCs/>
          <w:color w:val="auto"/>
          <w:szCs w:val="21"/>
          <w:highlight w:val="none"/>
        </w:rPr>
      </w:pPr>
      <w:r>
        <w:rPr>
          <w:b/>
          <w:bCs/>
          <w:color w:val="auto"/>
          <w:szCs w:val="21"/>
          <w:highlight w:val="none"/>
        </w:rPr>
        <w:t>15.  评比响应文件的递交</w:t>
      </w:r>
    </w:p>
    <w:p>
      <w:pPr>
        <w:adjustRightInd w:val="0"/>
        <w:snapToGrid w:val="0"/>
        <w:spacing w:line="440" w:lineRule="exact"/>
        <w:ind w:left="525" w:hanging="525" w:hangingChars="250"/>
        <w:rPr>
          <w:color w:val="auto"/>
          <w:szCs w:val="21"/>
          <w:highlight w:val="none"/>
        </w:rPr>
      </w:pPr>
      <w:r>
        <w:rPr>
          <w:color w:val="auto"/>
          <w:szCs w:val="21"/>
          <w:highlight w:val="none"/>
        </w:rPr>
        <w:t>15.1评比供应商必须按评比邀请书和本须知前附表第</w:t>
      </w:r>
      <w:r>
        <w:rPr>
          <w:color w:val="auto"/>
          <w:szCs w:val="21"/>
          <w:highlight w:val="none"/>
          <w:u w:val="single"/>
        </w:rPr>
        <w:t>10</w:t>
      </w:r>
      <w:r>
        <w:rPr>
          <w:color w:val="auto"/>
          <w:szCs w:val="21"/>
          <w:highlight w:val="none"/>
        </w:rPr>
        <w:t>条中规定的地点，在规定的时间内将评比响应文件送达。</w:t>
      </w:r>
    </w:p>
    <w:p>
      <w:pPr>
        <w:pStyle w:val="22"/>
        <w:rPr>
          <w:rFonts w:ascii="Times New Roman" w:hAnsi="Times New Roman"/>
          <w:color w:val="auto"/>
          <w:sz w:val="21"/>
          <w:szCs w:val="21"/>
          <w:highlight w:val="none"/>
        </w:rPr>
      </w:pPr>
      <w:r>
        <w:rPr>
          <w:rFonts w:ascii="Times New Roman" w:hAnsi="Times New Roman"/>
          <w:color w:val="auto"/>
          <w:sz w:val="21"/>
          <w:szCs w:val="21"/>
          <w:highlight w:val="none"/>
        </w:rPr>
        <w:t>15.2如果评比响应文件通过邮寄递交，评比供应商应将评比响应文件用内、外两层信封密封。</w:t>
      </w:r>
    </w:p>
    <w:p>
      <w:pPr>
        <w:adjustRightInd w:val="0"/>
        <w:snapToGrid w:val="0"/>
        <w:spacing w:line="440" w:lineRule="exact"/>
        <w:ind w:left="525" w:hanging="525" w:hangingChars="250"/>
        <w:rPr>
          <w:color w:val="auto"/>
          <w:szCs w:val="21"/>
          <w:highlight w:val="none"/>
        </w:rPr>
      </w:pPr>
      <w:r>
        <w:rPr>
          <w:color w:val="auto"/>
          <w:szCs w:val="21"/>
          <w:highlight w:val="none"/>
        </w:rPr>
        <w:t>15.3如果未按上述14款规定进行密封和标记，采购代理机构对评比响应文件误投、丢失或提前拆封不负责任。</w:t>
      </w:r>
    </w:p>
    <w:p>
      <w:pPr>
        <w:adjustRightInd w:val="0"/>
        <w:snapToGrid w:val="0"/>
        <w:spacing w:line="440" w:lineRule="exact"/>
        <w:rPr>
          <w:b/>
          <w:bCs/>
          <w:color w:val="auto"/>
          <w:szCs w:val="21"/>
          <w:highlight w:val="none"/>
        </w:rPr>
      </w:pPr>
      <w:r>
        <w:rPr>
          <w:b/>
          <w:bCs/>
          <w:color w:val="auto"/>
          <w:szCs w:val="21"/>
          <w:highlight w:val="none"/>
        </w:rPr>
        <w:t>16.  迟到的评比响应文件</w:t>
      </w:r>
    </w:p>
    <w:p>
      <w:pPr>
        <w:adjustRightInd w:val="0"/>
        <w:snapToGrid w:val="0"/>
        <w:spacing w:line="440" w:lineRule="exact"/>
        <w:rPr>
          <w:color w:val="auto"/>
          <w:szCs w:val="21"/>
          <w:highlight w:val="none"/>
        </w:rPr>
      </w:pPr>
      <w:r>
        <w:rPr>
          <w:color w:val="auto"/>
          <w:szCs w:val="21"/>
          <w:highlight w:val="none"/>
        </w:rPr>
        <w:t>16.1采购人对于迟到的评比响应文件将不予接收，并退还评比供应商。</w:t>
      </w:r>
    </w:p>
    <w:p>
      <w:pPr>
        <w:adjustRightInd w:val="0"/>
        <w:snapToGrid w:val="0"/>
        <w:spacing w:line="440" w:lineRule="exact"/>
        <w:rPr>
          <w:b/>
          <w:bCs/>
          <w:color w:val="auto"/>
          <w:szCs w:val="21"/>
          <w:highlight w:val="none"/>
        </w:rPr>
      </w:pPr>
      <w:r>
        <w:rPr>
          <w:b/>
          <w:bCs/>
          <w:color w:val="auto"/>
          <w:szCs w:val="21"/>
          <w:highlight w:val="none"/>
        </w:rPr>
        <w:t>17.  评比响应文件的修改与撤回</w:t>
      </w:r>
    </w:p>
    <w:p>
      <w:pPr>
        <w:adjustRightInd w:val="0"/>
        <w:snapToGrid w:val="0"/>
        <w:spacing w:line="440" w:lineRule="exact"/>
        <w:ind w:left="420" w:hanging="420" w:hangingChars="200"/>
        <w:rPr>
          <w:color w:val="auto"/>
          <w:szCs w:val="21"/>
          <w:highlight w:val="none"/>
        </w:rPr>
      </w:pPr>
      <w:r>
        <w:rPr>
          <w:color w:val="auto"/>
          <w:szCs w:val="21"/>
          <w:highlight w:val="none"/>
        </w:rPr>
        <w:t>17.1评比供应商在递交评比响应文件以后，在规定的评比截止时间之前，可以书面形式向采购人递交请求修改其评比响应文件的通知。但在评比截止以后，不能修改评比响应文件。</w:t>
      </w:r>
    </w:p>
    <w:p>
      <w:pPr>
        <w:adjustRightInd w:val="0"/>
        <w:snapToGrid w:val="0"/>
        <w:spacing w:line="440" w:lineRule="exact"/>
        <w:ind w:left="420" w:hanging="420" w:hangingChars="200"/>
        <w:rPr>
          <w:color w:val="auto"/>
          <w:szCs w:val="21"/>
          <w:highlight w:val="none"/>
        </w:rPr>
      </w:pPr>
      <w:r>
        <w:rPr>
          <w:color w:val="auto"/>
          <w:szCs w:val="21"/>
          <w:highlight w:val="none"/>
        </w:rPr>
        <w:t>17.2评比供应商修改后的评比响应文件或撤回通知，应按本须知第</w:t>
      </w:r>
      <w:r>
        <w:rPr>
          <w:color w:val="auto"/>
          <w:szCs w:val="21"/>
          <w:highlight w:val="none"/>
          <w:u w:val="single"/>
        </w:rPr>
        <w:t>13</w:t>
      </w:r>
      <w:r>
        <w:rPr>
          <w:color w:val="auto"/>
          <w:szCs w:val="21"/>
          <w:highlight w:val="none"/>
        </w:rPr>
        <w:t>条和第</w:t>
      </w:r>
      <w:r>
        <w:rPr>
          <w:color w:val="auto"/>
          <w:szCs w:val="21"/>
          <w:highlight w:val="none"/>
          <w:u w:val="single"/>
        </w:rPr>
        <w:t>14</w:t>
      </w:r>
      <w:r>
        <w:rPr>
          <w:color w:val="auto"/>
          <w:szCs w:val="21"/>
          <w:highlight w:val="none"/>
        </w:rPr>
        <w:t>条的规定编制、签署、密封、标志和递交。</w:t>
      </w:r>
    </w:p>
    <w:p>
      <w:pPr>
        <w:adjustRightInd w:val="0"/>
        <w:snapToGrid w:val="0"/>
        <w:spacing w:line="440" w:lineRule="exact"/>
        <w:ind w:left="420" w:hanging="420" w:hangingChars="200"/>
        <w:rPr>
          <w:color w:val="auto"/>
          <w:szCs w:val="21"/>
          <w:highlight w:val="none"/>
        </w:rPr>
      </w:pPr>
      <w:r>
        <w:rPr>
          <w:color w:val="auto"/>
          <w:szCs w:val="21"/>
          <w:highlight w:val="none"/>
        </w:rPr>
        <w:t>17.3根据本须知第</w:t>
      </w:r>
      <w:r>
        <w:rPr>
          <w:color w:val="auto"/>
          <w:szCs w:val="21"/>
          <w:highlight w:val="none"/>
          <w:u w:val="single"/>
        </w:rPr>
        <w:t>12.6</w:t>
      </w:r>
      <w:r>
        <w:rPr>
          <w:color w:val="auto"/>
          <w:szCs w:val="21"/>
          <w:highlight w:val="none"/>
        </w:rPr>
        <w:t>款的规定，在评比截止时间与评比文件中规定的评比有效期终止日之间的这段时间内，评比供应商不能撤回评比响应文件，否则其评比保证金将被没收。</w:t>
      </w:r>
    </w:p>
    <w:p>
      <w:pPr>
        <w:adjustRightInd w:val="0"/>
        <w:snapToGrid w:val="0"/>
        <w:spacing w:line="440" w:lineRule="exact"/>
        <w:ind w:left="420" w:hanging="420" w:hangingChars="200"/>
        <w:rPr>
          <w:color w:val="auto"/>
          <w:szCs w:val="21"/>
          <w:highlight w:val="none"/>
        </w:rPr>
      </w:pPr>
    </w:p>
    <w:p>
      <w:pPr>
        <w:pStyle w:val="4"/>
        <w:spacing w:line="440" w:lineRule="exact"/>
        <w:rPr>
          <w:rFonts w:ascii="Times New Roman" w:hAnsi="Times New Roman" w:eastAsia="宋体"/>
          <w:color w:val="auto"/>
          <w:sz w:val="28"/>
          <w:szCs w:val="28"/>
          <w:highlight w:val="none"/>
        </w:rPr>
      </w:pPr>
      <w:bookmarkStart w:id="33" w:name="_Toc33340839"/>
      <w:bookmarkStart w:id="34" w:name="_Toc24083814"/>
      <w:bookmarkStart w:id="35" w:name="_Toc24455234"/>
      <w:bookmarkStart w:id="36" w:name="_Toc68963465"/>
      <w:bookmarkStart w:id="37" w:name="_Toc10213431"/>
      <w:r>
        <w:rPr>
          <w:rFonts w:ascii="Times New Roman" w:hAnsi="Times New Roman" w:eastAsia="宋体"/>
          <w:color w:val="auto"/>
          <w:sz w:val="28"/>
          <w:szCs w:val="28"/>
          <w:highlight w:val="none"/>
        </w:rPr>
        <w:t>五、评比与评</w:t>
      </w:r>
      <w:bookmarkEnd w:id="33"/>
      <w:bookmarkEnd w:id="34"/>
      <w:bookmarkEnd w:id="35"/>
      <w:bookmarkEnd w:id="36"/>
      <w:r>
        <w:rPr>
          <w:rFonts w:ascii="Times New Roman" w:hAnsi="Times New Roman" w:eastAsia="宋体"/>
          <w:color w:val="auto"/>
          <w:sz w:val="28"/>
          <w:szCs w:val="28"/>
          <w:highlight w:val="none"/>
        </w:rPr>
        <w:t>审</w:t>
      </w:r>
      <w:bookmarkEnd w:id="37"/>
    </w:p>
    <w:p>
      <w:pPr>
        <w:adjustRightInd w:val="0"/>
        <w:snapToGrid w:val="0"/>
        <w:spacing w:line="440" w:lineRule="exact"/>
        <w:rPr>
          <w:b/>
          <w:bCs/>
          <w:color w:val="auto"/>
          <w:szCs w:val="21"/>
          <w:highlight w:val="none"/>
        </w:rPr>
      </w:pPr>
      <w:r>
        <w:rPr>
          <w:b/>
          <w:bCs/>
          <w:color w:val="auto"/>
          <w:szCs w:val="21"/>
          <w:highlight w:val="none"/>
        </w:rPr>
        <w:t>18.  评比</w:t>
      </w:r>
    </w:p>
    <w:p>
      <w:pPr>
        <w:adjustRightInd w:val="0"/>
        <w:snapToGrid w:val="0"/>
        <w:spacing w:line="440" w:lineRule="exact"/>
        <w:rPr>
          <w:color w:val="auto"/>
          <w:szCs w:val="21"/>
          <w:highlight w:val="none"/>
        </w:rPr>
      </w:pPr>
      <w:r>
        <w:rPr>
          <w:color w:val="auto"/>
          <w:szCs w:val="21"/>
          <w:highlight w:val="none"/>
        </w:rPr>
        <w:t>18.1代理机构将按照评比邀请书及本须知前附表中规定的时间和地点举行评比会议。</w:t>
      </w:r>
    </w:p>
    <w:p>
      <w:pPr>
        <w:adjustRightInd w:val="0"/>
        <w:snapToGrid w:val="0"/>
        <w:spacing w:line="440" w:lineRule="exact"/>
        <w:ind w:left="420" w:hanging="420" w:hangingChars="200"/>
        <w:rPr>
          <w:color w:val="auto"/>
          <w:szCs w:val="21"/>
          <w:highlight w:val="none"/>
        </w:rPr>
      </w:pPr>
      <w:r>
        <w:rPr>
          <w:color w:val="auto"/>
          <w:szCs w:val="21"/>
          <w:highlight w:val="none"/>
        </w:rPr>
        <w:t>18.2评比会议将邀请所有评比供应商参加，评比当天评比供应商代表应签名报到，以证明其出席评比会议。评比供应商通过邮寄方式递交的响应文件或未派代表出席评比会议的，将视为默认评比结果。</w:t>
      </w:r>
    </w:p>
    <w:p>
      <w:pPr>
        <w:adjustRightInd w:val="0"/>
        <w:snapToGrid w:val="0"/>
        <w:spacing w:line="440" w:lineRule="exact"/>
        <w:rPr>
          <w:color w:val="auto"/>
          <w:szCs w:val="21"/>
          <w:highlight w:val="none"/>
        </w:rPr>
      </w:pPr>
      <w:r>
        <w:rPr>
          <w:color w:val="auto"/>
          <w:szCs w:val="21"/>
          <w:highlight w:val="none"/>
        </w:rPr>
        <w:t>18.3按规定提交合格的撤回通知的评比响应文件不予开封，并退回给评比供应商。</w:t>
      </w:r>
    </w:p>
    <w:p>
      <w:pPr>
        <w:adjustRightInd w:val="0"/>
        <w:snapToGrid w:val="0"/>
        <w:spacing w:line="440" w:lineRule="exact"/>
        <w:ind w:firstLine="420" w:firstLineChars="200"/>
        <w:rPr>
          <w:color w:val="auto"/>
          <w:szCs w:val="21"/>
          <w:highlight w:val="none"/>
        </w:rPr>
      </w:pPr>
      <w:r>
        <w:rPr>
          <w:color w:val="auto"/>
          <w:szCs w:val="21"/>
          <w:highlight w:val="none"/>
        </w:rPr>
        <w:t xml:space="preserve">评比响应文件有下列情况之一的，采购人不予接受： </w:t>
      </w:r>
    </w:p>
    <w:p>
      <w:pPr>
        <w:adjustRightInd w:val="0"/>
        <w:snapToGrid w:val="0"/>
        <w:spacing w:line="440" w:lineRule="exact"/>
        <w:ind w:firstLine="420" w:firstLineChars="200"/>
        <w:rPr>
          <w:color w:val="auto"/>
          <w:szCs w:val="21"/>
          <w:highlight w:val="none"/>
        </w:rPr>
      </w:pPr>
      <w:r>
        <w:rPr>
          <w:color w:val="auto"/>
          <w:szCs w:val="21"/>
          <w:highlight w:val="none"/>
        </w:rPr>
        <w:t>1）评比响应文件逾期送达的；</w:t>
      </w:r>
    </w:p>
    <w:p>
      <w:pPr>
        <w:adjustRightInd w:val="0"/>
        <w:snapToGrid w:val="0"/>
        <w:spacing w:line="440" w:lineRule="exact"/>
        <w:ind w:firstLine="420" w:firstLineChars="200"/>
        <w:rPr>
          <w:color w:val="auto"/>
          <w:szCs w:val="21"/>
          <w:highlight w:val="none"/>
        </w:rPr>
      </w:pPr>
      <w:r>
        <w:rPr>
          <w:color w:val="auto"/>
          <w:szCs w:val="21"/>
          <w:highlight w:val="none"/>
        </w:rPr>
        <w:t>2）评比响应文件未进行密封的。</w:t>
      </w:r>
    </w:p>
    <w:p>
      <w:pPr>
        <w:adjustRightInd w:val="0"/>
        <w:snapToGrid w:val="0"/>
        <w:spacing w:line="440" w:lineRule="exact"/>
        <w:rPr>
          <w:color w:val="auto"/>
          <w:szCs w:val="21"/>
          <w:highlight w:val="none"/>
        </w:rPr>
      </w:pPr>
      <w:r>
        <w:rPr>
          <w:color w:val="auto"/>
          <w:szCs w:val="21"/>
          <w:highlight w:val="none"/>
        </w:rPr>
        <w:t>18.4评比程序：</w:t>
      </w:r>
    </w:p>
    <w:p>
      <w:pPr>
        <w:numPr>
          <w:ilvl w:val="0"/>
          <w:numId w:val="8"/>
        </w:numPr>
        <w:adjustRightInd w:val="0"/>
        <w:snapToGrid w:val="0"/>
        <w:spacing w:line="440" w:lineRule="exact"/>
        <w:rPr>
          <w:color w:val="auto"/>
          <w:szCs w:val="21"/>
          <w:highlight w:val="none"/>
        </w:rPr>
      </w:pPr>
      <w:r>
        <w:rPr>
          <w:color w:val="auto"/>
          <w:szCs w:val="21"/>
          <w:highlight w:val="none"/>
        </w:rPr>
        <w:t>评比会议将由代理机构组织并主持；</w:t>
      </w:r>
    </w:p>
    <w:p>
      <w:pPr>
        <w:numPr>
          <w:ilvl w:val="0"/>
          <w:numId w:val="8"/>
        </w:numPr>
        <w:adjustRightInd w:val="0"/>
        <w:snapToGrid w:val="0"/>
        <w:spacing w:line="440" w:lineRule="exact"/>
        <w:rPr>
          <w:color w:val="auto"/>
          <w:szCs w:val="21"/>
          <w:highlight w:val="none"/>
        </w:rPr>
      </w:pPr>
      <w:r>
        <w:rPr>
          <w:color w:val="auto"/>
          <w:szCs w:val="21"/>
          <w:highlight w:val="none"/>
        </w:rPr>
        <w:t>评比供应商代表或公证监督机构将检查评比响应文件的密封情况；</w:t>
      </w:r>
    </w:p>
    <w:p>
      <w:pPr>
        <w:numPr>
          <w:ilvl w:val="0"/>
          <w:numId w:val="8"/>
        </w:numPr>
        <w:adjustRightInd w:val="0"/>
        <w:snapToGrid w:val="0"/>
        <w:spacing w:line="440" w:lineRule="exact"/>
        <w:rPr>
          <w:color w:val="auto"/>
          <w:szCs w:val="21"/>
          <w:highlight w:val="none"/>
        </w:rPr>
      </w:pPr>
      <w:r>
        <w:rPr>
          <w:color w:val="auto"/>
          <w:szCs w:val="21"/>
          <w:highlight w:val="none"/>
        </w:rPr>
        <w:t>经确认无误，由工作人员当众拆封，宣读评比供应商名称、评比报价、修改内容（如有）以及采购人认为适当的其他内容；</w:t>
      </w:r>
    </w:p>
    <w:p>
      <w:pPr>
        <w:adjustRightInd w:val="0"/>
        <w:snapToGrid w:val="0"/>
        <w:spacing w:line="440" w:lineRule="exact"/>
        <w:ind w:left="-420" w:firstLine="840" w:firstLineChars="400"/>
        <w:rPr>
          <w:color w:val="auto"/>
          <w:szCs w:val="21"/>
          <w:highlight w:val="none"/>
        </w:rPr>
      </w:pPr>
      <w:r>
        <w:rPr>
          <w:color w:val="auto"/>
          <w:szCs w:val="21"/>
          <w:highlight w:val="none"/>
        </w:rPr>
        <w:t>4）按规定提交合格撤回通知的评比响应文件不予开封；</w:t>
      </w:r>
    </w:p>
    <w:p>
      <w:pPr>
        <w:adjustRightInd w:val="0"/>
        <w:snapToGrid w:val="0"/>
        <w:spacing w:line="440" w:lineRule="exact"/>
        <w:ind w:left="-420" w:firstLine="840" w:firstLineChars="400"/>
        <w:rPr>
          <w:color w:val="auto"/>
          <w:szCs w:val="21"/>
          <w:highlight w:val="none"/>
        </w:rPr>
      </w:pPr>
      <w:r>
        <w:rPr>
          <w:color w:val="auto"/>
          <w:szCs w:val="21"/>
          <w:highlight w:val="none"/>
        </w:rPr>
        <w:t>5）由代理机构整理评比记录并由评比供应商代表现场签字确认。</w:t>
      </w:r>
    </w:p>
    <w:p>
      <w:pPr>
        <w:adjustRightInd w:val="0"/>
        <w:snapToGrid w:val="0"/>
        <w:spacing w:line="440" w:lineRule="exact"/>
        <w:rPr>
          <w:b/>
          <w:bCs/>
          <w:color w:val="auto"/>
          <w:szCs w:val="21"/>
          <w:highlight w:val="none"/>
        </w:rPr>
      </w:pPr>
      <w:r>
        <w:rPr>
          <w:b/>
          <w:bCs/>
          <w:color w:val="auto"/>
          <w:szCs w:val="21"/>
          <w:highlight w:val="none"/>
        </w:rPr>
        <w:t>19.  评审委员会与评审</w:t>
      </w:r>
    </w:p>
    <w:p>
      <w:pPr>
        <w:adjustRightInd w:val="0"/>
        <w:snapToGrid w:val="0"/>
        <w:spacing w:line="440" w:lineRule="exact"/>
        <w:ind w:left="420" w:hanging="420" w:hangingChars="200"/>
        <w:rPr>
          <w:color w:val="auto"/>
          <w:szCs w:val="21"/>
          <w:highlight w:val="none"/>
        </w:rPr>
      </w:pPr>
      <w:r>
        <w:rPr>
          <w:color w:val="auto"/>
          <w:szCs w:val="21"/>
          <w:highlight w:val="none"/>
        </w:rPr>
        <w:t>19.1代理机构将按照采购人相关管理办法组建评审委员会。</w:t>
      </w:r>
    </w:p>
    <w:p>
      <w:pPr>
        <w:adjustRightInd w:val="0"/>
        <w:snapToGrid w:val="0"/>
        <w:spacing w:line="440" w:lineRule="exact"/>
        <w:ind w:left="525" w:hanging="525" w:hangingChars="250"/>
        <w:rPr>
          <w:color w:val="auto"/>
          <w:szCs w:val="21"/>
          <w:highlight w:val="none"/>
        </w:rPr>
      </w:pPr>
      <w:r>
        <w:rPr>
          <w:color w:val="auto"/>
          <w:szCs w:val="21"/>
          <w:highlight w:val="none"/>
        </w:rPr>
        <w:t>19.2评审由评审委员会负责，对所有评比响应文件的评估都将采用相同的程序和标准。</w:t>
      </w:r>
    </w:p>
    <w:p>
      <w:pPr>
        <w:adjustRightInd w:val="0"/>
        <w:snapToGrid w:val="0"/>
        <w:spacing w:line="440" w:lineRule="exact"/>
        <w:rPr>
          <w:b/>
          <w:bCs/>
          <w:color w:val="auto"/>
          <w:szCs w:val="21"/>
          <w:highlight w:val="none"/>
        </w:rPr>
      </w:pPr>
      <w:r>
        <w:rPr>
          <w:b/>
          <w:bCs/>
          <w:color w:val="auto"/>
          <w:szCs w:val="21"/>
          <w:highlight w:val="none"/>
        </w:rPr>
        <w:t>20.  初步审查</w:t>
      </w:r>
    </w:p>
    <w:p>
      <w:pPr>
        <w:pStyle w:val="12"/>
        <w:adjustRightInd w:val="0"/>
        <w:snapToGrid w:val="0"/>
        <w:spacing w:line="440" w:lineRule="exact"/>
        <w:ind w:firstLine="0" w:firstLineChars="0"/>
        <w:rPr>
          <w:color w:val="auto"/>
          <w:highlight w:val="none"/>
        </w:rPr>
      </w:pPr>
      <w:r>
        <w:rPr>
          <w:b/>
          <w:bCs/>
          <w:color w:val="auto"/>
          <w:szCs w:val="21"/>
          <w:highlight w:val="none"/>
        </w:rPr>
        <w:t>20.1资格性审查</w:t>
      </w:r>
    </w:p>
    <w:tbl>
      <w:tblPr>
        <w:tblStyle w:val="40"/>
        <w:tblW w:w="9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693"/>
        <w:gridCol w:w="5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402" w:type="dxa"/>
            <w:gridSpan w:val="2"/>
            <w:vAlign w:val="center"/>
          </w:tcPr>
          <w:p>
            <w:pPr>
              <w:adjustRightInd w:val="0"/>
              <w:snapToGrid w:val="0"/>
              <w:spacing w:line="440" w:lineRule="exact"/>
              <w:jc w:val="center"/>
              <w:rPr>
                <w:b/>
                <w:color w:val="auto"/>
                <w:kern w:val="0"/>
                <w:szCs w:val="21"/>
                <w:highlight w:val="none"/>
              </w:rPr>
            </w:pPr>
            <w:r>
              <w:rPr>
                <w:b/>
                <w:color w:val="auto"/>
                <w:kern w:val="0"/>
                <w:szCs w:val="21"/>
                <w:highlight w:val="none"/>
              </w:rPr>
              <w:t>检查因素</w:t>
            </w:r>
          </w:p>
        </w:tc>
        <w:tc>
          <w:tcPr>
            <w:tcW w:w="5958" w:type="dxa"/>
            <w:vAlign w:val="center"/>
          </w:tcPr>
          <w:p>
            <w:pPr>
              <w:adjustRightInd w:val="0"/>
              <w:snapToGrid w:val="0"/>
              <w:spacing w:line="440" w:lineRule="exact"/>
              <w:jc w:val="center"/>
              <w:rPr>
                <w:b/>
                <w:color w:val="auto"/>
                <w:kern w:val="0"/>
                <w:szCs w:val="21"/>
                <w:highlight w:val="none"/>
              </w:rPr>
            </w:pPr>
            <w:r>
              <w:rPr>
                <w:b/>
                <w:color w:val="auto"/>
                <w:kern w:val="0"/>
                <w:szCs w:val="21"/>
                <w:highlight w:val="none"/>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09" w:type="dxa"/>
            <w:vMerge w:val="restart"/>
            <w:vAlign w:val="center"/>
          </w:tcPr>
          <w:p>
            <w:pPr>
              <w:adjustRightInd w:val="0"/>
              <w:snapToGrid w:val="0"/>
              <w:spacing w:line="440" w:lineRule="exact"/>
              <w:rPr>
                <w:color w:val="auto"/>
                <w:szCs w:val="21"/>
                <w:highlight w:val="none"/>
              </w:rPr>
            </w:pPr>
            <w:r>
              <w:rPr>
                <w:color w:val="auto"/>
                <w:szCs w:val="21"/>
                <w:highlight w:val="none"/>
              </w:rPr>
              <w:t>《中华人民共和国政府采购法》第二十二条规定</w:t>
            </w:r>
          </w:p>
        </w:tc>
        <w:tc>
          <w:tcPr>
            <w:tcW w:w="2693" w:type="dxa"/>
            <w:vAlign w:val="center"/>
          </w:tcPr>
          <w:p>
            <w:pPr>
              <w:adjustRightInd w:val="0"/>
              <w:snapToGrid w:val="0"/>
              <w:spacing w:line="440" w:lineRule="exact"/>
              <w:rPr>
                <w:color w:val="auto"/>
                <w:szCs w:val="21"/>
                <w:highlight w:val="none"/>
              </w:rPr>
            </w:pPr>
            <w:r>
              <w:rPr>
                <w:color w:val="auto"/>
                <w:szCs w:val="21"/>
                <w:highlight w:val="none"/>
              </w:rPr>
              <w:t>1.具有独立承担民事责任的能力</w:t>
            </w:r>
          </w:p>
        </w:tc>
        <w:tc>
          <w:tcPr>
            <w:tcW w:w="5958" w:type="dxa"/>
            <w:vAlign w:val="center"/>
          </w:tcPr>
          <w:p>
            <w:pPr>
              <w:adjustRightInd w:val="0"/>
              <w:snapToGrid w:val="0"/>
              <w:spacing w:line="440" w:lineRule="exact"/>
              <w:rPr>
                <w:color w:val="auto"/>
                <w:szCs w:val="21"/>
                <w:highlight w:val="none"/>
              </w:rPr>
            </w:pPr>
            <w:r>
              <w:rPr>
                <w:color w:val="auto"/>
                <w:szCs w:val="21"/>
                <w:highlight w:val="none"/>
              </w:rPr>
              <w:t xml:space="preserve">1.供应商法人营业执照（副本）或事业单位法人证书（副本）或个体工商户营业执照或有效的自然人身份证明或社会团体法人登记证书（提供复印件）。 </w:t>
            </w:r>
          </w:p>
          <w:p>
            <w:pPr>
              <w:adjustRightInd w:val="0"/>
              <w:snapToGrid w:val="0"/>
              <w:spacing w:line="440" w:lineRule="exact"/>
              <w:rPr>
                <w:color w:val="auto"/>
                <w:szCs w:val="21"/>
                <w:highlight w:val="none"/>
              </w:rPr>
            </w:pPr>
            <w:r>
              <w:rPr>
                <w:color w:val="auto"/>
                <w:szCs w:val="21"/>
                <w:highlight w:val="none"/>
              </w:rPr>
              <w:t>2.供应商法定代表人身份证明和法定代表人授权代表委托书。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09" w:type="dxa"/>
            <w:vMerge w:val="continue"/>
            <w:vAlign w:val="center"/>
          </w:tcPr>
          <w:p>
            <w:pPr>
              <w:adjustRightInd w:val="0"/>
              <w:snapToGrid w:val="0"/>
              <w:spacing w:line="440" w:lineRule="exact"/>
              <w:rPr>
                <w:color w:val="auto"/>
                <w:szCs w:val="21"/>
                <w:highlight w:val="none"/>
              </w:rPr>
            </w:pPr>
          </w:p>
        </w:tc>
        <w:tc>
          <w:tcPr>
            <w:tcW w:w="2693" w:type="dxa"/>
            <w:vAlign w:val="center"/>
          </w:tcPr>
          <w:p>
            <w:pPr>
              <w:adjustRightInd w:val="0"/>
              <w:snapToGrid w:val="0"/>
              <w:spacing w:line="440" w:lineRule="exact"/>
              <w:rPr>
                <w:color w:val="auto"/>
                <w:szCs w:val="21"/>
                <w:highlight w:val="none"/>
              </w:rPr>
            </w:pPr>
            <w:r>
              <w:rPr>
                <w:color w:val="auto"/>
                <w:szCs w:val="21"/>
                <w:highlight w:val="none"/>
              </w:rPr>
              <w:t>2.具有良好的商业信誉和健全的财务会计制度</w:t>
            </w:r>
          </w:p>
        </w:tc>
        <w:tc>
          <w:tcPr>
            <w:tcW w:w="5958" w:type="dxa"/>
            <w:vMerge w:val="restart"/>
            <w:vAlign w:val="center"/>
          </w:tcPr>
          <w:p>
            <w:pPr>
              <w:adjustRightInd w:val="0"/>
              <w:snapToGrid w:val="0"/>
              <w:spacing w:line="440" w:lineRule="exact"/>
              <w:rPr>
                <w:color w:val="auto"/>
                <w:szCs w:val="21"/>
                <w:highlight w:val="none"/>
              </w:rPr>
            </w:pPr>
          </w:p>
          <w:p>
            <w:pPr>
              <w:adjustRightInd w:val="0"/>
              <w:snapToGrid w:val="0"/>
              <w:spacing w:line="440" w:lineRule="exact"/>
              <w:rPr>
                <w:color w:val="auto"/>
                <w:szCs w:val="21"/>
                <w:highlight w:val="none"/>
              </w:rPr>
            </w:pPr>
            <w:r>
              <w:rPr>
                <w:color w:val="auto"/>
                <w:szCs w:val="21"/>
                <w:highlight w:val="none"/>
              </w:rPr>
              <w:t>提供基本资格条件承诺函（见格式文件）</w:t>
            </w:r>
          </w:p>
          <w:p>
            <w:pPr>
              <w:adjustRightInd w:val="0"/>
              <w:snapToGrid w:val="0"/>
              <w:spacing w:line="440" w:lineRule="exact"/>
              <w:rPr>
                <w:color w:val="auto"/>
                <w:szCs w:val="21"/>
                <w:highlight w:val="none"/>
              </w:rPr>
            </w:pPr>
          </w:p>
          <w:p>
            <w:pPr>
              <w:adjustRightInd w:val="0"/>
              <w:snapToGrid w:val="0"/>
              <w:spacing w:line="440" w:lineRule="exact"/>
              <w:rPr>
                <w:color w:val="auto"/>
                <w:szCs w:val="21"/>
                <w:highlight w:val="none"/>
              </w:rPr>
            </w:pPr>
          </w:p>
          <w:p>
            <w:pPr>
              <w:adjustRightInd w:val="0"/>
              <w:snapToGrid w:val="0"/>
              <w:spacing w:line="440" w:lineRule="exact"/>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09" w:type="dxa"/>
            <w:vMerge w:val="continue"/>
            <w:vAlign w:val="center"/>
          </w:tcPr>
          <w:p>
            <w:pPr>
              <w:adjustRightInd w:val="0"/>
              <w:snapToGrid w:val="0"/>
              <w:spacing w:line="440" w:lineRule="exact"/>
              <w:rPr>
                <w:color w:val="auto"/>
                <w:szCs w:val="21"/>
                <w:highlight w:val="none"/>
              </w:rPr>
            </w:pPr>
          </w:p>
        </w:tc>
        <w:tc>
          <w:tcPr>
            <w:tcW w:w="2693" w:type="dxa"/>
            <w:vAlign w:val="center"/>
          </w:tcPr>
          <w:p>
            <w:pPr>
              <w:adjustRightInd w:val="0"/>
              <w:snapToGrid w:val="0"/>
              <w:spacing w:line="440" w:lineRule="exact"/>
              <w:rPr>
                <w:color w:val="auto"/>
                <w:szCs w:val="21"/>
                <w:highlight w:val="none"/>
              </w:rPr>
            </w:pPr>
            <w:r>
              <w:rPr>
                <w:color w:val="auto"/>
                <w:szCs w:val="21"/>
                <w:highlight w:val="none"/>
              </w:rPr>
              <w:t>3.具有履行合同所必需的设备和专业技术能力</w:t>
            </w:r>
          </w:p>
        </w:tc>
        <w:tc>
          <w:tcPr>
            <w:tcW w:w="5958" w:type="dxa"/>
            <w:vMerge w:val="continue"/>
            <w:vAlign w:val="center"/>
          </w:tcPr>
          <w:p>
            <w:pPr>
              <w:adjustRightInd w:val="0"/>
              <w:snapToGrid w:val="0"/>
              <w:spacing w:line="440" w:lineRule="exact"/>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3" w:hRule="atLeast"/>
        </w:trPr>
        <w:tc>
          <w:tcPr>
            <w:tcW w:w="709" w:type="dxa"/>
            <w:vMerge w:val="continue"/>
            <w:vAlign w:val="center"/>
          </w:tcPr>
          <w:p>
            <w:pPr>
              <w:adjustRightInd w:val="0"/>
              <w:snapToGrid w:val="0"/>
              <w:spacing w:line="440" w:lineRule="exact"/>
              <w:rPr>
                <w:color w:val="auto"/>
                <w:szCs w:val="21"/>
                <w:highlight w:val="none"/>
              </w:rPr>
            </w:pPr>
          </w:p>
        </w:tc>
        <w:tc>
          <w:tcPr>
            <w:tcW w:w="2693" w:type="dxa"/>
            <w:vAlign w:val="center"/>
          </w:tcPr>
          <w:p>
            <w:pPr>
              <w:adjustRightInd w:val="0"/>
              <w:snapToGrid w:val="0"/>
              <w:spacing w:line="440" w:lineRule="exact"/>
              <w:rPr>
                <w:color w:val="auto"/>
                <w:szCs w:val="21"/>
                <w:highlight w:val="none"/>
              </w:rPr>
            </w:pPr>
            <w:r>
              <w:rPr>
                <w:color w:val="auto"/>
                <w:szCs w:val="21"/>
                <w:highlight w:val="none"/>
              </w:rPr>
              <w:t>4.有依法缴纳税                                                                                                                                                                                                                                                                                                                                                                                                                                                                                                                                                                                                                                                                                                                                                                                                                                                                                                                                                                                                                                                                                                                                                                                                                                                                                                                                                                                                                                                                                                                                                                                                                                                                                                                                                                                                                                                                                                                                                                                                                                                                                                                                                                                                                                                                                                                                                                                                                                                                                                                                                                                                                                                                                                                                                                                                                                                                                                                                                                                                                                                                                                                                                                                                                                                                                                                                                                                                                                                                                                     收和社会保障金的良好记录</w:t>
            </w:r>
          </w:p>
        </w:tc>
        <w:tc>
          <w:tcPr>
            <w:tcW w:w="5958" w:type="dxa"/>
            <w:vMerge w:val="continue"/>
            <w:vAlign w:val="center"/>
          </w:tcPr>
          <w:p>
            <w:pPr>
              <w:adjustRightInd w:val="0"/>
              <w:snapToGrid w:val="0"/>
              <w:spacing w:line="440" w:lineRule="exact"/>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09" w:type="dxa"/>
            <w:vMerge w:val="continue"/>
            <w:vAlign w:val="center"/>
          </w:tcPr>
          <w:p>
            <w:pPr>
              <w:adjustRightInd w:val="0"/>
              <w:snapToGrid w:val="0"/>
              <w:spacing w:line="440" w:lineRule="exact"/>
              <w:rPr>
                <w:color w:val="auto"/>
                <w:szCs w:val="21"/>
                <w:highlight w:val="none"/>
                <w:lang w:val="zh-CN"/>
              </w:rPr>
            </w:pPr>
          </w:p>
        </w:tc>
        <w:tc>
          <w:tcPr>
            <w:tcW w:w="2693" w:type="dxa"/>
            <w:vAlign w:val="center"/>
          </w:tcPr>
          <w:p>
            <w:pPr>
              <w:adjustRightInd w:val="0"/>
              <w:snapToGrid w:val="0"/>
              <w:spacing w:line="440" w:lineRule="exact"/>
              <w:rPr>
                <w:color w:val="auto"/>
                <w:szCs w:val="21"/>
                <w:highlight w:val="none"/>
              </w:rPr>
            </w:pPr>
            <w:r>
              <w:rPr>
                <w:color w:val="auto"/>
                <w:szCs w:val="21"/>
                <w:highlight w:val="none"/>
              </w:rPr>
              <w:t>5.参加政府采购活动前三年内，在经营活动中没有重大违法记录（注</w:t>
            </w:r>
            <w:r>
              <w:rPr>
                <w:rFonts w:hint="eastAsia" w:ascii="宋体" w:hAnsi="宋体" w:cs="宋体"/>
                <w:color w:val="auto"/>
                <w:szCs w:val="21"/>
                <w:highlight w:val="none"/>
              </w:rPr>
              <w:t>②</w:t>
            </w:r>
            <w:r>
              <w:rPr>
                <w:color w:val="auto"/>
                <w:szCs w:val="21"/>
                <w:highlight w:val="none"/>
              </w:rPr>
              <w:t>）</w:t>
            </w:r>
          </w:p>
        </w:tc>
        <w:tc>
          <w:tcPr>
            <w:tcW w:w="5958" w:type="dxa"/>
            <w:vMerge w:val="continue"/>
            <w:vAlign w:val="center"/>
          </w:tcPr>
          <w:p>
            <w:pPr>
              <w:adjustRightInd w:val="0"/>
              <w:snapToGrid w:val="0"/>
              <w:spacing w:line="440" w:lineRule="exact"/>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09" w:type="dxa"/>
            <w:vMerge w:val="continue"/>
            <w:vAlign w:val="center"/>
          </w:tcPr>
          <w:p>
            <w:pPr>
              <w:adjustRightInd w:val="0"/>
              <w:snapToGrid w:val="0"/>
              <w:spacing w:line="440" w:lineRule="exact"/>
              <w:rPr>
                <w:color w:val="auto"/>
                <w:szCs w:val="21"/>
                <w:highlight w:val="none"/>
              </w:rPr>
            </w:pPr>
          </w:p>
        </w:tc>
        <w:tc>
          <w:tcPr>
            <w:tcW w:w="2693" w:type="dxa"/>
            <w:vAlign w:val="center"/>
          </w:tcPr>
          <w:p>
            <w:pPr>
              <w:adjustRightInd w:val="0"/>
              <w:snapToGrid w:val="0"/>
              <w:spacing w:line="440" w:lineRule="exact"/>
              <w:rPr>
                <w:color w:val="auto"/>
                <w:szCs w:val="21"/>
                <w:highlight w:val="none"/>
              </w:rPr>
            </w:pPr>
            <w:r>
              <w:rPr>
                <w:color w:val="auto"/>
                <w:szCs w:val="21"/>
                <w:highlight w:val="none"/>
              </w:rPr>
              <w:t>6.法律、行政法规规定的其他条件</w:t>
            </w:r>
          </w:p>
        </w:tc>
        <w:tc>
          <w:tcPr>
            <w:tcW w:w="5958" w:type="dxa"/>
            <w:vAlign w:val="center"/>
          </w:tcPr>
          <w:p>
            <w:pPr>
              <w:adjustRightInd w:val="0"/>
              <w:snapToGrid w:val="0"/>
              <w:spacing w:line="440" w:lineRule="exact"/>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3402" w:type="dxa"/>
            <w:gridSpan w:val="2"/>
            <w:vAlign w:val="center"/>
          </w:tcPr>
          <w:p>
            <w:pPr>
              <w:adjustRightInd w:val="0"/>
              <w:snapToGrid w:val="0"/>
              <w:spacing w:line="440" w:lineRule="exact"/>
              <w:rPr>
                <w:color w:val="auto"/>
                <w:szCs w:val="21"/>
                <w:highlight w:val="none"/>
              </w:rPr>
            </w:pPr>
            <w:r>
              <w:rPr>
                <w:color w:val="auto"/>
                <w:szCs w:val="21"/>
                <w:highlight w:val="none"/>
              </w:rPr>
              <w:t>本项目的特定资格要求</w:t>
            </w:r>
          </w:p>
        </w:tc>
        <w:tc>
          <w:tcPr>
            <w:tcW w:w="5958" w:type="dxa"/>
            <w:vAlign w:val="center"/>
          </w:tcPr>
          <w:p>
            <w:pPr>
              <w:adjustRightInd w:val="0"/>
              <w:snapToGrid w:val="0"/>
              <w:spacing w:line="440" w:lineRule="exact"/>
              <w:rPr>
                <w:color w:val="auto"/>
                <w:szCs w:val="21"/>
                <w:highlight w:val="none"/>
              </w:rPr>
            </w:pPr>
            <w:r>
              <w:rPr>
                <w:color w:val="auto"/>
                <w:szCs w:val="21"/>
                <w:highlight w:val="none"/>
              </w:rPr>
              <w:t>按第一篇“3.供应商资格要求3.3满足本项目的特定资格要求”的要求提交。</w:t>
            </w:r>
          </w:p>
        </w:tc>
      </w:tr>
    </w:tbl>
    <w:p>
      <w:pPr>
        <w:adjustRightInd w:val="0"/>
        <w:snapToGrid w:val="0"/>
        <w:spacing w:line="440" w:lineRule="exact"/>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①供应商按“多证合一”登记制度办理营业执照的，税务登记证（副本）和社会保险登记证以投</w:t>
      </w:r>
    </w:p>
    <w:p>
      <w:pPr>
        <w:adjustRightInd w:val="0"/>
        <w:snapToGrid w:val="0"/>
        <w:spacing w:line="440" w:lineRule="exact"/>
        <w:rPr>
          <w:color w:val="auto"/>
          <w:kern w:val="0"/>
          <w:szCs w:val="21"/>
          <w:highlight w:val="none"/>
        </w:rPr>
      </w:pPr>
      <w:r>
        <w:rPr>
          <w:color w:val="auto"/>
          <w:kern w:val="0"/>
          <w:szCs w:val="21"/>
          <w:highlight w:val="none"/>
        </w:rPr>
        <w:t>标人所提供的营业执照（副本）复印件为准。</w:t>
      </w:r>
    </w:p>
    <w:p>
      <w:pPr>
        <w:adjustRightInd w:val="0"/>
        <w:snapToGrid w:val="0"/>
        <w:spacing w:line="440" w:lineRule="exact"/>
        <w:ind w:firstLine="420" w:firstLineChars="200"/>
        <w:rPr>
          <w:color w:val="auto"/>
          <w:kern w:val="0"/>
          <w:szCs w:val="21"/>
          <w:highlight w:val="none"/>
        </w:rPr>
      </w:pPr>
      <w:r>
        <w:rPr>
          <w:rFonts w:hint="eastAsia" w:ascii="宋体" w:hAnsi="宋体" w:cs="宋体"/>
          <w:color w:val="auto"/>
          <w:kern w:val="0"/>
          <w:szCs w:val="21"/>
          <w:highlight w:val="none"/>
        </w:rPr>
        <w:t>②</w:t>
      </w:r>
      <w:r>
        <w:rPr>
          <w:color w:val="auto"/>
          <w:kern w:val="0"/>
          <w:szCs w:val="21"/>
          <w:highlight w:val="none"/>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p>
    <w:p>
      <w:pPr>
        <w:pStyle w:val="12"/>
        <w:adjustRightInd w:val="0"/>
        <w:snapToGrid w:val="0"/>
        <w:spacing w:line="440" w:lineRule="exact"/>
        <w:ind w:firstLine="0" w:firstLineChars="0"/>
        <w:rPr>
          <w:b/>
          <w:bCs/>
          <w:color w:val="auto"/>
          <w:szCs w:val="21"/>
          <w:highlight w:val="none"/>
        </w:rPr>
      </w:pPr>
      <w:r>
        <w:rPr>
          <w:b/>
          <w:bCs/>
          <w:color w:val="auto"/>
          <w:szCs w:val="21"/>
          <w:highlight w:val="none"/>
        </w:rPr>
        <w:t>20.2符合性审查。</w:t>
      </w:r>
    </w:p>
    <w:tbl>
      <w:tblPr>
        <w:tblStyle w:val="40"/>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53"/>
        <w:gridCol w:w="1701"/>
        <w:gridCol w:w="5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b/>
                <w:color w:val="auto"/>
                <w:szCs w:val="21"/>
                <w:highlight w:val="none"/>
              </w:rPr>
            </w:pPr>
            <w:r>
              <w:rPr>
                <w:b/>
                <w:color w:val="auto"/>
                <w:szCs w:val="21"/>
                <w:highlight w:val="none"/>
              </w:rPr>
              <w:t>序号</w:t>
            </w:r>
          </w:p>
        </w:tc>
        <w:tc>
          <w:tcPr>
            <w:tcW w:w="305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b/>
                <w:color w:val="auto"/>
                <w:szCs w:val="21"/>
                <w:highlight w:val="none"/>
              </w:rPr>
            </w:pPr>
            <w:r>
              <w:rPr>
                <w:b/>
                <w:color w:val="auto"/>
                <w:szCs w:val="21"/>
                <w:highlight w:val="none"/>
              </w:rPr>
              <w:t>评审因素</w:t>
            </w:r>
          </w:p>
        </w:tc>
        <w:tc>
          <w:tcPr>
            <w:tcW w:w="54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b/>
                <w:color w:val="auto"/>
                <w:szCs w:val="21"/>
                <w:highlight w:val="none"/>
              </w:rPr>
            </w:pPr>
            <w:r>
              <w:rPr>
                <w:b/>
                <w:color w:val="auto"/>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675"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color w:val="auto"/>
                <w:szCs w:val="21"/>
                <w:highlight w:val="none"/>
              </w:rPr>
            </w:pPr>
            <w:r>
              <w:rPr>
                <w:color w:val="auto"/>
                <w:szCs w:val="21"/>
                <w:highlight w:val="none"/>
              </w:rPr>
              <w:t>1</w:t>
            </w:r>
          </w:p>
        </w:tc>
        <w:tc>
          <w:tcPr>
            <w:tcW w:w="1353"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color w:val="auto"/>
                <w:szCs w:val="21"/>
                <w:highlight w:val="none"/>
              </w:rPr>
            </w:pPr>
            <w:r>
              <w:rPr>
                <w:color w:val="auto"/>
                <w:szCs w:val="21"/>
                <w:highlight w:val="none"/>
              </w:rPr>
              <w:t>有效性审查</w:t>
            </w:r>
          </w:p>
        </w:tc>
        <w:tc>
          <w:tcPr>
            <w:tcW w:w="17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color w:val="auto"/>
                <w:szCs w:val="21"/>
                <w:highlight w:val="none"/>
              </w:rPr>
            </w:pPr>
            <w:r>
              <w:rPr>
                <w:color w:val="auto"/>
                <w:szCs w:val="21"/>
                <w:highlight w:val="none"/>
              </w:rPr>
              <w:t>响应文件签署或盖章</w:t>
            </w:r>
          </w:p>
        </w:tc>
        <w:tc>
          <w:tcPr>
            <w:tcW w:w="54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color w:val="auto"/>
                <w:szCs w:val="21"/>
                <w:highlight w:val="none"/>
              </w:rPr>
            </w:pPr>
            <w:r>
              <w:rPr>
                <w:color w:val="auto"/>
                <w:szCs w:val="21"/>
                <w:highlight w:val="none"/>
              </w:rPr>
              <w:t>响应文件上法定代表人（或其授权代表）或自然人（供应商为自然人）的签署或盖章齐全。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color w:val="auto"/>
                <w:szCs w:val="21"/>
                <w:highlight w:val="none"/>
              </w:rPr>
            </w:pPr>
          </w:p>
        </w:tc>
        <w:tc>
          <w:tcPr>
            <w:tcW w:w="1353"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color w:val="auto"/>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color w:val="auto"/>
                <w:szCs w:val="21"/>
                <w:highlight w:val="none"/>
              </w:rPr>
            </w:pPr>
            <w:r>
              <w:rPr>
                <w:color w:val="auto"/>
                <w:szCs w:val="21"/>
                <w:highlight w:val="none"/>
              </w:rPr>
              <w:t>响应方案</w:t>
            </w:r>
          </w:p>
        </w:tc>
        <w:tc>
          <w:tcPr>
            <w:tcW w:w="54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color w:val="auto"/>
                <w:szCs w:val="21"/>
                <w:highlight w:val="none"/>
              </w:rPr>
            </w:pPr>
            <w:r>
              <w:rPr>
                <w:rFonts w:hint="eastAsia"/>
                <w:color w:val="auto"/>
                <w:szCs w:val="21"/>
                <w:highlight w:val="none"/>
              </w:rPr>
              <w:t>每个分包</w:t>
            </w:r>
            <w:r>
              <w:rPr>
                <w:color w:val="auto"/>
                <w:szCs w:val="21"/>
                <w:highlight w:val="none"/>
              </w:rPr>
              <w:t>只能有一个方案响应。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7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color w:val="auto"/>
                <w:szCs w:val="21"/>
                <w:highlight w:val="none"/>
              </w:rPr>
            </w:pPr>
          </w:p>
        </w:tc>
        <w:tc>
          <w:tcPr>
            <w:tcW w:w="1353"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color w:val="auto"/>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color w:val="auto"/>
                <w:szCs w:val="21"/>
                <w:highlight w:val="none"/>
              </w:rPr>
            </w:pPr>
            <w:r>
              <w:rPr>
                <w:color w:val="auto"/>
                <w:szCs w:val="21"/>
                <w:highlight w:val="none"/>
              </w:rPr>
              <w:t>报价唯一</w:t>
            </w:r>
          </w:p>
        </w:tc>
        <w:tc>
          <w:tcPr>
            <w:tcW w:w="54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color w:val="auto"/>
                <w:szCs w:val="21"/>
                <w:highlight w:val="none"/>
              </w:rPr>
            </w:pPr>
            <w:r>
              <w:rPr>
                <w:color w:val="auto"/>
                <w:szCs w:val="21"/>
                <w:highlight w:val="none"/>
              </w:rPr>
              <w:t>只能在最高限价内报价且只有一个有效报价，不得提交选择性报价。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jc w:val="center"/>
              <w:rPr>
                <w:color w:val="auto"/>
                <w:szCs w:val="21"/>
                <w:highlight w:val="none"/>
              </w:rPr>
            </w:pPr>
            <w:r>
              <w:rPr>
                <w:color w:val="auto"/>
                <w:szCs w:val="21"/>
                <w:highlight w:val="none"/>
              </w:rPr>
              <w:t>2</w:t>
            </w:r>
          </w:p>
        </w:tc>
        <w:tc>
          <w:tcPr>
            <w:tcW w:w="13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color w:val="auto"/>
                <w:szCs w:val="21"/>
                <w:highlight w:val="none"/>
              </w:rPr>
            </w:pPr>
            <w:r>
              <w:rPr>
                <w:color w:val="auto"/>
                <w:szCs w:val="21"/>
                <w:highlight w:val="none"/>
              </w:rPr>
              <w:t>完整性审查</w:t>
            </w:r>
          </w:p>
        </w:tc>
        <w:tc>
          <w:tcPr>
            <w:tcW w:w="17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color w:val="auto"/>
                <w:szCs w:val="21"/>
                <w:highlight w:val="none"/>
              </w:rPr>
            </w:pPr>
            <w:r>
              <w:rPr>
                <w:color w:val="auto"/>
                <w:szCs w:val="21"/>
                <w:highlight w:val="none"/>
              </w:rPr>
              <w:t>响应文件份数</w:t>
            </w:r>
          </w:p>
        </w:tc>
        <w:tc>
          <w:tcPr>
            <w:tcW w:w="54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color w:val="auto"/>
                <w:szCs w:val="21"/>
                <w:highlight w:val="none"/>
              </w:rPr>
            </w:pPr>
            <w:r>
              <w:rPr>
                <w:color w:val="auto"/>
                <w:szCs w:val="21"/>
                <w:highlight w:val="none"/>
              </w:rPr>
              <w:t>响应文件正、副本数量（含电子文档）符合评比文件要求。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675" w:type="dxa"/>
            <w:vMerge w:val="restart"/>
            <w:tcBorders>
              <w:top w:val="single" w:color="auto" w:sz="4" w:space="0"/>
              <w:left w:val="single" w:color="auto" w:sz="4" w:space="0"/>
              <w:right w:val="single" w:color="auto" w:sz="4" w:space="0"/>
            </w:tcBorders>
            <w:vAlign w:val="center"/>
          </w:tcPr>
          <w:p>
            <w:pPr>
              <w:adjustRightInd w:val="0"/>
              <w:snapToGrid w:val="0"/>
              <w:spacing w:line="440" w:lineRule="exact"/>
              <w:jc w:val="center"/>
              <w:rPr>
                <w:color w:val="auto"/>
                <w:szCs w:val="21"/>
                <w:highlight w:val="none"/>
              </w:rPr>
            </w:pPr>
            <w:r>
              <w:rPr>
                <w:color w:val="auto"/>
                <w:szCs w:val="21"/>
                <w:highlight w:val="none"/>
              </w:rPr>
              <w:t>3</w:t>
            </w:r>
          </w:p>
        </w:tc>
        <w:tc>
          <w:tcPr>
            <w:tcW w:w="1353" w:type="dxa"/>
            <w:vMerge w:val="restart"/>
            <w:tcBorders>
              <w:top w:val="single" w:color="auto" w:sz="4" w:space="0"/>
              <w:left w:val="single" w:color="auto" w:sz="4" w:space="0"/>
              <w:right w:val="single" w:color="auto" w:sz="4" w:space="0"/>
            </w:tcBorders>
            <w:vAlign w:val="center"/>
          </w:tcPr>
          <w:p>
            <w:pPr>
              <w:adjustRightInd w:val="0"/>
              <w:snapToGrid w:val="0"/>
              <w:spacing w:line="440" w:lineRule="exact"/>
              <w:jc w:val="center"/>
              <w:rPr>
                <w:color w:val="auto"/>
                <w:szCs w:val="21"/>
                <w:highlight w:val="none"/>
              </w:rPr>
            </w:pPr>
            <w:r>
              <w:rPr>
                <w:color w:val="auto"/>
                <w:szCs w:val="21"/>
                <w:highlight w:val="none"/>
              </w:rPr>
              <w:t>评比文件的响应程度审查</w:t>
            </w:r>
          </w:p>
        </w:tc>
        <w:tc>
          <w:tcPr>
            <w:tcW w:w="17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color w:val="auto"/>
                <w:szCs w:val="21"/>
                <w:highlight w:val="none"/>
              </w:rPr>
            </w:pPr>
            <w:r>
              <w:rPr>
                <w:color w:val="auto"/>
                <w:szCs w:val="21"/>
                <w:highlight w:val="none"/>
              </w:rPr>
              <w:t>响应文件内容</w:t>
            </w:r>
          </w:p>
        </w:tc>
        <w:tc>
          <w:tcPr>
            <w:tcW w:w="54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color w:val="auto"/>
                <w:szCs w:val="21"/>
                <w:highlight w:val="none"/>
              </w:rPr>
            </w:pPr>
            <w:r>
              <w:rPr>
                <w:color w:val="auto"/>
                <w:szCs w:val="21"/>
                <w:highlight w:val="none"/>
              </w:rPr>
              <w:t>对评比文件“第四章3.商务要求”的内容作出响应或承诺。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75" w:type="dxa"/>
            <w:vMerge w:val="continue"/>
            <w:tcBorders>
              <w:left w:val="single" w:color="auto" w:sz="4" w:space="0"/>
              <w:bottom w:val="single" w:color="auto" w:sz="4" w:space="0"/>
              <w:right w:val="single" w:color="auto" w:sz="4" w:space="0"/>
            </w:tcBorders>
            <w:vAlign w:val="center"/>
          </w:tcPr>
          <w:p>
            <w:pPr>
              <w:adjustRightInd w:val="0"/>
              <w:snapToGrid w:val="0"/>
              <w:spacing w:line="440" w:lineRule="exact"/>
              <w:jc w:val="center"/>
              <w:rPr>
                <w:color w:val="auto"/>
                <w:szCs w:val="21"/>
                <w:highlight w:val="none"/>
              </w:rPr>
            </w:pPr>
          </w:p>
        </w:tc>
        <w:tc>
          <w:tcPr>
            <w:tcW w:w="1353" w:type="dxa"/>
            <w:vMerge w:val="continue"/>
            <w:tcBorders>
              <w:left w:val="single" w:color="auto" w:sz="4" w:space="0"/>
              <w:bottom w:val="single" w:color="auto" w:sz="4" w:space="0"/>
              <w:right w:val="single" w:color="auto" w:sz="4" w:space="0"/>
            </w:tcBorders>
            <w:vAlign w:val="center"/>
          </w:tcPr>
          <w:p>
            <w:pPr>
              <w:adjustRightInd w:val="0"/>
              <w:snapToGrid w:val="0"/>
              <w:spacing w:line="440" w:lineRule="exact"/>
              <w:rPr>
                <w:color w:val="auto"/>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color w:val="auto"/>
                <w:szCs w:val="21"/>
                <w:highlight w:val="none"/>
              </w:rPr>
            </w:pPr>
            <w:r>
              <w:rPr>
                <w:color w:val="auto"/>
                <w:szCs w:val="21"/>
                <w:highlight w:val="none"/>
              </w:rPr>
              <w:t>响应有效期</w:t>
            </w:r>
          </w:p>
        </w:tc>
        <w:tc>
          <w:tcPr>
            <w:tcW w:w="54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40" w:lineRule="exact"/>
              <w:rPr>
                <w:color w:val="auto"/>
                <w:szCs w:val="21"/>
                <w:highlight w:val="none"/>
              </w:rPr>
            </w:pPr>
            <w:r>
              <w:rPr>
                <w:color w:val="auto"/>
                <w:szCs w:val="21"/>
                <w:highlight w:val="none"/>
              </w:rPr>
              <w:t>响应有效期为评比截止时间起90天。</w:t>
            </w:r>
          </w:p>
        </w:tc>
      </w:tr>
    </w:tbl>
    <w:p>
      <w:pPr>
        <w:adjustRightInd w:val="0"/>
        <w:snapToGrid w:val="0"/>
        <w:spacing w:line="440" w:lineRule="exact"/>
        <w:ind w:left="422" w:hanging="422" w:hangingChars="200"/>
        <w:rPr>
          <w:b/>
          <w:bCs/>
          <w:color w:val="auto"/>
          <w:szCs w:val="21"/>
          <w:highlight w:val="none"/>
        </w:rPr>
      </w:pPr>
      <w:r>
        <w:rPr>
          <w:b/>
          <w:bCs/>
          <w:color w:val="auto"/>
          <w:szCs w:val="21"/>
          <w:highlight w:val="none"/>
        </w:rPr>
        <w:t>20.3在评比采购中，出现下列情形之一的，应予拒绝：</w:t>
      </w:r>
    </w:p>
    <w:p>
      <w:pPr>
        <w:adjustRightInd w:val="0"/>
        <w:snapToGrid w:val="0"/>
        <w:spacing w:line="440" w:lineRule="exact"/>
        <w:rPr>
          <w:color w:val="auto"/>
          <w:szCs w:val="21"/>
          <w:highlight w:val="none"/>
        </w:rPr>
      </w:pPr>
      <w:r>
        <w:rPr>
          <w:color w:val="auto"/>
          <w:szCs w:val="21"/>
          <w:highlight w:val="none"/>
        </w:rPr>
        <w:t>1）出现影响采购公正的违法、违规行为的；</w:t>
      </w:r>
    </w:p>
    <w:p>
      <w:pPr>
        <w:adjustRightInd w:val="0"/>
        <w:snapToGrid w:val="0"/>
        <w:spacing w:line="440" w:lineRule="exact"/>
        <w:rPr>
          <w:color w:val="auto"/>
          <w:szCs w:val="21"/>
          <w:highlight w:val="none"/>
        </w:rPr>
      </w:pPr>
      <w:r>
        <w:rPr>
          <w:color w:val="auto"/>
          <w:szCs w:val="21"/>
          <w:highlight w:val="none"/>
        </w:rPr>
        <w:t>2）评比供应商的报价均超过了采购预算，采购人不能支付的。</w:t>
      </w:r>
    </w:p>
    <w:p>
      <w:pPr>
        <w:adjustRightInd w:val="0"/>
        <w:snapToGrid w:val="0"/>
        <w:spacing w:line="440" w:lineRule="exact"/>
        <w:ind w:left="420" w:hanging="420" w:hangingChars="200"/>
        <w:rPr>
          <w:color w:val="auto"/>
          <w:szCs w:val="21"/>
          <w:highlight w:val="none"/>
        </w:rPr>
      </w:pPr>
      <w:r>
        <w:rPr>
          <w:color w:val="auto"/>
          <w:szCs w:val="21"/>
          <w:highlight w:val="none"/>
        </w:rPr>
        <w:t>20.4评审前，评审委员会将审查每一评比响应文件是否对评比文件提出的所有实质性要求和条件做出</w:t>
      </w:r>
    </w:p>
    <w:p>
      <w:pPr>
        <w:adjustRightInd w:val="0"/>
        <w:snapToGrid w:val="0"/>
        <w:spacing w:line="440" w:lineRule="exact"/>
        <w:ind w:left="420" w:hanging="420" w:hangingChars="200"/>
        <w:rPr>
          <w:color w:val="auto"/>
          <w:szCs w:val="21"/>
          <w:highlight w:val="none"/>
        </w:rPr>
      </w:pPr>
      <w:r>
        <w:rPr>
          <w:color w:val="auto"/>
          <w:szCs w:val="21"/>
          <w:highlight w:val="none"/>
        </w:rPr>
        <w:t>响应，未能在实质性上响应的评比，将按无效处理。只有通过初步审查的评比响应文件才能进入下一</w:t>
      </w:r>
    </w:p>
    <w:p>
      <w:pPr>
        <w:adjustRightInd w:val="0"/>
        <w:snapToGrid w:val="0"/>
        <w:spacing w:line="440" w:lineRule="exact"/>
        <w:ind w:left="420" w:hanging="420" w:hangingChars="200"/>
        <w:rPr>
          <w:color w:val="auto"/>
          <w:szCs w:val="21"/>
          <w:highlight w:val="none"/>
        </w:rPr>
      </w:pPr>
      <w:r>
        <w:rPr>
          <w:color w:val="auto"/>
          <w:szCs w:val="21"/>
          <w:highlight w:val="none"/>
        </w:rPr>
        <w:t>步评审程序。</w:t>
      </w:r>
    </w:p>
    <w:p>
      <w:pPr>
        <w:adjustRightInd w:val="0"/>
        <w:snapToGrid w:val="0"/>
        <w:spacing w:line="440" w:lineRule="exact"/>
        <w:ind w:left="422" w:hanging="422" w:hangingChars="200"/>
        <w:rPr>
          <w:b/>
          <w:bCs/>
          <w:color w:val="auto"/>
          <w:szCs w:val="21"/>
          <w:highlight w:val="none"/>
        </w:rPr>
      </w:pPr>
      <w:r>
        <w:rPr>
          <w:b/>
          <w:bCs/>
          <w:color w:val="auto"/>
          <w:szCs w:val="21"/>
          <w:highlight w:val="none"/>
        </w:rPr>
        <w:t>20.5评审委员会根据评比文件要求，审查并逐项列出评比响应文件的全部偏差。下列情况属于重大偏</w:t>
      </w:r>
    </w:p>
    <w:p>
      <w:pPr>
        <w:adjustRightInd w:val="0"/>
        <w:snapToGrid w:val="0"/>
        <w:spacing w:line="440" w:lineRule="exact"/>
        <w:ind w:left="422" w:hanging="422" w:hangingChars="200"/>
        <w:rPr>
          <w:b/>
          <w:bCs/>
          <w:color w:val="auto"/>
          <w:szCs w:val="21"/>
          <w:highlight w:val="none"/>
        </w:rPr>
      </w:pPr>
      <w:r>
        <w:rPr>
          <w:b/>
          <w:bCs/>
          <w:color w:val="auto"/>
          <w:szCs w:val="21"/>
          <w:highlight w:val="none"/>
        </w:rPr>
        <w:t>差：</w:t>
      </w:r>
    </w:p>
    <w:p>
      <w:pPr>
        <w:numPr>
          <w:ilvl w:val="0"/>
          <w:numId w:val="9"/>
        </w:numPr>
        <w:adjustRightInd w:val="0"/>
        <w:snapToGrid w:val="0"/>
        <w:spacing w:line="440" w:lineRule="exact"/>
        <w:ind w:left="0" w:firstLine="0"/>
        <w:rPr>
          <w:color w:val="auto"/>
          <w:szCs w:val="21"/>
          <w:highlight w:val="none"/>
        </w:rPr>
      </w:pPr>
      <w:r>
        <w:rPr>
          <w:color w:val="auto"/>
          <w:szCs w:val="21"/>
          <w:highlight w:val="none"/>
        </w:rPr>
        <w:t>评比响应文件内容不完整的；</w:t>
      </w:r>
    </w:p>
    <w:p>
      <w:pPr>
        <w:numPr>
          <w:ilvl w:val="0"/>
          <w:numId w:val="9"/>
        </w:numPr>
        <w:adjustRightInd w:val="0"/>
        <w:snapToGrid w:val="0"/>
        <w:spacing w:line="440" w:lineRule="exact"/>
        <w:ind w:left="0" w:firstLine="0"/>
        <w:rPr>
          <w:color w:val="auto"/>
          <w:szCs w:val="21"/>
          <w:highlight w:val="none"/>
        </w:rPr>
      </w:pPr>
      <w:r>
        <w:rPr>
          <w:color w:val="auto"/>
          <w:szCs w:val="21"/>
          <w:highlight w:val="none"/>
        </w:rPr>
        <w:t>评比供应商资格不符合评比文件要求的；</w:t>
      </w:r>
    </w:p>
    <w:p>
      <w:pPr>
        <w:numPr>
          <w:ilvl w:val="0"/>
          <w:numId w:val="9"/>
        </w:numPr>
        <w:adjustRightInd w:val="0"/>
        <w:snapToGrid w:val="0"/>
        <w:spacing w:line="440" w:lineRule="exact"/>
        <w:ind w:left="0" w:firstLine="0"/>
        <w:rPr>
          <w:color w:val="auto"/>
          <w:szCs w:val="21"/>
          <w:highlight w:val="none"/>
        </w:rPr>
      </w:pPr>
      <w:r>
        <w:rPr>
          <w:color w:val="auto"/>
          <w:szCs w:val="21"/>
          <w:highlight w:val="none"/>
        </w:rPr>
        <w:t>评比响应文件没有法定代表人（或其授权代表）或自然人（供应商为自然人）的签署或加盖公章；</w:t>
      </w:r>
    </w:p>
    <w:p>
      <w:pPr>
        <w:numPr>
          <w:ilvl w:val="0"/>
          <w:numId w:val="9"/>
        </w:numPr>
        <w:adjustRightInd w:val="0"/>
        <w:snapToGrid w:val="0"/>
        <w:spacing w:line="440" w:lineRule="exact"/>
        <w:ind w:left="0" w:firstLine="0"/>
        <w:rPr>
          <w:color w:val="auto"/>
          <w:szCs w:val="21"/>
          <w:highlight w:val="none"/>
        </w:rPr>
      </w:pPr>
      <w:r>
        <w:rPr>
          <w:color w:val="auto"/>
          <w:szCs w:val="21"/>
          <w:highlight w:val="none"/>
        </w:rPr>
        <w:t>评比响应文件中附有采购人不能接受的条件或对合同中约定的采购人和评比供应商的义务有重大的限制，且纠正这些偏差将会对其他实质上响应评比文件要求的评比供应商的竞争地位产生不公正的影响；</w:t>
      </w:r>
    </w:p>
    <w:p>
      <w:pPr>
        <w:numPr>
          <w:ilvl w:val="0"/>
          <w:numId w:val="9"/>
        </w:numPr>
        <w:adjustRightInd w:val="0"/>
        <w:snapToGrid w:val="0"/>
        <w:spacing w:line="440" w:lineRule="exact"/>
        <w:ind w:left="0" w:firstLine="0"/>
        <w:rPr>
          <w:color w:val="auto"/>
          <w:szCs w:val="21"/>
          <w:highlight w:val="none"/>
        </w:rPr>
      </w:pPr>
      <w:r>
        <w:rPr>
          <w:color w:val="auto"/>
          <w:szCs w:val="21"/>
          <w:highlight w:val="none"/>
        </w:rPr>
        <w:t>不符合评比文件规定的其他实质性要求。</w:t>
      </w:r>
    </w:p>
    <w:p>
      <w:pPr>
        <w:adjustRightInd w:val="0"/>
        <w:snapToGrid w:val="0"/>
        <w:spacing w:line="440" w:lineRule="exact"/>
        <w:rPr>
          <w:b/>
          <w:color w:val="auto"/>
          <w:szCs w:val="21"/>
          <w:highlight w:val="none"/>
        </w:rPr>
      </w:pPr>
      <w:r>
        <w:rPr>
          <w:color w:val="auto"/>
          <w:szCs w:val="21"/>
          <w:highlight w:val="none"/>
        </w:rPr>
        <w:t>相应评比文件有上述情形之一的，即构成未对评比文件做出实质性响应，将按无效处理，不允许评比供应商通过修改或撤消其不符合要求的偏差，使之成为具有响应性的评比。</w:t>
      </w:r>
    </w:p>
    <w:p>
      <w:pPr>
        <w:adjustRightInd w:val="0"/>
        <w:snapToGrid w:val="0"/>
        <w:spacing w:line="440" w:lineRule="exact"/>
        <w:rPr>
          <w:b/>
          <w:bCs/>
          <w:color w:val="auto"/>
          <w:szCs w:val="21"/>
          <w:highlight w:val="none"/>
        </w:rPr>
      </w:pPr>
      <w:r>
        <w:rPr>
          <w:b/>
          <w:bCs/>
          <w:color w:val="auto"/>
          <w:szCs w:val="21"/>
          <w:highlight w:val="none"/>
        </w:rPr>
        <w:t>21．错误的修正</w:t>
      </w:r>
    </w:p>
    <w:p>
      <w:pPr>
        <w:adjustRightInd w:val="0"/>
        <w:snapToGrid w:val="0"/>
        <w:spacing w:line="440" w:lineRule="exact"/>
        <w:ind w:left="525" w:hanging="525" w:hangingChars="250"/>
        <w:rPr>
          <w:color w:val="auto"/>
          <w:szCs w:val="21"/>
          <w:highlight w:val="none"/>
        </w:rPr>
      </w:pPr>
      <w:r>
        <w:rPr>
          <w:color w:val="auto"/>
          <w:szCs w:val="21"/>
          <w:highlight w:val="none"/>
        </w:rPr>
        <w:t>21.1对于实质上符合评比文件要求的评比响应文件，评审委员会将对其报价进行校核，并对有算术性差错的给予修正。修正的原则为：</w:t>
      </w:r>
    </w:p>
    <w:p>
      <w:pPr>
        <w:numPr>
          <w:ilvl w:val="2"/>
          <w:numId w:val="10"/>
        </w:numPr>
        <w:adjustRightInd w:val="0"/>
        <w:snapToGrid w:val="0"/>
        <w:spacing w:line="440" w:lineRule="exact"/>
        <w:rPr>
          <w:color w:val="auto"/>
          <w:szCs w:val="21"/>
          <w:highlight w:val="none"/>
        </w:rPr>
      </w:pPr>
      <w:r>
        <w:rPr>
          <w:color w:val="auto"/>
          <w:szCs w:val="21"/>
          <w:highlight w:val="none"/>
        </w:rPr>
        <w:t>如果用数字表示的数额与用文字表示的数额不一致时，以文字数额为准。</w:t>
      </w:r>
    </w:p>
    <w:p>
      <w:pPr>
        <w:numPr>
          <w:ilvl w:val="2"/>
          <w:numId w:val="10"/>
        </w:numPr>
        <w:adjustRightInd w:val="0"/>
        <w:snapToGrid w:val="0"/>
        <w:spacing w:line="440" w:lineRule="exact"/>
        <w:rPr>
          <w:color w:val="auto"/>
          <w:szCs w:val="21"/>
          <w:highlight w:val="none"/>
        </w:rPr>
      </w:pPr>
      <w:r>
        <w:rPr>
          <w:color w:val="auto"/>
          <w:szCs w:val="21"/>
          <w:highlight w:val="none"/>
        </w:rPr>
        <w:t>当单价与数量的乘积与合价之间不一致时，通常以标出的单价为准。除非评审机构认为有明显的小数点错位，此时应以标出的合价为准，并修改单价。</w:t>
      </w:r>
    </w:p>
    <w:p>
      <w:pPr>
        <w:numPr>
          <w:ilvl w:val="2"/>
          <w:numId w:val="10"/>
        </w:numPr>
        <w:adjustRightInd w:val="0"/>
        <w:snapToGrid w:val="0"/>
        <w:spacing w:line="440" w:lineRule="exact"/>
        <w:rPr>
          <w:color w:val="auto"/>
          <w:szCs w:val="21"/>
          <w:highlight w:val="none"/>
        </w:rPr>
      </w:pPr>
      <w:r>
        <w:rPr>
          <w:color w:val="auto"/>
          <w:szCs w:val="21"/>
          <w:highlight w:val="none"/>
        </w:rPr>
        <w:t>当各细目的合价累计与总价不一致时，应以各细目合价累计数为准，修正总价。</w:t>
      </w:r>
    </w:p>
    <w:p>
      <w:pPr>
        <w:adjustRightInd w:val="0"/>
        <w:snapToGrid w:val="0"/>
        <w:spacing w:line="440" w:lineRule="exact"/>
        <w:ind w:left="420" w:hanging="420" w:hangingChars="200"/>
        <w:rPr>
          <w:color w:val="auto"/>
          <w:szCs w:val="21"/>
          <w:highlight w:val="none"/>
        </w:rPr>
      </w:pPr>
      <w:r>
        <w:rPr>
          <w:color w:val="auto"/>
          <w:szCs w:val="21"/>
          <w:highlight w:val="none"/>
        </w:rPr>
        <w:t>21．2按以上原则对算术性差错的修正，应取得评比供应商的同意，并确认修正后的最终评比价。如果评比供应商拒绝确认，则其评比响应文件将不予评审，评委会有权宣布其评比无效。</w:t>
      </w:r>
    </w:p>
    <w:p>
      <w:pPr>
        <w:adjustRightInd w:val="0"/>
        <w:snapToGrid w:val="0"/>
        <w:spacing w:line="440" w:lineRule="exact"/>
        <w:ind w:left="630" w:hanging="630" w:hangingChars="300"/>
        <w:rPr>
          <w:color w:val="auto"/>
          <w:szCs w:val="21"/>
          <w:highlight w:val="none"/>
        </w:rPr>
      </w:pPr>
      <w:r>
        <w:rPr>
          <w:color w:val="auto"/>
          <w:szCs w:val="21"/>
          <w:highlight w:val="none"/>
        </w:rPr>
        <w:t>21．3评审委员会发现评比供应商的报价明显低于其他评比报价，使得其评比报价可能低于其成本的，将要求该评比供应商做出书面说明并提供相关证明材料。评比供应商如不能合理说明或不能提供相关证明材料的，由评审委员会认定该评比供应商以低于成本报价竞标，其评比将按无效处理。</w:t>
      </w:r>
    </w:p>
    <w:p>
      <w:pPr>
        <w:numPr>
          <w:ilvl w:val="0"/>
          <w:numId w:val="11"/>
        </w:numPr>
        <w:adjustRightInd w:val="0"/>
        <w:snapToGrid w:val="0"/>
        <w:spacing w:line="440" w:lineRule="exact"/>
        <w:rPr>
          <w:b/>
          <w:bCs/>
          <w:color w:val="auto"/>
          <w:szCs w:val="21"/>
          <w:highlight w:val="none"/>
        </w:rPr>
      </w:pPr>
      <w:r>
        <w:rPr>
          <w:b/>
          <w:bCs/>
          <w:color w:val="auto"/>
          <w:szCs w:val="21"/>
          <w:highlight w:val="none"/>
        </w:rPr>
        <w:t>评比响应文件的澄清</w:t>
      </w:r>
    </w:p>
    <w:p>
      <w:pPr>
        <w:adjustRightInd w:val="0"/>
        <w:snapToGrid w:val="0"/>
        <w:spacing w:line="440" w:lineRule="exact"/>
        <w:ind w:left="630" w:hanging="630" w:hangingChars="300"/>
        <w:rPr>
          <w:color w:val="auto"/>
          <w:szCs w:val="21"/>
          <w:highlight w:val="none"/>
        </w:rPr>
      </w:pPr>
      <w:r>
        <w:rPr>
          <w:color w:val="auto"/>
          <w:szCs w:val="21"/>
          <w:highlight w:val="none"/>
        </w:rPr>
        <w:t>评审阶段，评审委员会认为需要时，可要求评比供应商现场澄清其评比响应文件中的问题，或者要求补</w:t>
      </w:r>
    </w:p>
    <w:p>
      <w:pPr>
        <w:adjustRightInd w:val="0"/>
        <w:snapToGrid w:val="0"/>
        <w:spacing w:line="440" w:lineRule="exact"/>
        <w:ind w:left="630" w:hanging="630" w:hangingChars="300"/>
        <w:rPr>
          <w:color w:val="auto"/>
          <w:szCs w:val="21"/>
          <w:highlight w:val="none"/>
        </w:rPr>
      </w:pPr>
      <w:r>
        <w:rPr>
          <w:color w:val="auto"/>
          <w:szCs w:val="21"/>
          <w:highlight w:val="none"/>
        </w:rPr>
        <w:t>充某些资料，对此，评比供应商不得拒绝。</w:t>
      </w:r>
    </w:p>
    <w:p>
      <w:pPr>
        <w:adjustRightInd w:val="0"/>
        <w:snapToGrid w:val="0"/>
        <w:spacing w:line="440" w:lineRule="exact"/>
        <w:rPr>
          <w:b/>
          <w:bCs/>
          <w:color w:val="auto"/>
          <w:szCs w:val="21"/>
          <w:highlight w:val="none"/>
        </w:rPr>
      </w:pPr>
      <w:r>
        <w:rPr>
          <w:b/>
          <w:bCs/>
          <w:color w:val="auto"/>
          <w:szCs w:val="21"/>
          <w:highlight w:val="none"/>
        </w:rPr>
        <w:t>23．评比响应文件的评价与比较</w:t>
      </w:r>
    </w:p>
    <w:p>
      <w:pPr>
        <w:adjustRightInd w:val="0"/>
        <w:snapToGrid w:val="0"/>
        <w:spacing w:line="440" w:lineRule="exact"/>
        <w:rPr>
          <w:color w:val="auto"/>
          <w:szCs w:val="21"/>
          <w:highlight w:val="none"/>
        </w:rPr>
      </w:pPr>
      <w:r>
        <w:rPr>
          <w:color w:val="auto"/>
          <w:szCs w:val="21"/>
          <w:highlight w:val="none"/>
        </w:rPr>
        <w:t>23．1本项目采用综合评分法进行评审，具体评审办法及标准详见第六章。</w:t>
      </w:r>
    </w:p>
    <w:p>
      <w:pPr>
        <w:adjustRightInd w:val="0"/>
        <w:snapToGrid w:val="0"/>
        <w:spacing w:line="440" w:lineRule="exact"/>
        <w:ind w:left="630" w:hanging="630" w:hangingChars="300"/>
        <w:rPr>
          <w:color w:val="auto"/>
          <w:szCs w:val="21"/>
          <w:highlight w:val="none"/>
        </w:rPr>
      </w:pPr>
      <w:r>
        <w:rPr>
          <w:color w:val="auto"/>
          <w:szCs w:val="21"/>
          <w:highlight w:val="none"/>
        </w:rPr>
        <w:t>23．2评委会将根据各评比供应商综合评分得分推荐排名第一名的单位为本项目的成交候选供应商。</w:t>
      </w:r>
    </w:p>
    <w:p>
      <w:pPr>
        <w:adjustRightInd w:val="0"/>
        <w:snapToGrid w:val="0"/>
        <w:spacing w:line="440" w:lineRule="exact"/>
        <w:ind w:left="630" w:hanging="630" w:hangingChars="300"/>
        <w:rPr>
          <w:color w:val="auto"/>
          <w:szCs w:val="21"/>
          <w:highlight w:val="none"/>
        </w:rPr>
      </w:pPr>
    </w:p>
    <w:p>
      <w:pPr>
        <w:pStyle w:val="4"/>
        <w:spacing w:line="440" w:lineRule="exact"/>
        <w:rPr>
          <w:rFonts w:ascii="Times New Roman" w:hAnsi="Times New Roman" w:eastAsia="宋体"/>
          <w:color w:val="auto"/>
          <w:sz w:val="28"/>
          <w:szCs w:val="28"/>
          <w:highlight w:val="none"/>
        </w:rPr>
      </w:pPr>
      <w:bookmarkStart w:id="38" w:name="_Toc68963466"/>
      <w:bookmarkStart w:id="39" w:name="_Toc24456368"/>
      <w:bookmarkStart w:id="40" w:name="_Toc10213432"/>
      <w:bookmarkStart w:id="41" w:name="_Toc24711813"/>
      <w:bookmarkStart w:id="42" w:name="_Toc24455235"/>
      <w:bookmarkStart w:id="43" w:name="_Toc24083815"/>
      <w:bookmarkStart w:id="44" w:name="_Toc33340840"/>
      <w:r>
        <w:rPr>
          <w:rFonts w:ascii="Times New Roman" w:hAnsi="Times New Roman" w:eastAsia="宋体"/>
          <w:color w:val="auto"/>
          <w:sz w:val="28"/>
          <w:szCs w:val="28"/>
          <w:highlight w:val="none"/>
        </w:rPr>
        <w:t>六、合同的授予</w:t>
      </w:r>
      <w:bookmarkEnd w:id="38"/>
      <w:bookmarkEnd w:id="39"/>
      <w:bookmarkEnd w:id="40"/>
      <w:bookmarkEnd w:id="41"/>
      <w:bookmarkEnd w:id="42"/>
      <w:bookmarkEnd w:id="43"/>
      <w:bookmarkEnd w:id="44"/>
    </w:p>
    <w:p>
      <w:pPr>
        <w:adjustRightInd w:val="0"/>
        <w:snapToGrid w:val="0"/>
        <w:spacing w:line="440" w:lineRule="exact"/>
        <w:rPr>
          <w:color w:val="auto"/>
          <w:szCs w:val="21"/>
          <w:highlight w:val="none"/>
        </w:rPr>
      </w:pPr>
      <w:r>
        <w:rPr>
          <w:b/>
          <w:bCs/>
          <w:color w:val="auto"/>
          <w:szCs w:val="21"/>
          <w:highlight w:val="none"/>
        </w:rPr>
        <w:t>24．合同授予的条件</w:t>
      </w:r>
    </w:p>
    <w:p>
      <w:pPr>
        <w:adjustRightInd w:val="0"/>
        <w:snapToGrid w:val="0"/>
        <w:spacing w:line="440" w:lineRule="exact"/>
        <w:rPr>
          <w:color w:val="auto"/>
          <w:szCs w:val="21"/>
          <w:highlight w:val="none"/>
        </w:rPr>
      </w:pPr>
      <w:r>
        <w:rPr>
          <w:color w:val="auto"/>
          <w:szCs w:val="21"/>
          <w:highlight w:val="none"/>
        </w:rPr>
        <w:t>24．1采购人将把合同授予按本须知第</w:t>
      </w:r>
      <w:r>
        <w:rPr>
          <w:color w:val="auto"/>
          <w:szCs w:val="21"/>
          <w:highlight w:val="none"/>
          <w:u w:val="single"/>
        </w:rPr>
        <w:t>23</w:t>
      </w:r>
      <w:r>
        <w:rPr>
          <w:color w:val="auto"/>
          <w:szCs w:val="21"/>
          <w:highlight w:val="none"/>
        </w:rPr>
        <w:t>条规定评选出的评比供应商。</w:t>
      </w:r>
    </w:p>
    <w:p>
      <w:pPr>
        <w:adjustRightInd w:val="0"/>
        <w:snapToGrid w:val="0"/>
        <w:spacing w:line="440" w:lineRule="exact"/>
        <w:rPr>
          <w:color w:val="auto"/>
          <w:szCs w:val="21"/>
          <w:highlight w:val="none"/>
        </w:rPr>
      </w:pPr>
      <w:r>
        <w:rPr>
          <w:color w:val="auto"/>
          <w:szCs w:val="21"/>
          <w:highlight w:val="none"/>
        </w:rPr>
        <w:t>24．2采购人不承诺将合同授予报价最低的评比供应商。</w:t>
      </w:r>
    </w:p>
    <w:p>
      <w:pPr>
        <w:adjustRightInd w:val="0"/>
        <w:snapToGrid w:val="0"/>
        <w:spacing w:line="440" w:lineRule="exact"/>
        <w:rPr>
          <w:color w:val="auto"/>
          <w:szCs w:val="21"/>
          <w:highlight w:val="none"/>
        </w:rPr>
      </w:pPr>
      <w:r>
        <w:rPr>
          <w:b/>
          <w:bCs/>
          <w:color w:val="auto"/>
          <w:szCs w:val="21"/>
          <w:highlight w:val="none"/>
        </w:rPr>
        <w:t>25. 接受和拒绝评比的权利</w:t>
      </w:r>
    </w:p>
    <w:p>
      <w:pPr>
        <w:adjustRightInd w:val="0"/>
        <w:snapToGrid w:val="0"/>
        <w:spacing w:line="440" w:lineRule="exact"/>
        <w:ind w:left="315" w:leftChars="150"/>
        <w:rPr>
          <w:color w:val="auto"/>
          <w:szCs w:val="21"/>
          <w:highlight w:val="none"/>
        </w:rPr>
      </w:pPr>
      <w:r>
        <w:rPr>
          <w:color w:val="auto"/>
          <w:szCs w:val="21"/>
          <w:highlight w:val="none"/>
        </w:rPr>
        <w:t>在成交通知书发出之前，采购人有权接受或拒绝任何评比，宣布无效或拒绝所有评比，并对由此而引起的对评比供应商的影响不承担责任，也不解释原因。</w:t>
      </w:r>
    </w:p>
    <w:p>
      <w:pPr>
        <w:numPr>
          <w:ilvl w:val="0"/>
          <w:numId w:val="12"/>
        </w:numPr>
        <w:adjustRightInd w:val="0"/>
        <w:snapToGrid w:val="0"/>
        <w:spacing w:line="440" w:lineRule="exact"/>
        <w:rPr>
          <w:b/>
          <w:bCs/>
          <w:color w:val="auto"/>
          <w:szCs w:val="21"/>
          <w:highlight w:val="none"/>
        </w:rPr>
      </w:pPr>
      <w:r>
        <w:rPr>
          <w:b/>
          <w:bCs/>
          <w:color w:val="auto"/>
          <w:szCs w:val="21"/>
          <w:highlight w:val="none"/>
        </w:rPr>
        <w:t>成交通知书</w:t>
      </w:r>
    </w:p>
    <w:p>
      <w:pPr>
        <w:adjustRightInd w:val="0"/>
        <w:snapToGrid w:val="0"/>
        <w:spacing w:line="440" w:lineRule="exact"/>
        <w:ind w:left="525" w:hanging="525" w:hangingChars="250"/>
        <w:rPr>
          <w:color w:val="auto"/>
          <w:szCs w:val="21"/>
          <w:highlight w:val="none"/>
        </w:rPr>
      </w:pPr>
      <w:r>
        <w:rPr>
          <w:color w:val="auto"/>
          <w:szCs w:val="21"/>
          <w:highlight w:val="none"/>
        </w:rPr>
        <w:t>26．1评审结束后，采购人在评比响应文件有效期截止前向成交供应商发出《成交通知书》,并同时将成交结果在《中国政府采购网》公示。</w:t>
      </w:r>
    </w:p>
    <w:p>
      <w:pPr>
        <w:adjustRightInd w:val="0"/>
        <w:snapToGrid w:val="0"/>
        <w:spacing w:line="440" w:lineRule="exact"/>
        <w:rPr>
          <w:color w:val="auto"/>
          <w:szCs w:val="21"/>
          <w:highlight w:val="none"/>
        </w:rPr>
      </w:pPr>
      <w:r>
        <w:rPr>
          <w:color w:val="auto"/>
          <w:szCs w:val="21"/>
          <w:highlight w:val="none"/>
        </w:rPr>
        <w:t>26．2《成交通知书》是合同文件的组成部分。</w:t>
      </w:r>
    </w:p>
    <w:p>
      <w:pPr>
        <w:numPr>
          <w:ilvl w:val="0"/>
          <w:numId w:val="13"/>
        </w:numPr>
        <w:adjustRightInd w:val="0"/>
        <w:snapToGrid w:val="0"/>
        <w:spacing w:line="440" w:lineRule="exact"/>
        <w:rPr>
          <w:b/>
          <w:bCs/>
          <w:color w:val="auto"/>
          <w:szCs w:val="21"/>
          <w:highlight w:val="none"/>
        </w:rPr>
      </w:pPr>
      <w:r>
        <w:rPr>
          <w:b/>
          <w:bCs/>
          <w:color w:val="auto"/>
          <w:szCs w:val="21"/>
          <w:highlight w:val="none"/>
        </w:rPr>
        <w:t>签订合同</w:t>
      </w:r>
    </w:p>
    <w:p>
      <w:pPr>
        <w:adjustRightInd w:val="0"/>
        <w:snapToGrid w:val="0"/>
        <w:spacing w:line="440" w:lineRule="exact"/>
        <w:ind w:left="619" w:hanging="619" w:hangingChars="295"/>
        <w:rPr>
          <w:color w:val="auto"/>
          <w:szCs w:val="21"/>
          <w:highlight w:val="none"/>
        </w:rPr>
      </w:pPr>
      <w:r>
        <w:rPr>
          <w:color w:val="auto"/>
          <w:szCs w:val="21"/>
          <w:highlight w:val="none"/>
        </w:rPr>
        <w:t>27．1成交供应商应在成交通知书发出后</w:t>
      </w:r>
      <w:r>
        <w:rPr>
          <w:color w:val="auto"/>
          <w:szCs w:val="21"/>
          <w:highlight w:val="none"/>
          <w:u w:val="single"/>
        </w:rPr>
        <w:t>30</w:t>
      </w:r>
      <w:r>
        <w:rPr>
          <w:color w:val="auto"/>
          <w:szCs w:val="21"/>
          <w:highlight w:val="none"/>
        </w:rPr>
        <w:t>天内，根据评比文件和成交人的评比响应文件与采购人签订服务合同，采购人和成交供应商不得另行订立背离合同实质性内容的其它协议。</w:t>
      </w:r>
    </w:p>
    <w:p>
      <w:pPr>
        <w:adjustRightInd w:val="0"/>
        <w:snapToGrid w:val="0"/>
        <w:spacing w:line="440" w:lineRule="exact"/>
        <w:ind w:left="619" w:hanging="619" w:hangingChars="295"/>
        <w:rPr>
          <w:color w:val="auto"/>
          <w:szCs w:val="21"/>
          <w:highlight w:val="none"/>
        </w:rPr>
      </w:pPr>
    </w:p>
    <w:p>
      <w:pPr>
        <w:pStyle w:val="4"/>
        <w:spacing w:line="480" w:lineRule="auto"/>
        <w:rPr>
          <w:rFonts w:ascii="Times New Roman" w:hAnsi="Times New Roman" w:eastAsia="宋体"/>
          <w:snapToGrid w:val="0"/>
          <w:color w:val="auto"/>
          <w:highlight w:val="none"/>
        </w:rPr>
      </w:pPr>
      <w:r>
        <w:rPr>
          <w:rFonts w:ascii="Times New Roman" w:hAnsi="Times New Roman" w:eastAsia="宋体"/>
          <w:color w:val="auto"/>
          <w:sz w:val="28"/>
          <w:szCs w:val="28"/>
          <w:highlight w:val="none"/>
        </w:rPr>
        <w:t>七、其他</w:t>
      </w:r>
    </w:p>
    <w:p>
      <w:pPr>
        <w:adjustRightInd w:val="0"/>
        <w:snapToGrid w:val="0"/>
        <w:spacing w:line="440" w:lineRule="exact"/>
        <w:ind w:left="622" w:hanging="622" w:hangingChars="295"/>
        <w:rPr>
          <w:color w:val="auto"/>
          <w:szCs w:val="21"/>
          <w:highlight w:val="none"/>
        </w:rPr>
      </w:pPr>
      <w:r>
        <w:rPr>
          <w:b/>
          <w:bCs/>
          <w:color w:val="auto"/>
          <w:szCs w:val="21"/>
          <w:highlight w:val="none"/>
        </w:rPr>
        <w:t>28. 需要补充的其他内容：</w:t>
      </w:r>
      <w:r>
        <w:rPr>
          <w:color w:val="auto"/>
          <w:szCs w:val="21"/>
          <w:highlight w:val="none"/>
        </w:rPr>
        <w:t>本须知前附表。</w:t>
      </w:r>
    </w:p>
    <w:p>
      <w:pPr>
        <w:pStyle w:val="3"/>
        <w:keepLines w:val="0"/>
        <w:widowControl w:val="0"/>
        <w:tabs>
          <w:tab w:val="left" w:pos="1530"/>
          <w:tab w:val="left" w:pos="3360"/>
          <w:tab w:val="left" w:pos="8052"/>
        </w:tabs>
        <w:adjustRightInd/>
        <w:spacing w:line="480" w:lineRule="auto"/>
        <w:ind w:left="1531" w:hanging="1531"/>
        <w:rPr>
          <w:rFonts w:eastAsia="宋体"/>
          <w:bCs w:val="0"/>
          <w:color w:val="auto"/>
          <w:kern w:val="2"/>
          <w:szCs w:val="36"/>
          <w:highlight w:val="none"/>
        </w:rPr>
      </w:pPr>
      <w:r>
        <w:rPr>
          <w:rFonts w:eastAsia="宋体"/>
          <w:color w:val="auto"/>
          <w:sz w:val="21"/>
          <w:szCs w:val="21"/>
          <w:highlight w:val="none"/>
        </w:rPr>
        <w:br w:type="page"/>
      </w:r>
      <w:bookmarkStart w:id="45" w:name="_Toc10213433"/>
      <w:bookmarkStart w:id="46" w:name="_Toc68963468"/>
      <w:r>
        <w:rPr>
          <w:rFonts w:eastAsia="宋体"/>
          <w:bCs w:val="0"/>
          <w:color w:val="auto"/>
          <w:kern w:val="2"/>
          <w:szCs w:val="36"/>
          <w:highlight w:val="none"/>
        </w:rPr>
        <w:t>第三章、合同条件、格式</w:t>
      </w:r>
      <w:bookmarkEnd w:id="45"/>
    </w:p>
    <w:p>
      <w:pPr>
        <w:jc w:val="center"/>
        <w:rPr>
          <w:rFonts w:eastAsia="华文中宋"/>
          <w:b/>
          <w:color w:val="auto"/>
          <w:sz w:val="52"/>
          <w:szCs w:val="52"/>
          <w:highlight w:val="none"/>
        </w:rPr>
      </w:pPr>
      <w:r>
        <w:rPr>
          <w:rFonts w:eastAsia="华文中宋"/>
          <w:b/>
          <w:color w:val="auto"/>
          <w:sz w:val="72"/>
          <w:szCs w:val="52"/>
          <w:highlight w:val="none"/>
        </w:rPr>
        <w:t>建设工程施工合同</w:t>
      </w:r>
      <w:r>
        <w:rPr>
          <w:rFonts w:eastAsia="华文中宋"/>
          <w:b/>
          <w:color w:val="auto"/>
          <w:sz w:val="52"/>
          <w:szCs w:val="52"/>
          <w:highlight w:val="none"/>
        </w:rPr>
        <w:br w:type="textWrapping"/>
      </w:r>
    </w:p>
    <w:p>
      <w:pPr>
        <w:jc w:val="center"/>
        <w:rPr>
          <w:rFonts w:eastAsia="华文中宋"/>
          <w:b/>
          <w:color w:val="auto"/>
          <w:sz w:val="52"/>
          <w:szCs w:val="52"/>
          <w:highlight w:val="none"/>
        </w:rPr>
      </w:pPr>
    </w:p>
    <w:p>
      <w:pPr>
        <w:jc w:val="center"/>
        <w:rPr>
          <w:rFonts w:eastAsia="黑体"/>
          <w:b/>
          <w:color w:val="auto"/>
          <w:sz w:val="72"/>
          <w:szCs w:val="72"/>
          <w:highlight w:val="none"/>
        </w:rPr>
      </w:pPr>
    </w:p>
    <w:p>
      <w:pPr>
        <w:jc w:val="center"/>
        <w:rPr>
          <w:rFonts w:eastAsia="楷体_GB2312"/>
          <w:b/>
          <w:color w:val="auto"/>
          <w:sz w:val="72"/>
          <w:szCs w:val="72"/>
          <w:highlight w:val="none"/>
        </w:rPr>
      </w:pPr>
    </w:p>
    <w:p>
      <w:pPr>
        <w:jc w:val="center"/>
        <w:rPr>
          <w:rFonts w:eastAsia="黑体"/>
          <w:b/>
          <w:color w:val="auto"/>
          <w:sz w:val="52"/>
          <w:szCs w:val="52"/>
          <w:highlight w:val="none"/>
        </w:rPr>
      </w:pPr>
    </w:p>
    <w:p>
      <w:pPr>
        <w:rPr>
          <w:b/>
          <w:color w:val="auto"/>
          <w:szCs w:val="28"/>
          <w:highlight w:val="none"/>
        </w:rPr>
      </w:pPr>
    </w:p>
    <w:p>
      <w:pPr>
        <w:rPr>
          <w:b/>
          <w:color w:val="auto"/>
          <w:szCs w:val="28"/>
          <w:highlight w:val="none"/>
        </w:rPr>
      </w:pPr>
    </w:p>
    <w:p>
      <w:pPr>
        <w:rPr>
          <w:b/>
          <w:color w:val="auto"/>
          <w:szCs w:val="28"/>
          <w:highlight w:val="none"/>
        </w:rPr>
      </w:pPr>
    </w:p>
    <w:p>
      <w:pPr>
        <w:rPr>
          <w:b/>
          <w:color w:val="auto"/>
          <w:szCs w:val="28"/>
          <w:highlight w:val="none"/>
        </w:rPr>
      </w:pPr>
    </w:p>
    <w:p>
      <w:pPr>
        <w:rPr>
          <w:b/>
          <w:color w:val="auto"/>
          <w:szCs w:val="28"/>
          <w:highlight w:val="none"/>
        </w:rPr>
      </w:pPr>
    </w:p>
    <w:p>
      <w:pPr>
        <w:ind w:right="2719" w:rightChars="1295"/>
        <w:jc w:val="distribute"/>
        <w:rPr>
          <w:b/>
          <w:color w:val="auto"/>
          <w:sz w:val="32"/>
          <w:szCs w:val="28"/>
          <w:highlight w:val="none"/>
        </w:rPr>
      </w:pP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4389120</wp:posOffset>
                </wp:positionH>
                <wp:positionV relativeFrom="paragraph">
                  <wp:posOffset>120015</wp:posOffset>
                </wp:positionV>
                <wp:extent cx="723900" cy="4572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45.6pt;margin-top:9.45pt;height:36pt;width:57pt;z-index:251659264;mso-width-relative:page;mso-height-relative:page;" filled="f" stroked="t" coordsize="21600,21600" o:gfxdata="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U2jZ51wAAAAkBAAAPAAAAAAAAAAEAIAAAACIAAABkcnMv&#10;ZG93bnJldi54bWxQSwECFAAUAAAACACHTuJAK8WJ3wQCAAAOBAAADgAAAAAAAAABACAAAAAmAQAA&#10;ZHJzL2Uyb0RvYy54bWxQSwUGAAAAAAYABgBZAQAAnAUAAAAA&#10;">
                <v:fill on="f" focussize="0,0"/>
                <v:stroke color="#FFFFFF" joinstyle="miter"/>
                <v:imagedata o:title=""/>
                <o:lock v:ext="edit" aspectratio="f"/>
                <v:textbox>
                  <w:txbxContent>
                    <w:p>
                      <w:pPr>
                        <w:rPr>
                          <w:b/>
                          <w:bCs/>
                          <w:sz w:val="32"/>
                        </w:rPr>
                      </w:pPr>
                      <w:r>
                        <w:rPr>
                          <w:rFonts w:hint="eastAsia"/>
                          <w:b/>
                          <w:bCs/>
                          <w:sz w:val="32"/>
                        </w:rPr>
                        <w:t>制定</w:t>
                      </w:r>
                    </w:p>
                  </w:txbxContent>
                </v:textbox>
              </v:shape>
            </w:pict>
          </mc:Fallback>
        </mc:AlternateContent>
      </w:r>
      <w:r>
        <w:rPr>
          <w:rFonts w:hint="eastAsia"/>
          <w:b/>
          <w:color w:val="auto"/>
          <w:sz w:val="32"/>
          <w:szCs w:val="28"/>
          <w:highlight w:val="none"/>
        </w:rPr>
        <w:t xml:space="preserve">              </w:t>
      </w:r>
      <w:r>
        <w:rPr>
          <w:b/>
          <w:color w:val="auto"/>
          <w:sz w:val="32"/>
          <w:szCs w:val="28"/>
          <w:highlight w:val="none"/>
        </w:rPr>
        <w:t>住房和城乡建设部</w:t>
      </w:r>
    </w:p>
    <w:p>
      <w:pPr>
        <w:ind w:right="2719" w:rightChars="1295"/>
        <w:jc w:val="distribute"/>
        <w:rPr>
          <w:b/>
          <w:color w:val="auto"/>
          <w:sz w:val="32"/>
          <w:szCs w:val="28"/>
          <w:highlight w:val="none"/>
        </w:rPr>
      </w:pPr>
      <w:r>
        <w:rPr>
          <w:rFonts w:hint="eastAsia"/>
          <w:b/>
          <w:color w:val="auto"/>
          <w:sz w:val="32"/>
          <w:szCs w:val="28"/>
          <w:highlight w:val="none"/>
        </w:rPr>
        <w:t xml:space="preserve">              </w:t>
      </w:r>
      <w:r>
        <w:rPr>
          <w:b/>
          <w:color w:val="auto"/>
          <w:sz w:val="32"/>
          <w:szCs w:val="28"/>
          <w:highlight w:val="none"/>
        </w:rPr>
        <w:t>国家工商行政管理</w:t>
      </w:r>
      <w:r>
        <w:rPr>
          <w:rFonts w:hint="eastAsia"/>
          <w:b/>
          <w:color w:val="auto"/>
          <w:sz w:val="32"/>
          <w:szCs w:val="28"/>
          <w:highlight w:val="none"/>
        </w:rPr>
        <w:t>总局</w:t>
      </w:r>
    </w:p>
    <w:p>
      <w:pPr>
        <w:rPr>
          <w:b/>
          <w:color w:val="auto"/>
          <w:highlight w:val="none"/>
        </w:rPr>
      </w:pPr>
    </w:p>
    <w:p>
      <w:pPr>
        <w:rPr>
          <w:color w:val="auto"/>
          <w:highlight w:val="none"/>
        </w:rPr>
      </w:pPr>
    </w:p>
    <w:p>
      <w:pPr>
        <w:rPr>
          <w:color w:val="auto"/>
          <w:highlight w:val="none"/>
        </w:rPr>
      </w:pPr>
      <w:bookmarkStart w:id="47" w:name="_Toc534185765"/>
      <w:bookmarkStart w:id="48" w:name="_Toc509218786"/>
      <w:bookmarkStart w:id="49" w:name="_Toc57820637"/>
      <w:bookmarkStart w:id="50" w:name="_Toc351203494"/>
    </w:p>
    <w:p>
      <w:pPr>
        <w:keepNext/>
        <w:keepLines/>
        <w:spacing w:before="260" w:after="260" w:line="416" w:lineRule="auto"/>
        <w:ind w:firstLine="2209" w:firstLineChars="500"/>
        <w:outlineLvl w:val="2"/>
        <w:rPr>
          <w:rFonts w:ascii="宋体" w:hAnsi="宋体"/>
          <w:bCs/>
          <w:color w:val="auto"/>
          <w:sz w:val="44"/>
          <w:szCs w:val="44"/>
          <w:highlight w:val="none"/>
        </w:rPr>
      </w:pPr>
      <w:r>
        <w:rPr>
          <w:rFonts w:ascii="宋体" w:hAnsi="宋体"/>
          <w:b/>
          <w:bCs/>
          <w:color w:val="auto"/>
          <w:sz w:val="44"/>
          <w:szCs w:val="44"/>
          <w:highlight w:val="none"/>
        </w:rPr>
        <w:br w:type="page"/>
      </w:r>
      <w:r>
        <w:rPr>
          <w:rFonts w:ascii="宋体" w:hAnsi="宋体"/>
          <w:b/>
          <w:bCs/>
          <w:color w:val="auto"/>
          <w:sz w:val="44"/>
          <w:szCs w:val="44"/>
          <w:highlight w:val="none"/>
        </w:rPr>
        <w:t>第一部分 合同协议书</w:t>
      </w:r>
      <w:bookmarkEnd w:id="47"/>
      <w:bookmarkEnd w:id="48"/>
      <w:bookmarkEnd w:id="49"/>
    </w:p>
    <w:bookmarkEnd w:id="50"/>
    <w:p>
      <w:pPr>
        <w:snapToGrid w:val="0"/>
        <w:spacing w:line="600" w:lineRule="exact"/>
        <w:ind w:firstLine="480" w:firstLineChars="200"/>
        <w:rPr>
          <w:rFonts w:ascii="宋体" w:hAnsi="宋体"/>
          <w:color w:val="auto"/>
          <w:sz w:val="24"/>
          <w:highlight w:val="none"/>
        </w:rPr>
      </w:pPr>
    </w:p>
    <w:p>
      <w:pPr>
        <w:snapToGrid w:val="0"/>
        <w:spacing w:line="360" w:lineRule="auto"/>
        <w:ind w:firstLine="422" w:firstLineChars="200"/>
        <w:rPr>
          <w:rFonts w:ascii="宋体" w:hAnsi="宋体"/>
          <w:b/>
          <w:color w:val="auto"/>
          <w:szCs w:val="21"/>
          <w:highlight w:val="none"/>
          <w:u w:val="single"/>
        </w:rPr>
      </w:pPr>
      <w:r>
        <w:rPr>
          <w:rFonts w:hint="eastAsia" w:ascii="宋体" w:hAnsi="宋体"/>
          <w:b/>
          <w:color w:val="auto"/>
          <w:szCs w:val="21"/>
          <w:highlight w:val="none"/>
        </w:rPr>
        <w:t>发包人（全称）：</w:t>
      </w:r>
      <w:r>
        <w:rPr>
          <w:rFonts w:hint="eastAsia" w:ascii="宋体" w:hAnsi="宋体"/>
          <w:color w:val="auto"/>
          <w:szCs w:val="21"/>
          <w:highlight w:val="none"/>
          <w:u w:val="single"/>
        </w:rPr>
        <w:t xml:space="preserve">                             </w:t>
      </w:r>
    </w:p>
    <w:p>
      <w:pPr>
        <w:snapToGrid w:val="0"/>
        <w:spacing w:line="360" w:lineRule="auto"/>
        <w:ind w:firstLine="422" w:firstLineChars="200"/>
        <w:rPr>
          <w:rFonts w:ascii="宋体" w:hAnsi="宋体"/>
          <w:b/>
          <w:color w:val="auto"/>
          <w:szCs w:val="21"/>
          <w:highlight w:val="none"/>
          <w:u w:val="single"/>
        </w:rPr>
      </w:pPr>
      <w:r>
        <w:rPr>
          <w:rFonts w:hint="eastAsia" w:ascii="宋体" w:hAnsi="宋体"/>
          <w:b/>
          <w:color w:val="auto"/>
          <w:szCs w:val="21"/>
          <w:highlight w:val="none"/>
        </w:rPr>
        <w:t>承包人（全称）：</w:t>
      </w:r>
      <w:r>
        <w:rPr>
          <w:rFonts w:hint="eastAsia" w:ascii="宋体" w:hAnsi="宋体"/>
          <w:color w:val="auto"/>
          <w:szCs w:val="21"/>
          <w:highlight w:val="none"/>
          <w:u w:val="single"/>
        </w:rPr>
        <w:t xml:space="preserve">                                 </w:t>
      </w:r>
    </w:p>
    <w:p>
      <w:pPr>
        <w:spacing w:line="360" w:lineRule="auto"/>
        <w:ind w:firstLine="420" w:firstLineChars="200"/>
        <w:rPr>
          <w:rFonts w:ascii="宋体" w:hAnsi="宋体"/>
          <w:b/>
          <w:color w:val="auto"/>
          <w:szCs w:val="21"/>
          <w:highlight w:val="none"/>
          <w:u w:val="single"/>
        </w:rPr>
      </w:pPr>
      <w:r>
        <w:rPr>
          <w:rFonts w:hint="eastAsia" w:ascii="宋体" w:hAnsi="宋体"/>
          <w:color w:val="auto"/>
          <w:szCs w:val="21"/>
          <w:highlight w:val="none"/>
        </w:rPr>
        <w:t>根据《中华人民共和国民法典》、《中华人民共和国建筑法》及有关法律、法规规定，遵循平等、自愿、公平和诚实信用的原则，双方就</w:t>
      </w:r>
      <w:r>
        <w:rPr>
          <w:rFonts w:hint="eastAsia" w:ascii="宋体" w:hAnsi="宋体"/>
          <w:color w:val="auto"/>
          <w:szCs w:val="21"/>
          <w:highlight w:val="none"/>
          <w:u w:val="single"/>
        </w:rPr>
        <w:t xml:space="preserve">                           </w:t>
      </w:r>
      <w:r>
        <w:rPr>
          <w:rFonts w:hint="eastAsia" w:ascii="宋体" w:hAnsi="宋体"/>
          <w:color w:val="auto"/>
          <w:szCs w:val="21"/>
          <w:highlight w:val="none"/>
        </w:rPr>
        <w:t>工程施工及有关事项协商一致，共同达成如下协议：</w:t>
      </w:r>
    </w:p>
    <w:p>
      <w:pPr>
        <w:keepNext/>
        <w:keepLines/>
        <w:spacing w:before="100" w:beforeAutospacing="1" w:after="100" w:afterAutospacing="1" w:line="360" w:lineRule="auto"/>
        <w:ind w:firstLine="422" w:firstLineChars="200"/>
        <w:outlineLvl w:val="3"/>
        <w:rPr>
          <w:rFonts w:ascii="宋体" w:hAnsi="宋体" w:cs="宋体"/>
          <w:b/>
          <w:bCs/>
          <w:color w:val="auto"/>
          <w:szCs w:val="21"/>
          <w:highlight w:val="none"/>
        </w:rPr>
      </w:pPr>
      <w:bookmarkStart w:id="51" w:name="_Toc532377166"/>
      <w:bookmarkStart w:id="52" w:name="_Toc351203481"/>
      <w:bookmarkStart w:id="53" w:name="_Toc532375573"/>
      <w:r>
        <w:rPr>
          <w:rFonts w:hint="eastAsia" w:ascii="宋体" w:hAnsi="宋体" w:cs="宋体"/>
          <w:b/>
          <w:bCs/>
          <w:color w:val="auto"/>
          <w:szCs w:val="21"/>
          <w:highlight w:val="none"/>
        </w:rPr>
        <w:t>一、工程概况</w:t>
      </w:r>
      <w:bookmarkEnd w:id="51"/>
      <w:bookmarkEnd w:id="52"/>
      <w:bookmarkEnd w:id="53"/>
    </w:p>
    <w:p>
      <w:pPr>
        <w:snapToGrid w:val="0"/>
        <w:spacing w:line="360" w:lineRule="auto"/>
        <w:ind w:firstLine="420" w:firstLineChars="200"/>
        <w:rPr>
          <w:rFonts w:ascii="宋体" w:hAnsi="宋体"/>
          <w:color w:val="auto"/>
          <w:szCs w:val="21"/>
          <w:highlight w:val="none"/>
          <w:u w:val="single"/>
        </w:rPr>
      </w:pPr>
      <w:r>
        <w:rPr>
          <w:rFonts w:hint="eastAsia" w:ascii="宋体" w:hAnsi="宋体"/>
          <w:bCs/>
          <w:color w:val="auto"/>
          <w:szCs w:val="21"/>
          <w:highlight w:val="none"/>
        </w:rPr>
        <w:t>1.工程名称</w:t>
      </w:r>
      <w:r>
        <w:rPr>
          <w:rFonts w:hint="eastAsia" w:ascii="宋体" w:hAnsi="宋体"/>
          <w:color w:val="auto"/>
          <w:szCs w:val="21"/>
          <w:highlight w:val="none"/>
        </w:rPr>
        <w:t>：</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napToGrid w:val="0"/>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2.工程地点：</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napToGrid w:val="0"/>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3.工程立项批准文号：</w:t>
      </w:r>
      <w:r>
        <w:rPr>
          <w:rFonts w:hint="eastAsia" w:ascii="宋体" w:hAnsi="宋体"/>
          <w:color w:val="auto"/>
          <w:szCs w:val="21"/>
          <w:highlight w:val="none"/>
          <w:u w:val="single"/>
        </w:rPr>
        <w:t xml:space="preserve">              /          </w:t>
      </w:r>
      <w:r>
        <w:rPr>
          <w:rFonts w:hint="eastAsia" w:ascii="宋体" w:hAnsi="宋体"/>
          <w:bCs/>
          <w:color w:val="auto"/>
          <w:szCs w:val="21"/>
          <w:highlight w:val="none"/>
        </w:rPr>
        <w:t>。</w:t>
      </w:r>
    </w:p>
    <w:p>
      <w:pPr>
        <w:snapToGrid w:val="0"/>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4.资金来源：</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napToGrid w:val="0"/>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5.工程内容：</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napToGrid w:val="0"/>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6.工程承包范围：</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keepNext/>
        <w:keepLines/>
        <w:spacing w:before="100" w:beforeAutospacing="1" w:after="100" w:afterAutospacing="1" w:line="360" w:lineRule="auto"/>
        <w:ind w:firstLine="422" w:firstLineChars="200"/>
        <w:outlineLvl w:val="3"/>
        <w:rPr>
          <w:rFonts w:ascii="宋体" w:hAnsi="宋体" w:cs="宋体"/>
          <w:b/>
          <w:bCs/>
          <w:color w:val="auto"/>
          <w:szCs w:val="21"/>
          <w:highlight w:val="none"/>
        </w:rPr>
      </w:pPr>
      <w:bookmarkStart w:id="54" w:name="_Toc532375574"/>
      <w:bookmarkStart w:id="55" w:name="_Toc351203482"/>
      <w:bookmarkStart w:id="56" w:name="_Toc532377167"/>
      <w:r>
        <w:rPr>
          <w:rFonts w:hint="eastAsia" w:ascii="宋体" w:hAnsi="宋体" w:cs="宋体"/>
          <w:b/>
          <w:bCs/>
          <w:color w:val="auto"/>
          <w:szCs w:val="21"/>
          <w:highlight w:val="none"/>
        </w:rPr>
        <w:t>二、合同工期</w:t>
      </w:r>
      <w:bookmarkEnd w:id="54"/>
      <w:bookmarkEnd w:id="55"/>
      <w:bookmarkEnd w:id="56"/>
    </w:p>
    <w:p>
      <w:pPr>
        <w:snapToGrid w:val="0"/>
        <w:spacing w:line="300" w:lineRule="auto"/>
        <w:ind w:right="21" w:rightChars="10" w:firstLine="420" w:firstLineChars="200"/>
        <w:rPr>
          <w:rFonts w:ascii="宋体" w:hAnsi="宋体"/>
          <w:color w:val="auto"/>
          <w:highlight w:val="none"/>
        </w:rPr>
      </w:pPr>
      <w:r>
        <w:rPr>
          <w:rFonts w:hint="eastAsia" w:ascii="宋体" w:hAnsi="宋体"/>
          <w:color w:val="auto"/>
          <w:highlight w:val="none"/>
        </w:rPr>
        <w:t>工程合同工期总日历天数：  日历天。</w:t>
      </w:r>
    </w:p>
    <w:p>
      <w:pPr>
        <w:spacing w:line="360" w:lineRule="auto"/>
        <w:ind w:firstLine="420" w:firstLineChars="200"/>
        <w:rPr>
          <w:rFonts w:ascii="宋体" w:hAnsi="宋体"/>
          <w:color w:val="auto"/>
          <w:szCs w:val="21"/>
          <w:highlight w:val="none"/>
        </w:rPr>
      </w:pPr>
      <w:r>
        <w:rPr>
          <w:rFonts w:hint="eastAsia" w:ascii="宋体" w:hAnsi="宋体"/>
          <w:color w:val="auto"/>
          <w:highlight w:val="none"/>
        </w:rPr>
        <w:t xml:space="preserve">拟从 </w:t>
      </w:r>
      <w:r>
        <w:rPr>
          <w:rFonts w:hint="eastAsia" w:ascii="宋体" w:hAnsi="宋体"/>
          <w:color w:val="auto"/>
          <w:highlight w:val="none"/>
          <w:u w:val="single"/>
        </w:rPr>
        <w:t xml:space="preserve">2022 </w:t>
      </w:r>
      <w:r>
        <w:rPr>
          <w:rFonts w:hint="eastAsia" w:ascii="宋体" w:hAnsi="宋体"/>
          <w:color w:val="auto"/>
          <w:highlight w:val="none"/>
        </w:rPr>
        <w:t xml:space="preserve">年 </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日开始施工，至</w:t>
      </w:r>
      <w:r>
        <w:rPr>
          <w:rFonts w:hint="eastAsia" w:ascii="宋体" w:hAnsi="宋体"/>
          <w:color w:val="auto"/>
          <w:highlight w:val="none"/>
          <w:u w:val="single"/>
        </w:rPr>
        <w:t>2022</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日竣工完成</w:t>
      </w:r>
      <w:r>
        <w:rPr>
          <w:rFonts w:hint="eastAsia" w:ascii="宋体" w:hAnsi="宋体"/>
          <w:color w:val="auto"/>
          <w:szCs w:val="21"/>
          <w:highlight w:val="none"/>
        </w:rPr>
        <w:t>。</w:t>
      </w:r>
    </w:p>
    <w:p>
      <w:pPr>
        <w:keepNext/>
        <w:keepLines/>
        <w:spacing w:before="100" w:beforeAutospacing="1" w:after="100" w:afterAutospacing="1" w:line="360" w:lineRule="auto"/>
        <w:ind w:firstLine="422" w:firstLineChars="200"/>
        <w:outlineLvl w:val="3"/>
        <w:rPr>
          <w:rFonts w:ascii="宋体" w:hAnsi="宋体" w:cs="宋体"/>
          <w:b/>
          <w:bCs/>
          <w:color w:val="auto"/>
          <w:szCs w:val="21"/>
          <w:highlight w:val="none"/>
        </w:rPr>
      </w:pPr>
      <w:bookmarkStart w:id="57" w:name="_Toc351203483"/>
      <w:bookmarkStart w:id="58" w:name="_Toc532375575"/>
      <w:bookmarkStart w:id="59" w:name="_Toc532377168"/>
      <w:r>
        <w:rPr>
          <w:rFonts w:hint="eastAsia" w:ascii="宋体" w:hAnsi="宋体" w:cs="宋体"/>
          <w:b/>
          <w:bCs/>
          <w:color w:val="auto"/>
          <w:szCs w:val="21"/>
          <w:highlight w:val="none"/>
        </w:rPr>
        <w:t>三、质量标准</w:t>
      </w:r>
      <w:bookmarkEnd w:id="57"/>
      <w:bookmarkEnd w:id="58"/>
      <w:bookmarkEnd w:id="59"/>
    </w:p>
    <w:p>
      <w:pPr>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工程质量</w:t>
      </w:r>
      <w:r>
        <w:rPr>
          <w:rFonts w:hint="eastAsia" w:ascii="宋体" w:hAnsi="宋体"/>
          <w:color w:val="auto"/>
          <w:szCs w:val="21"/>
          <w:highlight w:val="none"/>
          <w:u w:val="single"/>
        </w:rPr>
        <w:t>符合国家</w:t>
      </w:r>
      <w:r>
        <w:rPr>
          <w:rFonts w:ascii="宋体" w:hAnsi="宋体"/>
          <w:color w:val="auto"/>
          <w:szCs w:val="21"/>
          <w:highlight w:val="none"/>
          <w:u w:val="single"/>
        </w:rPr>
        <w:t>和重庆市现行</w:t>
      </w:r>
      <w:r>
        <w:rPr>
          <w:rFonts w:hint="eastAsia" w:ascii="宋体" w:hAnsi="宋体"/>
          <w:color w:val="auto"/>
          <w:szCs w:val="21"/>
          <w:highlight w:val="none"/>
          <w:u w:val="single"/>
        </w:rPr>
        <w:t>有关施工质量验收规范要求，并达到合格标准</w:t>
      </w:r>
      <w:r>
        <w:rPr>
          <w:rFonts w:hint="eastAsia" w:ascii="宋体" w:hAnsi="宋体"/>
          <w:color w:val="auto"/>
          <w:szCs w:val="21"/>
          <w:highlight w:val="none"/>
        </w:rPr>
        <w:t>。</w:t>
      </w:r>
    </w:p>
    <w:p>
      <w:pPr>
        <w:keepNext/>
        <w:keepLines/>
        <w:spacing w:before="100" w:beforeAutospacing="1" w:after="100" w:afterAutospacing="1" w:line="360" w:lineRule="auto"/>
        <w:ind w:firstLine="422" w:firstLineChars="200"/>
        <w:outlineLvl w:val="3"/>
        <w:rPr>
          <w:rFonts w:ascii="宋体" w:hAnsi="宋体" w:cs="宋体"/>
          <w:b/>
          <w:bCs/>
          <w:color w:val="auto"/>
          <w:szCs w:val="21"/>
          <w:highlight w:val="none"/>
        </w:rPr>
      </w:pPr>
      <w:bookmarkStart w:id="60" w:name="_Toc532377169"/>
      <w:bookmarkStart w:id="61" w:name="_Toc351203484"/>
      <w:bookmarkStart w:id="62" w:name="_Toc532375576"/>
      <w:r>
        <w:rPr>
          <w:rFonts w:hint="eastAsia" w:ascii="宋体" w:hAnsi="宋体" w:cs="宋体"/>
          <w:b/>
          <w:bCs/>
          <w:color w:val="auto"/>
          <w:szCs w:val="21"/>
          <w:highlight w:val="none"/>
        </w:rPr>
        <w:t>四、签约合同价与合同价格形式</w:t>
      </w:r>
      <w:bookmarkEnd w:id="60"/>
      <w:bookmarkEnd w:id="61"/>
      <w:bookmarkEnd w:id="62"/>
      <w:r>
        <w:rPr>
          <w:rFonts w:hint="eastAsia" w:ascii="宋体" w:hAnsi="宋体" w:cs="宋体"/>
          <w:b/>
          <w:bCs/>
          <w:color w:val="auto"/>
          <w:szCs w:val="21"/>
          <w:highlight w:val="none"/>
        </w:rPr>
        <w:tab/>
      </w:r>
    </w:p>
    <w:p>
      <w:pPr>
        <w:snapToGrid w:val="0"/>
        <w:spacing w:line="300" w:lineRule="auto"/>
        <w:ind w:right="21" w:rightChars="10" w:firstLine="420" w:firstLineChars="200"/>
        <w:rPr>
          <w:rFonts w:ascii="宋体" w:hAnsi="宋体"/>
          <w:color w:val="auto"/>
          <w:highlight w:val="none"/>
        </w:rPr>
      </w:pPr>
      <w:r>
        <w:rPr>
          <w:rFonts w:hint="eastAsia" w:ascii="宋体" w:hAnsi="宋体"/>
          <w:color w:val="auto"/>
          <w:highlight w:val="none"/>
        </w:rPr>
        <w:t>合同总价  （大写）：</w:t>
      </w:r>
      <w:r>
        <w:rPr>
          <w:rFonts w:hint="eastAsia" w:ascii="宋体" w:hAnsi="宋体"/>
          <w:color w:val="auto"/>
          <w:highlight w:val="none"/>
          <w:u w:val="single"/>
        </w:rPr>
        <w:t xml:space="preserve">                                </w:t>
      </w:r>
      <w:r>
        <w:rPr>
          <w:rFonts w:hint="eastAsia" w:ascii="宋体" w:hAnsi="宋体"/>
          <w:color w:val="auto"/>
          <w:highlight w:val="none"/>
        </w:rPr>
        <w:t>元；</w:t>
      </w:r>
    </w:p>
    <w:p>
      <w:pPr>
        <w:spacing w:line="360" w:lineRule="auto"/>
        <w:ind w:firstLine="1470" w:firstLineChars="700"/>
        <w:rPr>
          <w:rFonts w:ascii="宋体" w:hAnsi="宋体"/>
          <w:color w:val="auto"/>
          <w:highlight w:val="none"/>
        </w:rPr>
      </w:pPr>
      <w:r>
        <w:rPr>
          <w:rFonts w:hint="eastAsia" w:ascii="宋体" w:hAnsi="宋体"/>
          <w:color w:val="auto"/>
          <w:highlight w:val="none"/>
        </w:rPr>
        <w:t>（小写）：</w:t>
      </w:r>
      <w:r>
        <w:rPr>
          <w:rFonts w:hint="eastAsia" w:ascii="宋体" w:hAnsi="宋体"/>
          <w:color w:val="auto"/>
          <w:highlight w:val="none"/>
          <w:u w:val="single"/>
        </w:rPr>
        <w:t xml:space="preserve">                                 </w:t>
      </w:r>
      <w:r>
        <w:rPr>
          <w:rFonts w:hint="eastAsia" w:ascii="宋体" w:hAnsi="宋体"/>
          <w:color w:val="auto"/>
          <w:highlight w:val="none"/>
        </w:rPr>
        <w:t>元。</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合同价格形式：</w:t>
      </w:r>
      <w:r>
        <w:rPr>
          <w:rFonts w:ascii="宋体" w:hAnsi="宋体"/>
          <w:color w:val="auto"/>
          <w:szCs w:val="21"/>
          <w:highlight w:val="none"/>
          <w:u w:val="single"/>
        </w:rPr>
        <w:t xml:space="preserve"> </w:t>
      </w:r>
      <w:r>
        <w:rPr>
          <w:rFonts w:hint="eastAsia" w:ascii="宋体" w:hAnsi="宋体"/>
          <w:color w:val="auto"/>
          <w:szCs w:val="21"/>
          <w:highlight w:val="none"/>
          <w:u w:val="single"/>
        </w:rPr>
        <w:t>总价包干</w:t>
      </w:r>
      <w:r>
        <w:rPr>
          <w:rFonts w:ascii="宋体" w:hAnsi="宋体"/>
          <w:color w:val="auto"/>
          <w:szCs w:val="21"/>
          <w:highlight w:val="none"/>
          <w:u w:val="single"/>
        </w:rPr>
        <w:t xml:space="preserve">   </w:t>
      </w:r>
      <w:r>
        <w:rPr>
          <w:rFonts w:hint="eastAsia" w:ascii="宋体" w:hAnsi="宋体"/>
          <w:color w:val="auto"/>
          <w:szCs w:val="21"/>
          <w:highlight w:val="none"/>
        </w:rPr>
        <w:t>。</w:t>
      </w:r>
    </w:p>
    <w:p>
      <w:pPr>
        <w:keepNext/>
        <w:keepLines/>
        <w:spacing w:before="100" w:beforeAutospacing="1" w:after="100" w:afterAutospacing="1" w:line="360" w:lineRule="auto"/>
        <w:ind w:firstLine="422" w:firstLineChars="200"/>
        <w:outlineLvl w:val="3"/>
        <w:rPr>
          <w:rFonts w:ascii="宋体" w:hAnsi="宋体" w:cs="宋体"/>
          <w:b/>
          <w:bCs/>
          <w:color w:val="auto"/>
          <w:szCs w:val="21"/>
          <w:highlight w:val="none"/>
        </w:rPr>
      </w:pPr>
      <w:bookmarkStart w:id="63" w:name="_Toc351203485"/>
      <w:bookmarkStart w:id="64" w:name="_Toc532375577"/>
      <w:bookmarkStart w:id="65" w:name="_Toc532377170"/>
      <w:r>
        <w:rPr>
          <w:rFonts w:hint="eastAsia" w:ascii="宋体" w:hAnsi="宋体" w:cs="宋体"/>
          <w:b/>
          <w:bCs/>
          <w:color w:val="auto"/>
          <w:szCs w:val="21"/>
          <w:highlight w:val="none"/>
        </w:rPr>
        <w:t>五、</w:t>
      </w:r>
      <w:bookmarkEnd w:id="63"/>
      <w:r>
        <w:rPr>
          <w:rFonts w:hint="eastAsia" w:ascii="宋体" w:hAnsi="宋体" w:cs="宋体"/>
          <w:b/>
          <w:bCs/>
          <w:color w:val="auto"/>
          <w:szCs w:val="21"/>
          <w:highlight w:val="none"/>
        </w:rPr>
        <w:t>项目经理及技术负责人</w:t>
      </w:r>
      <w:bookmarkEnd w:id="64"/>
      <w:bookmarkEnd w:id="65"/>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承包人投标文件中承诺的项目经理：</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姓名：</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身份证号码：</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建造师</w:t>
      </w:r>
      <w:r>
        <w:rPr>
          <w:rFonts w:ascii="宋体" w:hAnsi="宋体"/>
          <w:color w:val="auto"/>
          <w:szCs w:val="21"/>
          <w:highlight w:val="none"/>
        </w:rPr>
        <w:t>注册证书号</w:t>
      </w:r>
      <w:r>
        <w:rPr>
          <w:rFonts w:hint="eastAsia"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承包人投标文件中承诺的技术负责人：</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姓名：</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身份证号码：</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after="120" w:line="360" w:lineRule="auto"/>
        <w:rPr>
          <w:rFonts w:ascii="宋体" w:hAnsi="宋体"/>
          <w:color w:val="auto"/>
          <w:szCs w:val="21"/>
          <w:highlight w:val="none"/>
        </w:rPr>
      </w:pPr>
      <w:r>
        <w:rPr>
          <w:rFonts w:hint="eastAsia" w:ascii="宋体" w:hAnsi="宋体"/>
          <w:color w:val="auto"/>
          <w:szCs w:val="21"/>
          <w:highlight w:val="none"/>
        </w:rPr>
        <w:t xml:space="preserve">    证书名称</w:t>
      </w:r>
      <w:r>
        <w:rPr>
          <w:rFonts w:ascii="宋体" w:hAnsi="宋体"/>
          <w:color w:val="auto"/>
          <w:szCs w:val="21"/>
          <w:highlight w:val="none"/>
        </w:rPr>
        <w:t>及号码：</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keepNext/>
        <w:keepLines/>
        <w:spacing w:before="100" w:beforeAutospacing="1" w:after="100" w:afterAutospacing="1" w:line="360" w:lineRule="auto"/>
        <w:ind w:firstLine="422" w:firstLineChars="200"/>
        <w:outlineLvl w:val="3"/>
        <w:rPr>
          <w:rFonts w:ascii="宋体" w:hAnsi="宋体" w:cs="宋体"/>
          <w:b/>
          <w:bCs/>
          <w:color w:val="auto"/>
          <w:szCs w:val="21"/>
          <w:highlight w:val="none"/>
        </w:rPr>
      </w:pPr>
      <w:bookmarkStart w:id="66" w:name="_Toc532377171"/>
      <w:bookmarkStart w:id="67" w:name="_Toc532375578"/>
      <w:bookmarkStart w:id="68" w:name="_Toc351203486"/>
      <w:r>
        <w:rPr>
          <w:rFonts w:hint="eastAsia" w:ascii="宋体" w:hAnsi="宋体" w:cs="宋体"/>
          <w:b/>
          <w:bCs/>
          <w:color w:val="auto"/>
          <w:szCs w:val="21"/>
          <w:highlight w:val="none"/>
        </w:rPr>
        <w:t>六、合同文件构成</w:t>
      </w:r>
      <w:bookmarkEnd w:id="66"/>
      <w:bookmarkEnd w:id="67"/>
      <w:bookmarkEnd w:id="68"/>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合同由以下文件构成：</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（1）合同协议书；</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（2）成交通知书；</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（4）专用合同条款及其附件；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（5）通用合同条款；</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（6）响应性文件；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（7）评比文件及修改文件；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（8）技术标准和要求；</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（9）图纸；</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（10）其他合同文件。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在合同订立、履行过程中形成的与合同有关的书面形式的文件均构成合同文件组成部分。</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pPr>
        <w:keepNext/>
        <w:keepLines/>
        <w:spacing w:before="100" w:beforeAutospacing="1" w:after="100" w:afterAutospacing="1" w:line="360" w:lineRule="auto"/>
        <w:ind w:firstLine="422" w:firstLineChars="200"/>
        <w:outlineLvl w:val="3"/>
        <w:rPr>
          <w:rFonts w:ascii="宋体" w:hAnsi="宋体" w:cs="宋体"/>
          <w:b/>
          <w:bCs/>
          <w:color w:val="auto"/>
          <w:szCs w:val="21"/>
          <w:highlight w:val="none"/>
        </w:rPr>
      </w:pPr>
      <w:bookmarkStart w:id="69" w:name="_Toc351203487"/>
      <w:bookmarkStart w:id="70" w:name="_Toc532377172"/>
      <w:bookmarkStart w:id="71" w:name="_Toc532375579"/>
      <w:r>
        <w:rPr>
          <w:rFonts w:hint="eastAsia" w:ascii="宋体" w:hAnsi="宋体" w:cs="宋体"/>
          <w:b/>
          <w:bCs/>
          <w:color w:val="auto"/>
          <w:szCs w:val="21"/>
          <w:highlight w:val="none"/>
        </w:rPr>
        <w:t>七、承诺</w:t>
      </w:r>
      <w:bookmarkEnd w:id="69"/>
      <w:bookmarkEnd w:id="70"/>
      <w:bookmarkEnd w:id="71"/>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1.发包人承诺按照法律规定履行项目审批手续、筹集工程建设资金并按照合同约定的期限和方式支付合同价款。</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w:t>
      </w:r>
      <w:r>
        <w:rPr>
          <w:rFonts w:hint="eastAsia" w:ascii="宋体" w:hAnsi="宋体"/>
          <w:color w:val="auto"/>
          <w:szCs w:val="21"/>
          <w:highlight w:val="none"/>
        </w:rPr>
        <w:t>承包人承诺按照法律规定及合同约定组织完成工程施工，确保工程质量和安全，不进行转包及违法分包，并在缺陷责任期及保修期内承担相应的工程维修责任</w:t>
      </w:r>
      <w:r>
        <w:rPr>
          <w:rFonts w:hint="eastAsia" w:ascii="宋体" w:hAnsi="宋体"/>
          <w:bCs/>
          <w:color w:val="auto"/>
          <w:szCs w:val="21"/>
          <w:highlight w:val="none"/>
        </w:rPr>
        <w:t>。</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3.发包人和承包人通过招投标形式签订合同的，双方理解并承诺不再就同一工程另行签订与合同实质性内容相背离的协议。</w:t>
      </w:r>
    </w:p>
    <w:p>
      <w:pPr>
        <w:keepNext/>
        <w:keepLines/>
        <w:spacing w:before="100" w:beforeAutospacing="1" w:after="100" w:afterAutospacing="1" w:line="360" w:lineRule="auto"/>
        <w:ind w:firstLine="422" w:firstLineChars="200"/>
        <w:outlineLvl w:val="3"/>
        <w:rPr>
          <w:rFonts w:ascii="宋体" w:hAnsi="宋体" w:cs="宋体"/>
          <w:b/>
          <w:bCs/>
          <w:color w:val="auto"/>
          <w:szCs w:val="21"/>
          <w:highlight w:val="none"/>
        </w:rPr>
      </w:pPr>
      <w:bookmarkStart w:id="72" w:name="_Toc532377173"/>
      <w:bookmarkStart w:id="73" w:name="_Toc532375580"/>
      <w:bookmarkStart w:id="74" w:name="_Toc351203488"/>
      <w:r>
        <w:rPr>
          <w:rFonts w:hint="eastAsia" w:ascii="宋体" w:hAnsi="宋体" w:cs="宋体"/>
          <w:b/>
          <w:bCs/>
          <w:color w:val="auto"/>
          <w:szCs w:val="21"/>
          <w:highlight w:val="none"/>
        </w:rPr>
        <w:t>八、词语含义</w:t>
      </w:r>
      <w:bookmarkEnd w:id="72"/>
      <w:bookmarkEnd w:id="73"/>
      <w:bookmarkEnd w:id="74"/>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本协议书中词语含义与专用合同条款及通用合同条款中赋予的含义相同。</w:t>
      </w:r>
    </w:p>
    <w:p>
      <w:pPr>
        <w:keepNext/>
        <w:keepLines/>
        <w:spacing w:before="100" w:beforeAutospacing="1" w:after="100" w:afterAutospacing="1" w:line="360" w:lineRule="auto"/>
        <w:ind w:firstLine="422" w:firstLineChars="200"/>
        <w:outlineLvl w:val="3"/>
        <w:rPr>
          <w:rFonts w:ascii="宋体" w:hAnsi="宋体" w:cs="宋体"/>
          <w:b/>
          <w:bCs/>
          <w:color w:val="auto"/>
          <w:szCs w:val="21"/>
          <w:highlight w:val="none"/>
        </w:rPr>
      </w:pPr>
      <w:bookmarkStart w:id="75" w:name="_Toc532377174"/>
      <w:bookmarkStart w:id="76" w:name="_Toc532375581"/>
      <w:r>
        <w:rPr>
          <w:rFonts w:hint="eastAsia" w:ascii="宋体" w:hAnsi="宋体" w:cs="宋体"/>
          <w:b/>
          <w:bCs/>
          <w:color w:val="auto"/>
          <w:szCs w:val="21"/>
          <w:highlight w:val="none"/>
        </w:rPr>
        <w:t>九、签订时间</w:t>
      </w:r>
      <w:bookmarkEnd w:id="75"/>
      <w:bookmarkEnd w:id="76"/>
    </w:p>
    <w:p>
      <w:pPr>
        <w:spacing w:line="360" w:lineRule="auto"/>
        <w:ind w:firstLine="420" w:firstLineChars="200"/>
        <w:rPr>
          <w:rFonts w:ascii="宋体" w:hAnsi="宋体"/>
          <w:color w:val="auto"/>
          <w:szCs w:val="21"/>
          <w:highlight w:val="none"/>
        </w:rPr>
      </w:pPr>
      <w:r>
        <w:rPr>
          <w:rFonts w:hint="eastAsia" w:ascii="宋体" w:hAnsi="宋体"/>
          <w:bCs/>
          <w:color w:val="auto"/>
          <w:szCs w:val="21"/>
          <w:highlight w:val="none"/>
        </w:rPr>
        <w:t>合同于</w:t>
      </w:r>
      <w:r>
        <w:rPr>
          <w:rFonts w:hint="eastAsia" w:ascii="宋体" w:hAnsi="宋体"/>
          <w:bCs/>
          <w:color w:val="auto"/>
          <w:szCs w:val="21"/>
          <w:highlight w:val="none"/>
          <w:u w:val="single"/>
        </w:rPr>
        <w:t xml:space="preserve">    </w:t>
      </w:r>
      <w:r>
        <w:rPr>
          <w:rFonts w:hint="eastAsia" w:ascii="宋体" w:hAnsi="宋体"/>
          <w:bCs/>
          <w:color w:val="auto"/>
          <w:szCs w:val="21"/>
          <w:highlight w:val="none"/>
        </w:rPr>
        <w:t>年</w:t>
      </w:r>
      <w:r>
        <w:rPr>
          <w:rFonts w:hint="eastAsia" w:ascii="宋体" w:hAnsi="宋体"/>
          <w:bCs/>
          <w:color w:val="auto"/>
          <w:szCs w:val="21"/>
          <w:highlight w:val="none"/>
          <w:u w:val="single"/>
        </w:rPr>
        <w:t xml:space="preserve">    </w:t>
      </w:r>
      <w:r>
        <w:rPr>
          <w:rFonts w:hint="eastAsia" w:ascii="宋体" w:hAnsi="宋体"/>
          <w:bCs/>
          <w:color w:val="auto"/>
          <w:szCs w:val="21"/>
          <w:highlight w:val="none"/>
        </w:rPr>
        <w:t>月</w:t>
      </w:r>
      <w:r>
        <w:rPr>
          <w:rFonts w:hint="eastAsia" w:ascii="宋体" w:hAnsi="宋体"/>
          <w:bCs/>
          <w:color w:val="auto"/>
          <w:szCs w:val="21"/>
          <w:highlight w:val="none"/>
          <w:u w:val="single"/>
        </w:rPr>
        <w:t xml:space="preserve">    </w:t>
      </w:r>
      <w:r>
        <w:rPr>
          <w:rFonts w:hint="eastAsia" w:ascii="宋体" w:hAnsi="宋体"/>
          <w:bCs/>
          <w:color w:val="auto"/>
          <w:szCs w:val="21"/>
          <w:highlight w:val="none"/>
        </w:rPr>
        <w:t>日签订</w:t>
      </w:r>
    </w:p>
    <w:p>
      <w:pPr>
        <w:keepNext/>
        <w:keepLines/>
        <w:spacing w:before="100" w:beforeAutospacing="1" w:after="100" w:afterAutospacing="1" w:line="360" w:lineRule="auto"/>
        <w:ind w:firstLine="422" w:firstLineChars="200"/>
        <w:outlineLvl w:val="3"/>
        <w:rPr>
          <w:rFonts w:ascii="宋体" w:hAnsi="宋体" w:cs="宋体"/>
          <w:b/>
          <w:bCs/>
          <w:color w:val="auto"/>
          <w:szCs w:val="21"/>
          <w:highlight w:val="none"/>
        </w:rPr>
      </w:pPr>
      <w:bookmarkStart w:id="77" w:name="_Toc351203489"/>
      <w:bookmarkStart w:id="78" w:name="_Toc532377175"/>
      <w:bookmarkStart w:id="79" w:name="_Toc532375582"/>
      <w:r>
        <w:rPr>
          <w:rFonts w:hint="eastAsia" w:ascii="宋体" w:hAnsi="宋体" w:cs="宋体"/>
          <w:b/>
          <w:bCs/>
          <w:color w:val="auto"/>
          <w:szCs w:val="21"/>
          <w:highlight w:val="none"/>
        </w:rPr>
        <w:t>十、</w:t>
      </w:r>
      <w:bookmarkEnd w:id="77"/>
      <w:bookmarkStart w:id="80" w:name="_Toc351203490"/>
      <w:r>
        <w:rPr>
          <w:rFonts w:hint="eastAsia" w:ascii="宋体" w:hAnsi="宋体" w:cs="宋体"/>
          <w:b/>
          <w:bCs/>
          <w:color w:val="auto"/>
          <w:szCs w:val="21"/>
          <w:highlight w:val="none"/>
        </w:rPr>
        <w:t>签订地点</w:t>
      </w:r>
      <w:bookmarkEnd w:id="78"/>
      <w:bookmarkEnd w:id="79"/>
      <w:bookmarkEnd w:id="80"/>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合同在</w:t>
      </w:r>
      <w:r>
        <w:rPr>
          <w:rFonts w:hint="eastAsia" w:ascii="宋体" w:hAnsi="宋体"/>
          <w:bCs/>
          <w:color w:val="auto"/>
          <w:szCs w:val="21"/>
          <w:highlight w:val="none"/>
          <w:u w:val="single"/>
        </w:rPr>
        <w:t xml:space="preserve">            </w:t>
      </w:r>
      <w:r>
        <w:rPr>
          <w:rFonts w:hint="eastAsia" w:ascii="宋体" w:hAnsi="宋体"/>
          <w:bCs/>
          <w:color w:val="auto"/>
          <w:szCs w:val="21"/>
          <w:highlight w:val="none"/>
        </w:rPr>
        <w:t>签订。</w:t>
      </w:r>
    </w:p>
    <w:p>
      <w:pPr>
        <w:keepNext/>
        <w:keepLines/>
        <w:spacing w:before="100" w:beforeAutospacing="1" w:after="100" w:afterAutospacing="1" w:line="360" w:lineRule="auto"/>
        <w:ind w:firstLine="422" w:firstLineChars="200"/>
        <w:outlineLvl w:val="3"/>
        <w:rPr>
          <w:rFonts w:ascii="宋体" w:hAnsi="宋体" w:cs="宋体"/>
          <w:b/>
          <w:bCs/>
          <w:color w:val="auto"/>
          <w:szCs w:val="21"/>
          <w:highlight w:val="none"/>
        </w:rPr>
      </w:pPr>
      <w:bookmarkStart w:id="81" w:name="_Toc532377176"/>
      <w:bookmarkStart w:id="82" w:name="_Toc351203491"/>
      <w:bookmarkStart w:id="83" w:name="_Toc532375583"/>
      <w:r>
        <w:rPr>
          <w:rFonts w:hint="eastAsia" w:ascii="宋体" w:hAnsi="宋体" w:cs="宋体"/>
          <w:b/>
          <w:bCs/>
          <w:color w:val="auto"/>
          <w:szCs w:val="21"/>
          <w:highlight w:val="none"/>
        </w:rPr>
        <w:t>十一、补充协议</w:t>
      </w:r>
      <w:bookmarkEnd w:id="81"/>
      <w:bookmarkEnd w:id="82"/>
      <w:bookmarkEnd w:id="83"/>
    </w:p>
    <w:p>
      <w:pPr>
        <w:spacing w:line="360" w:lineRule="auto"/>
        <w:ind w:firstLine="420" w:firstLineChars="200"/>
        <w:rPr>
          <w:rFonts w:ascii="宋体" w:hAnsi="宋体"/>
          <w:b/>
          <w:bCs/>
          <w:color w:val="auto"/>
          <w:szCs w:val="21"/>
          <w:highlight w:val="none"/>
        </w:rPr>
      </w:pPr>
      <w:r>
        <w:rPr>
          <w:rFonts w:hint="eastAsia" w:ascii="宋体" w:hAnsi="宋体"/>
          <w:bCs/>
          <w:color w:val="auto"/>
          <w:szCs w:val="21"/>
          <w:highlight w:val="none"/>
        </w:rPr>
        <w:t>合同未尽事宜，合同当事人另行签订补充协议，补充协议是合同的组成部分。</w:t>
      </w:r>
    </w:p>
    <w:p>
      <w:pPr>
        <w:keepNext/>
        <w:keepLines/>
        <w:spacing w:before="100" w:beforeAutospacing="1" w:after="100" w:afterAutospacing="1" w:line="360" w:lineRule="auto"/>
        <w:ind w:firstLine="422" w:firstLineChars="200"/>
        <w:outlineLvl w:val="3"/>
        <w:rPr>
          <w:rFonts w:ascii="宋体" w:hAnsi="宋体" w:cs="宋体"/>
          <w:b/>
          <w:bCs/>
          <w:color w:val="auto"/>
          <w:szCs w:val="21"/>
          <w:highlight w:val="none"/>
        </w:rPr>
      </w:pPr>
      <w:bookmarkStart w:id="84" w:name="_Toc532377177"/>
      <w:bookmarkStart w:id="85" w:name="_Toc532375584"/>
      <w:bookmarkStart w:id="86" w:name="_Toc351203492"/>
      <w:r>
        <w:rPr>
          <w:rFonts w:hint="eastAsia" w:ascii="宋体" w:hAnsi="宋体" w:cs="宋体"/>
          <w:b/>
          <w:bCs/>
          <w:color w:val="auto"/>
          <w:szCs w:val="21"/>
          <w:highlight w:val="none"/>
        </w:rPr>
        <w:t>十二、合同生效</w:t>
      </w:r>
      <w:bookmarkEnd w:id="84"/>
      <w:bookmarkEnd w:id="85"/>
      <w:bookmarkEnd w:id="86"/>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合同在以下条件全部满足之后生效：</w:t>
      </w:r>
    </w:p>
    <w:p>
      <w:pPr>
        <w:spacing w:line="360" w:lineRule="auto"/>
        <w:ind w:firstLine="420" w:firstLineChars="200"/>
        <w:rPr>
          <w:rFonts w:ascii="宋体" w:hAnsi="宋体"/>
          <w:color w:val="auto"/>
          <w:szCs w:val="21"/>
          <w:highlight w:val="none"/>
        </w:rPr>
      </w:pPr>
      <w:r>
        <w:rPr>
          <w:rFonts w:hint="eastAsia" w:ascii="宋体" w:hAnsi="宋体"/>
          <w:bCs/>
          <w:color w:val="auto"/>
          <w:szCs w:val="21"/>
          <w:highlight w:val="none"/>
        </w:rPr>
        <w:t>1.合同</w:t>
      </w:r>
      <w:r>
        <w:rPr>
          <w:rFonts w:hint="eastAsia" w:ascii="宋体" w:hAnsi="宋体"/>
          <w:color w:val="auto"/>
          <w:szCs w:val="21"/>
          <w:highlight w:val="none"/>
        </w:rPr>
        <w:t>经双方法定代表人或其委托代理人签字并加盖</w:t>
      </w:r>
      <w:r>
        <w:rPr>
          <w:rFonts w:hint="eastAsia" w:ascii="宋体" w:hAnsi="宋体"/>
          <w:snapToGrid w:val="0"/>
          <w:color w:val="auto"/>
          <w:kern w:val="0"/>
          <w:szCs w:val="21"/>
          <w:highlight w:val="none"/>
        </w:rPr>
        <w:t>公章或合同专用章</w:t>
      </w:r>
      <w:r>
        <w:rPr>
          <w:rFonts w:hint="eastAsia" w:ascii="宋体" w:hAnsi="宋体"/>
          <w:color w:val="auto"/>
          <w:szCs w:val="21"/>
          <w:highlight w:val="none"/>
        </w:rPr>
        <w:t>；</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keepNext/>
        <w:keepLines/>
        <w:spacing w:before="100" w:beforeAutospacing="1" w:after="100" w:afterAutospacing="1" w:line="360" w:lineRule="auto"/>
        <w:ind w:firstLine="422" w:firstLineChars="200"/>
        <w:outlineLvl w:val="3"/>
        <w:rPr>
          <w:rFonts w:ascii="宋体" w:hAnsi="宋体" w:cs="宋体"/>
          <w:b/>
          <w:bCs/>
          <w:color w:val="auto"/>
          <w:szCs w:val="21"/>
          <w:highlight w:val="none"/>
        </w:rPr>
      </w:pPr>
      <w:bookmarkStart w:id="87" w:name="_Toc351203493"/>
      <w:bookmarkStart w:id="88" w:name="_Toc532375585"/>
      <w:bookmarkStart w:id="89" w:name="_Toc532377178"/>
      <w:r>
        <w:rPr>
          <w:rFonts w:hint="eastAsia" w:ascii="宋体" w:hAnsi="宋体" w:cs="宋体"/>
          <w:b/>
          <w:bCs/>
          <w:color w:val="auto"/>
          <w:szCs w:val="21"/>
          <w:highlight w:val="none"/>
        </w:rPr>
        <w:t>十三、合同份数</w:t>
      </w:r>
      <w:bookmarkEnd w:id="87"/>
      <w:bookmarkEnd w:id="88"/>
      <w:bookmarkEnd w:id="89"/>
    </w:p>
    <w:p>
      <w:pPr>
        <w:spacing w:line="360" w:lineRule="auto"/>
        <w:ind w:firstLine="420" w:firstLineChars="200"/>
        <w:rPr>
          <w:rFonts w:ascii="宋体" w:hAnsi="宋体"/>
          <w:bCs/>
          <w:color w:val="auto"/>
          <w:szCs w:val="21"/>
          <w:highlight w:val="none"/>
        </w:rPr>
      </w:pPr>
      <w:r>
        <w:rPr>
          <w:rFonts w:hint="eastAsia" w:ascii="宋体" w:hAnsi="宋体" w:cs="Microsoft Sans Serif"/>
          <w:bCs/>
          <w:color w:val="auto"/>
          <w:szCs w:val="21"/>
          <w:highlight w:val="none"/>
        </w:rPr>
        <w:t>合同一式</w:t>
      </w:r>
      <w:r>
        <w:rPr>
          <w:rFonts w:hint="eastAsia" w:ascii="宋体" w:hAnsi="宋体" w:cs="Microsoft Sans Serif"/>
          <w:bCs/>
          <w:color w:val="auto"/>
          <w:szCs w:val="21"/>
          <w:highlight w:val="none"/>
          <w:u w:val="single"/>
        </w:rPr>
        <w:t xml:space="preserve">     </w:t>
      </w:r>
      <w:r>
        <w:rPr>
          <w:rFonts w:hint="eastAsia" w:ascii="宋体" w:hAnsi="宋体" w:cs="Microsoft Sans Serif"/>
          <w:bCs/>
          <w:color w:val="auto"/>
          <w:szCs w:val="21"/>
          <w:highlight w:val="none"/>
        </w:rPr>
        <w:t>份，其中正本</w:t>
      </w:r>
      <w:r>
        <w:rPr>
          <w:rFonts w:hint="eastAsia" w:ascii="宋体" w:hAnsi="宋体" w:cs="Microsoft Sans Serif"/>
          <w:bCs/>
          <w:color w:val="auto"/>
          <w:szCs w:val="21"/>
          <w:highlight w:val="none"/>
          <w:u w:val="single"/>
        </w:rPr>
        <w:t xml:space="preserve">    </w:t>
      </w:r>
      <w:r>
        <w:rPr>
          <w:rFonts w:hint="eastAsia" w:ascii="宋体" w:hAnsi="宋体" w:cs="Microsoft Sans Serif"/>
          <w:bCs/>
          <w:color w:val="auto"/>
          <w:szCs w:val="21"/>
          <w:highlight w:val="none"/>
        </w:rPr>
        <w:t>份，双方各持</w:t>
      </w:r>
      <w:r>
        <w:rPr>
          <w:rFonts w:hint="eastAsia" w:ascii="宋体" w:hAnsi="宋体" w:cs="Microsoft Sans Serif"/>
          <w:bCs/>
          <w:color w:val="auto"/>
          <w:szCs w:val="21"/>
          <w:highlight w:val="none"/>
          <w:u w:val="single"/>
        </w:rPr>
        <w:t xml:space="preserve">    </w:t>
      </w:r>
      <w:r>
        <w:rPr>
          <w:rFonts w:hint="eastAsia" w:ascii="宋体" w:hAnsi="宋体" w:cs="Microsoft Sans Serif"/>
          <w:bCs/>
          <w:color w:val="auto"/>
          <w:szCs w:val="21"/>
          <w:highlight w:val="none"/>
        </w:rPr>
        <w:t>份，副本</w:t>
      </w:r>
      <w:r>
        <w:rPr>
          <w:rFonts w:hint="eastAsia" w:ascii="宋体" w:hAnsi="宋体" w:cs="Microsoft Sans Serif"/>
          <w:bCs/>
          <w:color w:val="auto"/>
          <w:szCs w:val="21"/>
          <w:highlight w:val="none"/>
          <w:u w:val="single"/>
        </w:rPr>
        <w:t xml:space="preserve">    </w:t>
      </w:r>
      <w:r>
        <w:rPr>
          <w:rFonts w:hint="eastAsia" w:ascii="宋体" w:hAnsi="宋体" w:cs="Microsoft Sans Serif"/>
          <w:bCs/>
          <w:color w:val="auto"/>
          <w:szCs w:val="21"/>
          <w:highlight w:val="none"/>
        </w:rPr>
        <w:t>份，双方各执</w:t>
      </w:r>
      <w:r>
        <w:rPr>
          <w:rFonts w:hint="eastAsia" w:ascii="宋体" w:hAnsi="宋体" w:cs="Microsoft Sans Serif"/>
          <w:bCs/>
          <w:color w:val="auto"/>
          <w:szCs w:val="21"/>
          <w:highlight w:val="none"/>
          <w:u w:val="single"/>
        </w:rPr>
        <w:t xml:space="preserve">    </w:t>
      </w:r>
      <w:r>
        <w:rPr>
          <w:rFonts w:hint="eastAsia" w:ascii="宋体" w:hAnsi="宋体" w:cs="Microsoft Sans Serif"/>
          <w:bCs/>
          <w:color w:val="auto"/>
          <w:szCs w:val="21"/>
          <w:highlight w:val="none"/>
        </w:rPr>
        <w:t>份。副本与正本不一致时，以正本为准</w:t>
      </w:r>
      <w:r>
        <w:rPr>
          <w:rFonts w:hint="eastAsia" w:ascii="宋体" w:hAnsi="宋体"/>
          <w:bCs/>
          <w:color w:val="auto"/>
          <w:szCs w:val="21"/>
          <w:highlight w:val="none"/>
        </w:rPr>
        <w:t>。</w:t>
      </w:r>
    </w:p>
    <w:p>
      <w:pPr>
        <w:spacing w:line="360" w:lineRule="auto"/>
        <w:ind w:firstLine="420" w:firstLineChars="200"/>
        <w:rPr>
          <w:rFonts w:ascii="宋体" w:hAnsi="宋体"/>
          <w:bCs/>
          <w:color w:val="auto"/>
          <w:szCs w:val="21"/>
          <w:highlight w:val="none"/>
        </w:rPr>
      </w:pP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（以下为签字盖章页）。</w:t>
      </w:r>
    </w:p>
    <w:p>
      <w:pPr>
        <w:spacing w:after="120" w:line="360" w:lineRule="auto"/>
        <w:ind w:firstLine="420" w:firstLineChars="200"/>
        <w:rPr>
          <w:rFonts w:ascii="宋体" w:hAnsi="宋体"/>
          <w:color w:val="auto"/>
          <w:szCs w:val="21"/>
          <w:highlight w:val="none"/>
        </w:rPr>
      </w:pPr>
    </w:p>
    <w:p>
      <w:pPr>
        <w:spacing w:after="120" w:line="360" w:lineRule="auto"/>
        <w:ind w:firstLine="420" w:firstLineChars="200"/>
        <w:rPr>
          <w:rFonts w:ascii="宋体" w:hAnsi="宋体"/>
          <w:color w:val="auto"/>
          <w:szCs w:val="21"/>
          <w:highlight w:val="none"/>
        </w:rPr>
      </w:pPr>
    </w:p>
    <w:p>
      <w:pPr>
        <w:adjustRightInd w:val="0"/>
        <w:spacing w:line="360" w:lineRule="auto"/>
        <w:ind w:firstLine="420" w:firstLineChars="200"/>
        <w:rPr>
          <w:rFonts w:ascii="宋体" w:hAnsi="宋体"/>
          <w:snapToGrid w:val="0"/>
          <w:color w:val="auto"/>
          <w:kern w:val="0"/>
          <w:szCs w:val="21"/>
          <w:highlight w:val="none"/>
        </w:rPr>
      </w:pPr>
      <w:bookmarkStart w:id="90" w:name="_Toc467689623"/>
      <w:r>
        <w:rPr>
          <w:rFonts w:ascii="宋体" w:hAnsi="宋体"/>
          <w:snapToGrid w:val="0"/>
          <w:color w:val="auto"/>
          <w:kern w:val="0"/>
          <w:szCs w:val="21"/>
          <w:highlight w:val="none"/>
        </w:rPr>
        <w:t>发包人：</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rPr>
        <w:t>（公章</w:t>
      </w:r>
      <w:r>
        <w:rPr>
          <w:rFonts w:hint="eastAsia" w:ascii="宋体" w:hAnsi="宋体"/>
          <w:snapToGrid w:val="0"/>
          <w:color w:val="auto"/>
          <w:kern w:val="0"/>
          <w:szCs w:val="21"/>
          <w:highlight w:val="none"/>
        </w:rPr>
        <w:t>或合同专用章</w:t>
      </w:r>
      <w:r>
        <w:rPr>
          <w:rFonts w:ascii="宋体" w:hAnsi="宋体"/>
          <w:snapToGrid w:val="0"/>
          <w:color w:val="auto"/>
          <w:kern w:val="0"/>
          <w:szCs w:val="21"/>
          <w:highlight w:val="none"/>
        </w:rPr>
        <w:t>）</w:t>
      </w:r>
    </w:p>
    <w:p>
      <w:pPr>
        <w:spacing w:line="360" w:lineRule="auto"/>
        <w:ind w:firstLine="420" w:firstLineChars="200"/>
        <w:rPr>
          <w:rFonts w:ascii="宋体" w:hAnsi="宋体"/>
          <w:snapToGrid w:val="0"/>
          <w:color w:val="auto"/>
          <w:kern w:val="0"/>
          <w:szCs w:val="21"/>
          <w:highlight w:val="none"/>
        </w:rPr>
      </w:pPr>
      <w:r>
        <w:rPr>
          <w:rFonts w:ascii="宋体" w:hAnsi="宋体"/>
          <w:snapToGrid w:val="0"/>
          <w:color w:val="auto"/>
          <w:kern w:val="0"/>
          <w:szCs w:val="21"/>
          <w:highlight w:val="none"/>
        </w:rPr>
        <w:t>法定代表人或其委托代理人：</w:t>
      </w:r>
      <w:r>
        <w:rPr>
          <w:rFonts w:ascii="宋体" w:hAnsi="宋体"/>
          <w:snapToGrid w:val="0"/>
          <w:color w:val="auto"/>
          <w:w w:val="200"/>
          <w:kern w:val="0"/>
          <w:szCs w:val="21"/>
          <w:highlight w:val="none"/>
          <w:u w:val="single"/>
        </w:rPr>
        <w:t xml:space="preserve"> </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（签字）</w:t>
      </w:r>
    </w:p>
    <w:p>
      <w:pPr>
        <w:spacing w:line="360" w:lineRule="auto"/>
        <w:ind w:firstLine="420" w:firstLineChars="200"/>
        <w:rPr>
          <w:rFonts w:ascii="宋体" w:hAnsi="宋体"/>
          <w:snapToGrid w:val="0"/>
          <w:color w:val="auto"/>
          <w:kern w:val="0"/>
          <w:szCs w:val="21"/>
          <w:highlight w:val="none"/>
        </w:rPr>
      </w:pPr>
      <w:r>
        <w:rPr>
          <w:rFonts w:hint="eastAsia" w:ascii="宋体" w:hAnsi="宋体"/>
          <w:snapToGrid w:val="0"/>
          <w:color w:val="auto"/>
          <w:kern w:val="0"/>
          <w:szCs w:val="21"/>
          <w:highlight w:val="none"/>
        </w:rPr>
        <w:t>统一社会信用代码：</w:t>
      </w:r>
      <w:r>
        <w:rPr>
          <w:rFonts w:ascii="宋体" w:hAnsi="宋体"/>
          <w:snapToGrid w:val="0"/>
          <w:color w:val="auto"/>
          <w:w w:val="200"/>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p>
    <w:p>
      <w:pPr>
        <w:spacing w:line="360" w:lineRule="auto"/>
        <w:ind w:firstLine="420" w:firstLineChars="200"/>
        <w:rPr>
          <w:rFonts w:ascii="宋体" w:hAnsi="宋体"/>
          <w:snapToGrid w:val="0"/>
          <w:color w:val="auto"/>
          <w:kern w:val="0"/>
          <w:szCs w:val="21"/>
          <w:highlight w:val="none"/>
          <w:u w:val="single"/>
        </w:rPr>
      </w:pPr>
      <w:r>
        <w:rPr>
          <w:rFonts w:hint="eastAsia" w:ascii="宋体" w:hAnsi="宋体"/>
          <w:snapToGrid w:val="0"/>
          <w:color w:val="auto"/>
          <w:kern w:val="0"/>
          <w:szCs w:val="21"/>
          <w:highlight w:val="none"/>
        </w:rPr>
        <w:t>纳税人识别号：</w:t>
      </w:r>
      <w:r>
        <w:rPr>
          <w:rFonts w:ascii="宋体" w:hAnsi="宋体"/>
          <w:snapToGrid w:val="0"/>
          <w:color w:val="auto"/>
          <w:w w:val="200"/>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p>
    <w:p>
      <w:pPr>
        <w:spacing w:line="360" w:lineRule="auto"/>
        <w:ind w:firstLine="420" w:firstLineChars="200"/>
        <w:rPr>
          <w:rFonts w:ascii="宋体" w:hAnsi="宋体"/>
          <w:snapToGrid w:val="0"/>
          <w:color w:val="auto"/>
          <w:kern w:val="0"/>
          <w:szCs w:val="21"/>
          <w:highlight w:val="none"/>
          <w:u w:val="single"/>
        </w:rPr>
      </w:pPr>
      <w:r>
        <w:rPr>
          <w:rFonts w:hint="eastAsia" w:ascii="宋体" w:hAnsi="宋体"/>
          <w:snapToGrid w:val="0"/>
          <w:color w:val="auto"/>
          <w:kern w:val="0"/>
          <w:szCs w:val="21"/>
          <w:highlight w:val="none"/>
        </w:rPr>
        <w:t>地    址：</w:t>
      </w:r>
      <w:r>
        <w:rPr>
          <w:rFonts w:ascii="宋体" w:hAnsi="宋体"/>
          <w:snapToGrid w:val="0"/>
          <w:color w:val="auto"/>
          <w:w w:val="200"/>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p>
    <w:p>
      <w:pPr>
        <w:spacing w:line="360" w:lineRule="auto"/>
        <w:ind w:firstLine="420" w:firstLineChars="200"/>
        <w:rPr>
          <w:rFonts w:ascii="宋体" w:hAnsi="宋体"/>
          <w:snapToGrid w:val="0"/>
          <w:color w:val="auto"/>
          <w:kern w:val="0"/>
          <w:szCs w:val="21"/>
          <w:highlight w:val="none"/>
          <w:u w:val="single"/>
        </w:rPr>
      </w:pPr>
      <w:r>
        <w:rPr>
          <w:rFonts w:hint="eastAsia" w:ascii="宋体" w:hAnsi="宋体"/>
          <w:snapToGrid w:val="0"/>
          <w:color w:val="auto"/>
          <w:kern w:val="0"/>
          <w:szCs w:val="21"/>
          <w:highlight w:val="none"/>
        </w:rPr>
        <w:t>电    话：</w:t>
      </w:r>
      <w:r>
        <w:rPr>
          <w:rFonts w:ascii="宋体" w:hAnsi="宋体"/>
          <w:snapToGrid w:val="0"/>
          <w:color w:val="auto"/>
          <w:w w:val="200"/>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p>
    <w:p>
      <w:pPr>
        <w:spacing w:line="360" w:lineRule="auto"/>
        <w:ind w:firstLine="420" w:firstLineChars="200"/>
        <w:rPr>
          <w:rFonts w:ascii="宋体" w:hAnsi="宋体"/>
          <w:snapToGrid w:val="0"/>
          <w:color w:val="auto"/>
          <w:kern w:val="0"/>
          <w:szCs w:val="21"/>
          <w:highlight w:val="none"/>
          <w:u w:val="single"/>
        </w:rPr>
      </w:pPr>
      <w:r>
        <w:rPr>
          <w:rFonts w:hint="eastAsia" w:ascii="宋体" w:hAnsi="宋体"/>
          <w:snapToGrid w:val="0"/>
          <w:color w:val="auto"/>
          <w:kern w:val="0"/>
          <w:szCs w:val="21"/>
          <w:highlight w:val="none"/>
        </w:rPr>
        <w:t>开户银行：</w:t>
      </w:r>
      <w:r>
        <w:rPr>
          <w:rFonts w:ascii="宋体" w:hAnsi="宋体"/>
          <w:snapToGrid w:val="0"/>
          <w:color w:val="auto"/>
          <w:w w:val="200"/>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p>
    <w:p>
      <w:pPr>
        <w:spacing w:line="360" w:lineRule="auto"/>
        <w:ind w:firstLine="420" w:firstLineChars="200"/>
        <w:rPr>
          <w:rFonts w:ascii="宋体" w:hAnsi="宋体"/>
          <w:color w:val="auto"/>
          <w:szCs w:val="21"/>
          <w:highlight w:val="none"/>
        </w:rPr>
      </w:pPr>
      <w:r>
        <w:rPr>
          <w:rFonts w:hint="eastAsia" w:ascii="宋体" w:hAnsi="宋体"/>
          <w:snapToGrid w:val="0"/>
          <w:color w:val="auto"/>
          <w:kern w:val="0"/>
          <w:szCs w:val="21"/>
          <w:highlight w:val="none"/>
        </w:rPr>
        <w:t>账    号：</w:t>
      </w:r>
      <w:r>
        <w:rPr>
          <w:rFonts w:ascii="宋体" w:hAnsi="宋体"/>
          <w:snapToGrid w:val="0"/>
          <w:color w:val="auto"/>
          <w:w w:val="200"/>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p>
    <w:p>
      <w:pPr>
        <w:spacing w:line="360" w:lineRule="auto"/>
        <w:rPr>
          <w:rFonts w:ascii="宋体" w:hAnsi="宋体"/>
          <w:snapToGrid w:val="0"/>
          <w:color w:val="auto"/>
          <w:kern w:val="0"/>
          <w:szCs w:val="21"/>
          <w:highlight w:val="none"/>
        </w:rPr>
      </w:pPr>
    </w:p>
    <w:p>
      <w:pPr>
        <w:spacing w:line="360" w:lineRule="auto"/>
        <w:ind w:firstLine="420" w:firstLineChars="200"/>
        <w:rPr>
          <w:rFonts w:ascii="宋体" w:hAnsi="宋体"/>
          <w:color w:val="auto"/>
          <w:szCs w:val="21"/>
          <w:highlight w:val="none"/>
        </w:rPr>
      </w:pPr>
      <w:r>
        <w:rPr>
          <w:rFonts w:ascii="宋体" w:hAnsi="宋体"/>
          <w:snapToGrid w:val="0"/>
          <w:color w:val="auto"/>
          <w:kern w:val="0"/>
          <w:szCs w:val="21"/>
          <w:highlight w:val="none"/>
        </w:rPr>
        <w:t>承包人：</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rPr>
        <w:t>（公章</w:t>
      </w:r>
      <w:r>
        <w:rPr>
          <w:rFonts w:hint="eastAsia" w:ascii="宋体" w:hAnsi="宋体"/>
          <w:snapToGrid w:val="0"/>
          <w:color w:val="auto"/>
          <w:kern w:val="0"/>
          <w:szCs w:val="21"/>
          <w:highlight w:val="none"/>
        </w:rPr>
        <w:t>或合同专用章</w:t>
      </w:r>
      <w:r>
        <w:rPr>
          <w:rFonts w:ascii="宋体" w:hAnsi="宋体"/>
          <w:snapToGrid w:val="0"/>
          <w:color w:val="auto"/>
          <w:kern w:val="0"/>
          <w:szCs w:val="21"/>
          <w:highlight w:val="none"/>
        </w:rPr>
        <w:t>）</w:t>
      </w:r>
    </w:p>
    <w:p>
      <w:pPr>
        <w:spacing w:line="360" w:lineRule="auto"/>
        <w:ind w:firstLine="420" w:firstLineChars="200"/>
        <w:rPr>
          <w:rFonts w:ascii="宋体" w:hAnsi="宋体"/>
          <w:snapToGrid w:val="0"/>
          <w:color w:val="auto"/>
          <w:kern w:val="0"/>
          <w:szCs w:val="21"/>
          <w:highlight w:val="none"/>
        </w:rPr>
      </w:pPr>
      <w:r>
        <w:rPr>
          <w:rFonts w:ascii="宋体" w:hAnsi="宋体"/>
          <w:snapToGrid w:val="0"/>
          <w:color w:val="auto"/>
          <w:kern w:val="0"/>
          <w:szCs w:val="21"/>
          <w:highlight w:val="none"/>
        </w:rPr>
        <w:t>法定代表人或其委托代理人：</w:t>
      </w:r>
      <w:r>
        <w:rPr>
          <w:rFonts w:ascii="宋体" w:hAnsi="宋体"/>
          <w:snapToGrid w:val="0"/>
          <w:color w:val="auto"/>
          <w:w w:val="200"/>
          <w:kern w:val="0"/>
          <w:szCs w:val="21"/>
          <w:highlight w:val="none"/>
          <w:u w:val="single"/>
        </w:rPr>
        <w:t xml:space="preserve">         </w:t>
      </w:r>
      <w:r>
        <w:rPr>
          <w:rFonts w:hint="eastAsia" w:ascii="宋体" w:hAnsi="宋体"/>
          <w:snapToGrid w:val="0"/>
          <w:color w:val="auto"/>
          <w:w w:val="200"/>
          <w:kern w:val="0"/>
          <w:szCs w:val="21"/>
          <w:highlight w:val="none"/>
          <w:u w:val="single"/>
        </w:rPr>
        <w:t xml:space="preserve"> </w:t>
      </w:r>
      <w:r>
        <w:rPr>
          <w:rFonts w:ascii="宋体" w:hAnsi="宋体"/>
          <w:snapToGrid w:val="0"/>
          <w:color w:val="auto"/>
          <w:kern w:val="0"/>
          <w:szCs w:val="21"/>
          <w:highlight w:val="none"/>
        </w:rPr>
        <w:t>（签字）</w:t>
      </w:r>
    </w:p>
    <w:p>
      <w:pPr>
        <w:spacing w:line="360" w:lineRule="auto"/>
        <w:ind w:firstLine="420" w:firstLineChars="200"/>
        <w:rPr>
          <w:rFonts w:ascii="宋体" w:hAnsi="宋体"/>
          <w:snapToGrid w:val="0"/>
          <w:color w:val="auto"/>
          <w:kern w:val="0"/>
          <w:szCs w:val="21"/>
          <w:highlight w:val="none"/>
        </w:rPr>
      </w:pPr>
      <w:r>
        <w:rPr>
          <w:rFonts w:hint="eastAsia" w:ascii="宋体" w:hAnsi="宋体"/>
          <w:snapToGrid w:val="0"/>
          <w:color w:val="auto"/>
          <w:kern w:val="0"/>
          <w:szCs w:val="21"/>
          <w:highlight w:val="none"/>
        </w:rPr>
        <w:t>统一社会信用代码：</w:t>
      </w:r>
      <w:r>
        <w:rPr>
          <w:rFonts w:ascii="宋体" w:hAnsi="宋体"/>
          <w:snapToGrid w:val="0"/>
          <w:color w:val="auto"/>
          <w:w w:val="200"/>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p>
    <w:p>
      <w:pPr>
        <w:spacing w:line="360" w:lineRule="auto"/>
        <w:ind w:firstLine="420" w:firstLineChars="200"/>
        <w:rPr>
          <w:rFonts w:ascii="宋体" w:hAnsi="宋体"/>
          <w:snapToGrid w:val="0"/>
          <w:color w:val="auto"/>
          <w:kern w:val="0"/>
          <w:szCs w:val="21"/>
          <w:highlight w:val="none"/>
          <w:u w:val="single"/>
        </w:rPr>
      </w:pPr>
      <w:r>
        <w:rPr>
          <w:rFonts w:hint="eastAsia" w:ascii="宋体" w:hAnsi="宋体"/>
          <w:snapToGrid w:val="0"/>
          <w:color w:val="auto"/>
          <w:kern w:val="0"/>
          <w:szCs w:val="21"/>
          <w:highlight w:val="none"/>
        </w:rPr>
        <w:t>纳税人识别号：</w:t>
      </w:r>
      <w:r>
        <w:rPr>
          <w:rFonts w:ascii="宋体" w:hAnsi="宋体"/>
          <w:snapToGrid w:val="0"/>
          <w:color w:val="auto"/>
          <w:w w:val="200"/>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p>
    <w:p>
      <w:pPr>
        <w:spacing w:line="360" w:lineRule="auto"/>
        <w:ind w:firstLine="420" w:firstLineChars="200"/>
        <w:rPr>
          <w:rFonts w:ascii="宋体" w:hAnsi="宋体"/>
          <w:snapToGrid w:val="0"/>
          <w:color w:val="auto"/>
          <w:kern w:val="0"/>
          <w:szCs w:val="21"/>
          <w:highlight w:val="none"/>
          <w:u w:val="single"/>
        </w:rPr>
      </w:pPr>
      <w:r>
        <w:rPr>
          <w:rFonts w:hint="eastAsia" w:ascii="宋体" w:hAnsi="宋体"/>
          <w:snapToGrid w:val="0"/>
          <w:color w:val="auto"/>
          <w:kern w:val="0"/>
          <w:szCs w:val="21"/>
          <w:highlight w:val="none"/>
        </w:rPr>
        <w:t>地    址：</w:t>
      </w:r>
      <w:r>
        <w:rPr>
          <w:rFonts w:ascii="宋体" w:hAnsi="宋体"/>
          <w:snapToGrid w:val="0"/>
          <w:color w:val="auto"/>
          <w:w w:val="200"/>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p>
    <w:p>
      <w:pPr>
        <w:spacing w:line="360" w:lineRule="auto"/>
        <w:ind w:firstLine="420" w:firstLineChars="200"/>
        <w:rPr>
          <w:rFonts w:ascii="宋体" w:hAnsi="宋体"/>
          <w:snapToGrid w:val="0"/>
          <w:color w:val="auto"/>
          <w:kern w:val="0"/>
          <w:szCs w:val="21"/>
          <w:highlight w:val="none"/>
          <w:u w:val="single"/>
        </w:rPr>
      </w:pPr>
      <w:r>
        <w:rPr>
          <w:rFonts w:hint="eastAsia" w:ascii="宋体" w:hAnsi="宋体"/>
          <w:snapToGrid w:val="0"/>
          <w:color w:val="auto"/>
          <w:kern w:val="0"/>
          <w:szCs w:val="21"/>
          <w:highlight w:val="none"/>
        </w:rPr>
        <w:t>电    话：</w:t>
      </w:r>
      <w:r>
        <w:rPr>
          <w:rFonts w:ascii="宋体" w:hAnsi="宋体"/>
          <w:snapToGrid w:val="0"/>
          <w:color w:val="auto"/>
          <w:w w:val="200"/>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p>
    <w:p>
      <w:pPr>
        <w:spacing w:line="360" w:lineRule="auto"/>
        <w:ind w:firstLine="420" w:firstLineChars="200"/>
        <w:rPr>
          <w:rFonts w:ascii="宋体" w:hAnsi="宋体"/>
          <w:snapToGrid w:val="0"/>
          <w:color w:val="auto"/>
          <w:kern w:val="0"/>
          <w:szCs w:val="21"/>
          <w:highlight w:val="none"/>
          <w:u w:val="single"/>
        </w:rPr>
      </w:pPr>
      <w:r>
        <w:rPr>
          <w:rFonts w:hint="eastAsia" w:ascii="宋体" w:hAnsi="宋体"/>
          <w:snapToGrid w:val="0"/>
          <w:color w:val="auto"/>
          <w:kern w:val="0"/>
          <w:szCs w:val="21"/>
          <w:highlight w:val="none"/>
        </w:rPr>
        <w:t>开户银行：</w:t>
      </w:r>
      <w:r>
        <w:rPr>
          <w:rFonts w:ascii="宋体" w:hAnsi="宋体"/>
          <w:snapToGrid w:val="0"/>
          <w:color w:val="auto"/>
          <w:w w:val="200"/>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p>
    <w:p>
      <w:pPr>
        <w:spacing w:line="360" w:lineRule="auto"/>
        <w:ind w:firstLine="420" w:firstLineChars="200"/>
        <w:rPr>
          <w:rFonts w:ascii="宋体" w:hAnsi="宋体"/>
          <w:snapToGrid w:val="0"/>
          <w:color w:val="auto"/>
          <w:kern w:val="0"/>
          <w:szCs w:val="21"/>
          <w:highlight w:val="none"/>
          <w:u w:val="single"/>
        </w:rPr>
      </w:pPr>
      <w:r>
        <w:rPr>
          <w:rFonts w:hint="eastAsia" w:ascii="宋体" w:hAnsi="宋体"/>
          <w:snapToGrid w:val="0"/>
          <w:color w:val="auto"/>
          <w:kern w:val="0"/>
          <w:szCs w:val="21"/>
          <w:highlight w:val="none"/>
        </w:rPr>
        <w:t>账    号：</w:t>
      </w:r>
      <w:r>
        <w:rPr>
          <w:rFonts w:ascii="宋体" w:hAnsi="宋体"/>
          <w:snapToGrid w:val="0"/>
          <w:color w:val="auto"/>
          <w:w w:val="200"/>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p>
    <w:p>
      <w:pPr>
        <w:spacing w:after="120" w:line="360" w:lineRule="auto"/>
        <w:rPr>
          <w:rFonts w:ascii="宋体" w:hAnsi="宋体"/>
          <w:color w:val="auto"/>
          <w:szCs w:val="21"/>
          <w:highlight w:val="none"/>
        </w:rPr>
      </w:pPr>
    </w:p>
    <w:p>
      <w:pPr>
        <w:spacing w:line="360" w:lineRule="auto"/>
        <w:jc w:val="right"/>
        <w:rPr>
          <w:rFonts w:ascii="宋体" w:hAnsi="宋体"/>
          <w:snapToGrid w:val="0"/>
          <w:color w:val="auto"/>
          <w:kern w:val="0"/>
          <w:szCs w:val="21"/>
          <w:highlight w:val="none"/>
        </w:rPr>
      </w:pPr>
    </w:p>
    <w:p>
      <w:pPr>
        <w:spacing w:line="360" w:lineRule="auto"/>
        <w:jc w:val="right"/>
        <w:rPr>
          <w:rFonts w:ascii="宋体" w:hAnsi="宋体"/>
          <w:snapToGrid w:val="0"/>
          <w:color w:val="auto"/>
          <w:kern w:val="0"/>
          <w:szCs w:val="21"/>
          <w:highlight w:val="none"/>
        </w:rPr>
      </w:pPr>
    </w:p>
    <w:p>
      <w:pPr>
        <w:spacing w:line="360" w:lineRule="auto"/>
        <w:jc w:val="right"/>
        <w:rPr>
          <w:rFonts w:ascii="宋体" w:hAnsi="宋体"/>
          <w:snapToGrid w:val="0"/>
          <w:color w:val="auto"/>
          <w:kern w:val="0"/>
          <w:szCs w:val="21"/>
          <w:highlight w:val="none"/>
        </w:rPr>
      </w:pPr>
      <w:r>
        <w:rPr>
          <w:rFonts w:hint="eastAsia" w:ascii="宋体" w:hAnsi="宋体"/>
          <w:snapToGrid w:val="0"/>
          <w:color w:val="auto"/>
          <w:kern w:val="0"/>
          <w:szCs w:val="21"/>
          <w:highlight w:val="none"/>
        </w:rPr>
        <w:t>签约时间：</w:t>
      </w:r>
      <w:r>
        <w:rPr>
          <w:rFonts w:hint="eastAsia"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rPr>
        <w:t>年</w:t>
      </w:r>
      <w:r>
        <w:rPr>
          <w:rFonts w:hint="eastAsia"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rPr>
        <w:t>月</w:t>
      </w:r>
      <w:r>
        <w:rPr>
          <w:rFonts w:hint="eastAsia"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rPr>
        <w:t>日</w:t>
      </w:r>
      <w:bookmarkEnd w:id="90"/>
    </w:p>
    <w:p>
      <w:pPr>
        <w:keepNext/>
        <w:keepLines/>
        <w:spacing w:before="260" w:after="260" w:line="416" w:lineRule="auto"/>
        <w:jc w:val="center"/>
        <w:outlineLvl w:val="2"/>
        <w:rPr>
          <w:rFonts w:ascii="宋体" w:hAnsi="宋体"/>
          <w:b/>
          <w:color w:val="auto"/>
          <w:szCs w:val="21"/>
          <w:highlight w:val="none"/>
        </w:rPr>
      </w:pPr>
      <w:r>
        <w:rPr>
          <w:rFonts w:hint="eastAsia" w:ascii="宋体" w:hAnsi="宋体"/>
          <w:bCs/>
          <w:snapToGrid w:val="0"/>
          <w:color w:val="auto"/>
          <w:szCs w:val="21"/>
          <w:highlight w:val="none"/>
          <w:lang w:val="zh-CN"/>
        </w:rPr>
        <w:br w:type="page"/>
      </w:r>
      <w:bookmarkStart w:id="91" w:name="_Toc532377179"/>
      <w:bookmarkStart w:id="92" w:name="_Toc532375586"/>
      <w:bookmarkStart w:id="93" w:name="_Toc57820638"/>
      <w:bookmarkStart w:id="94" w:name="_Toc529388289"/>
      <w:r>
        <w:rPr>
          <w:rFonts w:hint="eastAsia" w:ascii="宋体" w:hAnsi="宋体"/>
          <w:b/>
          <w:bCs/>
          <w:color w:val="auto"/>
          <w:sz w:val="44"/>
          <w:szCs w:val="44"/>
          <w:highlight w:val="none"/>
        </w:rPr>
        <w:t>第二部分 通用合同条款</w:t>
      </w:r>
      <w:bookmarkEnd w:id="91"/>
      <w:bookmarkEnd w:id="92"/>
      <w:bookmarkEnd w:id="93"/>
      <w:bookmarkEnd w:id="94"/>
    </w:p>
    <w:p>
      <w:pPr>
        <w:keepNext/>
        <w:keepLines/>
        <w:snapToGrid w:val="0"/>
        <w:spacing w:before="260" w:after="260" w:line="360" w:lineRule="auto"/>
        <w:ind w:firstLine="420" w:firstLineChars="200"/>
        <w:outlineLvl w:val="2"/>
        <w:rPr>
          <w:rFonts w:ascii="宋体" w:hAnsi="宋体"/>
          <w:b/>
          <w:bCs/>
          <w:color w:val="auto"/>
          <w:szCs w:val="21"/>
          <w:highlight w:val="none"/>
          <w:lang w:val="zh-CN"/>
        </w:rPr>
      </w:pPr>
      <w:r>
        <w:rPr>
          <w:rFonts w:hint="eastAsia" w:ascii="宋体" w:hAnsi="宋体"/>
          <w:bCs/>
          <w:color w:val="auto"/>
          <w:szCs w:val="21"/>
          <w:highlight w:val="none"/>
          <w:shd w:val="clear" w:color="auto" w:fill="FFFFFF"/>
        </w:rPr>
        <w:t>通用合同条款直接引用住房和城乡建设部、国家工商总局制定的建设工程施工合同（示范文本GF-2017-0201）第二部分“通用合同条款”</w:t>
      </w:r>
      <w:r>
        <w:rPr>
          <w:rFonts w:hint="eastAsia" w:ascii="宋体" w:hAnsi="宋体"/>
          <w:b/>
          <w:bCs/>
          <w:color w:val="auto"/>
          <w:szCs w:val="21"/>
          <w:highlight w:val="none"/>
          <w:lang w:val="zh-CN"/>
        </w:rPr>
        <w:br w:type="page"/>
      </w:r>
    </w:p>
    <w:p>
      <w:pPr>
        <w:keepNext/>
        <w:keepLines/>
        <w:spacing w:before="260" w:after="260" w:line="416" w:lineRule="auto"/>
        <w:jc w:val="center"/>
        <w:outlineLvl w:val="2"/>
        <w:rPr>
          <w:rFonts w:ascii="宋体" w:hAnsi="宋体"/>
          <w:b/>
          <w:bCs/>
          <w:color w:val="auto"/>
          <w:sz w:val="44"/>
          <w:szCs w:val="44"/>
          <w:highlight w:val="none"/>
        </w:rPr>
      </w:pPr>
      <w:bookmarkStart w:id="95" w:name="_Toc532375607"/>
      <w:bookmarkStart w:id="96" w:name="_Toc57820639"/>
      <w:bookmarkStart w:id="97" w:name="_Toc532377320"/>
      <w:bookmarkStart w:id="98" w:name="_Toc529388290"/>
      <w:r>
        <w:rPr>
          <w:rFonts w:hint="eastAsia" w:ascii="宋体" w:hAnsi="宋体"/>
          <w:b/>
          <w:bCs/>
          <w:color w:val="auto"/>
          <w:sz w:val="44"/>
          <w:szCs w:val="44"/>
          <w:highlight w:val="none"/>
        </w:rPr>
        <w:t>第三部分 专用合同条款</w:t>
      </w:r>
      <w:bookmarkEnd w:id="95"/>
      <w:bookmarkEnd w:id="96"/>
      <w:bookmarkEnd w:id="97"/>
      <w:bookmarkEnd w:id="98"/>
    </w:p>
    <w:p>
      <w:pPr>
        <w:keepNext/>
        <w:keepLines/>
        <w:spacing w:before="120" w:beforeLines="50" w:after="120" w:afterLines="50" w:line="360" w:lineRule="auto"/>
        <w:outlineLvl w:val="3"/>
        <w:rPr>
          <w:rFonts w:ascii="宋体" w:hAnsi="宋体" w:cs="宋体"/>
          <w:b/>
          <w:color w:val="auto"/>
          <w:szCs w:val="21"/>
          <w:highlight w:val="none"/>
        </w:rPr>
      </w:pPr>
      <w:bookmarkStart w:id="99" w:name="_Toc351203633"/>
      <w:bookmarkStart w:id="100" w:name="_Toc532375608"/>
      <w:bookmarkStart w:id="101" w:name="_Toc532377321"/>
      <w:bookmarkStart w:id="102" w:name="_Hlk528927191"/>
      <w:r>
        <w:rPr>
          <w:rFonts w:hint="eastAsia" w:ascii="宋体" w:hAnsi="宋体" w:cs="宋体"/>
          <w:b/>
          <w:bCs/>
          <w:color w:val="auto"/>
          <w:szCs w:val="21"/>
          <w:highlight w:val="none"/>
        </w:rPr>
        <w:t>1</w:t>
      </w:r>
      <w:bookmarkStart w:id="103" w:name="_Toc292559361"/>
      <w:bookmarkStart w:id="104" w:name="_Toc296503156"/>
      <w:bookmarkStart w:id="105" w:name="_Toc292559866"/>
      <w:bookmarkStart w:id="106" w:name="_Toc297120456"/>
      <w:bookmarkStart w:id="107" w:name="_Toc297048342"/>
      <w:bookmarkStart w:id="108" w:name="_Toc296891196"/>
      <w:bookmarkStart w:id="109" w:name="_Toc296346657"/>
      <w:bookmarkStart w:id="110" w:name="_Toc296347155"/>
      <w:bookmarkStart w:id="111" w:name="_Toc296890984"/>
      <w:bookmarkStart w:id="112" w:name="_Toc296944495"/>
      <w:r>
        <w:rPr>
          <w:rFonts w:hint="eastAsia" w:ascii="宋体" w:hAnsi="宋体" w:cs="宋体"/>
          <w:b/>
          <w:bCs/>
          <w:color w:val="auto"/>
          <w:szCs w:val="21"/>
          <w:highlight w:val="none"/>
        </w:rPr>
        <w:t>. 一般约定</w:t>
      </w:r>
      <w:bookmarkEnd w:id="99"/>
      <w:bookmarkEnd w:id="100"/>
      <w:bookmarkEnd w:id="101"/>
    </w:p>
    <w:bookmarkEnd w:id="103"/>
    <w:bookmarkEnd w:id="104"/>
    <w:bookmarkEnd w:id="105"/>
    <w:bookmarkEnd w:id="106"/>
    <w:bookmarkEnd w:id="107"/>
    <w:bookmarkEnd w:id="108"/>
    <w:bookmarkEnd w:id="109"/>
    <w:bookmarkEnd w:id="110"/>
    <w:bookmarkEnd w:id="111"/>
    <w:bookmarkEnd w:id="112"/>
    <w:p>
      <w:pPr>
        <w:spacing w:line="360" w:lineRule="auto"/>
        <w:ind w:firstLine="422" w:firstLineChars="200"/>
        <w:outlineLvl w:val="4"/>
        <w:rPr>
          <w:rFonts w:ascii="宋体" w:hAnsi="宋体" w:cs="宋体"/>
          <w:b/>
          <w:bCs/>
          <w:color w:val="auto"/>
          <w:kern w:val="0"/>
          <w:szCs w:val="21"/>
          <w:highlight w:val="none"/>
        </w:rPr>
      </w:pPr>
      <w:bookmarkStart w:id="113" w:name="_Toc532377322"/>
      <w:r>
        <w:rPr>
          <w:rFonts w:hint="eastAsia" w:ascii="宋体" w:hAnsi="宋体" w:cs="宋体"/>
          <w:b/>
          <w:bCs/>
          <w:color w:val="auto"/>
          <w:kern w:val="0"/>
          <w:szCs w:val="21"/>
          <w:highlight w:val="none"/>
        </w:rPr>
        <w:t>1.1词语定义与解释</w:t>
      </w:r>
      <w:bookmarkEnd w:id="113"/>
    </w:p>
    <w:p>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1.1.1 合同</w:t>
      </w:r>
    </w:p>
    <w:p>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1.1.1.6技术标准和要求：</w:t>
      </w:r>
      <w:r>
        <w:rPr>
          <w:rFonts w:hint="eastAsia" w:ascii="宋体" w:hAnsi="宋体"/>
          <w:color w:val="auto"/>
          <w:kern w:val="0"/>
          <w:szCs w:val="21"/>
          <w:highlight w:val="none"/>
          <w:u w:val="single"/>
        </w:rPr>
        <w:t>本目中的技术标准和要求是指技术规范，即合同所约定的技术标准和要求，是合同文件的组成部分。与通用合同条款中“技术标准和要求”一词具有相同含义，包括合同双方当事人约定对其所作的修改或补充</w:t>
      </w:r>
      <w:r>
        <w:rPr>
          <w:rFonts w:hint="eastAsia" w:ascii="宋体" w:hAnsi="宋体"/>
          <w:color w:val="auto"/>
          <w:kern w:val="0"/>
          <w:szCs w:val="21"/>
          <w:highlight w:val="none"/>
        </w:rPr>
        <w:t>。</w:t>
      </w:r>
    </w:p>
    <w:p>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1.1.1.8 已标价</w:t>
      </w:r>
      <w:r>
        <w:rPr>
          <w:rFonts w:hint="eastAsia" w:ascii="宋体" w:hAnsi="宋体"/>
          <w:color w:val="auto"/>
          <w:kern w:val="0"/>
          <w:szCs w:val="21"/>
          <w:highlight w:val="none"/>
        </w:rPr>
        <w:t>工程量清单</w:t>
      </w:r>
      <w:r>
        <w:rPr>
          <w:rFonts w:hint="eastAsia" w:ascii="宋体" w:hAnsi="宋体"/>
          <w:color w:val="auto"/>
          <w:kern w:val="0"/>
          <w:szCs w:val="21"/>
          <w:highlight w:val="none"/>
        </w:rPr>
        <w:t>：</w:t>
      </w:r>
      <w:r>
        <w:rPr>
          <w:rFonts w:hint="eastAsia" w:ascii="宋体" w:hAnsi="宋体"/>
          <w:color w:val="auto"/>
          <w:kern w:val="0"/>
          <w:szCs w:val="21"/>
          <w:highlight w:val="none"/>
          <w:u w:val="single"/>
        </w:rPr>
        <w:t>本项目为总价包干，由承</w:t>
      </w:r>
      <w:r>
        <w:rPr>
          <w:rFonts w:hint="eastAsia" w:ascii="宋体" w:hAnsi="宋体"/>
          <w:color w:val="auto"/>
          <w:kern w:val="0"/>
          <w:szCs w:val="21"/>
          <w:highlight w:val="none"/>
          <w:u w:val="single"/>
          <w:lang w:val="en-US" w:eastAsia="zh-CN"/>
        </w:rPr>
        <w:t>包</w:t>
      </w:r>
      <w:r>
        <w:rPr>
          <w:rFonts w:hint="eastAsia" w:ascii="宋体" w:hAnsi="宋体"/>
          <w:color w:val="auto"/>
          <w:kern w:val="0"/>
          <w:szCs w:val="21"/>
          <w:highlight w:val="none"/>
          <w:u w:val="single"/>
        </w:rPr>
        <w:t>人自行提供清单列表</w:t>
      </w:r>
      <w:r>
        <w:rPr>
          <w:rFonts w:hint="eastAsia" w:ascii="宋体" w:hAnsi="宋体"/>
          <w:color w:val="auto"/>
          <w:kern w:val="0"/>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kern w:val="0"/>
          <w:szCs w:val="21"/>
          <w:highlight w:val="none"/>
        </w:rPr>
        <w:t>1.1.1.10 其他合同文件包括：</w:t>
      </w:r>
      <w:r>
        <w:rPr>
          <w:rFonts w:hint="eastAsia" w:ascii="宋体" w:hAnsi="宋体"/>
          <w:color w:val="auto"/>
          <w:szCs w:val="21"/>
          <w:highlight w:val="none"/>
          <w:u w:val="single"/>
        </w:rPr>
        <w:t>按照合同协议书</w:t>
      </w:r>
      <w:r>
        <w:rPr>
          <w:rFonts w:hint="eastAsia" w:ascii="宋体" w:hAnsi="宋体"/>
          <w:bCs/>
          <w:color w:val="auto"/>
          <w:szCs w:val="21"/>
          <w:highlight w:val="none"/>
          <w:u w:val="single"/>
        </w:rPr>
        <w:t>〔</w:t>
      </w:r>
      <w:r>
        <w:rPr>
          <w:rFonts w:hint="eastAsia" w:ascii="宋体" w:hAnsi="宋体"/>
          <w:color w:val="auto"/>
          <w:szCs w:val="21"/>
          <w:highlight w:val="none"/>
          <w:u w:val="single"/>
        </w:rPr>
        <w:t>第六条</w:t>
      </w:r>
      <w:r>
        <w:rPr>
          <w:rFonts w:hint="eastAsia" w:ascii="宋体" w:hAnsi="宋体"/>
          <w:bCs/>
          <w:color w:val="auto"/>
          <w:szCs w:val="21"/>
          <w:highlight w:val="none"/>
          <w:u w:val="single"/>
        </w:rPr>
        <w:t>〕</w:t>
      </w:r>
      <w:r>
        <w:rPr>
          <w:rFonts w:hint="eastAsia" w:ascii="宋体" w:hAnsi="宋体"/>
          <w:color w:val="auto"/>
          <w:szCs w:val="21"/>
          <w:highlight w:val="none"/>
          <w:u w:val="single"/>
        </w:rPr>
        <w:t>约定执行</w:t>
      </w:r>
      <w:r>
        <w:rPr>
          <w:rFonts w:hint="eastAsia" w:ascii="宋体" w:hAnsi="宋体"/>
          <w:color w:val="auto"/>
          <w:szCs w:val="21"/>
          <w:highlight w:val="none"/>
        </w:rPr>
        <w:t>。</w:t>
      </w:r>
    </w:p>
    <w:p>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本项补充1.1.1.11～1.1.1.16目：</w:t>
      </w:r>
    </w:p>
    <w:p>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1.1.1.11 招标文件：</w:t>
      </w:r>
      <w:r>
        <w:rPr>
          <w:rFonts w:hint="eastAsia" w:ascii="宋体" w:hAnsi="宋体"/>
          <w:color w:val="auto"/>
          <w:kern w:val="0"/>
          <w:szCs w:val="21"/>
          <w:highlight w:val="none"/>
          <w:u w:val="single"/>
        </w:rPr>
        <w:t>指本工程的评比文件、图纸、其他技术资料及采购人发出的对评比文件所作的澄清、修改等资料</w:t>
      </w:r>
      <w:r>
        <w:rPr>
          <w:rFonts w:hint="eastAsia" w:ascii="宋体" w:hAnsi="宋体"/>
          <w:color w:val="auto"/>
          <w:kern w:val="0"/>
          <w:szCs w:val="21"/>
          <w:highlight w:val="none"/>
        </w:rPr>
        <w:t>。</w:t>
      </w:r>
    </w:p>
    <w:p>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1.1.1.12 工作：</w:t>
      </w:r>
      <w:r>
        <w:rPr>
          <w:rFonts w:hint="eastAsia" w:ascii="宋体" w:hAnsi="宋体"/>
          <w:color w:val="auto"/>
          <w:kern w:val="0"/>
          <w:szCs w:val="21"/>
          <w:highlight w:val="none"/>
          <w:u w:val="single"/>
        </w:rPr>
        <w:t>指根据合同条款规定，或根据合同合理推及的，为本工程（包括永久工程和临时工程）施工与维护所需要的管理、劳务、材料、施工设备和其他物品的提供</w:t>
      </w:r>
      <w:r>
        <w:rPr>
          <w:rFonts w:hint="eastAsia" w:ascii="宋体" w:hAnsi="宋体"/>
          <w:color w:val="auto"/>
          <w:kern w:val="0"/>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1.1.1.13 重大设计变更：按照规定需要重新报建设行政主管部门批准的设计变更。</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1.1.1.</w:t>
      </w:r>
      <w:r>
        <w:rPr>
          <w:rFonts w:hint="eastAsia" w:ascii="宋体" w:hAnsi="宋体"/>
          <w:color w:val="auto"/>
          <w:szCs w:val="21"/>
          <w:highlight w:val="none"/>
        </w:rPr>
        <w:t>14 公章：专指法定单位名称章</w:t>
      </w:r>
      <w:r>
        <w:rPr>
          <w:rFonts w:ascii="宋体" w:hAnsi="宋体"/>
          <w:color w:val="auto"/>
          <w:szCs w:val="21"/>
          <w:highlight w:val="none"/>
        </w:rPr>
        <w:t>。</w:t>
      </w:r>
    </w:p>
    <w:bookmarkEnd w:id="102"/>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1.1.1.15 到岗：指承包人按照到岗履职承诺安排满足办理施工许可手续相关要求的项目主要管理人员实际到施工现场就职履约的行为。</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1.1.1.16 项目法人：指具有民事权利能力和民事行为能力，依法独立享有民事权利和承担民事义务，以建设项目为目的，从事项目管理的机构、单位或组织。</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1.1.2 合同当事人及其他相关方</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1.1.2.4 监理人：</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名    称：</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资质类别和等级：</w:t>
      </w:r>
      <w:r>
        <w:rPr>
          <w:rFonts w:ascii="宋体" w:hAnsi="宋体"/>
          <w:color w:val="auto"/>
          <w:szCs w:val="21"/>
          <w:highlight w:val="none"/>
          <w:u w:val="single"/>
        </w:rPr>
        <w:t></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联系方式：</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1.1.2.5 设计人：</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名    称：</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资质类别和等级：</w:t>
      </w:r>
      <w:r>
        <w:rPr>
          <w:rFonts w:ascii="宋体" w:hAnsi="宋体"/>
          <w:color w:val="auto"/>
          <w:szCs w:val="21"/>
          <w:highlight w:val="none"/>
          <w:u w:val="single"/>
        </w:rPr>
        <w:t></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联系方式：</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1.1.3 工程和设备</w:t>
      </w:r>
    </w:p>
    <w:p>
      <w:pPr>
        <w:spacing w:line="360" w:lineRule="auto"/>
        <w:ind w:firstLine="420" w:firstLineChars="200"/>
        <w:rPr>
          <w:rFonts w:ascii="宋体" w:hAnsi="宋体"/>
          <w:color w:val="auto"/>
          <w:szCs w:val="21"/>
          <w:highlight w:val="none"/>
        </w:rPr>
      </w:pPr>
      <w:r>
        <w:rPr>
          <w:rFonts w:hint="eastAsia" w:ascii="宋体" w:hAnsi="宋体"/>
          <w:color w:val="auto"/>
          <w:kern w:val="0"/>
          <w:szCs w:val="21"/>
          <w:highlight w:val="none"/>
        </w:rPr>
        <w:t>1.1.3.7 作为施工现场组成部分的其他场所包括：</w:t>
      </w:r>
      <w:r>
        <w:rPr>
          <w:rFonts w:hint="eastAsia" w:ascii="宋体" w:hAnsi="宋体"/>
          <w:color w:val="auto"/>
          <w:kern w:val="0"/>
          <w:szCs w:val="21"/>
          <w:highlight w:val="none"/>
          <w:u w:val="single"/>
        </w:rPr>
        <w:t>永久占地、临时占地以及为修建临时工程而租用、占用的土地</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kern w:val="0"/>
          <w:szCs w:val="21"/>
          <w:highlight w:val="none"/>
        </w:rPr>
        <w:t>1.1.3.9 永久占地包括：</w:t>
      </w:r>
      <w:r>
        <w:rPr>
          <w:rFonts w:hint="eastAsia" w:ascii="宋体" w:hAnsi="宋体"/>
          <w:color w:val="auto"/>
          <w:kern w:val="0"/>
          <w:szCs w:val="21"/>
          <w:highlight w:val="none"/>
          <w:u w:val="single"/>
        </w:rPr>
        <w:t>为实施合同工程而需要的一切永久占用的土地，即合同工程</w:t>
      </w:r>
      <w:r>
        <w:rPr>
          <w:rFonts w:hint="eastAsia" w:ascii="宋体" w:hAnsi="宋体"/>
          <w:color w:val="auto"/>
          <w:szCs w:val="21"/>
          <w:highlight w:val="none"/>
          <w:u w:val="single"/>
        </w:rPr>
        <w:t>用地红线范围内的土地</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1.1.3.10 临时占地包括：</w:t>
      </w:r>
      <w:r>
        <w:rPr>
          <w:rFonts w:hint="eastAsia" w:ascii="宋体" w:hAnsi="宋体"/>
          <w:color w:val="auto"/>
          <w:szCs w:val="21"/>
          <w:highlight w:val="none"/>
          <w:u w:val="single"/>
        </w:rPr>
        <w:t>为实施合同工程而需要</w:t>
      </w:r>
      <w:r>
        <w:rPr>
          <w:rFonts w:hint="eastAsia" w:ascii="宋体" w:hAnsi="宋体"/>
          <w:color w:val="auto"/>
          <w:kern w:val="0"/>
          <w:szCs w:val="21"/>
          <w:highlight w:val="none"/>
          <w:u w:val="single"/>
        </w:rPr>
        <w:t>的一切</w:t>
      </w:r>
      <w:r>
        <w:rPr>
          <w:rFonts w:hint="eastAsia" w:ascii="宋体" w:hAnsi="宋体"/>
          <w:color w:val="auto"/>
          <w:szCs w:val="21"/>
          <w:highlight w:val="none"/>
          <w:u w:val="single"/>
        </w:rPr>
        <w:t>临时占用的土地，包括施工所用的临时便道等的临时出入道，以及生产（办公）、生活等临时设施用地</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1.1.6 其他</w:t>
      </w:r>
    </w:p>
    <w:p>
      <w:pPr>
        <w:spacing w:line="360" w:lineRule="auto"/>
        <w:ind w:firstLine="420" w:firstLineChars="200"/>
        <w:rPr>
          <w:rFonts w:ascii="宋体" w:hAnsi="宋体"/>
          <w:color w:val="auto"/>
          <w:szCs w:val="21"/>
          <w:highlight w:val="none"/>
        </w:rPr>
      </w:pPr>
      <w:bookmarkStart w:id="114" w:name="_Hlk528927262"/>
      <w:r>
        <w:rPr>
          <w:rFonts w:hint="eastAsia" w:ascii="宋体" w:hAnsi="宋体"/>
          <w:color w:val="auto"/>
          <w:szCs w:val="21"/>
          <w:highlight w:val="none"/>
        </w:rPr>
        <w:t>本项补充1.1.6.2～1.1.6.3目：</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1.1.6.2 转包、违法分包及挂靠：指符合《住房和城乡建设部关于印发建筑工程施工发包与承包违法行为认定查处管理办法的通知》（建市规〔2019〕1号）规定认定条件的</w:t>
      </w:r>
      <w:r>
        <w:rPr>
          <w:rFonts w:hint="eastAsia" w:ascii="宋体" w:hAnsi="宋体"/>
          <w:color w:val="auto"/>
          <w:kern w:val="0"/>
          <w:szCs w:val="21"/>
          <w:highlight w:val="none"/>
        </w:rPr>
        <w:t>违法行为</w:t>
      </w:r>
      <w:r>
        <w:rPr>
          <w:rFonts w:hint="eastAsia" w:ascii="宋体" w:hAnsi="宋体"/>
          <w:color w:val="auto"/>
          <w:szCs w:val="21"/>
          <w:highlight w:val="none"/>
        </w:rPr>
        <w:t>。</w:t>
      </w:r>
    </w:p>
    <w:bookmarkEnd w:id="114"/>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1.1.6.3 危险性较大的分部分项工程（以下简称“危大工程”）：指住房和城乡建设部令第37号《危险性较大的分部分项工程安全管理规定》规定的房屋建筑和市政基础设施工程在施工过程中，容易导致人员群死群伤或者造成重大经济损失的分部分项工程。危大工程及超过一定规模的危大工程范围以国务院住房城乡建设主管部门制定及重庆市住房和城乡建设委员会补充的范围为准。</w:t>
      </w:r>
    </w:p>
    <w:p>
      <w:pPr>
        <w:spacing w:line="360" w:lineRule="auto"/>
        <w:ind w:firstLine="422" w:firstLineChars="200"/>
        <w:outlineLvl w:val="4"/>
        <w:rPr>
          <w:rFonts w:ascii="宋体" w:hAnsi="宋体" w:cs="宋体"/>
          <w:b/>
          <w:bCs/>
          <w:color w:val="auto"/>
          <w:kern w:val="0"/>
          <w:szCs w:val="21"/>
          <w:highlight w:val="none"/>
        </w:rPr>
      </w:pPr>
      <w:bookmarkStart w:id="115" w:name="_Toc532377323"/>
      <w:r>
        <w:rPr>
          <w:rFonts w:hint="eastAsia" w:ascii="宋体" w:hAnsi="宋体" w:cs="宋体"/>
          <w:b/>
          <w:bCs/>
          <w:color w:val="auto"/>
          <w:kern w:val="0"/>
          <w:szCs w:val="21"/>
          <w:highlight w:val="none"/>
        </w:rPr>
        <w:t>1.4 标准和规范</w:t>
      </w:r>
      <w:bookmarkEnd w:id="115"/>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1.4.1 适用于工程的标准规范包括：</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（1）施工图所涉及的技术标准、规范、规程、图集等；</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（2）国家、行业或重庆市与本工程有关的标准，以及相应的规范、规程等，当这些标准、规范、规程不一致时，以标准、规范、规程要求最高的为准。</w:t>
      </w:r>
    </w:p>
    <w:p>
      <w:pPr>
        <w:spacing w:line="360" w:lineRule="auto"/>
        <w:ind w:firstLine="420" w:firstLineChars="200"/>
        <w:rPr>
          <w:rFonts w:ascii="宋体" w:hAnsi="宋体"/>
          <w:color w:val="auto"/>
          <w:szCs w:val="21"/>
          <w:highlight w:val="none"/>
          <w:u w:val="single"/>
        </w:rPr>
      </w:pPr>
      <w:r>
        <w:rPr>
          <w:rFonts w:ascii="宋体" w:hAnsi="宋体"/>
          <w:color w:val="auto"/>
          <w:szCs w:val="21"/>
          <w:highlight w:val="none"/>
        </w:rPr>
        <w:t>（</w:t>
      </w:r>
      <w:r>
        <w:rPr>
          <w:rFonts w:hint="eastAsia" w:ascii="宋体" w:hAnsi="宋体"/>
          <w:color w:val="auto"/>
          <w:szCs w:val="21"/>
          <w:highlight w:val="none"/>
        </w:rPr>
        <w:t>3</w:t>
      </w:r>
      <w:r>
        <w:rPr>
          <w:rFonts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1.4.2 发包人提供国外标准、规范的名称：</w:t>
      </w:r>
      <w:r>
        <w:rPr>
          <w:rFonts w:hint="eastAsia" w:ascii="宋体" w:hAnsi="宋体"/>
          <w:color w:val="auto"/>
          <w:kern w:val="0"/>
          <w:szCs w:val="21"/>
          <w:highlight w:val="none"/>
          <w:u w:val="single"/>
        </w:rPr>
        <w:t xml:space="preserve"> / </w:t>
      </w:r>
      <w:r>
        <w:rPr>
          <w:rFonts w:hint="eastAsia" w:ascii="宋体" w:hAnsi="宋体"/>
          <w:color w:val="auto"/>
          <w:kern w:val="0"/>
          <w:szCs w:val="21"/>
          <w:highlight w:val="none"/>
        </w:rPr>
        <w:t>；</w:t>
      </w:r>
    </w:p>
    <w:p>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发包人提供国外标准、规范的份数：</w:t>
      </w:r>
      <w:r>
        <w:rPr>
          <w:rFonts w:hint="eastAsia" w:ascii="宋体" w:hAnsi="宋体"/>
          <w:color w:val="auto"/>
          <w:kern w:val="0"/>
          <w:szCs w:val="21"/>
          <w:highlight w:val="none"/>
          <w:u w:val="single"/>
        </w:rPr>
        <w:t xml:space="preserve"> / </w:t>
      </w:r>
      <w:r>
        <w:rPr>
          <w:rFonts w:hint="eastAsia" w:ascii="宋体" w:hAnsi="宋体"/>
          <w:color w:val="auto"/>
          <w:kern w:val="0"/>
          <w:szCs w:val="21"/>
          <w:highlight w:val="none"/>
        </w:rPr>
        <w:t>；</w:t>
      </w:r>
    </w:p>
    <w:p>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发包人提供国外标准、规范的名称：</w:t>
      </w:r>
      <w:r>
        <w:rPr>
          <w:rFonts w:hint="eastAsia" w:ascii="宋体" w:hAnsi="宋体"/>
          <w:color w:val="auto"/>
          <w:kern w:val="0"/>
          <w:szCs w:val="21"/>
          <w:highlight w:val="none"/>
          <w:u w:val="single"/>
        </w:rPr>
        <w:t xml:space="preserve"> / </w:t>
      </w:r>
      <w:r>
        <w:rPr>
          <w:rFonts w:hint="eastAsia" w:ascii="宋体" w:hAnsi="宋体"/>
          <w:color w:val="auto"/>
          <w:kern w:val="0"/>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1.4.3 发包人对工程的技术标准和功能要求的特殊要求：</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116" w:name="_Toc532377324"/>
      <w:r>
        <w:rPr>
          <w:rFonts w:hint="eastAsia" w:ascii="宋体" w:hAnsi="宋体" w:cs="宋体"/>
          <w:b/>
          <w:bCs/>
          <w:color w:val="auto"/>
          <w:kern w:val="0"/>
          <w:szCs w:val="21"/>
          <w:highlight w:val="none"/>
        </w:rPr>
        <w:t>1.5 合同文件的优先顺序</w:t>
      </w:r>
      <w:bookmarkEnd w:id="116"/>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合同文件组成及优先顺序为：</w:t>
      </w:r>
      <w:r>
        <w:rPr>
          <w:rFonts w:hint="eastAsia" w:ascii="宋体" w:hAnsi="宋体"/>
          <w:color w:val="auto"/>
          <w:szCs w:val="21"/>
          <w:highlight w:val="none"/>
          <w:u w:val="single"/>
        </w:rPr>
        <w:t>按照合同协议书</w:t>
      </w:r>
      <w:r>
        <w:rPr>
          <w:rFonts w:hint="eastAsia" w:ascii="宋体" w:hAnsi="宋体"/>
          <w:bCs/>
          <w:color w:val="auto"/>
          <w:szCs w:val="21"/>
          <w:highlight w:val="none"/>
          <w:u w:val="single"/>
        </w:rPr>
        <w:t>〔</w:t>
      </w:r>
      <w:r>
        <w:rPr>
          <w:rFonts w:hint="eastAsia" w:ascii="宋体" w:hAnsi="宋体"/>
          <w:color w:val="auto"/>
          <w:szCs w:val="21"/>
          <w:highlight w:val="none"/>
          <w:u w:val="single"/>
        </w:rPr>
        <w:t>第六条</w:t>
      </w:r>
      <w:r>
        <w:rPr>
          <w:rFonts w:hint="eastAsia" w:ascii="宋体" w:hAnsi="宋体"/>
          <w:bCs/>
          <w:color w:val="auto"/>
          <w:szCs w:val="21"/>
          <w:highlight w:val="none"/>
          <w:u w:val="single"/>
        </w:rPr>
        <w:t>〕</w:t>
      </w:r>
      <w:r>
        <w:rPr>
          <w:rFonts w:hint="eastAsia" w:ascii="宋体" w:hAnsi="宋体"/>
          <w:color w:val="auto"/>
          <w:szCs w:val="21"/>
          <w:highlight w:val="none"/>
          <w:u w:val="single"/>
        </w:rPr>
        <w:t>约定执行</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117" w:name="_Toc532377325"/>
      <w:r>
        <w:rPr>
          <w:rFonts w:hint="eastAsia" w:ascii="宋体" w:hAnsi="宋体" w:cs="宋体"/>
          <w:b/>
          <w:bCs/>
          <w:color w:val="auto"/>
          <w:kern w:val="0"/>
          <w:szCs w:val="21"/>
          <w:highlight w:val="none"/>
        </w:rPr>
        <w:t>1.6 图纸和承包人文件</w:t>
      </w:r>
      <w:bookmarkEnd w:id="117"/>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1.6.1 图纸的提供和交底</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发包人向承包人提供图纸的期限：</w:t>
      </w:r>
      <w:r>
        <w:rPr>
          <w:rFonts w:hint="eastAsia" w:ascii="宋体" w:hAnsi="宋体"/>
          <w:color w:val="auto"/>
          <w:szCs w:val="21"/>
          <w:highlight w:val="none"/>
          <w:u w:val="single"/>
        </w:rPr>
        <w:t>通用合同条款第7.3.2款</w:t>
      </w:r>
      <w:r>
        <w:rPr>
          <w:rFonts w:hint="eastAsia" w:ascii="宋体" w:hAnsi="宋体"/>
          <w:bCs/>
          <w:color w:val="auto"/>
          <w:szCs w:val="21"/>
          <w:highlight w:val="none"/>
          <w:u w:val="single"/>
        </w:rPr>
        <w:t>〔</w:t>
      </w:r>
      <w:r>
        <w:rPr>
          <w:rFonts w:hint="eastAsia" w:ascii="宋体" w:hAnsi="宋体"/>
          <w:color w:val="auto"/>
          <w:szCs w:val="21"/>
          <w:highlight w:val="none"/>
          <w:u w:val="single"/>
        </w:rPr>
        <w:t>开工通知</w:t>
      </w:r>
      <w:r>
        <w:rPr>
          <w:rFonts w:hint="eastAsia" w:ascii="宋体" w:hAnsi="宋体"/>
          <w:bCs/>
          <w:color w:val="auto"/>
          <w:szCs w:val="21"/>
          <w:highlight w:val="none"/>
          <w:u w:val="single"/>
        </w:rPr>
        <w:t>〕</w:t>
      </w:r>
      <w:r>
        <w:rPr>
          <w:rFonts w:hint="eastAsia" w:ascii="宋体" w:hAnsi="宋体"/>
          <w:color w:val="auto"/>
          <w:szCs w:val="21"/>
          <w:highlight w:val="none"/>
          <w:u w:val="single"/>
        </w:rPr>
        <w:t>载明的开工日期前14天</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发包人向承包人提供图纸的数量：</w:t>
      </w:r>
      <w:r>
        <w:rPr>
          <w:rFonts w:hint="eastAsia" w:ascii="宋体" w:hAnsi="宋体"/>
          <w:color w:val="auto"/>
          <w:szCs w:val="21"/>
          <w:highlight w:val="none"/>
          <w:u w:val="single"/>
        </w:rPr>
        <w:t xml:space="preserve">  套</w:t>
      </w:r>
      <w:r>
        <w:rPr>
          <w:rFonts w:hint="eastAsia" w:ascii="宋体" w:hAnsi="宋体"/>
          <w:color w:val="auto"/>
          <w:szCs w:val="21"/>
          <w:highlight w:val="none"/>
        </w:rPr>
        <w:t xml:space="preserve">； </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发包人向承包人提供图纸的内容：</w:t>
      </w:r>
      <w:r>
        <w:rPr>
          <w:rFonts w:hint="eastAsia" w:ascii="宋体" w:hAnsi="宋体"/>
          <w:color w:val="auto"/>
          <w:szCs w:val="21"/>
          <w:highlight w:val="none"/>
          <w:u w:val="single"/>
        </w:rPr>
        <w:t>工程承包范围内工程的施工图设计文件</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发包人组织承包人、监理人和设计人进行图纸会审和设计交底的时间：</w:t>
      </w:r>
      <w:r>
        <w:rPr>
          <w:rFonts w:hint="eastAsia" w:ascii="宋体" w:hAnsi="宋体"/>
          <w:color w:val="auto"/>
          <w:szCs w:val="21"/>
          <w:highlight w:val="none"/>
          <w:u w:val="single"/>
        </w:rPr>
        <w:t>提供施工图后7天内</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承包人可以书面方式通过监理人向发包人申请进行紧急的设计交底，发包人认为确有必要且条件许可时，应尽快组织实施承包人申请的设计交底。</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1.6.2 图纸的错误</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在收到发包人提供的图纸后，承包人应对收到的图纸进行仔细核查，并在开始施工前，将发现的图纸存在的差错、遗漏或缺陷及时通知监理人。监理人接到该通知后，应附相关意见并立即报送发包人，发包人应在收到监理人报送的通知后作出决定。</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承包人不得利用图纸的差错、遗漏或缺陷，从中获得不正当的利益。</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1.6.4 承包人文件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需要由承包人提供的书面文件，包括：</w:t>
      </w:r>
      <w:r>
        <w:rPr>
          <w:rFonts w:hint="eastAsia" w:ascii="宋体" w:hAnsi="宋体"/>
          <w:color w:val="auto"/>
          <w:szCs w:val="21"/>
          <w:highlight w:val="none"/>
          <w:u w:val="single"/>
        </w:rPr>
        <w:t>施工组织设计、专项施工方案、</w:t>
      </w:r>
      <w:r>
        <w:rPr>
          <w:rFonts w:ascii="宋体" w:hAnsi="宋体"/>
          <w:color w:val="auto"/>
          <w:szCs w:val="21"/>
          <w:highlight w:val="none"/>
          <w:u w:val="single"/>
        </w:rPr>
        <w:t>危险性较大分部分项工程施工方案</w:t>
      </w:r>
      <w:r>
        <w:rPr>
          <w:rFonts w:hint="eastAsia" w:ascii="宋体" w:hAnsi="宋体"/>
          <w:color w:val="auto"/>
          <w:szCs w:val="21"/>
          <w:highlight w:val="none"/>
          <w:u w:val="single"/>
        </w:rPr>
        <w:t>（如有）、安全应急方案、进度计划、报表及计划、竣工资料及施工过程中因工程变更需要报送的施工方案、施工过程中涉及工程价款变更的相关资料、完整的竣工结算资料等</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承包人提供文件的期限、数量：</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（1）</w:t>
      </w:r>
      <w:r>
        <w:rPr>
          <w:rFonts w:hint="eastAsia" w:ascii="宋体" w:hAnsi="宋体"/>
          <w:color w:val="auto"/>
          <w:szCs w:val="21"/>
          <w:highlight w:val="none"/>
          <w:u w:val="single"/>
        </w:rPr>
        <w:t>图纸会审及设计交底后7天内，向监理人、发包人提交经优化完善的施工组织设计和工程总体进度计划及当年年度施工进度计划。进度计划安排必须符合发包人对本工程总体进度计划的安排。专项施工方案应在专项施工7日前通过审查（含专家论证）。施工组织设计和专项施工方案经监理人审批同意后执行。承包人应接受监理人、发包人对其提交的施工组织设计和专项施工方案中不合理的工期安排及技术措施、方案的修改意见，并修改完善后重新报批，直至获得批准</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u w:val="single"/>
        </w:rPr>
        <w:t>每月25日前报送月工程进度完成报表</w:t>
      </w:r>
      <w:r>
        <w:rPr>
          <w:rFonts w:hint="eastAsia" w:ascii="宋体" w:hAnsi="宋体"/>
          <w:color w:val="auto"/>
          <w:szCs w:val="21"/>
          <w:highlight w:val="none"/>
        </w:rPr>
        <w:t>。</w:t>
      </w:r>
    </w:p>
    <w:p>
      <w:pPr>
        <w:spacing w:line="360" w:lineRule="auto"/>
        <w:ind w:firstLine="420" w:firstLineChars="200"/>
        <w:rPr>
          <w:color w:val="auto"/>
          <w:highlight w:val="none"/>
        </w:rPr>
      </w:pPr>
      <w:r>
        <w:rPr>
          <w:rFonts w:hint="eastAsia" w:ascii="宋体" w:hAnsi="宋体"/>
          <w:color w:val="auto"/>
          <w:szCs w:val="21"/>
          <w:highlight w:val="none"/>
        </w:rPr>
        <w:t>（3）</w:t>
      </w:r>
      <w:r>
        <w:rPr>
          <w:rFonts w:hint="eastAsia" w:ascii="宋体" w:hAnsi="宋体"/>
          <w:color w:val="auto"/>
          <w:szCs w:val="21"/>
          <w:highlight w:val="none"/>
          <w:u w:val="single"/>
        </w:rPr>
        <w:t>承包人应在使用前28天提出需由发包人核价的暂定价材料、设备核价申报表。</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（4）</w:t>
      </w:r>
      <w:r>
        <w:rPr>
          <w:rFonts w:hint="eastAsia" w:ascii="宋体" w:hAnsi="宋体"/>
          <w:color w:val="auto"/>
          <w:szCs w:val="21"/>
          <w:highlight w:val="none"/>
          <w:u w:val="single"/>
        </w:rPr>
        <w:t>合同另有约定的，按照其约定</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承包人提供的文件的形式：当书面文件与电子文档不一致的，以书面文件为准。监理人审批承包人文件的期限：</w:t>
      </w:r>
      <w:r>
        <w:rPr>
          <w:rFonts w:hint="eastAsia" w:ascii="宋体" w:hAnsi="宋体"/>
          <w:color w:val="auto"/>
          <w:szCs w:val="21"/>
          <w:highlight w:val="none"/>
          <w:u w:val="single"/>
        </w:rPr>
        <w:t>收到施工组织设计和工程总体进度计划及当年年度施工进度计划后7天内；合同另有约定的，从其约定</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承包人提供的文件的费用：</w:t>
      </w:r>
      <w:r>
        <w:rPr>
          <w:rFonts w:hint="eastAsia" w:ascii="宋体" w:hAnsi="宋体"/>
          <w:color w:val="auto"/>
          <w:szCs w:val="21"/>
          <w:highlight w:val="none"/>
          <w:u w:val="single"/>
        </w:rPr>
        <w:t>由承包人承担</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发包人审批承包人文件的期限：</w:t>
      </w:r>
      <w:r>
        <w:rPr>
          <w:rFonts w:hint="eastAsia" w:ascii="宋体" w:hAnsi="宋体"/>
          <w:color w:val="auto"/>
          <w:szCs w:val="21"/>
          <w:highlight w:val="none"/>
          <w:u w:val="single"/>
        </w:rPr>
        <w:t>收到后14天内；合同另有约定的，从其约定</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监理人、发包人的修改意见和审批，不免除或减轻承包人对该工作、工程、材料、工程设备等应承担的责任和义务</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1.6.5现场图纸准备</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shd w:val="clear" w:color="auto" w:fill="FFFFFF"/>
        </w:rPr>
        <w:t>关于现场图纸准备的约定：</w:t>
      </w:r>
      <w:r>
        <w:rPr>
          <w:rFonts w:hint="eastAsia" w:ascii="宋体" w:hAnsi="宋体"/>
          <w:color w:val="auto"/>
          <w:szCs w:val="21"/>
          <w:highlight w:val="none"/>
          <w:u w:val="single"/>
          <w:shd w:val="clear" w:color="auto" w:fill="FFFFFF"/>
        </w:rPr>
        <w:t>承包人在施工现场保存一套完整的图纸和承包人文件，供发包人、监理人及有关人员进行工程检查时使用，费用已含在签约合同价中</w:t>
      </w:r>
      <w:r>
        <w:rPr>
          <w:rFonts w:hint="eastAsia" w:ascii="宋体" w:hAnsi="宋体"/>
          <w:color w:val="auto"/>
          <w:szCs w:val="21"/>
          <w:highlight w:val="none"/>
          <w:shd w:val="clear" w:color="auto" w:fill="FFFFFF"/>
        </w:rPr>
        <w:t>。</w:t>
      </w:r>
    </w:p>
    <w:p>
      <w:pPr>
        <w:spacing w:line="360" w:lineRule="auto"/>
        <w:ind w:firstLine="422" w:firstLineChars="200"/>
        <w:outlineLvl w:val="4"/>
        <w:rPr>
          <w:rFonts w:ascii="宋体" w:hAnsi="宋体" w:cs="宋体"/>
          <w:b/>
          <w:bCs/>
          <w:color w:val="auto"/>
          <w:kern w:val="0"/>
          <w:szCs w:val="21"/>
          <w:highlight w:val="none"/>
        </w:rPr>
      </w:pPr>
      <w:bookmarkStart w:id="118" w:name="_Toc532377326"/>
      <w:r>
        <w:rPr>
          <w:rFonts w:hint="eastAsia" w:ascii="宋体" w:hAnsi="宋体" w:cs="宋体"/>
          <w:b/>
          <w:bCs/>
          <w:color w:val="auto"/>
          <w:kern w:val="0"/>
          <w:szCs w:val="21"/>
          <w:highlight w:val="none"/>
        </w:rPr>
        <w:t>1.7 联络</w:t>
      </w:r>
      <w:bookmarkEnd w:id="118"/>
    </w:p>
    <w:p>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1.7.1 发包人和承包人应当在</w:t>
      </w:r>
      <w:r>
        <w:rPr>
          <w:rFonts w:hint="eastAsia" w:ascii="宋体" w:hAnsi="宋体"/>
          <w:color w:val="auto"/>
          <w:szCs w:val="21"/>
          <w:highlight w:val="none"/>
          <w:u w:val="single"/>
        </w:rPr>
        <w:t xml:space="preserve"> 1 </w:t>
      </w:r>
      <w:r>
        <w:rPr>
          <w:rFonts w:hint="eastAsia" w:ascii="宋体" w:hAnsi="宋体"/>
          <w:color w:val="auto"/>
          <w:kern w:val="0"/>
          <w:szCs w:val="21"/>
          <w:highlight w:val="none"/>
        </w:rPr>
        <w:t>天内将与合同有关的通知、批准、证明、证书、指示、指令、要求、请求、同意、意见、确定和决定等书面函件送达对方当事人，并办理书面签收手续。</w:t>
      </w:r>
    </w:p>
    <w:p>
      <w:pPr>
        <w:tabs>
          <w:tab w:val="left" w:pos="7513"/>
        </w:tabs>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1.7.2 发包人接收文件地点：</w:t>
      </w:r>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发包人指定的接收人：</w:t>
      </w:r>
      <w:bookmarkStart w:id="119" w:name="_Hlk528493983"/>
      <w:bookmarkEnd w:id="119"/>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tabs>
          <w:tab w:val="left" w:pos="7513"/>
        </w:tabs>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承包人接收文件地点：</w:t>
      </w:r>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承包人指定的接收人：</w:t>
      </w:r>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tabs>
          <w:tab w:val="left" w:pos="7371"/>
        </w:tabs>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监理人接收文件地点：</w:t>
      </w:r>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监理人指定的接收人：</w:t>
      </w:r>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120" w:name="_Toc532377327"/>
      <w:r>
        <w:rPr>
          <w:rFonts w:hint="eastAsia" w:ascii="宋体" w:hAnsi="宋体" w:cs="宋体"/>
          <w:b/>
          <w:bCs/>
          <w:color w:val="auto"/>
          <w:kern w:val="0"/>
          <w:szCs w:val="21"/>
          <w:highlight w:val="none"/>
        </w:rPr>
        <w:t>1.8 严禁贿赂</w:t>
      </w:r>
      <w:bookmarkEnd w:id="120"/>
    </w:p>
    <w:p>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本款补充以下内容：</w:t>
      </w:r>
    </w:p>
    <w:p>
      <w:pPr>
        <w:spacing w:line="360" w:lineRule="auto"/>
        <w:ind w:firstLine="420" w:firstLineChars="200"/>
        <w:rPr>
          <w:rFonts w:ascii="宋体" w:hAnsi="宋体"/>
          <w:color w:val="auto"/>
          <w:kern w:val="0"/>
          <w:szCs w:val="21"/>
          <w:highlight w:val="none"/>
          <w:u w:val="single"/>
        </w:rPr>
      </w:pPr>
      <w:r>
        <w:rPr>
          <w:rFonts w:hint="eastAsia" w:ascii="宋体" w:hAnsi="宋体"/>
          <w:color w:val="auto"/>
          <w:kern w:val="0"/>
          <w:szCs w:val="21"/>
          <w:highlight w:val="none"/>
        </w:rPr>
        <w:t>在合同执行过程中，合同当事人应严格履行附件8《廉洁从业协议》。</w:t>
      </w:r>
    </w:p>
    <w:p>
      <w:pPr>
        <w:spacing w:line="360" w:lineRule="auto"/>
        <w:ind w:firstLine="422" w:firstLineChars="200"/>
        <w:outlineLvl w:val="4"/>
        <w:rPr>
          <w:rFonts w:ascii="宋体" w:hAnsi="宋体" w:cs="宋体"/>
          <w:b/>
          <w:bCs/>
          <w:color w:val="auto"/>
          <w:kern w:val="0"/>
          <w:szCs w:val="21"/>
          <w:highlight w:val="none"/>
        </w:rPr>
      </w:pPr>
      <w:bookmarkStart w:id="121" w:name="_Toc532377328"/>
      <w:r>
        <w:rPr>
          <w:rFonts w:hint="eastAsia" w:ascii="宋体" w:hAnsi="宋体" w:cs="宋体"/>
          <w:b/>
          <w:bCs/>
          <w:color w:val="auto"/>
          <w:kern w:val="0"/>
          <w:szCs w:val="21"/>
          <w:highlight w:val="none"/>
        </w:rPr>
        <w:t>1.10 交通运输</w:t>
      </w:r>
      <w:bookmarkEnd w:id="121"/>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w:t>
      </w:r>
      <w:bookmarkStart w:id="122" w:name="_Toc304295521"/>
      <w:bookmarkStart w:id="123" w:name="_Toc303539100"/>
      <w:bookmarkStart w:id="124" w:name="_Toc300934943"/>
      <w:bookmarkStart w:id="125" w:name="_Toc312677986"/>
      <w:bookmarkStart w:id="126" w:name="_Toc318581155"/>
      <w:r>
        <w:rPr>
          <w:rFonts w:hint="eastAsia" w:ascii="宋体" w:hAnsi="宋体"/>
          <w:color w:val="auto"/>
          <w:szCs w:val="21"/>
          <w:highlight w:val="none"/>
        </w:rPr>
        <w:t>.10.1 出入现场的权利</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关于出入现场的权利的约定：</w:t>
      </w:r>
      <w:r>
        <w:rPr>
          <w:rFonts w:hint="eastAsia" w:ascii="宋体" w:hAnsi="宋体"/>
          <w:color w:val="auto"/>
          <w:szCs w:val="21"/>
          <w:highlight w:val="none"/>
          <w:u w:val="single"/>
        </w:rPr>
        <w:t xml:space="preserve">  承包人根据施工需要，取得出入施工现场所需的批准手续和全部权利，以及取得因施工所需修建道路、桥梁以及其他基础设施的权力；修建施工场地内外的通道及设施由承包人负责实施，费用已含在签约合同价中。</w:t>
      </w:r>
    </w:p>
    <w:p>
      <w:pPr>
        <w:spacing w:line="360" w:lineRule="auto"/>
        <w:ind w:firstLine="420" w:firstLineChars="200"/>
        <w:rPr>
          <w:rFonts w:ascii="宋体" w:hAnsi="宋体"/>
          <w:color w:val="auto"/>
          <w:kern w:val="0"/>
          <w:szCs w:val="21"/>
          <w:highlight w:val="none"/>
        </w:rPr>
      </w:pPr>
      <w:r>
        <w:rPr>
          <w:rFonts w:hint="eastAsia" w:ascii="宋体" w:hAnsi="宋体"/>
          <w:color w:val="auto"/>
          <w:szCs w:val="21"/>
          <w:highlight w:val="none"/>
          <w:u w:val="single"/>
        </w:rPr>
        <w:t>承包人应在订立合同前查勘施工现场，并根据工程规模及技术参数合理预见工程施工所需的进出施工现场的方式、手段、路径等。因承包人未合理预见所增加的费用和（或）延误的工期由承包人承担</w:t>
      </w:r>
      <w:r>
        <w:rPr>
          <w:rFonts w:hint="eastAsia" w:ascii="宋体" w:hAnsi="宋体"/>
          <w:color w:val="auto"/>
          <w:szCs w:val="21"/>
          <w:highlight w:val="none"/>
        </w:rPr>
        <w:t>。</w:t>
      </w:r>
    </w:p>
    <w:bookmarkEnd w:id="122"/>
    <w:bookmarkEnd w:id="123"/>
    <w:bookmarkEnd w:id="124"/>
    <w:bookmarkEnd w:id="125"/>
    <w:bookmarkEnd w:id="126"/>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1.10.2 场外交通</w:t>
      </w:r>
    </w:p>
    <w:p>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承包人应遵守有关交通法规，执行有关道路限速、限行、禁止超载的规定，并配合交通管理部门的监督和检查。场外交通以施工场地移交时的现状为准。</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w:t>
      </w:r>
      <w:bookmarkStart w:id="127" w:name="_Toc300934944"/>
      <w:bookmarkStart w:id="128" w:name="_Toc318581156"/>
      <w:bookmarkStart w:id="129" w:name="_Toc312677987"/>
      <w:bookmarkStart w:id="130" w:name="_Toc304295522"/>
      <w:bookmarkStart w:id="131" w:name="_Toc303539101"/>
      <w:r>
        <w:rPr>
          <w:rFonts w:hint="eastAsia" w:ascii="宋体" w:hAnsi="宋体"/>
          <w:color w:val="auto"/>
          <w:szCs w:val="21"/>
          <w:highlight w:val="none"/>
        </w:rPr>
        <w:t>.10.3 场内交通</w:t>
      </w:r>
    </w:p>
    <w:p>
      <w:pPr>
        <w:spacing w:line="360" w:lineRule="auto"/>
        <w:ind w:firstLine="420" w:firstLineChars="200"/>
        <w:rPr>
          <w:rFonts w:ascii="宋体" w:hAnsi="宋体"/>
          <w:color w:val="auto"/>
          <w:szCs w:val="21"/>
          <w:highlight w:val="none"/>
          <w:u w:val="single"/>
        </w:rPr>
      </w:pPr>
      <w:r>
        <w:rPr>
          <w:rFonts w:hint="eastAsia" w:ascii="宋体" w:hAnsi="宋体"/>
          <w:color w:val="auto"/>
          <w:kern w:val="0"/>
          <w:szCs w:val="21"/>
          <w:highlight w:val="none"/>
        </w:rPr>
        <w:t>关于场外交通和场内交通的边界的约定：</w:t>
      </w:r>
      <w:r>
        <w:rPr>
          <w:rFonts w:hint="eastAsia" w:ascii="宋体" w:hAnsi="宋体"/>
          <w:color w:val="auto"/>
          <w:szCs w:val="21"/>
          <w:highlight w:val="none"/>
          <w:u w:val="single"/>
        </w:rPr>
        <w:t>以合同工程用地红线为界，用地红线外为场外交通，用地红线范围内为场内交通（场外道路穿越场内的除外）</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kern w:val="0"/>
          <w:szCs w:val="21"/>
          <w:highlight w:val="none"/>
        </w:rPr>
        <w:t>关于发包人向承包人免费提供满足工程施工需要的场内道路和交通设施的约定：</w:t>
      </w:r>
      <w:r>
        <w:rPr>
          <w:rFonts w:hint="eastAsia" w:ascii="宋体" w:hAnsi="宋体"/>
          <w:color w:val="auto"/>
          <w:kern w:val="0"/>
          <w:szCs w:val="21"/>
          <w:highlight w:val="none"/>
          <w:u w:val="single"/>
        </w:rPr>
        <w:t>以施工场地移交时的现状为准</w:t>
      </w:r>
      <w:r>
        <w:rPr>
          <w:rFonts w:hint="eastAsia" w:ascii="宋体" w:hAnsi="宋体"/>
          <w:color w:val="auto"/>
          <w:szCs w:val="21"/>
          <w:highlight w:val="none"/>
        </w:rPr>
        <w:t>。</w:t>
      </w:r>
    </w:p>
    <w:bookmarkEnd w:id="127"/>
    <w:bookmarkEnd w:id="128"/>
    <w:bookmarkEnd w:id="129"/>
    <w:bookmarkEnd w:id="130"/>
    <w:bookmarkEnd w:id="131"/>
    <w:p>
      <w:pPr>
        <w:spacing w:line="360" w:lineRule="auto"/>
        <w:ind w:firstLine="420" w:firstLineChars="200"/>
        <w:rPr>
          <w:rFonts w:ascii="宋体" w:hAnsi="宋体"/>
          <w:color w:val="auto"/>
          <w:szCs w:val="21"/>
          <w:highlight w:val="none"/>
        </w:rPr>
      </w:pPr>
      <w:bookmarkStart w:id="132" w:name="_Toc318581157"/>
      <w:r>
        <w:rPr>
          <w:rFonts w:hint="eastAsia" w:ascii="宋体" w:hAnsi="宋体"/>
          <w:color w:val="auto"/>
          <w:szCs w:val="21"/>
          <w:highlight w:val="none"/>
        </w:rPr>
        <w:t>1.10.4 超大件和超重件的运输</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运输超大件或超重件所需的道路和桥梁临时加固改造费用和其他有关费用由</w:t>
      </w:r>
      <w:r>
        <w:rPr>
          <w:rFonts w:hint="eastAsia" w:ascii="宋体" w:hAnsi="宋体"/>
          <w:color w:val="auto"/>
          <w:szCs w:val="21"/>
          <w:highlight w:val="none"/>
          <w:u w:val="single"/>
        </w:rPr>
        <w:t>承包人</w:t>
      </w:r>
      <w:r>
        <w:rPr>
          <w:rFonts w:hint="eastAsia" w:ascii="宋体" w:hAnsi="宋体"/>
          <w:color w:val="auto"/>
          <w:szCs w:val="21"/>
          <w:highlight w:val="none"/>
        </w:rPr>
        <w:t>承担。</w:t>
      </w:r>
    </w:p>
    <w:bookmarkEnd w:id="132"/>
    <w:p>
      <w:pPr>
        <w:spacing w:line="360" w:lineRule="auto"/>
        <w:ind w:firstLine="422" w:firstLineChars="200"/>
        <w:outlineLvl w:val="4"/>
        <w:rPr>
          <w:rFonts w:ascii="宋体" w:hAnsi="宋体" w:cs="宋体"/>
          <w:b/>
          <w:bCs/>
          <w:color w:val="auto"/>
          <w:kern w:val="0"/>
          <w:szCs w:val="21"/>
          <w:highlight w:val="none"/>
        </w:rPr>
      </w:pPr>
      <w:bookmarkStart w:id="133" w:name="_Toc532377329"/>
      <w:r>
        <w:rPr>
          <w:rFonts w:hint="eastAsia" w:ascii="宋体" w:hAnsi="宋体" w:cs="宋体"/>
          <w:b/>
          <w:bCs/>
          <w:color w:val="auto"/>
          <w:kern w:val="0"/>
          <w:szCs w:val="21"/>
          <w:highlight w:val="none"/>
        </w:rPr>
        <w:t>1.11 知识产权</w:t>
      </w:r>
      <w:bookmarkEnd w:id="133"/>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1.11.1 关于发包人提供给承包人的图纸、发包人为实施工程自行编制或委托编制的技术规范以及反映发包人关于合同要求或其他类似性质的文件的著作权的归属：</w:t>
      </w:r>
      <w:r>
        <w:rPr>
          <w:rFonts w:hint="eastAsia" w:ascii="宋体" w:hAnsi="宋体"/>
          <w:color w:val="auto"/>
          <w:szCs w:val="21"/>
          <w:highlight w:val="none"/>
          <w:u w:val="single"/>
        </w:rPr>
        <w:t>属于发包人</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关于发包人提供的上述文件的使用限制的要求：</w:t>
      </w:r>
      <w:r>
        <w:rPr>
          <w:rFonts w:hint="eastAsia" w:ascii="宋体" w:hAnsi="宋体"/>
          <w:color w:val="auto"/>
          <w:szCs w:val="21"/>
          <w:highlight w:val="none"/>
          <w:u w:val="single"/>
        </w:rPr>
        <w:t>未经发包人书面同意，承包人不得为了合同以外的目的而复制、使用上述文件或将之提供给任何第三方。</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1.11.4 承包人在施工过程中所采用的专利、专有技术、技术秘密的使用费的承担方式：</w:t>
      </w:r>
      <w:r>
        <w:rPr>
          <w:rFonts w:hint="eastAsia" w:ascii="宋体" w:hAnsi="宋体"/>
          <w:color w:val="auto"/>
          <w:szCs w:val="21"/>
          <w:highlight w:val="none"/>
          <w:u w:val="single"/>
        </w:rPr>
        <w:t xml:space="preserve"> 由承包人承担，已含在签约合同价中</w:t>
      </w:r>
      <w:r>
        <w:rPr>
          <w:rFonts w:hint="eastAsia" w:ascii="宋体" w:hAnsi="宋体"/>
          <w:color w:val="auto"/>
          <w:szCs w:val="21"/>
          <w:highlight w:val="none"/>
        </w:rPr>
        <w:t>。</w:t>
      </w:r>
    </w:p>
    <w:p>
      <w:pPr>
        <w:keepNext/>
        <w:keepLines/>
        <w:spacing w:before="120" w:beforeLines="50" w:after="120" w:afterLines="50" w:line="360" w:lineRule="auto"/>
        <w:ind w:firstLine="422" w:firstLineChars="200"/>
        <w:outlineLvl w:val="3"/>
        <w:rPr>
          <w:rFonts w:ascii="宋体" w:hAnsi="宋体" w:cs="宋体"/>
          <w:b/>
          <w:color w:val="auto"/>
          <w:szCs w:val="21"/>
          <w:highlight w:val="none"/>
        </w:rPr>
      </w:pPr>
      <w:bookmarkStart w:id="134" w:name="_Toc351203634"/>
      <w:bookmarkStart w:id="135" w:name="_Toc532375609"/>
      <w:bookmarkStart w:id="136" w:name="_Toc532377331"/>
      <w:r>
        <w:rPr>
          <w:rFonts w:hint="eastAsia" w:ascii="宋体" w:hAnsi="宋体" w:cs="宋体"/>
          <w:b/>
          <w:bCs/>
          <w:color w:val="auto"/>
          <w:szCs w:val="21"/>
          <w:highlight w:val="none"/>
        </w:rPr>
        <w:t>2</w:t>
      </w:r>
      <w:bookmarkStart w:id="137" w:name="_Toc296346658"/>
      <w:bookmarkStart w:id="138" w:name="_Toc296503157"/>
      <w:bookmarkStart w:id="139" w:name="_Toc296347156"/>
      <w:bookmarkStart w:id="140" w:name="_Toc296890985"/>
      <w:bookmarkStart w:id="141" w:name="_Toc297120457"/>
      <w:bookmarkStart w:id="142" w:name="_Toc292559867"/>
      <w:bookmarkStart w:id="143" w:name="_Toc296944496"/>
      <w:bookmarkStart w:id="144" w:name="_Toc297048343"/>
      <w:bookmarkStart w:id="145" w:name="_Toc296891197"/>
      <w:bookmarkStart w:id="146" w:name="_Toc292559362"/>
      <w:r>
        <w:rPr>
          <w:rFonts w:hint="eastAsia" w:ascii="宋体" w:hAnsi="宋体" w:cs="宋体"/>
          <w:b/>
          <w:bCs/>
          <w:color w:val="auto"/>
          <w:szCs w:val="21"/>
          <w:highlight w:val="none"/>
        </w:rPr>
        <w:t>. 发包人</w:t>
      </w:r>
      <w:bookmarkEnd w:id="134"/>
      <w:bookmarkEnd w:id="135"/>
      <w:bookmarkEnd w:id="136"/>
    </w:p>
    <w:bookmarkEnd w:id="137"/>
    <w:bookmarkEnd w:id="138"/>
    <w:bookmarkEnd w:id="139"/>
    <w:bookmarkEnd w:id="140"/>
    <w:bookmarkEnd w:id="141"/>
    <w:bookmarkEnd w:id="142"/>
    <w:bookmarkEnd w:id="143"/>
    <w:bookmarkEnd w:id="144"/>
    <w:bookmarkEnd w:id="145"/>
    <w:bookmarkEnd w:id="146"/>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2.2.1 发包人代表</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发包人代表：</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姓    名：</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身份证号：</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职    务：</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联系方式：</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邮    编：</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发包人对发包人代表的授权范围如下：</w:t>
      </w:r>
      <w:r>
        <w:rPr>
          <w:rFonts w:hint="eastAsia" w:ascii="宋体" w:hAnsi="宋体"/>
          <w:color w:val="auto"/>
          <w:szCs w:val="21"/>
          <w:highlight w:val="none"/>
          <w:u w:val="single"/>
        </w:rPr>
        <w:t>代表发包人对项目建设进行协调、管控、审查，确保安全、质量、环保、进度、成本可控，及时处理项目相关问题，向承包人、监理人等下达各类指令。由发包人授权的，以授权书载明的授权范围为准</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147" w:name="_Toc532377332"/>
      <w:r>
        <w:rPr>
          <w:rFonts w:hint="eastAsia" w:ascii="宋体" w:hAnsi="宋体" w:cs="宋体"/>
          <w:b/>
          <w:bCs/>
          <w:color w:val="auto"/>
          <w:kern w:val="0"/>
          <w:szCs w:val="21"/>
          <w:highlight w:val="none"/>
        </w:rPr>
        <w:t>2.4 施工现场、施工条件和基础资料的提供</w:t>
      </w:r>
      <w:bookmarkEnd w:id="147"/>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2.4.1 提供施工现场</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2.4.1.1 提供场地：</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施工场地的提供采用以下第</w:t>
      </w:r>
      <w:r>
        <w:rPr>
          <w:rFonts w:hint="eastAsia" w:ascii="宋体" w:hAnsi="宋体"/>
          <w:color w:val="auto"/>
          <w:szCs w:val="21"/>
          <w:highlight w:val="none"/>
          <w:u w:val="single"/>
        </w:rPr>
        <w:t xml:space="preserve"> （1） </w:t>
      </w:r>
      <w:r>
        <w:rPr>
          <w:rFonts w:hint="eastAsia" w:ascii="宋体" w:hAnsi="宋体"/>
          <w:color w:val="auto"/>
          <w:szCs w:val="21"/>
          <w:highlight w:val="none"/>
        </w:rPr>
        <w:t>种方式：</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（1）一次提供全部施工场地：发包人于</w:t>
      </w:r>
      <w:r>
        <w:rPr>
          <w:rFonts w:hint="eastAsia" w:ascii="宋体" w:hAnsi="宋体"/>
          <w:color w:val="auto"/>
          <w:szCs w:val="21"/>
          <w:highlight w:val="none"/>
          <w:u w:val="single"/>
        </w:rPr>
        <w:t>开工</w:t>
      </w:r>
      <w:r>
        <w:rPr>
          <w:rFonts w:hint="eastAsia" w:ascii="宋体" w:hAnsi="宋体"/>
          <w:color w:val="auto"/>
          <w:szCs w:val="21"/>
          <w:highlight w:val="none"/>
        </w:rPr>
        <w:t>前向承包人提供合同工程用地红线范围内的施工场地。</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（2）分次提供全部施工场地：</w:t>
      </w:r>
      <w:r>
        <w:rPr>
          <w:rFonts w:hint="eastAsia" w:ascii="宋体" w:hAnsi="宋体"/>
          <w:color w:val="auto"/>
          <w:szCs w:val="21"/>
          <w:highlight w:val="none"/>
          <w:u w:val="single"/>
        </w:rPr>
        <w:t>发包人按约定的时间分次向承包人提供合同工程用地红线范围内的施工场地</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承包人编制的施工组织计划已充分考虑了施工场地提供的因素</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施工场地未能按约定提供的，承包人应结合施工场地实际交地情况，优化施工组织计划。施工场地未能按约定提供，影响项目关键线路的，承包人可提交索赔申请，并经监理人、发包人审批后可按约定顺延项目工期，否则工期不予顺延</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2.4.2 提供施工条件</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关于发包人应负责提供施工所需要的条件：</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施工用水、用电发包人仅提供接入点，接至施工场地内及进入施工现场的交通条件由承包人自行解决，费用由承包人自理已包含在合同总价中。水电要求单独装表计量，施工（生活）用水、用电费用由承包人承担；承包人应充分考虑停水、停电因素，因停水、停电而造成自发电、储水措施费用已包含在合同总价中，同时工期不得顺延。承包人应自备发电措施及其他储水措施以保证工程顺利进行，相关费用由承包人自理已包含在合同总价中，同时工期不得顺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承包人应采取措施加强施工场地周围地下管线和邻近建筑物、构筑物(含文物保护建筑)、古树名木的保护和监控测量，保证施工中不受影响或损坏，若有毁坏承包人自行负责赔偿；以上费用均已含在签约合同价内</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148" w:name="_Toc532377333"/>
      <w:r>
        <w:rPr>
          <w:rFonts w:hint="eastAsia" w:ascii="宋体" w:hAnsi="宋体" w:cs="宋体"/>
          <w:b/>
          <w:bCs/>
          <w:color w:val="auto"/>
          <w:kern w:val="0"/>
          <w:szCs w:val="21"/>
          <w:highlight w:val="none"/>
        </w:rPr>
        <w:t>2.5 资金来源证明及支付担保</w:t>
      </w:r>
      <w:bookmarkEnd w:id="148"/>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不采用。</w:t>
      </w:r>
    </w:p>
    <w:p>
      <w:pPr>
        <w:keepNext/>
        <w:keepLines/>
        <w:spacing w:before="120" w:beforeLines="50" w:after="120" w:afterLines="50" w:line="360" w:lineRule="auto"/>
        <w:outlineLvl w:val="3"/>
        <w:rPr>
          <w:rFonts w:ascii="宋体" w:hAnsi="宋体" w:cs="宋体"/>
          <w:b/>
          <w:color w:val="auto"/>
          <w:szCs w:val="21"/>
          <w:highlight w:val="none"/>
        </w:rPr>
      </w:pPr>
      <w:bookmarkStart w:id="149" w:name="_Toc351203635"/>
      <w:bookmarkStart w:id="150" w:name="_Toc532377334"/>
      <w:bookmarkStart w:id="151" w:name="_Toc532375610"/>
      <w:r>
        <w:rPr>
          <w:rFonts w:hint="eastAsia" w:ascii="宋体" w:hAnsi="宋体" w:cs="宋体"/>
          <w:b/>
          <w:bCs/>
          <w:color w:val="auto"/>
          <w:szCs w:val="21"/>
          <w:highlight w:val="none"/>
        </w:rPr>
        <w:t>3</w:t>
      </w:r>
      <w:bookmarkStart w:id="152" w:name="_Toc296347157"/>
      <w:bookmarkStart w:id="153" w:name="_Toc296346659"/>
      <w:bookmarkStart w:id="154" w:name="_Toc292559363"/>
      <w:bookmarkStart w:id="155" w:name="_Toc296944497"/>
      <w:bookmarkStart w:id="156" w:name="_Toc297120458"/>
      <w:bookmarkStart w:id="157" w:name="_Toc297048344"/>
      <w:bookmarkStart w:id="158" w:name="_Toc292559868"/>
      <w:bookmarkStart w:id="159" w:name="_Toc296503158"/>
      <w:bookmarkStart w:id="160" w:name="_Toc296890986"/>
      <w:bookmarkStart w:id="161" w:name="_Toc296891198"/>
      <w:r>
        <w:rPr>
          <w:rFonts w:hint="eastAsia" w:ascii="宋体" w:hAnsi="宋体" w:cs="宋体"/>
          <w:b/>
          <w:bCs/>
          <w:color w:val="auto"/>
          <w:szCs w:val="21"/>
          <w:highlight w:val="none"/>
        </w:rPr>
        <w:t>. 承包人</w:t>
      </w:r>
      <w:bookmarkEnd w:id="149"/>
      <w:bookmarkEnd w:id="150"/>
      <w:bookmarkEnd w:id="151"/>
    </w:p>
    <w:bookmarkEnd w:id="152"/>
    <w:bookmarkEnd w:id="153"/>
    <w:bookmarkEnd w:id="154"/>
    <w:bookmarkEnd w:id="155"/>
    <w:bookmarkEnd w:id="156"/>
    <w:bookmarkEnd w:id="157"/>
    <w:bookmarkEnd w:id="158"/>
    <w:bookmarkEnd w:id="159"/>
    <w:bookmarkEnd w:id="160"/>
    <w:bookmarkEnd w:id="161"/>
    <w:p>
      <w:pPr>
        <w:spacing w:line="360" w:lineRule="auto"/>
        <w:ind w:firstLine="422" w:firstLineChars="200"/>
        <w:outlineLvl w:val="4"/>
        <w:rPr>
          <w:rFonts w:ascii="宋体" w:hAnsi="宋体" w:cs="宋体"/>
          <w:b/>
          <w:bCs/>
          <w:color w:val="auto"/>
          <w:kern w:val="0"/>
          <w:szCs w:val="21"/>
          <w:highlight w:val="none"/>
        </w:rPr>
      </w:pPr>
      <w:bookmarkStart w:id="162" w:name="_Toc532377335"/>
      <w:r>
        <w:rPr>
          <w:rFonts w:hint="eastAsia" w:ascii="宋体" w:hAnsi="宋体" w:cs="宋体"/>
          <w:b/>
          <w:bCs/>
          <w:color w:val="auto"/>
          <w:kern w:val="0"/>
          <w:szCs w:val="21"/>
          <w:highlight w:val="none"/>
        </w:rPr>
        <w:t>3.1 承包人的一般义务</w:t>
      </w:r>
      <w:bookmarkEnd w:id="162"/>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本款细化为3.1.1～3.1.10项：</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3.1.1办理法律规定和合同约定应由承包人办理的许可和批准，并将办理结果书面报送发包人留存；协助发包人办理施工所需的工程质量监督、安全监督、施工许可证等相关证件及手续。</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3.1.2按法律规定和合同约定完成工程，包括满足合同所必需的或合同隐含的以及由承包人义务而产生的任何工程，还应包括合同根据相关法律法规、技术规范等对工程的稳定性、完整性或安全、可靠、有效运行所必需的所有工程，并在保修期内承担保修义务。</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3.1.3按法律规定和合同约定采取施工安全和环境保护措施，办理工伤保险，确保工程及人员、材料、设备和设施的安全。施工期间，承包人应避免因施工危及红线范围外的邻近道路、建筑安全；应注意做好对周边建（构）筑物、绿化、设施设备的保护，做好围挡、监测以及安全防护，采取有效的防尘及降低噪声的措施，减小施工噪音及污水等对周边环境的影响包括对居民生活、工作、生产和经营等的影响；对不实施拆迁的建、构筑物应采取保护措施，并保证既有道路的正常通行。</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3.1.4按合同约定的工作内容和施工进度要求，编制施工组织设计和施工措施计划，并对所有施工作业和施工方法的完备性和安全可靠性负责。施工组织设计中的措施保障水平应满足工程按合同进度实施的需要，且不得低于投标时施工组织设计的措施保障水平。</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3.1.6按照第6.3款〔环境保护〕约定负责施工场地及其周边环境与生态的保护工作。</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3.1.7按照第6.1款〔安全文明施工〕约定采取施工安全措施，确保工程及其人员、材料、设备和设施的安全，防止因工程施工造成的人身伤害和财产损失。</w:t>
      </w:r>
    </w:p>
    <w:p>
      <w:pPr>
        <w:autoSpaceDE w:val="0"/>
        <w:autoSpaceDN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3.1.8将发包人按合同约定支付的各项价款专用于合同工程，且应及时支付其雇用人员工资，并及时向分包人支付合同价款。</w:t>
      </w:r>
    </w:p>
    <w:p>
      <w:pPr>
        <w:autoSpaceDE w:val="0"/>
        <w:autoSpaceDN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3.1.9承包人提交的竣工资料的内容：</w:t>
      </w:r>
      <w:r>
        <w:rPr>
          <w:rFonts w:hint="eastAsia" w:ascii="宋体" w:hAnsi="宋体"/>
          <w:color w:val="auto"/>
          <w:szCs w:val="21"/>
          <w:highlight w:val="none"/>
          <w:u w:val="single"/>
        </w:rPr>
        <w:t>工程施工技术资料、工程质量保证资料、工程检验评定资料、竣工图及其他应交资料，应符合《建设工程文件归档整理规范》（GB/T50328-2014）和重庆市有关文件规定</w:t>
      </w:r>
      <w:r>
        <w:rPr>
          <w:rFonts w:hint="eastAsia" w:ascii="宋体" w:hAnsi="宋体"/>
          <w:color w:val="auto"/>
          <w:szCs w:val="21"/>
          <w:highlight w:val="none"/>
        </w:rPr>
        <w:t>。</w:t>
      </w:r>
    </w:p>
    <w:p>
      <w:pPr>
        <w:autoSpaceDE w:val="0"/>
        <w:autoSpaceDN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承包人需要提交的竣工资料套数：</w:t>
      </w:r>
      <w:r>
        <w:rPr>
          <w:rFonts w:hint="eastAsia" w:ascii="宋体" w:hAnsi="宋体"/>
          <w:color w:val="auto"/>
          <w:szCs w:val="21"/>
          <w:highlight w:val="none"/>
          <w:u w:val="single"/>
          <w:shd w:val="clear" w:color="auto" w:fill="FFFFFF"/>
        </w:rPr>
        <w:t>承包人应向发包人提供完整合格的竣工资料四套（其中竣工图除提供纸质版外，还须提供同纸质版竣工图相同的CAD电子光盘竣工图贰份及竣工图扫描文件一套）</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承包人提交的竣工资料的费用承担：</w:t>
      </w:r>
      <w:r>
        <w:rPr>
          <w:rFonts w:hint="eastAsia" w:ascii="宋体" w:hAnsi="宋体"/>
          <w:color w:val="auto"/>
          <w:szCs w:val="21"/>
          <w:highlight w:val="none"/>
          <w:u w:val="single"/>
        </w:rPr>
        <w:t>由承包人承担</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承包人提交的竣工资料移交时间：</w:t>
      </w:r>
      <w:r>
        <w:rPr>
          <w:rFonts w:hint="eastAsia" w:ascii="宋体" w:hAnsi="宋体"/>
          <w:color w:val="auto"/>
          <w:szCs w:val="21"/>
          <w:highlight w:val="none"/>
          <w:u w:val="single"/>
        </w:rPr>
        <w:t>工程竣工验收合格后60天内一并提交全部竣工资料。档案资料验收合格后28天内承包人自行向城建档案馆移交竣工资料、竣工图及电子扫描光盘（含声像资料），若向城建档案馆移交资料与最终移交发包人档案室的资料不一致时，以最终移交发包人档案室的资料为准。</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承包人提交的竣工资料形式要求：</w:t>
      </w:r>
      <w:r>
        <w:rPr>
          <w:rFonts w:hint="eastAsia" w:ascii="宋体" w:hAnsi="宋体"/>
          <w:color w:val="auto"/>
          <w:szCs w:val="21"/>
          <w:highlight w:val="none"/>
          <w:u w:val="single"/>
        </w:rPr>
        <w:t>向城建档案馆移交的资料满足工程档案资料相关要求，向发包人档案管理部门移交的资料满足合同相关要求和发包人档案交底的要求</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3.1.10承包人应履行的其他义务：</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3.1.10.1在开始施工之前，承包人应核查、复测本工程的各种基准标志。承包人应及时将上述基准标志中存在的错误、不完整或其他缺陷通知发包人，以便发包人核实后重新确认。</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3.1.10.2承包人应负责合同工程范围内测量控制网的测量设定和管理工作，为控制施工造成测量控制网误差累加，每月承包人复测一次测量控制网，并将修正数据及时通知发包人。经监理人批准，其他相关承包人可免费使用施工控制网。</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3.1.10.3承包人应在开始施工之前对本工程进行排查，补充完善遗漏的危大工程重点部位及环节。危大工程施工前，承包人应对危大工程编制专项施工方案，对于超过一定规模的危大工程，承包人还应组织召开专家论证会对专项施工方案进行论证，通过后方可实施。</w:t>
      </w:r>
    </w:p>
    <w:p>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3.1.10.4承包人应服从发包人要求的管理模式、工作方式和工作要求，同时接受监理人、跟审单位的管理和全程监督，配合项目结、决算的办理。</w:t>
      </w:r>
    </w:p>
    <w:p>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3.1.10.5</w:t>
      </w:r>
      <w:r>
        <w:rPr>
          <w:rFonts w:hint="eastAsia" w:ascii="宋体" w:hAnsi="宋体"/>
          <w:color w:val="auto"/>
          <w:szCs w:val="21"/>
          <w:highlight w:val="none"/>
          <w:u w:val="single"/>
        </w:rPr>
        <w:t>承包人应为本工程开立专用账户，接受发包人的监管</w:t>
      </w:r>
      <w:r>
        <w:rPr>
          <w:rFonts w:hint="eastAsia" w:ascii="宋体" w:hAnsi="宋体"/>
          <w:color w:val="auto"/>
          <w:szCs w:val="21"/>
          <w:highlight w:val="none"/>
        </w:rPr>
        <w:t>。</w:t>
      </w:r>
    </w:p>
    <w:p>
      <w:pPr>
        <w:pStyle w:val="2"/>
        <w:adjustRightInd w:val="0"/>
        <w:snapToGrid w:val="0"/>
        <w:spacing w:line="360" w:lineRule="auto"/>
        <w:ind w:firstLine="420" w:firstLineChars="200"/>
        <w:rPr>
          <w:color w:val="auto"/>
          <w:highlight w:val="none"/>
        </w:rPr>
      </w:pPr>
      <w:r>
        <w:rPr>
          <w:rFonts w:hint="eastAsia" w:ascii="宋体" w:hAnsi="宋体"/>
          <w:color w:val="auto"/>
          <w:szCs w:val="21"/>
          <w:highlight w:val="none"/>
        </w:rPr>
        <w:t>3.1.10.6承包人应已自行踏勘现场，掌握现场状况，若涉及施工条件及与其他施工单位的配合，由承包人自行负责，包括费用均已在报价中包含。</w:t>
      </w:r>
    </w:p>
    <w:p>
      <w:pPr>
        <w:adjustRightInd w:val="0"/>
        <w:snapToGrid w:val="0"/>
        <w:spacing w:line="360" w:lineRule="auto"/>
        <w:ind w:firstLine="422" w:firstLineChars="200"/>
        <w:outlineLvl w:val="4"/>
        <w:rPr>
          <w:rFonts w:ascii="宋体" w:hAnsi="宋体" w:cs="宋体"/>
          <w:b/>
          <w:bCs/>
          <w:color w:val="auto"/>
          <w:kern w:val="0"/>
          <w:szCs w:val="21"/>
          <w:highlight w:val="none"/>
        </w:rPr>
      </w:pPr>
      <w:bookmarkStart w:id="163" w:name="_Toc532377336"/>
      <w:r>
        <w:rPr>
          <w:rFonts w:hint="eastAsia" w:ascii="宋体" w:hAnsi="宋体" w:cs="宋体"/>
          <w:b/>
          <w:bCs/>
          <w:color w:val="auto"/>
          <w:kern w:val="0"/>
          <w:szCs w:val="21"/>
          <w:highlight w:val="none"/>
        </w:rPr>
        <w:t>3.2 项目经理</w:t>
      </w:r>
      <w:bookmarkEnd w:id="163"/>
    </w:p>
    <w:p>
      <w:pPr>
        <w:spacing w:line="360" w:lineRule="auto"/>
        <w:ind w:firstLine="420" w:firstLineChars="200"/>
        <w:rPr>
          <w:rFonts w:ascii="宋体" w:hAnsi="宋体"/>
          <w:color w:val="auto"/>
          <w:szCs w:val="21"/>
          <w:highlight w:val="none"/>
        </w:rPr>
      </w:pPr>
      <w:r>
        <w:rPr>
          <w:rFonts w:hint="eastAsia" w:ascii="宋体" w:hAnsi="宋体"/>
          <w:color w:val="auto"/>
          <w:kern w:val="0"/>
          <w:szCs w:val="21"/>
          <w:highlight w:val="none"/>
        </w:rPr>
        <w:t xml:space="preserve">3.2.1 </w:t>
      </w:r>
      <w:r>
        <w:rPr>
          <w:rFonts w:hint="eastAsia" w:ascii="宋体" w:hAnsi="宋体"/>
          <w:color w:val="auto"/>
          <w:szCs w:val="21"/>
          <w:highlight w:val="none"/>
        </w:rPr>
        <w:t>项目经理：</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姓    名：</w:t>
      </w:r>
      <w:r>
        <w:rPr>
          <w:rFonts w:ascii="宋体" w:hAnsi="宋体"/>
          <w:color w:val="auto"/>
          <w:szCs w:val="21"/>
          <w:highlight w:val="none"/>
          <w:u w:val="single"/>
        </w:rPr>
        <w:t xml:space="preserve">      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身份证号：</w:t>
      </w:r>
      <w:r>
        <w:rPr>
          <w:rFonts w:ascii="宋体" w:hAnsi="宋体"/>
          <w:color w:val="auto"/>
          <w:szCs w:val="21"/>
          <w:highlight w:val="none"/>
          <w:u w:val="single"/>
        </w:rPr>
        <w:t>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建造师执业资格等级：</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建造师注册证书号：</w:t>
      </w:r>
      <w:r>
        <w:rPr>
          <w:rFonts w:ascii="宋体" w:hAnsi="宋体"/>
          <w:color w:val="auto"/>
          <w:szCs w:val="21"/>
          <w:highlight w:val="none"/>
          <w:u w:val="single"/>
        </w:rPr>
        <w:t>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建造师执业印章号：</w:t>
      </w:r>
      <w:r>
        <w:rPr>
          <w:rFonts w:ascii="宋体" w:hAnsi="宋体"/>
          <w:color w:val="auto"/>
          <w:szCs w:val="21"/>
          <w:highlight w:val="none"/>
          <w:u w:val="single"/>
        </w:rPr>
        <w:t>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安全生产考核合格证书号：</w:t>
      </w:r>
      <w:r>
        <w:rPr>
          <w:rFonts w:ascii="宋体" w:hAnsi="宋体"/>
          <w:color w:val="auto"/>
          <w:szCs w:val="21"/>
          <w:highlight w:val="none"/>
          <w:u w:val="single"/>
        </w:rPr>
        <w:t>  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联系方式：</w:t>
      </w:r>
      <w:r>
        <w:rPr>
          <w:rFonts w:ascii="宋体" w:hAnsi="宋体"/>
          <w:color w:val="auto"/>
          <w:szCs w:val="21"/>
          <w:highlight w:val="none"/>
          <w:u w:val="single"/>
        </w:rPr>
        <w:t>  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承包人对项目经理的授权范围如下：</w:t>
      </w:r>
      <w:r>
        <w:rPr>
          <w:rFonts w:hint="eastAsia" w:ascii="宋体" w:hAnsi="宋体"/>
          <w:color w:val="auto"/>
          <w:szCs w:val="21"/>
          <w:highlight w:val="none"/>
          <w:u w:val="single"/>
        </w:rPr>
        <w:t>严格按设计图纸、现行国家施工规范及验收规范组织施工，保证工程质量、进度、安全；及时向监理人、发包人报告现场情况（以承包人书面授权范围为准）</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关于项目经理每月在施工现场的时间要求：</w:t>
      </w:r>
      <w:r>
        <w:rPr>
          <w:rFonts w:hint="eastAsia" w:ascii="宋体" w:hAnsi="宋体"/>
          <w:color w:val="auto"/>
          <w:szCs w:val="21"/>
          <w:highlight w:val="none"/>
          <w:u w:val="single"/>
        </w:rPr>
        <w:t>不少于22天，由监理人负责项目经理的考勤</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承包人应在合同签订后7天内提交与项目经理签订的劳动合同及为项目经理缴纳社会保险的证明，承包人未在限期内提交的，项目经理无权履行职责，发包人有权要求更换项目经理</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3.2.2 技术负责人</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姓    名：</w:t>
      </w:r>
      <w:r>
        <w:rPr>
          <w:rFonts w:ascii="宋体" w:hAnsi="宋体"/>
          <w:color w:val="auto"/>
          <w:szCs w:val="21"/>
          <w:highlight w:val="none"/>
          <w:u w:val="single"/>
        </w:rPr>
        <w:t xml:space="preserve">                          </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身份证号：</w:t>
      </w:r>
      <w:r>
        <w:rPr>
          <w:rFonts w:ascii="宋体" w:hAnsi="宋体"/>
          <w:color w:val="auto"/>
          <w:szCs w:val="21"/>
          <w:highlight w:val="none"/>
          <w:u w:val="single"/>
        </w:rPr>
        <w:t xml:space="preserve">                          </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联系方式：</w:t>
      </w:r>
      <w:r>
        <w:rPr>
          <w:rFonts w:ascii="宋体" w:hAnsi="宋体"/>
          <w:color w:val="auto"/>
          <w:szCs w:val="21"/>
          <w:highlight w:val="none"/>
          <w:u w:val="single"/>
        </w:rPr>
        <w:t xml:space="preserve">                          </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专     业：</w:t>
      </w:r>
      <w:r>
        <w:rPr>
          <w:rFonts w:ascii="宋体" w:hAnsi="宋体"/>
          <w:color w:val="auto"/>
          <w:szCs w:val="21"/>
          <w:highlight w:val="none"/>
          <w:u w:val="single"/>
        </w:rPr>
        <w:t xml:space="preserve">                          </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证书名称及号码：</w:t>
      </w:r>
      <w:r>
        <w:rPr>
          <w:rFonts w:ascii="宋体" w:hAnsi="宋体"/>
          <w:color w:val="auto"/>
          <w:szCs w:val="21"/>
          <w:highlight w:val="none"/>
          <w:u w:val="single"/>
        </w:rPr>
        <w:t xml:space="preserve">                         </w:t>
      </w:r>
      <w:r>
        <w:rPr>
          <w:rFonts w:hint="eastAsia" w:ascii="宋体" w:hAnsi="宋体"/>
          <w:color w:val="auto"/>
          <w:szCs w:val="21"/>
          <w:highlight w:val="none"/>
        </w:rPr>
        <w:t>；</w:t>
      </w:r>
    </w:p>
    <w:p>
      <w:pPr>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联系方式：</w:t>
      </w:r>
      <w:r>
        <w:rPr>
          <w:rFonts w:ascii="宋体" w:hAnsi="宋体"/>
          <w:color w:val="auto"/>
          <w:szCs w:val="21"/>
          <w:highlight w:val="none"/>
          <w:u w:val="single"/>
        </w:rPr>
        <w:t xml:space="preserve">  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kern w:val="0"/>
          <w:szCs w:val="21"/>
          <w:highlight w:val="none"/>
        </w:rPr>
        <w:t>关于技</w:t>
      </w:r>
      <w:r>
        <w:rPr>
          <w:rFonts w:hint="eastAsia" w:ascii="宋体" w:hAnsi="宋体"/>
          <w:color w:val="auto"/>
          <w:szCs w:val="21"/>
          <w:highlight w:val="none"/>
        </w:rPr>
        <w:t>术负责人每月在施工现场的时间要求：</w:t>
      </w:r>
      <w:r>
        <w:rPr>
          <w:rFonts w:hint="eastAsia" w:ascii="宋体" w:hAnsi="宋体"/>
          <w:color w:val="auto"/>
          <w:szCs w:val="21"/>
          <w:highlight w:val="none"/>
          <w:u w:val="single"/>
        </w:rPr>
        <w:t>不少于</w:t>
      </w:r>
      <w:r>
        <w:rPr>
          <w:rFonts w:ascii="宋体" w:hAnsi="宋体"/>
          <w:color w:val="auto"/>
          <w:szCs w:val="21"/>
          <w:highlight w:val="none"/>
          <w:u w:val="single"/>
        </w:rPr>
        <w:t>22天,每天到岗时间不低于8小时</w:t>
      </w:r>
      <w:r>
        <w:rPr>
          <w:rFonts w:hint="eastAsia" w:ascii="宋体" w:hAnsi="宋体"/>
          <w:color w:val="auto"/>
          <w:szCs w:val="21"/>
          <w:highlight w:val="none"/>
          <w:u w:val="single"/>
        </w:rPr>
        <w:t>，由监理人负责技术负责人的考勤</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承包人应在合同签订后7天内提交与技术负责人签订的劳动合同及为技术负责人缴纳社会保险的证明，承包人未在限期内提交的，技术负责人无权履行职责，发包人有权要求更换技术负责人</w:t>
      </w:r>
      <w:r>
        <w:rPr>
          <w:rFonts w:hint="eastAsia" w:ascii="宋体" w:hAnsi="宋体"/>
          <w:color w:val="auto"/>
          <w:szCs w:val="21"/>
          <w:highlight w:val="none"/>
        </w:rPr>
        <w:t>。</w:t>
      </w:r>
      <w:bookmarkStart w:id="164" w:name="_Hlk528927599"/>
    </w:p>
    <w:bookmarkEnd w:id="164"/>
    <w:p>
      <w:pPr>
        <w:spacing w:line="360" w:lineRule="auto"/>
        <w:ind w:firstLine="420" w:firstLineChars="200"/>
        <w:rPr>
          <w:rFonts w:ascii="宋体" w:hAnsi="宋体"/>
          <w:color w:val="auto"/>
          <w:szCs w:val="21"/>
          <w:highlight w:val="none"/>
        </w:rPr>
      </w:pPr>
      <w:bookmarkStart w:id="165" w:name="_Hlk528927718"/>
      <w:r>
        <w:rPr>
          <w:rFonts w:hint="eastAsia" w:ascii="宋体" w:hAnsi="宋体"/>
          <w:color w:val="auto"/>
          <w:szCs w:val="21"/>
          <w:highlight w:val="none"/>
        </w:rPr>
        <w:t>3.2.3 发包人有权书面通知承包人更换其认为不称职/不履职的项目经理和（或）技术负责人，通知中应当载明要求更换的理由。承包人应在接到更换通知后7天内向发包人提出书面的改进报告。发包人收到改进报告后仍要求更换的，承包人应在接到第二次更换通知的14天内进行更换，并将新任命的项目经理和（或）技术负责人的注册执业资格、职称证书、管理经验等资料书面报送发包人审核批准。继任项目经理和（或）技术负责人继续履行合同约定的职责。</w:t>
      </w:r>
      <w:bookmarkEnd w:id="165"/>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若项目经理和技术负责人出现下列情形需更换的，承包人按通用条款第3.2.3项的规定向发包人发出通知，经发包人领导班子集体决策同意后予以批准，并将变更信息推送给行业主管部门：</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1、死亡；</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2、非承包人原因导致工期延长，而致使项目经理和技术负责人达到法定退休年龄且确需退休；</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3、按《职工非因工伤残或因病丧失劳动能力程度鉴定标准（试行）》规定鉴定为完全丧失劳动能力和大部分丧失劳动能力；</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4、非承包人原因导致中标3个月不能开工；</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5、被公安或者司法机关限制人身自由；</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6、被取消职称或者执业资格，不满足项目管理要求；</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7、非承包人原因导致确需变更的其它情形。</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本款补充3.2.6项</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3.2.6 国有资金投资项目其他主要人员变更参照《重庆市政府投资项目合同变更管理暂行办法》的规定。</w:t>
      </w:r>
    </w:p>
    <w:p>
      <w:pPr>
        <w:spacing w:line="360" w:lineRule="auto"/>
        <w:ind w:firstLine="422" w:firstLineChars="200"/>
        <w:outlineLvl w:val="4"/>
        <w:rPr>
          <w:rFonts w:ascii="宋体" w:hAnsi="宋体" w:cs="宋体"/>
          <w:b/>
          <w:bCs/>
          <w:color w:val="auto"/>
          <w:kern w:val="0"/>
          <w:szCs w:val="21"/>
          <w:highlight w:val="none"/>
        </w:rPr>
      </w:pPr>
      <w:bookmarkStart w:id="166" w:name="_Toc532377337"/>
      <w:r>
        <w:rPr>
          <w:rFonts w:hint="eastAsia" w:ascii="宋体" w:hAnsi="宋体" w:cs="宋体"/>
          <w:b/>
          <w:bCs/>
          <w:color w:val="auto"/>
          <w:kern w:val="0"/>
          <w:szCs w:val="21"/>
          <w:highlight w:val="none"/>
        </w:rPr>
        <w:t>3.3 承包人人员</w:t>
      </w:r>
      <w:bookmarkEnd w:id="166"/>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3.3.1 承包人应按建设行政主管部门现行规定配备现场施工从业人员，具体要求如下：</w:t>
      </w:r>
      <w:r>
        <w:rPr>
          <w:rFonts w:hint="eastAsia" w:ascii="宋体" w:hAnsi="宋体"/>
          <w:color w:val="auto"/>
          <w:szCs w:val="21"/>
          <w:highlight w:val="none"/>
          <w:u w:val="single"/>
        </w:rPr>
        <w:t xml:space="preserve">        </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3.3.2承包人派驻到施工现场的主要施工管理人员在施工过程中如有变动，承包人应及时向监理人提交施工现场人员变动情况的报告。承包人更换主要施工管理人员时，应提前7天书面通知监理人，并征得发包人书面同意。通知中应当载明继任人员的职称、执业资格、项目管理经验等资料。更换后的施工管理人员应当是承包人的正式员工，且在职称、执业资格、项目管理经验等方面不低于原施工管理人员。</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3.3.3 发包人有权书面通知承包人更换其认为不称职的主要施工管理人员，通知中应当载明要求更换的理由。承包人应在接到更换通知后7天内向发包人提出书面的改进报告。发包人收到改进报告后仍要求更换的，承包人应在接到第二次更换通知的7天内进行更换，并将新委派的主要施工管理人员的注册执业资格、职称证书、管理经验等资料书面报送发包人审核批准。</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3.3.4 承包人主要施工管理人员离开施工现场，指定的临时人员需满足：</w:t>
      </w:r>
      <w:r>
        <w:rPr>
          <w:rFonts w:hint="eastAsia" w:ascii="宋体" w:hAnsi="宋体"/>
          <w:color w:val="auto"/>
          <w:szCs w:val="21"/>
          <w:highlight w:val="none"/>
          <w:u w:val="single"/>
        </w:rPr>
        <w:t>《重庆市房屋建筑与市政基础设施工程现场施工从业人员配备标准》（DBJ50-157-2013）的相应要求</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167" w:name="_Toc532377338"/>
      <w:r>
        <w:rPr>
          <w:rFonts w:hint="eastAsia" w:ascii="宋体" w:hAnsi="宋体" w:cs="宋体"/>
          <w:b/>
          <w:bCs/>
          <w:color w:val="auto"/>
          <w:kern w:val="0"/>
          <w:szCs w:val="21"/>
          <w:highlight w:val="none"/>
        </w:rPr>
        <w:t>3</w:t>
      </w:r>
      <w:bookmarkStart w:id="168" w:name="_Toc292559869"/>
      <w:bookmarkStart w:id="169" w:name="_Toc304295523"/>
      <w:bookmarkStart w:id="170" w:name="_Toc297048345"/>
      <w:bookmarkStart w:id="171" w:name="_Toc297216151"/>
      <w:bookmarkStart w:id="172" w:name="_Toc303539102"/>
      <w:bookmarkStart w:id="173" w:name="_Toc297123492"/>
      <w:bookmarkStart w:id="174" w:name="_Toc292559364"/>
      <w:bookmarkStart w:id="175" w:name="_Toc296890987"/>
      <w:bookmarkStart w:id="176" w:name="_Toc296944498"/>
      <w:bookmarkStart w:id="177" w:name="_Toc296346660"/>
      <w:bookmarkStart w:id="178" w:name="_Toc296891199"/>
      <w:bookmarkStart w:id="179" w:name="_Toc312677988"/>
      <w:bookmarkStart w:id="180" w:name="_Toc296347158"/>
      <w:bookmarkStart w:id="181" w:name="_Toc296503159"/>
      <w:bookmarkStart w:id="182" w:name="_Toc297120459"/>
      <w:bookmarkStart w:id="183" w:name="_Toc300934945"/>
      <w:r>
        <w:rPr>
          <w:rFonts w:hint="eastAsia" w:ascii="宋体" w:hAnsi="宋体" w:cs="宋体"/>
          <w:b/>
          <w:bCs/>
          <w:color w:val="auto"/>
          <w:kern w:val="0"/>
          <w:szCs w:val="21"/>
          <w:highlight w:val="none"/>
        </w:rPr>
        <w:t>.5 分包</w:t>
      </w:r>
      <w:bookmarkEnd w:id="167"/>
    </w:p>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w:t>
      </w:r>
      <w:bookmarkStart w:id="184" w:name="_Toc297120460"/>
      <w:bookmarkStart w:id="185" w:name="_Toc292559870"/>
      <w:bookmarkStart w:id="186" w:name="_Toc296891200"/>
      <w:bookmarkStart w:id="187" w:name="_Toc296346661"/>
      <w:bookmarkStart w:id="188" w:name="_Toc303539103"/>
      <w:bookmarkStart w:id="189" w:name="_Toc292559365"/>
      <w:bookmarkStart w:id="190" w:name="_Toc296347159"/>
      <w:bookmarkStart w:id="191" w:name="_Toc297216152"/>
      <w:bookmarkStart w:id="192" w:name="_Toc296503160"/>
      <w:bookmarkStart w:id="193" w:name="_Toc318581158"/>
      <w:bookmarkStart w:id="194" w:name="_Toc296890988"/>
      <w:bookmarkStart w:id="195" w:name="_Toc297123493"/>
      <w:bookmarkStart w:id="196" w:name="_Toc304295524"/>
      <w:bookmarkStart w:id="197" w:name="_Toc312677989"/>
      <w:bookmarkStart w:id="198" w:name="_Toc300934946"/>
      <w:bookmarkStart w:id="199" w:name="_Toc297048346"/>
      <w:bookmarkStart w:id="200" w:name="_Toc296944499"/>
      <w:r>
        <w:rPr>
          <w:rFonts w:hint="eastAsia" w:ascii="宋体" w:hAnsi="宋体"/>
          <w:color w:val="auto"/>
          <w:szCs w:val="21"/>
          <w:highlight w:val="none"/>
        </w:rPr>
        <w:t>.5.1 分包的一般约定</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禁止分包的工程包括：主体结构、关键性工作等国家法律、法规禁止分包的工程。</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主体结构、关键性工作的范围：国家法律、法规、规范、标准等所约束的范围。如房建工程主体结构指混凝土工程、砌体工程、钢结构工程（具体有基础、梁、板、柱、砼墙、楼梯工程等）</w:t>
      </w:r>
      <w:bookmarkStart w:id="201" w:name="_Toc296944500"/>
      <w:bookmarkStart w:id="202" w:name="_Toc296503161"/>
      <w:bookmarkStart w:id="203" w:name="_Toc297216153"/>
      <w:bookmarkStart w:id="204" w:name="_Toc303539104"/>
      <w:bookmarkStart w:id="205" w:name="_Toc297120461"/>
      <w:bookmarkStart w:id="206" w:name="_Toc304295525"/>
      <w:bookmarkStart w:id="207" w:name="_Toc296890989"/>
      <w:bookmarkStart w:id="208" w:name="_Toc296347160"/>
      <w:bookmarkStart w:id="209" w:name="_Toc297048347"/>
      <w:bookmarkStart w:id="210" w:name="_Toc296891201"/>
      <w:bookmarkStart w:id="211" w:name="_Toc297123494"/>
      <w:bookmarkStart w:id="212" w:name="_Toc300934947"/>
      <w:bookmarkStart w:id="213" w:name="_Toc296346662"/>
      <w:r>
        <w:rPr>
          <w:rFonts w:hint="eastAsia" w:ascii="宋体" w:hAnsi="宋体"/>
          <w:color w:val="auto"/>
          <w:szCs w:val="21"/>
          <w:highlight w:val="none"/>
        </w:rPr>
        <w:t>；关键性工作指梁、板、柱等部位。</w:t>
      </w:r>
    </w:p>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在合同履行过程中实行项目经理、技术负责人、安全负责人实名制管理，发包人有权核查承包人管理人员的资格证件、工程价款往来银行账户、施工单位的材料构配件、设备的发票等资料，配合相关行政主管部门加大对转包、违法分包行为的查处。</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w:t>
      </w:r>
      <w:bookmarkStart w:id="214" w:name="_Toc318581159"/>
      <w:bookmarkStart w:id="215" w:name="_Toc312677990"/>
      <w:r>
        <w:rPr>
          <w:rFonts w:hint="eastAsia" w:ascii="宋体" w:hAnsi="宋体"/>
          <w:color w:val="auto"/>
          <w:szCs w:val="21"/>
          <w:highlight w:val="none"/>
        </w:rPr>
        <w:t>.5.2分包的确定</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允许分包的专业工程包括：</w:t>
      </w:r>
      <w:r>
        <w:rPr>
          <w:rFonts w:hint="eastAsia" w:ascii="宋体" w:hAnsi="宋体"/>
          <w:color w:val="auto"/>
          <w:szCs w:val="21"/>
          <w:highlight w:val="none"/>
          <w:u w:val="single"/>
        </w:rPr>
        <w:t xml:space="preserve">    不允许    。</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3.5.4 分包合同价款</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关于分包合同价款支付的约定：</w:t>
      </w:r>
      <w:bookmarkEnd w:id="214"/>
      <w:bookmarkEnd w:id="215"/>
      <w:r>
        <w:rPr>
          <w:rFonts w:hint="eastAsia" w:ascii="宋体" w:hAnsi="宋体"/>
          <w:color w:val="auto"/>
          <w:szCs w:val="21"/>
          <w:highlight w:val="none"/>
          <w:u w:val="single"/>
        </w:rPr>
        <w:t>分包合同价款由承包人与分包人结算，未经承包人同意，发包人不得向分包人支付分包工程价款；生效法律文书要求发包人向分包人支付分包合同价款的，发包人有权从应付承包人工程款中扣除该部分款项</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本款补充3.5.6项：</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3.5.6严禁违法分包</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一经查实，承包人的履约担保不予退还，发包人有权终止合同；同时发包人有权向相关行政监管部门举报，根据《住房和城乡建设部关于印发建筑工程施工发包与承包违法行为认定查处管理办法的通知》（建市规〔2019〕1号）相关规定条执行。</w:t>
      </w:r>
    </w:p>
    <w:p>
      <w:pPr>
        <w:spacing w:line="360" w:lineRule="auto"/>
        <w:ind w:firstLine="422" w:firstLineChars="200"/>
        <w:outlineLvl w:val="4"/>
        <w:rPr>
          <w:rFonts w:ascii="宋体" w:hAnsi="宋体" w:cs="宋体"/>
          <w:b/>
          <w:bCs/>
          <w:color w:val="auto"/>
          <w:kern w:val="0"/>
          <w:szCs w:val="21"/>
          <w:highlight w:val="none"/>
        </w:rPr>
      </w:pPr>
      <w:bookmarkStart w:id="216" w:name="_Toc532377339"/>
      <w:r>
        <w:rPr>
          <w:rFonts w:hint="eastAsia" w:ascii="宋体" w:hAnsi="宋体" w:cs="宋体"/>
          <w:b/>
          <w:bCs/>
          <w:color w:val="auto"/>
          <w:kern w:val="0"/>
          <w:szCs w:val="21"/>
          <w:highlight w:val="none"/>
        </w:rPr>
        <w:t>3.7 履约担保</w:t>
      </w:r>
      <w:bookmarkEnd w:id="216"/>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3.7.1承包人是否提供履约担保：</w:t>
      </w:r>
      <w:r>
        <w:rPr>
          <w:rFonts w:hint="eastAsia" w:ascii="宋体" w:hAnsi="宋体"/>
          <w:color w:val="auto"/>
          <w:szCs w:val="21"/>
          <w:highlight w:val="none"/>
          <w:u w:val="single"/>
        </w:rPr>
        <w:t xml:space="preserve"> 否 </w:t>
      </w:r>
      <w:r>
        <w:rPr>
          <w:rFonts w:hint="eastAsia" w:ascii="宋体" w:hAnsi="宋体"/>
          <w:color w:val="auto"/>
          <w:szCs w:val="21"/>
          <w:highlight w:val="none"/>
        </w:rPr>
        <w:t>。</w:t>
      </w:r>
    </w:p>
    <w:p>
      <w:pPr>
        <w:keepNext/>
        <w:keepLines/>
        <w:spacing w:before="120" w:beforeLines="50" w:after="120" w:afterLines="50" w:line="360" w:lineRule="auto"/>
        <w:outlineLvl w:val="3"/>
        <w:rPr>
          <w:rFonts w:ascii="宋体" w:hAnsi="宋体" w:cs="宋体"/>
          <w:b/>
          <w:color w:val="auto"/>
          <w:szCs w:val="21"/>
          <w:highlight w:val="none"/>
        </w:rPr>
      </w:pPr>
      <w:bookmarkStart w:id="217" w:name="_Toc532375611"/>
      <w:bookmarkStart w:id="218" w:name="_Toc351203636"/>
      <w:bookmarkStart w:id="219" w:name="_Toc532377340"/>
      <w:r>
        <w:rPr>
          <w:rFonts w:hint="eastAsia" w:ascii="宋体" w:hAnsi="宋体" w:cs="宋体"/>
          <w:b/>
          <w:bCs/>
          <w:color w:val="auto"/>
          <w:szCs w:val="21"/>
          <w:highlight w:val="none"/>
        </w:rPr>
        <w:t>4</w:t>
      </w:r>
      <w:bookmarkStart w:id="220" w:name="_Toc296347161"/>
      <w:bookmarkStart w:id="221" w:name="_Toc296891202"/>
      <w:bookmarkStart w:id="222" w:name="_Toc296890990"/>
      <w:bookmarkStart w:id="223" w:name="_Toc296503162"/>
      <w:bookmarkStart w:id="224" w:name="_Toc296346663"/>
      <w:bookmarkStart w:id="225" w:name="_Toc297048348"/>
      <w:bookmarkStart w:id="226" w:name="_Toc292559366"/>
      <w:bookmarkStart w:id="227" w:name="_Toc297120462"/>
      <w:bookmarkStart w:id="228" w:name="_Toc292559871"/>
      <w:bookmarkStart w:id="229" w:name="_Toc267251413"/>
      <w:bookmarkStart w:id="230" w:name="_Toc296944501"/>
      <w:r>
        <w:rPr>
          <w:rFonts w:hint="eastAsia" w:ascii="宋体" w:hAnsi="宋体" w:cs="宋体"/>
          <w:b/>
          <w:bCs/>
          <w:color w:val="auto"/>
          <w:szCs w:val="21"/>
          <w:highlight w:val="none"/>
        </w:rPr>
        <w:t>. 监</w:t>
      </w:r>
      <w:bookmarkEnd w:id="220"/>
      <w:bookmarkEnd w:id="221"/>
      <w:bookmarkEnd w:id="222"/>
      <w:bookmarkEnd w:id="223"/>
      <w:bookmarkEnd w:id="224"/>
      <w:bookmarkEnd w:id="225"/>
      <w:bookmarkEnd w:id="226"/>
      <w:bookmarkEnd w:id="227"/>
      <w:bookmarkEnd w:id="228"/>
      <w:bookmarkEnd w:id="229"/>
      <w:bookmarkEnd w:id="230"/>
      <w:r>
        <w:rPr>
          <w:rFonts w:hint="eastAsia" w:ascii="宋体" w:hAnsi="宋体" w:cs="宋体"/>
          <w:b/>
          <w:bCs/>
          <w:color w:val="auto"/>
          <w:szCs w:val="21"/>
          <w:highlight w:val="none"/>
        </w:rPr>
        <w:t>理人</w:t>
      </w:r>
      <w:bookmarkEnd w:id="217"/>
      <w:bookmarkEnd w:id="218"/>
      <w:bookmarkEnd w:id="219"/>
    </w:p>
    <w:p>
      <w:pPr>
        <w:spacing w:line="360" w:lineRule="auto"/>
        <w:ind w:firstLine="422" w:firstLineChars="200"/>
        <w:outlineLvl w:val="4"/>
        <w:rPr>
          <w:rFonts w:ascii="宋体" w:hAnsi="宋体" w:cs="宋体"/>
          <w:b/>
          <w:bCs/>
          <w:color w:val="auto"/>
          <w:kern w:val="0"/>
          <w:szCs w:val="21"/>
          <w:highlight w:val="none"/>
        </w:rPr>
      </w:pPr>
      <w:bookmarkStart w:id="231" w:name="_Toc532377341"/>
      <w:r>
        <w:rPr>
          <w:rFonts w:hint="eastAsia" w:ascii="宋体" w:hAnsi="宋体" w:cs="宋体"/>
          <w:b/>
          <w:bCs/>
          <w:color w:val="auto"/>
          <w:kern w:val="0"/>
          <w:szCs w:val="21"/>
          <w:highlight w:val="none"/>
        </w:rPr>
        <w:t>4.1 监理人的一般规定</w:t>
      </w:r>
      <w:bookmarkEnd w:id="231"/>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关于监理人的监理内容：</w:t>
      </w:r>
      <w:r>
        <w:rPr>
          <w:rFonts w:hint="eastAsia" w:ascii="宋体" w:hAnsi="宋体"/>
          <w:color w:val="auto"/>
          <w:szCs w:val="21"/>
          <w:highlight w:val="none"/>
          <w:u w:val="single"/>
        </w:rPr>
        <w:t>见发包人与监理人就本工程签订的监理合同</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关于监理人的监理权限：</w:t>
      </w:r>
      <w:r>
        <w:rPr>
          <w:rFonts w:hint="eastAsia" w:ascii="宋体" w:hAnsi="宋体"/>
          <w:color w:val="auto"/>
          <w:szCs w:val="21"/>
          <w:highlight w:val="none"/>
          <w:u w:val="single"/>
        </w:rPr>
        <w:t>见发包人与监理人就本工程签订的监理合同；任何涉及费用确定和（或）工期调整，或者设计变更，或者变更估价，或者涉及经济责任的事项，监理工程师在发出指令或通知前，须征得发包人书面同意</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关于监理人在施工现场的办公场所、生活场所的提供和费用承担的约定：</w:t>
      </w:r>
      <w:r>
        <w:rPr>
          <w:rFonts w:hint="eastAsia" w:ascii="宋体" w:hAnsi="宋体"/>
          <w:color w:val="auto"/>
          <w:szCs w:val="21"/>
          <w:highlight w:val="none"/>
          <w:u w:val="single"/>
        </w:rPr>
        <w:t xml:space="preserve">    /                      </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232" w:name="_Toc532377342"/>
      <w:r>
        <w:rPr>
          <w:rFonts w:hint="eastAsia" w:ascii="宋体" w:hAnsi="宋体" w:cs="宋体"/>
          <w:b/>
          <w:bCs/>
          <w:color w:val="auto"/>
          <w:kern w:val="0"/>
          <w:szCs w:val="21"/>
          <w:highlight w:val="none"/>
        </w:rPr>
        <w:t>4.2 监理人员</w:t>
      </w:r>
      <w:bookmarkEnd w:id="232"/>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总监理工程师：</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姓    名：</w:t>
      </w:r>
      <w:r>
        <w:rPr>
          <w:rFonts w:ascii="宋体" w:hAnsi="宋体"/>
          <w:color w:val="auto"/>
          <w:szCs w:val="21"/>
          <w:highlight w:val="none"/>
          <w:u w:val="single"/>
        </w:rPr>
        <w:t xml:space="preserve">      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职    务：</w:t>
      </w:r>
      <w:r>
        <w:rPr>
          <w:rFonts w:ascii="宋体" w:hAnsi="宋体"/>
          <w:color w:val="auto"/>
          <w:szCs w:val="21"/>
          <w:highlight w:val="none"/>
          <w:u w:val="single"/>
        </w:rPr>
        <w:t xml:space="preserve">      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监理工程师执业资格证书号：</w:t>
      </w:r>
      <w:r>
        <w:rPr>
          <w:rFonts w:ascii="宋体" w:hAnsi="宋体"/>
          <w:color w:val="auto"/>
          <w:szCs w:val="21"/>
          <w:highlight w:val="none"/>
          <w:u w:val="single"/>
        </w:rPr>
        <w:t xml:space="preserve">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联系方式：</w:t>
      </w:r>
      <w:r>
        <w:rPr>
          <w:rFonts w:ascii="宋体" w:hAnsi="宋体"/>
          <w:color w:val="auto"/>
          <w:szCs w:val="21"/>
          <w:highlight w:val="none"/>
          <w:u w:val="single"/>
        </w:rPr>
        <w:t xml:space="preserve">      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关于监理人的其他约定：</w:t>
      </w:r>
      <w:r>
        <w:rPr>
          <w:rFonts w:hint="eastAsia" w:ascii="宋体" w:hAnsi="宋体"/>
          <w:color w:val="auto"/>
          <w:szCs w:val="21"/>
          <w:highlight w:val="none"/>
          <w:u w:val="single"/>
        </w:rPr>
        <w:t>见发包人与监理人就本工程签订的监理合同</w:t>
      </w:r>
      <w:r>
        <w:rPr>
          <w:rFonts w:hint="eastAsia" w:ascii="宋体" w:hAnsi="宋体"/>
          <w:color w:val="auto"/>
          <w:szCs w:val="21"/>
          <w:highlight w:val="none"/>
        </w:rPr>
        <w:t>。</w:t>
      </w:r>
    </w:p>
    <w:p>
      <w:pPr>
        <w:spacing w:line="360" w:lineRule="auto"/>
        <w:ind w:firstLine="420" w:firstLineChars="200"/>
        <w:outlineLvl w:val="4"/>
        <w:rPr>
          <w:rFonts w:ascii="宋体" w:hAnsi="宋体" w:cs="宋体"/>
          <w:bCs/>
          <w:color w:val="auto"/>
          <w:kern w:val="0"/>
          <w:szCs w:val="21"/>
          <w:highlight w:val="none"/>
        </w:rPr>
      </w:pPr>
      <w:bookmarkStart w:id="233" w:name="_Toc532377343"/>
      <w:r>
        <w:rPr>
          <w:rFonts w:hint="eastAsia" w:ascii="宋体" w:hAnsi="宋体" w:cs="宋体"/>
          <w:bCs/>
          <w:color w:val="auto"/>
          <w:kern w:val="0"/>
          <w:szCs w:val="21"/>
          <w:highlight w:val="none"/>
        </w:rPr>
        <w:t>4.4 商定或确定</w:t>
      </w:r>
      <w:bookmarkEnd w:id="233"/>
    </w:p>
    <w:p>
      <w:pPr>
        <w:spacing w:line="360" w:lineRule="auto"/>
        <w:ind w:firstLine="420" w:firstLineChars="200"/>
        <w:rPr>
          <w:rFonts w:ascii="宋体" w:hAnsi="宋体"/>
          <w:color w:val="auto"/>
          <w:szCs w:val="21"/>
          <w:highlight w:val="none"/>
        </w:rPr>
      </w:pPr>
      <w:bookmarkStart w:id="234" w:name="_Toc267251418"/>
      <w:r>
        <w:rPr>
          <w:rFonts w:hint="eastAsia" w:ascii="宋体" w:hAnsi="宋体"/>
          <w:color w:val="auto"/>
          <w:szCs w:val="21"/>
          <w:highlight w:val="none"/>
        </w:rPr>
        <w:t>在发包人和承包人不能通过协商达成一致意见时，发包人授权监理人对以下事项进行确定：</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 xml:space="preserve">                          </w:t>
      </w:r>
      <w:r>
        <w:rPr>
          <w:rFonts w:hint="eastAsia" w:ascii="宋体" w:hAnsi="宋体"/>
          <w:color w:val="auto"/>
          <w:szCs w:val="21"/>
          <w:highlight w:val="none"/>
        </w:rPr>
        <w:t>。</w:t>
      </w:r>
    </w:p>
    <w:p>
      <w:pPr>
        <w:keepNext/>
        <w:keepLines/>
        <w:spacing w:before="120" w:beforeLines="50" w:after="120" w:afterLines="50" w:line="360" w:lineRule="auto"/>
        <w:outlineLvl w:val="3"/>
        <w:rPr>
          <w:rFonts w:ascii="宋体" w:hAnsi="宋体" w:cs="宋体"/>
          <w:b/>
          <w:color w:val="auto"/>
          <w:szCs w:val="21"/>
          <w:highlight w:val="none"/>
        </w:rPr>
      </w:pPr>
      <w:bookmarkStart w:id="235" w:name="_Toc532375612"/>
      <w:bookmarkStart w:id="236" w:name="_Toc351203637"/>
      <w:bookmarkStart w:id="237" w:name="_Toc532377344"/>
      <w:r>
        <w:rPr>
          <w:rFonts w:hint="eastAsia" w:ascii="宋体" w:hAnsi="宋体" w:cs="宋体"/>
          <w:b/>
          <w:bCs/>
          <w:color w:val="auto"/>
          <w:szCs w:val="21"/>
          <w:highlight w:val="none"/>
        </w:rPr>
        <w:t>5</w:t>
      </w:r>
      <w:bookmarkEnd w:id="234"/>
      <w:bookmarkStart w:id="238" w:name="_Toc296346664"/>
      <w:bookmarkStart w:id="239" w:name="_Toc296891203"/>
      <w:bookmarkStart w:id="240" w:name="_Toc292559872"/>
      <w:bookmarkStart w:id="241" w:name="_Toc297120463"/>
      <w:bookmarkStart w:id="242" w:name="_Toc297048349"/>
      <w:bookmarkStart w:id="243" w:name="_Toc296503163"/>
      <w:bookmarkStart w:id="244" w:name="_Toc296944502"/>
      <w:bookmarkStart w:id="245" w:name="_Toc296890991"/>
      <w:bookmarkStart w:id="246" w:name="_Toc292559367"/>
      <w:bookmarkStart w:id="247" w:name="_Toc296347162"/>
      <w:r>
        <w:rPr>
          <w:rFonts w:hint="eastAsia" w:ascii="宋体" w:hAnsi="宋体" w:cs="宋体"/>
          <w:b/>
          <w:bCs/>
          <w:color w:val="auto"/>
          <w:szCs w:val="21"/>
          <w:highlight w:val="none"/>
        </w:rPr>
        <w:t>. 工程质量</w:t>
      </w:r>
      <w:bookmarkEnd w:id="235"/>
      <w:bookmarkEnd w:id="236"/>
      <w:bookmarkEnd w:id="237"/>
    </w:p>
    <w:p>
      <w:pPr>
        <w:spacing w:line="360" w:lineRule="auto"/>
        <w:ind w:firstLine="422" w:firstLineChars="200"/>
        <w:outlineLvl w:val="4"/>
        <w:rPr>
          <w:rFonts w:ascii="宋体" w:hAnsi="宋体" w:cs="宋体"/>
          <w:b/>
          <w:bCs/>
          <w:color w:val="auto"/>
          <w:kern w:val="0"/>
          <w:szCs w:val="21"/>
          <w:highlight w:val="none"/>
        </w:rPr>
      </w:pPr>
      <w:bookmarkStart w:id="248" w:name="_Toc532377345"/>
      <w:r>
        <w:rPr>
          <w:rFonts w:hint="eastAsia" w:ascii="宋体" w:hAnsi="宋体" w:cs="宋体"/>
          <w:b/>
          <w:bCs/>
          <w:color w:val="auto"/>
          <w:kern w:val="0"/>
          <w:szCs w:val="21"/>
          <w:highlight w:val="none"/>
        </w:rPr>
        <w:t>5.1 质量要求</w:t>
      </w:r>
      <w:bookmarkEnd w:id="248"/>
      <w:bookmarkStart w:id="249" w:name="_Hlk528909888"/>
      <w:bookmarkStart w:id="250" w:name="_Toc297123496"/>
      <w:bookmarkStart w:id="251" w:name="_Toc300934949"/>
      <w:bookmarkStart w:id="252" w:name="_Toc312677997"/>
      <w:bookmarkStart w:id="253" w:name="_Toc297216155"/>
      <w:bookmarkStart w:id="254" w:name="_Toc303539106"/>
      <w:bookmarkStart w:id="255" w:name="_Toc318581164"/>
      <w:bookmarkStart w:id="256" w:name="_Toc304295527"/>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符合强制性质量标准，符合国家和重庆市现行有关施工质量验收规范要求，并达到合格标准</w:t>
      </w:r>
      <w:r>
        <w:rPr>
          <w:rFonts w:hint="eastAsia" w:ascii="宋体" w:hAnsi="宋体"/>
          <w:color w:val="auto"/>
          <w:szCs w:val="21"/>
          <w:highlight w:val="none"/>
        </w:rPr>
        <w:t>。</w:t>
      </w:r>
    </w:p>
    <w:bookmarkEnd w:id="249"/>
    <w:p>
      <w:pPr>
        <w:spacing w:line="360" w:lineRule="auto"/>
        <w:ind w:firstLine="422" w:firstLineChars="200"/>
        <w:outlineLvl w:val="4"/>
        <w:rPr>
          <w:rFonts w:ascii="宋体" w:hAnsi="宋体" w:cs="宋体"/>
          <w:b/>
          <w:bCs/>
          <w:color w:val="auto"/>
          <w:kern w:val="0"/>
          <w:szCs w:val="21"/>
          <w:highlight w:val="none"/>
        </w:rPr>
      </w:pPr>
      <w:bookmarkStart w:id="257" w:name="_Toc532377346"/>
      <w:r>
        <w:rPr>
          <w:rFonts w:hint="eastAsia" w:ascii="宋体" w:hAnsi="宋体" w:cs="宋体"/>
          <w:b/>
          <w:bCs/>
          <w:color w:val="auto"/>
          <w:kern w:val="0"/>
          <w:szCs w:val="21"/>
          <w:highlight w:val="none"/>
        </w:rPr>
        <w:t>5.2 质量保证措施</w:t>
      </w:r>
      <w:bookmarkEnd w:id="257"/>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本款补充5.2.4项：</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5.2.4 在工程建设中，参建各方应严格执行以下规定（包括但不限于）：</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u w:val="single"/>
        </w:rPr>
        <w:t>《建筑工程施工质量验收统一标准》（GB50300-2013）</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u w:val="single"/>
        </w:rPr>
        <w:t>《住房城乡建设部关于印发工程质量安全提升行动方案的通知》（建质〔2017〕57号）</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u w:val="single"/>
        </w:rPr>
        <w:t>《房屋建筑和市政基础设施工程竣工验收规定》（建质〔2013〕171号）</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w:t>
      </w:r>
      <w:r>
        <w:rPr>
          <w:rFonts w:hint="eastAsia" w:ascii="宋体" w:hAnsi="宋体"/>
          <w:color w:val="auto"/>
          <w:szCs w:val="21"/>
          <w:highlight w:val="none"/>
          <w:u w:val="single"/>
        </w:rPr>
        <w:t>《建设部关于贯彻执行建筑工程勘察设计及施工质量验收规范若干问题的通知》（建标〔2002〕212号）</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w:t>
      </w:r>
      <w:r>
        <w:rPr>
          <w:rFonts w:hint="eastAsia" w:ascii="宋体" w:hAnsi="宋体"/>
          <w:color w:val="auto"/>
          <w:szCs w:val="21"/>
          <w:highlight w:val="none"/>
          <w:u w:val="single"/>
        </w:rPr>
        <w:t>《重庆市住房和城乡建设委员会关于印发&lt;重庆市房屋建筑和市政基础设施工程质量常见问题防治要点（2019年版）&gt;的通知》（渝建〔2019〕198号）</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w:t>
      </w:r>
      <w:r>
        <w:rPr>
          <w:rFonts w:hint="eastAsia" w:ascii="宋体" w:hAnsi="宋体"/>
          <w:color w:val="auto"/>
          <w:szCs w:val="21"/>
          <w:highlight w:val="none"/>
          <w:u w:val="single"/>
        </w:rPr>
        <w:t>《关于印发&lt;重庆市房屋建筑和市政基础设施工程预拌商品砂浆应用推进工作方案&gt;的通知》（渝建〔2018〕375号）</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w:t>
      </w:r>
      <w:r>
        <w:rPr>
          <w:rFonts w:hint="eastAsia" w:ascii="宋体" w:hAnsi="宋体"/>
          <w:color w:val="auto"/>
          <w:szCs w:val="21"/>
          <w:highlight w:val="none"/>
          <w:u w:val="single"/>
        </w:rPr>
        <w:t>《重庆市城乡建设委员会关于印发2018年房屋建筑和市政基础设施工程质量要点的通知》（渝建〔2018〕94号）</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（8）</w:t>
      </w:r>
      <w:r>
        <w:rPr>
          <w:rFonts w:hint="eastAsia" w:ascii="宋体" w:hAnsi="宋体"/>
          <w:color w:val="auto"/>
          <w:szCs w:val="21"/>
          <w:highlight w:val="none"/>
          <w:u w:val="single"/>
        </w:rPr>
        <w:t>《重庆市城乡建设委员会关于进一步推广应用预拌商品砂浆的通知》（渝建〔2016〕318号）</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（9）</w:t>
      </w:r>
      <w:r>
        <w:rPr>
          <w:rFonts w:hint="eastAsia" w:ascii="宋体" w:hAnsi="宋体"/>
          <w:color w:val="auto"/>
          <w:szCs w:val="21"/>
          <w:highlight w:val="none"/>
          <w:u w:val="single"/>
        </w:rPr>
        <w:t>《重庆市建设委员会关于发布&lt;建筑工程施工质量验收规范用表（建筑节能分部工程）&gt;和&lt;建设工程技术用表（建筑节能工程）&gt;的通知》（渝建发〔2008〕76号）</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（10）</w:t>
      </w:r>
      <w:r>
        <w:rPr>
          <w:rFonts w:hint="eastAsia" w:ascii="宋体" w:hAnsi="宋体"/>
          <w:color w:val="auto"/>
          <w:szCs w:val="21"/>
          <w:highlight w:val="none"/>
          <w:u w:val="single"/>
        </w:rPr>
        <w:t>国家和本市现行有关建设工程质量验收标准、规范和要求</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承包人、监理人和发包人在工程建设中，应严格执行国家及重庆市现行标准，如上述标准及规范要求有出入则以较严格者为准。</w:t>
      </w:r>
    </w:p>
    <w:p>
      <w:pPr>
        <w:spacing w:line="360" w:lineRule="auto"/>
        <w:ind w:firstLine="422" w:firstLineChars="200"/>
        <w:outlineLvl w:val="4"/>
        <w:rPr>
          <w:rFonts w:ascii="宋体" w:hAnsi="宋体" w:cs="宋体"/>
          <w:b/>
          <w:bCs/>
          <w:color w:val="auto"/>
          <w:kern w:val="0"/>
          <w:szCs w:val="21"/>
          <w:highlight w:val="none"/>
        </w:rPr>
      </w:pPr>
      <w:bookmarkStart w:id="258" w:name="_Toc351203536"/>
      <w:bookmarkStart w:id="259" w:name="_Toc532377347"/>
      <w:bookmarkStart w:id="260" w:name="_Hlk528927873"/>
      <w:r>
        <w:rPr>
          <w:rFonts w:hint="eastAsia" w:ascii="宋体" w:hAnsi="宋体" w:cs="宋体"/>
          <w:b/>
          <w:bCs/>
          <w:color w:val="auto"/>
          <w:kern w:val="0"/>
          <w:szCs w:val="21"/>
          <w:highlight w:val="none"/>
        </w:rPr>
        <w:t>5.3隐蔽工程检查</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5.3.2检查程序</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工程隐蔽部位经承包人自检确认具备覆盖条件的，承包人应在共同检查前</w:t>
      </w:r>
      <w:r>
        <w:rPr>
          <w:rFonts w:hint="eastAsia" w:ascii="宋体" w:hAnsi="宋体"/>
          <w:color w:val="auto"/>
          <w:szCs w:val="21"/>
          <w:highlight w:val="none"/>
          <w:u w:val="single"/>
        </w:rPr>
        <w:t xml:space="preserve">  48  </w:t>
      </w:r>
      <w:r>
        <w:rPr>
          <w:rFonts w:hint="eastAsia" w:ascii="宋体" w:hAnsi="宋体"/>
          <w:color w:val="auto"/>
          <w:szCs w:val="21"/>
          <w:highlight w:val="none"/>
        </w:rPr>
        <w:t>小时书面通知监理人检查，通知中应载明隐蔽检查的内容、时间和地点，并应附有自检记录和必要的检查资料。</w:t>
      </w:r>
    </w:p>
    <w:p>
      <w:pPr>
        <w:spacing w:line="360" w:lineRule="auto"/>
        <w:ind w:firstLine="422" w:firstLineChars="200"/>
        <w:outlineLvl w:val="4"/>
        <w:rPr>
          <w:rFonts w:ascii="宋体" w:hAnsi="宋体" w:cs="宋体"/>
          <w:b/>
          <w:bCs/>
          <w:color w:val="auto"/>
          <w:kern w:val="0"/>
          <w:szCs w:val="21"/>
          <w:highlight w:val="none"/>
        </w:rPr>
      </w:pPr>
      <w:r>
        <w:rPr>
          <w:rFonts w:hint="eastAsia" w:ascii="宋体" w:hAnsi="宋体" w:cs="宋体"/>
          <w:b/>
          <w:bCs/>
          <w:color w:val="auto"/>
          <w:kern w:val="0"/>
          <w:szCs w:val="21"/>
          <w:highlight w:val="none"/>
        </w:rPr>
        <w:t>5</w:t>
      </w:r>
      <w:bookmarkStart w:id="261" w:name="_Toc337558762"/>
      <w:r>
        <w:rPr>
          <w:rFonts w:hint="eastAsia" w:ascii="宋体" w:hAnsi="宋体" w:cs="宋体"/>
          <w:b/>
          <w:bCs/>
          <w:color w:val="auto"/>
          <w:kern w:val="0"/>
          <w:szCs w:val="21"/>
          <w:highlight w:val="none"/>
        </w:rPr>
        <w:t>.4 不合格工程的处理</w:t>
      </w:r>
      <w:bookmarkEnd w:id="258"/>
      <w:bookmarkEnd w:id="259"/>
    </w:p>
    <w:bookmarkEnd w:id="261"/>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本款补充5.4.3项：</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5.4.3 承包人在收到监理人发出的《不合格分项报告》或监理通知单后，必须在监理人规定时间内按要求完成整改，未能在限定时间内完成整改的，须承担相应违约责任。</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本条补充5.6款：</w:t>
      </w:r>
    </w:p>
    <w:bookmarkEnd w:id="260"/>
    <w:p>
      <w:pPr>
        <w:spacing w:line="360" w:lineRule="auto"/>
        <w:ind w:firstLine="422" w:firstLineChars="200"/>
        <w:outlineLvl w:val="4"/>
        <w:rPr>
          <w:rFonts w:ascii="宋体" w:hAnsi="宋体" w:cs="宋体"/>
          <w:b/>
          <w:bCs/>
          <w:color w:val="auto"/>
          <w:kern w:val="0"/>
          <w:szCs w:val="21"/>
          <w:highlight w:val="none"/>
        </w:rPr>
      </w:pPr>
      <w:bookmarkStart w:id="262" w:name="_Toc532377348"/>
      <w:r>
        <w:rPr>
          <w:rFonts w:hint="eastAsia" w:ascii="宋体" w:hAnsi="宋体" w:cs="宋体"/>
          <w:b/>
          <w:bCs/>
          <w:color w:val="auto"/>
          <w:kern w:val="0"/>
          <w:szCs w:val="21"/>
          <w:highlight w:val="none"/>
        </w:rPr>
        <w:t>5.6 质量事故的处理</w:t>
      </w:r>
      <w:bookmarkEnd w:id="262"/>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5.6.1 合同履行过程中，发生工程质量事故的调查处理按照国家及重庆市现行规定处理。</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5.6.2 发包人在对工程质量、安全和环境保护、水土保持等建设全过程管理中发现有技术、质量和其他问题的，可通过监理人责令承包人返工或整改；对存在的隐患，有权责令承包人予以解决，承包人按照合同中其他条款约定承担违约责任。</w:t>
      </w:r>
    </w:p>
    <w:bookmarkEnd w:id="238"/>
    <w:bookmarkEnd w:id="239"/>
    <w:bookmarkEnd w:id="240"/>
    <w:bookmarkEnd w:id="241"/>
    <w:bookmarkEnd w:id="242"/>
    <w:bookmarkEnd w:id="243"/>
    <w:bookmarkEnd w:id="244"/>
    <w:bookmarkEnd w:id="245"/>
    <w:bookmarkEnd w:id="246"/>
    <w:bookmarkEnd w:id="247"/>
    <w:bookmarkEnd w:id="250"/>
    <w:bookmarkEnd w:id="251"/>
    <w:bookmarkEnd w:id="252"/>
    <w:bookmarkEnd w:id="253"/>
    <w:bookmarkEnd w:id="254"/>
    <w:bookmarkEnd w:id="255"/>
    <w:bookmarkEnd w:id="256"/>
    <w:p>
      <w:pPr>
        <w:keepNext/>
        <w:keepLines/>
        <w:spacing w:before="120" w:beforeLines="50" w:after="120" w:afterLines="50" w:line="360" w:lineRule="auto"/>
        <w:outlineLvl w:val="3"/>
        <w:rPr>
          <w:rFonts w:ascii="宋体" w:hAnsi="宋体" w:cs="宋体"/>
          <w:b/>
          <w:color w:val="auto"/>
          <w:szCs w:val="21"/>
          <w:highlight w:val="none"/>
        </w:rPr>
      </w:pPr>
      <w:bookmarkStart w:id="263" w:name="_Toc532375613"/>
      <w:bookmarkStart w:id="264" w:name="_Toc532377349"/>
      <w:bookmarkStart w:id="265" w:name="_Toc351203638"/>
      <w:bookmarkStart w:id="266" w:name="_Toc297120473"/>
      <w:bookmarkStart w:id="267" w:name="_Toc296944512"/>
      <w:bookmarkStart w:id="268" w:name="_Toc296347172"/>
      <w:bookmarkStart w:id="269" w:name="_Toc296891213"/>
      <w:bookmarkStart w:id="270" w:name="_Toc292559378"/>
      <w:bookmarkStart w:id="271" w:name="_Toc267251427"/>
      <w:bookmarkStart w:id="272" w:name="_Toc296891001"/>
      <w:bookmarkStart w:id="273" w:name="_Toc292559883"/>
      <w:bookmarkStart w:id="274" w:name="_Toc296503173"/>
      <w:bookmarkStart w:id="275" w:name="_Toc351203642"/>
      <w:bookmarkStart w:id="276" w:name="_Toc296346674"/>
      <w:bookmarkStart w:id="277" w:name="_Toc297048359"/>
      <w:bookmarkStart w:id="278" w:name="_Toc267251428"/>
      <w:r>
        <w:rPr>
          <w:rFonts w:hint="eastAsia" w:ascii="宋体" w:hAnsi="宋体" w:cs="宋体"/>
          <w:b/>
          <w:bCs/>
          <w:color w:val="auto"/>
          <w:szCs w:val="21"/>
          <w:highlight w:val="none"/>
        </w:rPr>
        <w:t>6. 安全文明施工与环境保护</w:t>
      </w:r>
      <w:bookmarkEnd w:id="263"/>
      <w:bookmarkEnd w:id="264"/>
      <w:bookmarkEnd w:id="265"/>
    </w:p>
    <w:p>
      <w:pPr>
        <w:spacing w:line="360" w:lineRule="auto"/>
        <w:ind w:firstLine="422" w:firstLineChars="200"/>
        <w:outlineLvl w:val="4"/>
        <w:rPr>
          <w:rFonts w:ascii="宋体" w:hAnsi="宋体" w:cs="宋体"/>
          <w:b/>
          <w:bCs/>
          <w:color w:val="auto"/>
          <w:kern w:val="0"/>
          <w:szCs w:val="21"/>
          <w:highlight w:val="none"/>
        </w:rPr>
      </w:pPr>
      <w:bookmarkStart w:id="279" w:name="_Toc532375614"/>
      <w:bookmarkStart w:id="280" w:name="_Toc532377350"/>
      <w:r>
        <w:rPr>
          <w:rFonts w:hint="eastAsia" w:ascii="宋体" w:hAnsi="宋体" w:cs="宋体"/>
          <w:b/>
          <w:bCs/>
          <w:color w:val="auto"/>
          <w:kern w:val="0"/>
          <w:szCs w:val="21"/>
          <w:highlight w:val="none"/>
        </w:rPr>
        <w:t>6.1 安全文明施工</w:t>
      </w:r>
      <w:bookmarkEnd w:id="279"/>
      <w:bookmarkEnd w:id="280"/>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承包人必须认真贯彻执行国家安全生产法律、法规、规章和标准，按照重庆市现行的质量、安全文明施工有关规定和发包人安全管理的有关规定，建立完善的质量、安全、文明施工管理制度。</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的施工要做到节能、环保，如果通过采用新材料、新设备、新工艺、新技术的手段来提高工程质量或节省工期，则必须保证新材料、新设备、新工艺、新技术是成熟的并获得相关部门正式批准的，同时使用前承包人必须组织专家论证，并得到发包人、监理人的批准。</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6.1.1 项目安全生产的达标目标及相应事项的约定：</w:t>
      </w:r>
      <w:r>
        <w:rPr>
          <w:rFonts w:hint="eastAsia" w:ascii="宋体" w:hAnsi="宋体"/>
          <w:color w:val="auto"/>
          <w:szCs w:val="21"/>
          <w:highlight w:val="none"/>
          <w:u w:val="single"/>
        </w:rPr>
        <w:t>达到《建筑施工安全检查标准》（JGJ59-2011）的要求</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（1）按现行安全文明施工费计取及使用管理的政策文件规定及发包人制订的安全管理制度执行</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（2）承包人的原因造成事故，由此产生的法律责任和事故责任及费用由承包人全部承担</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（3）承包人向发包人做出安全承诺，并签订《安全生产目标责任书》和《安全承诺书》</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（4）承包人在施工过程中，必须严格执行安全生产法的相关规定，制定切实可靠的安全技术措施</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（5）接受发包人安全监督和管理，在施工中违反安全管理规定和操作规程、违章作业的，承担违约责任</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6.1.4 关于治安保卫的特别约定：</w:t>
      </w:r>
      <w:r>
        <w:rPr>
          <w:rFonts w:hint="eastAsia" w:ascii="宋体" w:hAnsi="宋体"/>
          <w:color w:val="auto"/>
          <w:szCs w:val="21"/>
          <w:highlight w:val="none"/>
          <w:u w:val="single"/>
        </w:rPr>
        <w:t>承包人负责组建施工现场治安管理机构或联防组织；承包人负责编制施工场地治安管理计划和突发治安事件紧急预案</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关于编制施工场地治安管理计划的约定：</w:t>
      </w:r>
      <w:r>
        <w:rPr>
          <w:rFonts w:hint="eastAsia" w:ascii="宋体" w:hAnsi="宋体"/>
          <w:color w:val="auto"/>
          <w:szCs w:val="21"/>
          <w:highlight w:val="none"/>
          <w:u w:val="single"/>
        </w:rPr>
        <w:t>由承包人负责</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6.1.5 文明施工</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合同当事人对文明施工的要求：</w:t>
      </w:r>
      <w:r>
        <w:rPr>
          <w:rFonts w:hint="eastAsia" w:ascii="宋体" w:hAnsi="宋体"/>
          <w:color w:val="auto"/>
          <w:szCs w:val="21"/>
          <w:highlight w:val="none"/>
          <w:u w:val="single"/>
        </w:rPr>
        <w:t>承包人应按照《房屋建筑和市政基础设施工程施工扬尘控制工作方案》（渝建发〔2009〕13号）、《重庆市建设委员会关于印发&lt;重庆市房屋建筑和市政基础设施工程现场文明施工标准&gt;的通知》（渝建发〔2008〕169号）等相关规定履行好施工扬尘控制、文明施工等责任</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承包人应按规定设置施工现场围挡，承包人采用的围挡主体形式应从重庆市城乡建委发布的标准图集（DJBT-062、DJBT-063）中选用，做好施工围挡，围挡应整齐美观，承包人按相关要求做好日常维护和保洁，围挡高度满足规范要求，相关费用已包含在签约合同价中</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6.1.6 关于安全文明施工费支付比例和支付期限的约定：按照行业主管部门相关规定</w:t>
      </w:r>
      <w:r>
        <w:rPr>
          <w:rFonts w:hint="eastAsia" w:ascii="宋体" w:hAnsi="宋体"/>
          <w:color w:val="auto"/>
          <w:szCs w:val="21"/>
          <w:highlight w:val="none"/>
          <w:u w:val="single"/>
        </w:rPr>
        <w:t xml:space="preserve">          </w:t>
      </w:r>
      <w:r>
        <w:rPr>
          <w:rFonts w:hint="eastAsia" w:ascii="宋体" w:hAnsi="宋体"/>
          <w:color w:val="auto"/>
          <w:szCs w:val="21"/>
          <w:highlight w:val="none"/>
        </w:rPr>
        <w:t>执行。</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安全文明施工费的要求与内容、提取支付方法以及违反约定造成损失的赔偿等条款，按照现行规范要求执行，做到专款专用</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281" w:name="_Toc532375615"/>
      <w:bookmarkStart w:id="282" w:name="_Toc532377351"/>
      <w:r>
        <w:rPr>
          <w:rFonts w:hint="eastAsia" w:ascii="宋体" w:hAnsi="宋体" w:cs="宋体"/>
          <w:b/>
          <w:bCs/>
          <w:color w:val="auto"/>
          <w:kern w:val="0"/>
          <w:szCs w:val="21"/>
          <w:highlight w:val="none"/>
        </w:rPr>
        <w:t>6.3 环境保护</w:t>
      </w:r>
      <w:bookmarkEnd w:id="281"/>
      <w:bookmarkEnd w:id="282"/>
    </w:p>
    <w:p>
      <w:pPr>
        <w:tabs>
          <w:tab w:val="left" w:pos="711"/>
          <w:tab w:val="left" w:pos="2580"/>
        </w:tabs>
        <w:spacing w:line="360" w:lineRule="auto"/>
        <w:ind w:firstLine="420" w:firstLineChars="200"/>
        <w:textAlignment w:val="baseline"/>
        <w:rPr>
          <w:rFonts w:ascii="宋体" w:hAnsi="宋体"/>
          <w:color w:val="auto"/>
          <w:szCs w:val="21"/>
          <w:highlight w:val="none"/>
        </w:rPr>
      </w:pPr>
      <w:r>
        <w:rPr>
          <w:rFonts w:hint="eastAsia" w:ascii="宋体" w:hAnsi="宋体"/>
          <w:color w:val="auto"/>
          <w:szCs w:val="21"/>
          <w:highlight w:val="none"/>
        </w:rPr>
        <w:t>本款补充6.3.1～6.3.8项：</w:t>
      </w:r>
    </w:p>
    <w:p>
      <w:pPr>
        <w:tabs>
          <w:tab w:val="left" w:pos="711"/>
          <w:tab w:val="left" w:pos="2580"/>
        </w:tabs>
        <w:spacing w:line="360" w:lineRule="auto"/>
        <w:ind w:firstLine="420" w:firstLineChars="200"/>
        <w:textAlignment w:val="baseline"/>
        <w:rPr>
          <w:rFonts w:ascii="宋体" w:hAnsi="宋体"/>
          <w:color w:val="auto"/>
          <w:szCs w:val="21"/>
          <w:highlight w:val="none"/>
        </w:rPr>
      </w:pPr>
      <w:r>
        <w:rPr>
          <w:rFonts w:hint="eastAsia" w:ascii="宋体" w:hAnsi="宋体"/>
          <w:color w:val="auto"/>
          <w:szCs w:val="21"/>
          <w:highlight w:val="none"/>
        </w:rPr>
        <w:t>6.3.1 承包人应严格按照项目环境影响评价文件批准书结合发包人报送的环境影响报告书的要求进行环境保护的相关工作。如行政主管部门有新标准，则按最新标准执行，执行新标准增加的费用由发包人承担。</w:t>
      </w:r>
    </w:p>
    <w:p>
      <w:pPr>
        <w:tabs>
          <w:tab w:val="left" w:pos="711"/>
          <w:tab w:val="left" w:pos="2580"/>
        </w:tabs>
        <w:spacing w:line="360" w:lineRule="auto"/>
        <w:ind w:firstLine="420" w:firstLineChars="200"/>
        <w:textAlignment w:val="baseline"/>
        <w:rPr>
          <w:rFonts w:ascii="宋体" w:hAnsi="宋体"/>
          <w:color w:val="auto"/>
          <w:szCs w:val="21"/>
          <w:highlight w:val="none"/>
        </w:rPr>
      </w:pPr>
      <w:r>
        <w:rPr>
          <w:rFonts w:hint="eastAsia" w:ascii="宋体" w:hAnsi="宋体"/>
          <w:color w:val="auto"/>
          <w:szCs w:val="21"/>
          <w:highlight w:val="none"/>
        </w:rPr>
        <w:t>6.3.2 承包人应做好对周边环境的调查工作，认真编制施工组织设计，严格按照施工方案组织施工，涉及交通、绿化、市政、环保、生态、公共安全等的施工方案应达到相关标准要求并在施工前得到相关行政主管部门和单位的同意，否则不得施工，因施工原因引起的一切投诉及处罚由承包人自行负责。</w:t>
      </w:r>
    </w:p>
    <w:p>
      <w:pPr>
        <w:tabs>
          <w:tab w:val="left" w:pos="711"/>
          <w:tab w:val="left" w:pos="2580"/>
        </w:tabs>
        <w:spacing w:line="360" w:lineRule="auto"/>
        <w:ind w:firstLine="420" w:firstLineChars="200"/>
        <w:textAlignment w:val="baseline"/>
        <w:rPr>
          <w:rFonts w:ascii="宋体" w:hAnsi="宋体"/>
          <w:color w:val="auto"/>
          <w:szCs w:val="21"/>
          <w:highlight w:val="none"/>
        </w:rPr>
      </w:pPr>
      <w:r>
        <w:rPr>
          <w:rFonts w:hint="eastAsia" w:ascii="宋体" w:hAnsi="宋体"/>
          <w:color w:val="auto"/>
          <w:szCs w:val="21"/>
          <w:highlight w:val="none"/>
        </w:rPr>
        <w:t>6.3.3 承包人应加强生态环境保护工作。施工期间，采取边坡防护，挡渣坝、排水沟、沉淀池、表土剥离和绿化恢复等水土保持措施减少水土流失量，绿化恢复宜采用适于当地生长的植物。</w:t>
      </w:r>
    </w:p>
    <w:p>
      <w:pPr>
        <w:tabs>
          <w:tab w:val="left" w:pos="711"/>
          <w:tab w:val="left" w:pos="2580"/>
        </w:tabs>
        <w:spacing w:line="360" w:lineRule="auto"/>
        <w:ind w:firstLine="420" w:firstLineChars="200"/>
        <w:textAlignment w:val="baseline"/>
        <w:rPr>
          <w:rFonts w:ascii="宋体" w:hAnsi="宋体"/>
          <w:color w:val="auto"/>
          <w:szCs w:val="21"/>
          <w:highlight w:val="none"/>
        </w:rPr>
      </w:pPr>
      <w:r>
        <w:rPr>
          <w:rFonts w:hint="eastAsia" w:ascii="宋体" w:hAnsi="宋体"/>
          <w:color w:val="auto"/>
          <w:szCs w:val="21"/>
          <w:highlight w:val="none"/>
        </w:rPr>
        <w:t>6.3.4 承包人应认真落实水污染防治措施。施工期间，加强机械设备维护，减少跑冒滴漏等现象；做好含油废水处理措施；施工场地生活污水经生化处理后达到《污水综合排放标准》（GB8978-1996）一级标准后排放。</w:t>
      </w:r>
    </w:p>
    <w:p>
      <w:pPr>
        <w:tabs>
          <w:tab w:val="left" w:pos="711"/>
          <w:tab w:val="left" w:pos="2580"/>
        </w:tabs>
        <w:spacing w:line="360" w:lineRule="auto"/>
        <w:ind w:firstLine="420" w:firstLineChars="200"/>
        <w:textAlignment w:val="baseline"/>
        <w:rPr>
          <w:rFonts w:ascii="宋体" w:hAnsi="宋体"/>
          <w:color w:val="auto"/>
          <w:szCs w:val="21"/>
          <w:highlight w:val="none"/>
        </w:rPr>
      </w:pPr>
      <w:r>
        <w:rPr>
          <w:rFonts w:hint="eastAsia" w:ascii="宋体" w:hAnsi="宋体"/>
          <w:color w:val="auto"/>
          <w:szCs w:val="21"/>
          <w:highlight w:val="none"/>
        </w:rPr>
        <w:t>6.3.5 承包人应重视大气污染物污染防治措施。施工期间，严格执行市政府“蓝天行动”方案等有关规定，通过洒水防尘，严格控制施工场地扬尘和运输扬尘污染。</w:t>
      </w:r>
    </w:p>
    <w:p>
      <w:pPr>
        <w:tabs>
          <w:tab w:val="left" w:pos="711"/>
          <w:tab w:val="left" w:pos="2580"/>
        </w:tabs>
        <w:spacing w:line="360" w:lineRule="auto"/>
        <w:ind w:firstLine="420" w:firstLineChars="200"/>
        <w:textAlignment w:val="baseline"/>
        <w:rPr>
          <w:rFonts w:ascii="宋体" w:hAnsi="宋体"/>
          <w:color w:val="auto"/>
          <w:szCs w:val="21"/>
          <w:highlight w:val="none"/>
        </w:rPr>
      </w:pPr>
      <w:r>
        <w:rPr>
          <w:rFonts w:hint="eastAsia" w:ascii="宋体" w:hAnsi="宋体"/>
          <w:color w:val="auto"/>
          <w:szCs w:val="21"/>
          <w:highlight w:val="none"/>
        </w:rPr>
        <w:t>6.3.6 承包人应落实固体废物污染防治措施。施工期间，项目产生的弃方不可合理</w:t>
      </w:r>
      <w:r>
        <w:rPr>
          <w:rFonts w:ascii="宋体" w:hAnsi="宋体"/>
          <w:color w:val="auto"/>
          <w:szCs w:val="21"/>
          <w:highlight w:val="none"/>
        </w:rPr>
        <w:t>利用的</w:t>
      </w:r>
      <w:r>
        <w:rPr>
          <w:rFonts w:hint="eastAsia" w:ascii="宋体" w:hAnsi="宋体"/>
          <w:color w:val="auto"/>
          <w:szCs w:val="21"/>
          <w:highlight w:val="none"/>
        </w:rPr>
        <w:t>，应运往指定的弃渣场内堆存；建筑垃圾运至指定的建筑垃圾消纳场处置；生活垃圾由当地环卫部门统一处置。</w:t>
      </w:r>
    </w:p>
    <w:p>
      <w:pPr>
        <w:tabs>
          <w:tab w:val="left" w:pos="711"/>
          <w:tab w:val="left" w:pos="2580"/>
        </w:tabs>
        <w:spacing w:line="360" w:lineRule="auto"/>
        <w:ind w:firstLine="420" w:firstLineChars="200"/>
        <w:textAlignment w:val="baseline"/>
        <w:rPr>
          <w:rFonts w:ascii="宋体" w:hAnsi="宋体"/>
          <w:color w:val="auto"/>
          <w:szCs w:val="21"/>
          <w:highlight w:val="none"/>
        </w:rPr>
      </w:pPr>
      <w:r>
        <w:rPr>
          <w:rFonts w:hint="eastAsia" w:ascii="宋体" w:hAnsi="宋体"/>
          <w:color w:val="auto"/>
          <w:szCs w:val="21"/>
          <w:highlight w:val="none"/>
        </w:rPr>
        <w:t>6.3.7 承包人应认真落实噪声污染防治措施。施工期间，优选低噪声设备，合理安排施工时间，严格控制夜间施工，昼、夜施工场界需满足《建筑施工场界环境噪声排放标准》（GB12523-2011）。</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6.3.8 承包人自行负责办理有关施工场地交通、环卫和施工噪音管理等手续，并应按要求结合自身实际和重庆市相关规定，考虑不低于以上标准的此类工作。</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6.3.9 </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keepNext/>
        <w:keepLines/>
        <w:spacing w:before="120" w:beforeLines="50" w:after="120" w:afterLines="50" w:line="360" w:lineRule="auto"/>
        <w:outlineLvl w:val="3"/>
        <w:rPr>
          <w:rFonts w:ascii="宋体" w:hAnsi="宋体" w:cs="宋体"/>
          <w:b/>
          <w:color w:val="auto"/>
          <w:szCs w:val="21"/>
          <w:highlight w:val="none"/>
        </w:rPr>
      </w:pPr>
      <w:bookmarkStart w:id="283" w:name="_Toc532377352"/>
      <w:bookmarkStart w:id="284" w:name="_Toc532375616"/>
      <w:bookmarkStart w:id="285" w:name="_Toc351203639"/>
      <w:r>
        <w:rPr>
          <w:rFonts w:hint="eastAsia" w:ascii="宋体" w:hAnsi="宋体" w:cs="宋体"/>
          <w:b/>
          <w:bCs/>
          <w:color w:val="auto"/>
          <w:szCs w:val="21"/>
          <w:highlight w:val="none"/>
        </w:rPr>
        <w:t>7. 工期和进度</w:t>
      </w:r>
      <w:bookmarkEnd w:id="283"/>
      <w:bookmarkEnd w:id="284"/>
      <w:bookmarkEnd w:id="285"/>
    </w:p>
    <w:p>
      <w:pPr>
        <w:spacing w:line="360" w:lineRule="auto"/>
        <w:ind w:firstLine="422" w:firstLineChars="200"/>
        <w:outlineLvl w:val="4"/>
        <w:rPr>
          <w:rFonts w:ascii="宋体" w:hAnsi="宋体" w:cs="宋体"/>
          <w:b/>
          <w:bCs/>
          <w:color w:val="auto"/>
          <w:kern w:val="0"/>
          <w:szCs w:val="21"/>
          <w:highlight w:val="none"/>
        </w:rPr>
      </w:pPr>
      <w:bookmarkStart w:id="286" w:name="_Toc532377353"/>
      <w:bookmarkStart w:id="287" w:name="_Toc532375617"/>
      <w:r>
        <w:rPr>
          <w:rFonts w:hint="eastAsia" w:ascii="宋体" w:hAnsi="宋体" w:cs="宋体"/>
          <w:b/>
          <w:bCs/>
          <w:color w:val="auto"/>
          <w:kern w:val="0"/>
          <w:szCs w:val="21"/>
          <w:highlight w:val="none"/>
        </w:rPr>
        <w:t>7.1 施工组织设计</w:t>
      </w:r>
      <w:bookmarkEnd w:id="286"/>
      <w:bookmarkEnd w:id="287"/>
    </w:p>
    <w:p>
      <w:pPr>
        <w:autoSpaceDE w:val="0"/>
        <w:autoSpaceDN w:val="0"/>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7.1.1 合同当事人约定的施工组织设计应包括的其他内容：</w:t>
      </w:r>
      <w:r>
        <w:rPr>
          <w:rFonts w:hint="eastAsia" w:ascii="宋体" w:hAnsi="宋体"/>
          <w:color w:val="auto"/>
          <w:szCs w:val="21"/>
          <w:highlight w:val="none"/>
          <w:u w:val="single"/>
        </w:rPr>
        <w:t>应采用文字并结合图表形式说明施工方法；拟投入工程的主要施工设备情况、拟配备工程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按发包人要求提供</w:t>
      </w:r>
      <w:r>
        <w:rPr>
          <w:rFonts w:hint="eastAsia" w:ascii="宋体" w:hAnsi="宋体"/>
          <w:color w:val="auto"/>
          <w:szCs w:val="21"/>
          <w:highlight w:val="none"/>
        </w:rPr>
        <w:t>。</w:t>
      </w:r>
    </w:p>
    <w:p>
      <w:pPr>
        <w:autoSpaceDE w:val="0"/>
        <w:autoSpaceDN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7.1.2 施工组织设计的提交和修改</w:t>
      </w:r>
    </w:p>
    <w:p>
      <w:pPr>
        <w:autoSpaceDE w:val="0"/>
        <w:autoSpaceDN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承包人提交详细施工组织设计的期限的约定：</w:t>
      </w:r>
      <w:r>
        <w:rPr>
          <w:rFonts w:hint="eastAsia" w:ascii="宋体" w:hAnsi="宋体"/>
          <w:color w:val="auto"/>
          <w:szCs w:val="21"/>
          <w:highlight w:val="none"/>
          <w:u w:val="single"/>
        </w:rPr>
        <w:t>合同签订后7天内，但最迟不得晚于开工通知载明的开工日期前7天</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发包人和监理人在收到详细的施工组织设计后确认或提出修改意见的期限：</w:t>
      </w:r>
      <w:r>
        <w:rPr>
          <w:rFonts w:hint="eastAsia" w:ascii="宋体" w:hAnsi="宋体"/>
          <w:color w:val="auto"/>
          <w:szCs w:val="21"/>
          <w:highlight w:val="none"/>
          <w:u w:val="single"/>
        </w:rPr>
        <w:t>收到施工组织设计后7天内</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288" w:name="_Toc532375619"/>
      <w:bookmarkStart w:id="289" w:name="_Toc532377355"/>
      <w:bookmarkStart w:id="290" w:name="_Toc312677479"/>
      <w:bookmarkStart w:id="291" w:name="_Toc312678005"/>
      <w:bookmarkStart w:id="292" w:name="_Toc297216173"/>
      <w:bookmarkStart w:id="293" w:name="_Toc300934966"/>
      <w:bookmarkStart w:id="294" w:name="_Toc304295541"/>
      <w:bookmarkStart w:id="295" w:name="_Toc297123514"/>
      <w:bookmarkStart w:id="296" w:name="_Toc303539123"/>
      <w:r>
        <w:rPr>
          <w:rFonts w:hint="eastAsia" w:ascii="宋体" w:hAnsi="宋体" w:cs="宋体"/>
          <w:b/>
          <w:bCs/>
          <w:color w:val="auto"/>
          <w:kern w:val="0"/>
          <w:szCs w:val="21"/>
          <w:highlight w:val="none"/>
        </w:rPr>
        <w:t>7.3 开工</w:t>
      </w:r>
      <w:bookmarkEnd w:id="288"/>
      <w:bookmarkEnd w:id="289"/>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7.3.1 开工准备</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关于承包人提交工程开工报审表的期限：</w:t>
      </w:r>
      <w:r>
        <w:rPr>
          <w:rFonts w:hint="eastAsia" w:ascii="宋体" w:hAnsi="宋体"/>
          <w:color w:val="auto"/>
          <w:szCs w:val="21"/>
          <w:highlight w:val="none"/>
          <w:u w:val="single"/>
        </w:rPr>
        <w:t>不晚于开工前7天</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关于发包人应完成的其他开工准备工作及期限：</w:t>
      </w:r>
      <w:r>
        <w:rPr>
          <w:rFonts w:hint="eastAsia" w:ascii="宋体" w:hAnsi="宋体"/>
          <w:color w:val="auto"/>
          <w:szCs w:val="21"/>
          <w:highlight w:val="none"/>
          <w:u w:val="single"/>
        </w:rPr>
        <w:t>不晚于开工前7天</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关于承包人应完成的其他开工准备工作及期限：</w:t>
      </w:r>
      <w:r>
        <w:rPr>
          <w:rFonts w:hint="eastAsia" w:ascii="宋体" w:hAnsi="宋体"/>
          <w:color w:val="auto"/>
          <w:szCs w:val="21"/>
          <w:highlight w:val="none"/>
          <w:u w:val="single"/>
        </w:rPr>
        <w:t>不晚于开工前7天</w:t>
      </w:r>
      <w:r>
        <w:rPr>
          <w:rFonts w:hint="eastAsia" w:ascii="宋体" w:hAnsi="宋体"/>
          <w:color w:val="auto"/>
          <w:szCs w:val="21"/>
          <w:highlight w:val="none"/>
        </w:rPr>
        <w:t>。</w:t>
      </w:r>
    </w:p>
    <w:bookmarkEnd w:id="290"/>
    <w:bookmarkEnd w:id="291"/>
    <w:bookmarkEnd w:id="292"/>
    <w:bookmarkEnd w:id="293"/>
    <w:bookmarkEnd w:id="294"/>
    <w:bookmarkEnd w:id="295"/>
    <w:bookmarkEnd w:id="296"/>
    <w:p>
      <w:pPr>
        <w:spacing w:line="360" w:lineRule="auto"/>
        <w:ind w:firstLine="422" w:firstLineChars="200"/>
        <w:outlineLvl w:val="4"/>
        <w:rPr>
          <w:rFonts w:ascii="宋体" w:hAnsi="宋体" w:cs="宋体"/>
          <w:b/>
          <w:bCs/>
          <w:color w:val="auto"/>
          <w:kern w:val="0"/>
          <w:szCs w:val="21"/>
          <w:highlight w:val="none"/>
        </w:rPr>
      </w:pPr>
      <w:bookmarkStart w:id="297" w:name="_Toc532375620"/>
      <w:bookmarkStart w:id="298" w:name="_Toc532377356"/>
      <w:r>
        <w:rPr>
          <w:rFonts w:hint="eastAsia" w:ascii="宋体" w:hAnsi="宋体" w:cs="宋体"/>
          <w:b/>
          <w:bCs/>
          <w:color w:val="auto"/>
          <w:kern w:val="0"/>
          <w:szCs w:val="21"/>
          <w:highlight w:val="none"/>
        </w:rPr>
        <w:t>7.4 测量放线</w:t>
      </w:r>
      <w:bookmarkEnd w:id="297"/>
      <w:bookmarkEnd w:id="298"/>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7.4.1 发包人通过监理人向承包人提供测量基准点、基准线和水准点及其书面资料的期限：</w:t>
      </w:r>
      <w:r>
        <w:rPr>
          <w:rFonts w:hint="eastAsia" w:ascii="宋体" w:hAnsi="宋体"/>
          <w:color w:val="auto"/>
          <w:szCs w:val="21"/>
          <w:highlight w:val="none"/>
          <w:u w:val="single"/>
        </w:rPr>
        <w:t>不晚于开工前7天</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承包人报监理人审批施工控制网资料的期限：</w:t>
      </w:r>
      <w:r>
        <w:rPr>
          <w:rFonts w:hint="eastAsia" w:ascii="宋体" w:hAnsi="宋体"/>
          <w:color w:val="auto"/>
          <w:szCs w:val="21"/>
          <w:highlight w:val="none"/>
          <w:u w:val="single"/>
        </w:rPr>
        <w:t>发出开工通知后7天。承包人发现发包人提供的测量基准点、基准线和水准点及其书面资料存在错误或疏漏的，应及时通知监理人并报告发包人，承包人应会同监理人、发包人核实，发包人就如何处理和是否继续施工作出决定，并通过监理人通知承包人</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299" w:name="_Toc532375618"/>
      <w:bookmarkStart w:id="300" w:name="_Toc532377354"/>
      <w:bookmarkStart w:id="301" w:name="_Toc532375621"/>
      <w:bookmarkStart w:id="302" w:name="_Toc532377357"/>
      <w:r>
        <w:rPr>
          <w:rFonts w:hint="eastAsia" w:ascii="宋体" w:hAnsi="宋体" w:cs="宋体"/>
          <w:b/>
          <w:bCs/>
          <w:color w:val="auto"/>
          <w:kern w:val="0"/>
          <w:szCs w:val="21"/>
          <w:highlight w:val="none"/>
        </w:rPr>
        <w:t>7.2 施工进度计划</w:t>
      </w:r>
      <w:bookmarkEnd w:id="299"/>
      <w:bookmarkEnd w:id="300"/>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7.2.2 施工进度计划的修订</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发包人和监理人在收到修订的施工进度计划后确认或提出修改意见的期限：</w:t>
      </w:r>
      <w:r>
        <w:rPr>
          <w:rFonts w:hint="eastAsia" w:ascii="宋体" w:hAnsi="宋体"/>
          <w:color w:val="auto"/>
          <w:szCs w:val="21"/>
          <w:highlight w:val="none"/>
          <w:u w:val="single"/>
        </w:rPr>
        <w:t>收到修订的施工进度计划后14天内</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r>
        <w:rPr>
          <w:rFonts w:hint="eastAsia" w:ascii="宋体" w:hAnsi="宋体" w:cs="宋体"/>
          <w:b/>
          <w:bCs/>
          <w:color w:val="auto"/>
          <w:kern w:val="0"/>
          <w:szCs w:val="21"/>
          <w:highlight w:val="none"/>
        </w:rPr>
        <w:t>7</w:t>
      </w:r>
      <w:bookmarkStart w:id="303" w:name="_Toc300934968"/>
      <w:bookmarkStart w:id="304" w:name="_Toc297123516"/>
      <w:bookmarkStart w:id="305" w:name="_Toc297216175"/>
      <w:bookmarkStart w:id="306" w:name="_Toc312678010"/>
      <w:bookmarkStart w:id="307" w:name="_Toc312677484"/>
      <w:bookmarkStart w:id="308" w:name="_Toc304295546"/>
      <w:bookmarkStart w:id="309" w:name="_Toc303539125"/>
      <w:r>
        <w:rPr>
          <w:rFonts w:hint="eastAsia" w:ascii="宋体" w:hAnsi="宋体" w:cs="宋体"/>
          <w:b/>
          <w:bCs/>
          <w:color w:val="auto"/>
          <w:kern w:val="0"/>
          <w:szCs w:val="21"/>
          <w:highlight w:val="none"/>
        </w:rPr>
        <w:t>.5 工期延误</w:t>
      </w:r>
      <w:bookmarkEnd w:id="301"/>
      <w:bookmarkEnd w:id="302"/>
    </w:p>
    <w:bookmarkEnd w:id="303"/>
    <w:bookmarkEnd w:id="304"/>
    <w:bookmarkEnd w:id="305"/>
    <w:bookmarkEnd w:id="306"/>
    <w:bookmarkEnd w:id="307"/>
    <w:bookmarkEnd w:id="308"/>
    <w:bookmarkEnd w:id="309"/>
    <w:p>
      <w:pPr>
        <w:spacing w:line="360" w:lineRule="auto"/>
        <w:ind w:right="96" w:firstLine="371" w:firstLineChars="177"/>
        <w:rPr>
          <w:rFonts w:ascii="宋体" w:hAnsi="宋体"/>
          <w:color w:val="auto"/>
          <w:kern w:val="0"/>
          <w:szCs w:val="21"/>
          <w:highlight w:val="none"/>
          <w:u w:val="single"/>
          <w:shd w:val="clear" w:color="auto" w:fill="FFFFFF"/>
        </w:rPr>
      </w:pPr>
      <w:bookmarkStart w:id="310" w:name="_Hlk528927940"/>
      <w:r>
        <w:rPr>
          <w:rFonts w:hint="eastAsia" w:ascii="宋体" w:hAnsi="宋体"/>
          <w:color w:val="auto"/>
          <w:kern w:val="0"/>
          <w:szCs w:val="21"/>
          <w:highlight w:val="none"/>
          <w:shd w:val="clear" w:color="auto" w:fill="FFFFFF"/>
        </w:rPr>
        <w:t>7.5.1因发包人原因导致</w:t>
      </w:r>
      <w:r>
        <w:rPr>
          <w:rFonts w:hint="eastAsia" w:ascii="宋体" w:hAnsi="宋体"/>
          <w:color w:val="auto"/>
          <w:szCs w:val="21"/>
          <w:highlight w:val="none"/>
          <w:shd w:val="clear" w:color="auto" w:fill="FFFFFF"/>
        </w:rPr>
        <w:t>工期延误：</w:t>
      </w:r>
      <w:r>
        <w:rPr>
          <w:rFonts w:hint="eastAsia" w:ascii="宋体" w:hAnsi="宋体"/>
          <w:color w:val="auto"/>
          <w:kern w:val="0"/>
          <w:szCs w:val="21"/>
          <w:highlight w:val="none"/>
          <w:u w:val="single"/>
          <w:shd w:val="clear" w:color="auto" w:fill="FFFFFF"/>
        </w:rPr>
        <w:t>不采用通用条款，双方按以下约定执行。</w:t>
      </w:r>
    </w:p>
    <w:p>
      <w:pPr>
        <w:spacing w:line="360" w:lineRule="auto"/>
        <w:ind w:right="96" w:firstLine="371" w:firstLineChars="177"/>
        <w:rPr>
          <w:rFonts w:ascii="宋体" w:hAnsi="宋体"/>
          <w:color w:val="auto"/>
          <w:kern w:val="0"/>
          <w:szCs w:val="21"/>
          <w:highlight w:val="none"/>
          <w:u w:val="single"/>
          <w:shd w:val="clear" w:color="auto" w:fill="FFFFFF"/>
        </w:rPr>
      </w:pPr>
      <w:r>
        <w:rPr>
          <w:rFonts w:hint="eastAsia" w:ascii="宋体" w:hAnsi="宋体"/>
          <w:color w:val="auto"/>
          <w:kern w:val="0"/>
          <w:szCs w:val="21"/>
          <w:highlight w:val="none"/>
          <w:u w:val="single"/>
          <w:shd w:val="clear" w:color="auto" w:fill="FFFFFF"/>
        </w:rPr>
        <w:t>（1）发包人未能在开工前提供施工图纸影响工期超过7天以上的；</w:t>
      </w:r>
    </w:p>
    <w:p>
      <w:pPr>
        <w:spacing w:line="360" w:lineRule="auto"/>
        <w:ind w:right="96" w:firstLine="371" w:firstLineChars="177"/>
        <w:rPr>
          <w:rFonts w:ascii="宋体" w:hAnsi="宋体"/>
          <w:color w:val="auto"/>
          <w:szCs w:val="21"/>
          <w:highlight w:val="none"/>
          <w:u w:val="single"/>
          <w:shd w:val="clear" w:color="auto" w:fill="FFFFFF"/>
        </w:rPr>
      </w:pPr>
      <w:r>
        <w:rPr>
          <w:rFonts w:hint="eastAsia" w:ascii="宋体" w:hAnsi="宋体"/>
          <w:color w:val="auto"/>
          <w:kern w:val="0"/>
          <w:szCs w:val="21"/>
          <w:highlight w:val="none"/>
          <w:u w:val="single"/>
          <w:shd w:val="clear" w:color="auto" w:fill="FFFFFF"/>
        </w:rPr>
        <w:t>（2）经发包人书面盖章确认的重大设计变更，影响</w:t>
      </w:r>
      <w:r>
        <w:rPr>
          <w:rFonts w:hint="eastAsia" w:ascii="宋体" w:hAnsi="宋体"/>
          <w:color w:val="auto"/>
          <w:szCs w:val="21"/>
          <w:highlight w:val="none"/>
          <w:u w:val="single"/>
          <w:shd w:val="clear" w:color="auto" w:fill="FFFFFF"/>
        </w:rPr>
        <w:t>施工进度网络计划中关键线路且无其他工作面可调节，引起工期累计延长15天及以上的；</w:t>
      </w:r>
    </w:p>
    <w:p>
      <w:pPr>
        <w:spacing w:line="360" w:lineRule="auto"/>
        <w:ind w:right="96" w:firstLine="371" w:firstLineChars="177"/>
        <w:rPr>
          <w:rFonts w:ascii="宋体" w:hAnsi="宋体"/>
          <w:color w:val="auto"/>
          <w:kern w:val="0"/>
          <w:szCs w:val="21"/>
          <w:highlight w:val="none"/>
          <w:u w:val="single"/>
          <w:shd w:val="clear" w:color="auto" w:fill="FFFFFF"/>
        </w:rPr>
      </w:pPr>
      <w:r>
        <w:rPr>
          <w:rFonts w:hint="eastAsia" w:ascii="宋体" w:hAnsi="宋体"/>
          <w:color w:val="auto"/>
          <w:kern w:val="0"/>
          <w:szCs w:val="21"/>
          <w:highlight w:val="none"/>
          <w:u w:val="single"/>
          <w:shd w:val="clear" w:color="auto" w:fill="FFFFFF"/>
        </w:rPr>
        <w:t>（3）</w:t>
      </w:r>
      <w:r>
        <w:rPr>
          <w:rFonts w:hint="eastAsia" w:ascii="宋体" w:hAnsi="宋体"/>
          <w:color w:val="auto"/>
          <w:szCs w:val="21"/>
          <w:highlight w:val="none"/>
          <w:u w:val="single"/>
          <w:shd w:val="clear" w:color="auto" w:fill="FFFFFF"/>
        </w:rPr>
        <w:t>因设计变更引起施工面</w:t>
      </w:r>
      <w:r>
        <w:rPr>
          <w:rFonts w:hint="eastAsia" w:ascii="宋体" w:hAnsi="宋体"/>
          <w:color w:val="auto"/>
          <w:kern w:val="0"/>
          <w:szCs w:val="21"/>
          <w:highlight w:val="none"/>
          <w:u w:val="single"/>
          <w:shd w:val="clear" w:color="auto" w:fill="FFFFFF"/>
        </w:rPr>
        <w:t>积增加10%及以上；</w:t>
      </w:r>
    </w:p>
    <w:p>
      <w:pPr>
        <w:spacing w:line="360" w:lineRule="auto"/>
        <w:ind w:right="96" w:firstLine="371" w:firstLineChars="177"/>
        <w:rPr>
          <w:rFonts w:ascii="宋体" w:hAnsi="宋体"/>
          <w:color w:val="auto"/>
          <w:kern w:val="0"/>
          <w:szCs w:val="21"/>
          <w:highlight w:val="none"/>
          <w:u w:val="single"/>
          <w:shd w:val="clear" w:color="auto" w:fill="FFFFFF"/>
        </w:rPr>
      </w:pPr>
      <w:r>
        <w:rPr>
          <w:rFonts w:hint="eastAsia" w:ascii="宋体" w:hAnsi="宋体"/>
          <w:color w:val="auto"/>
          <w:kern w:val="0"/>
          <w:szCs w:val="21"/>
          <w:highlight w:val="none"/>
          <w:u w:val="single"/>
          <w:shd w:val="clear" w:color="auto" w:fill="FFFFFF"/>
        </w:rPr>
        <w:t>（4）不可抗力导致工程停工的；</w:t>
      </w:r>
    </w:p>
    <w:p>
      <w:pPr>
        <w:spacing w:line="360" w:lineRule="auto"/>
        <w:ind w:right="96" w:firstLine="371" w:firstLineChars="177"/>
        <w:rPr>
          <w:rFonts w:ascii="宋体" w:hAnsi="宋体"/>
          <w:color w:val="auto"/>
          <w:kern w:val="0"/>
          <w:szCs w:val="21"/>
          <w:highlight w:val="none"/>
          <w:u w:val="single"/>
          <w:shd w:val="clear" w:color="auto" w:fill="FFFFFF"/>
        </w:rPr>
      </w:pPr>
      <w:r>
        <w:rPr>
          <w:rFonts w:hint="eastAsia" w:ascii="宋体" w:hAnsi="宋体"/>
          <w:color w:val="auto"/>
          <w:kern w:val="0"/>
          <w:szCs w:val="21"/>
          <w:highlight w:val="none"/>
          <w:u w:val="single"/>
          <w:shd w:val="clear" w:color="auto" w:fill="FFFFFF"/>
        </w:rPr>
        <w:t>（5）因政府职能部门政策明文规定要求全面停工累计30天以上的；</w:t>
      </w:r>
    </w:p>
    <w:p>
      <w:pPr>
        <w:spacing w:line="360" w:lineRule="auto"/>
        <w:ind w:right="96" w:firstLine="371" w:firstLineChars="177"/>
        <w:rPr>
          <w:rFonts w:ascii="宋体" w:hAnsi="宋体"/>
          <w:color w:val="auto"/>
          <w:kern w:val="0"/>
          <w:szCs w:val="21"/>
          <w:highlight w:val="none"/>
          <w:u w:val="single"/>
          <w:shd w:val="clear" w:color="auto" w:fill="FFFFFF"/>
        </w:rPr>
      </w:pPr>
      <w:r>
        <w:rPr>
          <w:rFonts w:hint="eastAsia" w:ascii="宋体" w:hAnsi="宋体"/>
          <w:color w:val="auto"/>
          <w:kern w:val="0"/>
          <w:szCs w:val="21"/>
          <w:highlight w:val="none"/>
          <w:u w:val="single"/>
          <w:shd w:val="clear" w:color="auto" w:fill="FFFFFF"/>
        </w:rPr>
        <w:t>（6）发包人未能按合同约定的开工时间提交工作面的；</w:t>
      </w:r>
    </w:p>
    <w:p>
      <w:pPr>
        <w:spacing w:line="360" w:lineRule="auto"/>
        <w:ind w:right="96" w:firstLine="371" w:firstLineChars="177"/>
        <w:rPr>
          <w:rFonts w:ascii="宋体" w:hAnsi="宋体"/>
          <w:color w:val="auto"/>
          <w:kern w:val="0"/>
          <w:szCs w:val="21"/>
          <w:highlight w:val="none"/>
          <w:u w:val="single"/>
          <w:shd w:val="clear" w:color="auto" w:fill="FFFFFF"/>
        </w:rPr>
      </w:pPr>
      <w:r>
        <w:rPr>
          <w:rFonts w:hint="eastAsia" w:ascii="宋体" w:hAnsi="宋体"/>
          <w:color w:val="auto"/>
          <w:kern w:val="0"/>
          <w:szCs w:val="21"/>
          <w:highlight w:val="none"/>
          <w:u w:val="single"/>
          <w:shd w:val="clear" w:color="auto" w:fill="FFFFFF"/>
        </w:rPr>
        <w:t>（7）本协议明确约定可以延长工期的其他情况</w:t>
      </w:r>
    </w:p>
    <w:p>
      <w:pPr>
        <w:spacing w:line="360" w:lineRule="auto"/>
        <w:ind w:right="96" w:firstLine="371" w:firstLineChars="177"/>
        <w:rPr>
          <w:rFonts w:ascii="宋体" w:hAnsi="宋体"/>
          <w:color w:val="auto"/>
          <w:kern w:val="0"/>
          <w:szCs w:val="21"/>
          <w:highlight w:val="none"/>
          <w:u w:val="single"/>
          <w:shd w:val="clear" w:color="auto" w:fill="FFFFFF"/>
        </w:rPr>
      </w:pPr>
      <w:r>
        <w:rPr>
          <w:rFonts w:hint="eastAsia" w:ascii="宋体" w:hAnsi="宋体"/>
          <w:color w:val="auto"/>
          <w:kern w:val="0"/>
          <w:szCs w:val="21"/>
          <w:highlight w:val="none"/>
          <w:u w:val="single"/>
          <w:shd w:val="clear" w:color="auto" w:fill="FFFFFF"/>
        </w:rPr>
        <w:t>以上情况承包人应在情况发生后10天内以书面形式向发包人提交延长工期的报告及相关有效依据，经发包人书面确认后方可顺延工期（具体顺延时间以发包人作出的书面确认为准）；除另有约定外，未经发包人书面确认或者承包人未在情况发生后14日内向发包人提交延长工期的书面报告及相关有效依据的，视为不涉及工期延长；以上情况承包人均不得要求增加合同价款或免于承担违约责任。需修订施工进度计划的，按照第7.2.2项（施工进度计划的修订）执行。</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7.5.2 因承包人原因导致工期延误</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因承包人原因造成工期延误，逾期竣工按16.2.2（6）目执行。</w:t>
      </w:r>
    </w:p>
    <w:bookmarkEnd w:id="310"/>
    <w:p>
      <w:pPr>
        <w:spacing w:line="360" w:lineRule="auto"/>
        <w:ind w:firstLine="422" w:firstLineChars="200"/>
        <w:outlineLvl w:val="4"/>
        <w:rPr>
          <w:rFonts w:ascii="宋体" w:hAnsi="宋体" w:cs="宋体"/>
          <w:b/>
          <w:bCs/>
          <w:color w:val="auto"/>
          <w:kern w:val="0"/>
          <w:szCs w:val="21"/>
          <w:highlight w:val="none"/>
        </w:rPr>
      </w:pPr>
      <w:bookmarkStart w:id="311" w:name="_Toc532377358"/>
      <w:bookmarkStart w:id="312" w:name="_Toc532375622"/>
      <w:bookmarkStart w:id="313" w:name="_Hlk528927997"/>
      <w:r>
        <w:rPr>
          <w:rFonts w:hint="eastAsia" w:ascii="宋体" w:hAnsi="宋体" w:cs="宋体"/>
          <w:b/>
          <w:bCs/>
          <w:color w:val="auto"/>
          <w:kern w:val="0"/>
          <w:szCs w:val="21"/>
          <w:highlight w:val="none"/>
        </w:rPr>
        <w:t>7</w:t>
      </w:r>
      <w:bookmarkStart w:id="314" w:name="_Toc300934971"/>
      <w:bookmarkStart w:id="315" w:name="_Toc297216178"/>
      <w:bookmarkStart w:id="316" w:name="_Toc297123519"/>
      <w:bookmarkStart w:id="317" w:name="_Toc304295549"/>
      <w:bookmarkStart w:id="318" w:name="_Toc303539128"/>
      <w:bookmarkStart w:id="319" w:name="_Toc312678015"/>
      <w:r>
        <w:rPr>
          <w:rFonts w:hint="eastAsia" w:ascii="宋体" w:hAnsi="宋体" w:cs="宋体"/>
          <w:b/>
          <w:bCs/>
          <w:color w:val="auto"/>
          <w:kern w:val="0"/>
          <w:szCs w:val="21"/>
          <w:highlight w:val="none"/>
        </w:rPr>
        <w:t>.6 不</w:t>
      </w:r>
      <w:bookmarkEnd w:id="314"/>
      <w:bookmarkEnd w:id="315"/>
      <w:bookmarkEnd w:id="316"/>
      <w:bookmarkEnd w:id="317"/>
      <w:bookmarkEnd w:id="318"/>
      <w:bookmarkEnd w:id="319"/>
      <w:r>
        <w:rPr>
          <w:rFonts w:hint="eastAsia" w:ascii="宋体" w:hAnsi="宋体" w:cs="宋体"/>
          <w:b/>
          <w:bCs/>
          <w:color w:val="auto"/>
          <w:kern w:val="0"/>
          <w:szCs w:val="21"/>
          <w:highlight w:val="none"/>
        </w:rPr>
        <w:t>利物质条件</w:t>
      </w:r>
      <w:bookmarkEnd w:id="311"/>
      <w:bookmarkEnd w:id="312"/>
    </w:p>
    <w:bookmarkEnd w:id="313"/>
    <w:p>
      <w:pPr>
        <w:spacing w:line="360" w:lineRule="auto"/>
        <w:ind w:firstLine="420" w:firstLineChars="200"/>
        <w:rPr>
          <w:rFonts w:ascii="宋体" w:hAnsi="宋体"/>
          <w:bCs/>
          <w:color w:val="auto"/>
          <w:szCs w:val="21"/>
          <w:highlight w:val="none"/>
        </w:rPr>
      </w:pPr>
      <w:bookmarkStart w:id="320" w:name="_Toc312678016"/>
      <w:bookmarkStart w:id="321" w:name="_Toc300934972"/>
      <w:bookmarkStart w:id="322" w:name="_Toc303539129"/>
      <w:bookmarkStart w:id="323" w:name="_Toc304295550"/>
      <w:bookmarkStart w:id="324" w:name="_Toc318581172"/>
      <w:bookmarkStart w:id="325" w:name="_Toc297216179"/>
      <w:bookmarkStart w:id="326" w:name="_Toc297123520"/>
      <w:r>
        <w:rPr>
          <w:rFonts w:hint="eastAsia" w:ascii="宋体" w:hAnsi="宋体"/>
          <w:color w:val="auto"/>
          <w:szCs w:val="21"/>
          <w:highlight w:val="none"/>
        </w:rPr>
        <w:t>不利物质条件的其他情形和有关约定：</w:t>
      </w:r>
      <w:bookmarkStart w:id="327" w:name="_Hlk528910274"/>
      <w:r>
        <w:rPr>
          <w:rFonts w:hint="eastAsia" w:ascii="宋体" w:hAnsi="宋体"/>
          <w:color w:val="auto"/>
          <w:szCs w:val="21"/>
          <w:highlight w:val="none"/>
          <w:u w:val="single"/>
        </w:rPr>
        <w:t xml:space="preserve">  /  </w:t>
      </w:r>
      <w:r>
        <w:rPr>
          <w:rFonts w:hint="eastAsia" w:ascii="宋体" w:hAnsi="宋体"/>
          <w:color w:val="auto"/>
          <w:szCs w:val="21"/>
          <w:highlight w:val="none"/>
        </w:rPr>
        <w:t>。</w:t>
      </w:r>
    </w:p>
    <w:bookmarkEnd w:id="320"/>
    <w:bookmarkEnd w:id="321"/>
    <w:bookmarkEnd w:id="322"/>
    <w:bookmarkEnd w:id="323"/>
    <w:bookmarkEnd w:id="324"/>
    <w:bookmarkEnd w:id="325"/>
    <w:bookmarkEnd w:id="326"/>
    <w:bookmarkEnd w:id="327"/>
    <w:p>
      <w:pPr>
        <w:spacing w:line="360" w:lineRule="auto"/>
        <w:ind w:firstLine="422" w:firstLineChars="200"/>
        <w:outlineLvl w:val="4"/>
        <w:rPr>
          <w:rFonts w:ascii="宋体" w:hAnsi="宋体" w:cs="宋体"/>
          <w:b/>
          <w:bCs/>
          <w:color w:val="auto"/>
          <w:kern w:val="0"/>
          <w:szCs w:val="21"/>
          <w:highlight w:val="none"/>
        </w:rPr>
      </w:pPr>
      <w:bookmarkStart w:id="328" w:name="_Toc532377359"/>
      <w:bookmarkStart w:id="329" w:name="_Toc532375623"/>
      <w:r>
        <w:rPr>
          <w:rFonts w:hint="eastAsia" w:ascii="宋体" w:hAnsi="宋体" w:cs="宋体"/>
          <w:b/>
          <w:bCs/>
          <w:color w:val="auto"/>
          <w:kern w:val="0"/>
          <w:szCs w:val="21"/>
          <w:highlight w:val="none"/>
        </w:rPr>
        <w:t>7</w:t>
      </w:r>
      <w:bookmarkStart w:id="330" w:name="_Toc303539130"/>
      <w:bookmarkStart w:id="331" w:name="_Toc304295551"/>
      <w:bookmarkStart w:id="332" w:name="_Toc300934973"/>
      <w:bookmarkStart w:id="333" w:name="_Toc297123521"/>
      <w:bookmarkStart w:id="334" w:name="_Toc297216180"/>
      <w:bookmarkStart w:id="335" w:name="_Toc312678017"/>
      <w:r>
        <w:rPr>
          <w:rFonts w:hint="eastAsia" w:ascii="宋体" w:hAnsi="宋体" w:cs="宋体"/>
          <w:b/>
          <w:bCs/>
          <w:color w:val="auto"/>
          <w:kern w:val="0"/>
          <w:szCs w:val="21"/>
          <w:highlight w:val="none"/>
        </w:rPr>
        <w:t>.7异常恶劣的气候条件</w:t>
      </w:r>
      <w:bookmarkEnd w:id="328"/>
      <w:bookmarkEnd w:id="329"/>
    </w:p>
    <w:bookmarkEnd w:id="330"/>
    <w:bookmarkEnd w:id="331"/>
    <w:bookmarkEnd w:id="332"/>
    <w:bookmarkEnd w:id="333"/>
    <w:bookmarkEnd w:id="334"/>
    <w:bookmarkEnd w:id="335"/>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发包人和承包人同意以下情形视为异常恶劣的气候条件：</w:t>
      </w:r>
      <w:r>
        <w:rPr>
          <w:rFonts w:hint="eastAsia" w:ascii="宋体" w:hAnsi="宋体"/>
          <w:color w:val="auto"/>
          <w:szCs w:val="21"/>
          <w:highlight w:val="none"/>
          <w:u w:val="single"/>
        </w:rPr>
        <w:t xml:space="preserve">    （异常气候是指项目所在地50年以上一遇的罕见气候现象）</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336" w:name="_Toc532377360"/>
      <w:bookmarkStart w:id="337" w:name="_Toc532375624"/>
      <w:r>
        <w:rPr>
          <w:rFonts w:hint="eastAsia" w:ascii="宋体" w:hAnsi="宋体" w:cs="宋体"/>
          <w:b/>
          <w:bCs/>
          <w:color w:val="auto"/>
          <w:kern w:val="0"/>
          <w:szCs w:val="21"/>
          <w:highlight w:val="none"/>
        </w:rPr>
        <w:t>7.9 提前竣工</w:t>
      </w:r>
      <w:bookmarkEnd w:id="336"/>
      <w:bookmarkEnd w:id="337"/>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7.9.1项细化为：</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当项目需要提前竣工或项目工期按照第7.5款〔工期延误〕约定顺延后需要提前竣工的，发包人应通过监理人向承包人下达提前竣工指示。承包人同意提前竣工的，应向发包人和监理人提交提前竣工方案，提前竣工方案经监理人和发包人审批后生效。由此增加的费用按照第10.4.1项〔变更估价原则〕约定执行。</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（2）发包人不得随意要求承包人提前竣工，承包人也不得随意提出提前竣工的建议。如遇特殊情况，确需将工期提前的，发包人和承包人必须采取有效措施，确保工程质量。</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（3）如果承包人提前竣工，发包人支付奖金的计算方法在合同条款中约定，时间自竣工验收证书中写明的实际竣工日期起至预定的竣工日期止，按天计算。但奖金最高限额不超过项目7.9.2项的限额。</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7.9.2 提前竣工的奖励：</w:t>
      </w:r>
      <w:r>
        <w:rPr>
          <w:rFonts w:hint="eastAsia" w:ascii="宋体" w:hAnsi="宋体"/>
          <w:color w:val="auto"/>
          <w:szCs w:val="21"/>
          <w:highlight w:val="none"/>
          <w:u w:val="single"/>
        </w:rPr>
        <w:t xml:space="preserve"> 无</w:t>
      </w:r>
      <w:r>
        <w:rPr>
          <w:rFonts w:hint="eastAsia" w:ascii="宋体" w:hAnsi="宋体"/>
          <w:color w:val="auto"/>
          <w:szCs w:val="21"/>
          <w:highlight w:val="none"/>
        </w:rPr>
        <w:t>。</w:t>
      </w:r>
    </w:p>
    <w:p>
      <w:pPr>
        <w:keepNext/>
        <w:keepLines/>
        <w:spacing w:before="120" w:beforeLines="50" w:after="120" w:afterLines="50" w:line="360" w:lineRule="auto"/>
        <w:outlineLvl w:val="3"/>
        <w:rPr>
          <w:rFonts w:ascii="宋体" w:hAnsi="宋体" w:cs="宋体"/>
          <w:b/>
          <w:color w:val="auto"/>
          <w:szCs w:val="21"/>
          <w:highlight w:val="none"/>
        </w:rPr>
      </w:pPr>
      <w:bookmarkStart w:id="338" w:name="_Toc532375625"/>
      <w:bookmarkStart w:id="339" w:name="_Toc532377361"/>
      <w:bookmarkStart w:id="340" w:name="_Toc351203640"/>
      <w:r>
        <w:rPr>
          <w:rFonts w:hint="eastAsia" w:ascii="宋体" w:hAnsi="宋体" w:cs="宋体"/>
          <w:b/>
          <w:bCs/>
          <w:color w:val="auto"/>
          <w:szCs w:val="21"/>
          <w:highlight w:val="none"/>
        </w:rPr>
        <w:t>8. 材料与设备</w:t>
      </w:r>
      <w:bookmarkEnd w:id="338"/>
      <w:bookmarkEnd w:id="339"/>
      <w:bookmarkEnd w:id="340"/>
    </w:p>
    <w:p>
      <w:pPr>
        <w:spacing w:line="360" w:lineRule="auto"/>
        <w:ind w:firstLine="422" w:firstLineChars="200"/>
        <w:outlineLvl w:val="4"/>
        <w:rPr>
          <w:rFonts w:ascii="宋体" w:hAnsi="宋体" w:cs="宋体"/>
          <w:b/>
          <w:bCs/>
          <w:color w:val="auto"/>
          <w:kern w:val="0"/>
          <w:szCs w:val="21"/>
          <w:highlight w:val="none"/>
        </w:rPr>
      </w:pPr>
      <w:bookmarkStart w:id="341" w:name="_Toc532375626"/>
      <w:bookmarkStart w:id="342" w:name="_Toc532377362"/>
      <w:r>
        <w:rPr>
          <w:rFonts w:hint="eastAsia" w:ascii="宋体" w:hAnsi="宋体" w:cs="宋体"/>
          <w:b/>
          <w:bCs/>
          <w:color w:val="auto"/>
          <w:kern w:val="0"/>
          <w:szCs w:val="21"/>
          <w:highlight w:val="none"/>
        </w:rPr>
        <w:t>8.1发包人供应材料与工程设备</w:t>
      </w:r>
      <w:bookmarkEnd w:id="341"/>
      <w:bookmarkEnd w:id="342"/>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材料的名称、规格、数量和价格：</w:t>
      </w:r>
    </w:p>
    <w:p>
      <w:pPr>
        <w:spacing w:line="360" w:lineRule="auto"/>
        <w:ind w:firstLine="420" w:firstLineChars="200"/>
        <w:rPr>
          <w:color w:val="auto"/>
          <w:highlight w:val="none"/>
        </w:rPr>
      </w:pPr>
      <w:r>
        <w:rPr>
          <w:rFonts w:hint="eastAsia" w:ascii="宋体" w:hAnsi="宋体"/>
          <w:color w:val="auto"/>
          <w:szCs w:val="21"/>
          <w:highlight w:val="none"/>
          <w:u w:val="single"/>
          <w:shd w:val="clear" w:color="auto" w:fill="FFFFFF"/>
        </w:rPr>
        <w:t>发包人确定的暂定价材料设备由承包人在使用该项材料、设备前28天向发包人提供该项材料、设备的规格、型号、数量、报价等（可建议生产厂家）资料，由发包人认定材料质量、生产厂家、价格等，并由监理工程师、现场代表封样验收。如承包人未在规定时间内提供以上资料报经发包人和监理人认可而擅自使用，该项材料、设备在结算时将不予计价，发包人和监理人应在收到承包人资料后28天内予以确认，若因发包人或监理人未在规定时间内予以确认，承包人可按报送资料上的产品进行采购。</w:t>
      </w:r>
    </w:p>
    <w:p>
      <w:pPr>
        <w:spacing w:line="360" w:lineRule="auto"/>
        <w:ind w:firstLine="422" w:firstLineChars="200"/>
        <w:outlineLvl w:val="4"/>
        <w:rPr>
          <w:rFonts w:ascii="宋体" w:hAnsi="宋体" w:cs="宋体"/>
          <w:b/>
          <w:bCs/>
          <w:color w:val="auto"/>
          <w:kern w:val="0"/>
          <w:szCs w:val="21"/>
          <w:highlight w:val="none"/>
        </w:rPr>
      </w:pPr>
      <w:bookmarkStart w:id="343" w:name="_Toc351203554"/>
      <w:bookmarkStart w:id="344" w:name="_Toc532377363"/>
      <w:bookmarkStart w:id="345" w:name="_Toc532375627"/>
      <w:r>
        <w:rPr>
          <w:rFonts w:hint="eastAsia" w:ascii="宋体" w:hAnsi="宋体" w:cs="宋体"/>
          <w:b/>
          <w:bCs/>
          <w:color w:val="auto"/>
          <w:kern w:val="0"/>
          <w:szCs w:val="21"/>
          <w:highlight w:val="none"/>
        </w:rPr>
        <w:t>8</w:t>
      </w:r>
      <w:bookmarkStart w:id="346" w:name="_Toc296503060"/>
      <w:bookmarkStart w:id="347" w:name="_Toc296346561"/>
      <w:bookmarkStart w:id="348" w:name="_Toc337558778"/>
      <w:r>
        <w:rPr>
          <w:rFonts w:hint="eastAsia" w:ascii="宋体" w:hAnsi="宋体" w:cs="宋体"/>
          <w:b/>
          <w:bCs/>
          <w:color w:val="auto"/>
          <w:kern w:val="0"/>
          <w:szCs w:val="21"/>
          <w:highlight w:val="none"/>
        </w:rPr>
        <w:t>.2 承包人采购材料与工程设备</w:t>
      </w:r>
      <w:bookmarkEnd w:id="343"/>
      <w:bookmarkEnd w:id="344"/>
      <w:bookmarkEnd w:id="345"/>
    </w:p>
    <w:bookmarkEnd w:id="346"/>
    <w:bookmarkEnd w:id="347"/>
    <w:bookmarkEnd w:id="348"/>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8.2.1承包人负责采购、运输和保管的材料、工程设备：</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1）本工程所有材料均由承包人自行采购。承包人采购的材料设备必须按合同与招标文件约定的品牌、材质、厂家、规格进行采购。</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2）承包人所采购的设备材料由承包人承担质量责任，应按照设计和相关标准规范要求采购，并提供质保书和相关质量检验证明，承包人采购的所有设备材料须经发包人及监理认可后方能使用。</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3）承包人自报价的材料设备，若承包人拒绝购买，为保证工程顺利进行，发包人有权将该种材料设备改为甲供，按发包人采购价格从承包人工程价款中扣除，并向承包人收取该材料设备采购金额50%的违约金，由此造成的工期延误由承包人承担。</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8.2.2承包人报送监理人审批的时间：</w:t>
      </w:r>
      <w:r>
        <w:rPr>
          <w:rFonts w:hint="eastAsia" w:ascii="宋体" w:hAnsi="宋体"/>
          <w:color w:val="auto"/>
          <w:szCs w:val="21"/>
          <w:highlight w:val="none"/>
          <w:u w:val="single"/>
        </w:rPr>
        <w:t>按发包人及监理单位的相关规定执行</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8.2.3承包人选择的生产厂家或供应商满足下列条件：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A.承包人选择的混凝土供应商应满足下列条件：</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B.承包人选择的钢材供应商应满足下列条件：</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C.承包人选择的水泥供应商应满足下列条件：</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D.承包人采购的材料与设计或标准要求不符时，承包人应按发包人和监理人要求的时间运出施工场地，并重新采购符合要求的产品，并承担由此发生的费用，因此延误的工期不予顺延。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E.承包人采购的材料在使用前，应按发包人和监理人的要求进行检验或试验，不合格的不得使用。</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F.</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349" w:name="_Toc532377364"/>
      <w:bookmarkStart w:id="350" w:name="_Toc532375628"/>
      <w:r>
        <w:rPr>
          <w:rFonts w:hint="eastAsia" w:ascii="宋体" w:hAnsi="宋体" w:cs="宋体"/>
          <w:b/>
          <w:bCs/>
          <w:color w:val="auto"/>
          <w:kern w:val="0"/>
          <w:szCs w:val="21"/>
          <w:highlight w:val="none"/>
        </w:rPr>
        <w:t>8</w:t>
      </w:r>
      <w:bookmarkStart w:id="351" w:name="_Toc296503167"/>
      <w:bookmarkStart w:id="352" w:name="_Toc312677493"/>
      <w:bookmarkStart w:id="353" w:name="_Toc292559877"/>
      <w:bookmarkStart w:id="354" w:name="_Toc297048353"/>
      <w:bookmarkStart w:id="355" w:name="_Toc297120467"/>
      <w:bookmarkStart w:id="356" w:name="_Toc303539136"/>
      <w:bookmarkStart w:id="357" w:name="_Toc297216186"/>
      <w:bookmarkStart w:id="358" w:name="_Toc296890995"/>
      <w:bookmarkStart w:id="359" w:name="_Toc304295556"/>
      <w:bookmarkStart w:id="360" w:name="_Toc296347166"/>
      <w:bookmarkStart w:id="361" w:name="_Toc297123527"/>
      <w:bookmarkStart w:id="362" w:name="_Toc280868654"/>
      <w:bookmarkStart w:id="363" w:name="_Toc292559372"/>
      <w:bookmarkStart w:id="364" w:name="_Toc296346668"/>
      <w:bookmarkStart w:id="365" w:name="_Toc296891207"/>
      <w:bookmarkStart w:id="366" w:name="_Toc312678019"/>
      <w:bookmarkStart w:id="367" w:name="_Toc296944506"/>
      <w:bookmarkStart w:id="368" w:name="_Toc300934979"/>
      <w:bookmarkStart w:id="369" w:name="_Toc267251424"/>
      <w:bookmarkStart w:id="370" w:name="_Toc280868655"/>
      <w:bookmarkStart w:id="371" w:name="_Toc280868656"/>
      <w:r>
        <w:rPr>
          <w:rFonts w:hint="eastAsia" w:ascii="宋体" w:hAnsi="宋体" w:cs="宋体"/>
          <w:b/>
          <w:bCs/>
          <w:color w:val="auto"/>
          <w:kern w:val="0"/>
          <w:szCs w:val="21"/>
          <w:highlight w:val="none"/>
        </w:rPr>
        <w:t>.4 材料与工程设备的保管与使用</w:t>
      </w:r>
      <w:bookmarkEnd w:id="349"/>
      <w:bookmarkEnd w:id="350"/>
    </w:p>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8</w:t>
      </w:r>
      <w:bookmarkStart w:id="372" w:name="_Toc292559373"/>
      <w:bookmarkStart w:id="373" w:name="_Toc292559878"/>
      <w:bookmarkStart w:id="374" w:name="_Toc304295557"/>
      <w:bookmarkStart w:id="375" w:name="_Toc312677494"/>
      <w:bookmarkStart w:id="376" w:name="_Toc318581173"/>
      <w:bookmarkStart w:id="377" w:name="_Toc297123528"/>
      <w:bookmarkStart w:id="378" w:name="_Toc296891208"/>
      <w:bookmarkStart w:id="379" w:name="_Toc296346669"/>
      <w:bookmarkStart w:id="380" w:name="_Toc303539137"/>
      <w:bookmarkStart w:id="381" w:name="_Toc297120468"/>
      <w:bookmarkStart w:id="382" w:name="_Toc312678020"/>
      <w:bookmarkStart w:id="383" w:name="_Toc300934980"/>
      <w:bookmarkStart w:id="384" w:name="_Toc297216187"/>
      <w:bookmarkStart w:id="385" w:name="_Toc296944507"/>
      <w:bookmarkStart w:id="386" w:name="_Toc296347167"/>
      <w:bookmarkStart w:id="387" w:name="_Toc296890996"/>
      <w:bookmarkStart w:id="388" w:name="_Toc297048354"/>
      <w:bookmarkStart w:id="389" w:name="_Toc296503168"/>
      <w:r>
        <w:rPr>
          <w:rFonts w:hint="eastAsia" w:ascii="宋体" w:hAnsi="宋体"/>
          <w:color w:val="auto"/>
          <w:szCs w:val="21"/>
          <w:highlight w:val="none"/>
        </w:rPr>
        <w:t>.4.1 发包人供应的材料设备的保管费用的承担：</w:t>
      </w:r>
      <w:r>
        <w:rPr>
          <w:rFonts w:hint="eastAsia" w:ascii="宋体" w:hAnsi="宋体"/>
          <w:color w:val="auto"/>
          <w:szCs w:val="21"/>
          <w:highlight w:val="none"/>
          <w:u w:val="single"/>
        </w:rPr>
        <w:t xml:space="preserve"> 由承包人承担，费用已含在签约合同价中 </w:t>
      </w:r>
      <w:r>
        <w:rPr>
          <w:rFonts w:hint="eastAsia" w:ascii="宋体" w:hAnsi="宋体"/>
          <w:color w:val="auto"/>
          <w:szCs w:val="21"/>
          <w:highlight w:val="none"/>
        </w:rPr>
        <w:t>。</w:t>
      </w:r>
      <w:bookmarkEnd w:id="372"/>
      <w:bookmarkEnd w:id="373"/>
    </w:p>
    <w:p>
      <w:pPr>
        <w:spacing w:line="360" w:lineRule="auto"/>
        <w:ind w:firstLine="422" w:firstLineChars="200"/>
        <w:outlineLvl w:val="4"/>
        <w:rPr>
          <w:rFonts w:ascii="宋体" w:hAnsi="宋体" w:cs="宋体"/>
          <w:b/>
          <w:bCs/>
          <w:color w:val="auto"/>
          <w:kern w:val="0"/>
          <w:szCs w:val="21"/>
          <w:highlight w:val="none"/>
        </w:rPr>
      </w:pPr>
      <w:bookmarkStart w:id="390" w:name="_Toc532377365"/>
      <w:bookmarkStart w:id="391" w:name="_Toc532375629"/>
      <w:r>
        <w:rPr>
          <w:rFonts w:hint="eastAsia" w:ascii="宋体" w:hAnsi="宋体" w:cs="宋体"/>
          <w:b/>
          <w:bCs/>
          <w:color w:val="auto"/>
          <w:kern w:val="0"/>
          <w:szCs w:val="21"/>
          <w:highlight w:val="none"/>
        </w:rPr>
        <w:t>8.6 样品</w:t>
      </w:r>
      <w:bookmarkEnd w:id="390"/>
      <w:bookmarkEnd w:id="391"/>
    </w:p>
    <w:p>
      <w:pPr>
        <w:autoSpaceDE w:val="0"/>
        <w:autoSpaceDN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8.6.1 样品的报送与封存</w:t>
      </w:r>
    </w:p>
    <w:p>
      <w:pPr>
        <w:autoSpaceDE w:val="0"/>
        <w:autoSpaceDN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需要承包人报送样品的材料或工程设备，样品的种类、名称、规格、数量要求：</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392" w:name="_Toc532377366"/>
      <w:bookmarkStart w:id="393" w:name="_Toc532375630"/>
      <w:r>
        <w:rPr>
          <w:rFonts w:hint="eastAsia" w:ascii="宋体" w:hAnsi="宋体" w:cs="宋体"/>
          <w:b/>
          <w:bCs/>
          <w:color w:val="auto"/>
          <w:kern w:val="0"/>
          <w:szCs w:val="21"/>
          <w:highlight w:val="none"/>
        </w:rPr>
        <w:t>8.8 施工设备和临时设施</w:t>
      </w:r>
      <w:bookmarkEnd w:id="392"/>
      <w:bookmarkEnd w:id="393"/>
    </w:p>
    <w:p>
      <w:pPr>
        <w:autoSpaceDE w:val="0"/>
        <w:autoSpaceDN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8.8.1 承包人提供的施工设备和临时设施</w:t>
      </w:r>
    </w:p>
    <w:p>
      <w:pPr>
        <w:autoSpaceDE w:val="0"/>
        <w:autoSpaceDN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关于修建临时设施费用承担的约定：</w:t>
      </w:r>
      <w:r>
        <w:rPr>
          <w:rFonts w:hint="eastAsia" w:ascii="宋体" w:hAnsi="宋体"/>
          <w:color w:val="auto"/>
          <w:szCs w:val="21"/>
          <w:highlight w:val="none"/>
          <w:u w:val="single"/>
        </w:rPr>
        <w:t>承包人自行配置施工设备和修建临时设施满足施工的需要，费用由承包人自行承担，若承包人认为发包人提供的场地不足，可自行租赁场地，并负责办理相关手续，费用由承包人自行承担，已含在签约合同价中</w:t>
      </w:r>
      <w:r>
        <w:rPr>
          <w:rFonts w:hint="eastAsia" w:ascii="宋体" w:hAnsi="宋体"/>
          <w:color w:val="auto"/>
          <w:szCs w:val="21"/>
          <w:highlight w:val="none"/>
        </w:rPr>
        <w:t>。</w:t>
      </w:r>
    </w:p>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Pr>
        <w:keepNext/>
        <w:keepLines/>
        <w:spacing w:before="120" w:beforeLines="50" w:after="120" w:afterLines="50" w:line="360" w:lineRule="auto"/>
        <w:outlineLvl w:val="3"/>
        <w:rPr>
          <w:rFonts w:ascii="宋体" w:hAnsi="宋体" w:cs="宋体"/>
          <w:b/>
          <w:color w:val="auto"/>
          <w:szCs w:val="21"/>
          <w:highlight w:val="none"/>
        </w:rPr>
      </w:pPr>
      <w:bookmarkStart w:id="394" w:name="_Toc351203641"/>
      <w:bookmarkStart w:id="395" w:name="_Toc532377367"/>
      <w:bookmarkStart w:id="396" w:name="_Toc532375631"/>
      <w:r>
        <w:rPr>
          <w:rFonts w:hint="eastAsia" w:ascii="宋体" w:hAnsi="宋体" w:cs="宋体"/>
          <w:b/>
          <w:bCs/>
          <w:color w:val="auto"/>
          <w:szCs w:val="21"/>
          <w:highlight w:val="none"/>
        </w:rPr>
        <w:t>9</w:t>
      </w:r>
      <w:bookmarkEnd w:id="369"/>
      <w:bookmarkEnd w:id="370"/>
      <w:bookmarkEnd w:id="371"/>
      <w:bookmarkStart w:id="397" w:name="_Toc312677495"/>
      <w:bookmarkStart w:id="398" w:name="_Toc300934982"/>
      <w:bookmarkStart w:id="399" w:name="_Toc303539139"/>
      <w:bookmarkStart w:id="400" w:name="_Toc304295559"/>
      <w:bookmarkStart w:id="401" w:name="_Toc297216192"/>
      <w:bookmarkStart w:id="402" w:name="_Toc312678021"/>
      <w:bookmarkStart w:id="403" w:name="_Toc297123533"/>
      <w:r>
        <w:rPr>
          <w:rFonts w:hint="eastAsia" w:ascii="宋体" w:hAnsi="宋体" w:cs="宋体"/>
          <w:b/>
          <w:bCs/>
          <w:color w:val="auto"/>
          <w:szCs w:val="21"/>
          <w:highlight w:val="none"/>
        </w:rPr>
        <w:t>. 试验与检验</w:t>
      </w:r>
      <w:bookmarkEnd w:id="394"/>
      <w:bookmarkEnd w:id="395"/>
      <w:bookmarkEnd w:id="396"/>
    </w:p>
    <w:bookmarkEnd w:id="397"/>
    <w:bookmarkEnd w:id="398"/>
    <w:bookmarkEnd w:id="399"/>
    <w:bookmarkEnd w:id="400"/>
    <w:bookmarkEnd w:id="401"/>
    <w:bookmarkEnd w:id="402"/>
    <w:bookmarkEnd w:id="403"/>
    <w:p>
      <w:pPr>
        <w:spacing w:line="360" w:lineRule="auto"/>
        <w:ind w:firstLine="422" w:firstLineChars="200"/>
        <w:outlineLvl w:val="4"/>
        <w:rPr>
          <w:rFonts w:ascii="宋体" w:hAnsi="宋体" w:cs="宋体"/>
          <w:b/>
          <w:bCs/>
          <w:color w:val="auto"/>
          <w:kern w:val="0"/>
          <w:szCs w:val="21"/>
          <w:highlight w:val="none"/>
        </w:rPr>
      </w:pPr>
      <w:bookmarkStart w:id="404" w:name="_Toc532375632"/>
      <w:bookmarkStart w:id="405" w:name="_Toc532377368"/>
      <w:r>
        <w:rPr>
          <w:rFonts w:hint="eastAsia" w:ascii="宋体" w:hAnsi="宋体" w:cs="宋体"/>
          <w:b/>
          <w:bCs/>
          <w:color w:val="auto"/>
          <w:kern w:val="0"/>
          <w:szCs w:val="21"/>
          <w:highlight w:val="none"/>
        </w:rPr>
        <w:t>9</w:t>
      </w:r>
      <w:bookmarkStart w:id="406" w:name="_Toc300934983"/>
      <w:bookmarkStart w:id="407" w:name="_Toc304295560"/>
      <w:bookmarkStart w:id="408" w:name="_Toc297216193"/>
      <w:bookmarkStart w:id="409" w:name="_Toc303539140"/>
      <w:bookmarkStart w:id="410" w:name="_Toc297123534"/>
      <w:bookmarkStart w:id="411" w:name="_Toc312677496"/>
      <w:bookmarkStart w:id="412" w:name="_Toc312678022"/>
      <w:r>
        <w:rPr>
          <w:rFonts w:hint="eastAsia" w:ascii="宋体" w:hAnsi="宋体" w:cs="宋体"/>
          <w:b/>
          <w:bCs/>
          <w:color w:val="auto"/>
          <w:kern w:val="0"/>
          <w:szCs w:val="21"/>
          <w:highlight w:val="none"/>
        </w:rPr>
        <w:t>.1 试验设备与试验人员</w:t>
      </w:r>
      <w:bookmarkEnd w:id="404"/>
      <w:bookmarkEnd w:id="405"/>
    </w:p>
    <w:bookmarkEnd w:id="406"/>
    <w:bookmarkEnd w:id="407"/>
    <w:bookmarkEnd w:id="408"/>
    <w:bookmarkEnd w:id="409"/>
    <w:bookmarkEnd w:id="410"/>
    <w:bookmarkEnd w:id="411"/>
    <w:bookmarkEnd w:id="412"/>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9</w:t>
      </w:r>
      <w:bookmarkStart w:id="413" w:name="_Toc312678023"/>
      <w:bookmarkStart w:id="414" w:name="_Toc303539141"/>
      <w:bookmarkStart w:id="415" w:name="_Toc297123535"/>
      <w:bookmarkStart w:id="416" w:name="_Toc300934984"/>
      <w:bookmarkStart w:id="417" w:name="_Toc304295561"/>
      <w:bookmarkStart w:id="418" w:name="_Toc297216194"/>
      <w:bookmarkStart w:id="419" w:name="_Toc312677497"/>
      <w:bookmarkStart w:id="420" w:name="_Toc318581174"/>
      <w:r>
        <w:rPr>
          <w:rFonts w:hint="eastAsia" w:ascii="宋体" w:hAnsi="宋体"/>
          <w:color w:val="auto"/>
          <w:szCs w:val="21"/>
          <w:highlight w:val="none"/>
        </w:rPr>
        <w:t>.1.2 试验设备</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施工现场需要配置的试验场所：</w:t>
      </w:r>
      <w:bookmarkEnd w:id="413"/>
      <w:bookmarkEnd w:id="414"/>
      <w:bookmarkEnd w:id="415"/>
      <w:bookmarkEnd w:id="416"/>
      <w:bookmarkEnd w:id="417"/>
      <w:bookmarkEnd w:id="418"/>
      <w:bookmarkEnd w:id="419"/>
      <w:bookmarkStart w:id="421" w:name="_Toc312677498"/>
      <w:bookmarkStart w:id="422" w:name="_Toc297216195"/>
      <w:bookmarkStart w:id="423" w:name="_Toc312678024"/>
      <w:bookmarkStart w:id="424" w:name="_Toc304295562"/>
      <w:bookmarkStart w:id="425" w:name="_Toc303539142"/>
      <w:bookmarkStart w:id="426" w:name="_Toc300934985"/>
      <w:bookmarkStart w:id="427" w:name="_Toc297123536"/>
      <w:r>
        <w:rPr>
          <w:rFonts w:hint="eastAsia" w:ascii="宋体" w:hAnsi="宋体"/>
          <w:color w:val="auto"/>
          <w:szCs w:val="21"/>
          <w:highlight w:val="none"/>
          <w:u w:val="single"/>
          <w:shd w:val="clear" w:color="auto" w:fill="FFFFFF"/>
        </w:rPr>
        <w:t>满足施工及验收规范的规定</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施工现场需要配备的试验设备：</w:t>
      </w:r>
      <w:r>
        <w:rPr>
          <w:rFonts w:hint="eastAsia" w:ascii="宋体" w:hAnsi="宋体"/>
          <w:color w:val="auto"/>
          <w:szCs w:val="21"/>
          <w:highlight w:val="none"/>
          <w:u w:val="single"/>
          <w:shd w:val="clear" w:color="auto" w:fill="FFFFFF"/>
        </w:rPr>
        <w:t>满足施工及验收规范的规定</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施工现场需要具备的其他试验条件：</w:t>
      </w:r>
      <w:r>
        <w:rPr>
          <w:rFonts w:hint="eastAsia" w:ascii="宋体" w:hAnsi="宋体"/>
          <w:color w:val="auto"/>
          <w:szCs w:val="21"/>
          <w:highlight w:val="none"/>
          <w:u w:val="single"/>
        </w:rPr>
        <w:t xml:space="preserve"> </w:t>
      </w:r>
      <w:r>
        <w:rPr>
          <w:rFonts w:hint="eastAsia" w:ascii="宋体" w:hAnsi="宋体"/>
          <w:color w:val="auto"/>
          <w:szCs w:val="21"/>
          <w:highlight w:val="none"/>
          <w:u w:val="single"/>
          <w:shd w:val="clear" w:color="auto" w:fill="FFFFFF"/>
        </w:rPr>
        <w:t>满足施工及验收规范的规定</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428" w:name="_Toc532377369"/>
      <w:bookmarkStart w:id="429" w:name="_Toc532375633"/>
      <w:r>
        <w:rPr>
          <w:rFonts w:hint="eastAsia" w:ascii="宋体" w:hAnsi="宋体" w:cs="宋体"/>
          <w:b/>
          <w:bCs/>
          <w:color w:val="auto"/>
          <w:kern w:val="0"/>
          <w:szCs w:val="21"/>
          <w:highlight w:val="none"/>
        </w:rPr>
        <w:t>9.4 现场工艺试验</w:t>
      </w:r>
      <w:bookmarkEnd w:id="428"/>
      <w:bookmarkEnd w:id="429"/>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本款补充9.4.1～9.4.5项：</w:t>
      </w:r>
    </w:p>
    <w:bookmarkEnd w:id="420"/>
    <w:bookmarkEnd w:id="421"/>
    <w:bookmarkEnd w:id="422"/>
    <w:bookmarkEnd w:id="423"/>
    <w:bookmarkEnd w:id="424"/>
    <w:bookmarkEnd w:id="425"/>
    <w:bookmarkEnd w:id="426"/>
    <w:bookmarkEnd w:id="427"/>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9.4.1一般检验试验：</w:t>
      </w:r>
    </w:p>
    <w:p>
      <w:pPr>
        <w:tabs>
          <w:tab w:val="left" w:pos="711"/>
          <w:tab w:val="left" w:pos="2580"/>
        </w:tabs>
        <w:spacing w:line="360" w:lineRule="auto"/>
        <w:ind w:firstLine="420" w:firstLineChars="200"/>
        <w:textAlignment w:val="baseline"/>
        <w:rPr>
          <w:rFonts w:ascii="宋体" w:hAnsi="宋体"/>
          <w:color w:val="auto"/>
          <w:szCs w:val="21"/>
          <w:highlight w:val="none"/>
        </w:rPr>
      </w:pPr>
      <w:r>
        <w:rPr>
          <w:rFonts w:hint="eastAsia" w:ascii="宋体" w:hAnsi="宋体"/>
          <w:color w:val="auto"/>
          <w:szCs w:val="21"/>
          <w:highlight w:val="none"/>
        </w:rPr>
        <w:t>根据《建设工程质量检测管理办法》（建设部令第141号）、关于实施《建设工程质量检测管理办法》有关问题的通知（建质〔2009〕25号）、《重庆市建设工程质量检测管理规定》（渝建发〔2009〕123号）、《关于加强我市建设工程质量检测委托管理的通知》（渝建〔2015〕420号）和有关施工规范、验收标准及施工图的规定或要求，对工程材料、构件、建筑安装物、半成品、成品进行的一般质量鉴定、检测和试验，由发包人委托的第三方检测试验机构实施，所发生的鉴定、检测和试验费用由发包人承担，不包含在合同价格中。</w:t>
      </w:r>
    </w:p>
    <w:p>
      <w:pPr>
        <w:tabs>
          <w:tab w:val="left" w:pos="711"/>
          <w:tab w:val="left" w:pos="2580"/>
        </w:tabs>
        <w:spacing w:line="360" w:lineRule="auto"/>
        <w:ind w:firstLine="420" w:firstLineChars="200"/>
        <w:textAlignment w:val="baseline"/>
        <w:rPr>
          <w:rFonts w:ascii="宋体" w:hAnsi="宋体"/>
          <w:color w:val="auto"/>
          <w:szCs w:val="21"/>
          <w:highlight w:val="none"/>
        </w:rPr>
      </w:pPr>
      <w:r>
        <w:rPr>
          <w:rFonts w:hint="eastAsia" w:ascii="宋体" w:hAnsi="宋体"/>
          <w:color w:val="auto"/>
          <w:szCs w:val="21"/>
          <w:highlight w:val="none"/>
        </w:rPr>
        <w:t>实施前，由发包人、承包人和第三方检测试验机构签订三方合同，第三方检测试验机构分别向承包人和发包人出具相应的检测试验报告。根据渝建〔2015〕420号文和有关施工规范、验收标准及施工图的规定或要求，所做的上述检测试验所需的试件取样、制作、送检，试件制作需要提供的材料以及检测、试验的配合工作由承包人负责完成并承担由此产生的所有相关费用。</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9.4.2特殊检验试验：</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（1）除“施工措施的检测、试验”外，包括但不限于路基弯沉值试验、路面承载力试验、桥梁荷载试验、锚固试验、桩基检测、锚杆抗拔检验、锚索预应力检测、外墙面砖抗粘接试验、室内有害物质检测、门窗 （幕墙）三性检测、石材放射性检测、石膏板阻燃检测、挡土墙抗渗试验、保温层隔热检测等（根据项目实际情况增减）设计施工规范及其他法律法规规范规定的特殊检验试验项目，根据渝建〔2015〕420号文的规定，均由发包人委托相应的第三方检测试验机构进行检测，所发生的特殊检验试验费由发包人承担，不包含在合同价格中。</w:t>
      </w:r>
    </w:p>
    <w:p>
      <w:pPr>
        <w:tabs>
          <w:tab w:val="left" w:pos="711"/>
          <w:tab w:val="left" w:pos="2580"/>
        </w:tabs>
        <w:spacing w:line="360" w:lineRule="auto"/>
        <w:ind w:firstLine="420" w:firstLineChars="200"/>
        <w:textAlignment w:val="baseline"/>
        <w:rPr>
          <w:rFonts w:ascii="宋体" w:hAnsi="宋体"/>
          <w:color w:val="auto"/>
          <w:szCs w:val="21"/>
          <w:highlight w:val="none"/>
        </w:rPr>
      </w:pPr>
      <w:r>
        <w:rPr>
          <w:rFonts w:hint="eastAsia" w:ascii="宋体" w:hAnsi="宋体"/>
          <w:color w:val="auto"/>
          <w:szCs w:val="21"/>
          <w:highlight w:val="none"/>
        </w:rPr>
        <w:t>发包人委托的第三方检测试验机构检测试验的试件所需的材料、取样、送检及相关配合工作由承包人负责完成并承担由此产生的所有相关费用。</w:t>
      </w:r>
    </w:p>
    <w:p>
      <w:pPr>
        <w:tabs>
          <w:tab w:val="left" w:pos="711"/>
          <w:tab w:val="left" w:pos="2580"/>
        </w:tabs>
        <w:spacing w:line="360" w:lineRule="auto"/>
        <w:ind w:firstLine="420" w:firstLineChars="200"/>
        <w:textAlignment w:val="baseline"/>
        <w:rPr>
          <w:rFonts w:ascii="宋体" w:hAnsi="宋体"/>
          <w:color w:val="auto"/>
          <w:szCs w:val="21"/>
          <w:highlight w:val="none"/>
        </w:rPr>
      </w:pPr>
      <w:r>
        <w:rPr>
          <w:rFonts w:hint="eastAsia" w:ascii="宋体" w:hAnsi="宋体"/>
          <w:color w:val="auto"/>
          <w:szCs w:val="21"/>
          <w:highlight w:val="none"/>
        </w:rPr>
        <w:t>（2）施工措施的检测、试验：因施工措施需要而做的相关检测、试验由承包人负责实施，其费用由承包人承担。</w:t>
      </w:r>
    </w:p>
    <w:p>
      <w:pPr>
        <w:tabs>
          <w:tab w:val="left" w:pos="711"/>
          <w:tab w:val="left" w:pos="2580"/>
        </w:tabs>
        <w:spacing w:line="360" w:lineRule="auto"/>
        <w:ind w:firstLine="420" w:firstLineChars="200"/>
        <w:textAlignment w:val="baseline"/>
        <w:rPr>
          <w:rFonts w:ascii="宋体" w:hAnsi="宋体"/>
          <w:color w:val="auto"/>
          <w:szCs w:val="21"/>
          <w:highlight w:val="none"/>
        </w:rPr>
      </w:pPr>
      <w:r>
        <w:rPr>
          <w:rFonts w:hint="eastAsia" w:ascii="宋体" w:hAnsi="宋体"/>
          <w:color w:val="auto"/>
          <w:szCs w:val="21"/>
          <w:highlight w:val="none"/>
        </w:rPr>
        <w:t>9.4.3专项检测：</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tabs>
          <w:tab w:val="left" w:pos="711"/>
          <w:tab w:val="left" w:pos="2580"/>
        </w:tabs>
        <w:spacing w:line="360" w:lineRule="auto"/>
        <w:ind w:firstLine="420" w:firstLineChars="200"/>
        <w:textAlignment w:val="baseline"/>
        <w:rPr>
          <w:rFonts w:ascii="宋体" w:hAnsi="宋体"/>
          <w:color w:val="auto"/>
          <w:szCs w:val="21"/>
          <w:highlight w:val="none"/>
        </w:rPr>
      </w:pPr>
      <w:r>
        <w:rPr>
          <w:rFonts w:hint="eastAsia" w:ascii="宋体" w:hAnsi="宋体"/>
          <w:color w:val="auto"/>
          <w:szCs w:val="21"/>
          <w:highlight w:val="none"/>
        </w:rPr>
        <w:t>9.4.4若因承包人取样、制样、送检及相关配合不及时而导致工程的工期和费用增加，影响的工期不予延长，增加费用由承包人承担。</w:t>
      </w:r>
    </w:p>
    <w:p>
      <w:pPr>
        <w:tabs>
          <w:tab w:val="left" w:pos="711"/>
          <w:tab w:val="left" w:pos="2580"/>
        </w:tabs>
        <w:spacing w:line="360" w:lineRule="auto"/>
        <w:ind w:firstLine="420" w:firstLineChars="200"/>
        <w:textAlignment w:val="baseline"/>
        <w:rPr>
          <w:rFonts w:ascii="宋体" w:hAnsi="宋体"/>
          <w:color w:val="auto"/>
          <w:szCs w:val="21"/>
          <w:highlight w:val="none"/>
          <w:u w:val="single"/>
        </w:rPr>
      </w:pPr>
      <w:r>
        <w:rPr>
          <w:rFonts w:hint="eastAsia" w:ascii="宋体" w:hAnsi="宋体"/>
          <w:color w:val="auto"/>
          <w:szCs w:val="21"/>
          <w:highlight w:val="none"/>
        </w:rPr>
        <w:t>9.4.5检测试验不合格的项目，其缺陷处理和复测费用由承包人承担，工期不予延长。</w:t>
      </w:r>
    </w:p>
    <w:bookmarkEnd w:id="266"/>
    <w:bookmarkEnd w:id="267"/>
    <w:bookmarkEnd w:id="268"/>
    <w:bookmarkEnd w:id="269"/>
    <w:bookmarkEnd w:id="270"/>
    <w:bookmarkEnd w:id="271"/>
    <w:bookmarkEnd w:id="272"/>
    <w:bookmarkEnd w:id="273"/>
    <w:bookmarkEnd w:id="274"/>
    <w:bookmarkEnd w:id="275"/>
    <w:bookmarkEnd w:id="276"/>
    <w:bookmarkEnd w:id="277"/>
    <w:bookmarkEnd w:id="278"/>
    <w:p>
      <w:pPr>
        <w:keepNext/>
        <w:keepLines/>
        <w:spacing w:before="120" w:beforeLines="50" w:after="120" w:afterLines="50" w:line="360" w:lineRule="auto"/>
        <w:outlineLvl w:val="3"/>
        <w:rPr>
          <w:rFonts w:ascii="宋体" w:hAnsi="宋体" w:cs="宋体"/>
          <w:b/>
          <w:color w:val="auto"/>
          <w:szCs w:val="21"/>
          <w:highlight w:val="none"/>
        </w:rPr>
      </w:pPr>
      <w:bookmarkStart w:id="430" w:name="_Toc532375634"/>
      <w:bookmarkStart w:id="431" w:name="_Toc532377370"/>
      <w:bookmarkStart w:id="432" w:name="_Toc267251490"/>
      <w:bookmarkStart w:id="433" w:name="_Hlk524298112"/>
      <w:bookmarkStart w:id="434" w:name="_Toc267251489"/>
      <w:bookmarkStart w:id="435" w:name="_Toc267251482"/>
      <w:bookmarkStart w:id="436" w:name="_Toc267251488"/>
      <w:bookmarkStart w:id="437" w:name="_Toc267251484"/>
      <w:bookmarkStart w:id="438" w:name="_Toc267251486"/>
      <w:bookmarkStart w:id="439" w:name="_Toc267251485"/>
      <w:bookmarkStart w:id="440" w:name="_Toc267251501"/>
      <w:bookmarkStart w:id="441" w:name="_Toc267251503"/>
      <w:bookmarkStart w:id="442" w:name="_Toc267251510"/>
      <w:bookmarkStart w:id="443" w:name="_Toc267251492"/>
      <w:bookmarkStart w:id="444" w:name="_Toc267251506"/>
      <w:bookmarkStart w:id="445" w:name="_Toc267251509"/>
      <w:bookmarkStart w:id="446" w:name="_Toc267251511"/>
      <w:bookmarkStart w:id="447" w:name="_Toc267251513"/>
      <w:bookmarkStart w:id="448" w:name="_Toc267251502"/>
      <w:bookmarkStart w:id="449" w:name="_Toc267251494"/>
      <w:bookmarkStart w:id="450" w:name="_Toc267251515"/>
      <w:bookmarkStart w:id="451" w:name="_Toc267251491"/>
      <w:bookmarkStart w:id="452" w:name="_Toc267251514"/>
      <w:bookmarkStart w:id="453" w:name="_Toc267251493"/>
      <w:bookmarkStart w:id="454" w:name="_Toc267251496"/>
      <w:bookmarkStart w:id="455" w:name="_Toc267251498"/>
      <w:bookmarkStart w:id="456" w:name="_Toc267251504"/>
      <w:bookmarkStart w:id="457" w:name="_Toc267251507"/>
      <w:bookmarkStart w:id="458" w:name="_Toc267251495"/>
      <w:bookmarkStart w:id="459" w:name="_Toc267251499"/>
      <w:bookmarkStart w:id="460" w:name="_Toc267251497"/>
      <w:bookmarkStart w:id="461" w:name="_Toc267251508"/>
      <w:r>
        <w:rPr>
          <w:rFonts w:hint="eastAsia" w:ascii="宋体" w:hAnsi="宋体" w:cs="宋体"/>
          <w:b/>
          <w:bCs/>
          <w:color w:val="auto"/>
          <w:szCs w:val="21"/>
          <w:highlight w:val="none"/>
        </w:rPr>
        <w:t>1</w:t>
      </w:r>
      <w:bookmarkStart w:id="462" w:name="_Toc296891233"/>
      <w:bookmarkStart w:id="463" w:name="_Toc297120493"/>
      <w:bookmarkStart w:id="464" w:name="_Toc296944532"/>
      <w:bookmarkStart w:id="465" w:name="_Toc297048379"/>
      <w:bookmarkStart w:id="466" w:name="_Toc300934989"/>
      <w:bookmarkStart w:id="467" w:name="_Toc296891021"/>
      <w:bookmarkStart w:id="468" w:name="_Toc303539146"/>
      <w:bookmarkStart w:id="469" w:name="_Toc297123540"/>
      <w:bookmarkStart w:id="470" w:name="_Toc296347192"/>
      <w:bookmarkStart w:id="471" w:name="_Toc292559398"/>
      <w:bookmarkStart w:id="472" w:name="_Toc296503193"/>
      <w:bookmarkStart w:id="473" w:name="_Toc296346694"/>
      <w:bookmarkStart w:id="474" w:name="_Toc297216199"/>
      <w:bookmarkStart w:id="475" w:name="_Toc292559903"/>
      <w:bookmarkStart w:id="476" w:name="_Toc304295566"/>
      <w:bookmarkStart w:id="477" w:name="_Toc312677499"/>
      <w:bookmarkStart w:id="478" w:name="_Toc312678025"/>
      <w:bookmarkStart w:id="479" w:name="_Toc267251441"/>
      <w:bookmarkStart w:id="480" w:name="_Toc267251439"/>
      <w:bookmarkStart w:id="481" w:name="_Toc267251433"/>
      <w:bookmarkStart w:id="482" w:name="_Toc267251435"/>
      <w:bookmarkStart w:id="483" w:name="_Toc267251437"/>
      <w:bookmarkStart w:id="484" w:name="_Toc267251440"/>
      <w:r>
        <w:rPr>
          <w:rFonts w:hint="eastAsia" w:ascii="宋体" w:hAnsi="宋体" w:cs="宋体"/>
          <w:b/>
          <w:bCs/>
          <w:color w:val="auto"/>
          <w:szCs w:val="21"/>
          <w:highlight w:val="none"/>
        </w:rPr>
        <w:t>0. 变更</w:t>
      </w:r>
      <w:bookmarkEnd w:id="430"/>
      <w:bookmarkEnd w:id="43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bookmarkEnd w:id="477"/>
    <w:bookmarkEnd w:id="478"/>
    <w:p>
      <w:pPr>
        <w:spacing w:line="360" w:lineRule="auto"/>
        <w:ind w:firstLine="422" w:firstLineChars="200"/>
        <w:outlineLvl w:val="4"/>
        <w:rPr>
          <w:rFonts w:ascii="宋体" w:hAnsi="宋体" w:cs="宋体"/>
          <w:b/>
          <w:bCs/>
          <w:color w:val="auto"/>
          <w:kern w:val="0"/>
          <w:szCs w:val="21"/>
          <w:highlight w:val="none"/>
        </w:rPr>
      </w:pPr>
      <w:bookmarkStart w:id="485" w:name="_Toc532377371"/>
      <w:bookmarkStart w:id="486" w:name="_Toc532375635"/>
      <w:r>
        <w:rPr>
          <w:rFonts w:hint="eastAsia" w:ascii="宋体" w:hAnsi="宋体" w:cs="宋体"/>
          <w:b/>
          <w:bCs/>
          <w:color w:val="auto"/>
          <w:kern w:val="0"/>
          <w:szCs w:val="21"/>
          <w:highlight w:val="none"/>
        </w:rPr>
        <w:t>1</w:t>
      </w:r>
      <w:bookmarkStart w:id="487" w:name="_Toc296346695"/>
      <w:bookmarkStart w:id="488" w:name="_Toc292559904"/>
      <w:bookmarkStart w:id="489" w:name="_Toc296891234"/>
      <w:bookmarkStart w:id="490" w:name="_Toc297048380"/>
      <w:bookmarkStart w:id="491" w:name="_Toc304295567"/>
      <w:bookmarkStart w:id="492" w:name="_Toc292559399"/>
      <w:bookmarkStart w:id="493" w:name="_Toc303539147"/>
      <w:bookmarkStart w:id="494" w:name="_Toc312678026"/>
      <w:bookmarkStart w:id="495" w:name="_Toc297123541"/>
      <w:bookmarkStart w:id="496" w:name="_Toc296944533"/>
      <w:bookmarkStart w:id="497" w:name="_Toc297120494"/>
      <w:bookmarkStart w:id="498" w:name="_Toc312677500"/>
      <w:bookmarkStart w:id="499" w:name="_Toc296347193"/>
      <w:bookmarkStart w:id="500" w:name="_Toc300934990"/>
      <w:bookmarkStart w:id="501" w:name="_Toc296503194"/>
      <w:bookmarkStart w:id="502" w:name="_Toc297216200"/>
      <w:bookmarkStart w:id="503" w:name="_Toc296891022"/>
      <w:r>
        <w:rPr>
          <w:rFonts w:hint="eastAsia" w:ascii="宋体" w:hAnsi="宋体" w:cs="宋体"/>
          <w:b/>
          <w:bCs/>
          <w:color w:val="auto"/>
          <w:kern w:val="0"/>
          <w:szCs w:val="21"/>
          <w:highlight w:val="none"/>
        </w:rPr>
        <w:t>0.1变更的范围</w:t>
      </w:r>
      <w:bookmarkEnd w:id="485"/>
      <w:bookmarkEnd w:id="486"/>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关于变更范围的约定：</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（1）增加或减少合同中任何工作，或追加额外的工作；</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（2）取消合同中任何工作；</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（3）改变合同中任何工作的质量标准或其他特性；</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（4）改变工程的基线、标高、位置和尺寸；</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（5）适用于工程的标准和（或）规范变化导致需要对工程进行改变，且该改变导致工期和（或）费用变化的；</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（6）勘察设计变更；</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（7）实施内容变更，包括因设计变更和非设计变更引起的实施地点、投资规模、结构型式、采购数量、服务内容等进行的调整，以及因此导致的合同价格、工期变更；</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（8）项目管理人员变更；</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（9）因人工、原材料等价格变化导致的合同总价变更；</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（10）非实施内容变化导致的工期变更；</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合同变更应当符合国家法律法规、强制标准和技术规范的要求，且合同变更后更加有利于工程的建设、运营、安全、节约资金、保护生态环境或者实现功能要求。发包人对项目合同变更承担主体责任。项目合同变更后，发包人应当与承包人签订补充协议。项目合同变更应当按照《重庆市政府投资项目合同变更管理暂行办法》要求进行信息公开。项目合同变更未获得通过的，发包人和承包人均不得擅自变更原合同约定事项，且不得就同一理由同一事项再提出变更。</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承包人对其提供的材料、工程设备、施工、无负荷试车、热负荷试车及图纸参数存在的缺陷，自费修正、调整和完善，不属于变更。</w:t>
      </w:r>
    </w:p>
    <w:p>
      <w:pPr>
        <w:spacing w:line="360" w:lineRule="auto"/>
        <w:ind w:firstLine="422" w:firstLineChars="200"/>
        <w:outlineLvl w:val="4"/>
        <w:rPr>
          <w:rFonts w:ascii="宋体" w:hAnsi="宋体" w:cs="宋体"/>
          <w:b/>
          <w:bCs/>
          <w:color w:val="auto"/>
          <w:kern w:val="0"/>
          <w:szCs w:val="21"/>
          <w:highlight w:val="none"/>
        </w:rPr>
      </w:pPr>
      <w:bookmarkStart w:id="504" w:name="_Toc532377372"/>
      <w:bookmarkStart w:id="505" w:name="_Toc351203569"/>
      <w:bookmarkStart w:id="506" w:name="_Toc532375636"/>
      <w:r>
        <w:rPr>
          <w:rFonts w:hint="eastAsia" w:ascii="宋体" w:hAnsi="宋体" w:cs="宋体"/>
          <w:b/>
          <w:bCs/>
          <w:color w:val="auto"/>
          <w:kern w:val="0"/>
          <w:szCs w:val="21"/>
          <w:highlight w:val="none"/>
        </w:rPr>
        <w:t>1</w:t>
      </w:r>
      <w:bookmarkStart w:id="507" w:name="_Toc296346586"/>
      <w:bookmarkStart w:id="508" w:name="_Toc337558789"/>
      <w:bookmarkStart w:id="509" w:name="_Toc296503085"/>
      <w:r>
        <w:rPr>
          <w:rFonts w:hint="eastAsia" w:ascii="宋体" w:hAnsi="宋体" w:cs="宋体"/>
          <w:b/>
          <w:bCs/>
          <w:color w:val="auto"/>
          <w:kern w:val="0"/>
          <w:szCs w:val="21"/>
          <w:highlight w:val="none"/>
        </w:rPr>
        <w:t>0.2变更权</w:t>
      </w:r>
      <w:bookmarkEnd w:id="504"/>
      <w:bookmarkEnd w:id="505"/>
      <w:bookmarkEnd w:id="506"/>
    </w:p>
    <w:bookmarkEnd w:id="507"/>
    <w:bookmarkEnd w:id="508"/>
    <w:bookmarkEnd w:id="509"/>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10.2.1发包人和监理人提出变更</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和监理人均可以提出变更。变更指示均通过监理人以书面形式发出，监理人发出变更指示前应征得发包人同意。承包人收到经发包人签认的变更指示后，方可实施变更。未取得经发包人签认的变更指示，承包人不得实施任何变更。</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涉及设计变更的，应由设计人提供变更后的图纸和说明，交由发包人同意后由监理人以书面形式发出。如变更超过原设计标准或批准的建设规模时，由发包人及时办理规划、设计变更等审批手续。</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若出现重大设计变更，变更后的内容超出承包人资质或能力范围的，发包人将另行依法招标选择承包单位，无需征得承包人同意。</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10.2.2 承包人提出变更建议</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可以向发包人提交书面变更建议，应当以承包人单位名义书面向发包人提出申请，详细说明变更的内容、理由，以及该变更对项目的工期、投资、质量、安全、运营管理、生态环境等的影响，客观反映项目合同变更的必要性和可行性，包括：</w:t>
      </w:r>
      <w:r>
        <w:rPr>
          <w:rFonts w:hint="eastAsia" w:ascii="宋体" w:hAnsi="宋体"/>
          <w:color w:val="auto"/>
          <w:szCs w:val="21"/>
          <w:highlight w:val="none"/>
          <w:u w:val="single"/>
        </w:rPr>
        <w:t>缩短工期，降低发包人的工程、施工、维护、营运的费用，提高竣工工程的效率或价值，给发包人带来的长远利益和其他利益。发包人接到此类建议后，可以选择：不采纳/采纳/补充进一步资料的书面通知</w:t>
      </w:r>
      <w:r>
        <w:rPr>
          <w:rFonts w:hint="eastAsia" w:ascii="宋体" w:hAnsi="宋体"/>
          <w:color w:val="auto"/>
          <w:szCs w:val="21"/>
          <w:highlight w:val="none"/>
        </w:rPr>
        <w:t>。</w:t>
      </w:r>
    </w:p>
    <w:p>
      <w:pPr>
        <w:autoSpaceDE w:val="0"/>
        <w:autoSpaceDN w:val="0"/>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如果发包人对承包人已实施的施工项目在发出重大设计变更之前要求承包人提出一份建议，那么，承包人应尽快提出：</w:t>
      </w:r>
    </w:p>
    <w:p>
      <w:pPr>
        <w:autoSpaceDE w:val="0"/>
        <w:autoSpaceDN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（1）对所提方案和（或）待做工作及其实施计划的说明</w:t>
      </w:r>
      <w:r>
        <w:rPr>
          <w:rFonts w:hint="eastAsia" w:ascii="宋体" w:hAnsi="宋体"/>
          <w:color w:val="auto"/>
          <w:szCs w:val="21"/>
          <w:highlight w:val="none"/>
        </w:rPr>
        <w:t>；</w:t>
      </w:r>
    </w:p>
    <w:p>
      <w:pPr>
        <w:autoSpaceDE w:val="0"/>
        <w:autoSpaceDN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（2）承包人按照对工程进度计划进行必要修改的建议</w:t>
      </w:r>
      <w:r>
        <w:rPr>
          <w:rFonts w:hint="eastAsia" w:ascii="宋体" w:hAnsi="宋体"/>
          <w:color w:val="auto"/>
          <w:szCs w:val="21"/>
          <w:highlight w:val="none"/>
        </w:rPr>
        <w:t>；</w:t>
      </w:r>
    </w:p>
    <w:p>
      <w:pPr>
        <w:autoSpaceDE w:val="0"/>
        <w:autoSpaceDN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（3）承包人发生较大返工损失增加费用的建议</w:t>
      </w:r>
      <w:r>
        <w:rPr>
          <w:rFonts w:hint="eastAsia" w:ascii="宋体" w:hAnsi="宋体"/>
          <w:color w:val="auto"/>
          <w:szCs w:val="21"/>
          <w:highlight w:val="none"/>
        </w:rPr>
        <w:t>。</w:t>
      </w:r>
    </w:p>
    <w:p>
      <w:pPr>
        <w:autoSpaceDE w:val="0"/>
        <w:autoSpaceDN w:val="0"/>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发包人在收到上述建议书后，应尽快给予批准、否决或提出意见</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510" w:name="_Toc532377373"/>
      <w:bookmarkStart w:id="511" w:name="_Toc532375637"/>
      <w:bookmarkStart w:id="512" w:name="_Hlk528928195"/>
      <w:bookmarkStart w:id="513" w:name="_Toc351203570"/>
      <w:r>
        <w:rPr>
          <w:rFonts w:hint="eastAsia" w:ascii="宋体" w:hAnsi="宋体" w:cs="宋体"/>
          <w:b/>
          <w:bCs/>
          <w:color w:val="auto"/>
          <w:kern w:val="0"/>
          <w:szCs w:val="21"/>
          <w:highlight w:val="none"/>
        </w:rPr>
        <w:t>1</w:t>
      </w:r>
      <w:bookmarkStart w:id="514" w:name="_Toc296346587"/>
      <w:bookmarkStart w:id="515" w:name="_Toc296503086"/>
      <w:bookmarkStart w:id="516" w:name="_Toc337558790"/>
      <w:r>
        <w:rPr>
          <w:rFonts w:hint="eastAsia" w:ascii="宋体" w:hAnsi="宋体" w:cs="宋体"/>
          <w:b/>
          <w:bCs/>
          <w:color w:val="auto"/>
          <w:kern w:val="0"/>
          <w:szCs w:val="21"/>
          <w:highlight w:val="none"/>
        </w:rPr>
        <w:t>0.3变更程序</w:t>
      </w:r>
      <w:bookmarkEnd w:id="510"/>
      <w:bookmarkEnd w:id="511"/>
    </w:p>
    <w:bookmarkEnd w:id="514"/>
    <w:bookmarkEnd w:id="515"/>
    <w:bookmarkEnd w:id="516"/>
    <w:p>
      <w:pPr>
        <w:autoSpaceDE w:val="0"/>
        <w:autoSpaceDN w:val="0"/>
        <w:spacing w:line="360" w:lineRule="auto"/>
        <w:ind w:firstLine="420" w:firstLineChars="200"/>
        <w:rPr>
          <w:rFonts w:ascii="宋体" w:hAnsi="宋体"/>
          <w:color w:val="auto"/>
          <w:szCs w:val="21"/>
          <w:highlight w:val="none"/>
        </w:rPr>
      </w:pPr>
      <w:bookmarkStart w:id="517" w:name="_Hlk524353972"/>
      <w:r>
        <w:rPr>
          <w:rFonts w:hint="eastAsia" w:ascii="宋体" w:hAnsi="宋体"/>
          <w:color w:val="auto"/>
          <w:szCs w:val="21"/>
          <w:highlight w:val="none"/>
        </w:rPr>
        <w:t>10.3.3 变更执行</w:t>
      </w:r>
    </w:p>
    <w:p>
      <w:pPr>
        <w:autoSpaceDE w:val="0"/>
        <w:autoSpaceDN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一般设计变更：承包人收到监理人下达的变更指示后，应按照监理人下达的变更指示执行，并书面说明实施该变更指示对合同价格和工期的影响，按照第10.4.1项〔变更估价原则〕约定执行。</w:t>
      </w:r>
    </w:p>
    <w:p>
      <w:pPr>
        <w:autoSpaceDE w:val="0"/>
        <w:autoSpaceDN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重大设计变更：需经设计人、监理人和发包人三方签字认可并报相关行业部门审查同意后实施。</w:t>
      </w:r>
    </w:p>
    <w:p>
      <w:pPr>
        <w:autoSpaceDE w:val="0"/>
        <w:autoSpaceDN w:val="0"/>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10.3.3 项增加以下内容：</w:t>
      </w:r>
    </w:p>
    <w:p>
      <w:pPr>
        <w:autoSpaceDE w:val="0"/>
        <w:autoSpaceDN w:val="0"/>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合同变更提出后，应当首先由发包人组织相关单位、专家进行论证。经论证确需变更的，发包人按照《重庆市政府投资项目合同变更管理暂行办法》规定的程序自行决策或者报批；经论证不需要变更的，继续按合同执行。</w:t>
      </w:r>
    </w:p>
    <w:p>
      <w:pPr>
        <w:autoSpaceDE w:val="0"/>
        <w:autoSpaceDN w:val="0"/>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项目的勘察设计、实施内容等作较大变更的，应当按照规定的程序报原审批部门审批；变更导致总投资超概的，应当报原投资概算核定部门核定。</w:t>
      </w:r>
    </w:p>
    <w:p>
      <w:pPr>
        <w:autoSpaceDE w:val="0"/>
        <w:autoSpaceDN w:val="0"/>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项目管理人员变更的，应当经发包人领导班子集体决策同意，并将变更信息推送给行业主管部门。变更后的项目管理人员应当符合招标文件和行业主管部门的相关规定。</w:t>
      </w:r>
    </w:p>
    <w:p>
      <w:pPr>
        <w:autoSpaceDE w:val="0"/>
        <w:autoSpaceDN w:val="0"/>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因人工、原材料市场价格发生大幅度变化导致的合同总价变更，由发包人与承包人按照合同进行变更，并将变更信息推送给行业主管部门。</w:t>
      </w:r>
    </w:p>
    <w:p>
      <w:pPr>
        <w:autoSpaceDE w:val="0"/>
        <w:autoSpaceDN w:val="0"/>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项目实施内容无变更，因不可抗力导致的工期变更，由发包人领导班子集体决策同意，并将变更信息推送给行业主管部门；因项目实施内容变更导致的工期变更，与项目实施内容变更一并办理。</w:t>
      </w:r>
    </w:p>
    <w:p>
      <w:pPr>
        <w:autoSpaceDE w:val="0"/>
        <w:autoSpaceDN w:val="0"/>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项目合同变更后，增加的实施内容达到依法必须招标的规模标准的，增加的部分应当依法通过招标选择承包单位。</w:t>
      </w:r>
    </w:p>
    <w:bookmarkEnd w:id="512"/>
    <w:bookmarkEnd w:id="513"/>
    <w:bookmarkEnd w:id="517"/>
    <w:p>
      <w:pPr>
        <w:spacing w:line="360" w:lineRule="auto"/>
        <w:ind w:firstLine="422" w:firstLineChars="200"/>
        <w:outlineLvl w:val="4"/>
        <w:rPr>
          <w:rFonts w:ascii="宋体" w:hAnsi="宋体" w:cs="宋体"/>
          <w:b/>
          <w:bCs/>
          <w:color w:val="auto"/>
          <w:kern w:val="0"/>
          <w:szCs w:val="21"/>
          <w:highlight w:val="none"/>
        </w:rPr>
      </w:pPr>
      <w:bookmarkStart w:id="518" w:name="_Toc532377375"/>
      <w:bookmarkStart w:id="519" w:name="_Toc532375639"/>
      <w:r>
        <w:rPr>
          <w:rFonts w:hint="eastAsia" w:ascii="宋体" w:hAnsi="宋体" w:cs="宋体"/>
          <w:b/>
          <w:bCs/>
          <w:color w:val="auto"/>
          <w:kern w:val="0"/>
          <w:szCs w:val="21"/>
          <w:highlight w:val="none"/>
        </w:rPr>
        <w:t>1</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Start w:id="520" w:name="_Toc297216203"/>
      <w:bookmarkStart w:id="521" w:name="_Toc296891025"/>
      <w:bookmarkStart w:id="522" w:name="_Toc300934993"/>
      <w:bookmarkStart w:id="523" w:name="_Toc296347196"/>
      <w:bookmarkStart w:id="524" w:name="_Toc296891237"/>
      <w:bookmarkStart w:id="525" w:name="_Toc296503197"/>
      <w:bookmarkStart w:id="526" w:name="_Toc297123544"/>
      <w:bookmarkStart w:id="527" w:name="_Toc292559907"/>
      <w:bookmarkStart w:id="528" w:name="_Toc297048383"/>
      <w:bookmarkStart w:id="529" w:name="_Toc297120497"/>
      <w:bookmarkStart w:id="530" w:name="_Toc296944536"/>
      <w:bookmarkStart w:id="531" w:name="_Toc296346698"/>
      <w:bookmarkStart w:id="532" w:name="_Toc292559402"/>
      <w:bookmarkStart w:id="533" w:name="_Toc303539150"/>
      <w:bookmarkStart w:id="534" w:name="_Toc304295570"/>
      <w:bookmarkStart w:id="535" w:name="_Toc312677503"/>
      <w:bookmarkStart w:id="536" w:name="_Toc312678029"/>
      <w:r>
        <w:rPr>
          <w:rFonts w:hint="eastAsia" w:ascii="宋体" w:hAnsi="宋体" w:cs="宋体"/>
          <w:b/>
          <w:bCs/>
          <w:color w:val="auto"/>
          <w:kern w:val="0"/>
          <w:szCs w:val="21"/>
          <w:highlight w:val="none"/>
        </w:rPr>
        <w:t>0.5承</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Start w:id="537" w:name="_Toc296891243"/>
      <w:bookmarkStart w:id="538" w:name="_Toc297120503"/>
      <w:bookmarkStart w:id="539" w:name="_Toc300934994"/>
      <w:bookmarkStart w:id="540" w:name="_Toc292559408"/>
      <w:bookmarkStart w:id="541" w:name="_Toc297123545"/>
      <w:bookmarkStart w:id="542" w:name="_Toc292559913"/>
      <w:bookmarkStart w:id="543" w:name="_Toc303539151"/>
      <w:bookmarkStart w:id="544" w:name="_Toc296347202"/>
      <w:bookmarkStart w:id="545" w:name="_Toc296503203"/>
      <w:bookmarkStart w:id="546" w:name="_Toc297216204"/>
      <w:bookmarkStart w:id="547" w:name="_Toc296944542"/>
      <w:bookmarkStart w:id="548" w:name="_Toc296346704"/>
      <w:bookmarkStart w:id="549" w:name="_Toc297048389"/>
      <w:bookmarkStart w:id="550" w:name="_Toc296891031"/>
      <w:r>
        <w:rPr>
          <w:rFonts w:hint="eastAsia" w:ascii="宋体" w:hAnsi="宋体" w:cs="宋体"/>
          <w:b/>
          <w:bCs/>
          <w:color w:val="auto"/>
          <w:kern w:val="0"/>
          <w:szCs w:val="21"/>
          <w:highlight w:val="none"/>
        </w:rPr>
        <w:t>包人的合理化建议</w:t>
      </w:r>
      <w:bookmarkEnd w:id="518"/>
      <w:bookmarkEnd w:id="519"/>
    </w:p>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承包人提出合理化建议的，应向监理人提交合理化建议说明，说明建议的内容和理由，以及实施该建议对合同价格和（或）工期和（或）工程经济效益的影响。</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监理人审查承包人合理化建议的期限：</w:t>
      </w:r>
      <w:r>
        <w:rPr>
          <w:rFonts w:hint="eastAsia" w:ascii="宋体" w:hAnsi="宋体"/>
          <w:color w:val="auto"/>
          <w:szCs w:val="21"/>
          <w:highlight w:val="none"/>
          <w:u w:val="single"/>
        </w:rPr>
        <w:t>不超过14天</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发包人审批承包人合理化建议的期限：</w:t>
      </w:r>
      <w:r>
        <w:rPr>
          <w:rFonts w:hint="eastAsia" w:ascii="宋体" w:hAnsi="宋体"/>
          <w:color w:val="auto"/>
          <w:szCs w:val="21"/>
          <w:highlight w:val="none"/>
          <w:u w:val="single"/>
        </w:rPr>
        <w:t>不超过14天</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承</w:t>
      </w:r>
      <w:bookmarkStart w:id="551" w:name="_Toc292559409"/>
      <w:bookmarkStart w:id="552" w:name="_Toc296347203"/>
      <w:bookmarkStart w:id="553" w:name="_Toc297120504"/>
      <w:bookmarkStart w:id="554" w:name="_Toc296944543"/>
      <w:bookmarkStart w:id="555" w:name="_Toc303539152"/>
      <w:bookmarkStart w:id="556" w:name="_Toc296891032"/>
      <w:bookmarkStart w:id="557" w:name="_Toc304295571"/>
      <w:bookmarkStart w:id="558" w:name="_Toc296346705"/>
      <w:bookmarkStart w:id="559" w:name="_Toc312678030"/>
      <w:bookmarkStart w:id="560" w:name="_Toc300934995"/>
      <w:bookmarkStart w:id="561" w:name="_Toc296891244"/>
      <w:bookmarkStart w:id="562" w:name="_Toc296503204"/>
      <w:bookmarkStart w:id="563" w:name="_Toc297216205"/>
      <w:bookmarkStart w:id="564" w:name="_Toc312677504"/>
      <w:bookmarkStart w:id="565" w:name="_Toc318581175"/>
      <w:bookmarkStart w:id="566" w:name="_Toc292559914"/>
      <w:bookmarkStart w:id="567" w:name="_Toc297123546"/>
      <w:bookmarkStart w:id="568" w:name="_Toc297048390"/>
      <w:r>
        <w:rPr>
          <w:rFonts w:hint="eastAsia" w:ascii="宋体" w:hAnsi="宋体"/>
          <w:color w:val="auto"/>
          <w:szCs w:val="21"/>
          <w:highlight w:val="none"/>
        </w:rPr>
        <w:t>包人提出的合理化建议降低了合同价格或缩短了工期或者提高了工程经济效益的奖励的方法和金额为：</w:t>
      </w:r>
      <w:r>
        <w:rPr>
          <w:rFonts w:hint="eastAsia" w:ascii="宋体" w:hAnsi="宋体"/>
          <w:color w:val="auto"/>
          <w:szCs w:val="21"/>
          <w:highlight w:val="none"/>
          <w:u w:val="single"/>
        </w:rPr>
        <w:t>合理化建议带来经济效益的5～10 %</w:t>
      </w:r>
      <w:r>
        <w:rPr>
          <w:rFonts w:hint="eastAsia" w:ascii="宋体" w:hAnsi="宋体"/>
          <w:color w:val="auto"/>
          <w:szCs w:val="21"/>
          <w:highlight w:val="none"/>
        </w:rPr>
        <w:t>。</w:t>
      </w:r>
    </w:p>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Pr>
        <w:spacing w:line="360" w:lineRule="auto"/>
        <w:ind w:firstLine="422" w:firstLineChars="200"/>
        <w:outlineLvl w:val="4"/>
        <w:rPr>
          <w:rFonts w:ascii="宋体" w:hAnsi="宋体" w:cs="宋体"/>
          <w:b/>
          <w:bCs/>
          <w:color w:val="auto"/>
          <w:kern w:val="0"/>
          <w:szCs w:val="21"/>
          <w:highlight w:val="none"/>
        </w:rPr>
      </w:pPr>
      <w:bookmarkStart w:id="569" w:name="_Toc532377376"/>
      <w:bookmarkStart w:id="570" w:name="_Toc532375640"/>
      <w:r>
        <w:rPr>
          <w:rFonts w:hint="eastAsia" w:ascii="宋体" w:hAnsi="宋体" w:cs="宋体"/>
          <w:b/>
          <w:bCs/>
          <w:color w:val="auto"/>
          <w:kern w:val="0"/>
          <w:szCs w:val="21"/>
          <w:highlight w:val="none"/>
        </w:rPr>
        <w:t>1</w:t>
      </w:r>
      <w:bookmarkStart w:id="571" w:name="_Toc297120499"/>
      <w:bookmarkStart w:id="572" w:name="_Toc296347198"/>
      <w:bookmarkStart w:id="573" w:name="_Toc296503199"/>
      <w:bookmarkStart w:id="574" w:name="_Toc297216207"/>
      <w:bookmarkStart w:id="575" w:name="_Toc292559909"/>
      <w:bookmarkStart w:id="576" w:name="_Toc312678033"/>
      <w:bookmarkStart w:id="577" w:name="_Toc312677507"/>
      <w:bookmarkStart w:id="578" w:name="_Toc304295574"/>
      <w:bookmarkStart w:id="579" w:name="_Toc300934997"/>
      <w:bookmarkStart w:id="580" w:name="_Toc296891239"/>
      <w:bookmarkStart w:id="581" w:name="_Toc296346700"/>
      <w:bookmarkStart w:id="582" w:name="_Toc292559404"/>
      <w:bookmarkStart w:id="583" w:name="_Toc297123548"/>
      <w:bookmarkStart w:id="584" w:name="_Toc303539154"/>
      <w:bookmarkStart w:id="585" w:name="_Toc296944538"/>
      <w:bookmarkStart w:id="586" w:name="_Toc297048385"/>
      <w:bookmarkStart w:id="587" w:name="_Toc296891027"/>
      <w:r>
        <w:rPr>
          <w:rFonts w:hint="eastAsia" w:ascii="宋体" w:hAnsi="宋体" w:cs="宋体"/>
          <w:b/>
          <w:bCs/>
          <w:color w:val="auto"/>
          <w:kern w:val="0"/>
          <w:szCs w:val="21"/>
          <w:highlight w:val="none"/>
        </w:rPr>
        <w:t>0.7 暂估价</w:t>
      </w:r>
      <w:bookmarkEnd w:id="569"/>
      <w:bookmarkEnd w:id="570"/>
    </w:p>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专业工程暂估价：</w:t>
      </w:r>
      <w:r>
        <w:rPr>
          <w:rFonts w:hint="eastAsia" w:ascii="宋体" w:hAnsi="宋体"/>
          <w:color w:val="auto"/>
          <w:szCs w:val="21"/>
          <w:highlight w:val="none"/>
          <w:u w:val="single"/>
        </w:rPr>
        <w:t xml:space="preserve">        </w:t>
      </w:r>
      <w:r>
        <w:rPr>
          <w:rFonts w:hint="eastAsia" w:ascii="宋体" w:hAnsi="宋体"/>
          <w:color w:val="auto"/>
          <w:szCs w:val="21"/>
          <w:highlight w:val="none"/>
        </w:rPr>
        <w:t>万元。</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单项合同估算价在国家相关法律法规规定必须招标规模以下的，符合可以不招标相关规定的，由承包人采取交钥匙工程模式实施，发包人配合。承包人（需在允许资质范围内）或承包人委托的有资质的专业分包单位实施。费用估价按照第10.4.1项〔变更估价原则〕执行，承包人申报，经监理人、跟审单位、发包人共同审定。审定后根据承包人签订的相关合同（需经监理人、跟审单位、发包人共同确认）约定，由承包人申报，随进度款按与相关单位签订的合同约定一并支付。</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单项合同暂估价在国家相关法律法规规定必须招标规模以上的，需依法必须招标的，由承包人、发包人共同招标确定。</w:t>
      </w:r>
    </w:p>
    <w:p>
      <w:pPr>
        <w:spacing w:line="360" w:lineRule="auto"/>
        <w:ind w:firstLine="422" w:firstLineChars="200"/>
        <w:outlineLvl w:val="4"/>
        <w:rPr>
          <w:rFonts w:ascii="宋体" w:hAnsi="宋体" w:cs="宋体"/>
          <w:b/>
          <w:bCs/>
          <w:color w:val="auto"/>
          <w:kern w:val="0"/>
          <w:szCs w:val="21"/>
          <w:highlight w:val="none"/>
        </w:rPr>
      </w:pPr>
      <w:bookmarkStart w:id="588" w:name="_Toc532375641"/>
      <w:bookmarkStart w:id="589" w:name="_Toc532377377"/>
      <w:r>
        <w:rPr>
          <w:rFonts w:hint="eastAsia" w:ascii="宋体" w:hAnsi="宋体" w:cs="宋体"/>
          <w:b/>
          <w:bCs/>
          <w:color w:val="auto"/>
          <w:kern w:val="0"/>
          <w:szCs w:val="21"/>
          <w:highlight w:val="none"/>
        </w:rPr>
        <w:t>10.8 暂列金额</w:t>
      </w:r>
      <w:bookmarkEnd w:id="588"/>
      <w:bookmarkEnd w:id="589"/>
    </w:p>
    <w:p>
      <w:pPr>
        <w:autoSpaceDE w:val="0"/>
        <w:autoSpaceDN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合同当事人关于暂列金额使用的约定：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shd w:val="clear" w:color="auto" w:fill="FFFFFF"/>
        </w:rPr>
        <w:t>/</w:t>
      </w:r>
      <w:r>
        <w:rPr>
          <w:rFonts w:hint="eastAsia" w:ascii="宋体" w:hAnsi="宋体"/>
          <w:color w:val="auto"/>
          <w:szCs w:val="21"/>
          <w:highlight w:val="none"/>
        </w:rPr>
        <w:t>。</w:t>
      </w:r>
    </w:p>
    <w:p>
      <w:pPr>
        <w:keepNext/>
        <w:keepLines/>
        <w:spacing w:before="120" w:beforeLines="50" w:after="120" w:afterLines="50" w:line="360" w:lineRule="auto"/>
        <w:outlineLvl w:val="3"/>
        <w:rPr>
          <w:rFonts w:ascii="宋体" w:hAnsi="宋体" w:cs="宋体"/>
          <w:b/>
          <w:color w:val="auto"/>
          <w:szCs w:val="21"/>
          <w:highlight w:val="none"/>
        </w:rPr>
      </w:pPr>
      <w:bookmarkStart w:id="590" w:name="_Toc351203643"/>
      <w:bookmarkStart w:id="591" w:name="_Toc532375642"/>
      <w:bookmarkStart w:id="592" w:name="_Toc532377378"/>
      <w:r>
        <w:rPr>
          <w:rFonts w:hint="eastAsia" w:ascii="宋体" w:hAnsi="宋体" w:cs="宋体"/>
          <w:b/>
          <w:bCs/>
          <w:color w:val="auto"/>
          <w:szCs w:val="21"/>
          <w:highlight w:val="none"/>
        </w:rPr>
        <w:t>11. 价格调整</w:t>
      </w:r>
      <w:bookmarkEnd w:id="590"/>
      <w:bookmarkEnd w:id="591"/>
      <w:bookmarkEnd w:id="592"/>
    </w:p>
    <w:p>
      <w:pPr>
        <w:spacing w:line="360" w:lineRule="auto"/>
        <w:ind w:firstLine="422" w:firstLineChars="200"/>
        <w:outlineLvl w:val="4"/>
        <w:rPr>
          <w:rFonts w:ascii="宋体" w:hAnsi="宋体" w:cs="宋体"/>
          <w:b/>
          <w:bCs/>
          <w:color w:val="auto"/>
          <w:kern w:val="0"/>
          <w:szCs w:val="21"/>
          <w:highlight w:val="none"/>
        </w:rPr>
      </w:pPr>
      <w:bookmarkStart w:id="593" w:name="_Toc532377379"/>
      <w:bookmarkStart w:id="594" w:name="_Toc532375643"/>
      <w:bookmarkStart w:id="595" w:name="_Toc300935000"/>
      <w:bookmarkStart w:id="596" w:name="_Toc296347200"/>
      <w:bookmarkStart w:id="597" w:name="_Toc304295577"/>
      <w:bookmarkStart w:id="598" w:name="_Toc292559911"/>
      <w:bookmarkStart w:id="599" w:name="_Toc296346702"/>
      <w:bookmarkStart w:id="600" w:name="_Toc297120501"/>
      <w:bookmarkStart w:id="601" w:name="_Toc297216209"/>
      <w:bookmarkStart w:id="602" w:name="_Toc303539157"/>
      <w:bookmarkStart w:id="603" w:name="_Toc297048387"/>
      <w:bookmarkStart w:id="604" w:name="_Toc296891241"/>
      <w:bookmarkStart w:id="605" w:name="_Toc296944540"/>
      <w:bookmarkStart w:id="606" w:name="_Toc296891029"/>
      <w:bookmarkStart w:id="607" w:name="_Toc297123550"/>
      <w:bookmarkStart w:id="608" w:name="_Toc292559406"/>
      <w:bookmarkStart w:id="609" w:name="_Toc296503201"/>
      <w:bookmarkStart w:id="610" w:name="_Toc312678039"/>
      <w:r>
        <w:rPr>
          <w:rFonts w:hint="eastAsia" w:ascii="宋体" w:hAnsi="宋体" w:cs="宋体"/>
          <w:b/>
          <w:bCs/>
          <w:color w:val="auto"/>
          <w:kern w:val="0"/>
          <w:szCs w:val="21"/>
          <w:highlight w:val="none"/>
        </w:rPr>
        <w:t>11.1 市场价格波动引起的调整</w:t>
      </w:r>
      <w:bookmarkEnd w:id="593"/>
      <w:bookmarkEnd w:id="594"/>
    </w:p>
    <w:bookmarkEnd w:id="479"/>
    <w:bookmarkEnd w:id="480"/>
    <w:bookmarkEnd w:id="481"/>
    <w:bookmarkEnd w:id="482"/>
    <w:bookmarkEnd w:id="483"/>
    <w:bookmarkEnd w:id="48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Pr>
        <w:spacing w:line="360" w:lineRule="auto"/>
        <w:ind w:firstLine="420" w:firstLineChars="200"/>
        <w:rPr>
          <w:rFonts w:ascii="宋体" w:hAnsi="宋体"/>
          <w:color w:val="auto"/>
          <w:szCs w:val="21"/>
          <w:highlight w:val="none"/>
        </w:rPr>
      </w:pPr>
      <w:bookmarkStart w:id="611" w:name="_Toc466913963"/>
      <w:bookmarkStart w:id="612" w:name="_Toc466913513"/>
      <w:bookmarkStart w:id="613" w:name="_Toc467689641"/>
      <w:bookmarkStart w:id="614" w:name="_Toc466911545"/>
      <w:bookmarkStart w:id="615" w:name="_Toc532377380"/>
      <w:bookmarkStart w:id="616" w:name="_Toc532375644"/>
      <w:bookmarkStart w:id="617" w:name="_Hlk528928232"/>
      <w:bookmarkStart w:id="618" w:name="_Toc296503205"/>
      <w:bookmarkStart w:id="619" w:name="_Toc292559915"/>
      <w:bookmarkStart w:id="620" w:name="_Toc297120505"/>
      <w:bookmarkStart w:id="621" w:name="_Toc297048391"/>
      <w:bookmarkStart w:id="622" w:name="_Toc296891033"/>
      <w:bookmarkStart w:id="623" w:name="_Toc296347204"/>
      <w:bookmarkStart w:id="624" w:name="_Toc296346706"/>
      <w:bookmarkStart w:id="625" w:name="_Toc292559410"/>
      <w:bookmarkStart w:id="626" w:name="_Toc296891245"/>
      <w:bookmarkStart w:id="627" w:name="_Toc296944544"/>
      <w:bookmarkStart w:id="628" w:name="_Toc351203644"/>
      <w:bookmarkStart w:id="629" w:name="_Toc297216211"/>
      <w:bookmarkStart w:id="630" w:name="_Toc303539159"/>
      <w:bookmarkStart w:id="631" w:name="_Toc312678040"/>
      <w:bookmarkStart w:id="632" w:name="_Toc304295579"/>
      <w:bookmarkStart w:id="633" w:name="_Toc297123552"/>
      <w:bookmarkStart w:id="634" w:name="_Toc300935002"/>
      <w:r>
        <w:rPr>
          <w:rFonts w:hint="eastAsia" w:ascii="宋体" w:hAnsi="宋体"/>
          <w:color w:val="auto"/>
          <w:szCs w:val="21"/>
          <w:highlight w:val="none"/>
        </w:rPr>
        <w:t>市场价格波动是否调整合同价格的约定：</w:t>
      </w:r>
      <w:bookmarkEnd w:id="611"/>
      <w:bookmarkEnd w:id="612"/>
      <w:bookmarkEnd w:id="613"/>
      <w:bookmarkEnd w:id="614"/>
      <w:r>
        <w:rPr>
          <w:rFonts w:hint="eastAsia" w:ascii="宋体" w:hAnsi="宋体"/>
          <w:color w:val="auto"/>
          <w:szCs w:val="21"/>
          <w:highlight w:val="none"/>
          <w:u w:val="single"/>
        </w:rPr>
        <w:t>不调整。</w:t>
      </w:r>
    </w:p>
    <w:p>
      <w:pPr>
        <w:spacing w:line="360" w:lineRule="auto"/>
        <w:ind w:firstLine="422" w:firstLineChars="200"/>
        <w:outlineLvl w:val="4"/>
        <w:rPr>
          <w:rFonts w:ascii="宋体" w:hAnsi="宋体" w:cs="宋体"/>
          <w:b/>
          <w:bCs/>
          <w:color w:val="auto"/>
          <w:kern w:val="0"/>
          <w:szCs w:val="21"/>
          <w:highlight w:val="none"/>
        </w:rPr>
      </w:pPr>
      <w:r>
        <w:rPr>
          <w:rFonts w:hint="eastAsia" w:ascii="宋体" w:hAnsi="宋体" w:cs="宋体"/>
          <w:b/>
          <w:bCs/>
          <w:color w:val="auto"/>
          <w:kern w:val="0"/>
          <w:szCs w:val="21"/>
          <w:highlight w:val="none"/>
        </w:rPr>
        <w:t>11.2 法律变化引起的调整</w:t>
      </w:r>
      <w:bookmarkEnd w:id="615"/>
      <w:bookmarkEnd w:id="616"/>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项目投标基准日至竣工验收合格之日，国家或相关行政主管部门发布直接影响项目的新法规、新政策、新文件、新标准，属强制执行的，自执行之日执行，由此增减的费用由发包人承担，估价照第10.4.1项〔变更估价原则〕执行；属选择性执行的，发包人与承包人协商解决。</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本条补充11.3款</w:t>
      </w:r>
    </w:p>
    <w:bookmarkEnd w:id="617"/>
    <w:p>
      <w:pPr>
        <w:spacing w:line="360" w:lineRule="auto"/>
        <w:ind w:firstLine="422" w:firstLineChars="200"/>
        <w:outlineLvl w:val="4"/>
        <w:rPr>
          <w:rFonts w:ascii="宋体" w:hAnsi="宋体" w:cs="宋体"/>
          <w:b/>
          <w:bCs/>
          <w:color w:val="auto"/>
          <w:kern w:val="0"/>
          <w:szCs w:val="21"/>
          <w:highlight w:val="none"/>
        </w:rPr>
      </w:pPr>
      <w:bookmarkStart w:id="635" w:name="_Toc532375645"/>
      <w:bookmarkStart w:id="636" w:name="_Toc532377381"/>
      <w:r>
        <w:rPr>
          <w:rFonts w:hint="eastAsia" w:ascii="宋体" w:hAnsi="宋体" w:cs="宋体"/>
          <w:b/>
          <w:bCs/>
          <w:color w:val="auto"/>
          <w:kern w:val="0"/>
          <w:szCs w:val="21"/>
          <w:highlight w:val="none"/>
        </w:rPr>
        <w:t>11.3 严重不平衡报价引起的调整</w:t>
      </w:r>
      <w:bookmarkEnd w:id="635"/>
      <w:bookmarkEnd w:id="636"/>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不调整</w:t>
      </w:r>
      <w:r>
        <w:rPr>
          <w:rFonts w:hint="eastAsia" w:ascii="宋体" w:hAnsi="宋体"/>
          <w:color w:val="auto"/>
          <w:szCs w:val="21"/>
          <w:highlight w:val="none"/>
        </w:rPr>
        <w:t>。</w:t>
      </w:r>
    </w:p>
    <w:p>
      <w:pPr>
        <w:keepNext/>
        <w:keepLines/>
        <w:spacing w:before="120" w:beforeLines="50" w:after="120" w:afterLines="50" w:line="360" w:lineRule="auto"/>
        <w:outlineLvl w:val="3"/>
        <w:rPr>
          <w:rFonts w:ascii="宋体" w:hAnsi="宋体" w:cs="宋体"/>
          <w:b/>
          <w:color w:val="auto"/>
          <w:szCs w:val="21"/>
          <w:highlight w:val="none"/>
        </w:rPr>
      </w:pPr>
      <w:bookmarkStart w:id="637" w:name="_Toc532375646"/>
      <w:bookmarkStart w:id="638" w:name="_Toc532377382"/>
      <w:r>
        <w:rPr>
          <w:rFonts w:hint="eastAsia" w:ascii="宋体" w:hAnsi="宋体" w:cs="宋体"/>
          <w:b/>
          <w:bCs/>
          <w:color w:val="auto"/>
          <w:szCs w:val="21"/>
          <w:highlight w:val="none"/>
        </w:rPr>
        <w:t xml:space="preserve">12. </w:t>
      </w:r>
      <w:bookmarkEnd w:id="618"/>
      <w:bookmarkEnd w:id="619"/>
      <w:bookmarkEnd w:id="620"/>
      <w:bookmarkEnd w:id="621"/>
      <w:bookmarkEnd w:id="622"/>
      <w:bookmarkEnd w:id="623"/>
      <w:bookmarkEnd w:id="624"/>
      <w:bookmarkEnd w:id="625"/>
      <w:bookmarkEnd w:id="626"/>
      <w:bookmarkEnd w:id="627"/>
      <w:r>
        <w:rPr>
          <w:rFonts w:hint="eastAsia" w:ascii="宋体" w:hAnsi="宋体" w:cs="宋体"/>
          <w:b/>
          <w:bCs/>
          <w:color w:val="auto"/>
          <w:szCs w:val="21"/>
          <w:highlight w:val="none"/>
        </w:rPr>
        <w:t>合同价格、计量与支付</w:t>
      </w:r>
      <w:bookmarkEnd w:id="628"/>
      <w:bookmarkEnd w:id="637"/>
      <w:bookmarkEnd w:id="638"/>
    </w:p>
    <w:bookmarkEnd w:id="629"/>
    <w:bookmarkEnd w:id="630"/>
    <w:bookmarkEnd w:id="631"/>
    <w:bookmarkEnd w:id="632"/>
    <w:bookmarkEnd w:id="633"/>
    <w:bookmarkEnd w:id="634"/>
    <w:p>
      <w:pPr>
        <w:spacing w:line="360" w:lineRule="auto"/>
        <w:ind w:firstLine="422" w:firstLineChars="200"/>
        <w:outlineLvl w:val="4"/>
        <w:rPr>
          <w:rFonts w:ascii="宋体" w:hAnsi="宋体" w:cs="宋体"/>
          <w:b/>
          <w:bCs/>
          <w:color w:val="auto"/>
          <w:kern w:val="0"/>
          <w:szCs w:val="21"/>
          <w:highlight w:val="none"/>
        </w:rPr>
      </w:pPr>
      <w:bookmarkStart w:id="639" w:name="_Toc267251461"/>
      <w:bookmarkStart w:id="640" w:name="_Toc292559916"/>
      <w:bookmarkStart w:id="641" w:name="_Toc292559411"/>
      <w:bookmarkStart w:id="642" w:name="_Toc297048392"/>
      <w:bookmarkStart w:id="643" w:name="_Toc297120506"/>
      <w:bookmarkStart w:id="644" w:name="_Toc296891246"/>
      <w:bookmarkStart w:id="645" w:name="_Toc296503206"/>
      <w:bookmarkStart w:id="646" w:name="_Toc296944545"/>
      <w:bookmarkStart w:id="647" w:name="_Toc296346707"/>
      <w:bookmarkStart w:id="648" w:name="_Toc296891034"/>
      <w:bookmarkStart w:id="649" w:name="_Toc296347205"/>
      <w:bookmarkStart w:id="650" w:name="_Toc532377383"/>
      <w:bookmarkStart w:id="651" w:name="_Toc532375647"/>
      <w:bookmarkStart w:id="652" w:name="_Toc303539160"/>
      <w:bookmarkStart w:id="653" w:name="_Toc312678041"/>
      <w:bookmarkStart w:id="654" w:name="_Toc297123553"/>
      <w:bookmarkStart w:id="655" w:name="_Toc304295580"/>
      <w:bookmarkStart w:id="656" w:name="_Toc300935003"/>
      <w:bookmarkStart w:id="657" w:name="_Toc297216212"/>
      <w:r>
        <w:rPr>
          <w:rFonts w:hint="eastAsia" w:ascii="宋体" w:hAnsi="宋体" w:cs="宋体"/>
          <w:b/>
          <w:bCs/>
          <w:color w:val="auto"/>
          <w:kern w:val="0"/>
          <w:szCs w:val="21"/>
          <w:highlight w:val="none"/>
        </w:rPr>
        <w:t>12.1 合</w:t>
      </w:r>
      <w:bookmarkEnd w:id="639"/>
      <w:bookmarkEnd w:id="640"/>
      <w:bookmarkEnd w:id="641"/>
      <w:r>
        <w:rPr>
          <w:rFonts w:hint="eastAsia" w:ascii="宋体" w:hAnsi="宋体" w:cs="宋体"/>
          <w:b/>
          <w:bCs/>
          <w:color w:val="auto"/>
          <w:kern w:val="0"/>
          <w:szCs w:val="21"/>
          <w:highlight w:val="none"/>
        </w:rPr>
        <w:t>同价</w:t>
      </w:r>
      <w:bookmarkEnd w:id="642"/>
      <w:bookmarkEnd w:id="643"/>
      <w:bookmarkEnd w:id="644"/>
      <w:bookmarkEnd w:id="645"/>
      <w:bookmarkEnd w:id="646"/>
      <w:bookmarkEnd w:id="647"/>
      <w:bookmarkEnd w:id="648"/>
      <w:bookmarkEnd w:id="649"/>
      <w:r>
        <w:rPr>
          <w:rFonts w:hint="eastAsia" w:ascii="宋体" w:hAnsi="宋体" w:cs="宋体"/>
          <w:b/>
          <w:bCs/>
          <w:color w:val="auto"/>
          <w:kern w:val="0"/>
          <w:szCs w:val="21"/>
          <w:highlight w:val="none"/>
        </w:rPr>
        <w:t>格形式</w:t>
      </w:r>
      <w:bookmarkEnd w:id="650"/>
      <w:bookmarkEnd w:id="651"/>
    </w:p>
    <w:bookmarkEnd w:id="652"/>
    <w:bookmarkEnd w:id="653"/>
    <w:bookmarkEnd w:id="654"/>
    <w:bookmarkEnd w:id="655"/>
    <w:bookmarkEnd w:id="656"/>
    <w:bookmarkEnd w:id="657"/>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1、单价合同。</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综合单价包含的风险范围：</w:t>
      </w:r>
      <w:r>
        <w:rPr>
          <w:rFonts w:hint="eastAsia" w:ascii="宋体" w:hAnsi="宋体"/>
          <w:color w:val="auto"/>
          <w:szCs w:val="21"/>
          <w:highlight w:val="none"/>
          <w:u w:val="single"/>
        </w:rPr>
        <w:t>/</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风险费用的计算方法：</w:t>
      </w:r>
      <w:r>
        <w:rPr>
          <w:rFonts w:hint="eastAsia" w:ascii="宋体" w:hAnsi="宋体"/>
          <w:color w:val="auto"/>
          <w:szCs w:val="21"/>
          <w:highlight w:val="none"/>
          <w:u w:val="single"/>
        </w:rPr>
        <w:t>/</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风险范围以外合同价格的调整方法：</w:t>
      </w:r>
      <w:r>
        <w:rPr>
          <w:rFonts w:hint="eastAsia" w:ascii="宋体" w:hAnsi="宋体"/>
          <w:color w:val="auto"/>
          <w:szCs w:val="21"/>
          <w:highlight w:val="none"/>
          <w:u w:val="single"/>
        </w:rPr>
        <w:t>/</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2、总价合同。</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总价包含的风险范围：</w:t>
      </w:r>
      <w:r>
        <w:rPr>
          <w:rFonts w:hint="eastAsia" w:ascii="宋体" w:hAnsi="宋体"/>
          <w:color w:val="auto"/>
          <w:szCs w:val="21"/>
          <w:highlight w:val="none"/>
          <w:u w:val="single"/>
        </w:rPr>
        <w:t>包括但不限于为实施和完成合同工程所需的人工费、材料费、施工机具使用费、企业管理费、利润、风险费、施工技术措施项目费、施工组织措施项目费、总承包服务费、规费和税金及缺陷修复等费用，以及政策性文件规定的各项应有费用、评比文件和合同明示或暗示的应由承包人承担的所有责任、义务和风险等所需的费用</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风险费用的计算方法：</w:t>
      </w:r>
      <w:r>
        <w:rPr>
          <w:rFonts w:hint="eastAsia" w:ascii="宋体" w:hAnsi="宋体"/>
          <w:color w:val="auto"/>
          <w:szCs w:val="21"/>
          <w:highlight w:val="none"/>
          <w:u w:val="single"/>
        </w:rPr>
        <w:t>由承包人自行考虑并计入签约合同价格中，包干使用</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风险范围以外合同价格的调整方法：</w:t>
      </w:r>
      <w:r>
        <w:rPr>
          <w:rFonts w:hint="eastAsia" w:ascii="宋体" w:hAnsi="宋体"/>
          <w:color w:val="auto"/>
          <w:szCs w:val="21"/>
          <w:highlight w:val="none"/>
          <w:u w:val="single"/>
        </w:rPr>
        <w:t>按照合同相关条款约定执行</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3、其他价格方式：</w:t>
      </w:r>
      <w:r>
        <w:rPr>
          <w:rFonts w:hint="eastAsia" w:ascii="宋体" w:hAnsi="宋体"/>
          <w:color w:val="auto"/>
          <w:szCs w:val="21"/>
          <w:highlight w:val="none"/>
          <w:u w:val="single"/>
        </w:rPr>
        <w:t>不采用</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658" w:name="_Toc532375648"/>
      <w:bookmarkStart w:id="659" w:name="_Toc532377384"/>
      <w:bookmarkStart w:id="660" w:name="_Toc303539161"/>
      <w:bookmarkStart w:id="661" w:name="_Toc300935004"/>
      <w:bookmarkStart w:id="662" w:name="_Toc297216213"/>
      <w:bookmarkStart w:id="663" w:name="_Toc297123554"/>
      <w:bookmarkStart w:id="664" w:name="_Toc304295581"/>
      <w:bookmarkStart w:id="665" w:name="_Toc312678042"/>
      <w:bookmarkStart w:id="666" w:name="_Toc296891035"/>
      <w:bookmarkStart w:id="667" w:name="_Toc296503207"/>
      <w:bookmarkStart w:id="668" w:name="_Toc292559917"/>
      <w:bookmarkStart w:id="669" w:name="_Toc292559412"/>
      <w:bookmarkStart w:id="670" w:name="_Toc296347206"/>
      <w:bookmarkStart w:id="671" w:name="_Toc296346708"/>
      <w:bookmarkStart w:id="672" w:name="_Toc296944546"/>
      <w:bookmarkStart w:id="673" w:name="_Toc297120507"/>
      <w:bookmarkStart w:id="674" w:name="_Toc297048393"/>
      <w:bookmarkStart w:id="675" w:name="_Toc296891247"/>
      <w:r>
        <w:rPr>
          <w:rFonts w:hint="eastAsia" w:ascii="宋体" w:hAnsi="宋体" w:cs="宋体"/>
          <w:b/>
          <w:bCs/>
          <w:color w:val="auto"/>
          <w:kern w:val="0"/>
          <w:szCs w:val="21"/>
          <w:highlight w:val="none"/>
        </w:rPr>
        <w:t>12.2 预付款</w:t>
      </w:r>
      <w:bookmarkEnd w:id="658"/>
      <w:bookmarkEnd w:id="659"/>
    </w:p>
    <w:bookmarkEnd w:id="660"/>
    <w:bookmarkEnd w:id="661"/>
    <w:bookmarkEnd w:id="662"/>
    <w:bookmarkEnd w:id="663"/>
    <w:bookmarkEnd w:id="664"/>
    <w:bookmarkEnd w:id="665"/>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12.2.1 预付款的支付</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预付款支付比例或金额：</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预付款支付期限：</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预付款扣回的方式：</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12.2.2 预付款担保</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承包人提交预付款担保的期限：</w:t>
      </w:r>
      <w:r>
        <w:rPr>
          <w:rFonts w:hint="eastAsia" w:ascii="宋体" w:hAnsi="宋体"/>
          <w:color w:val="auto"/>
          <w:szCs w:val="21"/>
          <w:highlight w:val="none"/>
          <w:u w:val="single"/>
        </w:rPr>
        <w:t>不采用</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预付款担保的形式为：</w:t>
      </w:r>
      <w:r>
        <w:rPr>
          <w:rFonts w:hint="eastAsia" w:ascii="宋体" w:hAnsi="宋体"/>
          <w:color w:val="auto"/>
          <w:szCs w:val="21"/>
          <w:highlight w:val="none"/>
          <w:u w:val="single"/>
        </w:rPr>
        <w:t>不采用</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预付款担保的金额：</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预付款担保的时间：</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预付款担保的期限：</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预付款担保的退还时间：</w:t>
      </w:r>
      <w:r>
        <w:rPr>
          <w:rFonts w:hint="eastAsia" w:ascii="宋体" w:hAnsi="宋体"/>
          <w:color w:val="auto"/>
          <w:szCs w:val="21"/>
          <w:highlight w:val="none"/>
          <w:u w:val="single"/>
        </w:rPr>
        <w:t xml:space="preserve">        </w:t>
      </w:r>
      <w:r>
        <w:rPr>
          <w:rFonts w:hint="eastAsia" w:ascii="宋体" w:hAnsi="宋体"/>
          <w:color w:val="auto"/>
          <w:szCs w:val="21"/>
          <w:highlight w:val="none"/>
        </w:rPr>
        <w:t>。</w:t>
      </w:r>
    </w:p>
    <w:bookmarkEnd w:id="666"/>
    <w:bookmarkEnd w:id="667"/>
    <w:bookmarkEnd w:id="668"/>
    <w:bookmarkEnd w:id="669"/>
    <w:bookmarkEnd w:id="670"/>
    <w:bookmarkEnd w:id="671"/>
    <w:bookmarkEnd w:id="672"/>
    <w:bookmarkEnd w:id="673"/>
    <w:bookmarkEnd w:id="674"/>
    <w:bookmarkEnd w:id="675"/>
    <w:p>
      <w:pPr>
        <w:spacing w:line="360" w:lineRule="auto"/>
        <w:ind w:firstLine="422" w:firstLineChars="200"/>
        <w:outlineLvl w:val="4"/>
        <w:rPr>
          <w:rFonts w:ascii="宋体" w:hAnsi="宋体" w:cs="宋体"/>
          <w:b/>
          <w:bCs/>
          <w:color w:val="auto"/>
          <w:kern w:val="0"/>
          <w:szCs w:val="21"/>
          <w:highlight w:val="none"/>
        </w:rPr>
      </w:pPr>
      <w:bookmarkStart w:id="676" w:name="_Toc532377385"/>
      <w:bookmarkStart w:id="677" w:name="_Toc532375649"/>
      <w:r>
        <w:rPr>
          <w:rFonts w:hint="eastAsia" w:ascii="宋体" w:hAnsi="宋体" w:cs="宋体"/>
          <w:b/>
          <w:bCs/>
          <w:color w:val="auto"/>
          <w:kern w:val="0"/>
          <w:szCs w:val="21"/>
          <w:highlight w:val="none"/>
        </w:rPr>
        <w:t>12.3 计量</w:t>
      </w:r>
      <w:bookmarkEnd w:id="676"/>
      <w:bookmarkEnd w:id="677"/>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12.3.4 总价合同的计量</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关于总价合同计量的约定：</w:t>
      </w:r>
      <w:r>
        <w:rPr>
          <w:rFonts w:hint="eastAsia" w:ascii="宋体" w:hAnsi="宋体"/>
          <w:color w:val="auto"/>
          <w:szCs w:val="21"/>
          <w:highlight w:val="none"/>
          <w:u w:val="single"/>
        </w:rPr>
        <w:t>按形象进度比例支付</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12.3.5总价合同采用支付分解表计量支付的，是否适用第12.3.4项〔总价合同的计量〕约定进行计量：</w:t>
      </w:r>
      <w:r>
        <w:rPr>
          <w:rFonts w:hint="eastAsia" w:ascii="宋体" w:hAnsi="宋体"/>
          <w:color w:val="auto"/>
          <w:szCs w:val="21"/>
          <w:highlight w:val="none"/>
          <w:u w:val="single"/>
        </w:rPr>
        <w:t>适用</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12.3.6 其他价格形式合同的计量</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其他价格形式的计量方式和程序：</w:t>
      </w:r>
      <w:r>
        <w:rPr>
          <w:rFonts w:hint="eastAsia" w:ascii="宋体" w:hAnsi="宋体"/>
          <w:color w:val="auto"/>
          <w:szCs w:val="21"/>
          <w:highlight w:val="none"/>
          <w:u w:val="single"/>
        </w:rPr>
        <w:t>不采用</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678" w:name="_Toc532377386"/>
      <w:bookmarkStart w:id="679" w:name="_Toc532375650"/>
      <w:bookmarkStart w:id="680" w:name="_Hlk528928289"/>
      <w:r>
        <w:rPr>
          <w:rFonts w:hint="eastAsia" w:ascii="宋体" w:hAnsi="宋体" w:cs="宋体"/>
          <w:b/>
          <w:bCs/>
          <w:color w:val="auto"/>
          <w:kern w:val="0"/>
          <w:szCs w:val="21"/>
          <w:highlight w:val="none"/>
        </w:rPr>
        <w:t>12.4 工程进度款支付</w:t>
      </w:r>
      <w:bookmarkEnd w:id="678"/>
      <w:bookmarkEnd w:id="679"/>
    </w:p>
    <w:bookmarkEnd w:id="680"/>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12.4.4 进度款审核和支付</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（1）监理人审查并报送发包人的期限：</w:t>
      </w:r>
      <w:r>
        <w:rPr>
          <w:rFonts w:hint="eastAsia" w:ascii="宋体" w:hAnsi="宋体"/>
          <w:color w:val="auto"/>
          <w:szCs w:val="21"/>
          <w:highlight w:val="none"/>
          <w:u w:val="single"/>
        </w:rPr>
        <w:t>收到完整资料后7天内</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发包人完成审批并签发进度款支付证书的期限：</w:t>
      </w:r>
      <w:r>
        <w:rPr>
          <w:rFonts w:hint="eastAsia" w:ascii="宋体" w:hAnsi="宋体"/>
          <w:color w:val="auto"/>
          <w:szCs w:val="21"/>
          <w:highlight w:val="none"/>
          <w:u w:val="single"/>
        </w:rPr>
        <w:t>发包人收到监理人报送资料后7天内完成审批并签发进度款支付证书</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监理人、跟审单位和发包人中任一方对承包人的进度付款申请单有异议的，均有权要求承包人修正和提供补充资料，承包人应提交修正后的进度付款申请单。监理人应在收到承包人修正后的进度付款申请单及相关资料后7天内完成审查并报送发包人，发包人收到监理人报送资料后7天内完成审批并向承包人签发无异议部分的临时进度款支付证书。存在争议的部分，按照合同约定的争议解决的约定处理。</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发包人签发进度款支付证书或临时进度款支付证书，不表明发包人已同意、批准或接受了承包人完成的相应部分的工作。</w:t>
      </w:r>
    </w:p>
    <w:p>
      <w:pPr>
        <w:spacing w:line="360" w:lineRule="auto"/>
        <w:ind w:firstLine="315" w:firstLineChars="150"/>
        <w:rPr>
          <w:rFonts w:ascii="宋体" w:hAnsi="宋体"/>
          <w:color w:val="auto"/>
          <w:szCs w:val="21"/>
          <w:highlight w:val="none"/>
          <w:shd w:val="clear" w:color="auto" w:fill="FFFFFF"/>
        </w:rPr>
      </w:pPr>
      <w:bookmarkStart w:id="681" w:name="_Toc351203585"/>
      <w:bookmarkStart w:id="682" w:name="_Toc532377387"/>
      <w:r>
        <w:rPr>
          <w:rFonts w:hint="eastAsia" w:ascii="宋体" w:hAnsi="宋体"/>
          <w:color w:val="auto"/>
          <w:szCs w:val="21"/>
          <w:highlight w:val="none"/>
          <w:shd w:val="clear" w:color="auto" w:fill="FFFFFF"/>
        </w:rPr>
        <w:t>（2）进度款支付节点和比例：</w:t>
      </w:r>
    </w:p>
    <w:p>
      <w:pPr>
        <w:spacing w:line="360" w:lineRule="auto"/>
        <w:ind w:firstLine="315" w:firstLineChars="150"/>
        <w:rPr>
          <w:rFonts w:ascii="宋体" w:hAnsi="宋体"/>
          <w:bCs/>
          <w:color w:val="auto"/>
          <w:szCs w:val="21"/>
          <w:highlight w:val="none"/>
          <w:shd w:val="clear" w:color="auto" w:fill="FFFFFF"/>
        </w:rPr>
      </w:pPr>
      <w:r>
        <w:rPr>
          <w:rFonts w:hint="eastAsia" w:ascii="宋体" w:hAnsi="宋体"/>
          <w:bCs/>
          <w:color w:val="auto"/>
          <w:szCs w:val="21"/>
          <w:highlight w:val="none"/>
          <w:shd w:val="clear" w:color="auto" w:fill="FFFFFF"/>
        </w:rPr>
        <w:t>2.1合同签订后支付4</w:t>
      </w:r>
      <w:r>
        <w:rPr>
          <w:rFonts w:ascii="宋体" w:hAnsi="宋体"/>
          <w:bCs/>
          <w:color w:val="auto"/>
          <w:szCs w:val="21"/>
          <w:highlight w:val="none"/>
          <w:shd w:val="clear" w:color="auto" w:fill="FFFFFF"/>
        </w:rPr>
        <w:t>0</w:t>
      </w:r>
      <w:r>
        <w:rPr>
          <w:rFonts w:hint="eastAsia" w:ascii="宋体" w:hAnsi="宋体"/>
          <w:bCs/>
          <w:color w:val="auto"/>
          <w:szCs w:val="21"/>
          <w:highlight w:val="none"/>
          <w:shd w:val="clear" w:color="auto" w:fill="FFFFFF"/>
        </w:rPr>
        <w:t>%，工程竣工验收后支付至合同价的</w:t>
      </w:r>
      <w:r>
        <w:rPr>
          <w:rFonts w:ascii="宋体" w:hAnsi="宋体"/>
          <w:bCs/>
          <w:color w:val="auto"/>
          <w:szCs w:val="21"/>
          <w:highlight w:val="none"/>
          <w:shd w:val="clear" w:color="auto" w:fill="FFFFFF"/>
        </w:rPr>
        <w:t>97</w:t>
      </w:r>
      <w:r>
        <w:rPr>
          <w:rFonts w:hint="eastAsia" w:ascii="宋体" w:hAnsi="宋体"/>
          <w:bCs/>
          <w:color w:val="auto"/>
          <w:szCs w:val="21"/>
          <w:highlight w:val="none"/>
          <w:shd w:val="clear" w:color="auto" w:fill="FFFFFF"/>
        </w:rPr>
        <w:t>%，缺陷责任期满后无息支付剩余3%。</w:t>
      </w:r>
    </w:p>
    <w:p>
      <w:pPr>
        <w:spacing w:line="360" w:lineRule="auto"/>
        <w:ind w:firstLine="315" w:firstLineChars="150"/>
        <w:rPr>
          <w:rFonts w:ascii="宋体" w:hAnsi="宋体"/>
          <w:bCs/>
          <w:color w:val="auto"/>
          <w:szCs w:val="21"/>
          <w:highlight w:val="none"/>
          <w:shd w:val="clear" w:color="auto" w:fill="FFFFFF"/>
        </w:rPr>
      </w:pPr>
      <w:r>
        <w:rPr>
          <w:rFonts w:hint="eastAsia" w:ascii="宋体" w:hAnsi="宋体"/>
          <w:bCs/>
          <w:color w:val="auto"/>
          <w:szCs w:val="21"/>
          <w:highlight w:val="none"/>
          <w:shd w:val="clear" w:color="auto" w:fill="FFFFFF"/>
        </w:rPr>
        <w:t>若发包人支付进度款金额超过承包人结算金额或造成质量保证金不足，发包人有权向承包人追讨相关金额，承包人无条件退还一切金额，若承包人拒不退还，发包人有权要求承包人赔偿退还金额的2倍（不包含退还金额）。</w:t>
      </w:r>
    </w:p>
    <w:p>
      <w:pPr>
        <w:spacing w:line="360" w:lineRule="auto"/>
        <w:ind w:firstLine="315" w:firstLineChars="150"/>
        <w:rPr>
          <w:rFonts w:ascii="宋体" w:hAnsi="宋体"/>
          <w:bCs/>
          <w:color w:val="auto"/>
          <w:szCs w:val="21"/>
          <w:highlight w:val="none"/>
          <w:shd w:val="clear" w:color="auto" w:fill="FFFFFF"/>
        </w:rPr>
      </w:pPr>
      <w:r>
        <w:rPr>
          <w:rFonts w:hint="eastAsia" w:ascii="宋体" w:hAnsi="宋体"/>
          <w:color w:val="auto"/>
          <w:szCs w:val="21"/>
          <w:highlight w:val="none"/>
          <w:shd w:val="clear" w:color="auto" w:fill="FFFFFF"/>
        </w:rPr>
        <w:t>（3）发包人支付进度款的期限：</w:t>
      </w:r>
      <w:r>
        <w:rPr>
          <w:rFonts w:hint="eastAsia" w:ascii="宋体" w:hAnsi="宋体"/>
          <w:color w:val="auto"/>
          <w:szCs w:val="21"/>
          <w:highlight w:val="none"/>
          <w:u w:val="single"/>
          <w:shd w:val="clear" w:color="auto" w:fill="FFFFFF"/>
        </w:rPr>
        <w:t>14天内</w:t>
      </w:r>
      <w:r>
        <w:rPr>
          <w:rFonts w:hint="eastAsia" w:ascii="宋体" w:hAnsi="宋体"/>
          <w:color w:val="auto"/>
          <w:szCs w:val="21"/>
          <w:highlight w:val="none"/>
          <w:shd w:val="clear" w:color="auto" w:fill="FFFFFF"/>
        </w:rPr>
        <w:t>。</w:t>
      </w:r>
    </w:p>
    <w:p>
      <w:pPr>
        <w:spacing w:line="360" w:lineRule="auto"/>
        <w:ind w:firstLine="422" w:firstLineChars="200"/>
        <w:outlineLvl w:val="4"/>
        <w:rPr>
          <w:rFonts w:ascii="宋体" w:hAnsi="宋体" w:cs="宋体"/>
          <w:b/>
          <w:bCs/>
          <w:color w:val="auto"/>
          <w:kern w:val="0"/>
          <w:szCs w:val="21"/>
          <w:highlight w:val="none"/>
        </w:rPr>
      </w:pPr>
      <w:r>
        <w:rPr>
          <w:rFonts w:hint="eastAsia" w:ascii="宋体" w:hAnsi="宋体" w:cs="宋体"/>
          <w:b/>
          <w:bCs/>
          <w:color w:val="auto"/>
          <w:kern w:val="0"/>
          <w:szCs w:val="21"/>
          <w:highlight w:val="none"/>
        </w:rPr>
        <w:t>12.5支付账户</w:t>
      </w:r>
      <w:bookmarkEnd w:id="681"/>
      <w:bookmarkEnd w:id="682"/>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发包人应将合同价款支付至如下承包人指定的开户银行及银行账户：</w:t>
      </w:r>
    </w:p>
    <w:p>
      <w:pPr>
        <w:spacing w:line="360" w:lineRule="auto"/>
        <w:ind w:firstLine="420" w:firstLineChars="200"/>
        <w:rPr>
          <w:rFonts w:ascii="宋体" w:hAnsi="宋体"/>
          <w:color w:val="auto"/>
          <w:kern w:val="0"/>
          <w:szCs w:val="21"/>
          <w:highlight w:val="none"/>
          <w:u w:val="single"/>
        </w:rPr>
      </w:pPr>
      <w:r>
        <w:rPr>
          <w:rFonts w:hint="eastAsia" w:ascii="宋体" w:hAnsi="宋体"/>
          <w:color w:val="auto"/>
          <w:kern w:val="0"/>
          <w:szCs w:val="21"/>
          <w:highlight w:val="none"/>
        </w:rPr>
        <w:t>收款单位名称：</w:t>
      </w:r>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收款账号：</w:t>
      </w:r>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收款开户银行：</w:t>
      </w:r>
      <w:r>
        <w:rPr>
          <w:rFonts w:ascii="宋体" w:hAnsi="宋体"/>
          <w:color w:val="auto"/>
          <w:kern w:val="0"/>
          <w:szCs w:val="21"/>
          <w:highlight w:val="none"/>
          <w:u w:val="single"/>
        </w:rPr>
        <w:t xml:space="preserve">                              </w:t>
      </w:r>
      <w:r>
        <w:rPr>
          <w:rFonts w:hint="eastAsia" w:ascii="宋体" w:hAnsi="宋体"/>
          <w:color w:val="auto"/>
          <w:kern w:val="0"/>
          <w:szCs w:val="21"/>
          <w:highlight w:val="none"/>
        </w:rPr>
        <w:t>。</w:t>
      </w:r>
    </w:p>
    <w:p>
      <w:pPr>
        <w:keepNext/>
        <w:keepLines/>
        <w:spacing w:before="120" w:beforeLines="50" w:after="120" w:afterLines="50" w:line="360" w:lineRule="auto"/>
        <w:outlineLvl w:val="3"/>
        <w:rPr>
          <w:rFonts w:ascii="宋体" w:hAnsi="宋体" w:cs="宋体"/>
          <w:b/>
          <w:color w:val="auto"/>
          <w:szCs w:val="21"/>
          <w:highlight w:val="none"/>
        </w:rPr>
      </w:pPr>
      <w:bookmarkStart w:id="683" w:name="_Toc351203645"/>
      <w:bookmarkStart w:id="684" w:name="_Toc532377388"/>
      <w:bookmarkStart w:id="685" w:name="_Toc532375651"/>
      <w:bookmarkStart w:id="686" w:name="_Toc297216223"/>
      <w:bookmarkStart w:id="687" w:name="_Toc296503219"/>
      <w:bookmarkStart w:id="688" w:name="_Toc312678053"/>
      <w:bookmarkStart w:id="689" w:name="_Toc297048405"/>
      <w:bookmarkStart w:id="690" w:name="_Toc292559424"/>
      <w:bookmarkStart w:id="691" w:name="_Toc296346720"/>
      <w:bookmarkStart w:id="692" w:name="_Toc297123564"/>
      <w:bookmarkStart w:id="693" w:name="_Toc296347218"/>
      <w:bookmarkStart w:id="694" w:name="_Toc300935015"/>
      <w:bookmarkStart w:id="695" w:name="_Toc292559929"/>
      <w:bookmarkStart w:id="696" w:name="_Toc303539172"/>
      <w:bookmarkStart w:id="697" w:name="_Toc296891047"/>
      <w:bookmarkStart w:id="698" w:name="_Toc296944558"/>
      <w:bookmarkStart w:id="699" w:name="_Toc296891259"/>
      <w:bookmarkStart w:id="700" w:name="_Toc297120519"/>
      <w:bookmarkStart w:id="701" w:name="_Toc304295593"/>
      <w:r>
        <w:rPr>
          <w:rFonts w:hint="eastAsia" w:ascii="宋体" w:hAnsi="宋体" w:cs="宋体"/>
          <w:b/>
          <w:bCs/>
          <w:color w:val="auto"/>
          <w:szCs w:val="21"/>
          <w:highlight w:val="none"/>
        </w:rPr>
        <w:t>13. 验收和工程试车</w:t>
      </w:r>
      <w:bookmarkEnd w:id="683"/>
      <w:bookmarkEnd w:id="684"/>
      <w:bookmarkEnd w:id="685"/>
    </w:p>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p>
      <w:pPr>
        <w:spacing w:line="360" w:lineRule="auto"/>
        <w:ind w:firstLine="422" w:firstLineChars="200"/>
        <w:outlineLvl w:val="4"/>
        <w:rPr>
          <w:rFonts w:ascii="宋体" w:hAnsi="宋体" w:cs="宋体"/>
          <w:b/>
          <w:bCs/>
          <w:color w:val="auto"/>
          <w:kern w:val="0"/>
          <w:szCs w:val="21"/>
          <w:highlight w:val="none"/>
        </w:rPr>
      </w:pPr>
      <w:bookmarkStart w:id="702" w:name="_Toc532377389"/>
      <w:bookmarkStart w:id="703" w:name="_Toc532375652"/>
      <w:bookmarkStart w:id="704" w:name="_Toc280868704"/>
      <w:bookmarkStart w:id="705" w:name="_Toc280868705"/>
      <w:bookmarkStart w:id="706" w:name="_Toc280868706"/>
      <w:bookmarkStart w:id="707" w:name="_Toc280868707"/>
      <w:bookmarkStart w:id="708" w:name="_Toc280868708"/>
      <w:bookmarkStart w:id="709" w:name="_Toc267251475"/>
      <w:bookmarkStart w:id="710" w:name="_Toc267251474"/>
      <w:bookmarkStart w:id="711" w:name="_Toc267251473"/>
      <w:bookmarkStart w:id="712" w:name="_Toc267251472"/>
      <w:bookmarkStart w:id="713" w:name="_Toc280868709"/>
      <w:bookmarkStart w:id="714" w:name="_Toc267251476"/>
      <w:bookmarkStart w:id="715" w:name="_Toc267251471"/>
      <w:bookmarkStart w:id="716" w:name="_Toc267251470"/>
      <w:r>
        <w:rPr>
          <w:rFonts w:hint="eastAsia" w:ascii="宋体" w:hAnsi="宋体" w:cs="宋体"/>
          <w:b/>
          <w:bCs/>
          <w:color w:val="auto"/>
          <w:kern w:val="0"/>
          <w:szCs w:val="21"/>
          <w:highlight w:val="none"/>
        </w:rPr>
        <w:t>13.1 分部分项工程验收</w:t>
      </w:r>
      <w:bookmarkEnd w:id="702"/>
      <w:bookmarkEnd w:id="703"/>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13.1.2 监理人不能按时进行验收时，应提前</w:t>
      </w:r>
      <w:r>
        <w:rPr>
          <w:rFonts w:hint="eastAsia" w:ascii="宋体" w:hAnsi="宋体"/>
          <w:color w:val="auto"/>
          <w:szCs w:val="21"/>
          <w:highlight w:val="none"/>
          <w:u w:val="single"/>
        </w:rPr>
        <w:t>24</w:t>
      </w:r>
      <w:r>
        <w:rPr>
          <w:rFonts w:hint="eastAsia" w:ascii="宋体" w:hAnsi="宋体"/>
          <w:color w:val="auto"/>
          <w:szCs w:val="21"/>
          <w:highlight w:val="none"/>
        </w:rPr>
        <w:t>小时提交书面延期要求。</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关于延期最长不得超过：</w:t>
      </w:r>
      <w:r>
        <w:rPr>
          <w:rFonts w:hint="eastAsia" w:ascii="宋体" w:hAnsi="宋体"/>
          <w:color w:val="auto"/>
          <w:szCs w:val="21"/>
          <w:highlight w:val="none"/>
          <w:u w:val="single"/>
        </w:rPr>
        <w:t>48</w:t>
      </w:r>
      <w:r>
        <w:rPr>
          <w:rFonts w:hint="eastAsia" w:ascii="宋体" w:hAnsi="宋体"/>
          <w:color w:val="auto"/>
          <w:szCs w:val="21"/>
          <w:highlight w:val="none"/>
        </w:rPr>
        <w:t>小时。</w:t>
      </w:r>
    </w:p>
    <w:p>
      <w:pPr>
        <w:spacing w:line="360" w:lineRule="auto"/>
        <w:ind w:firstLine="422" w:firstLineChars="200"/>
        <w:outlineLvl w:val="4"/>
        <w:rPr>
          <w:rFonts w:ascii="宋体" w:hAnsi="宋体" w:cs="宋体"/>
          <w:b/>
          <w:bCs/>
          <w:color w:val="auto"/>
          <w:kern w:val="0"/>
          <w:szCs w:val="21"/>
          <w:highlight w:val="none"/>
        </w:rPr>
      </w:pPr>
      <w:bookmarkStart w:id="717" w:name="_Toc532377390"/>
      <w:bookmarkStart w:id="718" w:name="_Toc532375653"/>
      <w:bookmarkStart w:id="719" w:name="_Toc303539173"/>
      <w:bookmarkStart w:id="720" w:name="_Toc296944562"/>
      <w:bookmarkStart w:id="721" w:name="_Toc292559933"/>
      <w:bookmarkStart w:id="722" w:name="_Toc296503223"/>
      <w:bookmarkStart w:id="723" w:name="_Toc296347222"/>
      <w:bookmarkStart w:id="724" w:name="_Toc296891051"/>
      <w:bookmarkStart w:id="725" w:name="_Toc297123565"/>
      <w:bookmarkStart w:id="726" w:name="_Toc297048409"/>
      <w:bookmarkStart w:id="727" w:name="_Toc296346724"/>
      <w:bookmarkStart w:id="728" w:name="_Toc297120523"/>
      <w:bookmarkStart w:id="729" w:name="_Toc312678056"/>
      <w:bookmarkStart w:id="730" w:name="_Toc300935016"/>
      <w:bookmarkStart w:id="731" w:name="_Toc297216224"/>
      <w:bookmarkStart w:id="732" w:name="_Toc292559428"/>
      <w:bookmarkStart w:id="733" w:name="_Toc304295596"/>
      <w:bookmarkStart w:id="734" w:name="_Toc296891263"/>
      <w:r>
        <w:rPr>
          <w:rFonts w:hint="eastAsia" w:ascii="宋体" w:hAnsi="宋体" w:cs="宋体"/>
          <w:b/>
          <w:bCs/>
          <w:color w:val="auto"/>
          <w:kern w:val="0"/>
          <w:szCs w:val="21"/>
          <w:highlight w:val="none"/>
        </w:rPr>
        <w:t>13.2 竣工验收</w:t>
      </w:r>
      <w:bookmarkEnd w:id="717"/>
      <w:bookmarkEnd w:id="718"/>
    </w:p>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13.2.2竣工验收程序</w:t>
      </w:r>
    </w:p>
    <w:bookmarkEnd w:id="704"/>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关于竣工验收程序的约定：工程完工且符合下列条件时，承包人可向发包人提供竣工报告，并要求验收：</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（1）除发包人同意的甩项工作和缺陷修补工作外，合同范围内的全部工程以及有关工作，包括合同要求的试验、试运行以及检验均已完成，并符合合同要求；</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（2）已按合同约定编制了甩项工作和缺陷修补工作清单以及相应的施工计划；</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（3）已按合同约定的内容和份数备齐竣工资料。</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（4）</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工程竣工及竣工资料：</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u w:val="single"/>
        </w:rPr>
        <w:t>（1）发包人应在收到承包人竣工报告后14天内组织设计单位、监理单位、质监等其他部门进行验收，竣工日期以最后一次整改后通过竣工验收的时间为准</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u w:val="single"/>
        </w:rPr>
        <w:t>（2）当工程具备竣工验收条件时，承包人应及时向发包人提交竣工报告及竣工资料、办理移交手续。否则发包人有权依据监理人出具的鉴定结论书，自行组织有关部门验收，并提出整改意见。承包人必须按要求整改，并承担整改费用；如承包人拒绝按发包人提出的要求整改，发包人有权请第三方整改，由此发生的整改费用从未付工程款中扣除，不足部分发包人有权向承包人追偿。当验收通过后具备交付使用条件时，承包人不得以任何借口拒绝移交工程，否则，发包人有权强行使用，由此发生的一切后果，由承包人负责</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u w:val="single"/>
        </w:rPr>
      </w:pPr>
      <w:r>
        <w:rPr>
          <w:rFonts w:hint="eastAsia" w:ascii="宋体" w:hAnsi="宋体"/>
          <w:color w:val="auto"/>
          <w:szCs w:val="21"/>
          <w:highlight w:val="none"/>
        </w:rPr>
        <w:t>（3）承包人提供竣工资料的约定：</w:t>
      </w:r>
      <w:r>
        <w:rPr>
          <w:rFonts w:hint="eastAsia" w:ascii="宋体" w:hAnsi="宋体"/>
          <w:color w:val="auto"/>
          <w:szCs w:val="21"/>
          <w:highlight w:val="none"/>
          <w:u w:val="single"/>
        </w:rPr>
        <w:t>承包人提供纸质版竣工图三套，电子版竣工图二套（刻光盘）</w:t>
      </w:r>
      <w:r>
        <w:rPr>
          <w:rFonts w:hint="eastAsia" w:ascii="宋体" w:hAnsi="宋体"/>
          <w:color w:val="auto"/>
          <w:szCs w:val="21"/>
          <w:highlight w:val="none"/>
        </w:rPr>
        <w:t>。</w:t>
      </w:r>
    </w:p>
    <w:bookmarkEnd w:id="705"/>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13.2.5 移交、接收全部与部分工程</w:t>
      </w:r>
    </w:p>
    <w:bookmarkEnd w:id="706"/>
    <w:p>
      <w:pPr>
        <w:spacing w:line="360" w:lineRule="auto"/>
        <w:ind w:right="105" w:rightChars="50" w:firstLine="420" w:firstLineChars="200"/>
        <w:rPr>
          <w:rFonts w:ascii="宋体" w:hAnsi="宋体"/>
          <w:color w:val="auto"/>
          <w:szCs w:val="21"/>
          <w:highlight w:val="none"/>
          <w:u w:val="single"/>
        </w:rPr>
      </w:pPr>
      <w:r>
        <w:rPr>
          <w:rFonts w:hint="eastAsia" w:ascii="宋体" w:hAnsi="宋体"/>
          <w:color w:val="auto"/>
          <w:szCs w:val="21"/>
          <w:highlight w:val="none"/>
        </w:rPr>
        <w:t>承包人向发包人移交工程的期限：</w:t>
      </w:r>
      <w:r>
        <w:rPr>
          <w:rFonts w:hint="eastAsia" w:ascii="宋体" w:hAnsi="宋体"/>
          <w:color w:val="auto"/>
          <w:szCs w:val="21"/>
          <w:highlight w:val="none"/>
          <w:u w:val="single"/>
        </w:rPr>
        <w:t>颁发工程接收证书后7天内完成工程的移交</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u w:val="single"/>
        </w:rPr>
      </w:pPr>
      <w:r>
        <w:rPr>
          <w:rFonts w:hint="eastAsia" w:ascii="宋体" w:hAnsi="宋体"/>
          <w:color w:val="auto"/>
          <w:szCs w:val="21"/>
          <w:highlight w:val="none"/>
          <w:u w:val="single"/>
        </w:rPr>
        <w:t>发包人未按合同约定接收全部或部分工程的，违约金的计算方法为：发包人自应当接收工程之日起承担工程照管、成品保护、保管等与工程有关的各项费用。</w:t>
      </w:r>
    </w:p>
    <w:bookmarkEnd w:id="707"/>
    <w:p>
      <w:pPr>
        <w:spacing w:line="360" w:lineRule="auto"/>
        <w:ind w:right="105" w:rightChars="50" w:firstLine="420" w:firstLineChars="200"/>
        <w:rPr>
          <w:rFonts w:ascii="宋体" w:hAnsi="宋体"/>
          <w:color w:val="auto"/>
          <w:szCs w:val="21"/>
          <w:highlight w:val="none"/>
          <w:u w:val="single"/>
        </w:rPr>
      </w:pPr>
      <w:r>
        <w:rPr>
          <w:rFonts w:hint="eastAsia" w:ascii="宋体" w:hAnsi="宋体"/>
          <w:color w:val="auto"/>
          <w:szCs w:val="21"/>
          <w:highlight w:val="none"/>
        </w:rPr>
        <w:t>因承包人自身原因未按时移交工程的，违约金的计算方法为：</w:t>
      </w:r>
      <w:r>
        <w:rPr>
          <w:rFonts w:hint="eastAsia" w:ascii="宋体" w:hAnsi="宋体"/>
          <w:color w:val="auto"/>
          <w:szCs w:val="21"/>
          <w:highlight w:val="none"/>
          <w:u w:val="single"/>
        </w:rPr>
        <w:t>承包人应承担工程照管、成品保护、保管等与工程有关的各项费用，并按经审定结算金额的0.5‰/天支付违约金</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735" w:name="_Toc532377391"/>
      <w:bookmarkStart w:id="736" w:name="_Toc532375654"/>
      <w:r>
        <w:rPr>
          <w:rFonts w:hint="eastAsia" w:ascii="宋体" w:hAnsi="宋体" w:cs="宋体"/>
          <w:b/>
          <w:bCs/>
          <w:color w:val="auto"/>
          <w:kern w:val="0"/>
          <w:szCs w:val="21"/>
          <w:highlight w:val="none"/>
        </w:rPr>
        <w:t>13.3 工程试车</w:t>
      </w:r>
      <w:bookmarkEnd w:id="735"/>
      <w:bookmarkEnd w:id="736"/>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13.3.1 试车程序</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工程试车内容：</w:t>
      </w:r>
      <w:r>
        <w:rPr>
          <w:rFonts w:hint="eastAsia" w:ascii="宋体" w:hAnsi="宋体"/>
          <w:color w:val="auto"/>
          <w:szCs w:val="21"/>
          <w:highlight w:val="none"/>
          <w:u w:val="single"/>
        </w:rPr>
        <w:t>按通用合同条款执行</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（1）单机无负荷试车费用由</w:t>
      </w:r>
      <w:r>
        <w:rPr>
          <w:rFonts w:hint="eastAsia" w:ascii="宋体" w:hAnsi="宋体"/>
          <w:color w:val="auto"/>
          <w:szCs w:val="21"/>
          <w:highlight w:val="none"/>
          <w:u w:val="single"/>
        </w:rPr>
        <w:t>承包人</w:t>
      </w:r>
      <w:r>
        <w:rPr>
          <w:rFonts w:hint="eastAsia" w:ascii="宋体" w:hAnsi="宋体"/>
          <w:color w:val="auto"/>
          <w:szCs w:val="21"/>
          <w:highlight w:val="none"/>
        </w:rPr>
        <w:t>承担；</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（2）无负荷联动试车费用由</w:t>
      </w:r>
      <w:r>
        <w:rPr>
          <w:rFonts w:hint="eastAsia" w:ascii="宋体" w:hAnsi="宋体"/>
          <w:color w:val="auto"/>
          <w:szCs w:val="21"/>
          <w:highlight w:val="none"/>
          <w:u w:val="single"/>
        </w:rPr>
        <w:t>承包人</w:t>
      </w:r>
      <w:r>
        <w:rPr>
          <w:rFonts w:hint="eastAsia" w:ascii="宋体" w:hAnsi="宋体"/>
          <w:color w:val="auto"/>
          <w:szCs w:val="21"/>
          <w:highlight w:val="none"/>
        </w:rPr>
        <w:t>承担。</w:t>
      </w:r>
    </w:p>
    <w:p>
      <w:pPr>
        <w:spacing w:line="360" w:lineRule="auto"/>
        <w:ind w:firstLine="422" w:firstLineChars="200"/>
        <w:outlineLvl w:val="4"/>
        <w:rPr>
          <w:rFonts w:ascii="宋体" w:hAnsi="宋体" w:cs="宋体"/>
          <w:b/>
          <w:bCs/>
          <w:color w:val="auto"/>
          <w:kern w:val="0"/>
          <w:szCs w:val="21"/>
          <w:highlight w:val="none"/>
        </w:rPr>
      </w:pPr>
      <w:bookmarkStart w:id="737" w:name="_Toc532375655"/>
      <w:bookmarkStart w:id="738" w:name="_Toc532377392"/>
      <w:r>
        <w:rPr>
          <w:rFonts w:hint="eastAsia" w:ascii="宋体" w:hAnsi="宋体" w:cs="宋体"/>
          <w:b/>
          <w:bCs/>
          <w:color w:val="auto"/>
          <w:kern w:val="0"/>
          <w:szCs w:val="21"/>
          <w:highlight w:val="none"/>
        </w:rPr>
        <w:t>13.6 竣工退场</w:t>
      </w:r>
      <w:bookmarkEnd w:id="737"/>
      <w:bookmarkEnd w:id="738"/>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13.6.1 竣工退场</w:t>
      </w:r>
    </w:p>
    <w:p>
      <w:pPr>
        <w:spacing w:line="360" w:lineRule="auto"/>
        <w:ind w:right="105" w:rightChars="50" w:firstLine="420" w:firstLineChars="200"/>
        <w:rPr>
          <w:rFonts w:ascii="宋体" w:hAnsi="宋体"/>
          <w:color w:val="auto"/>
          <w:szCs w:val="21"/>
          <w:highlight w:val="none"/>
          <w:u w:val="single"/>
        </w:rPr>
      </w:pPr>
      <w:r>
        <w:rPr>
          <w:rFonts w:hint="eastAsia" w:ascii="宋体" w:hAnsi="宋体"/>
          <w:color w:val="auto"/>
          <w:szCs w:val="21"/>
          <w:highlight w:val="none"/>
        </w:rPr>
        <w:t>承包人完成竣工退场的期限：</w:t>
      </w:r>
      <w:r>
        <w:rPr>
          <w:rFonts w:hint="eastAsia" w:ascii="宋体" w:hAnsi="宋体"/>
          <w:color w:val="auto"/>
          <w:szCs w:val="21"/>
          <w:highlight w:val="none"/>
          <w:u w:val="single"/>
        </w:rPr>
        <w:t>工程接收证书颁发后28天内，承包人的施工人员、剩余材料、施工设备和临时工程应完全撤离施工场地并对施工场地进行清理、平整、复原，直至监理人检验合格为止，由此发生的费用已包含在签约合同价内。承包人未在限期内拆除的，发包人可委托其他单位代为拆除，由此发生的费用（发包人可从应付承包人的款项中扣除）由承包人承担，承包人还应按审定结算金额的0.5‰/天的标准向发包人支付违约金。因工程维修需要部分人员必须留在施工现场的，需征得发包人同意</w:t>
      </w:r>
      <w:r>
        <w:rPr>
          <w:rFonts w:hint="eastAsia" w:ascii="宋体" w:hAnsi="宋体"/>
          <w:color w:val="auto"/>
          <w:szCs w:val="21"/>
          <w:highlight w:val="none"/>
        </w:rPr>
        <w:t>。</w:t>
      </w:r>
    </w:p>
    <w:bookmarkEnd w:id="708"/>
    <w:p>
      <w:pPr>
        <w:keepNext/>
        <w:keepLines/>
        <w:spacing w:before="120" w:beforeLines="50" w:after="120" w:afterLines="50" w:line="360" w:lineRule="auto"/>
        <w:outlineLvl w:val="3"/>
        <w:rPr>
          <w:rFonts w:ascii="宋体" w:hAnsi="宋体" w:cs="宋体"/>
          <w:b/>
          <w:color w:val="auto"/>
          <w:szCs w:val="21"/>
          <w:highlight w:val="none"/>
        </w:rPr>
      </w:pPr>
      <w:bookmarkStart w:id="739" w:name="_Toc532377393"/>
      <w:bookmarkStart w:id="740" w:name="_Toc351203646"/>
      <w:bookmarkStart w:id="741" w:name="_Toc532375656"/>
      <w:r>
        <w:rPr>
          <w:rFonts w:hint="eastAsia" w:ascii="宋体" w:hAnsi="宋体" w:cs="宋体"/>
          <w:b/>
          <w:bCs/>
          <w:color w:val="auto"/>
          <w:szCs w:val="21"/>
          <w:highlight w:val="none"/>
        </w:rPr>
        <w:t>14. 竣工结算</w:t>
      </w:r>
      <w:bookmarkEnd w:id="739"/>
      <w:bookmarkEnd w:id="740"/>
      <w:bookmarkEnd w:id="741"/>
    </w:p>
    <w:p>
      <w:pPr>
        <w:spacing w:line="360" w:lineRule="auto"/>
        <w:ind w:firstLine="422" w:firstLineChars="200"/>
        <w:outlineLvl w:val="4"/>
        <w:rPr>
          <w:rFonts w:ascii="宋体" w:hAnsi="宋体" w:cs="宋体"/>
          <w:b/>
          <w:bCs/>
          <w:color w:val="auto"/>
          <w:kern w:val="0"/>
          <w:szCs w:val="21"/>
          <w:highlight w:val="none"/>
        </w:rPr>
      </w:pPr>
      <w:bookmarkStart w:id="742" w:name="_Toc532375657"/>
      <w:bookmarkStart w:id="743" w:name="_Toc532377394"/>
      <w:r>
        <w:rPr>
          <w:rFonts w:hint="eastAsia" w:ascii="宋体" w:hAnsi="宋体" w:cs="宋体"/>
          <w:b/>
          <w:bCs/>
          <w:color w:val="auto"/>
          <w:kern w:val="0"/>
          <w:szCs w:val="21"/>
          <w:highlight w:val="none"/>
        </w:rPr>
        <w:t>14.1 竣工结算申请</w:t>
      </w:r>
      <w:bookmarkEnd w:id="742"/>
      <w:bookmarkEnd w:id="743"/>
    </w:p>
    <w:p>
      <w:pPr>
        <w:spacing w:line="360" w:lineRule="auto"/>
        <w:ind w:firstLine="420" w:firstLineChars="200"/>
        <w:rPr>
          <w:rFonts w:ascii="宋体" w:hAnsi="宋体" w:cs="宋体"/>
          <w:color w:val="auto"/>
          <w:szCs w:val="21"/>
          <w:highlight w:val="none"/>
          <w:u w:val="single"/>
        </w:rPr>
      </w:pPr>
      <w:r>
        <w:rPr>
          <w:rFonts w:hint="eastAsia" w:ascii="宋体" w:hAnsi="宋体"/>
          <w:color w:val="auto"/>
          <w:szCs w:val="21"/>
          <w:highlight w:val="none"/>
        </w:rPr>
        <w:t>承包人提交竣工结算申请单的期限：</w:t>
      </w:r>
      <w:bookmarkStart w:id="744" w:name="_Hlk524297994"/>
      <w:r>
        <w:rPr>
          <w:rFonts w:hint="eastAsia" w:ascii="宋体" w:hAnsi="宋体" w:cs="宋体"/>
          <w:color w:val="auto"/>
          <w:szCs w:val="21"/>
          <w:highlight w:val="none"/>
          <w:u w:val="single"/>
        </w:rPr>
        <w:t>承包人应在竣工验收合格后60天内提交完整的竣工结算资料纸质文件两套，并且提供所有竣工结算资料的电子扫描文件一套，经监理和发包人审核合格并移交至发包人档案室取得建设工程档案移交书，同时提交结算申请单，每延期一天，按工程合同金额的0.1‰/天收取罚金，超期未送审的，施工单位按上述约定缴纳罚款后，方能进行送审。</w:t>
      </w:r>
    </w:p>
    <w:p>
      <w:pPr>
        <w:spacing w:line="360" w:lineRule="auto"/>
        <w:ind w:firstLine="420" w:firstLineChars="200"/>
        <w:rPr>
          <w:color w:val="auto"/>
          <w:highlight w:val="none"/>
        </w:rPr>
      </w:pPr>
      <w:r>
        <w:rPr>
          <w:rFonts w:hint="eastAsia"/>
          <w:color w:val="auto"/>
          <w:highlight w:val="none"/>
        </w:rPr>
        <w:t>竣工结算送审要求：</w:t>
      </w:r>
      <w:r>
        <w:rPr>
          <w:rFonts w:hint="eastAsia"/>
          <w:color w:val="auto"/>
          <w:highlight w:val="none"/>
          <w:u w:val="single"/>
        </w:rPr>
        <w:t>送审资料按照学校相关部门要求一次性完整报送，不可或缺。</w:t>
      </w:r>
    </w:p>
    <w:p>
      <w:pPr>
        <w:spacing w:line="360" w:lineRule="auto"/>
        <w:ind w:firstLine="420" w:firstLineChars="200"/>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竣工结算申请单应包括的内容：</w:t>
      </w:r>
      <w:r>
        <w:rPr>
          <w:rFonts w:hint="eastAsia" w:ascii="宋体" w:hAnsi="宋体"/>
          <w:color w:val="auto"/>
          <w:szCs w:val="21"/>
          <w:highlight w:val="none"/>
          <w:u w:val="single"/>
          <w:shd w:val="clear" w:color="auto" w:fill="FFFFFF"/>
        </w:rPr>
        <w:t>合同金额、竣工结算申报金额、发包人已支付承包人的款项，质量保证金占结算金额的比例（包含发包人要求提供的所有资料）</w:t>
      </w:r>
      <w:r>
        <w:rPr>
          <w:rFonts w:hint="eastAsia" w:ascii="宋体" w:hAnsi="宋体"/>
          <w:color w:val="auto"/>
          <w:szCs w:val="21"/>
          <w:highlight w:val="none"/>
          <w:shd w:val="clear" w:color="auto" w:fill="FFFFFF"/>
        </w:rPr>
        <w:t>。</w:t>
      </w:r>
    </w:p>
    <w:p>
      <w:pPr>
        <w:spacing w:line="360" w:lineRule="auto"/>
        <w:ind w:right="105" w:rightChars="50" w:firstLine="420" w:firstLineChars="200"/>
        <w:rPr>
          <w:rFonts w:ascii="宋体" w:hAnsi="宋体" w:cs="宋体"/>
          <w:color w:val="auto"/>
          <w:szCs w:val="21"/>
          <w:highlight w:val="none"/>
          <w:u w:val="single"/>
        </w:rPr>
      </w:pPr>
      <w:r>
        <w:rPr>
          <w:rFonts w:hint="eastAsia" w:ascii="宋体" w:hAnsi="宋体"/>
          <w:color w:val="auto"/>
          <w:szCs w:val="21"/>
          <w:highlight w:val="none"/>
          <w:shd w:val="clear" w:color="auto" w:fill="FFFFFF"/>
        </w:rPr>
        <w:t>竣工结算过程中，承包人应积极配合发包人及发包人委托的第三方审计机构，发包人及审计机构提出的意见承包人需在3个工作日内回复并完成资料补充，逾期则发包人有权不予认可，按发包人的意见出具结算文件。</w:t>
      </w:r>
    </w:p>
    <w:bookmarkEnd w:id="744"/>
    <w:p>
      <w:pPr>
        <w:spacing w:line="360" w:lineRule="auto"/>
        <w:ind w:firstLine="422" w:firstLineChars="200"/>
        <w:outlineLvl w:val="4"/>
        <w:rPr>
          <w:rFonts w:ascii="宋体" w:hAnsi="宋体" w:cs="宋体"/>
          <w:b/>
          <w:bCs/>
          <w:color w:val="auto"/>
          <w:kern w:val="0"/>
          <w:szCs w:val="21"/>
          <w:highlight w:val="none"/>
        </w:rPr>
      </w:pPr>
      <w:bookmarkStart w:id="745" w:name="_Toc532375658"/>
      <w:bookmarkStart w:id="746" w:name="_Toc532377395"/>
      <w:r>
        <w:rPr>
          <w:rFonts w:hint="eastAsia" w:ascii="宋体" w:hAnsi="宋体" w:cs="宋体"/>
          <w:b/>
          <w:bCs/>
          <w:color w:val="auto"/>
          <w:kern w:val="0"/>
          <w:szCs w:val="21"/>
          <w:highlight w:val="none"/>
        </w:rPr>
        <w:t>14.2 竣工结算审核</w:t>
      </w:r>
      <w:bookmarkEnd w:id="745"/>
      <w:bookmarkEnd w:id="746"/>
    </w:p>
    <w:p>
      <w:pPr>
        <w:spacing w:line="360" w:lineRule="auto"/>
        <w:ind w:firstLine="420" w:firstLineChars="200"/>
        <w:rPr>
          <w:rFonts w:ascii="宋体" w:hAnsi="宋体"/>
          <w:color w:val="auto"/>
          <w:szCs w:val="21"/>
          <w:highlight w:val="none"/>
          <w:u w:val="single"/>
          <w:shd w:val="clear" w:color="auto" w:fill="FFFFFF"/>
        </w:rPr>
      </w:pPr>
      <w:r>
        <w:rPr>
          <w:rFonts w:hint="eastAsia" w:ascii="宋体" w:hAnsi="宋体"/>
          <w:color w:val="auto"/>
          <w:szCs w:val="21"/>
          <w:highlight w:val="none"/>
          <w:shd w:val="clear" w:color="auto" w:fill="FFFFFF"/>
        </w:rPr>
        <w:t>发包人审批竣工付款申请单的期限：</w:t>
      </w:r>
      <w:r>
        <w:rPr>
          <w:rFonts w:hint="eastAsia" w:ascii="宋体" w:hAnsi="宋体"/>
          <w:color w:val="auto"/>
          <w:szCs w:val="21"/>
          <w:highlight w:val="none"/>
          <w:u w:val="single"/>
          <w:shd w:val="clear" w:color="auto" w:fill="FFFFFF"/>
        </w:rPr>
        <w:t xml:space="preserve"> /。</w:t>
      </w:r>
    </w:p>
    <w:p>
      <w:pPr>
        <w:spacing w:line="360" w:lineRule="auto"/>
        <w:ind w:firstLine="420" w:firstLineChars="200"/>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发包人完成竣工付款的期限：</w:t>
      </w:r>
      <w:r>
        <w:rPr>
          <w:rFonts w:hint="eastAsia" w:ascii="宋体" w:hAnsi="宋体"/>
          <w:color w:val="auto"/>
          <w:szCs w:val="21"/>
          <w:highlight w:val="none"/>
          <w:u w:val="single"/>
          <w:shd w:val="clear" w:color="auto" w:fill="FFFFFF"/>
        </w:rPr>
        <w:t>双方就竣工结算达成一致意见，完成《工程结算审定确认书》双方签章且承包人提出申请并提供对应金额税票后，发包人30天内完成对承包人的竣工付款。</w:t>
      </w:r>
    </w:p>
    <w:p>
      <w:pPr>
        <w:spacing w:line="360" w:lineRule="auto"/>
        <w:ind w:firstLine="420" w:firstLineChars="200"/>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关于竣工付款证书异议部分复核的方式和程序：</w:t>
      </w:r>
      <w:r>
        <w:rPr>
          <w:rFonts w:hint="eastAsia" w:ascii="宋体" w:hAnsi="宋体"/>
          <w:color w:val="auto"/>
          <w:szCs w:val="21"/>
          <w:highlight w:val="none"/>
          <w:u w:val="single"/>
          <w:shd w:val="clear" w:color="auto" w:fill="FFFFFF"/>
        </w:rPr>
        <w:t>按第20[争议解决]执行</w:t>
      </w:r>
      <w:r>
        <w:rPr>
          <w:rFonts w:hint="eastAsia" w:ascii="宋体" w:hAnsi="宋体"/>
          <w:color w:val="auto"/>
          <w:szCs w:val="21"/>
          <w:highlight w:val="none"/>
          <w:shd w:val="clear" w:color="auto" w:fill="FFFFFF"/>
        </w:rPr>
        <w:t>。</w:t>
      </w:r>
    </w:p>
    <w:p>
      <w:pPr>
        <w:spacing w:line="360" w:lineRule="auto"/>
        <w:ind w:firstLine="420" w:firstLineChars="200"/>
        <w:rPr>
          <w:rFonts w:ascii="宋体" w:hAnsi="宋体"/>
          <w:color w:val="auto"/>
          <w:szCs w:val="21"/>
          <w:highlight w:val="none"/>
          <w:u w:val="single"/>
          <w:shd w:val="clear" w:color="auto" w:fill="FFFFFF"/>
        </w:rPr>
      </w:pPr>
      <w:r>
        <w:rPr>
          <w:rFonts w:hint="eastAsia" w:ascii="宋体" w:hAnsi="宋体"/>
          <w:color w:val="auto"/>
          <w:szCs w:val="21"/>
          <w:highlight w:val="none"/>
          <w:u w:val="single"/>
          <w:shd w:val="clear" w:color="auto" w:fill="FFFFFF"/>
        </w:rPr>
        <w:t>竣工结算审核依据资料：施工合同及补充协议、竣工图、施工图、设计变更、技术洽商单、收方签证、工作联系函、材料核价单、招标文件、投标文件、图纸会审纪要、专题会议纪要和其他相关资料等。</w:t>
      </w:r>
    </w:p>
    <w:p>
      <w:pPr>
        <w:spacing w:line="360" w:lineRule="auto"/>
        <w:ind w:firstLine="420" w:firstLineChars="200"/>
        <w:rPr>
          <w:rFonts w:ascii="宋体" w:hAnsi="宋体"/>
          <w:color w:val="auto"/>
          <w:szCs w:val="21"/>
          <w:highlight w:val="none"/>
          <w:u w:val="single"/>
          <w:shd w:val="clear" w:color="auto" w:fill="FFFFFF"/>
        </w:rPr>
      </w:pPr>
      <w:r>
        <w:rPr>
          <w:rFonts w:hint="eastAsia" w:ascii="宋体" w:hAnsi="宋体"/>
          <w:color w:val="auto"/>
          <w:szCs w:val="21"/>
          <w:highlight w:val="none"/>
          <w:u w:val="single"/>
          <w:shd w:val="clear" w:color="auto" w:fill="FFFFFF"/>
        </w:rPr>
        <w:t>工程竣工验收合格后，承包人编制工程结算送交发包人或受托人，若工程项目承包人送审的结算书中所示金额与审计处最终核定额相比，审增金额不抵扣审减金额，审减金额超过5%（含5%），审计费用全部由工程项目承包人承担并从工程款中扣除，审计方式为重庆大学独立审计或委托社会中介机构审计，审计费参照重庆市物价局关于工程造价咨询服务收费标准的通知（渝价〔2013〕428号）收费标准计取。</w:t>
      </w:r>
    </w:p>
    <w:p>
      <w:pPr>
        <w:spacing w:line="360" w:lineRule="auto"/>
        <w:ind w:right="105" w:rightChars="50" w:firstLine="420" w:firstLineChars="200"/>
        <w:rPr>
          <w:rFonts w:ascii="宋体" w:hAnsi="宋体" w:cs="宋体"/>
          <w:color w:val="auto"/>
          <w:szCs w:val="21"/>
          <w:highlight w:val="none"/>
        </w:rPr>
      </w:pPr>
      <w:r>
        <w:rPr>
          <w:rFonts w:hint="eastAsia" w:ascii="宋体" w:hAnsi="宋体" w:cs="宋体"/>
          <w:color w:val="auto"/>
          <w:szCs w:val="21"/>
          <w:highlight w:val="none"/>
        </w:rPr>
        <w:t>14.2.1.2计价原则</w:t>
      </w:r>
    </w:p>
    <w:p>
      <w:pPr>
        <w:tabs>
          <w:tab w:val="left" w:pos="711"/>
          <w:tab w:val="left" w:pos="2580"/>
        </w:tabs>
        <w:spacing w:line="360" w:lineRule="auto"/>
        <w:ind w:right="105" w:rightChars="50"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u w:val="single"/>
        </w:rPr>
        <w:t>总价包干</w:t>
      </w:r>
      <w:r>
        <w:rPr>
          <w:rFonts w:hint="eastAsia" w:ascii="宋体" w:hAnsi="宋体" w:cs="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14.2.1.3竣工结算价</w:t>
      </w:r>
    </w:p>
    <w:p>
      <w:pPr>
        <w:tabs>
          <w:tab w:val="left" w:pos="711"/>
          <w:tab w:val="left" w:pos="2580"/>
        </w:tabs>
        <w:spacing w:line="360" w:lineRule="auto"/>
        <w:ind w:right="105" w:rightChars="50" w:firstLine="420" w:firstLineChars="200"/>
        <w:textAlignment w:val="baseline"/>
        <w:rPr>
          <w:rFonts w:ascii="宋体" w:hAnsi="宋体"/>
          <w:color w:val="auto"/>
          <w:szCs w:val="21"/>
          <w:highlight w:val="none"/>
          <w:u w:val="single"/>
        </w:rPr>
      </w:pPr>
      <w:bookmarkStart w:id="747" w:name="_Hlk528660512"/>
      <w:r>
        <w:rPr>
          <w:rFonts w:hint="eastAsia" w:ascii="宋体" w:hAnsi="宋体"/>
          <w:color w:val="auto"/>
          <w:szCs w:val="21"/>
          <w:highlight w:val="none"/>
          <w:u w:val="single"/>
        </w:rPr>
        <w:t>以发包人会同跟审单位、监理人、承包人根据有效资料共同确定竣工结算金额作为合同竣工结算价</w:t>
      </w:r>
      <w:r>
        <w:rPr>
          <w:rFonts w:hint="eastAsia" w:ascii="宋体" w:hAnsi="宋体"/>
          <w:color w:val="auto"/>
          <w:szCs w:val="21"/>
          <w:highlight w:val="none"/>
        </w:rPr>
        <w:t>。</w:t>
      </w:r>
    </w:p>
    <w:bookmarkEnd w:id="747"/>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14.2.2 竣工结算审核期限</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监理人审核竣工付款申请单的期限：</w:t>
      </w:r>
      <w:r>
        <w:rPr>
          <w:rFonts w:hint="eastAsia" w:ascii="宋体" w:hAnsi="宋体"/>
          <w:color w:val="auto"/>
          <w:szCs w:val="21"/>
          <w:highlight w:val="none"/>
          <w:u w:val="single"/>
        </w:rPr>
        <w:t>不超过14日</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发包人审核竣工付款申请单的期限：</w:t>
      </w:r>
      <w:r>
        <w:rPr>
          <w:rFonts w:hint="eastAsia" w:ascii="宋体" w:hAnsi="宋体"/>
          <w:color w:val="auto"/>
          <w:szCs w:val="21"/>
          <w:highlight w:val="none"/>
          <w:u w:val="single"/>
        </w:rPr>
        <w:t>不超过14日</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发包人完成竣工付款的期限：</w:t>
      </w:r>
      <w:r>
        <w:rPr>
          <w:rFonts w:hint="eastAsia" w:ascii="宋体" w:hAnsi="宋体"/>
          <w:color w:val="auto"/>
          <w:szCs w:val="21"/>
          <w:highlight w:val="none"/>
          <w:u w:val="single"/>
        </w:rPr>
        <w:t>完成竣工付款申请单审核后30天内</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关于竣工付款证书异议部分复核的方式和程序： 按照第20条〔争议解决〕约定处理。</w:t>
      </w:r>
    </w:p>
    <w:p>
      <w:pPr>
        <w:spacing w:line="360" w:lineRule="auto"/>
        <w:ind w:firstLine="422" w:firstLineChars="200"/>
        <w:outlineLvl w:val="4"/>
        <w:rPr>
          <w:rFonts w:ascii="宋体" w:hAnsi="宋体" w:cs="宋体"/>
          <w:b/>
          <w:bCs/>
          <w:color w:val="auto"/>
          <w:kern w:val="0"/>
          <w:szCs w:val="21"/>
          <w:highlight w:val="none"/>
        </w:rPr>
      </w:pPr>
      <w:bookmarkStart w:id="748" w:name="_Toc532375659"/>
      <w:bookmarkStart w:id="749" w:name="_Toc532377396"/>
      <w:r>
        <w:rPr>
          <w:rFonts w:hint="eastAsia" w:ascii="宋体" w:hAnsi="宋体" w:cs="宋体"/>
          <w:b/>
          <w:bCs/>
          <w:color w:val="auto"/>
          <w:kern w:val="0"/>
          <w:szCs w:val="21"/>
          <w:highlight w:val="none"/>
        </w:rPr>
        <w:t>14.4 最终结清</w:t>
      </w:r>
      <w:bookmarkEnd w:id="748"/>
      <w:bookmarkEnd w:id="749"/>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14.4.1 最终结清申请单</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承包人提交最终结清申请单的份数：</w:t>
      </w:r>
      <w:r>
        <w:rPr>
          <w:rFonts w:hint="eastAsia" w:ascii="宋体" w:hAnsi="宋体"/>
          <w:color w:val="auto"/>
          <w:szCs w:val="21"/>
          <w:highlight w:val="none"/>
          <w:u w:val="single"/>
        </w:rPr>
        <w:t>3份</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承包人提交最终结算申请单的期限：</w:t>
      </w:r>
      <w:r>
        <w:rPr>
          <w:rFonts w:hint="eastAsia" w:ascii="宋体" w:hAnsi="宋体"/>
          <w:color w:val="auto"/>
          <w:szCs w:val="21"/>
          <w:highlight w:val="none"/>
          <w:u w:val="single"/>
        </w:rPr>
        <w:t>缺陷责任期终止证书颁发后14天内</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14.4.2 最终结清证书和支付</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（1）发包人完成最终结清申请单的审批并颁发最终结清证书的期限：</w:t>
      </w:r>
      <w:r>
        <w:rPr>
          <w:rFonts w:hint="eastAsia" w:ascii="宋体" w:hAnsi="宋体"/>
          <w:color w:val="auto"/>
          <w:szCs w:val="21"/>
          <w:highlight w:val="none"/>
          <w:u w:val="single"/>
        </w:rPr>
        <w:t>发包人收到完整资料后14天内完成审批并颁发最终结清证书</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（2）发包人完成支付的期限：</w:t>
      </w:r>
      <w:r>
        <w:rPr>
          <w:rFonts w:hint="eastAsia" w:ascii="宋体" w:hAnsi="宋体"/>
          <w:color w:val="auto"/>
          <w:szCs w:val="21"/>
          <w:highlight w:val="none"/>
          <w:u w:val="single"/>
        </w:rPr>
        <w:t>颁发最终结清证书的14天内</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本条补充14.5款：</w:t>
      </w:r>
    </w:p>
    <w:bookmarkEnd w:id="709"/>
    <w:bookmarkEnd w:id="710"/>
    <w:bookmarkEnd w:id="711"/>
    <w:bookmarkEnd w:id="712"/>
    <w:bookmarkEnd w:id="713"/>
    <w:bookmarkEnd w:id="714"/>
    <w:bookmarkEnd w:id="715"/>
    <w:bookmarkEnd w:id="716"/>
    <w:p>
      <w:pPr>
        <w:spacing w:line="360" w:lineRule="auto"/>
        <w:ind w:firstLine="422" w:firstLineChars="200"/>
        <w:outlineLvl w:val="4"/>
        <w:rPr>
          <w:rFonts w:ascii="宋体" w:hAnsi="宋体" w:cs="宋体"/>
          <w:b/>
          <w:bCs/>
          <w:color w:val="auto"/>
          <w:kern w:val="0"/>
          <w:szCs w:val="21"/>
          <w:highlight w:val="none"/>
        </w:rPr>
      </w:pPr>
      <w:bookmarkStart w:id="750" w:name="_Toc532377397"/>
      <w:bookmarkStart w:id="751" w:name="_Toc532375660"/>
      <w:r>
        <w:rPr>
          <w:rFonts w:hint="eastAsia" w:ascii="宋体" w:hAnsi="宋体" w:cs="宋体"/>
          <w:b/>
          <w:bCs/>
          <w:color w:val="auto"/>
          <w:kern w:val="0"/>
          <w:szCs w:val="21"/>
          <w:highlight w:val="none"/>
        </w:rPr>
        <w:t>14.5 逾期办理或不配合办理竣工结算的处理</w:t>
      </w:r>
      <w:bookmarkEnd w:id="750"/>
      <w:bookmarkEnd w:id="751"/>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有下列情形之一的，视为承包人放弃与发包人共同办理竣工结算的权利，发包人有权会同跟审单位、监理人根据有效资料共同确定竣工结算金额。</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（1）承包人逾期未报送竣工结算资料，亦未获得发包人批准延期报送，经发包人两</w:t>
      </w:r>
      <w:bookmarkStart w:id="752" w:name="_Hlk529133622"/>
      <w:r>
        <w:rPr>
          <w:rFonts w:hint="eastAsia" w:ascii="宋体" w:hAnsi="宋体"/>
          <w:color w:val="auto"/>
          <w:szCs w:val="21"/>
          <w:highlight w:val="none"/>
        </w:rPr>
        <w:t>次书面催告仍未在限期内报送的</w:t>
      </w:r>
      <w:bookmarkEnd w:id="752"/>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2）承包人在接到监理人或发包人对竣工结算申请单提出的审核意见后，未在限期内按监理人或发包人提出的合理要求补充资料和（或）修改竣工结算资料，亦未获得发包人批准延期报送，经发包人两次书面催告仍未在限期内报送的；</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（3）承包人不配合发包人、跟审单位、监理人、发包人委托的工程造价咨询服务单位办理竣工结算的，经发包人两次书面函告仍未改正的。</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（4）</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u w:val="single"/>
        </w:rPr>
      </w:pPr>
      <w:r>
        <w:rPr>
          <w:rFonts w:hint="eastAsia" w:ascii="宋体" w:hAnsi="宋体"/>
          <w:color w:val="auto"/>
          <w:szCs w:val="21"/>
          <w:highlight w:val="none"/>
          <w:u w:val="single"/>
        </w:rPr>
        <w:t>发包人应在竣工结算定案表确定后28天内，以书面函件形式将竣工结算定案表函告承包人，该定案表自送达之日起生效。该书面函件应采用直接送达方式送达，双方应办理书面签收手续，承包人实际签收日期为送达之日；若承包人拒绝签收的，视为已经送达，以该书面函件载明的签发日期为送达之日。</w:t>
      </w:r>
      <w:r>
        <w:rPr>
          <w:rFonts w:hint="eastAsia" w:ascii="宋体" w:hAnsi="宋体"/>
          <w:color w:val="auto"/>
          <w:sz w:val="24"/>
          <w:highlight w:val="none"/>
          <w:u w:val="single"/>
        </w:rPr>
        <w:t>若甲方采用邮寄送达，甲方向本合同协议书签约栏载明的乙方的地址上寄送资料，邮寄之日起三日视为送达。</w:t>
      </w:r>
    </w:p>
    <w:bookmarkEnd w:id="432"/>
    <w:bookmarkEnd w:id="433"/>
    <w:bookmarkEnd w:id="434"/>
    <w:bookmarkEnd w:id="435"/>
    <w:bookmarkEnd w:id="436"/>
    <w:bookmarkEnd w:id="437"/>
    <w:bookmarkEnd w:id="438"/>
    <w:bookmarkEnd w:id="439"/>
    <w:p>
      <w:pPr>
        <w:keepNext/>
        <w:keepLines/>
        <w:spacing w:before="120" w:beforeLines="50" w:after="120" w:afterLines="50" w:line="360" w:lineRule="auto"/>
        <w:outlineLvl w:val="3"/>
        <w:rPr>
          <w:rFonts w:ascii="宋体" w:hAnsi="宋体" w:cs="宋体"/>
          <w:b/>
          <w:color w:val="auto"/>
          <w:szCs w:val="21"/>
          <w:highlight w:val="none"/>
        </w:rPr>
      </w:pPr>
      <w:bookmarkStart w:id="753" w:name="_Toc532377398"/>
      <w:bookmarkStart w:id="754" w:name="_Toc351203647"/>
      <w:bookmarkStart w:id="755" w:name="_Toc532375661"/>
      <w:bookmarkStart w:id="756" w:name="_Toc267251483"/>
      <w:bookmarkStart w:id="757" w:name="_Toc280868717"/>
      <w:bookmarkStart w:id="758" w:name="_Toc280868718"/>
      <w:r>
        <w:rPr>
          <w:rFonts w:hint="eastAsia" w:ascii="宋体" w:hAnsi="宋体" w:cs="宋体"/>
          <w:b/>
          <w:bCs/>
          <w:color w:val="auto"/>
          <w:szCs w:val="21"/>
          <w:highlight w:val="none"/>
        </w:rPr>
        <w:t>15. 缺陷责任期与保修</w:t>
      </w:r>
      <w:bookmarkEnd w:id="753"/>
      <w:bookmarkEnd w:id="754"/>
      <w:bookmarkEnd w:id="755"/>
    </w:p>
    <w:bookmarkEnd w:id="756"/>
    <w:p>
      <w:pPr>
        <w:spacing w:line="360" w:lineRule="auto"/>
        <w:ind w:firstLine="422" w:firstLineChars="200"/>
        <w:outlineLvl w:val="4"/>
        <w:rPr>
          <w:rFonts w:ascii="宋体" w:hAnsi="宋体" w:cs="宋体"/>
          <w:b/>
          <w:bCs/>
          <w:color w:val="auto"/>
          <w:kern w:val="0"/>
          <w:szCs w:val="21"/>
          <w:highlight w:val="none"/>
        </w:rPr>
      </w:pPr>
      <w:bookmarkStart w:id="759" w:name="_Toc532375662"/>
      <w:bookmarkStart w:id="760" w:name="_Toc532377399"/>
      <w:r>
        <w:rPr>
          <w:rFonts w:hint="eastAsia" w:ascii="宋体" w:hAnsi="宋体" w:cs="宋体"/>
          <w:b/>
          <w:bCs/>
          <w:color w:val="auto"/>
          <w:kern w:val="0"/>
          <w:szCs w:val="21"/>
          <w:highlight w:val="none"/>
        </w:rPr>
        <w:t>15.3 质量保证金</w:t>
      </w:r>
      <w:bookmarkEnd w:id="759"/>
      <w:bookmarkEnd w:id="760"/>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shd w:val="clear" w:color="auto" w:fill="FFFFFF"/>
        </w:rPr>
        <w:t>15.2.1缺陷责任期的具体期限：</w:t>
      </w:r>
      <w:r>
        <w:rPr>
          <w:rFonts w:hint="eastAsia" w:ascii="宋体" w:hAnsi="宋体"/>
          <w:color w:val="auto"/>
          <w:szCs w:val="21"/>
          <w:highlight w:val="none"/>
          <w:u w:val="single"/>
          <w:shd w:val="clear" w:color="auto" w:fill="FFFFFF"/>
        </w:rPr>
        <w:t>2年，缺陷责任期自工程竣工验收合格之日起计算。</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15.3.1 承包人提供质量保证金的方式</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质量保证金采用以下第</w:t>
      </w:r>
      <w:r>
        <w:rPr>
          <w:rFonts w:hint="eastAsia" w:ascii="宋体" w:hAnsi="宋体"/>
          <w:color w:val="auto"/>
          <w:szCs w:val="21"/>
          <w:highlight w:val="none"/>
          <w:u w:val="single"/>
        </w:rPr>
        <w:t xml:space="preserve">  （2）  </w:t>
      </w:r>
      <w:r>
        <w:rPr>
          <w:rFonts w:hint="eastAsia" w:ascii="宋体" w:hAnsi="宋体"/>
          <w:color w:val="auto"/>
          <w:szCs w:val="21"/>
          <w:highlight w:val="none"/>
        </w:rPr>
        <w:t>种方式：</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（1）质量保证金保函</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u w:val="single"/>
        </w:rPr>
        <w:t>1）按招标文件载明的格式或发包人认可的格式向发包人提交不可撤销的见索即付银行保函</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2）出具保函的银行级别：</w:t>
      </w:r>
      <w:r>
        <w:rPr>
          <w:rFonts w:hint="eastAsia" w:ascii="宋体" w:hAnsi="宋体"/>
          <w:color w:val="auto"/>
          <w:szCs w:val="21"/>
          <w:highlight w:val="none"/>
          <w:u w:val="single"/>
        </w:rPr>
        <w:t>地市级及以上国家政策性银行或股份制商业银行的支行或其上级银行</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3）保函金额为：</w:t>
      </w:r>
      <w:r>
        <w:rPr>
          <w:rFonts w:hint="eastAsia" w:ascii="宋体" w:hAnsi="宋体"/>
          <w:color w:val="auto"/>
          <w:szCs w:val="21"/>
          <w:highlight w:val="none"/>
          <w:u w:val="single"/>
        </w:rPr>
        <w:t>竣工结算价的</w:t>
      </w:r>
      <w:r>
        <w:rPr>
          <w:rFonts w:ascii="宋体" w:hAnsi="宋体"/>
          <w:color w:val="auto"/>
          <w:szCs w:val="21"/>
          <w:highlight w:val="none"/>
          <w:u w:val="single"/>
        </w:rPr>
        <w:t xml:space="preserve"> 3%</w:t>
      </w:r>
      <w:r>
        <w:rPr>
          <w:rFonts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ascii="宋体" w:hAnsi="宋体"/>
          <w:color w:val="auto"/>
          <w:szCs w:val="21"/>
          <w:highlight w:val="none"/>
        </w:rPr>
        <w:t>4）提交时间：</w:t>
      </w:r>
      <w:r>
        <w:rPr>
          <w:rFonts w:hint="eastAsia" w:ascii="宋体" w:hAnsi="宋体"/>
          <w:color w:val="auto"/>
          <w:szCs w:val="21"/>
          <w:highlight w:val="none"/>
          <w:u w:val="single"/>
        </w:rPr>
        <w:t>工程竣工验收合格后</w:t>
      </w:r>
      <w:r>
        <w:rPr>
          <w:rFonts w:ascii="宋体" w:hAnsi="宋体"/>
          <w:color w:val="auto"/>
          <w:szCs w:val="21"/>
          <w:highlight w:val="none"/>
          <w:u w:val="single"/>
        </w:rPr>
        <w:t>14天内</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u w:val="single"/>
        </w:rPr>
        <w:t>承包人提交质量保证金保函的，发包人应同时退还（若有）扣留的作为质量保证金的工程价款、履约担保、低价风险担保；保函金额不得超过工程价款结算总额的3%</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（2）竣工结算价的</w:t>
      </w:r>
      <w:r>
        <w:rPr>
          <w:rFonts w:hint="eastAsia" w:ascii="宋体" w:hAnsi="宋体"/>
          <w:color w:val="auto"/>
          <w:szCs w:val="21"/>
          <w:highlight w:val="none"/>
          <w:u w:val="single"/>
        </w:rPr>
        <w:t xml:space="preserve"> 3% </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（3）其他方式：</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15.3.2 质量保证金的扣留</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质量保证金的扣留采取以下第</w:t>
      </w:r>
      <w:r>
        <w:rPr>
          <w:rFonts w:hint="eastAsia" w:ascii="宋体" w:hAnsi="宋体"/>
          <w:color w:val="auto"/>
          <w:szCs w:val="21"/>
          <w:highlight w:val="none"/>
          <w:u w:val="single"/>
        </w:rPr>
        <w:t xml:space="preserve">  （2）  </w:t>
      </w:r>
      <w:r>
        <w:rPr>
          <w:rFonts w:hint="eastAsia" w:ascii="宋体" w:hAnsi="宋体"/>
          <w:color w:val="auto"/>
          <w:szCs w:val="21"/>
          <w:highlight w:val="none"/>
        </w:rPr>
        <w:t>种方式：</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（1）在支付工程进度款时逐次扣留，在此情形下，质量保证金的计算基数不包括预付款的支付、扣回以及价格调整的金额；</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（2）工程竣工结算时一次性扣留质量保证金；</w:t>
      </w:r>
    </w:p>
    <w:p>
      <w:pPr>
        <w:autoSpaceDE w:val="0"/>
        <w:autoSpaceDN w:val="0"/>
        <w:spacing w:line="360" w:lineRule="auto"/>
        <w:ind w:right="105" w:rightChars="50" w:firstLine="420" w:firstLineChars="200"/>
        <w:rPr>
          <w:rFonts w:ascii="宋体" w:hAnsi="宋体"/>
          <w:color w:val="auto"/>
          <w:szCs w:val="21"/>
          <w:highlight w:val="none"/>
          <w:u w:val="single"/>
        </w:rPr>
      </w:pPr>
      <w:r>
        <w:rPr>
          <w:rFonts w:hint="eastAsia" w:ascii="宋体" w:hAnsi="宋体"/>
          <w:color w:val="auto"/>
          <w:szCs w:val="21"/>
          <w:highlight w:val="none"/>
        </w:rPr>
        <w:t>（3）</w:t>
      </w:r>
      <w:r>
        <w:rPr>
          <w:rFonts w:hint="eastAsia" w:ascii="宋体" w:hAnsi="宋体"/>
          <w:color w:val="auto"/>
          <w:szCs w:val="21"/>
          <w:highlight w:val="none"/>
          <w:u w:val="single"/>
        </w:rPr>
        <w:t xml:space="preserve">其他扣留方式：        </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15.3.3质量保证金的退还</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（1）在发包人颁发缺陷责任期终止证书之日起14天内退还。</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（2）缺陷责任期内，承包人认真履行合同约定的责任，到期后，承包人可向发包人申请返还质量保证金。</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（3）质量保证金是否支付利息采取以下</w:t>
      </w:r>
      <w:r>
        <w:rPr>
          <w:rFonts w:hint="eastAsia" w:ascii="宋体" w:hAnsi="宋体"/>
          <w:color w:val="auto"/>
          <w:szCs w:val="21"/>
          <w:highlight w:val="none"/>
          <w:u w:val="single"/>
        </w:rPr>
        <w:t>第②种</w:t>
      </w:r>
      <w:r>
        <w:rPr>
          <w:rFonts w:hint="eastAsia" w:ascii="宋体" w:hAnsi="宋体"/>
          <w:color w:val="auto"/>
          <w:szCs w:val="21"/>
          <w:highlight w:val="none"/>
        </w:rPr>
        <w:t>方式：</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u w:val="single"/>
        </w:rPr>
        <w:t>①按照中国人民银行  年  月公布的5年期贷款市场报价利率支付利息</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u w:val="single"/>
        </w:rPr>
        <w:t>②不采用</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761" w:name="_Toc532377400"/>
      <w:bookmarkStart w:id="762" w:name="_Toc532375663"/>
      <w:r>
        <w:rPr>
          <w:rFonts w:hint="eastAsia" w:ascii="宋体" w:hAnsi="宋体" w:cs="宋体"/>
          <w:b/>
          <w:bCs/>
          <w:color w:val="auto"/>
          <w:kern w:val="0"/>
          <w:szCs w:val="21"/>
          <w:highlight w:val="none"/>
        </w:rPr>
        <w:t>15.4 保修</w:t>
      </w:r>
      <w:bookmarkEnd w:id="761"/>
      <w:bookmarkEnd w:id="762"/>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15.4.1 保修责任</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工程保修期为：</w:t>
      </w:r>
      <w:bookmarkStart w:id="763" w:name="_Hlk524381274"/>
      <w:r>
        <w:rPr>
          <w:rFonts w:hint="eastAsia" w:ascii="宋体" w:hAnsi="宋体"/>
          <w:color w:val="auto"/>
          <w:szCs w:val="21"/>
          <w:highlight w:val="none"/>
        </w:rPr>
        <w:t>按照附件1《工程质量保修书》的规定执行。</w:t>
      </w:r>
      <w:bookmarkEnd w:id="763"/>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15.4.3 修复通知</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承包人收到保修通知并到达工程现场的合理时间：</w:t>
      </w:r>
      <w:r>
        <w:rPr>
          <w:rFonts w:hint="eastAsia" w:ascii="宋体" w:hAnsi="宋体"/>
          <w:color w:val="auto"/>
          <w:szCs w:val="21"/>
          <w:highlight w:val="none"/>
          <w:u w:val="single"/>
        </w:rPr>
        <w:t>24小时内，最长不能超过48小时</w:t>
      </w:r>
      <w:r>
        <w:rPr>
          <w:rFonts w:hint="eastAsia" w:ascii="宋体" w:hAnsi="宋体"/>
          <w:color w:val="auto"/>
          <w:szCs w:val="21"/>
          <w:highlight w:val="none"/>
        </w:rPr>
        <w:t>。</w:t>
      </w:r>
    </w:p>
    <w:p>
      <w:pPr>
        <w:keepNext/>
        <w:keepLines/>
        <w:spacing w:before="120" w:beforeLines="50" w:after="120" w:afterLines="50" w:line="360" w:lineRule="auto"/>
        <w:outlineLvl w:val="3"/>
        <w:rPr>
          <w:rFonts w:ascii="宋体" w:hAnsi="宋体" w:cs="宋体"/>
          <w:b/>
          <w:color w:val="auto"/>
          <w:szCs w:val="21"/>
          <w:highlight w:val="none"/>
        </w:rPr>
      </w:pPr>
      <w:bookmarkStart w:id="764" w:name="_Toc532375664"/>
      <w:bookmarkStart w:id="765" w:name="_Toc532377401"/>
      <w:bookmarkStart w:id="766" w:name="_Toc351203648"/>
      <w:r>
        <w:rPr>
          <w:rFonts w:hint="eastAsia" w:ascii="宋体" w:hAnsi="宋体" w:cs="宋体"/>
          <w:b/>
          <w:bCs/>
          <w:color w:val="auto"/>
          <w:szCs w:val="21"/>
          <w:highlight w:val="none"/>
        </w:rPr>
        <w:t>16. 违约</w:t>
      </w:r>
      <w:bookmarkEnd w:id="764"/>
      <w:bookmarkEnd w:id="765"/>
      <w:bookmarkEnd w:id="766"/>
    </w:p>
    <w:p>
      <w:pPr>
        <w:spacing w:line="360" w:lineRule="auto"/>
        <w:ind w:firstLine="422" w:firstLineChars="200"/>
        <w:outlineLvl w:val="4"/>
        <w:rPr>
          <w:rFonts w:ascii="宋体" w:hAnsi="宋体" w:cs="宋体"/>
          <w:b/>
          <w:bCs/>
          <w:color w:val="auto"/>
          <w:kern w:val="0"/>
          <w:szCs w:val="21"/>
          <w:highlight w:val="none"/>
        </w:rPr>
      </w:pPr>
      <w:bookmarkStart w:id="767" w:name="_Toc532377402"/>
      <w:r>
        <w:rPr>
          <w:rFonts w:hint="eastAsia" w:ascii="宋体" w:hAnsi="宋体" w:cs="宋体"/>
          <w:b/>
          <w:bCs/>
          <w:color w:val="auto"/>
          <w:kern w:val="0"/>
          <w:szCs w:val="21"/>
          <w:highlight w:val="none"/>
        </w:rPr>
        <w:t>16.1 发包人违约</w:t>
      </w:r>
      <w:bookmarkEnd w:id="767"/>
    </w:p>
    <w:p>
      <w:pPr>
        <w:spacing w:line="360" w:lineRule="auto"/>
        <w:ind w:firstLine="420" w:firstLineChars="200"/>
        <w:rPr>
          <w:rFonts w:ascii="宋体" w:hAnsi="宋体"/>
          <w:color w:val="auto"/>
          <w:szCs w:val="21"/>
          <w:highlight w:val="none"/>
          <w:u w:val="single"/>
          <w:shd w:val="clear" w:color="auto" w:fill="FFFFFF"/>
        </w:rPr>
      </w:pPr>
      <w:r>
        <w:rPr>
          <w:rFonts w:hint="eastAsia" w:ascii="宋体" w:hAnsi="宋体"/>
          <w:color w:val="auto"/>
          <w:szCs w:val="21"/>
          <w:highlight w:val="none"/>
          <w:shd w:val="clear" w:color="auto" w:fill="FFFFFF"/>
        </w:rPr>
        <w:t>16.1.1发包人违约的情形：</w:t>
      </w:r>
      <w:r>
        <w:rPr>
          <w:rFonts w:hint="eastAsia" w:ascii="宋体" w:hAnsi="宋体"/>
          <w:color w:val="auto"/>
          <w:szCs w:val="21"/>
          <w:highlight w:val="none"/>
          <w:u w:val="single"/>
          <w:shd w:val="clear" w:color="auto" w:fill="FFFFFF"/>
        </w:rPr>
        <w:t>不采用通用条款，双方按专用合同条款相关约定执行。</w:t>
      </w:r>
    </w:p>
    <w:p>
      <w:pPr>
        <w:spacing w:line="360" w:lineRule="auto"/>
        <w:ind w:firstLine="420" w:firstLineChars="200"/>
        <w:rPr>
          <w:rFonts w:ascii="宋体" w:hAnsi="宋体"/>
          <w:color w:val="auto"/>
          <w:szCs w:val="21"/>
          <w:highlight w:val="none"/>
          <w:u w:val="single"/>
          <w:shd w:val="clear" w:color="auto" w:fill="FFFFFF"/>
        </w:rPr>
      </w:pPr>
      <w:r>
        <w:rPr>
          <w:rFonts w:hint="eastAsia" w:ascii="宋体" w:hAnsi="宋体"/>
          <w:color w:val="auto"/>
          <w:szCs w:val="21"/>
          <w:highlight w:val="none"/>
          <w:shd w:val="clear" w:color="auto" w:fill="FFFFFF"/>
        </w:rPr>
        <w:t>发包人违约的其他情形：</w:t>
      </w:r>
      <w:r>
        <w:rPr>
          <w:rFonts w:hint="eastAsia" w:ascii="宋体" w:hAnsi="宋体"/>
          <w:color w:val="auto"/>
          <w:szCs w:val="21"/>
          <w:highlight w:val="none"/>
          <w:u w:val="single"/>
          <w:shd w:val="clear" w:color="auto" w:fill="FFFFFF"/>
        </w:rPr>
        <w:t>无。</w:t>
      </w:r>
    </w:p>
    <w:p>
      <w:pPr>
        <w:spacing w:line="360" w:lineRule="auto"/>
        <w:ind w:firstLine="420" w:firstLineChars="200"/>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16.1.2发包人违约的责任</w:t>
      </w:r>
    </w:p>
    <w:p>
      <w:pPr>
        <w:spacing w:line="360" w:lineRule="auto"/>
        <w:ind w:firstLine="420" w:firstLineChars="200"/>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发包人违约责任的承担方式和计算方法：</w:t>
      </w:r>
    </w:p>
    <w:p>
      <w:pPr>
        <w:spacing w:line="360" w:lineRule="auto"/>
        <w:ind w:firstLine="420" w:firstLineChars="200"/>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（1）因发包人原因未能在计划开工日期前7天内下达开工通知的违约责任：</w:t>
      </w:r>
      <w:r>
        <w:rPr>
          <w:rFonts w:hint="eastAsia" w:ascii="宋体" w:hAnsi="宋体"/>
          <w:color w:val="auto"/>
          <w:szCs w:val="21"/>
          <w:highlight w:val="none"/>
          <w:u w:val="single"/>
          <w:shd w:val="clear" w:color="auto" w:fill="FFFFFF"/>
        </w:rPr>
        <w:t>不采用。</w:t>
      </w:r>
    </w:p>
    <w:p>
      <w:pPr>
        <w:spacing w:line="360" w:lineRule="auto"/>
        <w:ind w:firstLine="420" w:firstLineChars="200"/>
        <w:rPr>
          <w:rFonts w:ascii="宋体" w:hAnsi="宋体"/>
          <w:color w:val="auto"/>
          <w:szCs w:val="21"/>
          <w:highlight w:val="none"/>
          <w:u w:val="single"/>
          <w:shd w:val="clear" w:color="auto" w:fill="FFFFFF"/>
        </w:rPr>
      </w:pPr>
      <w:r>
        <w:rPr>
          <w:rFonts w:hint="eastAsia" w:ascii="宋体" w:hAnsi="宋体"/>
          <w:color w:val="auto"/>
          <w:szCs w:val="21"/>
          <w:highlight w:val="none"/>
          <w:shd w:val="clear" w:color="auto" w:fill="FFFFFF"/>
        </w:rPr>
        <w:t>（2）因发包人原因未能按合同约定支付合同价款的违约责任：</w:t>
      </w:r>
      <w:r>
        <w:rPr>
          <w:rFonts w:hint="eastAsia" w:ascii="宋体" w:hAnsi="宋体"/>
          <w:color w:val="auto"/>
          <w:szCs w:val="21"/>
          <w:highlight w:val="none"/>
          <w:u w:val="single"/>
          <w:shd w:val="clear" w:color="auto" w:fill="FFFFFF"/>
        </w:rPr>
        <w:t>无。</w:t>
      </w:r>
    </w:p>
    <w:p>
      <w:pPr>
        <w:spacing w:line="360" w:lineRule="auto"/>
        <w:ind w:firstLine="420" w:firstLineChars="200"/>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（3）发包人违反第10.1款〔变更的范围〕第（2）项约定，自行实施被取消的工作或转由他人实施的违约责任：</w:t>
      </w:r>
      <w:r>
        <w:rPr>
          <w:rFonts w:hint="eastAsia" w:ascii="宋体" w:hAnsi="宋体"/>
          <w:color w:val="auto"/>
          <w:szCs w:val="21"/>
          <w:highlight w:val="none"/>
          <w:u w:val="single"/>
          <w:shd w:val="clear" w:color="auto" w:fill="FFFFFF"/>
        </w:rPr>
        <w:t>不采用。</w:t>
      </w:r>
    </w:p>
    <w:p>
      <w:pPr>
        <w:spacing w:line="360" w:lineRule="auto"/>
        <w:ind w:firstLine="420" w:firstLineChars="200"/>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（4）发包人提供的材料、工程设备的规格、数量或质量不符合合同约定，或因发包人原因导致交货日期延误或交货地点变更等情况的违约责任：</w:t>
      </w:r>
      <w:r>
        <w:rPr>
          <w:rFonts w:hint="eastAsia" w:ascii="宋体" w:hAnsi="宋体"/>
          <w:color w:val="auto"/>
          <w:szCs w:val="21"/>
          <w:highlight w:val="none"/>
          <w:u w:val="single"/>
          <w:shd w:val="clear" w:color="auto" w:fill="FFFFFF"/>
        </w:rPr>
        <w:t>不采用。</w:t>
      </w:r>
    </w:p>
    <w:p>
      <w:pPr>
        <w:spacing w:line="360" w:lineRule="auto"/>
        <w:ind w:firstLine="420" w:firstLineChars="200"/>
        <w:rPr>
          <w:rFonts w:ascii="宋体" w:hAnsi="宋体"/>
          <w:color w:val="auto"/>
          <w:szCs w:val="21"/>
          <w:highlight w:val="none"/>
          <w:u w:val="single"/>
          <w:shd w:val="clear" w:color="auto" w:fill="FFFFFF"/>
        </w:rPr>
      </w:pPr>
      <w:r>
        <w:rPr>
          <w:rFonts w:hint="eastAsia" w:ascii="宋体" w:hAnsi="宋体"/>
          <w:color w:val="auto"/>
          <w:szCs w:val="21"/>
          <w:highlight w:val="none"/>
          <w:shd w:val="clear" w:color="auto" w:fill="FFFFFF"/>
        </w:rPr>
        <w:t>（5）因发包人违反合同约定造成暂停施工的违约责任：</w:t>
      </w:r>
      <w:r>
        <w:rPr>
          <w:rFonts w:hint="eastAsia" w:ascii="宋体" w:hAnsi="宋体"/>
          <w:color w:val="auto"/>
          <w:szCs w:val="21"/>
          <w:highlight w:val="none"/>
          <w:u w:val="single"/>
          <w:shd w:val="clear" w:color="auto" w:fill="FFFFFF"/>
        </w:rPr>
        <w:t>工期顺延。</w:t>
      </w:r>
    </w:p>
    <w:p>
      <w:pPr>
        <w:spacing w:line="360" w:lineRule="auto"/>
        <w:ind w:firstLine="420" w:firstLineChars="200"/>
        <w:rPr>
          <w:rFonts w:ascii="宋体" w:hAnsi="宋体"/>
          <w:color w:val="auto"/>
          <w:szCs w:val="21"/>
          <w:highlight w:val="none"/>
          <w:u w:val="single"/>
          <w:shd w:val="clear" w:color="auto" w:fill="FFFFFF"/>
        </w:rPr>
      </w:pPr>
      <w:r>
        <w:rPr>
          <w:rFonts w:hint="eastAsia" w:ascii="宋体" w:hAnsi="宋体"/>
          <w:color w:val="auto"/>
          <w:szCs w:val="21"/>
          <w:highlight w:val="none"/>
          <w:shd w:val="clear" w:color="auto" w:fill="FFFFFF"/>
        </w:rPr>
        <w:t>（6）发包人无正当理由没有在约定期限内发出复工指示，导致承包人无法复工的违约责任：</w:t>
      </w:r>
      <w:r>
        <w:rPr>
          <w:rFonts w:hint="eastAsia" w:ascii="宋体" w:hAnsi="宋体"/>
          <w:color w:val="auto"/>
          <w:szCs w:val="21"/>
          <w:highlight w:val="none"/>
          <w:u w:val="single"/>
          <w:shd w:val="clear" w:color="auto" w:fill="FFFFFF"/>
        </w:rPr>
        <w:t>工期顺延。</w:t>
      </w:r>
    </w:p>
    <w:p>
      <w:pPr>
        <w:spacing w:line="360" w:lineRule="auto"/>
        <w:ind w:firstLine="420" w:firstLineChars="200"/>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（7）其他：</w:t>
      </w:r>
      <w:r>
        <w:rPr>
          <w:rFonts w:hint="eastAsia" w:ascii="宋体" w:hAnsi="宋体"/>
          <w:color w:val="auto"/>
          <w:szCs w:val="21"/>
          <w:highlight w:val="none"/>
          <w:u w:val="single"/>
          <w:shd w:val="clear" w:color="auto" w:fill="FFFFFF"/>
        </w:rPr>
        <w:t>无。</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16.1.3 因发包人违约解除合同</w:t>
      </w:r>
    </w:p>
    <w:p>
      <w:pPr>
        <w:autoSpaceDE w:val="0"/>
        <w:autoSpaceDN w:val="0"/>
        <w:adjustRightIn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因发包人违约并致使合同目的不能实现的，承包人有权解除合同：</w:t>
      </w:r>
    </w:p>
    <w:p>
      <w:pPr>
        <w:autoSpaceDE w:val="0"/>
        <w:autoSpaceDN w:val="0"/>
        <w:adjustRightIn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（1）因发包人原因延迟支付合同价款超过180天的；</w:t>
      </w:r>
    </w:p>
    <w:p>
      <w:pPr>
        <w:autoSpaceDE w:val="0"/>
        <w:autoSpaceDN w:val="0"/>
        <w:adjustRightIn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（2）因发包人原因导致工期延误超过90天的；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（3）其他未履行合同项下的义务构成对合同的实质性违约，并且在收到承包人要求说明其违约并予以补救的通知后56天内仍未补救该实质性违约的。</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16.1.4 因发包人违约解除合同后的付款</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承包人按照本款约定解除合同的，发包人应在解除合同后28天内支付下列款项，并解除（如有）履约担保、低价风险担保、预付款担保：</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（1）合同解除前所完成工作的价款；</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（2）承包人为工程施工订购并已付款的材料、工程设备和其他物品的价款；</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（3）承包人撤离施工现场以及遣散承包人人员的款项；</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（4）按照合同约定在合同解除前应支付的违约金；</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（5）按照合同约定应当支付给承包人的其他款项；</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（6）按照合同约定应退还的质量保证金；</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（7）因解除合同给承包人造成的损失；</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（8）</w:t>
      </w:r>
      <w:r>
        <w:rPr>
          <w:rFonts w:hint="eastAsia" w:ascii="宋体" w:hAnsi="宋体" w:cs="Microsoft Sans Serif"/>
          <w:color w:val="auto"/>
          <w:kern w:val="0"/>
          <w:szCs w:val="21"/>
          <w:highlight w:val="none"/>
          <w:u w:val="single"/>
        </w:rPr>
        <w:t xml:space="preserve">        。</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合同当事人未能就解除合同后的结清达成一致的，按照第20条〔争议解决〕的约定处理。</w:t>
      </w:r>
    </w:p>
    <w:p>
      <w:pPr>
        <w:snapToGrid w:val="0"/>
        <w:spacing w:line="360" w:lineRule="auto"/>
        <w:ind w:firstLine="420" w:firstLineChars="200"/>
        <w:rPr>
          <w:rFonts w:ascii="宋体" w:hAnsi="宋体" w:cs="Microsoft Sans Serif"/>
          <w:color w:val="auto"/>
          <w:kern w:val="0"/>
          <w:szCs w:val="21"/>
          <w:highlight w:val="none"/>
          <w:u w:val="single"/>
        </w:rPr>
      </w:pPr>
      <w:r>
        <w:rPr>
          <w:rFonts w:hint="eastAsia" w:ascii="宋体" w:hAnsi="宋体" w:cs="Microsoft Sans Serif"/>
          <w:color w:val="auto"/>
          <w:kern w:val="0"/>
          <w:szCs w:val="21"/>
          <w:highlight w:val="none"/>
        </w:rPr>
        <w:t>承包人应妥善做好已完工程和与工程有关的已购材料、工程设备的保护和移交工作，并将施工设备和人员撤出施工现场，发包人应为承包人撤出提供必要条件。</w:t>
      </w:r>
    </w:p>
    <w:p>
      <w:pPr>
        <w:spacing w:line="360" w:lineRule="auto"/>
        <w:ind w:firstLine="422" w:firstLineChars="200"/>
        <w:outlineLvl w:val="4"/>
        <w:rPr>
          <w:rFonts w:ascii="宋体" w:hAnsi="宋体" w:cs="宋体"/>
          <w:b/>
          <w:bCs/>
          <w:color w:val="auto"/>
          <w:kern w:val="0"/>
          <w:szCs w:val="21"/>
          <w:highlight w:val="none"/>
        </w:rPr>
      </w:pPr>
      <w:bookmarkStart w:id="768" w:name="_Toc532377403"/>
      <w:r>
        <w:rPr>
          <w:rFonts w:hint="eastAsia" w:ascii="宋体" w:hAnsi="宋体" w:cs="宋体"/>
          <w:b/>
          <w:bCs/>
          <w:color w:val="auto"/>
          <w:kern w:val="0"/>
          <w:szCs w:val="21"/>
          <w:highlight w:val="none"/>
        </w:rPr>
        <w:t>16.2 承包人违约</w:t>
      </w:r>
      <w:bookmarkEnd w:id="768"/>
    </w:p>
    <w:p>
      <w:pPr>
        <w:snapToGrid w:val="0"/>
        <w:spacing w:line="360" w:lineRule="auto"/>
        <w:ind w:firstLine="420" w:firstLineChars="200"/>
        <w:rPr>
          <w:rFonts w:ascii="宋体" w:hAnsi="宋体" w:cs="Microsoft Sans Serif"/>
          <w:color w:val="auto"/>
          <w:kern w:val="0"/>
          <w:szCs w:val="21"/>
          <w:highlight w:val="none"/>
        </w:rPr>
      </w:pPr>
      <w:bookmarkStart w:id="769" w:name="_Hlk524380579"/>
      <w:r>
        <w:rPr>
          <w:rFonts w:hint="eastAsia" w:ascii="宋体" w:hAnsi="宋体" w:cs="Microsoft Sans Serif"/>
          <w:color w:val="auto"/>
          <w:kern w:val="0"/>
          <w:szCs w:val="21"/>
          <w:highlight w:val="none"/>
        </w:rPr>
        <w:t>16.2.1 承包人违约的情形</w:t>
      </w:r>
    </w:p>
    <w:p>
      <w:pPr>
        <w:snapToGrid w:val="0"/>
        <w:spacing w:line="360" w:lineRule="auto"/>
        <w:ind w:firstLine="420" w:firstLineChars="200"/>
        <w:rPr>
          <w:rFonts w:ascii="宋体" w:hAnsi="宋体" w:cs="Microsoft Sans Serif"/>
          <w:color w:val="auto"/>
          <w:kern w:val="0"/>
          <w:szCs w:val="21"/>
          <w:highlight w:val="none"/>
          <w:u w:val="single"/>
        </w:rPr>
      </w:pPr>
      <w:r>
        <w:rPr>
          <w:rFonts w:hint="eastAsia" w:ascii="宋体" w:hAnsi="宋体" w:cs="Microsoft Sans Serif"/>
          <w:color w:val="auto"/>
          <w:kern w:val="0"/>
          <w:szCs w:val="21"/>
          <w:highlight w:val="none"/>
        </w:rPr>
        <w:t>除通用合同条款约定外，承包人违约的其他情形：</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（1）承包人未按合同约定提交履约担保或质量保证金的；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（2）承包人未能按期开工的；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（3）承包人未按投标文件或监理人的要求及时配备称职的主要管理人员，或承包人未按经审定的施工组织设计配备或更换关键施工设备的；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（4）承包人有安全问题或有违反安全管理规章制度情况的；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（5）承包人在缺陷责任期及保修期内，未能在合理期限对工程缺陷进行修复，或拒绝按发包人要求进行修复的；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（6）承包人拖欠其工人或所雇人员工资或报酬，导致其工人或所雇人员向有关部门投诉、控告、检举或以聚集等方式讨要工资或报酬的；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（7）承包人不配合发包人、监理人及发包人委托的工程造价咨询服务单位结算审核或承包人其他原因导致未按期完成工程竣工结算的；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（8）承包人违反合同约定进行转包或违法分包的；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（9）承包人未按合同约定移交全部或部分工作的；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（10）承包人未按合同约定购买保险的；</w:t>
      </w:r>
    </w:p>
    <w:p>
      <w:pPr>
        <w:snapToGrid w:val="0"/>
        <w:spacing w:line="360" w:lineRule="auto"/>
        <w:ind w:firstLine="420" w:firstLineChars="200"/>
        <w:rPr>
          <w:rFonts w:ascii="宋体" w:hAnsi="宋体"/>
          <w:color w:val="auto"/>
          <w:szCs w:val="21"/>
          <w:highlight w:val="none"/>
        </w:rPr>
      </w:pPr>
      <w:r>
        <w:rPr>
          <w:rFonts w:hint="eastAsia" w:ascii="宋体" w:hAnsi="宋体" w:cs="Microsoft Sans Serif"/>
          <w:color w:val="auto"/>
          <w:kern w:val="0"/>
          <w:szCs w:val="21"/>
          <w:highlight w:val="none"/>
        </w:rPr>
        <w:t>（11）项目经理若有以下情形，属于承包人违约：</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1）项目经理不按承诺到岗的；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2）每月在施工现场的天数少于约定天数的；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3）承包人未提交项目经理劳动合同和社会保险证明的；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4）未经批准，擅自离开施工现场（超过约定时间）的；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5）未经批准，擅自变更项目经理的；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6）按照渝建发〔2015〕35号文的要求，施工期间，项目经理因在一个记分周期内累计记分达到12分，被建设行政主管部门依法责令停止执业的；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7）发包人有正当理由认为项目经理不称职/不履职，且承包人在约定时间内不予更换的；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8）其他双方约定的情形：</w:t>
      </w:r>
      <w:r>
        <w:rPr>
          <w:rFonts w:hint="eastAsia" w:ascii="宋体" w:hAnsi="宋体" w:cs="Microsoft Sans Serif"/>
          <w:color w:val="auto"/>
          <w:kern w:val="0"/>
          <w:szCs w:val="21"/>
          <w:highlight w:val="none"/>
          <w:u w:val="single"/>
        </w:rPr>
        <w:t xml:space="preserve">        </w:t>
      </w:r>
      <w:r>
        <w:rPr>
          <w:rFonts w:hint="eastAsia" w:ascii="宋体" w:hAnsi="宋体" w:cs="Microsoft Sans Serif"/>
          <w:color w:val="auto"/>
          <w:kern w:val="0"/>
          <w:szCs w:val="21"/>
          <w:highlight w:val="none"/>
        </w:rPr>
        <w:t>。</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（12）技术负责人若有以下情形，属于承包人违约：</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1）每月在施工现场的天数少于约定天数的；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2）承包人未提交技术负责人劳动合同和社会保险证明的；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3）未经批准，擅自离开施工现场（超过约定时间）的；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4）未经批准，擅自变更技术负责人的；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5）发包人有正当理由认为技术负责人不称职/不履职，且承包人在约定时间内不予更换的；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6）其他双方约定的情形：</w:t>
      </w:r>
      <w:r>
        <w:rPr>
          <w:rFonts w:hint="eastAsia" w:ascii="宋体" w:hAnsi="宋体" w:cs="Microsoft Sans Serif"/>
          <w:color w:val="auto"/>
          <w:kern w:val="0"/>
          <w:szCs w:val="21"/>
          <w:highlight w:val="none"/>
          <w:u w:val="single"/>
        </w:rPr>
        <w:t xml:space="preserve">        </w:t>
      </w:r>
      <w:r>
        <w:rPr>
          <w:rFonts w:hint="eastAsia" w:ascii="宋体" w:hAnsi="宋体" w:cs="Microsoft Sans Serif"/>
          <w:color w:val="auto"/>
          <w:kern w:val="0"/>
          <w:szCs w:val="21"/>
          <w:highlight w:val="none"/>
        </w:rPr>
        <w:t>。</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（13）主要施工管理人员若有以下情形，属于承包人违约：</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1）承包人未提交主要管理人员劳动合同和社会保险证明的；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2）未经批准，擅自离开施工现场（超过约定时间）的；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3）未经批准，擅自变更主要施工管理人员的；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4）发包人有正当理由认为主要施工管理人员不称职/不履职，且承包人在约定时间内不予更换的；</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5）其他双方约定的情形：</w:t>
      </w:r>
      <w:r>
        <w:rPr>
          <w:rFonts w:hint="eastAsia" w:ascii="宋体" w:hAnsi="宋体" w:cs="Microsoft Sans Serif"/>
          <w:color w:val="auto"/>
          <w:kern w:val="0"/>
          <w:szCs w:val="21"/>
          <w:highlight w:val="none"/>
          <w:u w:val="single"/>
        </w:rPr>
        <w:t xml:space="preserve">        </w:t>
      </w:r>
      <w:r>
        <w:rPr>
          <w:rFonts w:hint="eastAsia" w:ascii="宋体" w:hAnsi="宋体" w:cs="Microsoft Sans Serif"/>
          <w:color w:val="auto"/>
          <w:kern w:val="0"/>
          <w:szCs w:val="21"/>
          <w:highlight w:val="none"/>
        </w:rPr>
        <w:t>。</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（14）</w:t>
      </w:r>
      <w:r>
        <w:rPr>
          <w:rFonts w:hint="eastAsia" w:ascii="宋体" w:hAnsi="宋体" w:cs="Microsoft Sans Serif"/>
          <w:color w:val="auto"/>
          <w:kern w:val="0"/>
          <w:szCs w:val="21"/>
          <w:highlight w:val="none"/>
          <w:u w:val="single"/>
        </w:rPr>
        <w:t xml:space="preserve">        。</w:t>
      </w:r>
    </w:p>
    <w:bookmarkEnd w:id="769"/>
    <w:p>
      <w:pPr>
        <w:adjustRightInd w:val="0"/>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16.2.2 承包人违约的责任</w:t>
      </w:r>
    </w:p>
    <w:p>
      <w:pPr>
        <w:adjustRightInd w:val="0"/>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承包人违约责任的承担方式和计算方法：</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（1）承包人未按合同约定提交履约担保、质量保证金的违约责任：承包人应支付违约金，</w:t>
      </w:r>
      <w:r>
        <w:rPr>
          <w:rFonts w:hint="eastAsia" w:ascii="宋体" w:hAnsi="宋体" w:cs="Microsoft Sans Serif"/>
          <w:color w:val="auto"/>
          <w:szCs w:val="21"/>
          <w:highlight w:val="none"/>
        </w:rPr>
        <w:t>违约金的计算方法：</w:t>
      </w:r>
      <w:r>
        <w:rPr>
          <w:rFonts w:hint="eastAsia" w:ascii="宋体" w:hAnsi="宋体" w:cs="Microsoft Sans Serif"/>
          <w:color w:val="auto"/>
          <w:kern w:val="0"/>
          <w:szCs w:val="21"/>
          <w:highlight w:val="none"/>
        </w:rPr>
        <w:t>每延误1天，承包人按</w:t>
      </w:r>
      <w:r>
        <w:rPr>
          <w:rFonts w:hint="eastAsia" w:ascii="宋体" w:hAnsi="宋体" w:cs="Microsoft Sans Serif"/>
          <w:color w:val="auto"/>
          <w:kern w:val="0"/>
          <w:szCs w:val="21"/>
          <w:highlight w:val="none"/>
          <w:u w:val="single"/>
        </w:rPr>
        <w:t xml:space="preserve">  （5000～50000）元/天</w:t>
      </w:r>
      <w:r>
        <w:rPr>
          <w:rFonts w:hint="eastAsia" w:ascii="宋体" w:hAnsi="宋体" w:cs="Microsoft Sans Serif"/>
          <w:color w:val="auto"/>
          <w:kern w:val="0"/>
          <w:szCs w:val="21"/>
          <w:highlight w:val="none"/>
        </w:rPr>
        <w:t>计算违约金，累计违约金上限：</w:t>
      </w:r>
      <w:r>
        <w:rPr>
          <w:rFonts w:hint="eastAsia" w:ascii="宋体" w:hAnsi="宋体" w:cs="Microsoft Sans Serif"/>
          <w:color w:val="auto"/>
          <w:kern w:val="0"/>
          <w:szCs w:val="21"/>
          <w:highlight w:val="none"/>
          <w:u w:val="single"/>
        </w:rPr>
        <w:t xml:space="preserve">  万元（不超过签约合同价的3%）</w:t>
      </w:r>
      <w:r>
        <w:rPr>
          <w:rFonts w:hint="eastAsia" w:ascii="宋体" w:hAnsi="宋体" w:cs="Microsoft Sans Serif"/>
          <w:color w:val="auto"/>
          <w:kern w:val="0"/>
          <w:szCs w:val="21"/>
          <w:highlight w:val="none"/>
          <w:lang w:val="zh-CN"/>
        </w:rPr>
        <w:t>。</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（2）承包人违反合同约定进行转包或违法分包的违约责任：按照违反合同约定进行转包和（或）违法分包相应转包和（或）分包合同的合同金额的</w:t>
      </w:r>
      <w:r>
        <w:rPr>
          <w:rFonts w:hint="eastAsia" w:ascii="宋体" w:hAnsi="宋体" w:cs="Microsoft Sans Serif"/>
          <w:color w:val="auto"/>
          <w:kern w:val="0"/>
          <w:szCs w:val="21"/>
          <w:highlight w:val="none"/>
          <w:u w:val="single"/>
        </w:rPr>
        <w:t xml:space="preserve">  （5～10）%</w:t>
      </w:r>
      <w:r>
        <w:rPr>
          <w:rFonts w:hint="eastAsia" w:ascii="宋体" w:hAnsi="宋体" w:cs="Microsoft Sans Serif"/>
          <w:color w:val="auto"/>
          <w:kern w:val="0"/>
          <w:szCs w:val="21"/>
          <w:highlight w:val="none"/>
        </w:rPr>
        <w:t>支付违约金，违法转/分包商应在7天内撤离出场。</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（3）承包人违反合同约定采购和使用不合格的材料和工程设备的违约责任：按照违反合同约定采购和使用不合格的材料和（或）工程设备相应合同金额的</w:t>
      </w:r>
      <w:r>
        <w:rPr>
          <w:rFonts w:hint="eastAsia" w:ascii="宋体" w:hAnsi="宋体" w:cs="Microsoft Sans Serif"/>
          <w:color w:val="auto"/>
          <w:kern w:val="0"/>
          <w:szCs w:val="21"/>
          <w:highlight w:val="none"/>
          <w:u w:val="single"/>
        </w:rPr>
        <w:t xml:space="preserve">  （5～10）%</w:t>
      </w:r>
      <w:r>
        <w:rPr>
          <w:rFonts w:hint="eastAsia" w:ascii="宋体" w:hAnsi="宋体" w:cs="Microsoft Sans Serif"/>
          <w:color w:val="auto"/>
          <w:kern w:val="0"/>
          <w:szCs w:val="21"/>
          <w:highlight w:val="none"/>
        </w:rPr>
        <w:t>支付违约金。</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（4）因承包人原因导致工程质量不符合规定或合同要求的违约责任：承包人退还已支付工程质量不符合合同要求工程的工程款，并按照工程质量不符合合同要求工程相应合同金额的</w:t>
      </w:r>
      <w:r>
        <w:rPr>
          <w:rFonts w:hint="eastAsia" w:ascii="宋体" w:hAnsi="宋体" w:cs="Microsoft Sans Serif"/>
          <w:color w:val="auto"/>
          <w:kern w:val="0"/>
          <w:szCs w:val="21"/>
          <w:highlight w:val="none"/>
          <w:u w:val="single"/>
        </w:rPr>
        <w:t xml:space="preserve">  （5～10）%</w:t>
      </w:r>
      <w:r>
        <w:rPr>
          <w:rFonts w:hint="eastAsia" w:ascii="宋体" w:hAnsi="宋体" w:cs="Microsoft Sans Serif"/>
          <w:color w:val="auto"/>
          <w:kern w:val="0"/>
          <w:szCs w:val="21"/>
          <w:highlight w:val="none"/>
        </w:rPr>
        <w:t>支付违约金。</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（5）承包人违反材料与设备的约定，未经批准，擅自将已按照合同约定进入施工现场的材料或设备撤离施工现场的违约责任：按照承包人擅自撤离施工现场材料和（或）设备相应合同金额的</w:t>
      </w:r>
      <w:r>
        <w:rPr>
          <w:rFonts w:hint="eastAsia" w:ascii="宋体" w:hAnsi="宋体" w:cs="Microsoft Sans Serif"/>
          <w:color w:val="auto"/>
          <w:kern w:val="0"/>
          <w:szCs w:val="21"/>
          <w:highlight w:val="none"/>
          <w:u w:val="single"/>
        </w:rPr>
        <w:t xml:space="preserve">  （1～5）%</w:t>
      </w:r>
      <w:r>
        <w:rPr>
          <w:rFonts w:hint="eastAsia" w:ascii="宋体" w:hAnsi="宋体" w:cs="Microsoft Sans Serif"/>
          <w:color w:val="auto"/>
          <w:kern w:val="0"/>
          <w:szCs w:val="21"/>
          <w:highlight w:val="none"/>
        </w:rPr>
        <w:t>支付违约金。</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（6）因承包人原因造成工期延误的违约承担方式和计算方法：由承包人承担由此增加的费用，</w:t>
      </w:r>
      <w:r>
        <w:rPr>
          <w:rFonts w:hint="eastAsia" w:ascii="宋体" w:hAnsi="宋体" w:cs="Microsoft Sans Serif"/>
          <w:color w:val="auto"/>
          <w:szCs w:val="21"/>
          <w:highlight w:val="none"/>
        </w:rPr>
        <w:t>由此导致工期延误的，工期不予顺延；逾期竣工违约金的计算方法：</w:t>
      </w:r>
      <w:r>
        <w:rPr>
          <w:rFonts w:hint="eastAsia" w:ascii="宋体" w:hAnsi="宋体" w:cs="Microsoft Sans Serif"/>
          <w:color w:val="auto"/>
          <w:kern w:val="0"/>
          <w:szCs w:val="21"/>
          <w:highlight w:val="none"/>
        </w:rPr>
        <w:t>每延误1天，承包人按</w:t>
      </w:r>
      <w:r>
        <w:rPr>
          <w:rFonts w:hint="eastAsia" w:ascii="宋体" w:hAnsi="宋体" w:cs="Microsoft Sans Serif"/>
          <w:color w:val="auto"/>
          <w:kern w:val="0"/>
          <w:szCs w:val="21"/>
          <w:highlight w:val="none"/>
          <w:u w:val="single"/>
        </w:rPr>
        <w:t xml:space="preserve">  （5000～50000）元/天</w:t>
      </w:r>
      <w:r>
        <w:rPr>
          <w:rFonts w:hint="eastAsia" w:ascii="宋体" w:hAnsi="宋体" w:cs="Microsoft Sans Serif"/>
          <w:color w:val="auto"/>
          <w:kern w:val="0"/>
          <w:szCs w:val="21"/>
          <w:highlight w:val="none"/>
        </w:rPr>
        <w:t>计算逾期竣工违约金，累计违约金上限：</w:t>
      </w:r>
      <w:r>
        <w:rPr>
          <w:rFonts w:hint="eastAsia" w:ascii="宋体" w:hAnsi="宋体" w:cs="Microsoft Sans Serif"/>
          <w:color w:val="auto"/>
          <w:kern w:val="0"/>
          <w:szCs w:val="21"/>
          <w:highlight w:val="none"/>
          <w:u w:val="single"/>
        </w:rPr>
        <w:t xml:space="preserve">  </w:t>
      </w:r>
      <w:r>
        <w:rPr>
          <w:rFonts w:hint="eastAsia" w:ascii="宋体" w:hAnsi="宋体" w:cs="Microsoft Sans Serif"/>
          <w:color w:val="auto"/>
          <w:kern w:val="0"/>
          <w:szCs w:val="21"/>
          <w:highlight w:val="none"/>
        </w:rPr>
        <w:t>万元（不超过签约合同价的3%）</w:t>
      </w:r>
      <w:r>
        <w:rPr>
          <w:rFonts w:hint="eastAsia" w:ascii="宋体" w:hAnsi="宋体" w:cs="Microsoft Sans Serif"/>
          <w:color w:val="auto"/>
          <w:kern w:val="0"/>
          <w:szCs w:val="21"/>
          <w:highlight w:val="none"/>
          <w:lang w:val="zh-CN"/>
        </w:rPr>
        <w:t>；</w:t>
      </w:r>
      <w:r>
        <w:rPr>
          <w:rFonts w:hint="eastAsia" w:ascii="宋体" w:hAnsi="宋体" w:cs="Microsoft Sans Serif"/>
          <w:color w:val="auto"/>
          <w:kern w:val="0"/>
          <w:szCs w:val="21"/>
          <w:highlight w:val="none"/>
        </w:rPr>
        <w:t>承包人支付逾期竣工违约金后，不免除承包人继续完成工程及修补缺陷的义务。</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（7）承包人在缺陷责任期及保修期内，未能在合理期限对工程缺陷进行修复，或拒绝按发包人要求进行修复的违约责任：按照发包人修复缺陷费用的</w:t>
      </w:r>
      <w:r>
        <w:rPr>
          <w:rFonts w:hint="eastAsia" w:ascii="宋体" w:hAnsi="宋体" w:cs="Microsoft Sans Serif"/>
          <w:color w:val="auto"/>
          <w:kern w:val="0"/>
          <w:szCs w:val="21"/>
          <w:highlight w:val="none"/>
          <w:u w:val="single"/>
        </w:rPr>
        <w:t xml:space="preserve">  （0.5～2）%</w:t>
      </w:r>
      <w:r>
        <w:rPr>
          <w:rFonts w:hint="eastAsia" w:ascii="宋体" w:hAnsi="宋体" w:cs="Microsoft Sans Serif"/>
          <w:color w:val="auto"/>
          <w:kern w:val="0"/>
          <w:szCs w:val="21"/>
          <w:highlight w:val="none"/>
        </w:rPr>
        <w:t>支付违约金。</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（8）承包人明确表示或者以其行为表明不履行合同主要义务的违约责任：按签约合同价的</w:t>
      </w:r>
      <w:r>
        <w:rPr>
          <w:rFonts w:hint="eastAsia" w:ascii="宋体" w:hAnsi="宋体" w:cs="Microsoft Sans Serif"/>
          <w:color w:val="auto"/>
          <w:kern w:val="0"/>
          <w:szCs w:val="21"/>
          <w:highlight w:val="none"/>
          <w:u w:val="single"/>
        </w:rPr>
        <w:t xml:space="preserve">  （5～10）%</w:t>
      </w:r>
      <w:r>
        <w:rPr>
          <w:rFonts w:hint="eastAsia" w:ascii="宋体" w:hAnsi="宋体" w:cs="Microsoft Sans Serif"/>
          <w:color w:val="auto"/>
          <w:kern w:val="0"/>
          <w:szCs w:val="21"/>
          <w:highlight w:val="none"/>
        </w:rPr>
        <w:t>支付违约金。</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（9）承包人未能按照合同约定履行其他义务的违约责任：按</w:t>
      </w:r>
      <w:r>
        <w:rPr>
          <w:rFonts w:hint="eastAsia" w:ascii="宋体" w:hAnsi="宋体" w:cs="Microsoft Sans Serif"/>
          <w:color w:val="auto"/>
          <w:kern w:val="0"/>
          <w:szCs w:val="21"/>
          <w:highlight w:val="none"/>
          <w:u w:val="single"/>
        </w:rPr>
        <w:t>（500～5000）元/次</w:t>
      </w:r>
      <w:r>
        <w:rPr>
          <w:rFonts w:hint="eastAsia" w:ascii="宋体" w:hAnsi="宋体" w:cs="Microsoft Sans Serif"/>
          <w:color w:val="auto"/>
          <w:kern w:val="0"/>
          <w:szCs w:val="21"/>
          <w:highlight w:val="none"/>
        </w:rPr>
        <w:t>支付违约金。</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（10）承包人未能按期开工的违约责任：按合同价</w:t>
      </w:r>
      <w:r>
        <w:rPr>
          <w:rFonts w:hint="eastAsia" w:ascii="宋体" w:hAnsi="宋体" w:cs="Microsoft Sans Serif"/>
          <w:color w:val="auto"/>
          <w:kern w:val="0"/>
          <w:szCs w:val="21"/>
          <w:highlight w:val="none"/>
          <w:u w:val="single"/>
        </w:rPr>
        <w:t>0.2‰/天</w:t>
      </w:r>
      <w:r>
        <w:rPr>
          <w:rFonts w:hint="eastAsia" w:ascii="宋体" w:hAnsi="宋体" w:cs="Microsoft Sans Serif"/>
          <w:color w:val="auto"/>
          <w:kern w:val="0"/>
          <w:szCs w:val="21"/>
          <w:highlight w:val="none"/>
        </w:rPr>
        <w:t>支付违约金，本项违约金累计限额为签约合同价的</w:t>
      </w:r>
      <w:r>
        <w:rPr>
          <w:rFonts w:hint="eastAsia" w:ascii="宋体" w:hAnsi="宋体" w:cs="Microsoft Sans Serif"/>
          <w:color w:val="auto"/>
          <w:kern w:val="0"/>
          <w:szCs w:val="21"/>
          <w:highlight w:val="none"/>
          <w:u w:val="single"/>
        </w:rPr>
        <w:t xml:space="preserve"> 1 %</w:t>
      </w:r>
      <w:r>
        <w:rPr>
          <w:rFonts w:hint="eastAsia" w:ascii="宋体" w:hAnsi="宋体" w:cs="Microsoft Sans Serif"/>
          <w:color w:val="auto"/>
          <w:kern w:val="0"/>
          <w:szCs w:val="21"/>
          <w:highlight w:val="none"/>
        </w:rPr>
        <w:t>。</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（11）承包人未按经审定的施工组织设计配备或更换关键施工设备的违约责任：按</w:t>
      </w:r>
      <w:r>
        <w:rPr>
          <w:rFonts w:hint="eastAsia" w:ascii="宋体" w:hAnsi="宋体" w:cs="Microsoft Sans Serif"/>
          <w:color w:val="auto"/>
          <w:kern w:val="0"/>
          <w:szCs w:val="21"/>
          <w:highlight w:val="none"/>
          <w:u w:val="single"/>
        </w:rPr>
        <w:t xml:space="preserve">  （5000～50000）元/台·次</w:t>
      </w:r>
      <w:r>
        <w:rPr>
          <w:rFonts w:hint="eastAsia" w:ascii="宋体" w:hAnsi="宋体" w:cs="Microsoft Sans Serif"/>
          <w:color w:val="auto"/>
          <w:kern w:val="0"/>
          <w:szCs w:val="21"/>
          <w:highlight w:val="none"/>
        </w:rPr>
        <w:t>支付违约金。</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（12）承包人有安全问题或有违反安全管理规章制度情况的违约责任：根据具体情节，按签约合同价的</w:t>
      </w:r>
      <w:r>
        <w:rPr>
          <w:rFonts w:hint="eastAsia" w:ascii="宋体" w:hAnsi="宋体" w:cs="Microsoft Sans Serif"/>
          <w:color w:val="auto"/>
          <w:kern w:val="0"/>
          <w:szCs w:val="21"/>
          <w:highlight w:val="none"/>
          <w:u w:val="single"/>
        </w:rPr>
        <w:t>0.5‰～4‰/次</w:t>
      </w:r>
      <w:r>
        <w:rPr>
          <w:rFonts w:hint="eastAsia" w:ascii="宋体" w:hAnsi="宋体" w:cs="Microsoft Sans Serif"/>
          <w:color w:val="auto"/>
          <w:kern w:val="0"/>
          <w:szCs w:val="21"/>
          <w:highlight w:val="none"/>
        </w:rPr>
        <w:t>支付违约金（累计不超过签约合同价的1%，详见附件9安全管理协议）。</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（13）承包人拖欠其工人或所雇人员工资或报酬，导致其工人或所雇人员向有关部门投诉、控告、检举或以聚集等方式讨要工资或报酬的违约责任：根据具体情节，按违约金额</w:t>
      </w:r>
      <w:r>
        <w:rPr>
          <w:rFonts w:hint="eastAsia" w:ascii="宋体" w:hAnsi="宋体" w:cs="Microsoft Sans Serif"/>
          <w:color w:val="auto"/>
          <w:kern w:val="0"/>
          <w:szCs w:val="21"/>
          <w:highlight w:val="none"/>
          <w:u w:val="single"/>
        </w:rPr>
        <w:t xml:space="preserve">  （50000～200000）元/次</w:t>
      </w:r>
      <w:r>
        <w:rPr>
          <w:rFonts w:hint="eastAsia" w:ascii="宋体" w:hAnsi="宋体" w:cs="Microsoft Sans Serif"/>
          <w:color w:val="auto"/>
          <w:kern w:val="0"/>
          <w:szCs w:val="21"/>
          <w:highlight w:val="none"/>
        </w:rPr>
        <w:t>支付违约金。</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（14）承包人不配合发包人、监理人及发包人委托的工程造价咨询服务单位结算审核的违约责任：根据具体情节，按</w:t>
      </w:r>
      <w:r>
        <w:rPr>
          <w:rFonts w:hint="eastAsia" w:ascii="宋体" w:hAnsi="宋体" w:cs="Microsoft Sans Serif"/>
          <w:color w:val="auto"/>
          <w:kern w:val="0"/>
          <w:szCs w:val="21"/>
          <w:highlight w:val="none"/>
          <w:u w:val="single"/>
        </w:rPr>
        <w:t xml:space="preserve">  （10000～100000）元/次</w:t>
      </w:r>
      <w:r>
        <w:rPr>
          <w:rFonts w:hint="eastAsia" w:ascii="宋体" w:hAnsi="宋体" w:cs="Microsoft Sans Serif"/>
          <w:color w:val="auto"/>
          <w:kern w:val="0"/>
          <w:szCs w:val="21"/>
          <w:highlight w:val="none"/>
        </w:rPr>
        <w:t>支付违约金。</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（15）承包人未按合同约定移交全部和部分工程的违约责任：由承包人承担工程照管、成品保护、保管等与工程有关的各种费用，并按结算金额或违约部分结算金额的</w:t>
      </w:r>
      <w:r>
        <w:rPr>
          <w:rFonts w:hint="eastAsia" w:ascii="宋体" w:hAnsi="宋体" w:cs="Microsoft Sans Serif"/>
          <w:color w:val="auto"/>
          <w:kern w:val="0"/>
          <w:szCs w:val="21"/>
          <w:highlight w:val="none"/>
          <w:u w:val="single"/>
        </w:rPr>
        <w:t>0.5～1‰</w:t>
      </w:r>
      <w:r>
        <w:rPr>
          <w:rFonts w:hint="eastAsia" w:ascii="宋体" w:hAnsi="宋体" w:cs="Microsoft Sans Serif"/>
          <w:color w:val="auto"/>
          <w:kern w:val="0"/>
          <w:szCs w:val="21"/>
          <w:highlight w:val="none"/>
        </w:rPr>
        <w:t>支付违约金。</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szCs w:val="21"/>
          <w:highlight w:val="none"/>
        </w:rPr>
        <w:t>（16）承包人未按合同约定购买保险的违约责任：除按18.6.2项约定执行外，每延迟1天，按</w:t>
      </w:r>
      <w:r>
        <w:rPr>
          <w:rFonts w:hint="eastAsia" w:ascii="宋体" w:hAnsi="宋体" w:cs="Microsoft Sans Serif"/>
          <w:color w:val="auto"/>
          <w:szCs w:val="21"/>
          <w:highlight w:val="none"/>
          <w:u w:val="single"/>
        </w:rPr>
        <w:t>500元/天</w:t>
      </w:r>
      <w:r>
        <w:rPr>
          <w:rFonts w:hint="eastAsia" w:ascii="宋体" w:hAnsi="宋体" w:cs="Microsoft Sans Serif"/>
          <w:color w:val="auto"/>
          <w:szCs w:val="21"/>
          <w:highlight w:val="none"/>
        </w:rPr>
        <w:t>支付违约金。</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（17）发生第16.2.1项（11）目、16.2.1项（12）目、16.2.1项（13）目违约情形的违约责任：除承担由此增加的费用和工期延误的责任，承包人应向发包人支付违约金：</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1）项目经理违约承担方式和计算方法：对于第16.2.1项（11）目的情形，每发现一次，根据具体情节，按</w:t>
      </w:r>
      <w:r>
        <w:rPr>
          <w:rFonts w:hint="eastAsia" w:ascii="宋体" w:hAnsi="宋体" w:cs="Microsoft Sans Serif"/>
          <w:color w:val="auto"/>
          <w:kern w:val="0"/>
          <w:szCs w:val="21"/>
          <w:highlight w:val="none"/>
          <w:u w:val="single"/>
        </w:rPr>
        <w:t>1000～30000元/天·次</w:t>
      </w:r>
      <w:r>
        <w:rPr>
          <w:rFonts w:hint="eastAsia" w:ascii="宋体" w:hAnsi="宋体" w:cs="Microsoft Sans Serif"/>
          <w:color w:val="auto"/>
          <w:kern w:val="0"/>
          <w:szCs w:val="21"/>
          <w:highlight w:val="none"/>
        </w:rPr>
        <w:t>计算违约金；项目经理不按承诺到岗的（</w:t>
      </w:r>
      <w:r>
        <w:rPr>
          <w:rFonts w:ascii="宋体" w:hAnsi="宋体" w:cs="Microsoft Sans Serif"/>
          <w:color w:val="auto"/>
          <w:kern w:val="0"/>
          <w:szCs w:val="21"/>
          <w:highlight w:val="none"/>
        </w:rPr>
        <w:t>3.2.3项约定的情形除外</w:t>
      </w:r>
      <w:r>
        <w:rPr>
          <w:rFonts w:hint="eastAsia" w:ascii="宋体" w:hAnsi="宋体" w:cs="Microsoft Sans Serif"/>
          <w:color w:val="auto"/>
          <w:kern w:val="0"/>
          <w:szCs w:val="21"/>
          <w:highlight w:val="none"/>
        </w:rPr>
        <w:t>），按履约保证金的</w:t>
      </w:r>
      <w:r>
        <w:rPr>
          <w:rFonts w:hint="eastAsia" w:ascii="宋体" w:hAnsi="宋体" w:cs="Microsoft Sans Serif"/>
          <w:color w:val="auto"/>
          <w:kern w:val="0"/>
          <w:szCs w:val="21"/>
          <w:highlight w:val="none"/>
          <w:u w:val="single"/>
        </w:rPr>
        <w:t>（50～100）%</w:t>
      </w:r>
      <w:r>
        <w:rPr>
          <w:rFonts w:hint="eastAsia" w:ascii="宋体" w:hAnsi="宋体" w:cs="Microsoft Sans Serif"/>
          <w:color w:val="auto"/>
          <w:kern w:val="0"/>
          <w:szCs w:val="21"/>
          <w:highlight w:val="none"/>
        </w:rPr>
        <w:t>支付违约金，并解除合同；擅自更换项目经理的，按签约合同价的</w:t>
      </w:r>
      <w:r>
        <w:rPr>
          <w:rFonts w:hint="eastAsia" w:ascii="宋体" w:hAnsi="宋体" w:cs="Microsoft Sans Serif"/>
          <w:color w:val="auto"/>
          <w:kern w:val="0"/>
          <w:szCs w:val="21"/>
          <w:highlight w:val="none"/>
          <w:u w:val="single"/>
        </w:rPr>
        <w:t>（0.5～3）%/人·次</w:t>
      </w:r>
      <w:r>
        <w:rPr>
          <w:rFonts w:hint="eastAsia" w:ascii="宋体" w:hAnsi="宋体" w:cs="Microsoft Sans Serif"/>
          <w:color w:val="auto"/>
          <w:kern w:val="0"/>
          <w:szCs w:val="21"/>
          <w:highlight w:val="none"/>
        </w:rPr>
        <w:t>支付违约金，每次不低于</w:t>
      </w:r>
      <w:r>
        <w:rPr>
          <w:rFonts w:hint="eastAsia" w:ascii="宋体" w:hAnsi="宋体" w:cs="Microsoft Sans Serif"/>
          <w:color w:val="auto"/>
          <w:kern w:val="0"/>
          <w:szCs w:val="21"/>
          <w:highlight w:val="none"/>
          <w:u w:val="single"/>
        </w:rPr>
        <w:t>20万</w:t>
      </w:r>
      <w:r>
        <w:rPr>
          <w:rFonts w:hint="eastAsia" w:ascii="宋体" w:hAnsi="宋体" w:cs="Microsoft Sans Serif"/>
          <w:color w:val="auto"/>
          <w:kern w:val="0"/>
          <w:szCs w:val="21"/>
          <w:highlight w:val="none"/>
        </w:rPr>
        <w:t>，累计不超过</w:t>
      </w:r>
      <w:r>
        <w:rPr>
          <w:rFonts w:hint="eastAsia" w:ascii="宋体" w:hAnsi="宋体" w:cs="Microsoft Sans Serif"/>
          <w:color w:val="auto"/>
          <w:kern w:val="0"/>
          <w:szCs w:val="21"/>
          <w:highlight w:val="none"/>
          <w:u w:val="single"/>
        </w:rPr>
        <w:t>200万</w:t>
      </w:r>
      <w:r>
        <w:rPr>
          <w:rFonts w:hint="eastAsia" w:ascii="宋体" w:hAnsi="宋体" w:cs="Microsoft Sans Serif"/>
          <w:color w:val="auto"/>
          <w:kern w:val="0"/>
          <w:szCs w:val="21"/>
          <w:highlight w:val="none"/>
        </w:rPr>
        <w:t>；项目经理被责令停止执业的，按签约合同价的</w:t>
      </w:r>
      <w:r>
        <w:rPr>
          <w:rFonts w:hint="eastAsia" w:ascii="宋体" w:hAnsi="宋体" w:cs="Microsoft Sans Serif"/>
          <w:color w:val="auto"/>
          <w:kern w:val="0"/>
          <w:szCs w:val="21"/>
          <w:highlight w:val="none"/>
          <w:u w:val="single"/>
        </w:rPr>
        <w:t>（0.5～3）%/人·次</w:t>
      </w:r>
      <w:r>
        <w:rPr>
          <w:rFonts w:hint="eastAsia" w:ascii="宋体" w:hAnsi="宋体" w:cs="Microsoft Sans Serif"/>
          <w:color w:val="auto"/>
          <w:kern w:val="0"/>
          <w:szCs w:val="21"/>
          <w:highlight w:val="none"/>
        </w:rPr>
        <w:t>支付违约金，每次不低于</w:t>
      </w:r>
      <w:r>
        <w:rPr>
          <w:rFonts w:hint="eastAsia" w:ascii="宋体" w:hAnsi="宋体" w:cs="Microsoft Sans Serif"/>
          <w:color w:val="auto"/>
          <w:kern w:val="0"/>
          <w:szCs w:val="21"/>
          <w:highlight w:val="none"/>
          <w:u w:val="single"/>
        </w:rPr>
        <w:t>20万</w:t>
      </w:r>
      <w:r>
        <w:rPr>
          <w:rFonts w:hint="eastAsia" w:ascii="宋体" w:hAnsi="宋体" w:cs="Microsoft Sans Serif"/>
          <w:color w:val="auto"/>
          <w:kern w:val="0"/>
          <w:szCs w:val="21"/>
          <w:highlight w:val="none"/>
        </w:rPr>
        <w:t>，累计不超过</w:t>
      </w:r>
      <w:r>
        <w:rPr>
          <w:rFonts w:hint="eastAsia" w:ascii="宋体" w:hAnsi="宋体" w:cs="Microsoft Sans Serif"/>
          <w:color w:val="auto"/>
          <w:kern w:val="0"/>
          <w:szCs w:val="21"/>
          <w:highlight w:val="none"/>
          <w:u w:val="single"/>
        </w:rPr>
        <w:t>200万</w:t>
      </w:r>
      <w:r>
        <w:rPr>
          <w:rFonts w:hint="eastAsia" w:ascii="宋体" w:hAnsi="宋体" w:cs="Microsoft Sans Serif"/>
          <w:color w:val="auto"/>
          <w:kern w:val="0"/>
          <w:szCs w:val="21"/>
          <w:highlight w:val="none"/>
        </w:rPr>
        <w:t>；项目经理被责令停止执业的，按签约合同价的</w:t>
      </w:r>
      <w:r>
        <w:rPr>
          <w:rFonts w:hint="eastAsia" w:ascii="宋体" w:hAnsi="宋体" w:cs="Microsoft Sans Serif"/>
          <w:color w:val="auto"/>
          <w:kern w:val="0"/>
          <w:szCs w:val="21"/>
          <w:highlight w:val="none"/>
          <w:u w:val="single"/>
        </w:rPr>
        <w:t>（0.5～3）%/人•次</w:t>
      </w:r>
      <w:r>
        <w:rPr>
          <w:rFonts w:hint="eastAsia" w:ascii="宋体" w:hAnsi="宋体" w:cs="Microsoft Sans Serif"/>
          <w:color w:val="auto"/>
          <w:kern w:val="0"/>
          <w:szCs w:val="21"/>
          <w:highlight w:val="none"/>
        </w:rPr>
        <w:t>支付违约金，每次不低于</w:t>
      </w:r>
      <w:r>
        <w:rPr>
          <w:rFonts w:hint="eastAsia" w:ascii="宋体" w:hAnsi="宋体" w:cs="Microsoft Sans Serif"/>
          <w:color w:val="auto"/>
          <w:kern w:val="0"/>
          <w:szCs w:val="21"/>
          <w:highlight w:val="none"/>
          <w:u w:val="single"/>
        </w:rPr>
        <w:t>20</w:t>
      </w:r>
      <w:r>
        <w:rPr>
          <w:rFonts w:hint="eastAsia" w:ascii="宋体" w:hAnsi="宋体" w:cs="Microsoft Sans Serif"/>
          <w:color w:val="auto"/>
          <w:kern w:val="0"/>
          <w:szCs w:val="21"/>
          <w:highlight w:val="none"/>
        </w:rPr>
        <w:t>万，累计不超过</w:t>
      </w:r>
      <w:r>
        <w:rPr>
          <w:rFonts w:hint="eastAsia" w:ascii="宋体" w:hAnsi="宋体" w:cs="Microsoft Sans Serif"/>
          <w:color w:val="auto"/>
          <w:kern w:val="0"/>
          <w:szCs w:val="21"/>
          <w:highlight w:val="none"/>
          <w:u w:val="single"/>
        </w:rPr>
        <w:t>200</w:t>
      </w:r>
      <w:r>
        <w:rPr>
          <w:rFonts w:hint="eastAsia" w:ascii="宋体" w:hAnsi="宋体" w:cs="Microsoft Sans Serif"/>
          <w:color w:val="auto"/>
          <w:kern w:val="0"/>
          <w:szCs w:val="21"/>
          <w:highlight w:val="none"/>
        </w:rPr>
        <w:t>万。</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2）主要技术负责人违约承担方式和计算方法：对于第16.2.1项（12）目的六种情形，每发现一次，根据具体情节，按</w:t>
      </w:r>
      <w:r>
        <w:rPr>
          <w:rFonts w:hint="eastAsia" w:ascii="宋体" w:hAnsi="宋体" w:cs="Microsoft Sans Serif"/>
          <w:color w:val="auto"/>
          <w:kern w:val="0"/>
          <w:szCs w:val="21"/>
          <w:highlight w:val="none"/>
          <w:u w:val="single"/>
        </w:rPr>
        <w:t>1000～30000元/天·次</w:t>
      </w:r>
      <w:r>
        <w:rPr>
          <w:rFonts w:hint="eastAsia" w:ascii="宋体" w:hAnsi="宋体" w:cs="Microsoft Sans Serif"/>
          <w:color w:val="auto"/>
          <w:kern w:val="0"/>
          <w:szCs w:val="21"/>
          <w:highlight w:val="none"/>
        </w:rPr>
        <w:t>计算违约金；擅自更换主要技术负责人的，按签约合同价的</w:t>
      </w:r>
      <w:r>
        <w:rPr>
          <w:rFonts w:hint="eastAsia" w:ascii="宋体" w:hAnsi="宋体" w:cs="Microsoft Sans Serif"/>
          <w:color w:val="auto"/>
          <w:kern w:val="0"/>
          <w:szCs w:val="21"/>
          <w:highlight w:val="none"/>
          <w:u w:val="single"/>
        </w:rPr>
        <w:t>（0.5～2）%/人·次</w:t>
      </w:r>
      <w:r>
        <w:rPr>
          <w:rFonts w:hint="eastAsia" w:ascii="宋体" w:hAnsi="宋体" w:cs="Microsoft Sans Serif"/>
          <w:color w:val="auto"/>
          <w:kern w:val="0"/>
          <w:szCs w:val="21"/>
          <w:highlight w:val="none"/>
        </w:rPr>
        <w:t>支付违约金，每次不低于</w:t>
      </w:r>
      <w:r>
        <w:rPr>
          <w:rFonts w:hint="eastAsia" w:ascii="宋体" w:hAnsi="宋体" w:cs="Microsoft Sans Serif"/>
          <w:color w:val="auto"/>
          <w:kern w:val="0"/>
          <w:szCs w:val="21"/>
          <w:highlight w:val="none"/>
          <w:u w:val="single"/>
        </w:rPr>
        <w:t>10万</w:t>
      </w:r>
      <w:r>
        <w:rPr>
          <w:rFonts w:hint="eastAsia" w:ascii="宋体" w:hAnsi="宋体" w:cs="Microsoft Sans Serif"/>
          <w:color w:val="auto"/>
          <w:kern w:val="0"/>
          <w:szCs w:val="21"/>
          <w:highlight w:val="none"/>
        </w:rPr>
        <w:t>，累计不超过</w:t>
      </w:r>
      <w:r>
        <w:rPr>
          <w:rFonts w:hint="eastAsia" w:ascii="宋体" w:hAnsi="宋体" w:cs="Microsoft Sans Serif"/>
          <w:color w:val="auto"/>
          <w:kern w:val="0"/>
          <w:szCs w:val="21"/>
          <w:highlight w:val="none"/>
          <w:u w:val="single"/>
        </w:rPr>
        <w:t>100万</w:t>
      </w:r>
      <w:r>
        <w:rPr>
          <w:rFonts w:hint="eastAsia" w:ascii="宋体" w:hAnsi="宋体" w:cs="Microsoft Sans Serif"/>
          <w:color w:val="auto"/>
          <w:kern w:val="0"/>
          <w:szCs w:val="21"/>
          <w:highlight w:val="none"/>
        </w:rPr>
        <w:t>。</w:t>
      </w:r>
    </w:p>
    <w:p>
      <w:pPr>
        <w:snapToGrid w:val="0"/>
        <w:spacing w:line="360" w:lineRule="auto"/>
        <w:ind w:firstLine="420" w:firstLineChars="200"/>
        <w:rPr>
          <w:rFonts w:ascii="宋体" w:hAnsi="宋体"/>
          <w:color w:val="auto"/>
          <w:szCs w:val="21"/>
          <w:highlight w:val="none"/>
        </w:rPr>
      </w:pPr>
      <w:r>
        <w:rPr>
          <w:rFonts w:hint="eastAsia" w:ascii="宋体" w:hAnsi="宋体" w:cs="Microsoft Sans Serif"/>
          <w:color w:val="auto"/>
          <w:kern w:val="0"/>
          <w:szCs w:val="21"/>
          <w:highlight w:val="none"/>
        </w:rPr>
        <w:t>3）主要施工管理人员违约承担方式和计算方法：对于第16.2.1项（13）目的五种情形，每发现一次，根据具体情节，按</w:t>
      </w:r>
      <w:r>
        <w:rPr>
          <w:rFonts w:hint="eastAsia" w:ascii="宋体" w:hAnsi="宋体" w:cs="Microsoft Sans Serif"/>
          <w:color w:val="auto"/>
          <w:kern w:val="0"/>
          <w:szCs w:val="21"/>
          <w:highlight w:val="none"/>
          <w:u w:val="single"/>
        </w:rPr>
        <w:t>500～10000元/天·次</w:t>
      </w:r>
      <w:r>
        <w:rPr>
          <w:rFonts w:hint="eastAsia" w:ascii="宋体" w:hAnsi="宋体" w:cs="Microsoft Sans Serif"/>
          <w:color w:val="auto"/>
          <w:kern w:val="0"/>
          <w:szCs w:val="21"/>
          <w:highlight w:val="none"/>
        </w:rPr>
        <w:t>计算违约金。</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（18）</w:t>
      </w:r>
      <w:r>
        <w:rPr>
          <w:rFonts w:hint="eastAsia" w:ascii="宋体" w:hAnsi="宋体" w:cs="Microsoft Sans Serif"/>
          <w:color w:val="auto"/>
          <w:kern w:val="0"/>
          <w:szCs w:val="21"/>
          <w:highlight w:val="none"/>
          <w:u w:val="single"/>
        </w:rPr>
        <w:t>合同解除后，承包人未按照发包人要求和监理人的指示完成现场的清理和撤离的，承包人按逾期1天按20000～500000元/天·次计算违约金</w:t>
      </w:r>
      <w:r>
        <w:rPr>
          <w:rFonts w:hint="eastAsia" w:ascii="宋体" w:hAnsi="宋体" w:cs="Microsoft Sans Serif"/>
          <w:color w:val="auto"/>
          <w:kern w:val="0"/>
          <w:szCs w:val="21"/>
          <w:highlight w:val="none"/>
        </w:rPr>
        <w:t>。</w:t>
      </w:r>
      <w:bookmarkStart w:id="770" w:name="_Hlk524380347"/>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szCs w:val="21"/>
          <w:highlight w:val="none"/>
        </w:rPr>
        <w:t>应当由承包人向发包人支付的违约金，发包人可直接提取届时有效的履约担保相应金额，不足部分由承包人支付；若发包人提取履约担保相应金额，则承包人应在提取后7日内补足或提交合同约定的履约担保的金额，否则按专用合同第</w:t>
      </w:r>
      <w:r>
        <w:rPr>
          <w:rFonts w:hint="eastAsia" w:ascii="宋体" w:hAnsi="宋体" w:cs="Microsoft Sans Serif"/>
          <w:color w:val="auto"/>
          <w:kern w:val="0"/>
          <w:szCs w:val="21"/>
          <w:highlight w:val="none"/>
        </w:rPr>
        <w:t>16.2.2项第（1）目承担违约责任</w:t>
      </w:r>
      <w:r>
        <w:rPr>
          <w:rFonts w:hint="eastAsia" w:ascii="宋体" w:hAnsi="宋体" w:cs="Microsoft Sans Serif"/>
          <w:color w:val="auto"/>
          <w:szCs w:val="21"/>
          <w:highlight w:val="none"/>
        </w:rPr>
        <w:t>，并从应付或到期应付给承包人的任何款项中或采用其他方法，扣除该违约金。</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szCs w:val="21"/>
          <w:highlight w:val="none"/>
        </w:rPr>
        <w:t>承包人必须及时纠正违约行为并采取积极措施，满足合同要求，自行承担与纠正违约行为有关的人身伤亡、罚款、索赔、损失补偿、诉讼费用及其他一切责任，工期不予顺延</w:t>
      </w:r>
      <w:r>
        <w:rPr>
          <w:rFonts w:hint="eastAsia" w:ascii="宋体" w:hAnsi="宋体" w:cs="Microsoft Sans Serif"/>
          <w:color w:val="auto"/>
          <w:kern w:val="0"/>
          <w:szCs w:val="21"/>
          <w:highlight w:val="none"/>
        </w:rPr>
        <w:t>，承担由此给</w:t>
      </w:r>
      <w:r>
        <w:rPr>
          <w:rFonts w:hint="eastAsia" w:ascii="宋体" w:hAnsi="宋体" w:cs="Microsoft Sans Serif"/>
          <w:color w:val="auto"/>
          <w:szCs w:val="21"/>
          <w:highlight w:val="none"/>
        </w:rPr>
        <w:t>发包人造成的经济损失。</w:t>
      </w:r>
    </w:p>
    <w:p>
      <w:pPr>
        <w:snapToGrid w:val="0"/>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szCs w:val="21"/>
          <w:highlight w:val="none"/>
        </w:rPr>
        <w:t>承包人承担承包范围的工程质量、安全、环保责任，因承包人原因引起的质量、安全、环保等事故由承包人承担相应的法律后果。</w:t>
      </w:r>
    </w:p>
    <w:bookmarkEnd w:id="770"/>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16.2.3 因承包人违约解除合同</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因承包人违约并致使合同目的不能实现的，发包人有权解除合同：</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（1）未按合同约定延迟提供履约担保、质量保证金超过14天的；</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（2）未按合同约定购买保险且经催告后超过56天的；</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（3）因承包人原因导致开工时间累计延误超过56天的；</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（4）因承包人原因导致工期延误超过90天的；</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（5）发生第21.2款〔退出机制〕约定的情形的；</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（6）监理人发出整改通知后，承包人在监理人限定的期限内仍不纠正违约行为的；</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（7）承包人进入清算或者严重资不抵债且无法履行合同的；</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（8）违反适用法律而被相关政府部门依法吊销营业执照、责令停业、清算或宣布破产、责令关闭的；</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（9）承包人未履行合同项下的义务构成对合同的实质性违约，并且在收到发包人要求说明其违约并予以补救的通知后56天内仍未能补救该实质性违约的；</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（10）合</w:t>
      </w:r>
      <w:r>
        <w:rPr>
          <w:rFonts w:hint="eastAsia" w:ascii="宋体" w:hAnsi="宋体" w:cs="Microsoft Sans Serif"/>
          <w:color w:val="auto"/>
          <w:kern w:val="0"/>
          <w:szCs w:val="21"/>
          <w:highlight w:val="none"/>
          <w:u w:val="single"/>
        </w:rPr>
        <w:t>同约定的发包人有权解除合同的其他情形</w:t>
      </w:r>
      <w:r>
        <w:rPr>
          <w:rFonts w:hint="eastAsia" w:ascii="宋体" w:hAnsi="宋体" w:cs="Microsoft Sans Serif"/>
          <w:color w:val="auto"/>
          <w:kern w:val="0"/>
          <w:szCs w:val="21"/>
          <w:highlight w:val="none"/>
        </w:rPr>
        <w:t>。</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16.2.4因承包人违约解除合同后的处理</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因承包人违约导致合同解除的，合同当事人应在合同解除后56天内完成估价、付款和清算，并按以下约定执行：</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（1）合同解除后，按第14.2款结算审定方式确定承包人实际完成工作对应的合同价款，以及承包人已提供的材料、工程设备、施工设备和临时工程等的价值；</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（2）合同解除后，承包人应支付违约金；</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（3）合同解除后，赔偿因解除合同给发包人造成的损失；</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（4）合同解除后，承包人应按照发包人要求和监理人的指示完成现场的清理和撤离。</w:t>
      </w:r>
    </w:p>
    <w:p>
      <w:pPr>
        <w:spacing w:line="360" w:lineRule="auto"/>
        <w:ind w:firstLine="420" w:firstLineChars="200"/>
        <w:rPr>
          <w:rFonts w:ascii="宋体" w:hAnsi="宋体"/>
          <w:color w:val="auto"/>
          <w:szCs w:val="21"/>
          <w:highlight w:val="none"/>
        </w:rPr>
      </w:pPr>
      <w:r>
        <w:rPr>
          <w:rFonts w:hint="eastAsia" w:ascii="宋体" w:hAnsi="宋体" w:cs="Microsoft Sans Serif"/>
          <w:color w:val="auto"/>
          <w:kern w:val="0"/>
          <w:szCs w:val="21"/>
          <w:highlight w:val="none"/>
        </w:rPr>
        <w:t>（5）</w:t>
      </w:r>
      <w:r>
        <w:rPr>
          <w:rFonts w:hint="eastAsia" w:ascii="宋体" w:hAnsi="宋体" w:cs="Microsoft Sans Serif"/>
          <w:color w:val="auto"/>
          <w:kern w:val="0"/>
          <w:szCs w:val="21"/>
          <w:highlight w:val="none"/>
          <w:u w:val="single"/>
        </w:rPr>
        <w:t xml:space="preserve">        </w:t>
      </w:r>
      <w:r>
        <w:rPr>
          <w:rFonts w:hint="eastAsia" w:ascii="宋体" w:hAnsi="宋体" w:cs="Microsoft Sans Serif"/>
          <w:color w:val="auto"/>
          <w:kern w:val="0"/>
          <w:szCs w:val="21"/>
          <w:highlight w:val="none"/>
        </w:rPr>
        <w:t>。</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因承包人违约导致解除合同的，发包人有权暂停对承包人的付款，查清各项付款和已扣款项。发包人和承包人未能就合同解除后的清算和款项支付达成一致的，按照第20条〔争议解决〕的约定处理。</w:t>
      </w:r>
    </w:p>
    <w:p>
      <w:pPr>
        <w:spacing w:line="360" w:lineRule="auto"/>
        <w:ind w:firstLine="420" w:firstLineChars="200"/>
        <w:rPr>
          <w:rFonts w:ascii="宋体" w:hAnsi="宋体" w:cs="Microsoft Sans Serif"/>
          <w:color w:val="auto"/>
          <w:kern w:val="0"/>
          <w:szCs w:val="21"/>
          <w:highlight w:val="none"/>
        </w:rPr>
      </w:pPr>
      <w:r>
        <w:rPr>
          <w:rFonts w:hint="eastAsia" w:ascii="宋体" w:hAnsi="宋体" w:cs="Microsoft Sans Serif"/>
          <w:color w:val="auto"/>
          <w:kern w:val="0"/>
          <w:szCs w:val="21"/>
          <w:highlight w:val="none"/>
        </w:rPr>
        <w:t>合同解除后，发包人可派员进驻施工现场，另行组织人员或委托其他承包人继续完成合同工程；因继续完成工程的需要，发包人有权使用承包人在施工现场的材料、设备、临时工程、承包人文件和由承包人或以其名义编制的其他文件；发包人继续使用承包人在施工现场的材料、设备、临时工程、承包人文件和由承包人或以其名义编制的其他文件的费用承担方式由双方协商确定；发包人继续使用的行为不免除或减轻承包人应承担的违约责任，也不影响发包人根据合同享有的索赔等权利。</w:t>
      </w:r>
    </w:p>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757"/>
    <w:bookmarkEnd w:id="758"/>
    <w:p>
      <w:pPr>
        <w:keepNext/>
        <w:keepLines/>
        <w:spacing w:before="120" w:beforeLines="50" w:after="120" w:afterLines="50" w:line="360" w:lineRule="auto"/>
        <w:outlineLvl w:val="3"/>
        <w:rPr>
          <w:rFonts w:ascii="宋体" w:hAnsi="宋体" w:cs="宋体"/>
          <w:b/>
          <w:color w:val="auto"/>
          <w:szCs w:val="21"/>
          <w:highlight w:val="none"/>
        </w:rPr>
      </w:pPr>
      <w:bookmarkStart w:id="771" w:name="_Toc532375665"/>
      <w:bookmarkStart w:id="772" w:name="_Toc351203649"/>
      <w:bookmarkStart w:id="773" w:name="_Toc532377404"/>
      <w:bookmarkStart w:id="774" w:name="_Hlk528928440"/>
      <w:r>
        <w:rPr>
          <w:rFonts w:hint="eastAsia" w:ascii="宋体" w:hAnsi="宋体" w:cs="宋体"/>
          <w:b/>
          <w:bCs/>
          <w:color w:val="auto"/>
          <w:szCs w:val="21"/>
          <w:highlight w:val="none"/>
        </w:rPr>
        <w:t>17. 不可抗力</w:t>
      </w:r>
      <w:bookmarkEnd w:id="771"/>
      <w:bookmarkEnd w:id="772"/>
      <w:bookmarkEnd w:id="773"/>
    </w:p>
    <w:p>
      <w:pPr>
        <w:spacing w:line="360" w:lineRule="auto"/>
        <w:ind w:firstLine="422" w:firstLineChars="200"/>
        <w:outlineLvl w:val="4"/>
        <w:rPr>
          <w:rFonts w:ascii="宋体" w:hAnsi="宋体" w:cs="宋体"/>
          <w:b/>
          <w:bCs/>
          <w:color w:val="auto"/>
          <w:kern w:val="0"/>
          <w:szCs w:val="21"/>
          <w:highlight w:val="none"/>
        </w:rPr>
      </w:pPr>
      <w:bookmarkStart w:id="775" w:name="_Toc532375666"/>
      <w:bookmarkStart w:id="776" w:name="_Toc532377405"/>
      <w:r>
        <w:rPr>
          <w:rFonts w:hint="eastAsia" w:ascii="宋体" w:hAnsi="宋体" w:cs="宋体"/>
          <w:b/>
          <w:bCs/>
          <w:color w:val="auto"/>
          <w:kern w:val="0"/>
          <w:szCs w:val="21"/>
          <w:highlight w:val="none"/>
        </w:rPr>
        <w:t>17.1 不可抗力的确认</w:t>
      </w:r>
      <w:bookmarkEnd w:id="775"/>
      <w:bookmarkEnd w:id="776"/>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除通用合同条款约定的不可抗力事件之外，视为不可抗力的其他情形：</w:t>
      </w:r>
      <w:bookmarkStart w:id="777" w:name="_Hlk524379638"/>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（1）洪水、火山爆发、山崩、山体滑坡、泥石流、龙卷风、隧道内不可预测的突发性地质灾害等自然灾害；</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（2）骚乱、戒严、封锁、禁运、恐怖行为、等社会行为，但承包人或其分包人派遣与雇佣的人员由于合同工程施工原因引起的除外；</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（3）不能合理预见的重大交通阻滞、停运、交通事故，非双方责任引起的火灾、爆炸、船舶撞击等情形；</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（4）化学或放射性污染或核辐射；</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（5）环保治理等政府行为导致项目停工的。</w:t>
      </w:r>
      <w:bookmarkEnd w:id="777"/>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（6）</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778" w:name="_Toc532377406"/>
      <w:bookmarkStart w:id="779" w:name="_Toc351203610"/>
      <w:bookmarkStart w:id="780" w:name="_Toc532375667"/>
      <w:bookmarkStart w:id="781" w:name="_Toc296346620"/>
      <w:bookmarkStart w:id="782" w:name="_Toc296503119"/>
      <w:bookmarkStart w:id="783" w:name="_Toc337558826"/>
      <w:r>
        <w:rPr>
          <w:rFonts w:hint="eastAsia" w:ascii="宋体" w:hAnsi="宋体" w:cs="宋体"/>
          <w:b/>
          <w:bCs/>
          <w:color w:val="auto"/>
          <w:kern w:val="0"/>
          <w:szCs w:val="21"/>
          <w:highlight w:val="none"/>
        </w:rPr>
        <w:t>17.3 不可抗力后果的承担</w:t>
      </w:r>
      <w:bookmarkEnd w:id="778"/>
      <w:bookmarkEnd w:id="779"/>
      <w:bookmarkEnd w:id="780"/>
    </w:p>
    <w:bookmarkEnd w:id="781"/>
    <w:bookmarkEnd w:id="782"/>
    <w:bookmarkEnd w:id="783"/>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17.3.1 不可抗力引起的后果及造成的损失由合同当事人按照法律规定及合同约定各自承担。不可抗力发生前已完成的工程应当按照合同约定进行计量支付。</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17.3.2 不可抗力导致的人员伤亡、财产损失、费用增加和（或）工期延误等后果，由合同当事人按以下原则承担：</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（1）永久工程、已运至施工现场的施工材料和工程设备的损坏，以及因工程损坏造成的第三方人员伤亡和财产损失由发包人承担；</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（2）承包人施工设备的损坏由承包人承担；</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（3）发包人和承包人承担各自人员伤亡和财产的损失；</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（4）因不可抗力影响承包人履行合同约定的义务，已经引起或将引起工期延误的，应当顺延工期，由此导致承包人停工的费用损失由发包人和承包人合理共担；</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（5）因不可抗力引起或将引起工期延误，发包人要求赶工的，由此增加的赶工费用由发包人承担；</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（6）承包人在停工期间按照发包人要求照管、清理和修复工程的费用由发包人承担；</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（7）不可抗力事件发生后，合同当事人均应采取措施尽量避免和减少损失的扩大，任何一方当事人没有采取有效措施导致损失扩大的，应对扩大的损失承担责任。</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（8）</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784" w:name="_Toc532377407"/>
      <w:bookmarkStart w:id="785" w:name="_Toc532375668"/>
      <w:r>
        <w:rPr>
          <w:rFonts w:hint="eastAsia" w:ascii="宋体" w:hAnsi="宋体" w:cs="宋体"/>
          <w:b/>
          <w:bCs/>
          <w:color w:val="auto"/>
          <w:kern w:val="0"/>
          <w:szCs w:val="21"/>
          <w:highlight w:val="none"/>
        </w:rPr>
        <w:t>17.4 因不可抗力解除合同</w:t>
      </w:r>
      <w:bookmarkEnd w:id="784"/>
      <w:bookmarkEnd w:id="785"/>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合同解除后，发包人应在商定或确定发包人应支付款项后</w:t>
      </w:r>
      <w:r>
        <w:rPr>
          <w:rFonts w:hint="eastAsia" w:ascii="宋体" w:hAnsi="宋体"/>
          <w:color w:val="auto"/>
          <w:szCs w:val="21"/>
          <w:highlight w:val="none"/>
          <w:u w:val="single"/>
        </w:rPr>
        <w:t>28</w:t>
      </w:r>
      <w:r>
        <w:rPr>
          <w:rFonts w:hint="eastAsia" w:ascii="宋体" w:hAnsi="宋体"/>
          <w:color w:val="auto"/>
          <w:szCs w:val="21"/>
          <w:highlight w:val="none"/>
        </w:rPr>
        <w:t>天内完成款项的支付。</w:t>
      </w:r>
    </w:p>
    <w:p>
      <w:pPr>
        <w:keepNext/>
        <w:keepLines/>
        <w:spacing w:before="120" w:beforeLines="50" w:after="120" w:afterLines="50" w:line="360" w:lineRule="auto"/>
        <w:outlineLvl w:val="3"/>
        <w:rPr>
          <w:rFonts w:ascii="宋体" w:hAnsi="宋体" w:cs="宋体"/>
          <w:b/>
          <w:color w:val="auto"/>
          <w:szCs w:val="21"/>
          <w:highlight w:val="none"/>
        </w:rPr>
      </w:pPr>
      <w:bookmarkStart w:id="786" w:name="_Toc532375669"/>
      <w:bookmarkStart w:id="787" w:name="_Toc351203650"/>
      <w:bookmarkStart w:id="788" w:name="_Toc532377408"/>
      <w:r>
        <w:rPr>
          <w:rFonts w:hint="eastAsia" w:ascii="宋体" w:hAnsi="宋体" w:cs="宋体"/>
          <w:b/>
          <w:bCs/>
          <w:color w:val="auto"/>
          <w:szCs w:val="21"/>
          <w:highlight w:val="none"/>
        </w:rPr>
        <w:t>18. 保险</w:t>
      </w:r>
      <w:bookmarkEnd w:id="786"/>
      <w:bookmarkEnd w:id="787"/>
      <w:bookmarkEnd w:id="788"/>
    </w:p>
    <w:p>
      <w:pPr>
        <w:spacing w:line="360" w:lineRule="auto"/>
        <w:ind w:firstLine="422" w:firstLineChars="200"/>
        <w:outlineLvl w:val="4"/>
        <w:rPr>
          <w:rFonts w:ascii="宋体" w:hAnsi="宋体" w:cs="宋体"/>
          <w:b/>
          <w:bCs/>
          <w:color w:val="auto"/>
          <w:kern w:val="0"/>
          <w:szCs w:val="21"/>
          <w:highlight w:val="none"/>
        </w:rPr>
      </w:pPr>
      <w:bookmarkStart w:id="789" w:name="_Toc532377409"/>
      <w:bookmarkStart w:id="790" w:name="_Toc532375670"/>
      <w:r>
        <w:rPr>
          <w:rFonts w:hint="eastAsia" w:ascii="宋体" w:hAnsi="宋体" w:cs="宋体"/>
          <w:b/>
          <w:bCs/>
          <w:color w:val="auto"/>
          <w:kern w:val="0"/>
          <w:szCs w:val="21"/>
          <w:highlight w:val="none"/>
        </w:rPr>
        <w:t>18.1 工程保险</w:t>
      </w:r>
      <w:bookmarkEnd w:id="789"/>
      <w:bookmarkEnd w:id="790"/>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关于工程保险的特别约定：发包人应投保</w:t>
      </w:r>
      <w:r>
        <w:rPr>
          <w:rFonts w:hint="eastAsia" w:ascii="宋体" w:hAnsi="宋体"/>
          <w:color w:val="auto"/>
          <w:szCs w:val="21"/>
          <w:highlight w:val="none"/>
          <w:u w:val="single"/>
        </w:rPr>
        <w:t>建筑工程一切险或安装工程一切险</w:t>
      </w:r>
      <w:r>
        <w:rPr>
          <w:rFonts w:hint="eastAsia" w:ascii="宋体" w:hAnsi="宋体"/>
          <w:color w:val="auto"/>
          <w:szCs w:val="21"/>
          <w:highlight w:val="none"/>
        </w:rPr>
        <w:t>；发包人委托承包人投保的，因投保产生的保险费和其他相关费用由发包人承担。</w:t>
      </w:r>
    </w:p>
    <w:p>
      <w:pPr>
        <w:spacing w:line="360" w:lineRule="auto"/>
        <w:ind w:firstLine="422" w:firstLineChars="200"/>
        <w:outlineLvl w:val="4"/>
        <w:rPr>
          <w:rFonts w:ascii="宋体" w:hAnsi="宋体" w:cs="宋体"/>
          <w:b/>
          <w:bCs/>
          <w:color w:val="auto"/>
          <w:kern w:val="0"/>
          <w:szCs w:val="21"/>
          <w:highlight w:val="none"/>
        </w:rPr>
      </w:pPr>
      <w:bookmarkStart w:id="791" w:name="_Toc532377410"/>
      <w:bookmarkStart w:id="792" w:name="_Toc532375671"/>
      <w:r>
        <w:rPr>
          <w:rFonts w:hint="eastAsia" w:ascii="宋体" w:hAnsi="宋体" w:cs="宋体"/>
          <w:b/>
          <w:bCs/>
          <w:color w:val="auto"/>
          <w:kern w:val="0"/>
          <w:szCs w:val="21"/>
          <w:highlight w:val="none"/>
        </w:rPr>
        <w:t>18.3 其他保险</w:t>
      </w:r>
      <w:bookmarkEnd w:id="791"/>
      <w:bookmarkEnd w:id="792"/>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关于其他保险的约定：</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承包人是否应为其施工设备等办理财产保险：</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安全生产责任险：</w:t>
      </w:r>
      <w:r>
        <w:rPr>
          <w:rFonts w:hint="eastAsia" w:ascii="宋体" w:hAnsi="宋体"/>
          <w:color w:val="auto"/>
          <w:szCs w:val="21"/>
          <w:highlight w:val="none"/>
          <w:u w:val="single"/>
        </w:rPr>
        <w:t>承包人应按《重庆市人民政府办公厅关于在高危行业领域强制推行安全生产责任保险的实施意见》（渝府办法〔2017〕182号）的要求办理安全生产责任保险</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793" w:name="_Toc532375672"/>
      <w:bookmarkStart w:id="794" w:name="_Toc532377411"/>
      <w:r>
        <w:rPr>
          <w:rFonts w:hint="eastAsia" w:ascii="宋体" w:hAnsi="宋体" w:cs="宋体"/>
          <w:b/>
          <w:bCs/>
          <w:color w:val="auto"/>
          <w:kern w:val="0"/>
          <w:szCs w:val="21"/>
          <w:highlight w:val="none"/>
        </w:rPr>
        <w:t>18.7 通知义务</w:t>
      </w:r>
      <w:bookmarkEnd w:id="793"/>
      <w:bookmarkEnd w:id="794"/>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关于变更保险合同时的通知义务的约定：</w:t>
      </w:r>
      <w:r>
        <w:rPr>
          <w:rFonts w:hint="eastAsia" w:ascii="宋体" w:hAnsi="宋体"/>
          <w:color w:val="auto"/>
          <w:szCs w:val="21"/>
          <w:highlight w:val="none"/>
          <w:u w:val="single"/>
        </w:rPr>
        <w:t>按通用合同条款执行</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795" w:name="_Toc532377412"/>
      <w:bookmarkStart w:id="796" w:name="_Toc532375673"/>
      <w:r>
        <w:rPr>
          <w:rFonts w:hint="eastAsia" w:ascii="宋体" w:hAnsi="宋体" w:cs="宋体"/>
          <w:b/>
          <w:bCs/>
          <w:color w:val="auto"/>
          <w:kern w:val="0"/>
          <w:szCs w:val="21"/>
          <w:highlight w:val="none"/>
        </w:rPr>
        <w:t>18.8 其他</w:t>
      </w:r>
      <w:bookmarkEnd w:id="795"/>
      <w:bookmarkEnd w:id="796"/>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18.8.1 工程开工日前，承包人向发包人提交各项生效的保险证据和保险单副本。未按本项约定提交的，每延后1天，承包人按500元/天支付违约金。</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18.8.2 承包人保险赔偿金不足以补偿发包人损失时，</w:t>
      </w:r>
      <w:bookmarkStart w:id="797" w:name="_Hlk524378346"/>
      <w:r>
        <w:rPr>
          <w:rFonts w:hint="eastAsia" w:ascii="宋体" w:hAnsi="宋体"/>
          <w:color w:val="auto"/>
          <w:szCs w:val="21"/>
          <w:highlight w:val="none"/>
        </w:rPr>
        <w:t>差额由承包人负责补足</w:t>
      </w:r>
      <w:bookmarkEnd w:id="797"/>
      <w:r>
        <w:rPr>
          <w:rFonts w:hint="eastAsia" w:ascii="宋体" w:hAnsi="宋体"/>
          <w:color w:val="auto"/>
          <w:szCs w:val="21"/>
          <w:highlight w:val="none"/>
        </w:rPr>
        <w:t>。</w:t>
      </w:r>
    </w:p>
    <w:p>
      <w:pPr>
        <w:keepNext/>
        <w:keepLines/>
        <w:spacing w:before="120" w:beforeLines="50" w:after="120" w:afterLines="50" w:line="360" w:lineRule="auto"/>
        <w:outlineLvl w:val="3"/>
        <w:rPr>
          <w:rFonts w:ascii="宋体" w:hAnsi="宋体" w:cs="宋体"/>
          <w:b/>
          <w:color w:val="auto"/>
          <w:szCs w:val="21"/>
          <w:highlight w:val="none"/>
        </w:rPr>
      </w:pPr>
      <w:bookmarkStart w:id="798" w:name="_Toc532377413"/>
      <w:bookmarkStart w:id="799" w:name="_Toc532375674"/>
      <w:bookmarkStart w:id="800" w:name="_Toc351203620"/>
      <w:bookmarkStart w:id="801" w:name="_Toc296503140"/>
      <w:bookmarkStart w:id="802" w:name="_Toc337558835"/>
      <w:bookmarkStart w:id="803" w:name="_Toc296346641"/>
      <w:r>
        <w:rPr>
          <w:rFonts w:hint="eastAsia" w:ascii="宋体" w:hAnsi="宋体" w:cs="宋体"/>
          <w:b/>
          <w:bCs/>
          <w:color w:val="auto"/>
          <w:szCs w:val="21"/>
          <w:highlight w:val="none"/>
        </w:rPr>
        <w:t>19. 索赔</w:t>
      </w:r>
      <w:bookmarkEnd w:id="798"/>
      <w:bookmarkEnd w:id="799"/>
      <w:bookmarkEnd w:id="800"/>
    </w:p>
    <w:bookmarkEnd w:id="801"/>
    <w:bookmarkEnd w:id="802"/>
    <w:bookmarkEnd w:id="803"/>
    <w:p>
      <w:pPr>
        <w:spacing w:line="360" w:lineRule="auto"/>
        <w:ind w:firstLine="422" w:firstLineChars="200"/>
        <w:outlineLvl w:val="4"/>
        <w:rPr>
          <w:rFonts w:ascii="宋体" w:hAnsi="宋体" w:cs="宋体"/>
          <w:b/>
          <w:bCs/>
          <w:color w:val="auto"/>
          <w:kern w:val="0"/>
          <w:szCs w:val="21"/>
          <w:highlight w:val="none"/>
        </w:rPr>
      </w:pPr>
      <w:bookmarkStart w:id="804" w:name="_Toc532377414"/>
      <w:bookmarkStart w:id="805" w:name="_Toc532375675"/>
      <w:bookmarkStart w:id="806" w:name="_Toc351203621"/>
      <w:bookmarkStart w:id="807" w:name="_Toc337558836"/>
      <w:bookmarkStart w:id="808" w:name="_Toc296346642"/>
      <w:bookmarkStart w:id="809" w:name="_Toc296503141"/>
      <w:r>
        <w:rPr>
          <w:rFonts w:hint="eastAsia" w:ascii="宋体" w:hAnsi="宋体" w:cs="宋体"/>
          <w:b/>
          <w:bCs/>
          <w:color w:val="auto"/>
          <w:kern w:val="0"/>
          <w:szCs w:val="21"/>
          <w:highlight w:val="none"/>
        </w:rPr>
        <w:t>19.1 承包人的索赔</w:t>
      </w:r>
      <w:bookmarkEnd w:id="804"/>
      <w:bookmarkEnd w:id="805"/>
    </w:p>
    <w:p>
      <w:pPr>
        <w:autoSpaceDE w:val="0"/>
        <w:autoSpaceDN w:val="0"/>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根据合同约定，承包人认为有权得到追加付款和（或）延长工期的，应按以下程序向发包人提出索赔：</w:t>
      </w:r>
    </w:p>
    <w:p>
      <w:pPr>
        <w:autoSpaceDE w:val="0"/>
        <w:autoSpaceDN w:val="0"/>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（1）承包人应在索赔事件发生后28天内，向监理人递交索赔意向通知书，并说明发生索赔事件的事由；承包人未在前述28天内发出索赔意向通知书的，丧失要求追加付款和（或）延长工期的权利；</w:t>
      </w:r>
    </w:p>
    <w:p>
      <w:pPr>
        <w:autoSpaceDE w:val="0"/>
        <w:autoSpaceDN w:val="0"/>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（2）承包人应在发出索赔意向通知书后28天内，向监理人正式递交索赔报告；索赔报告应详细说明索赔理由以及要求追加的付款金额和（或）延长的工期，并附必要的记录和证明材料；</w:t>
      </w:r>
    </w:p>
    <w:p>
      <w:pPr>
        <w:autoSpaceDE w:val="0"/>
        <w:autoSpaceDN w:val="0"/>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（3）索赔事件具有持续影响的，承包人应按监理人要求的合理时间间隔继续递交延续索赔通知，说明持续影响的实际情况和记录，列出累计的追加付款金额和（或）工期延长天数；</w:t>
      </w:r>
    </w:p>
    <w:p>
      <w:pPr>
        <w:autoSpaceDE w:val="0"/>
        <w:autoSpaceDN w:val="0"/>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（4）在索赔事件影响结束后28天内，承包人应向监理人递交最终索赔报告，说明最终要求索赔的追加付款金额和（或）延长的工期，并附必要的记录和证明材料。</w:t>
      </w:r>
    </w:p>
    <w:p>
      <w:pPr>
        <w:autoSpaceDE w:val="0"/>
        <w:autoSpaceDN w:val="0"/>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（5）</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810" w:name="_Toc532375676"/>
      <w:bookmarkStart w:id="811" w:name="_Toc532377415"/>
      <w:r>
        <w:rPr>
          <w:rFonts w:hint="eastAsia" w:ascii="宋体" w:hAnsi="宋体" w:cs="宋体"/>
          <w:b/>
          <w:bCs/>
          <w:color w:val="auto"/>
          <w:kern w:val="0"/>
          <w:szCs w:val="21"/>
          <w:highlight w:val="none"/>
        </w:rPr>
        <w:t>19.2 对承包人索赔的处理</w:t>
      </w:r>
      <w:bookmarkEnd w:id="810"/>
      <w:bookmarkEnd w:id="811"/>
    </w:p>
    <w:p>
      <w:pPr>
        <w:autoSpaceDE w:val="0"/>
        <w:autoSpaceDN w:val="0"/>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对承包人索赔的处理如下：</w:t>
      </w:r>
    </w:p>
    <w:p>
      <w:pPr>
        <w:autoSpaceDE w:val="0"/>
        <w:autoSpaceDN w:val="0"/>
        <w:spacing w:line="360" w:lineRule="auto"/>
        <w:ind w:right="105" w:rightChars="50" w:firstLine="420" w:firstLineChars="200"/>
        <w:rPr>
          <w:rFonts w:ascii="宋体" w:hAnsi="宋体"/>
          <w:color w:val="auto"/>
          <w:szCs w:val="21"/>
          <w:highlight w:val="none"/>
          <w:u w:val="single"/>
        </w:rPr>
      </w:pPr>
      <w:r>
        <w:rPr>
          <w:rFonts w:hint="eastAsia" w:ascii="宋体" w:hAnsi="宋体"/>
          <w:color w:val="auto"/>
          <w:szCs w:val="21"/>
          <w:highlight w:val="none"/>
          <w:u w:val="single"/>
        </w:rPr>
        <w:t>（1）监理人应在收到索赔报告后14天内完成审查并报送发包人。监理人对索赔报告存在异议的，有权要求承包人提交全部原始记录副本</w:t>
      </w:r>
      <w:r>
        <w:rPr>
          <w:rFonts w:hint="eastAsia" w:ascii="宋体" w:hAnsi="宋体"/>
          <w:color w:val="auto"/>
          <w:szCs w:val="21"/>
          <w:highlight w:val="none"/>
        </w:rPr>
        <w:t>；</w:t>
      </w:r>
    </w:p>
    <w:p>
      <w:pPr>
        <w:autoSpaceDE w:val="0"/>
        <w:autoSpaceDN w:val="0"/>
        <w:spacing w:line="360" w:lineRule="auto"/>
        <w:ind w:right="105" w:rightChars="50" w:firstLine="420" w:firstLineChars="200"/>
        <w:rPr>
          <w:rFonts w:ascii="宋体" w:hAnsi="宋体"/>
          <w:color w:val="auto"/>
          <w:szCs w:val="21"/>
          <w:highlight w:val="none"/>
          <w:u w:val="single"/>
        </w:rPr>
      </w:pPr>
      <w:r>
        <w:rPr>
          <w:rFonts w:hint="eastAsia" w:ascii="宋体" w:hAnsi="宋体"/>
          <w:color w:val="auto"/>
          <w:szCs w:val="21"/>
          <w:highlight w:val="none"/>
          <w:u w:val="single"/>
        </w:rPr>
        <w:t>（2）发包人应在监理人收到索赔报告或有关索赔的进一步证明材料后的28天内，由监理人向承包人出具经发包人签认的索赔处理结果。发包人逾期未答复的，承包人应以书面形式催告发包人，经承包人三次（每次间隔不少于3天）书面催告后，发包人仍未按期限答复的，则视为认可承包人的索赔要求</w:t>
      </w:r>
      <w:r>
        <w:rPr>
          <w:rFonts w:hint="eastAsia" w:ascii="宋体" w:hAnsi="宋体"/>
          <w:color w:val="auto"/>
          <w:szCs w:val="21"/>
          <w:highlight w:val="none"/>
        </w:rPr>
        <w:t>；</w:t>
      </w:r>
    </w:p>
    <w:p>
      <w:pPr>
        <w:autoSpaceDE w:val="0"/>
        <w:autoSpaceDN w:val="0"/>
        <w:spacing w:line="360" w:lineRule="auto"/>
        <w:ind w:right="105" w:rightChars="50" w:firstLine="420" w:firstLineChars="200"/>
        <w:rPr>
          <w:rFonts w:ascii="宋体" w:hAnsi="宋体"/>
          <w:color w:val="auto"/>
          <w:szCs w:val="21"/>
          <w:highlight w:val="none"/>
          <w:u w:val="single"/>
        </w:rPr>
      </w:pPr>
      <w:r>
        <w:rPr>
          <w:rFonts w:hint="eastAsia" w:ascii="宋体" w:hAnsi="宋体"/>
          <w:color w:val="auto"/>
          <w:szCs w:val="21"/>
          <w:highlight w:val="none"/>
          <w:u w:val="single"/>
        </w:rPr>
        <w:t>（3）承包人接受索赔处理结果的，索赔款项在当期进度款中进行支付；承包人不接受索赔处理结果的，按照第20条〔争议解决〕约定处理</w:t>
      </w:r>
      <w:r>
        <w:rPr>
          <w:rFonts w:hint="eastAsia" w:ascii="宋体" w:hAnsi="宋体"/>
          <w:color w:val="auto"/>
          <w:szCs w:val="21"/>
          <w:highlight w:val="none"/>
        </w:rPr>
        <w:t>；</w:t>
      </w:r>
    </w:p>
    <w:p>
      <w:pPr>
        <w:autoSpaceDE w:val="0"/>
        <w:autoSpaceDN w:val="0"/>
        <w:spacing w:line="360" w:lineRule="auto"/>
        <w:ind w:right="105" w:rightChars="50" w:firstLine="420" w:firstLineChars="200"/>
        <w:rPr>
          <w:rFonts w:ascii="宋体" w:hAnsi="宋体"/>
          <w:color w:val="auto"/>
          <w:szCs w:val="21"/>
          <w:highlight w:val="none"/>
          <w:u w:val="single"/>
        </w:rPr>
      </w:pPr>
      <w:r>
        <w:rPr>
          <w:rFonts w:hint="eastAsia" w:ascii="宋体" w:hAnsi="宋体"/>
          <w:color w:val="auto"/>
          <w:szCs w:val="21"/>
          <w:highlight w:val="none"/>
          <w:u w:val="single"/>
        </w:rPr>
        <w:t>（4）工期延误的关键线路按照经监理人、发包人审批同意的施工组织设计计算</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812" w:name="_Toc532375677"/>
      <w:bookmarkStart w:id="813" w:name="_Toc532377416"/>
      <w:r>
        <w:rPr>
          <w:rFonts w:hint="eastAsia" w:ascii="宋体" w:hAnsi="宋体" w:cs="宋体"/>
          <w:b/>
          <w:bCs/>
          <w:color w:val="auto"/>
          <w:kern w:val="0"/>
          <w:szCs w:val="21"/>
          <w:highlight w:val="none"/>
        </w:rPr>
        <w:t>19.3发包人的索赔</w:t>
      </w:r>
      <w:bookmarkEnd w:id="812"/>
      <w:bookmarkEnd w:id="813"/>
    </w:p>
    <w:p>
      <w:pPr>
        <w:autoSpaceDE w:val="0"/>
        <w:autoSpaceDN w:val="0"/>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根据合同约定，发包人认为有权得到赔付金额和（或）延长缺陷责任期的，监理人应向承包人发出通知并附有详细的证明。</w:t>
      </w:r>
    </w:p>
    <w:p>
      <w:pPr>
        <w:autoSpaceDE w:val="0"/>
        <w:autoSpaceDN w:val="0"/>
        <w:spacing w:line="360" w:lineRule="auto"/>
        <w:ind w:right="105" w:rightChars="50" w:firstLine="420" w:firstLineChars="200"/>
        <w:rPr>
          <w:rFonts w:ascii="宋体" w:hAnsi="宋体"/>
          <w:color w:val="auto"/>
          <w:szCs w:val="21"/>
          <w:highlight w:val="none"/>
          <w:u w:val="single"/>
        </w:rPr>
      </w:pPr>
      <w:r>
        <w:rPr>
          <w:rFonts w:hint="eastAsia" w:ascii="宋体" w:hAnsi="宋体"/>
          <w:color w:val="auto"/>
          <w:szCs w:val="21"/>
          <w:highlight w:val="none"/>
        </w:rPr>
        <w:t>发包人应在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索赔事件具有持续影响的，发包人应在索赔事件影响结束后28天内，</w:t>
      </w:r>
      <w:bookmarkStart w:id="814" w:name="_Hlk528652769"/>
      <w:r>
        <w:rPr>
          <w:rFonts w:hint="eastAsia" w:ascii="宋体" w:hAnsi="宋体"/>
          <w:color w:val="auto"/>
          <w:szCs w:val="21"/>
          <w:highlight w:val="none"/>
        </w:rPr>
        <w:t>通过监理人向承包人正式递交最终索赔报告</w:t>
      </w:r>
      <w:bookmarkEnd w:id="814"/>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815" w:name="_Toc532377417"/>
      <w:bookmarkStart w:id="816" w:name="_Toc532375678"/>
      <w:r>
        <w:rPr>
          <w:rFonts w:hint="eastAsia" w:ascii="宋体" w:hAnsi="宋体" w:cs="宋体"/>
          <w:b/>
          <w:bCs/>
          <w:color w:val="auto"/>
          <w:kern w:val="0"/>
          <w:szCs w:val="21"/>
          <w:highlight w:val="none"/>
        </w:rPr>
        <w:t>19.4 对发包人索赔的处理</w:t>
      </w:r>
      <w:bookmarkEnd w:id="815"/>
      <w:bookmarkEnd w:id="816"/>
    </w:p>
    <w:p>
      <w:pPr>
        <w:autoSpaceDE w:val="0"/>
        <w:autoSpaceDN w:val="0"/>
        <w:spacing w:line="360" w:lineRule="auto"/>
        <w:ind w:right="105" w:rightChars="50" w:firstLine="420" w:firstLineChars="200"/>
        <w:rPr>
          <w:rFonts w:ascii="宋体" w:hAnsi="宋体"/>
          <w:color w:val="auto"/>
          <w:kern w:val="0"/>
          <w:szCs w:val="21"/>
          <w:highlight w:val="none"/>
        </w:rPr>
      </w:pPr>
      <w:r>
        <w:rPr>
          <w:rFonts w:hint="eastAsia" w:ascii="宋体" w:hAnsi="宋体"/>
          <w:color w:val="auto"/>
          <w:kern w:val="0"/>
          <w:szCs w:val="21"/>
          <w:highlight w:val="none"/>
        </w:rPr>
        <w:t>对发包人索赔的处理如下：</w:t>
      </w:r>
    </w:p>
    <w:p>
      <w:pPr>
        <w:autoSpaceDE w:val="0"/>
        <w:autoSpaceDN w:val="0"/>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（1）承包人收到发包人提交的索赔报告后，应及时审查索赔报告的内容、查验发包人证明材料；</w:t>
      </w:r>
    </w:p>
    <w:p>
      <w:pPr>
        <w:autoSpaceDE w:val="0"/>
        <w:autoSpaceDN w:val="0"/>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2）承包人应在收到索赔报告或有关索赔的进一步证明材料后28天内，将索赔处理结果答复发包人。如果承包人未在上述期限内作出答复的，监理人应以书面形式催告承包人，经监理人三次书面催告后，承包人仍未按期限答复的，则视为对发包人索赔要求的认可；</w:t>
      </w:r>
    </w:p>
    <w:p>
      <w:pPr>
        <w:autoSpaceDE w:val="0"/>
        <w:autoSpaceDN w:val="0"/>
        <w:spacing w:line="360" w:lineRule="auto"/>
        <w:ind w:right="105" w:rightChars="50" w:firstLine="420" w:firstLineChars="200"/>
        <w:rPr>
          <w:rFonts w:ascii="宋体" w:hAnsi="宋体"/>
          <w:color w:val="auto"/>
          <w:szCs w:val="21"/>
          <w:highlight w:val="none"/>
          <w:u w:val="single"/>
        </w:rPr>
      </w:pPr>
      <w:r>
        <w:rPr>
          <w:rFonts w:hint="eastAsia" w:ascii="宋体" w:hAnsi="宋体"/>
          <w:color w:val="auto"/>
          <w:szCs w:val="21"/>
          <w:highlight w:val="none"/>
        </w:rPr>
        <w:t>（3）承包人接受索赔处理结果的，发包人可从应支付给承包人的合同价款中扣除赔付的金额或延长缺陷责任期；发包人不接受索赔处理结果的，按第20条〔争议解决〕约定处理。</w:t>
      </w:r>
    </w:p>
    <w:p>
      <w:pPr>
        <w:spacing w:line="360" w:lineRule="auto"/>
        <w:ind w:firstLine="422" w:firstLineChars="200"/>
        <w:outlineLvl w:val="4"/>
        <w:rPr>
          <w:rFonts w:ascii="宋体" w:hAnsi="宋体" w:cs="宋体"/>
          <w:b/>
          <w:bCs/>
          <w:color w:val="auto"/>
          <w:kern w:val="0"/>
          <w:szCs w:val="21"/>
          <w:highlight w:val="none"/>
        </w:rPr>
      </w:pPr>
      <w:bookmarkStart w:id="817" w:name="_Toc532375679"/>
      <w:bookmarkStart w:id="818" w:name="_Toc532377418"/>
      <w:bookmarkStart w:id="819" w:name="_Hlk528928420"/>
      <w:r>
        <w:rPr>
          <w:rFonts w:hint="eastAsia" w:ascii="宋体" w:hAnsi="宋体" w:cs="宋体"/>
          <w:b/>
          <w:bCs/>
          <w:color w:val="auto"/>
          <w:kern w:val="0"/>
          <w:szCs w:val="21"/>
          <w:highlight w:val="none"/>
        </w:rPr>
        <w:t>19.5 提出索赔的期限</w:t>
      </w:r>
      <w:bookmarkEnd w:id="817"/>
      <w:bookmarkEnd w:id="818"/>
    </w:p>
    <w:p>
      <w:pPr>
        <w:autoSpaceDE w:val="0"/>
        <w:autoSpaceDN w:val="0"/>
        <w:spacing w:line="360" w:lineRule="auto"/>
        <w:ind w:right="105" w:rightChars="50" w:firstLine="420" w:firstLineChars="200"/>
        <w:rPr>
          <w:rFonts w:ascii="宋体" w:hAnsi="宋体"/>
          <w:color w:val="auto"/>
          <w:szCs w:val="21"/>
          <w:highlight w:val="none"/>
        </w:rPr>
      </w:pPr>
      <w:bookmarkStart w:id="820" w:name="_Hlk524298376"/>
      <w:r>
        <w:rPr>
          <w:rFonts w:hint="eastAsia" w:ascii="宋体" w:hAnsi="宋体"/>
          <w:color w:val="auto"/>
          <w:szCs w:val="21"/>
          <w:highlight w:val="none"/>
        </w:rPr>
        <w:t>任一索赔事件发生后28天内，承包人/发包人未向对方发出索赔意向通知书的，视为其已放弃索赔权，无权再就该索赔事项提出任何索赔。</w:t>
      </w:r>
    </w:p>
    <w:bookmarkEnd w:id="806"/>
    <w:bookmarkEnd w:id="807"/>
    <w:bookmarkEnd w:id="808"/>
    <w:bookmarkEnd w:id="809"/>
    <w:bookmarkEnd w:id="819"/>
    <w:bookmarkEnd w:id="820"/>
    <w:p>
      <w:pPr>
        <w:keepNext/>
        <w:keepLines/>
        <w:spacing w:before="120" w:beforeLines="50" w:after="120" w:afterLines="50" w:line="360" w:lineRule="auto"/>
        <w:outlineLvl w:val="3"/>
        <w:rPr>
          <w:rFonts w:ascii="宋体" w:hAnsi="宋体" w:cs="宋体"/>
          <w:b/>
          <w:color w:val="auto"/>
          <w:szCs w:val="21"/>
          <w:highlight w:val="none"/>
        </w:rPr>
      </w:pPr>
      <w:bookmarkStart w:id="821" w:name="_Toc351203651"/>
      <w:bookmarkStart w:id="822" w:name="_Toc532375680"/>
      <w:bookmarkStart w:id="823" w:name="_Toc532377419"/>
      <w:r>
        <w:rPr>
          <w:rFonts w:hint="eastAsia" w:ascii="宋体" w:hAnsi="宋体" w:cs="宋体"/>
          <w:b/>
          <w:bCs/>
          <w:color w:val="auto"/>
          <w:szCs w:val="21"/>
          <w:highlight w:val="none"/>
        </w:rPr>
        <w:t>20. 争议解决</w:t>
      </w:r>
      <w:bookmarkEnd w:id="821"/>
      <w:bookmarkEnd w:id="822"/>
      <w:bookmarkEnd w:id="823"/>
    </w:p>
    <w:p>
      <w:pPr>
        <w:spacing w:line="360" w:lineRule="auto"/>
        <w:ind w:firstLine="422" w:firstLineChars="200"/>
        <w:outlineLvl w:val="4"/>
        <w:rPr>
          <w:rFonts w:ascii="宋体" w:hAnsi="宋体" w:cs="宋体"/>
          <w:b/>
          <w:bCs/>
          <w:color w:val="auto"/>
          <w:kern w:val="0"/>
          <w:szCs w:val="21"/>
          <w:highlight w:val="none"/>
        </w:rPr>
      </w:pPr>
      <w:bookmarkStart w:id="824" w:name="_Toc532375681"/>
      <w:bookmarkStart w:id="825" w:name="_Toc532377420"/>
      <w:r>
        <w:rPr>
          <w:rFonts w:hint="eastAsia" w:ascii="宋体" w:hAnsi="宋体" w:cs="宋体"/>
          <w:b/>
          <w:bCs/>
          <w:color w:val="auto"/>
          <w:kern w:val="0"/>
          <w:szCs w:val="21"/>
          <w:highlight w:val="none"/>
        </w:rPr>
        <w:t>20.3 争议评审</w:t>
      </w:r>
      <w:bookmarkEnd w:id="824"/>
      <w:bookmarkEnd w:id="825"/>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合同当事人是否同意将工程争议提交争议评审小组决定：</w:t>
      </w:r>
      <w:r>
        <w:rPr>
          <w:rFonts w:hint="eastAsia" w:ascii="宋体" w:hAnsi="宋体"/>
          <w:color w:val="auto"/>
          <w:szCs w:val="21"/>
          <w:highlight w:val="none"/>
          <w:u w:val="single"/>
        </w:rPr>
        <w:t xml:space="preserve"> 不采用  </w:t>
      </w:r>
      <w:r>
        <w:rPr>
          <w:rFonts w:hint="eastAsia" w:ascii="宋体" w:hAnsi="宋体"/>
          <w:color w:val="auto"/>
          <w:szCs w:val="21"/>
          <w:highlight w:val="none"/>
        </w:rPr>
        <w:t>。</w:t>
      </w:r>
    </w:p>
    <w:p>
      <w:pPr>
        <w:spacing w:line="360" w:lineRule="auto"/>
        <w:ind w:firstLine="422" w:firstLineChars="200"/>
        <w:outlineLvl w:val="4"/>
        <w:rPr>
          <w:rFonts w:ascii="宋体" w:hAnsi="宋体" w:cs="宋体"/>
          <w:b/>
          <w:bCs/>
          <w:color w:val="auto"/>
          <w:kern w:val="0"/>
          <w:szCs w:val="21"/>
          <w:highlight w:val="none"/>
        </w:rPr>
      </w:pPr>
      <w:bookmarkStart w:id="826" w:name="_Toc532377421"/>
      <w:bookmarkStart w:id="827" w:name="_Toc532375682"/>
      <w:r>
        <w:rPr>
          <w:rFonts w:hint="eastAsia" w:ascii="宋体" w:hAnsi="宋体" w:cs="宋体"/>
          <w:b/>
          <w:bCs/>
          <w:color w:val="auto"/>
          <w:kern w:val="0"/>
          <w:szCs w:val="21"/>
          <w:highlight w:val="none"/>
        </w:rPr>
        <w:t>20.4 仲裁或诉讼</w:t>
      </w:r>
      <w:bookmarkEnd w:id="826"/>
      <w:bookmarkEnd w:id="827"/>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因合同及合同有关事项发生的争议，按下列第</w:t>
      </w:r>
      <w:r>
        <w:rPr>
          <w:rFonts w:hint="eastAsia" w:ascii="宋体" w:hAnsi="宋体"/>
          <w:color w:val="auto"/>
          <w:szCs w:val="21"/>
          <w:highlight w:val="none"/>
          <w:u w:val="single"/>
        </w:rPr>
        <w:t xml:space="preserve">  （2）  </w:t>
      </w:r>
      <w:r>
        <w:rPr>
          <w:rFonts w:hint="eastAsia" w:ascii="宋体" w:hAnsi="宋体"/>
          <w:color w:val="auto"/>
          <w:szCs w:val="21"/>
          <w:highlight w:val="none"/>
        </w:rPr>
        <w:t>种方式解决：</w:t>
      </w:r>
    </w:p>
    <w:p>
      <w:pPr>
        <w:spacing w:line="360" w:lineRule="auto"/>
        <w:ind w:right="105" w:rightChars="50" w:firstLine="420" w:firstLineChars="200"/>
        <w:rPr>
          <w:rFonts w:ascii="宋体" w:hAnsi="宋体"/>
          <w:color w:val="auto"/>
          <w:szCs w:val="21"/>
          <w:highlight w:val="none"/>
        </w:rPr>
      </w:pPr>
      <w:r>
        <w:rPr>
          <w:rFonts w:ascii="宋体" w:hAnsi="宋体"/>
          <w:color w:val="auto"/>
          <w:szCs w:val="21"/>
          <w:highlight w:val="none"/>
        </w:rPr>
        <w:t>（1）向</w:t>
      </w:r>
      <w:r>
        <w:rPr>
          <w:rFonts w:ascii="宋体" w:hAnsi="宋体"/>
          <w:color w:val="auto"/>
          <w:szCs w:val="21"/>
          <w:highlight w:val="none"/>
          <w:u w:val="single"/>
        </w:rPr>
        <w:t xml:space="preserve">                     </w:t>
      </w:r>
      <w:r>
        <w:rPr>
          <w:rFonts w:ascii="宋体" w:hAnsi="宋体"/>
          <w:color w:val="auto"/>
          <w:szCs w:val="21"/>
          <w:highlight w:val="none"/>
        </w:rPr>
        <w:t>仲裁委员会申请仲裁；</w:t>
      </w:r>
    </w:p>
    <w:p>
      <w:pPr>
        <w:spacing w:line="360" w:lineRule="auto"/>
        <w:ind w:right="105" w:rightChars="50" w:firstLine="420" w:firstLineChars="200"/>
        <w:rPr>
          <w:rFonts w:ascii="宋体" w:hAnsi="宋体"/>
          <w:color w:val="auto"/>
          <w:szCs w:val="21"/>
          <w:highlight w:val="none"/>
        </w:rPr>
      </w:pPr>
      <w:r>
        <w:rPr>
          <w:rFonts w:ascii="宋体" w:hAnsi="宋体"/>
          <w:color w:val="auto"/>
          <w:szCs w:val="21"/>
          <w:highlight w:val="none"/>
        </w:rPr>
        <w:t>（2）向</w:t>
      </w:r>
      <w:r>
        <w:rPr>
          <w:rFonts w:ascii="宋体" w:hAnsi="宋体"/>
          <w:color w:val="auto"/>
          <w:szCs w:val="21"/>
          <w:highlight w:val="none"/>
          <w:u w:val="single"/>
        </w:rPr>
        <w:t xml:space="preserve">   </w:t>
      </w:r>
      <w:r>
        <w:rPr>
          <w:rFonts w:hint="eastAsia" w:ascii="宋体" w:hAnsi="宋体"/>
          <w:color w:val="auto"/>
          <w:szCs w:val="21"/>
          <w:highlight w:val="none"/>
          <w:u w:val="single"/>
        </w:rPr>
        <w:t>项目所在地</w:t>
      </w:r>
      <w:r>
        <w:rPr>
          <w:rFonts w:ascii="宋体" w:hAnsi="宋体"/>
          <w:color w:val="auto"/>
          <w:szCs w:val="21"/>
          <w:highlight w:val="none"/>
          <w:u w:val="single"/>
        </w:rPr>
        <w:t xml:space="preserve">     </w:t>
      </w:r>
      <w:r>
        <w:rPr>
          <w:rFonts w:ascii="宋体" w:hAnsi="宋体"/>
          <w:color w:val="auto"/>
          <w:szCs w:val="21"/>
          <w:highlight w:val="none"/>
        </w:rPr>
        <w:t>人民法院起诉。</w:t>
      </w:r>
    </w:p>
    <w:p>
      <w:pPr>
        <w:keepNext/>
        <w:keepLines/>
        <w:spacing w:before="120" w:beforeLines="50" w:after="120" w:afterLines="50" w:line="360" w:lineRule="auto"/>
        <w:outlineLvl w:val="3"/>
        <w:rPr>
          <w:rFonts w:ascii="宋体" w:hAnsi="宋体" w:cs="宋体"/>
          <w:b/>
          <w:color w:val="auto"/>
          <w:szCs w:val="21"/>
          <w:highlight w:val="none"/>
        </w:rPr>
      </w:pPr>
      <w:bookmarkStart w:id="828" w:name="_Toc532377422"/>
      <w:bookmarkStart w:id="829" w:name="_Toc532375683"/>
      <w:r>
        <w:rPr>
          <w:rFonts w:hint="eastAsia" w:ascii="宋体" w:hAnsi="宋体" w:cs="宋体"/>
          <w:b/>
          <w:bCs/>
          <w:color w:val="auto"/>
          <w:szCs w:val="21"/>
          <w:highlight w:val="none"/>
        </w:rPr>
        <w:t>21. 补充条款</w:t>
      </w:r>
      <w:bookmarkEnd w:id="828"/>
      <w:bookmarkEnd w:id="829"/>
    </w:p>
    <w:p>
      <w:pPr>
        <w:spacing w:line="360" w:lineRule="auto"/>
        <w:ind w:firstLine="422" w:firstLineChars="200"/>
        <w:outlineLvl w:val="4"/>
        <w:rPr>
          <w:rFonts w:ascii="宋体" w:hAnsi="宋体" w:cs="宋体"/>
          <w:b/>
          <w:bCs/>
          <w:color w:val="auto"/>
          <w:kern w:val="0"/>
          <w:szCs w:val="21"/>
          <w:highlight w:val="none"/>
        </w:rPr>
      </w:pPr>
      <w:bookmarkStart w:id="830" w:name="_Toc532375684"/>
      <w:bookmarkStart w:id="831" w:name="_Toc532377423"/>
      <w:r>
        <w:rPr>
          <w:rFonts w:hint="eastAsia" w:ascii="宋体" w:hAnsi="宋体" w:cs="宋体"/>
          <w:b/>
          <w:bCs/>
          <w:color w:val="auto"/>
          <w:kern w:val="0"/>
          <w:szCs w:val="21"/>
          <w:highlight w:val="none"/>
        </w:rPr>
        <w:t>21.1 退出机制</w:t>
      </w:r>
      <w:bookmarkEnd w:id="830"/>
      <w:bookmarkEnd w:id="831"/>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21.1.1有下列情形之一的，发包人有权解除合同，亦有权兑付履约担保，并对承包人做清退出场处理</w:t>
      </w:r>
      <w:r>
        <w:rPr>
          <w:rFonts w:hint="eastAsia" w:ascii="宋体" w:hAnsi="宋体"/>
          <w:color w:val="auto"/>
          <w:kern w:val="0"/>
          <w:szCs w:val="21"/>
          <w:highlight w:val="none"/>
        </w:rPr>
        <w:t>：</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（1）因承包人原因造成较大及以上等级生产安全事故或工程质量事故的；</w:t>
      </w:r>
    </w:p>
    <w:p>
      <w:pPr>
        <w:spacing w:line="360" w:lineRule="auto"/>
        <w:ind w:right="105" w:rightChars="50" w:firstLine="420" w:firstLineChars="200"/>
        <w:rPr>
          <w:rFonts w:ascii="宋体" w:hAnsi="宋体"/>
          <w:color w:val="auto"/>
          <w:kern w:val="0"/>
          <w:szCs w:val="21"/>
          <w:highlight w:val="none"/>
        </w:rPr>
      </w:pPr>
      <w:r>
        <w:rPr>
          <w:rFonts w:hint="eastAsia" w:ascii="宋体" w:hAnsi="宋体"/>
          <w:color w:val="auto"/>
          <w:kern w:val="0"/>
          <w:szCs w:val="21"/>
          <w:highlight w:val="none"/>
        </w:rPr>
        <w:t>（2）因承包人债权债务纠纷或其他纠纷导致工程无法正常施工的。</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kern w:val="0"/>
          <w:szCs w:val="21"/>
          <w:highlight w:val="none"/>
        </w:rPr>
        <w:t>（3）</w:t>
      </w:r>
      <w:r>
        <w:rPr>
          <w:rFonts w:hint="eastAsia" w:ascii="宋体" w:hAnsi="宋体"/>
          <w:color w:val="auto"/>
          <w:kern w:val="0"/>
          <w:szCs w:val="21"/>
          <w:highlight w:val="none"/>
          <w:u w:val="single"/>
        </w:rPr>
        <w:t xml:space="preserve">    /    </w:t>
      </w:r>
      <w:r>
        <w:rPr>
          <w:rFonts w:hint="eastAsia" w:ascii="宋体" w:hAnsi="宋体"/>
          <w:color w:val="auto"/>
          <w:kern w:val="0"/>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21.1.2有下列情形之一的，承包人有权解除合同，并按16.1.4约定执行：</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（1）因发包人征地、拆迁、补偿、审批手续等原因致使本工程延期开工超过90天的。</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kern w:val="0"/>
          <w:szCs w:val="21"/>
          <w:highlight w:val="none"/>
        </w:rPr>
        <w:t>（2）</w:t>
      </w:r>
      <w:r>
        <w:rPr>
          <w:rFonts w:hint="eastAsia" w:ascii="宋体" w:hAnsi="宋体"/>
          <w:color w:val="auto"/>
          <w:kern w:val="0"/>
          <w:szCs w:val="21"/>
          <w:highlight w:val="none"/>
          <w:u w:val="single"/>
        </w:rPr>
        <w:t xml:space="preserve">   /     </w:t>
      </w:r>
      <w:r>
        <w:rPr>
          <w:rFonts w:hint="eastAsia" w:ascii="宋体" w:hAnsi="宋体"/>
          <w:color w:val="auto"/>
          <w:kern w:val="0"/>
          <w:szCs w:val="21"/>
          <w:highlight w:val="none"/>
        </w:rPr>
        <w:t>。</w:t>
      </w:r>
    </w:p>
    <w:p>
      <w:pPr>
        <w:spacing w:line="360" w:lineRule="auto"/>
        <w:ind w:right="105" w:rightChars="50" w:firstLine="422" w:firstLineChars="200"/>
        <w:rPr>
          <w:rFonts w:ascii="宋体" w:hAnsi="宋体"/>
          <w:color w:val="auto"/>
          <w:szCs w:val="21"/>
          <w:highlight w:val="none"/>
        </w:rPr>
      </w:pPr>
      <w:r>
        <w:rPr>
          <w:rFonts w:hint="eastAsia" w:ascii="宋体" w:hAnsi="宋体" w:cs="宋体"/>
          <w:b/>
          <w:bCs/>
          <w:color w:val="auto"/>
          <w:kern w:val="0"/>
          <w:szCs w:val="21"/>
          <w:highlight w:val="none"/>
        </w:rPr>
        <w:t>21.2司法送达</w:t>
      </w:r>
      <w:r>
        <w:rPr>
          <w:rFonts w:hint="eastAsia" w:ascii="宋体" w:hAnsi="宋体" w:cs="宋体"/>
          <w:color w:val="auto"/>
          <w:sz w:val="20"/>
          <w:highlight w:val="none"/>
        </w:rPr>
        <w:t xml:space="preserve">  </w:t>
      </w:r>
      <w:r>
        <w:rPr>
          <w:rFonts w:hint="eastAsia" w:ascii="宋体" w:hAnsi="宋体"/>
          <w:color w:val="auto"/>
          <w:szCs w:val="21"/>
          <w:highlight w:val="none"/>
        </w:rPr>
        <w:t>甲乙双方指定合同协议书签署页载明的联系地址、联系方式为双方指定的司法送达地址，任何一方向上述地址送达资料，自邮寄之日起3日内视为送达。</w:t>
      </w:r>
      <w:bookmarkEnd w:id="774"/>
    </w:p>
    <w:p>
      <w:pPr>
        <w:keepNext/>
        <w:keepLines/>
        <w:spacing w:before="120" w:beforeLines="50" w:after="120" w:afterLines="50" w:line="360" w:lineRule="auto"/>
        <w:outlineLvl w:val="3"/>
        <w:rPr>
          <w:rFonts w:ascii="宋体" w:hAnsi="宋体" w:cs="宋体"/>
          <w:b/>
          <w:color w:val="auto"/>
          <w:szCs w:val="21"/>
          <w:highlight w:val="none"/>
        </w:rPr>
      </w:pPr>
      <w:bookmarkStart w:id="832" w:name="baidusnap3"/>
      <w:bookmarkEnd w:id="832"/>
      <w:bookmarkStart w:id="833" w:name="baidusnap7"/>
      <w:bookmarkEnd w:id="833"/>
      <w:bookmarkStart w:id="834" w:name="_Toc532377425"/>
      <w:bookmarkStart w:id="835" w:name="_Toc532375686"/>
      <w:bookmarkStart w:id="836" w:name="_Toc351203652"/>
      <w:r>
        <w:rPr>
          <w:rFonts w:hint="eastAsia" w:ascii="宋体" w:hAnsi="宋体" w:cs="宋体"/>
          <w:b/>
          <w:bCs/>
          <w:color w:val="auto"/>
          <w:szCs w:val="21"/>
          <w:highlight w:val="none"/>
        </w:rPr>
        <w:t>22. 合同附件</w:t>
      </w:r>
      <w:bookmarkEnd w:id="834"/>
      <w:bookmarkEnd w:id="835"/>
    </w:p>
    <w:p>
      <w:pPr>
        <w:spacing w:line="360" w:lineRule="auto"/>
        <w:ind w:right="105" w:rightChars="50" w:firstLine="420" w:firstLineChars="200"/>
        <w:rPr>
          <w:rFonts w:ascii="宋体" w:hAnsi="宋体"/>
          <w:color w:val="auto"/>
          <w:highlight w:val="none"/>
        </w:rPr>
      </w:pPr>
      <w:r>
        <w:rPr>
          <w:rFonts w:hint="eastAsia" w:ascii="宋体" w:hAnsi="宋体"/>
          <w:color w:val="auto"/>
          <w:highlight w:val="none"/>
        </w:rPr>
        <w:t>以下十个附件是本合同的有效组成部分：</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附件1：工程质量保修书</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附件2：主要建设工程文件目录</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附件3：承包人项目管理机构组成表</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附件4：履约担保（如有）</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附件5：支付担保（如有）</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附件6廉洁从业协议</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附件7：安全管理协议</w:t>
      </w:r>
    </w:p>
    <w:p>
      <w:pPr>
        <w:spacing w:line="360" w:lineRule="auto"/>
        <w:ind w:right="105" w:rightChars="50" w:firstLine="420" w:firstLineChars="200"/>
        <w:rPr>
          <w:rFonts w:ascii="宋体" w:hAnsi="宋体"/>
          <w:color w:val="auto"/>
          <w:szCs w:val="21"/>
          <w:highlight w:val="none"/>
        </w:rPr>
      </w:pPr>
      <w:r>
        <w:rPr>
          <w:rFonts w:hint="eastAsia" w:ascii="宋体" w:hAnsi="宋体"/>
          <w:color w:val="auto"/>
          <w:szCs w:val="21"/>
          <w:highlight w:val="none"/>
        </w:rPr>
        <w:t>附件8：保障农民工工资支付协议</w:t>
      </w:r>
    </w:p>
    <w:bookmarkEnd w:id="836"/>
    <w:p>
      <w:pPr>
        <w:spacing w:line="360" w:lineRule="auto"/>
        <w:rPr>
          <w:rFonts w:ascii="宋体" w:hAnsi="宋体"/>
          <w:color w:val="auto"/>
          <w:szCs w:val="21"/>
          <w:highlight w:val="none"/>
        </w:rPr>
      </w:pPr>
      <w:r>
        <w:rPr>
          <w:rFonts w:hint="eastAsia" w:ascii="宋体" w:hAnsi="宋体"/>
          <w:color w:val="auto"/>
          <w:szCs w:val="21"/>
          <w:highlight w:val="none"/>
        </w:rPr>
        <w:br w:type="page"/>
      </w:r>
      <w:r>
        <w:rPr>
          <w:rFonts w:hint="eastAsia" w:ascii="宋体" w:hAnsi="宋体"/>
          <w:color w:val="auto"/>
          <w:szCs w:val="21"/>
          <w:highlight w:val="none"/>
        </w:rPr>
        <w:t>附</w:t>
      </w:r>
      <w:bookmarkStart w:id="837" w:name="_Toc296944565"/>
      <w:bookmarkStart w:id="838" w:name="_Toc267261693"/>
      <w:bookmarkStart w:id="839" w:name="_Toc296891266"/>
      <w:bookmarkStart w:id="840" w:name="_Toc296891054"/>
      <w:bookmarkStart w:id="841" w:name="_Toc296503226"/>
      <w:bookmarkStart w:id="842" w:name="_Toc296347225"/>
      <w:bookmarkStart w:id="843" w:name="_Toc296346727"/>
      <w:r>
        <w:rPr>
          <w:rFonts w:hint="eastAsia" w:ascii="宋体" w:hAnsi="宋体"/>
          <w:color w:val="auto"/>
          <w:szCs w:val="21"/>
          <w:highlight w:val="none"/>
        </w:rPr>
        <w:t>件1：</w:t>
      </w:r>
      <w:bookmarkEnd w:id="837"/>
      <w:bookmarkEnd w:id="838"/>
      <w:bookmarkEnd w:id="839"/>
      <w:bookmarkEnd w:id="840"/>
      <w:bookmarkEnd w:id="841"/>
      <w:bookmarkEnd w:id="842"/>
      <w:bookmarkEnd w:id="843"/>
    </w:p>
    <w:p>
      <w:pPr>
        <w:spacing w:before="120" w:beforeLines="50" w:after="120" w:afterLines="50" w:line="360" w:lineRule="auto"/>
        <w:jc w:val="center"/>
        <w:rPr>
          <w:rFonts w:ascii="宋体" w:hAnsi="宋体"/>
          <w:color w:val="auto"/>
          <w:szCs w:val="21"/>
          <w:highlight w:val="none"/>
        </w:rPr>
      </w:pPr>
      <w:r>
        <w:rPr>
          <w:rFonts w:hint="eastAsia" w:ascii="宋体" w:hAnsi="宋体"/>
          <w:color w:val="auto"/>
          <w:szCs w:val="21"/>
          <w:highlight w:val="none"/>
        </w:rPr>
        <w:t>工程质量保修书</w:t>
      </w:r>
    </w:p>
    <w:p>
      <w:pPr>
        <w:snapToGrid w:val="0"/>
        <w:spacing w:line="360" w:lineRule="auto"/>
        <w:ind w:firstLine="422" w:firstLineChars="200"/>
        <w:rPr>
          <w:rFonts w:ascii="宋体" w:hAnsi="宋体"/>
          <w:b/>
          <w:color w:val="auto"/>
          <w:szCs w:val="21"/>
          <w:highlight w:val="none"/>
          <w:u w:val="single"/>
        </w:rPr>
      </w:pPr>
      <w:r>
        <w:rPr>
          <w:rFonts w:hint="eastAsia" w:ascii="宋体" w:hAnsi="宋体"/>
          <w:b/>
          <w:color w:val="auto"/>
          <w:szCs w:val="21"/>
          <w:highlight w:val="none"/>
        </w:rPr>
        <w:t>发包人（全称）：</w:t>
      </w:r>
      <w:r>
        <w:rPr>
          <w:rFonts w:hint="eastAsia" w:ascii="宋体" w:hAnsi="宋体"/>
          <w:color w:val="auto"/>
          <w:szCs w:val="21"/>
          <w:highlight w:val="none"/>
          <w:u w:val="single"/>
        </w:rPr>
        <w:t xml:space="preserve">                             </w:t>
      </w:r>
    </w:p>
    <w:p>
      <w:pPr>
        <w:snapToGrid w:val="0"/>
        <w:spacing w:line="360" w:lineRule="auto"/>
        <w:ind w:firstLine="422" w:firstLineChars="200"/>
        <w:rPr>
          <w:rFonts w:ascii="宋体" w:hAnsi="宋体"/>
          <w:b/>
          <w:color w:val="auto"/>
          <w:szCs w:val="21"/>
          <w:highlight w:val="none"/>
          <w:u w:val="single"/>
        </w:rPr>
      </w:pPr>
      <w:r>
        <w:rPr>
          <w:rFonts w:hint="eastAsia" w:ascii="宋体" w:hAnsi="宋体"/>
          <w:b/>
          <w:color w:val="auto"/>
          <w:szCs w:val="21"/>
          <w:highlight w:val="none"/>
        </w:rPr>
        <w:t>承包人（全称）：</w:t>
      </w:r>
      <w:r>
        <w:rPr>
          <w:rFonts w:hint="eastAsia" w:ascii="宋体" w:hAnsi="宋体"/>
          <w:color w:val="auto"/>
          <w:szCs w:val="21"/>
          <w:highlight w:val="none"/>
          <w:u w:val="single"/>
        </w:rPr>
        <w:t xml:space="preserve">                             </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发包人和承包人根据《中华人民共和国建筑法》和《建设工程质量管理条例》，经协商一致就</w:t>
      </w:r>
    </w:p>
    <w:p>
      <w:pPr>
        <w:spacing w:line="360" w:lineRule="auto"/>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（工程全称）签订工程质量保修书。</w:t>
      </w:r>
    </w:p>
    <w:p>
      <w:pPr>
        <w:spacing w:line="360" w:lineRule="auto"/>
        <w:ind w:firstLine="420" w:firstLineChars="200"/>
        <w:rPr>
          <w:rFonts w:ascii="宋体" w:hAnsi="宋体"/>
          <w:color w:val="auto"/>
          <w:szCs w:val="21"/>
          <w:highlight w:val="none"/>
        </w:rPr>
      </w:pPr>
      <w:bookmarkStart w:id="844" w:name="_Toc532375687"/>
      <w:r>
        <w:rPr>
          <w:rFonts w:hint="eastAsia" w:ascii="宋体" w:hAnsi="宋体"/>
          <w:color w:val="auto"/>
          <w:szCs w:val="21"/>
          <w:highlight w:val="none"/>
        </w:rPr>
        <w:t>一、工程质量保修范围和内容</w:t>
      </w:r>
      <w:bookmarkEnd w:id="844"/>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承包人在质量保修期内，按照有关法律规定和合同约定，承担工程质量保修责任。</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承包人承包范围内容均属质量保修范围内容；其中：</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1.属于设计原因造成的质量问题，承包人负责维修，不留隐患，费用由发包人承担；</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2.属于施工造成的质量问题，承包人负责维修，不留隐患；</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3.属于业主使用不当造成的质量问题，配合抢修，费用由发包人承担。</w:t>
      </w:r>
    </w:p>
    <w:p>
      <w:pPr>
        <w:spacing w:line="360" w:lineRule="auto"/>
        <w:ind w:firstLine="420" w:firstLineChars="200"/>
        <w:rPr>
          <w:rFonts w:ascii="宋体" w:hAnsi="宋体"/>
          <w:color w:val="auto"/>
          <w:szCs w:val="21"/>
          <w:highlight w:val="none"/>
        </w:rPr>
      </w:pPr>
      <w:bookmarkStart w:id="845" w:name="_Toc532375688"/>
      <w:r>
        <w:rPr>
          <w:rFonts w:hint="eastAsia" w:ascii="宋体" w:hAnsi="宋体"/>
          <w:color w:val="auto"/>
          <w:szCs w:val="21"/>
          <w:highlight w:val="none"/>
        </w:rPr>
        <w:t>二、质量保修期</w:t>
      </w:r>
      <w:bookmarkEnd w:id="845"/>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根据《建设工程质量管理条例》及有关规定，本工程质量保修期约定如下：</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1.基础设施工程、房屋建筑的地基基础工程和主体结构工程，为设计文件规定的该工程的合理使用年限；</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2.屋面防水工程、有防水要求的卫生间、房间和外墙面的防渗漏，为5年；</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3.供热与供冷系统，为2个采暖期、供冷期；</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4.电气管线、给排水管道、设备安装和装修工程，为2年；</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5.其他项目保修期限：2年；</w:t>
      </w:r>
      <w:r>
        <w:rPr>
          <w:rFonts w:hint="eastAsia" w:ascii="宋体" w:hAnsi="宋体"/>
          <w:i/>
          <w:color w:val="auto"/>
          <w:szCs w:val="21"/>
          <w:highlight w:val="none"/>
        </w:rPr>
        <w:t>[提示：如有不同，根据具体情况修改]</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建设工程的保修期，自工程竣工验收合格之日起计算。</w:t>
      </w:r>
    </w:p>
    <w:p>
      <w:pPr>
        <w:spacing w:line="360" w:lineRule="auto"/>
        <w:ind w:firstLine="420" w:firstLineChars="200"/>
        <w:rPr>
          <w:rFonts w:ascii="宋体" w:hAnsi="宋体"/>
          <w:color w:val="auto"/>
          <w:szCs w:val="21"/>
          <w:highlight w:val="none"/>
        </w:rPr>
      </w:pPr>
      <w:bookmarkStart w:id="846" w:name="_Toc532375689"/>
      <w:r>
        <w:rPr>
          <w:rFonts w:hint="eastAsia" w:ascii="宋体" w:hAnsi="宋体"/>
          <w:color w:val="auto"/>
          <w:szCs w:val="21"/>
          <w:highlight w:val="none"/>
        </w:rPr>
        <w:t>三、质量保修责任</w:t>
      </w:r>
      <w:bookmarkEnd w:id="846"/>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1.属于保修范围、内容的项目，承包人应当在接到保修通知之日起7天内派人保修。承包人不在约定期限内派人保修的，发包人可以委托他人修理。</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2.发生紧急事故需抢修的，承包人在接到事故通知后，应当立即到达事故现场抢修。</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4.质量保修完成后，由发包人组织验收。</w:t>
      </w:r>
    </w:p>
    <w:p>
      <w:pPr>
        <w:spacing w:line="360" w:lineRule="auto"/>
        <w:ind w:firstLine="420" w:firstLineChars="200"/>
        <w:rPr>
          <w:rFonts w:ascii="宋体" w:hAnsi="宋体"/>
          <w:color w:val="auto"/>
          <w:szCs w:val="21"/>
          <w:highlight w:val="none"/>
        </w:rPr>
      </w:pPr>
      <w:bookmarkStart w:id="847" w:name="_Toc532375690"/>
      <w:r>
        <w:rPr>
          <w:rFonts w:hint="eastAsia" w:ascii="宋体" w:hAnsi="宋体"/>
          <w:color w:val="auto"/>
          <w:szCs w:val="21"/>
          <w:highlight w:val="none"/>
        </w:rPr>
        <w:t>四、保修费用</w:t>
      </w:r>
      <w:bookmarkEnd w:id="847"/>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保修费用由质量缺陷的责任方承担。</w:t>
      </w:r>
    </w:p>
    <w:p>
      <w:pPr>
        <w:spacing w:line="360" w:lineRule="auto"/>
        <w:ind w:firstLine="420" w:firstLineChars="200"/>
        <w:rPr>
          <w:rFonts w:ascii="宋体" w:hAnsi="宋体"/>
          <w:color w:val="auto"/>
          <w:szCs w:val="21"/>
          <w:highlight w:val="none"/>
        </w:rPr>
      </w:pPr>
      <w:bookmarkStart w:id="848" w:name="_Toc532375691"/>
      <w:r>
        <w:rPr>
          <w:rFonts w:hint="eastAsia" w:ascii="宋体" w:hAnsi="宋体"/>
          <w:color w:val="auto"/>
          <w:szCs w:val="21"/>
          <w:highlight w:val="none"/>
        </w:rPr>
        <w:t>五、双方约定的其他工程质量保修事项</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按国家相关法律和规定执行</w:t>
      </w:r>
      <w:r>
        <w:rPr>
          <w:rFonts w:hint="eastAsia" w:ascii="宋体" w:hAnsi="宋体"/>
          <w:color w:val="auto"/>
          <w:szCs w:val="21"/>
          <w:highlight w:val="none"/>
        </w:rPr>
        <w:t>。</w:t>
      </w:r>
      <w:bookmarkEnd w:id="848"/>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本工程质量保修书由发包人、承包人在工程竣工验收前共同签署，作为施工合同附件，其有效期限至保修期满。</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六</w:t>
      </w:r>
      <w:r>
        <w:rPr>
          <w:rFonts w:hint="eastAsia" w:ascii="宋体" w:hAnsi="宋体"/>
          <w:color w:val="auto"/>
          <w:szCs w:val="21"/>
          <w:highlight w:val="none"/>
        </w:rPr>
        <w:t>、</w:t>
      </w:r>
      <w:r>
        <w:rPr>
          <w:rFonts w:ascii="宋体" w:hAnsi="宋体"/>
          <w:color w:val="auto"/>
          <w:szCs w:val="21"/>
          <w:highlight w:val="none"/>
        </w:rPr>
        <w:t>本文件生效</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本工程质量保修书经发包人与承包人盖章后生效。</w:t>
      </w:r>
    </w:p>
    <w:p>
      <w:pPr>
        <w:spacing w:after="120" w:line="360" w:lineRule="auto"/>
        <w:ind w:firstLine="420" w:firstLineChars="200"/>
        <w:rPr>
          <w:rFonts w:ascii="宋体" w:hAnsi="宋体"/>
          <w:color w:val="auto"/>
          <w:szCs w:val="21"/>
          <w:highlight w:val="none"/>
        </w:rPr>
      </w:pPr>
    </w:p>
    <w:p>
      <w:pPr>
        <w:spacing w:line="360" w:lineRule="auto"/>
        <w:ind w:firstLine="420" w:firstLineChars="200"/>
        <w:rPr>
          <w:rFonts w:ascii="宋体" w:hAnsi="宋体"/>
          <w:snapToGrid w:val="0"/>
          <w:color w:val="auto"/>
          <w:kern w:val="0"/>
          <w:szCs w:val="21"/>
          <w:highlight w:val="none"/>
        </w:rPr>
      </w:pPr>
      <w:r>
        <w:rPr>
          <w:rFonts w:hint="eastAsia" w:ascii="宋体" w:hAnsi="宋体"/>
          <w:snapToGrid w:val="0"/>
          <w:color w:val="auto"/>
          <w:kern w:val="0"/>
          <w:szCs w:val="21"/>
          <w:highlight w:val="none"/>
        </w:rPr>
        <w:t>发包人：</w:t>
      </w:r>
      <w:r>
        <w:rPr>
          <w:rFonts w:hint="eastAsia"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rPr>
        <w:t>（盖单位公章）</w:t>
      </w:r>
    </w:p>
    <w:p>
      <w:pPr>
        <w:spacing w:line="360" w:lineRule="auto"/>
        <w:ind w:firstLine="420" w:firstLineChars="200"/>
        <w:rPr>
          <w:rFonts w:ascii="宋体" w:hAnsi="宋体"/>
          <w:snapToGrid w:val="0"/>
          <w:color w:val="auto"/>
          <w:kern w:val="0"/>
          <w:szCs w:val="21"/>
          <w:highlight w:val="none"/>
        </w:rPr>
      </w:pPr>
    </w:p>
    <w:p>
      <w:pPr>
        <w:spacing w:line="360" w:lineRule="auto"/>
        <w:ind w:firstLine="420" w:firstLineChars="200"/>
        <w:rPr>
          <w:rFonts w:ascii="宋体" w:hAnsi="宋体"/>
          <w:snapToGrid w:val="0"/>
          <w:color w:val="auto"/>
          <w:kern w:val="0"/>
          <w:szCs w:val="21"/>
          <w:highlight w:val="none"/>
        </w:rPr>
      </w:pPr>
    </w:p>
    <w:p>
      <w:pPr>
        <w:spacing w:line="360" w:lineRule="auto"/>
        <w:ind w:firstLine="420" w:firstLineChars="200"/>
        <w:rPr>
          <w:rFonts w:ascii="宋体" w:hAnsi="宋体"/>
          <w:snapToGrid w:val="0"/>
          <w:color w:val="auto"/>
          <w:kern w:val="0"/>
          <w:szCs w:val="21"/>
          <w:highlight w:val="none"/>
        </w:rPr>
      </w:pPr>
      <w:r>
        <w:rPr>
          <w:rFonts w:hint="eastAsia" w:ascii="宋体" w:hAnsi="宋体"/>
          <w:snapToGrid w:val="0"/>
          <w:color w:val="auto"/>
          <w:kern w:val="0"/>
          <w:szCs w:val="21"/>
          <w:highlight w:val="none"/>
        </w:rPr>
        <w:t>法定代表人或其委托代理人：</w:t>
      </w:r>
      <w:r>
        <w:rPr>
          <w:rFonts w:hint="eastAsia"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rPr>
        <w:t>（签字）</w:t>
      </w:r>
    </w:p>
    <w:p>
      <w:pPr>
        <w:spacing w:line="360" w:lineRule="auto"/>
        <w:ind w:firstLine="420" w:firstLineChars="200"/>
        <w:rPr>
          <w:rFonts w:ascii="宋体" w:hAnsi="宋体"/>
          <w:snapToGrid w:val="0"/>
          <w:color w:val="auto"/>
          <w:kern w:val="0"/>
          <w:szCs w:val="21"/>
          <w:highlight w:val="none"/>
        </w:rPr>
      </w:pPr>
    </w:p>
    <w:p>
      <w:pPr>
        <w:spacing w:line="360" w:lineRule="auto"/>
        <w:ind w:firstLine="420" w:firstLineChars="200"/>
        <w:rPr>
          <w:rFonts w:ascii="宋体" w:hAnsi="宋体"/>
          <w:snapToGrid w:val="0"/>
          <w:color w:val="auto"/>
          <w:kern w:val="0"/>
          <w:szCs w:val="21"/>
          <w:highlight w:val="none"/>
        </w:rPr>
      </w:pPr>
    </w:p>
    <w:p>
      <w:pPr>
        <w:spacing w:line="360" w:lineRule="auto"/>
        <w:ind w:firstLine="420" w:firstLineChars="200"/>
        <w:rPr>
          <w:rFonts w:ascii="宋体" w:hAnsi="宋体"/>
          <w:color w:val="auto"/>
          <w:szCs w:val="21"/>
          <w:highlight w:val="none"/>
        </w:rPr>
      </w:pPr>
      <w:r>
        <w:rPr>
          <w:rFonts w:hint="eastAsia" w:ascii="宋体" w:hAnsi="宋体"/>
          <w:snapToGrid w:val="0"/>
          <w:color w:val="auto"/>
          <w:kern w:val="0"/>
          <w:szCs w:val="21"/>
          <w:highlight w:val="none"/>
        </w:rPr>
        <w:t>承包人：</w:t>
      </w:r>
      <w:r>
        <w:rPr>
          <w:rFonts w:hint="eastAsia"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rPr>
        <w:t>（盖单位公章）</w:t>
      </w:r>
    </w:p>
    <w:p>
      <w:pPr>
        <w:spacing w:line="360" w:lineRule="auto"/>
        <w:ind w:firstLine="420" w:firstLineChars="200"/>
        <w:rPr>
          <w:rFonts w:ascii="宋体" w:hAnsi="宋体"/>
          <w:snapToGrid w:val="0"/>
          <w:color w:val="auto"/>
          <w:kern w:val="0"/>
          <w:szCs w:val="21"/>
          <w:highlight w:val="none"/>
        </w:rPr>
      </w:pPr>
    </w:p>
    <w:p>
      <w:pPr>
        <w:spacing w:line="360" w:lineRule="auto"/>
        <w:ind w:firstLine="420" w:firstLineChars="200"/>
        <w:rPr>
          <w:rFonts w:ascii="宋体" w:hAnsi="宋体"/>
          <w:snapToGrid w:val="0"/>
          <w:color w:val="auto"/>
          <w:kern w:val="0"/>
          <w:szCs w:val="21"/>
          <w:highlight w:val="none"/>
        </w:rPr>
      </w:pPr>
    </w:p>
    <w:p>
      <w:pPr>
        <w:spacing w:line="360" w:lineRule="auto"/>
        <w:ind w:firstLine="420" w:firstLineChars="200"/>
        <w:rPr>
          <w:rFonts w:ascii="宋体" w:hAnsi="宋体"/>
          <w:bCs/>
          <w:color w:val="auto"/>
          <w:kern w:val="0"/>
          <w:szCs w:val="21"/>
          <w:highlight w:val="none"/>
        </w:rPr>
      </w:pPr>
      <w:r>
        <w:rPr>
          <w:rFonts w:hint="eastAsia" w:ascii="宋体" w:hAnsi="宋体"/>
          <w:snapToGrid w:val="0"/>
          <w:color w:val="auto"/>
          <w:kern w:val="0"/>
          <w:szCs w:val="21"/>
          <w:highlight w:val="none"/>
        </w:rPr>
        <w:t>法定代表人或其委托代理人：</w:t>
      </w:r>
      <w:r>
        <w:rPr>
          <w:rFonts w:hint="eastAsia"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rPr>
        <w:t>（签字）</w:t>
      </w:r>
    </w:p>
    <w:p>
      <w:pPr>
        <w:spacing w:line="360" w:lineRule="auto"/>
        <w:ind w:firstLine="418" w:firstLineChars="200"/>
        <w:rPr>
          <w:rFonts w:ascii="宋体" w:hAnsi="宋体"/>
          <w:snapToGrid w:val="0"/>
          <w:color w:val="auto"/>
          <w:spacing w:val="1"/>
          <w:w w:val="99"/>
          <w:kern w:val="0"/>
          <w:position w:val="-2"/>
          <w:szCs w:val="21"/>
          <w:highlight w:val="none"/>
        </w:rPr>
      </w:pPr>
    </w:p>
    <w:p>
      <w:pPr>
        <w:spacing w:line="360" w:lineRule="auto"/>
        <w:ind w:firstLine="418" w:firstLineChars="200"/>
        <w:rPr>
          <w:rFonts w:ascii="宋体" w:hAnsi="宋体"/>
          <w:snapToGrid w:val="0"/>
          <w:color w:val="auto"/>
          <w:spacing w:val="1"/>
          <w:w w:val="99"/>
          <w:kern w:val="0"/>
          <w:position w:val="-2"/>
          <w:szCs w:val="21"/>
          <w:highlight w:val="none"/>
        </w:rPr>
      </w:pPr>
    </w:p>
    <w:p>
      <w:pPr>
        <w:spacing w:line="360" w:lineRule="auto"/>
        <w:ind w:firstLine="420" w:firstLineChars="200"/>
        <w:rPr>
          <w:rFonts w:ascii="宋体" w:hAnsi="宋体"/>
          <w:snapToGrid w:val="0"/>
          <w:color w:val="auto"/>
          <w:kern w:val="0"/>
          <w:szCs w:val="21"/>
          <w:highlight w:val="none"/>
        </w:rPr>
      </w:pPr>
      <w:r>
        <w:rPr>
          <w:rFonts w:hint="eastAsia" w:ascii="宋体" w:hAnsi="宋体"/>
          <w:snapToGrid w:val="0"/>
          <w:color w:val="auto"/>
          <w:kern w:val="0"/>
          <w:szCs w:val="21"/>
          <w:highlight w:val="none"/>
        </w:rPr>
        <w:t>签约时间：</w:t>
      </w:r>
      <w:r>
        <w:rPr>
          <w:rFonts w:hint="eastAsia"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rPr>
        <w:t>年</w:t>
      </w:r>
      <w:r>
        <w:rPr>
          <w:rFonts w:hint="eastAsia"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rPr>
        <w:t>月</w:t>
      </w:r>
      <w:r>
        <w:rPr>
          <w:rFonts w:hint="eastAsia"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rPr>
        <w:t>日</w:t>
      </w:r>
    </w:p>
    <w:p>
      <w:pPr>
        <w:spacing w:line="480" w:lineRule="auto"/>
        <w:rPr>
          <w:rFonts w:ascii="宋体" w:hAnsi="宋体"/>
          <w:color w:val="auto"/>
          <w:szCs w:val="21"/>
          <w:highlight w:val="none"/>
        </w:rPr>
      </w:pPr>
      <w:r>
        <w:rPr>
          <w:rFonts w:hint="eastAsia" w:ascii="宋体" w:hAnsi="宋体"/>
          <w:color w:val="auto"/>
          <w:szCs w:val="21"/>
          <w:highlight w:val="none"/>
        </w:rPr>
        <w:br w:type="page"/>
      </w:r>
      <w:r>
        <w:rPr>
          <w:rFonts w:hint="eastAsia" w:ascii="宋体" w:hAnsi="宋体"/>
          <w:color w:val="auto"/>
          <w:szCs w:val="21"/>
          <w:highlight w:val="none"/>
        </w:rPr>
        <w:t>附件2：</w:t>
      </w:r>
    </w:p>
    <w:p>
      <w:pPr>
        <w:spacing w:before="120" w:beforeLines="50" w:after="120" w:afterLines="50" w:line="480" w:lineRule="auto"/>
        <w:jc w:val="center"/>
        <w:rPr>
          <w:rFonts w:ascii="宋体" w:hAnsi="宋体"/>
          <w:color w:val="auto"/>
          <w:szCs w:val="21"/>
          <w:highlight w:val="none"/>
        </w:rPr>
      </w:pPr>
      <w:r>
        <w:rPr>
          <w:rFonts w:hint="eastAsia" w:ascii="宋体" w:hAnsi="宋体"/>
          <w:color w:val="auto"/>
          <w:szCs w:val="21"/>
          <w:highlight w:val="none"/>
        </w:rPr>
        <w:t>主要建设工程文件目录</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536"/>
        <w:gridCol w:w="1418"/>
        <w:gridCol w:w="1418"/>
        <w:gridCol w:w="2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536"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文件名称</w:t>
            </w:r>
          </w:p>
        </w:tc>
        <w:tc>
          <w:tcPr>
            <w:tcW w:w="1418"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套数</w:t>
            </w:r>
          </w:p>
        </w:tc>
        <w:tc>
          <w:tcPr>
            <w:tcW w:w="1418" w:type="dxa"/>
          </w:tcPr>
          <w:p>
            <w:pPr>
              <w:spacing w:line="400" w:lineRule="exact"/>
              <w:jc w:val="center"/>
              <w:rPr>
                <w:rFonts w:ascii="宋体" w:hAnsi="宋体"/>
                <w:color w:val="auto"/>
                <w:szCs w:val="21"/>
                <w:highlight w:val="none"/>
              </w:rPr>
            </w:pPr>
            <w:r>
              <w:rPr>
                <w:rFonts w:hint="eastAsia" w:ascii="宋体" w:hAnsi="宋体"/>
                <w:color w:val="auto"/>
                <w:szCs w:val="21"/>
                <w:highlight w:val="none"/>
              </w:rPr>
              <w:t>移交时间</w:t>
            </w:r>
          </w:p>
        </w:tc>
        <w:tc>
          <w:tcPr>
            <w:tcW w:w="2917" w:type="dxa"/>
          </w:tcPr>
          <w:p>
            <w:pPr>
              <w:spacing w:line="400" w:lineRule="exact"/>
              <w:jc w:val="center"/>
              <w:rPr>
                <w:rFonts w:ascii="宋体" w:hAnsi="宋体"/>
                <w:color w:val="auto"/>
                <w:szCs w:val="21"/>
                <w:highlight w:val="none"/>
              </w:rPr>
            </w:pPr>
            <w:r>
              <w:rPr>
                <w:rFonts w:hint="eastAsia" w:ascii="宋体" w:hAnsi="宋体"/>
                <w:color w:val="auto"/>
                <w:szCs w:val="21"/>
                <w:highlight w:val="none"/>
              </w:rPr>
              <w:t>责任人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536" w:type="dxa"/>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2917"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536" w:type="dxa"/>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2917"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536" w:type="dxa"/>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2917"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536" w:type="dxa"/>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2917"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536" w:type="dxa"/>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2917"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536" w:type="dxa"/>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2917"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536" w:type="dxa"/>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2917"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536" w:type="dxa"/>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2917"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536" w:type="dxa"/>
          </w:tcPr>
          <w:p>
            <w:pPr>
              <w:spacing w:line="400" w:lineRule="exact"/>
              <w:ind w:firstLine="420" w:firstLineChars="200"/>
              <w:rPr>
                <w:rFonts w:ascii="宋体" w:hAnsi="宋体"/>
                <w:color w:val="auto"/>
                <w:szCs w:val="21"/>
                <w:highlight w:val="none"/>
              </w:rPr>
            </w:pPr>
          </w:p>
        </w:tc>
        <w:tc>
          <w:tcPr>
            <w:tcW w:w="1418" w:type="dxa"/>
          </w:tcPr>
          <w:p>
            <w:pPr>
              <w:spacing w:line="400" w:lineRule="exact"/>
              <w:ind w:firstLine="420" w:firstLineChars="200"/>
              <w:rPr>
                <w:rFonts w:ascii="宋体" w:hAnsi="宋体"/>
                <w:color w:val="auto"/>
                <w:szCs w:val="21"/>
                <w:highlight w:val="none"/>
              </w:rPr>
            </w:pPr>
          </w:p>
        </w:tc>
        <w:tc>
          <w:tcPr>
            <w:tcW w:w="1418" w:type="dxa"/>
          </w:tcPr>
          <w:p>
            <w:pPr>
              <w:spacing w:line="400" w:lineRule="exact"/>
              <w:ind w:firstLine="420" w:firstLineChars="200"/>
              <w:rPr>
                <w:rFonts w:ascii="宋体" w:hAnsi="宋体"/>
                <w:color w:val="auto"/>
                <w:szCs w:val="21"/>
                <w:highlight w:val="none"/>
              </w:rPr>
            </w:pPr>
          </w:p>
        </w:tc>
        <w:tc>
          <w:tcPr>
            <w:tcW w:w="2917" w:type="dxa"/>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536" w:type="dxa"/>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2917"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536" w:type="dxa"/>
          </w:tcPr>
          <w:p>
            <w:pPr>
              <w:spacing w:line="400" w:lineRule="exact"/>
              <w:ind w:firstLine="420" w:firstLineChars="200"/>
              <w:rPr>
                <w:rFonts w:ascii="宋体" w:hAnsi="宋体"/>
                <w:color w:val="auto"/>
                <w:szCs w:val="21"/>
                <w:highlight w:val="none"/>
              </w:rPr>
            </w:pPr>
          </w:p>
        </w:tc>
        <w:tc>
          <w:tcPr>
            <w:tcW w:w="1418" w:type="dxa"/>
          </w:tcPr>
          <w:p>
            <w:pPr>
              <w:spacing w:line="400" w:lineRule="exact"/>
              <w:ind w:firstLine="420" w:firstLineChars="200"/>
              <w:rPr>
                <w:rFonts w:ascii="宋体" w:hAnsi="宋体"/>
                <w:color w:val="auto"/>
                <w:szCs w:val="21"/>
                <w:highlight w:val="none"/>
              </w:rPr>
            </w:pPr>
          </w:p>
        </w:tc>
        <w:tc>
          <w:tcPr>
            <w:tcW w:w="1418" w:type="dxa"/>
          </w:tcPr>
          <w:p>
            <w:pPr>
              <w:spacing w:line="400" w:lineRule="exact"/>
              <w:ind w:firstLine="420" w:firstLineChars="200"/>
              <w:rPr>
                <w:rFonts w:ascii="宋体" w:hAnsi="宋体"/>
                <w:color w:val="auto"/>
                <w:szCs w:val="21"/>
                <w:highlight w:val="none"/>
              </w:rPr>
            </w:pPr>
          </w:p>
        </w:tc>
        <w:tc>
          <w:tcPr>
            <w:tcW w:w="2917" w:type="dxa"/>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536" w:type="dxa"/>
          </w:tcPr>
          <w:p>
            <w:pPr>
              <w:spacing w:line="400" w:lineRule="exact"/>
              <w:ind w:firstLine="420" w:firstLineChars="200"/>
              <w:rPr>
                <w:rFonts w:ascii="宋体" w:hAnsi="宋体"/>
                <w:color w:val="auto"/>
                <w:szCs w:val="21"/>
                <w:highlight w:val="none"/>
              </w:rPr>
            </w:pPr>
          </w:p>
        </w:tc>
        <w:tc>
          <w:tcPr>
            <w:tcW w:w="1418" w:type="dxa"/>
          </w:tcPr>
          <w:p>
            <w:pPr>
              <w:spacing w:line="400" w:lineRule="exact"/>
              <w:ind w:firstLine="420" w:firstLineChars="200"/>
              <w:rPr>
                <w:rFonts w:ascii="宋体" w:hAnsi="宋体"/>
                <w:color w:val="auto"/>
                <w:szCs w:val="21"/>
                <w:highlight w:val="none"/>
              </w:rPr>
            </w:pPr>
          </w:p>
        </w:tc>
        <w:tc>
          <w:tcPr>
            <w:tcW w:w="1418" w:type="dxa"/>
          </w:tcPr>
          <w:p>
            <w:pPr>
              <w:spacing w:line="400" w:lineRule="exact"/>
              <w:ind w:firstLine="420" w:firstLineChars="200"/>
              <w:rPr>
                <w:rFonts w:ascii="宋体" w:hAnsi="宋体"/>
                <w:color w:val="auto"/>
                <w:szCs w:val="21"/>
                <w:highlight w:val="none"/>
              </w:rPr>
            </w:pPr>
          </w:p>
        </w:tc>
        <w:tc>
          <w:tcPr>
            <w:tcW w:w="2917" w:type="dxa"/>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536" w:type="dxa"/>
          </w:tcPr>
          <w:p>
            <w:pPr>
              <w:spacing w:line="400" w:lineRule="exact"/>
              <w:ind w:firstLine="420" w:firstLineChars="200"/>
              <w:rPr>
                <w:rFonts w:ascii="宋体" w:hAnsi="宋体"/>
                <w:color w:val="auto"/>
                <w:szCs w:val="21"/>
                <w:highlight w:val="none"/>
              </w:rPr>
            </w:pPr>
          </w:p>
        </w:tc>
        <w:tc>
          <w:tcPr>
            <w:tcW w:w="1418" w:type="dxa"/>
          </w:tcPr>
          <w:p>
            <w:pPr>
              <w:spacing w:line="400" w:lineRule="exact"/>
              <w:ind w:firstLine="420" w:firstLineChars="200"/>
              <w:rPr>
                <w:rFonts w:ascii="宋体" w:hAnsi="宋体"/>
                <w:color w:val="auto"/>
                <w:szCs w:val="21"/>
                <w:highlight w:val="none"/>
              </w:rPr>
            </w:pPr>
          </w:p>
        </w:tc>
        <w:tc>
          <w:tcPr>
            <w:tcW w:w="1418" w:type="dxa"/>
          </w:tcPr>
          <w:p>
            <w:pPr>
              <w:spacing w:line="400" w:lineRule="exact"/>
              <w:ind w:firstLine="420" w:firstLineChars="200"/>
              <w:rPr>
                <w:rFonts w:ascii="宋体" w:hAnsi="宋体"/>
                <w:color w:val="auto"/>
                <w:szCs w:val="21"/>
                <w:highlight w:val="none"/>
              </w:rPr>
            </w:pPr>
          </w:p>
        </w:tc>
        <w:tc>
          <w:tcPr>
            <w:tcW w:w="2917" w:type="dxa"/>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536" w:type="dxa"/>
          </w:tcPr>
          <w:p>
            <w:pPr>
              <w:spacing w:line="400" w:lineRule="exact"/>
              <w:ind w:firstLine="420" w:firstLineChars="200"/>
              <w:rPr>
                <w:rFonts w:ascii="宋体" w:hAnsi="宋体"/>
                <w:color w:val="auto"/>
                <w:szCs w:val="21"/>
                <w:highlight w:val="none"/>
              </w:rPr>
            </w:pPr>
          </w:p>
        </w:tc>
        <w:tc>
          <w:tcPr>
            <w:tcW w:w="1418" w:type="dxa"/>
          </w:tcPr>
          <w:p>
            <w:pPr>
              <w:spacing w:line="400" w:lineRule="exact"/>
              <w:ind w:firstLine="420" w:firstLineChars="200"/>
              <w:rPr>
                <w:rFonts w:ascii="宋体" w:hAnsi="宋体"/>
                <w:color w:val="auto"/>
                <w:szCs w:val="21"/>
                <w:highlight w:val="none"/>
              </w:rPr>
            </w:pPr>
          </w:p>
        </w:tc>
        <w:tc>
          <w:tcPr>
            <w:tcW w:w="1418" w:type="dxa"/>
          </w:tcPr>
          <w:p>
            <w:pPr>
              <w:spacing w:line="400" w:lineRule="exact"/>
              <w:ind w:firstLine="420" w:firstLineChars="200"/>
              <w:rPr>
                <w:rFonts w:ascii="宋体" w:hAnsi="宋体"/>
                <w:color w:val="auto"/>
                <w:szCs w:val="21"/>
                <w:highlight w:val="none"/>
              </w:rPr>
            </w:pPr>
          </w:p>
        </w:tc>
        <w:tc>
          <w:tcPr>
            <w:tcW w:w="2917" w:type="dxa"/>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536" w:type="dxa"/>
          </w:tcPr>
          <w:p>
            <w:pPr>
              <w:spacing w:line="400" w:lineRule="exact"/>
              <w:ind w:firstLine="420" w:firstLineChars="200"/>
              <w:rPr>
                <w:rFonts w:ascii="宋体" w:hAnsi="宋体"/>
                <w:color w:val="auto"/>
                <w:szCs w:val="21"/>
                <w:highlight w:val="none"/>
              </w:rPr>
            </w:pPr>
          </w:p>
        </w:tc>
        <w:tc>
          <w:tcPr>
            <w:tcW w:w="1418" w:type="dxa"/>
          </w:tcPr>
          <w:p>
            <w:pPr>
              <w:spacing w:line="400" w:lineRule="exact"/>
              <w:ind w:firstLine="420" w:firstLineChars="200"/>
              <w:rPr>
                <w:rFonts w:ascii="宋体" w:hAnsi="宋体"/>
                <w:color w:val="auto"/>
                <w:szCs w:val="21"/>
                <w:highlight w:val="none"/>
              </w:rPr>
            </w:pPr>
          </w:p>
        </w:tc>
        <w:tc>
          <w:tcPr>
            <w:tcW w:w="1418" w:type="dxa"/>
          </w:tcPr>
          <w:p>
            <w:pPr>
              <w:spacing w:line="400" w:lineRule="exact"/>
              <w:ind w:firstLine="420" w:firstLineChars="200"/>
              <w:rPr>
                <w:rFonts w:ascii="宋体" w:hAnsi="宋体"/>
                <w:color w:val="auto"/>
                <w:szCs w:val="21"/>
                <w:highlight w:val="none"/>
              </w:rPr>
            </w:pPr>
          </w:p>
        </w:tc>
        <w:tc>
          <w:tcPr>
            <w:tcW w:w="2917" w:type="dxa"/>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536" w:type="dxa"/>
          </w:tcPr>
          <w:p>
            <w:pPr>
              <w:spacing w:line="400" w:lineRule="exact"/>
              <w:ind w:firstLine="420" w:firstLineChars="200"/>
              <w:rPr>
                <w:rFonts w:ascii="宋体" w:hAnsi="宋体"/>
                <w:color w:val="auto"/>
                <w:szCs w:val="21"/>
                <w:highlight w:val="none"/>
              </w:rPr>
            </w:pPr>
          </w:p>
        </w:tc>
        <w:tc>
          <w:tcPr>
            <w:tcW w:w="1418" w:type="dxa"/>
          </w:tcPr>
          <w:p>
            <w:pPr>
              <w:spacing w:line="400" w:lineRule="exact"/>
              <w:ind w:firstLine="420" w:firstLineChars="200"/>
              <w:rPr>
                <w:rFonts w:ascii="宋体" w:hAnsi="宋体"/>
                <w:color w:val="auto"/>
                <w:szCs w:val="21"/>
                <w:highlight w:val="none"/>
              </w:rPr>
            </w:pPr>
          </w:p>
        </w:tc>
        <w:tc>
          <w:tcPr>
            <w:tcW w:w="1418" w:type="dxa"/>
          </w:tcPr>
          <w:p>
            <w:pPr>
              <w:spacing w:line="400" w:lineRule="exact"/>
              <w:ind w:firstLine="420" w:firstLineChars="200"/>
              <w:rPr>
                <w:rFonts w:ascii="宋体" w:hAnsi="宋体"/>
                <w:color w:val="auto"/>
                <w:szCs w:val="21"/>
                <w:highlight w:val="none"/>
              </w:rPr>
            </w:pPr>
          </w:p>
        </w:tc>
        <w:tc>
          <w:tcPr>
            <w:tcW w:w="2917" w:type="dxa"/>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536" w:type="dxa"/>
          </w:tcPr>
          <w:p>
            <w:pPr>
              <w:spacing w:line="400" w:lineRule="exact"/>
              <w:ind w:firstLine="420" w:firstLineChars="200"/>
              <w:rPr>
                <w:rFonts w:ascii="宋体" w:hAnsi="宋体"/>
                <w:color w:val="auto"/>
                <w:szCs w:val="21"/>
                <w:highlight w:val="none"/>
              </w:rPr>
            </w:pPr>
          </w:p>
        </w:tc>
        <w:tc>
          <w:tcPr>
            <w:tcW w:w="1418" w:type="dxa"/>
          </w:tcPr>
          <w:p>
            <w:pPr>
              <w:spacing w:line="400" w:lineRule="exact"/>
              <w:ind w:firstLine="420" w:firstLineChars="200"/>
              <w:rPr>
                <w:rFonts w:ascii="宋体" w:hAnsi="宋体"/>
                <w:color w:val="auto"/>
                <w:szCs w:val="21"/>
                <w:highlight w:val="none"/>
              </w:rPr>
            </w:pPr>
          </w:p>
        </w:tc>
        <w:tc>
          <w:tcPr>
            <w:tcW w:w="1418" w:type="dxa"/>
          </w:tcPr>
          <w:p>
            <w:pPr>
              <w:spacing w:line="400" w:lineRule="exact"/>
              <w:ind w:firstLine="420" w:firstLineChars="200"/>
              <w:rPr>
                <w:rFonts w:ascii="宋体" w:hAnsi="宋体"/>
                <w:color w:val="auto"/>
                <w:szCs w:val="21"/>
                <w:highlight w:val="none"/>
              </w:rPr>
            </w:pPr>
          </w:p>
        </w:tc>
        <w:tc>
          <w:tcPr>
            <w:tcW w:w="2917" w:type="dxa"/>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3536" w:type="dxa"/>
          </w:tcPr>
          <w:p>
            <w:pPr>
              <w:spacing w:line="400" w:lineRule="exact"/>
              <w:ind w:firstLine="420" w:firstLineChars="200"/>
              <w:rPr>
                <w:rFonts w:ascii="宋体" w:hAnsi="宋体"/>
                <w:color w:val="auto"/>
                <w:szCs w:val="21"/>
                <w:highlight w:val="none"/>
              </w:rPr>
            </w:pPr>
          </w:p>
        </w:tc>
        <w:tc>
          <w:tcPr>
            <w:tcW w:w="1418" w:type="dxa"/>
          </w:tcPr>
          <w:p>
            <w:pPr>
              <w:spacing w:line="400" w:lineRule="exact"/>
              <w:ind w:firstLine="420" w:firstLineChars="200"/>
              <w:rPr>
                <w:rFonts w:ascii="宋体" w:hAnsi="宋体"/>
                <w:color w:val="auto"/>
                <w:szCs w:val="21"/>
                <w:highlight w:val="none"/>
              </w:rPr>
            </w:pPr>
          </w:p>
        </w:tc>
        <w:tc>
          <w:tcPr>
            <w:tcW w:w="1418" w:type="dxa"/>
          </w:tcPr>
          <w:p>
            <w:pPr>
              <w:spacing w:line="400" w:lineRule="exact"/>
              <w:ind w:firstLine="420" w:firstLineChars="200"/>
              <w:rPr>
                <w:rFonts w:ascii="宋体" w:hAnsi="宋体"/>
                <w:color w:val="auto"/>
                <w:szCs w:val="21"/>
                <w:highlight w:val="none"/>
              </w:rPr>
            </w:pPr>
          </w:p>
        </w:tc>
        <w:tc>
          <w:tcPr>
            <w:tcW w:w="2917" w:type="dxa"/>
          </w:tcPr>
          <w:p>
            <w:pPr>
              <w:spacing w:line="400" w:lineRule="exact"/>
              <w:ind w:firstLine="420" w:firstLineChars="200"/>
              <w:rPr>
                <w:rFonts w:ascii="宋体" w:hAnsi="宋体"/>
                <w:color w:val="auto"/>
                <w:szCs w:val="21"/>
                <w:highlight w:val="none"/>
              </w:rPr>
            </w:pPr>
          </w:p>
        </w:tc>
      </w:tr>
    </w:tbl>
    <w:p>
      <w:pPr>
        <w:spacing w:line="360" w:lineRule="auto"/>
        <w:ind w:firstLine="420" w:firstLineChars="200"/>
        <w:rPr>
          <w:rFonts w:ascii="宋体" w:hAnsi="宋体"/>
          <w:color w:val="auto"/>
          <w:szCs w:val="21"/>
          <w:highlight w:val="none"/>
        </w:rPr>
      </w:pPr>
    </w:p>
    <w:p>
      <w:pPr>
        <w:spacing w:line="480" w:lineRule="auto"/>
        <w:rPr>
          <w:rFonts w:ascii="宋体" w:hAnsi="宋体"/>
          <w:color w:val="auto"/>
          <w:szCs w:val="21"/>
          <w:highlight w:val="none"/>
        </w:rPr>
      </w:pPr>
      <w:r>
        <w:rPr>
          <w:rFonts w:hint="eastAsia" w:ascii="宋体" w:hAnsi="宋体"/>
          <w:color w:val="auto"/>
          <w:szCs w:val="21"/>
          <w:highlight w:val="none"/>
        </w:rPr>
        <w:br w:type="page"/>
      </w:r>
      <w:r>
        <w:rPr>
          <w:rFonts w:hint="eastAsia" w:ascii="宋体" w:hAnsi="宋体"/>
          <w:color w:val="auto"/>
          <w:szCs w:val="21"/>
          <w:highlight w:val="none"/>
        </w:rPr>
        <w:t>附</w:t>
      </w:r>
      <w:bookmarkStart w:id="849" w:name="_Toc296346729"/>
      <w:bookmarkStart w:id="850" w:name="_Toc296347227"/>
      <w:bookmarkStart w:id="851" w:name="_Toc296891268"/>
      <w:bookmarkStart w:id="852" w:name="_Toc296944567"/>
      <w:bookmarkStart w:id="853" w:name="_Toc267261699"/>
      <w:bookmarkStart w:id="854" w:name="_Toc296503228"/>
      <w:bookmarkStart w:id="855" w:name="_Toc296891056"/>
      <w:r>
        <w:rPr>
          <w:rFonts w:hint="eastAsia" w:ascii="宋体" w:hAnsi="宋体"/>
          <w:color w:val="auto"/>
          <w:szCs w:val="21"/>
          <w:highlight w:val="none"/>
        </w:rPr>
        <w:t>件3：</w:t>
      </w:r>
    </w:p>
    <w:bookmarkEnd w:id="849"/>
    <w:bookmarkEnd w:id="850"/>
    <w:bookmarkEnd w:id="851"/>
    <w:bookmarkEnd w:id="852"/>
    <w:bookmarkEnd w:id="853"/>
    <w:bookmarkEnd w:id="854"/>
    <w:bookmarkEnd w:id="855"/>
    <w:p>
      <w:pPr>
        <w:spacing w:before="120" w:beforeLines="50" w:after="120" w:afterLines="50" w:line="480" w:lineRule="auto"/>
        <w:jc w:val="center"/>
        <w:rPr>
          <w:rFonts w:ascii="宋体" w:hAnsi="宋体"/>
          <w:color w:val="auto"/>
          <w:szCs w:val="21"/>
          <w:highlight w:val="none"/>
        </w:rPr>
      </w:pPr>
      <w:r>
        <w:rPr>
          <w:rFonts w:hint="eastAsia" w:ascii="宋体" w:hAnsi="宋体"/>
          <w:color w:val="auto"/>
          <w:szCs w:val="21"/>
          <w:highlight w:val="none"/>
        </w:rPr>
        <w:t>承包人项目管理机构组成表</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名    称</w:t>
            </w:r>
          </w:p>
        </w:tc>
        <w:tc>
          <w:tcPr>
            <w:tcW w:w="1418"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姓名</w:t>
            </w:r>
          </w:p>
        </w:tc>
        <w:tc>
          <w:tcPr>
            <w:tcW w:w="1134"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职务</w:t>
            </w:r>
          </w:p>
        </w:tc>
        <w:tc>
          <w:tcPr>
            <w:tcW w:w="1134"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职称</w:t>
            </w:r>
          </w:p>
        </w:tc>
        <w:tc>
          <w:tcPr>
            <w:tcW w:w="4252"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主要资历、经验及承担过的项目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47" w:hRule="atLeast"/>
          <w:jc w:val="center"/>
        </w:trPr>
        <w:tc>
          <w:tcPr>
            <w:tcW w:w="9809" w:type="dxa"/>
            <w:gridSpan w:val="5"/>
            <w:vAlign w:val="center"/>
          </w:tcPr>
          <w:p>
            <w:pPr>
              <w:spacing w:line="400" w:lineRule="exact"/>
              <w:rPr>
                <w:rFonts w:ascii="宋体" w:hAnsi="宋体"/>
                <w:color w:val="auto"/>
                <w:szCs w:val="21"/>
                <w:highlight w:val="none"/>
              </w:rPr>
            </w:pPr>
            <w:r>
              <w:rPr>
                <w:rFonts w:hint="eastAsia" w:ascii="宋体" w:hAnsi="宋体"/>
                <w:color w:val="auto"/>
                <w:szCs w:val="21"/>
                <w:highlight w:val="none"/>
              </w:rPr>
              <w:t>一、总部人员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项目主管</w:t>
            </w:r>
          </w:p>
        </w:tc>
        <w:tc>
          <w:tcPr>
            <w:tcW w:w="1418"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4252"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Align w:val="center"/>
          </w:tcPr>
          <w:p>
            <w:pPr>
              <w:spacing w:line="400" w:lineRule="exact"/>
              <w:jc w:val="center"/>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4252"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871"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其他人员</w:t>
            </w:r>
          </w:p>
        </w:tc>
        <w:tc>
          <w:tcPr>
            <w:tcW w:w="1418"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4252"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Align w:val="center"/>
          </w:tcPr>
          <w:p>
            <w:pPr>
              <w:spacing w:line="400" w:lineRule="exact"/>
              <w:jc w:val="center"/>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4252"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809" w:type="dxa"/>
            <w:gridSpan w:val="5"/>
            <w:vAlign w:val="center"/>
          </w:tcPr>
          <w:p>
            <w:pPr>
              <w:spacing w:line="400" w:lineRule="exact"/>
              <w:rPr>
                <w:rFonts w:ascii="宋体" w:hAnsi="宋体"/>
                <w:color w:val="auto"/>
                <w:szCs w:val="21"/>
                <w:highlight w:val="none"/>
              </w:rPr>
            </w:pPr>
            <w:r>
              <w:rPr>
                <w:rFonts w:hint="eastAsia" w:ascii="宋体" w:hAnsi="宋体"/>
                <w:color w:val="auto"/>
                <w:szCs w:val="21"/>
                <w:highlight w:val="none"/>
              </w:rPr>
              <w:t>二、现场人员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项目经理</w:t>
            </w:r>
          </w:p>
        </w:tc>
        <w:tc>
          <w:tcPr>
            <w:tcW w:w="1418"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4252"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871"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项目副经理</w:t>
            </w:r>
          </w:p>
        </w:tc>
        <w:tc>
          <w:tcPr>
            <w:tcW w:w="1418"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4252"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技术负责人</w:t>
            </w:r>
          </w:p>
        </w:tc>
        <w:tc>
          <w:tcPr>
            <w:tcW w:w="1418"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4252"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造价管理</w:t>
            </w:r>
          </w:p>
        </w:tc>
        <w:tc>
          <w:tcPr>
            <w:tcW w:w="1418"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4252"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质量管理</w:t>
            </w:r>
          </w:p>
        </w:tc>
        <w:tc>
          <w:tcPr>
            <w:tcW w:w="1418"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4252"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材料管理</w:t>
            </w:r>
          </w:p>
        </w:tc>
        <w:tc>
          <w:tcPr>
            <w:tcW w:w="1418"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4252"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871"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计划管理</w:t>
            </w:r>
          </w:p>
        </w:tc>
        <w:tc>
          <w:tcPr>
            <w:tcW w:w="1418"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4252"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安全管理</w:t>
            </w:r>
          </w:p>
        </w:tc>
        <w:tc>
          <w:tcPr>
            <w:tcW w:w="1418"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4252"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其他人员</w:t>
            </w:r>
          </w:p>
        </w:tc>
        <w:tc>
          <w:tcPr>
            <w:tcW w:w="1418"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4252"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4252"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4252"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7" w:hRule="atLeast"/>
          <w:jc w:val="center"/>
        </w:trPr>
        <w:tc>
          <w:tcPr>
            <w:tcW w:w="1871" w:type="dxa"/>
            <w:vMerge w:val="continue"/>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4252" w:type="dxa"/>
            <w:vAlign w:val="center"/>
          </w:tcPr>
          <w:p>
            <w:pPr>
              <w:spacing w:line="400" w:lineRule="exact"/>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0" w:hRule="atLeast"/>
          <w:jc w:val="center"/>
        </w:trPr>
        <w:tc>
          <w:tcPr>
            <w:tcW w:w="1871" w:type="dxa"/>
            <w:vMerge w:val="continue"/>
            <w:vAlign w:val="center"/>
          </w:tcPr>
          <w:p>
            <w:pPr>
              <w:spacing w:line="400" w:lineRule="exact"/>
              <w:ind w:firstLine="420" w:firstLineChars="200"/>
              <w:rPr>
                <w:rFonts w:ascii="宋体" w:hAnsi="宋体"/>
                <w:color w:val="auto"/>
                <w:szCs w:val="21"/>
                <w:highlight w:val="none"/>
              </w:rPr>
            </w:pPr>
          </w:p>
        </w:tc>
        <w:tc>
          <w:tcPr>
            <w:tcW w:w="1418"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1134" w:type="dxa"/>
            <w:vAlign w:val="center"/>
          </w:tcPr>
          <w:p>
            <w:pPr>
              <w:spacing w:line="400" w:lineRule="exact"/>
              <w:ind w:firstLine="420" w:firstLineChars="200"/>
              <w:rPr>
                <w:rFonts w:ascii="宋体" w:hAnsi="宋体"/>
                <w:color w:val="auto"/>
                <w:szCs w:val="21"/>
                <w:highlight w:val="none"/>
              </w:rPr>
            </w:pPr>
          </w:p>
        </w:tc>
        <w:tc>
          <w:tcPr>
            <w:tcW w:w="4252" w:type="dxa"/>
            <w:vAlign w:val="center"/>
          </w:tcPr>
          <w:p>
            <w:pPr>
              <w:spacing w:line="400" w:lineRule="exact"/>
              <w:ind w:firstLine="420" w:firstLineChars="200"/>
              <w:rPr>
                <w:rFonts w:ascii="宋体" w:hAnsi="宋体"/>
                <w:color w:val="auto"/>
                <w:szCs w:val="21"/>
                <w:highlight w:val="none"/>
              </w:rPr>
            </w:pPr>
          </w:p>
        </w:tc>
      </w:tr>
    </w:tbl>
    <w:p>
      <w:pPr>
        <w:spacing w:line="480" w:lineRule="auto"/>
        <w:rPr>
          <w:rFonts w:ascii="宋体" w:hAnsi="宋体"/>
          <w:color w:val="auto"/>
          <w:szCs w:val="21"/>
          <w:highlight w:val="none"/>
        </w:rPr>
      </w:pPr>
      <w:r>
        <w:rPr>
          <w:rFonts w:hint="eastAsia" w:ascii="宋体" w:hAnsi="宋体"/>
          <w:color w:val="auto"/>
          <w:szCs w:val="21"/>
          <w:highlight w:val="none"/>
        </w:rPr>
        <w:br w:type="page"/>
      </w:r>
      <w:bookmarkStart w:id="856" w:name="_Toc267261701"/>
      <w:r>
        <w:rPr>
          <w:rFonts w:hint="eastAsia" w:ascii="宋体" w:hAnsi="宋体"/>
          <w:color w:val="auto"/>
          <w:szCs w:val="21"/>
          <w:highlight w:val="none"/>
        </w:rPr>
        <w:t>附</w:t>
      </w:r>
      <w:bookmarkStart w:id="857" w:name="_Toc296944570"/>
      <w:bookmarkStart w:id="858" w:name="_Toc296346732"/>
      <w:bookmarkStart w:id="859" w:name="_Toc296503231"/>
      <w:bookmarkStart w:id="860" w:name="_Toc296347230"/>
      <w:bookmarkStart w:id="861" w:name="_Toc296891059"/>
      <w:bookmarkStart w:id="862" w:name="_Toc296891271"/>
      <w:r>
        <w:rPr>
          <w:rFonts w:hint="eastAsia" w:ascii="宋体" w:hAnsi="宋体"/>
          <w:color w:val="auto"/>
          <w:szCs w:val="21"/>
          <w:highlight w:val="none"/>
        </w:rPr>
        <w:t>件4：</w:t>
      </w:r>
    </w:p>
    <w:bookmarkEnd w:id="856"/>
    <w:bookmarkEnd w:id="857"/>
    <w:bookmarkEnd w:id="858"/>
    <w:bookmarkEnd w:id="859"/>
    <w:bookmarkEnd w:id="860"/>
    <w:bookmarkEnd w:id="861"/>
    <w:bookmarkEnd w:id="862"/>
    <w:p>
      <w:pPr>
        <w:spacing w:before="120" w:beforeLines="50" w:after="120" w:afterLines="50" w:line="480" w:lineRule="auto"/>
        <w:jc w:val="center"/>
        <w:rPr>
          <w:rFonts w:ascii="宋体" w:hAnsi="宋体"/>
          <w:color w:val="auto"/>
          <w:szCs w:val="21"/>
          <w:highlight w:val="none"/>
        </w:rPr>
      </w:pPr>
      <w:r>
        <w:rPr>
          <w:rFonts w:hint="eastAsia" w:ascii="宋体" w:hAnsi="宋体"/>
          <w:color w:val="auto"/>
          <w:szCs w:val="21"/>
          <w:highlight w:val="none"/>
        </w:rPr>
        <w:t>履约担保（如有）</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ab/>
      </w:r>
      <w:r>
        <w:rPr>
          <w:rFonts w:hint="eastAsia" w:ascii="宋体" w:hAnsi="宋体"/>
          <w:color w:val="auto"/>
          <w:szCs w:val="21"/>
          <w:highlight w:val="none"/>
          <w:u w:val="single"/>
        </w:rPr>
        <w:t xml:space="preserve">       </w:t>
      </w:r>
      <w:r>
        <w:rPr>
          <w:rFonts w:hint="eastAsia" w:ascii="宋体" w:hAnsi="宋体"/>
          <w:color w:val="auto"/>
          <w:szCs w:val="21"/>
          <w:highlight w:val="none"/>
        </w:rPr>
        <w:t>（发包人名称）：</w:t>
      </w:r>
    </w:p>
    <w:p>
      <w:pPr>
        <w:spacing w:line="360" w:lineRule="auto"/>
        <w:ind w:firstLine="420" w:firstLineChars="200"/>
        <w:rPr>
          <w:rFonts w:ascii="宋体" w:hAnsi="宋体"/>
          <w:color w:val="auto"/>
          <w:szCs w:val="21"/>
          <w:highlight w:val="none"/>
        </w:rPr>
      </w:pP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鉴于</w:t>
      </w:r>
      <w:r>
        <w:rPr>
          <w:rFonts w:hint="eastAsia" w:ascii="宋体" w:hAnsi="宋体"/>
          <w:color w:val="auto"/>
          <w:szCs w:val="21"/>
          <w:highlight w:val="none"/>
          <w:u w:val="single"/>
        </w:rPr>
        <w:t xml:space="preserve">                </w:t>
      </w:r>
      <w:r>
        <w:rPr>
          <w:rFonts w:hint="eastAsia" w:ascii="宋体" w:hAnsi="宋体"/>
          <w:color w:val="auto"/>
          <w:szCs w:val="21"/>
          <w:highlight w:val="none"/>
        </w:rPr>
        <w:t>（发包人名称，以下简称“发包人”）与</w:t>
      </w:r>
    </w:p>
    <w:p>
      <w:pPr>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（承包人名称）（以下称“承包人”）拟就</w:t>
      </w:r>
      <w:r>
        <w:rPr>
          <w:rFonts w:hint="eastAsia" w:ascii="宋体" w:hAnsi="宋体"/>
          <w:color w:val="auto"/>
          <w:szCs w:val="21"/>
          <w:highlight w:val="none"/>
          <w:u w:val="single"/>
        </w:rPr>
        <w:t xml:space="preserve">                         </w:t>
      </w:r>
      <w:r>
        <w:rPr>
          <w:rFonts w:hint="eastAsia" w:ascii="宋体" w:hAnsi="宋体"/>
          <w:color w:val="auto"/>
          <w:szCs w:val="21"/>
          <w:highlight w:val="none"/>
        </w:rPr>
        <w:t>（工程名称）施工及有关事项协商一致共同签订《建设工程施工合同》。我方愿意无条件地、不可撤销地就承包人履行与你方签订的合同，向你方提供连带责任担保。</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 担保金额人民币（大写）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元（¥</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 担保有效期：</w:t>
      </w:r>
      <w:r>
        <w:rPr>
          <w:rFonts w:hint="eastAsia" w:ascii="宋体" w:hAnsi="宋体"/>
          <w:color w:val="auto"/>
          <w:szCs w:val="21"/>
          <w:highlight w:val="none"/>
          <w:u w:val="single"/>
        </w:rPr>
        <w:t>自提交履约担保之日起至竣工验收合格之日止</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 在本担保有效期内，我方在收到你方以书面形式提出的在担保金额内的赔偿要求后，在7天内无条件支付。</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 你方和承包人按合同约定变更合同时，我方承担本担保规定的义务不变。</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 因本保函发生的纠纷，可由双方协商解决，协商不成的，按下列第</w:t>
      </w:r>
      <w:r>
        <w:rPr>
          <w:rFonts w:hint="eastAsia" w:ascii="宋体" w:hAnsi="宋体"/>
          <w:color w:val="auto"/>
          <w:szCs w:val="21"/>
          <w:highlight w:val="none"/>
          <w:u w:val="single"/>
        </w:rPr>
        <w:t xml:space="preserve">    </w:t>
      </w:r>
      <w:r>
        <w:rPr>
          <w:rFonts w:hint="eastAsia" w:ascii="宋体" w:hAnsi="宋体"/>
          <w:color w:val="auto"/>
          <w:szCs w:val="21"/>
          <w:highlight w:val="none"/>
        </w:rPr>
        <w:t>种方式解决：</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（1）向</w:t>
      </w:r>
      <w:r>
        <w:rPr>
          <w:rFonts w:hint="eastAsia" w:ascii="宋体" w:hAnsi="宋体"/>
          <w:color w:val="auto"/>
          <w:szCs w:val="21"/>
          <w:highlight w:val="none"/>
          <w:u w:val="single"/>
        </w:rPr>
        <w:t xml:space="preserve">                     </w:t>
      </w:r>
      <w:r>
        <w:rPr>
          <w:rFonts w:hint="eastAsia" w:ascii="宋体" w:hAnsi="宋体"/>
          <w:color w:val="auto"/>
          <w:szCs w:val="21"/>
          <w:highlight w:val="none"/>
        </w:rPr>
        <w:t>仲裁委员会申请仲裁；</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（2）向</w:t>
      </w:r>
      <w:r>
        <w:rPr>
          <w:rFonts w:hint="eastAsia" w:ascii="宋体" w:hAnsi="宋体"/>
          <w:color w:val="auto"/>
          <w:szCs w:val="21"/>
          <w:highlight w:val="none"/>
          <w:u w:val="single"/>
        </w:rPr>
        <w:t xml:space="preserve">                     </w:t>
      </w:r>
      <w:r>
        <w:rPr>
          <w:rFonts w:hint="eastAsia" w:ascii="宋体" w:hAnsi="宋体"/>
          <w:color w:val="auto"/>
          <w:szCs w:val="21"/>
          <w:highlight w:val="none"/>
        </w:rPr>
        <w:t>人民法院起诉。</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 本保函自我方法定代表人（或其委托代理人）签字并加盖公章之日起生效。</w:t>
      </w:r>
    </w:p>
    <w:p>
      <w:pPr>
        <w:spacing w:line="360" w:lineRule="auto"/>
        <w:rPr>
          <w:rFonts w:ascii="宋体" w:hAnsi="宋体"/>
          <w:color w:val="auto"/>
          <w:szCs w:val="21"/>
          <w:highlight w:val="none"/>
        </w:rPr>
      </w:pPr>
    </w:p>
    <w:p>
      <w:pPr>
        <w:spacing w:line="360" w:lineRule="auto"/>
        <w:rPr>
          <w:rFonts w:ascii="宋体" w:hAnsi="宋体"/>
          <w:color w:val="auto"/>
          <w:szCs w:val="21"/>
          <w:highlight w:val="none"/>
        </w:rPr>
      </w:pP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担 保 人：</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地    址：</w:t>
      </w:r>
      <w:r>
        <w:rPr>
          <w:rFonts w:hint="eastAsia" w:ascii="宋体" w:hAnsi="宋体"/>
          <w:color w:val="auto"/>
          <w:szCs w:val="21"/>
          <w:highlight w:val="none"/>
          <w:u w:val="single"/>
        </w:rPr>
        <w:t xml:space="preserve">                                      </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邮政编码：</w:t>
      </w:r>
      <w:r>
        <w:rPr>
          <w:rFonts w:hint="eastAsia" w:ascii="宋体" w:hAnsi="宋体"/>
          <w:color w:val="auto"/>
          <w:szCs w:val="21"/>
          <w:highlight w:val="none"/>
          <w:u w:val="single"/>
        </w:rPr>
        <w:t xml:space="preserve">                                      </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电    话：</w:t>
      </w:r>
      <w:r>
        <w:rPr>
          <w:rFonts w:hint="eastAsia" w:ascii="宋体" w:hAnsi="宋体"/>
          <w:color w:val="auto"/>
          <w:szCs w:val="21"/>
          <w:highlight w:val="none"/>
          <w:u w:val="single"/>
        </w:rPr>
        <w:t xml:space="preserve">                                      </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传    真：</w:t>
      </w:r>
      <w:r>
        <w:rPr>
          <w:rFonts w:hint="eastAsia" w:ascii="宋体" w:hAnsi="宋体"/>
          <w:color w:val="auto"/>
          <w:szCs w:val="21"/>
          <w:highlight w:val="none"/>
          <w:u w:val="single"/>
        </w:rPr>
        <w:t xml:space="preserve">                                      </w:t>
      </w:r>
    </w:p>
    <w:p>
      <w:pPr>
        <w:spacing w:line="360" w:lineRule="auto"/>
        <w:ind w:right="840"/>
        <w:rPr>
          <w:rFonts w:ascii="宋体" w:hAnsi="宋体"/>
          <w:color w:val="auto"/>
          <w:szCs w:val="21"/>
          <w:highlight w:val="none"/>
          <w:u w:val="single"/>
        </w:rPr>
      </w:pPr>
    </w:p>
    <w:p>
      <w:pPr>
        <w:spacing w:line="360" w:lineRule="auto"/>
        <w:ind w:firstLine="420" w:firstLineChars="200"/>
        <w:jc w:val="right"/>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pPr>
        <w:spacing w:line="480" w:lineRule="auto"/>
        <w:rPr>
          <w:rFonts w:ascii="宋体" w:hAnsi="宋体"/>
          <w:color w:val="auto"/>
          <w:szCs w:val="21"/>
          <w:highlight w:val="none"/>
        </w:rPr>
      </w:pPr>
      <w:r>
        <w:rPr>
          <w:rFonts w:hint="eastAsia" w:ascii="宋体" w:hAnsi="宋体"/>
          <w:color w:val="auto"/>
          <w:szCs w:val="21"/>
          <w:highlight w:val="none"/>
        </w:rPr>
        <w:br w:type="page"/>
      </w:r>
      <w:r>
        <w:rPr>
          <w:rFonts w:hint="eastAsia" w:ascii="宋体" w:hAnsi="宋体"/>
          <w:color w:val="auto"/>
          <w:szCs w:val="21"/>
          <w:highlight w:val="none"/>
        </w:rPr>
        <w:t>附</w:t>
      </w:r>
      <w:bookmarkStart w:id="863" w:name="_Toc296346734"/>
      <w:bookmarkStart w:id="864" w:name="_Toc296503233"/>
      <w:bookmarkStart w:id="865" w:name="_Toc296891273"/>
      <w:bookmarkStart w:id="866" w:name="_Toc296891061"/>
      <w:bookmarkStart w:id="867" w:name="_Toc296944572"/>
      <w:bookmarkStart w:id="868" w:name="_Toc296347232"/>
      <w:r>
        <w:rPr>
          <w:rFonts w:hint="eastAsia" w:ascii="宋体" w:hAnsi="宋体"/>
          <w:color w:val="auto"/>
          <w:szCs w:val="21"/>
          <w:highlight w:val="none"/>
        </w:rPr>
        <w:t>件5：</w:t>
      </w:r>
    </w:p>
    <w:bookmarkEnd w:id="863"/>
    <w:bookmarkEnd w:id="864"/>
    <w:bookmarkEnd w:id="865"/>
    <w:bookmarkEnd w:id="866"/>
    <w:bookmarkEnd w:id="867"/>
    <w:bookmarkEnd w:id="868"/>
    <w:p>
      <w:pPr>
        <w:spacing w:before="120" w:beforeLines="50" w:after="120" w:afterLines="50" w:line="480" w:lineRule="auto"/>
        <w:jc w:val="center"/>
        <w:rPr>
          <w:rFonts w:ascii="宋体" w:hAnsi="宋体"/>
          <w:color w:val="auto"/>
          <w:szCs w:val="21"/>
          <w:highlight w:val="none"/>
        </w:rPr>
      </w:pPr>
      <w:r>
        <w:rPr>
          <w:rFonts w:hint="eastAsia" w:ascii="宋体" w:hAnsi="宋体"/>
          <w:color w:val="auto"/>
          <w:szCs w:val="21"/>
          <w:highlight w:val="none"/>
        </w:rPr>
        <w:t>支付担保（如有）</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（承包人）：</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鉴于你方作为承包人已经与 </w:t>
      </w:r>
      <w:r>
        <w:rPr>
          <w:rFonts w:hint="eastAsia" w:ascii="宋体" w:hAnsi="宋体"/>
          <w:color w:val="auto"/>
          <w:szCs w:val="21"/>
          <w:highlight w:val="none"/>
          <w:u w:val="single"/>
        </w:rPr>
        <w:t xml:space="preserve">            </w:t>
      </w:r>
      <w:r>
        <w:rPr>
          <w:rFonts w:hint="eastAsia" w:ascii="宋体" w:hAnsi="宋体"/>
          <w:color w:val="auto"/>
          <w:szCs w:val="21"/>
          <w:highlight w:val="none"/>
        </w:rPr>
        <w:t>（发包人名称）（以下称“发包人”）于</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日签订了</w:t>
      </w:r>
      <w:r>
        <w:rPr>
          <w:rFonts w:hint="eastAsia" w:ascii="宋体" w:hAnsi="宋体"/>
          <w:color w:val="auto"/>
          <w:szCs w:val="21"/>
          <w:highlight w:val="none"/>
          <w:u w:val="single"/>
        </w:rPr>
        <w:t xml:space="preserve">             </w:t>
      </w:r>
      <w:r>
        <w:rPr>
          <w:rFonts w:hint="eastAsia" w:ascii="宋体" w:hAnsi="宋体"/>
          <w:color w:val="auto"/>
          <w:szCs w:val="21"/>
          <w:highlight w:val="none"/>
        </w:rPr>
        <w:t>（工程名称）《建设工程施工合同》（以下称“主合同”），应发包人的申请，我方愿就发包人履行主合同约定的工程款支付义务以保证的方式向你方提供如下担保：</w:t>
      </w:r>
    </w:p>
    <w:p>
      <w:pPr>
        <w:spacing w:line="360" w:lineRule="auto"/>
        <w:ind w:firstLine="420" w:firstLineChars="200"/>
        <w:rPr>
          <w:rFonts w:ascii="宋体" w:hAnsi="宋体"/>
          <w:color w:val="auto"/>
          <w:szCs w:val="21"/>
          <w:highlight w:val="none"/>
        </w:rPr>
      </w:pPr>
      <w:bookmarkStart w:id="869" w:name="_Toc532375692"/>
      <w:r>
        <w:rPr>
          <w:rFonts w:hint="eastAsia" w:ascii="宋体" w:hAnsi="宋体"/>
          <w:color w:val="auto"/>
          <w:szCs w:val="21"/>
          <w:highlight w:val="none"/>
        </w:rPr>
        <w:t>一、保证的范围及保证金额</w:t>
      </w:r>
      <w:bookmarkEnd w:id="869"/>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 我方的保证范围是主合同约定的工程款。</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 本保函所称主合同约定的工程款是指主合同约定的除工程质量保证金以外的合同价款。</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 我方保证的金额是主合同约定的工程款的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%，数额最高不超过人民币元（大写：</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bookmarkStart w:id="870" w:name="_Toc532375693"/>
      <w:r>
        <w:rPr>
          <w:rFonts w:hint="eastAsia" w:ascii="宋体" w:hAnsi="宋体"/>
          <w:color w:val="auto"/>
          <w:szCs w:val="21"/>
          <w:highlight w:val="none"/>
        </w:rPr>
        <w:t>二、保证的方式及保证期间</w:t>
      </w:r>
      <w:bookmarkEnd w:id="870"/>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 我方保证的方式为：连带责任保证。</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 我方保证的期间为：自合同生效之日起至主合同约定的工程款支付完毕之日后</w:t>
      </w:r>
      <w:r>
        <w:rPr>
          <w:rFonts w:hint="eastAsia" w:ascii="宋体" w:hAnsi="宋体"/>
          <w:color w:val="auto"/>
          <w:szCs w:val="21"/>
          <w:highlight w:val="none"/>
          <w:u w:val="single"/>
        </w:rPr>
        <w:t xml:space="preserve">    </w:t>
      </w:r>
      <w:r>
        <w:rPr>
          <w:rFonts w:hint="eastAsia" w:ascii="宋体" w:hAnsi="宋体"/>
          <w:color w:val="auto"/>
          <w:szCs w:val="21"/>
          <w:highlight w:val="none"/>
        </w:rPr>
        <w:t>日内。</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 你方与发包人协议变更工程款支付日期的，经我方书面同意后，保证期间按照变更后的支付日期做相应调整。</w:t>
      </w:r>
    </w:p>
    <w:p>
      <w:pPr>
        <w:spacing w:line="360" w:lineRule="auto"/>
        <w:ind w:firstLine="420" w:firstLineChars="200"/>
        <w:rPr>
          <w:rFonts w:ascii="宋体" w:hAnsi="宋体"/>
          <w:color w:val="auto"/>
          <w:szCs w:val="21"/>
          <w:highlight w:val="none"/>
        </w:rPr>
      </w:pPr>
      <w:bookmarkStart w:id="871" w:name="_Toc532375694"/>
      <w:r>
        <w:rPr>
          <w:rFonts w:hint="eastAsia" w:ascii="宋体" w:hAnsi="宋体"/>
          <w:color w:val="auto"/>
          <w:szCs w:val="21"/>
          <w:highlight w:val="none"/>
        </w:rPr>
        <w:t>三、承担保证责任的形式</w:t>
      </w:r>
      <w:bookmarkEnd w:id="871"/>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我方承担保证责任的形式是代为支付。发包人未按主合同约定向你方支付工程款的，由我方在保证金额内代为支付。</w:t>
      </w:r>
    </w:p>
    <w:p>
      <w:pPr>
        <w:spacing w:line="360" w:lineRule="auto"/>
        <w:ind w:firstLine="420" w:firstLineChars="200"/>
        <w:rPr>
          <w:rFonts w:ascii="宋体" w:hAnsi="宋体"/>
          <w:color w:val="auto"/>
          <w:szCs w:val="21"/>
          <w:highlight w:val="none"/>
        </w:rPr>
      </w:pPr>
      <w:bookmarkStart w:id="872" w:name="_Toc532375695"/>
      <w:r>
        <w:rPr>
          <w:rFonts w:hint="eastAsia" w:ascii="宋体" w:hAnsi="宋体"/>
          <w:color w:val="auto"/>
          <w:szCs w:val="21"/>
          <w:highlight w:val="none"/>
        </w:rPr>
        <w:t>四、代偿的安排</w:t>
      </w:r>
      <w:bookmarkEnd w:id="872"/>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 你方要求我方承担保证责任的，应向我方发出书面索赔通知及发包人未支付主合同约定工程款的证明材料。索赔通知应写明要求索赔的金额，支付款项应到达的账号。</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 我方收到你方的书面索赔通知及相应的证明材料后７天内无条件支付。</w:t>
      </w:r>
    </w:p>
    <w:p>
      <w:pPr>
        <w:spacing w:line="360" w:lineRule="auto"/>
        <w:ind w:firstLine="420" w:firstLineChars="200"/>
        <w:rPr>
          <w:rFonts w:ascii="宋体" w:hAnsi="宋体"/>
          <w:color w:val="auto"/>
          <w:szCs w:val="21"/>
          <w:highlight w:val="none"/>
        </w:rPr>
      </w:pPr>
      <w:bookmarkStart w:id="873" w:name="_Toc532375696"/>
      <w:r>
        <w:rPr>
          <w:rFonts w:hint="eastAsia" w:ascii="宋体" w:hAnsi="宋体"/>
          <w:color w:val="auto"/>
          <w:szCs w:val="21"/>
          <w:highlight w:val="none"/>
        </w:rPr>
        <w:t>五、保证责任的解除</w:t>
      </w:r>
      <w:bookmarkEnd w:id="873"/>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 在本保函承诺的保证期间内，你方未书面向我方主张保证责任的，自保证期间届满次日起，我方保证责任解除。</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 发包人按主合同约定履行了工程款的全部支付义务的，自本保函承诺的保证期间届满次日起，我方保证责任解除。</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 我方按照本保函向你方履行保证责任所支付金额达到本保函保证金额时，自我方向你方支付（支付款项从我方账户划出）之日起，保证责任即解除。</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 按照法律法规的规定或出现应解除我方保证责任的其他情形的，我方在本保函项下的保证责任亦解除。</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 我方解除保证责任后，你方应自我方保证责任解除之日起  个工作日内，将本保函原件返还我方。</w:t>
      </w:r>
    </w:p>
    <w:p>
      <w:pPr>
        <w:spacing w:line="360" w:lineRule="auto"/>
        <w:ind w:firstLine="420" w:firstLineChars="200"/>
        <w:rPr>
          <w:rFonts w:ascii="宋体" w:hAnsi="宋体"/>
          <w:color w:val="auto"/>
          <w:szCs w:val="21"/>
          <w:highlight w:val="none"/>
        </w:rPr>
      </w:pPr>
      <w:bookmarkStart w:id="874" w:name="_Toc532375697"/>
      <w:r>
        <w:rPr>
          <w:rFonts w:hint="eastAsia" w:ascii="宋体" w:hAnsi="宋体"/>
          <w:color w:val="auto"/>
          <w:szCs w:val="21"/>
          <w:highlight w:val="none"/>
        </w:rPr>
        <w:t>六、免责条款</w:t>
      </w:r>
      <w:bookmarkEnd w:id="874"/>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 因你方违约致使发包人不能履行义务的，我方不承担保证责任。</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 依照法律法规的规定或你方与发包人的另行约定，免除发包人部分或全部义务的，我方亦免除其相应的保证责任。</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 因不可抗力造成发包人不能履行义务的，我方不承担保证责任。</w:t>
      </w:r>
    </w:p>
    <w:p>
      <w:pPr>
        <w:spacing w:line="360" w:lineRule="auto"/>
        <w:ind w:firstLine="420" w:firstLineChars="200"/>
        <w:rPr>
          <w:rFonts w:ascii="宋体" w:hAnsi="宋体"/>
          <w:color w:val="auto"/>
          <w:szCs w:val="21"/>
          <w:highlight w:val="none"/>
        </w:rPr>
      </w:pPr>
      <w:bookmarkStart w:id="875" w:name="_Toc532375698"/>
      <w:r>
        <w:rPr>
          <w:rFonts w:hint="eastAsia" w:ascii="宋体" w:hAnsi="宋体"/>
          <w:color w:val="auto"/>
          <w:szCs w:val="21"/>
          <w:highlight w:val="none"/>
        </w:rPr>
        <w:t>七、争议解决</w:t>
      </w:r>
      <w:bookmarkEnd w:id="875"/>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因本保函或本保函相关事项发生的纠纷，可由双方协商解决，协商不成的，按下列第</w:t>
      </w:r>
      <w:r>
        <w:rPr>
          <w:rFonts w:hint="eastAsia" w:ascii="宋体" w:hAnsi="宋体"/>
          <w:color w:val="auto"/>
          <w:szCs w:val="21"/>
          <w:highlight w:val="none"/>
          <w:u w:val="single"/>
        </w:rPr>
        <w:t xml:space="preserve">    </w:t>
      </w:r>
      <w:r>
        <w:rPr>
          <w:rFonts w:hint="eastAsia" w:ascii="宋体" w:hAnsi="宋体"/>
          <w:color w:val="auto"/>
          <w:szCs w:val="21"/>
          <w:highlight w:val="none"/>
        </w:rPr>
        <w:t>种方式解决：</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（1）向</w:t>
      </w:r>
      <w:r>
        <w:rPr>
          <w:rFonts w:hint="eastAsia" w:ascii="宋体" w:hAnsi="宋体"/>
          <w:color w:val="auto"/>
          <w:szCs w:val="21"/>
          <w:highlight w:val="none"/>
          <w:u w:val="single"/>
        </w:rPr>
        <w:t xml:space="preserve">                     </w:t>
      </w:r>
      <w:r>
        <w:rPr>
          <w:rFonts w:hint="eastAsia" w:ascii="宋体" w:hAnsi="宋体"/>
          <w:color w:val="auto"/>
          <w:szCs w:val="21"/>
          <w:highlight w:val="none"/>
        </w:rPr>
        <w:t>仲裁委员会申请仲裁；</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（2）向</w:t>
      </w:r>
      <w:r>
        <w:rPr>
          <w:rFonts w:hint="eastAsia" w:ascii="宋体" w:hAnsi="宋体"/>
          <w:color w:val="auto"/>
          <w:szCs w:val="21"/>
          <w:highlight w:val="none"/>
          <w:u w:val="single"/>
        </w:rPr>
        <w:t xml:space="preserve">                     </w:t>
      </w:r>
      <w:r>
        <w:rPr>
          <w:rFonts w:hint="eastAsia" w:ascii="宋体" w:hAnsi="宋体"/>
          <w:color w:val="auto"/>
          <w:szCs w:val="21"/>
          <w:highlight w:val="none"/>
        </w:rPr>
        <w:t>人民法院起诉。</w:t>
      </w:r>
    </w:p>
    <w:p>
      <w:pPr>
        <w:spacing w:line="360" w:lineRule="auto"/>
        <w:ind w:firstLine="420" w:firstLineChars="200"/>
        <w:rPr>
          <w:rFonts w:ascii="宋体" w:hAnsi="宋体"/>
          <w:color w:val="auto"/>
          <w:szCs w:val="21"/>
          <w:highlight w:val="none"/>
        </w:rPr>
      </w:pPr>
      <w:bookmarkStart w:id="876" w:name="_Toc532375699"/>
      <w:r>
        <w:rPr>
          <w:rFonts w:hint="eastAsia" w:ascii="宋体" w:hAnsi="宋体"/>
          <w:color w:val="auto"/>
          <w:szCs w:val="21"/>
          <w:highlight w:val="none"/>
        </w:rPr>
        <w:t>八、保函的生效</w:t>
      </w:r>
      <w:bookmarkEnd w:id="876"/>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本保函自我方法定代表人（或其委托代理人）签字并加盖公章之日起生效。</w:t>
      </w:r>
    </w:p>
    <w:p>
      <w:pPr>
        <w:spacing w:line="360" w:lineRule="auto"/>
        <w:ind w:right="600" w:firstLine="420" w:firstLineChars="200"/>
        <w:rPr>
          <w:rFonts w:ascii="宋体" w:hAnsi="宋体"/>
          <w:color w:val="auto"/>
          <w:szCs w:val="21"/>
          <w:highlight w:val="none"/>
        </w:rPr>
      </w:pPr>
    </w:p>
    <w:p>
      <w:pPr>
        <w:spacing w:line="360" w:lineRule="auto"/>
        <w:ind w:right="600" w:firstLine="420" w:firstLineChars="200"/>
        <w:rPr>
          <w:rFonts w:ascii="宋体" w:hAnsi="宋体"/>
          <w:color w:val="auto"/>
          <w:szCs w:val="21"/>
          <w:highlight w:val="none"/>
        </w:rPr>
      </w:pPr>
    </w:p>
    <w:p>
      <w:pPr>
        <w:spacing w:line="360" w:lineRule="auto"/>
        <w:ind w:right="600" w:firstLine="420" w:firstLineChars="200"/>
        <w:rPr>
          <w:rFonts w:ascii="宋体" w:hAnsi="宋体"/>
          <w:color w:val="auto"/>
          <w:szCs w:val="21"/>
          <w:highlight w:val="none"/>
        </w:rPr>
      </w:pPr>
      <w:r>
        <w:rPr>
          <w:rFonts w:hint="eastAsia" w:ascii="宋体" w:hAnsi="宋体"/>
          <w:color w:val="auto"/>
          <w:szCs w:val="21"/>
          <w:highlight w:val="none"/>
        </w:rPr>
        <w:t>担保人：</w:t>
      </w:r>
      <w:r>
        <w:rPr>
          <w:rFonts w:hint="eastAsia" w:ascii="宋体" w:hAnsi="宋体"/>
          <w:color w:val="auto"/>
          <w:szCs w:val="21"/>
          <w:highlight w:val="none"/>
          <w:u w:val="single"/>
        </w:rPr>
        <w:t xml:space="preserve">                                   </w:t>
      </w:r>
      <w:r>
        <w:rPr>
          <w:rFonts w:hint="eastAsia" w:ascii="宋体" w:hAnsi="宋体"/>
          <w:color w:val="auto"/>
          <w:szCs w:val="21"/>
          <w:highlight w:val="none"/>
        </w:rPr>
        <w:t>（盖章）</w:t>
      </w:r>
    </w:p>
    <w:p>
      <w:pPr>
        <w:spacing w:line="360" w:lineRule="auto"/>
        <w:ind w:right="1200" w:firstLine="420" w:firstLineChars="200"/>
        <w:rPr>
          <w:rFonts w:ascii="宋体" w:hAnsi="宋体"/>
          <w:color w:val="auto"/>
          <w:szCs w:val="21"/>
          <w:highlight w:val="none"/>
        </w:rPr>
      </w:pPr>
      <w:r>
        <w:rPr>
          <w:rFonts w:hint="eastAsia" w:ascii="宋体" w:hAnsi="宋体"/>
          <w:color w:val="auto"/>
          <w:szCs w:val="21"/>
          <w:highlight w:val="none"/>
        </w:rPr>
        <w:t>法定代表人或委托代理人：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地    址：</w:t>
      </w:r>
      <w:r>
        <w:rPr>
          <w:rFonts w:hint="eastAsia" w:ascii="宋体" w:hAnsi="宋体"/>
          <w:color w:val="auto"/>
          <w:szCs w:val="21"/>
          <w:highlight w:val="none"/>
          <w:u w:val="single"/>
        </w:rPr>
        <w:t xml:space="preserve">                                        </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邮政编码：</w:t>
      </w:r>
      <w:r>
        <w:rPr>
          <w:rFonts w:hint="eastAsia" w:ascii="宋体" w:hAnsi="宋体"/>
          <w:color w:val="auto"/>
          <w:szCs w:val="21"/>
          <w:highlight w:val="none"/>
          <w:u w:val="single"/>
        </w:rPr>
        <w:t xml:space="preserve">                                        </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传    真：</w:t>
      </w:r>
      <w:r>
        <w:rPr>
          <w:rFonts w:hint="eastAsia" w:ascii="宋体" w:hAnsi="宋体"/>
          <w:color w:val="auto"/>
          <w:szCs w:val="21"/>
          <w:highlight w:val="none"/>
          <w:u w:val="single"/>
        </w:rPr>
        <w:t xml:space="preserve">                                        </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           </w:t>
      </w:r>
    </w:p>
    <w:p>
      <w:pPr>
        <w:spacing w:line="360" w:lineRule="auto"/>
        <w:ind w:firstLine="420" w:firstLineChars="200"/>
        <w:jc w:val="righ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r>
        <w:rPr>
          <w:rFonts w:hint="eastAsia" w:ascii="宋体" w:hAnsi="宋体"/>
          <w:color w:val="auto"/>
          <w:szCs w:val="21"/>
          <w:highlight w:val="none"/>
        </w:rPr>
        <w:br w:type="page"/>
      </w:r>
    </w:p>
    <w:p>
      <w:pPr>
        <w:spacing w:before="120" w:beforeLines="50" w:after="120" w:afterLines="50" w:line="480" w:lineRule="auto"/>
        <w:jc w:val="center"/>
        <w:rPr>
          <w:rFonts w:ascii="宋体" w:hAnsi="宋体"/>
          <w:color w:val="auto"/>
          <w:szCs w:val="21"/>
          <w:highlight w:val="none"/>
        </w:rPr>
      </w:pPr>
    </w:p>
    <w:p>
      <w:pPr>
        <w:spacing w:line="480" w:lineRule="auto"/>
        <w:rPr>
          <w:rFonts w:ascii="宋体" w:hAnsi="宋体"/>
          <w:color w:val="auto"/>
          <w:szCs w:val="21"/>
          <w:highlight w:val="none"/>
        </w:rPr>
      </w:pPr>
    </w:p>
    <w:p>
      <w:pPr>
        <w:spacing w:line="480" w:lineRule="auto"/>
        <w:rPr>
          <w:rFonts w:ascii="宋体" w:hAnsi="宋体"/>
          <w:color w:val="auto"/>
          <w:szCs w:val="21"/>
          <w:highlight w:val="none"/>
        </w:rPr>
      </w:pPr>
      <w:r>
        <w:rPr>
          <w:rFonts w:hint="eastAsia" w:ascii="宋体" w:hAnsi="宋体"/>
          <w:color w:val="auto"/>
          <w:szCs w:val="21"/>
          <w:highlight w:val="none"/>
        </w:rPr>
        <w:t>附件6：廉洁从业协议</w:t>
      </w:r>
    </w:p>
    <w:p>
      <w:pPr>
        <w:spacing w:before="120" w:beforeLines="50" w:after="120" w:afterLines="50" w:line="480" w:lineRule="auto"/>
        <w:jc w:val="center"/>
        <w:rPr>
          <w:rFonts w:ascii="宋体" w:hAnsi="宋体"/>
          <w:color w:val="auto"/>
          <w:szCs w:val="21"/>
          <w:highlight w:val="none"/>
        </w:rPr>
      </w:pPr>
      <w:r>
        <w:rPr>
          <w:rFonts w:hint="eastAsia" w:ascii="宋体" w:hAnsi="宋体"/>
          <w:color w:val="auto"/>
          <w:szCs w:val="21"/>
          <w:highlight w:val="none"/>
        </w:rPr>
        <w:t>廉洁从业协议</w:t>
      </w:r>
    </w:p>
    <w:p>
      <w:pPr>
        <w:snapToGrid w:val="0"/>
        <w:spacing w:line="360" w:lineRule="auto"/>
        <w:ind w:firstLine="422" w:firstLineChars="200"/>
        <w:rPr>
          <w:rFonts w:ascii="宋体" w:hAnsi="宋体"/>
          <w:b/>
          <w:color w:val="auto"/>
          <w:szCs w:val="21"/>
          <w:highlight w:val="none"/>
          <w:u w:val="single"/>
        </w:rPr>
      </w:pPr>
      <w:r>
        <w:rPr>
          <w:rFonts w:hint="eastAsia" w:ascii="宋体" w:hAnsi="宋体"/>
          <w:b/>
          <w:color w:val="auto"/>
          <w:szCs w:val="21"/>
          <w:highlight w:val="none"/>
        </w:rPr>
        <w:t>发包人（全称）：</w:t>
      </w:r>
      <w:r>
        <w:rPr>
          <w:rFonts w:hint="eastAsia" w:ascii="宋体" w:hAnsi="宋体"/>
          <w:color w:val="auto"/>
          <w:szCs w:val="21"/>
          <w:highlight w:val="none"/>
          <w:u w:val="single"/>
        </w:rPr>
        <w:t xml:space="preserve">                             </w:t>
      </w:r>
    </w:p>
    <w:p>
      <w:pPr>
        <w:snapToGrid w:val="0"/>
        <w:spacing w:line="360" w:lineRule="auto"/>
        <w:ind w:firstLine="422" w:firstLineChars="200"/>
        <w:rPr>
          <w:rFonts w:ascii="宋体" w:hAnsi="宋体"/>
          <w:b/>
          <w:color w:val="auto"/>
          <w:szCs w:val="21"/>
          <w:highlight w:val="none"/>
          <w:u w:val="single"/>
        </w:rPr>
      </w:pPr>
      <w:r>
        <w:rPr>
          <w:rFonts w:hint="eastAsia" w:ascii="宋体" w:hAnsi="宋体"/>
          <w:b/>
          <w:color w:val="auto"/>
          <w:szCs w:val="21"/>
          <w:highlight w:val="none"/>
        </w:rPr>
        <w:t>承包人（全称）：</w:t>
      </w:r>
      <w:r>
        <w:rPr>
          <w:rFonts w:hint="eastAsia" w:ascii="宋体" w:hAnsi="宋体"/>
          <w:color w:val="auto"/>
          <w:szCs w:val="21"/>
          <w:highlight w:val="none"/>
          <w:u w:val="single"/>
        </w:rPr>
        <w:t xml:space="preserve">                             </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根据国家有关部门以及有关工程建设、廉政建设的规定，为做好工程建设中的党风廉政建设，保证工程建设高效优质，保证建设资金的安全和有效使用以及投资效益，建设工程的项目法人（以下简称“发包人”）与承包人（以下简称“承包人”），特订立如下协议。</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 1. 发包人承包人的权利和义务</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（1）严格遵守党的政策规定和国家有关法律法规及相关部门的有关规定。</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（2）严格执行 工程的合同文件，自觉按合同办事。</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（3）双方的业务活动坚持公开、公正、诚信、透明的原则（法律认定的商业秘密和合同文件另有规定除外），不得损害国家和集体利益，违反工程建设管理规章制度。</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（4）建立健全廉政制度，开展廉政教育，设立廉政告示牌，公布举报电话，监督并认真查处违法违纪行为。</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（5）发现对方在业务活动中有违反廉政规定的行为，有及时提醒对方纠正的权利和义务。</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（6）发现对方严重违反协议义务条款的行为，有向其上级有关部门举报、建议给予处理并要求告知处理结果的权利。</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 发包人的义务</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（1）发包人及其工作人员不得索要或接受承包人的礼金、有价证券和贵重物品，不得在承包人报销任何应由发包人或发包人工作人员个人支付的费用等。</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（2）发包人工作人员不得参加承包人安排的超标准宴请和娱乐活动；不得接受承包人提供的通讯工具、交通工具和高档办公用品等。</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（3）发包人及其工作人员不得要求或者接受承包人为其住房装修、婚丧嫁娶活动、配偶子女的工作安排以及出国出境、旅游等提供方便等。</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（4）发包人工作人员及其配偶、子女不得从事与发包人工程有关的材料设备供应、工程分包、劳务等经济活动等。</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（5）发包人及其工作人员不得以任何理由向承包人推荐分包单位或推销材料，不得要求承包人购买合同规定外的材料和设备。</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（6）发包人工作人员要秉公办事，不准营私舞弊，不准利用职权从事各种个人有偿中介活动和安排个人施工队伍。</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 承包人义务</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（1）承包人不得以任何理由向发包人及其工作人员行贿或馈赠礼金、有价证券、贵重礼品。</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（2）承包人不得以任何名义为发包人及其工作人员报销应由发包人单位或个人支付的任何费用。</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（3）承包人不得以任何理由安排发包人工作人员参加超标准宴请及娱乐活动。</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（4）承包人不得为发包人单位和个人购置或提供通讯工具、交通工具和高档办公用品等。</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 违约责任</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（1）发包人及其工作人员违反合同第1、2条，按管理权限，依据有关规定给予党纪、政纪或组织处理；涉嫌犯罪的，移交司法机关追究刑事责任；给承包人单位造成经济损失的，应予以赔偿。</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（2）承包人及其工作人员违反合同第1、3条，按管理权限，依据有关规定给予党纪、政纪或组织处理；给发包人单位造成经济损失的，应予以赔偿。</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 双方约定：协议由双方或双方上级单位的纪检监察机关负责监督执行。由发包人或发包人上级单位的纪检监察机关约请承包人或承包人上级单位纪检监察机关对合同执行情况进行检查，提出在协议规定范围内的裁定意见。</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 协议有效期为甲乙双方签署之日起至该工程项目竣工验收后止。</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7.协议作为 工程施工合同的附件，与工程施工合同具有同等的法律效力，经合同双方签署立即生效。</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（以下无正文）</w:t>
      </w:r>
    </w:p>
    <w:p>
      <w:pPr>
        <w:spacing w:line="360" w:lineRule="auto"/>
        <w:rPr>
          <w:rFonts w:ascii="宋体" w:hAnsi="宋体"/>
          <w:color w:val="auto"/>
          <w:szCs w:val="21"/>
          <w:highlight w:val="none"/>
        </w:rPr>
      </w:pPr>
    </w:p>
    <w:p>
      <w:pPr>
        <w:spacing w:after="120" w:line="360" w:lineRule="auto"/>
        <w:rPr>
          <w:rFonts w:ascii="宋体" w:hAnsi="宋体"/>
          <w:color w:val="auto"/>
          <w:szCs w:val="21"/>
          <w:highlight w:val="none"/>
        </w:rPr>
      </w:pPr>
    </w:p>
    <w:p>
      <w:pPr>
        <w:spacing w:after="120" w:line="360" w:lineRule="auto"/>
        <w:rPr>
          <w:rFonts w:ascii="宋体" w:hAnsi="宋体"/>
          <w:color w:val="auto"/>
          <w:szCs w:val="21"/>
          <w:highlight w:val="none"/>
        </w:rPr>
      </w:pPr>
    </w:p>
    <w:p>
      <w:pPr>
        <w:spacing w:line="360" w:lineRule="auto"/>
        <w:rPr>
          <w:rFonts w:ascii="宋体" w:hAnsi="宋体"/>
          <w:color w:val="auto"/>
          <w:szCs w:val="21"/>
          <w:highlight w:val="none"/>
        </w:rPr>
      </w:pPr>
      <w:r>
        <w:rPr>
          <w:rFonts w:hint="eastAsia" w:ascii="宋体" w:hAnsi="宋体"/>
          <w:color w:val="auto"/>
          <w:szCs w:val="21"/>
          <w:highlight w:val="none"/>
        </w:rPr>
        <w:t>甲     方：                         乙     方：</w:t>
      </w:r>
    </w:p>
    <w:p>
      <w:pPr>
        <w:spacing w:line="360" w:lineRule="auto"/>
        <w:rPr>
          <w:rFonts w:ascii="宋体" w:hAnsi="宋体"/>
          <w:color w:val="auto"/>
          <w:szCs w:val="21"/>
          <w:highlight w:val="none"/>
        </w:rPr>
      </w:pPr>
    </w:p>
    <w:p>
      <w:pPr>
        <w:spacing w:line="360" w:lineRule="auto"/>
        <w:rPr>
          <w:rFonts w:ascii="宋体" w:hAnsi="宋体"/>
          <w:color w:val="auto"/>
          <w:szCs w:val="21"/>
          <w:highlight w:val="none"/>
        </w:rPr>
      </w:pP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                          法定代表人                      </w:t>
      </w:r>
    </w:p>
    <w:p>
      <w:pPr>
        <w:spacing w:line="360" w:lineRule="auto"/>
        <w:rPr>
          <w:rFonts w:ascii="宋体" w:hAnsi="宋体"/>
          <w:color w:val="auto"/>
          <w:szCs w:val="21"/>
          <w:highlight w:val="none"/>
        </w:rPr>
      </w:pPr>
    </w:p>
    <w:p>
      <w:pPr>
        <w:spacing w:line="360" w:lineRule="auto"/>
        <w:rPr>
          <w:rFonts w:ascii="宋体" w:hAnsi="宋体"/>
          <w:color w:val="auto"/>
          <w:szCs w:val="21"/>
          <w:highlight w:val="none"/>
        </w:rPr>
      </w:pPr>
    </w:p>
    <w:p>
      <w:pPr>
        <w:spacing w:line="360" w:lineRule="auto"/>
        <w:rPr>
          <w:rFonts w:ascii="宋体" w:hAnsi="宋体"/>
          <w:color w:val="auto"/>
          <w:szCs w:val="21"/>
          <w:highlight w:val="none"/>
        </w:rPr>
      </w:pPr>
      <w:r>
        <w:rPr>
          <w:rFonts w:hint="eastAsia" w:ascii="宋体" w:hAnsi="宋体"/>
          <w:color w:val="auto"/>
          <w:szCs w:val="21"/>
          <w:highlight w:val="none"/>
        </w:rPr>
        <w:t>或其授权的代理人：                  或授权的代理人：</w:t>
      </w:r>
    </w:p>
    <w:p>
      <w:pPr>
        <w:spacing w:line="480" w:lineRule="auto"/>
        <w:rPr>
          <w:rFonts w:ascii="宋体" w:hAnsi="宋体"/>
          <w:color w:val="auto"/>
          <w:szCs w:val="21"/>
          <w:highlight w:val="none"/>
        </w:rPr>
      </w:pPr>
      <w:r>
        <w:rPr>
          <w:rFonts w:hint="eastAsia" w:ascii="宋体" w:hAnsi="宋体"/>
          <w:color w:val="auto"/>
          <w:szCs w:val="21"/>
          <w:highlight w:val="none"/>
        </w:rPr>
        <w:br w:type="page"/>
      </w:r>
      <w:r>
        <w:rPr>
          <w:rFonts w:hint="eastAsia" w:ascii="宋体" w:hAnsi="宋体"/>
          <w:color w:val="auto"/>
          <w:szCs w:val="21"/>
          <w:highlight w:val="none"/>
        </w:rPr>
        <w:t>附件7：安全管理协议</w:t>
      </w:r>
    </w:p>
    <w:p>
      <w:pPr>
        <w:spacing w:before="120" w:beforeLines="50" w:after="120" w:afterLines="50" w:line="480" w:lineRule="auto"/>
        <w:jc w:val="center"/>
        <w:rPr>
          <w:rFonts w:ascii="宋体" w:hAnsi="宋体"/>
          <w:color w:val="auto"/>
          <w:szCs w:val="21"/>
          <w:highlight w:val="none"/>
        </w:rPr>
      </w:pPr>
      <w:bookmarkStart w:id="877" w:name="_Toc435690184"/>
      <w:bookmarkStart w:id="878" w:name="_Toc435689499"/>
      <w:bookmarkStart w:id="879" w:name="_Toc239510288"/>
      <w:bookmarkStart w:id="880" w:name="_Toc336680145"/>
      <w:bookmarkStart w:id="881" w:name="_Toc247431422"/>
      <w:bookmarkStart w:id="882" w:name="_Toc448406299"/>
      <w:r>
        <w:rPr>
          <w:rFonts w:hint="eastAsia" w:ascii="宋体" w:hAnsi="宋体"/>
          <w:color w:val="auto"/>
          <w:szCs w:val="21"/>
          <w:highlight w:val="none"/>
        </w:rPr>
        <w:t>安全管理协议</w:t>
      </w:r>
      <w:bookmarkEnd w:id="877"/>
      <w:bookmarkEnd w:id="878"/>
      <w:bookmarkEnd w:id="879"/>
      <w:bookmarkEnd w:id="880"/>
      <w:bookmarkEnd w:id="881"/>
      <w:bookmarkEnd w:id="882"/>
    </w:p>
    <w:p>
      <w:pPr>
        <w:snapToGrid w:val="0"/>
        <w:spacing w:line="360" w:lineRule="auto"/>
        <w:ind w:firstLine="422" w:firstLineChars="200"/>
        <w:rPr>
          <w:rFonts w:ascii="宋体" w:hAnsi="宋体"/>
          <w:b/>
          <w:color w:val="auto"/>
          <w:szCs w:val="21"/>
          <w:highlight w:val="none"/>
          <w:u w:val="single"/>
        </w:rPr>
      </w:pPr>
      <w:r>
        <w:rPr>
          <w:rFonts w:hint="eastAsia" w:ascii="宋体" w:hAnsi="宋体"/>
          <w:b/>
          <w:color w:val="auto"/>
          <w:szCs w:val="21"/>
          <w:highlight w:val="none"/>
        </w:rPr>
        <w:t>发包人（全称）：</w:t>
      </w:r>
      <w:r>
        <w:rPr>
          <w:rFonts w:hint="eastAsia" w:ascii="宋体" w:hAnsi="宋体"/>
          <w:color w:val="auto"/>
          <w:szCs w:val="21"/>
          <w:highlight w:val="none"/>
          <w:u w:val="single"/>
        </w:rPr>
        <w:t xml:space="preserve">                             </w:t>
      </w:r>
    </w:p>
    <w:p>
      <w:pPr>
        <w:snapToGrid w:val="0"/>
        <w:spacing w:line="360" w:lineRule="auto"/>
        <w:ind w:firstLine="422" w:firstLineChars="200"/>
        <w:rPr>
          <w:rFonts w:ascii="宋体" w:hAnsi="宋体"/>
          <w:b/>
          <w:color w:val="auto"/>
          <w:szCs w:val="21"/>
          <w:highlight w:val="none"/>
          <w:u w:val="single"/>
        </w:rPr>
      </w:pPr>
      <w:r>
        <w:rPr>
          <w:rFonts w:hint="eastAsia" w:ascii="宋体" w:hAnsi="宋体"/>
          <w:b/>
          <w:color w:val="auto"/>
          <w:szCs w:val="21"/>
          <w:highlight w:val="none"/>
        </w:rPr>
        <w:t>承包人（全称）：</w:t>
      </w:r>
      <w:r>
        <w:rPr>
          <w:rFonts w:hint="eastAsia" w:ascii="宋体" w:hAnsi="宋体"/>
          <w:color w:val="auto"/>
          <w:szCs w:val="21"/>
          <w:highlight w:val="none"/>
          <w:u w:val="single"/>
        </w:rPr>
        <w:t xml:space="preserve">                             </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为了确保实现</w:t>
      </w:r>
      <w:r>
        <w:rPr>
          <w:rFonts w:hint="eastAsia" w:ascii="宋体" w:hAnsi="宋体"/>
          <w:color w:val="auto"/>
          <w:szCs w:val="21"/>
          <w:highlight w:val="none"/>
          <w:u w:val="single"/>
        </w:rPr>
        <w:t xml:space="preserve">        </w:t>
      </w:r>
      <w:r>
        <w:rPr>
          <w:rFonts w:hint="eastAsia" w:ascii="宋体" w:hAnsi="宋体"/>
          <w:color w:val="auto"/>
          <w:szCs w:val="21"/>
          <w:highlight w:val="none"/>
        </w:rPr>
        <w:t>安全生产目标，进一步明确双方的安全管理责任，加强安全生产管理工作的协调、管理力度，</w:t>
      </w:r>
      <w:r>
        <w:rPr>
          <w:rFonts w:hint="eastAsia" w:ascii="宋体" w:hAnsi="宋体"/>
          <w:color w:val="auto"/>
          <w:szCs w:val="21"/>
          <w:highlight w:val="none"/>
          <w:u w:val="single"/>
        </w:rPr>
        <w:t xml:space="preserve">        </w:t>
      </w:r>
      <w:r>
        <w:rPr>
          <w:rFonts w:hint="eastAsia" w:ascii="宋体" w:hAnsi="宋体"/>
          <w:color w:val="auto"/>
          <w:szCs w:val="21"/>
          <w:highlight w:val="none"/>
        </w:rPr>
        <w:t>（以下简称“发包人”）与</w:t>
      </w:r>
      <w:r>
        <w:rPr>
          <w:rFonts w:hint="eastAsia" w:ascii="宋体" w:hAnsi="宋体"/>
          <w:color w:val="auto"/>
          <w:szCs w:val="21"/>
          <w:highlight w:val="none"/>
          <w:u w:val="single"/>
        </w:rPr>
        <w:t xml:space="preserve">        </w:t>
      </w:r>
      <w:r>
        <w:rPr>
          <w:rFonts w:hint="eastAsia" w:ascii="宋体" w:hAnsi="宋体"/>
          <w:color w:val="auto"/>
          <w:szCs w:val="21"/>
          <w:highlight w:val="none"/>
        </w:rPr>
        <w:t>（以下简称“承包人”）依据国家安全生产相关的法律、法规和安全方面的强制性国家标准或行业标准，双方同意签订该协议作为正式合同安全管理方面的补充规定，并承诺本协议具有与合同相同的法律效力。具体条款如下：</w:t>
      </w:r>
    </w:p>
    <w:p>
      <w:pPr>
        <w:spacing w:line="360" w:lineRule="auto"/>
        <w:ind w:firstLine="420" w:firstLineChars="200"/>
        <w:rPr>
          <w:rFonts w:ascii="宋体" w:hAnsi="宋体"/>
          <w:color w:val="auto"/>
          <w:szCs w:val="21"/>
          <w:highlight w:val="none"/>
        </w:rPr>
      </w:pPr>
      <w:bookmarkStart w:id="883" w:name="_Toc239510289"/>
      <w:bookmarkStart w:id="884" w:name="_Toc247431423"/>
      <w:bookmarkStart w:id="885" w:name="_Toc247418263"/>
      <w:bookmarkStart w:id="886" w:name="_Toc532375700"/>
      <w:r>
        <w:rPr>
          <w:rFonts w:hint="eastAsia" w:ascii="宋体" w:hAnsi="宋体"/>
          <w:color w:val="auto"/>
          <w:szCs w:val="21"/>
          <w:highlight w:val="none"/>
        </w:rPr>
        <w:t>一、协议有效期限</w:t>
      </w:r>
      <w:bookmarkEnd w:id="883"/>
      <w:bookmarkEnd w:id="884"/>
      <w:bookmarkEnd w:id="885"/>
      <w:bookmarkEnd w:id="886"/>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本协议中所涉及的安全管理责任自合同签订之日起开始生效，至合同工程全部完工验收且经发包人与承包人签订移交协议生效后之日终止。</w:t>
      </w:r>
    </w:p>
    <w:p>
      <w:pPr>
        <w:spacing w:line="360" w:lineRule="auto"/>
        <w:ind w:firstLine="420" w:firstLineChars="200"/>
        <w:rPr>
          <w:rFonts w:ascii="宋体" w:hAnsi="宋体"/>
          <w:color w:val="auto"/>
          <w:szCs w:val="21"/>
          <w:highlight w:val="none"/>
        </w:rPr>
      </w:pPr>
      <w:bookmarkStart w:id="887" w:name="_Toc239510290"/>
      <w:bookmarkStart w:id="888" w:name="_Toc532375701"/>
      <w:bookmarkStart w:id="889" w:name="_Toc247431424"/>
      <w:bookmarkStart w:id="890" w:name="_Toc247418264"/>
      <w:r>
        <w:rPr>
          <w:rFonts w:hint="eastAsia" w:ascii="宋体" w:hAnsi="宋体"/>
          <w:color w:val="auto"/>
          <w:szCs w:val="21"/>
          <w:highlight w:val="none"/>
        </w:rPr>
        <w:t>二、责任目标</w:t>
      </w:r>
      <w:bookmarkEnd w:id="887"/>
      <w:bookmarkEnd w:id="888"/>
      <w:bookmarkEnd w:id="889"/>
      <w:bookmarkEnd w:id="890"/>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（一）承包人承诺承担和履行合同和发包人所规定的安全责任，且满足要求。</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（二）承包人的安全控制目标是确保本工程在实施过程中：</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1．不发生人身重伤事故；</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2．不发生火灾事故；</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3．不发生负有同等及以上事故责任的造成人身重伤的一般交通事故；</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4．不发生集体食物中毒事件（同时5人及以上的食物中毒）；</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5．不发生流行性传染病 （无甲型传染病、其他常见传染病未形成多人同时患病）；</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6．不发生重大环境污染事件（生活、工业垃圾及其他污染物造成环境污染和大面积水土流失）；</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7．不发生对施工区附近生产、生活造成重大影响的事件（如造成重大设备损坏、重大财产损失、人员伤害等）；</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8．不发生治安保卫事件（构成刑事拘留及以上的事件、盗窃直接损失超过1万元人民币的事件）。</w:t>
      </w:r>
    </w:p>
    <w:p>
      <w:pPr>
        <w:spacing w:line="360" w:lineRule="auto"/>
        <w:ind w:firstLine="420" w:firstLineChars="200"/>
        <w:rPr>
          <w:rFonts w:ascii="宋体" w:hAnsi="宋体"/>
          <w:color w:val="auto"/>
          <w:szCs w:val="21"/>
          <w:highlight w:val="none"/>
        </w:rPr>
      </w:pPr>
      <w:bookmarkStart w:id="891" w:name="_Toc247418265"/>
      <w:bookmarkStart w:id="892" w:name="_Toc247431425"/>
      <w:bookmarkStart w:id="893" w:name="_Toc239510291"/>
      <w:r>
        <w:rPr>
          <w:rFonts w:hint="eastAsia" w:ascii="宋体" w:hAnsi="宋体"/>
          <w:color w:val="auto"/>
          <w:szCs w:val="21"/>
          <w:highlight w:val="none"/>
        </w:rPr>
        <w:t>（三）承包人承诺在施工中控制以下安全事故的发生：</w:t>
      </w:r>
      <w:bookmarkEnd w:id="891"/>
      <w:bookmarkEnd w:id="892"/>
      <w:bookmarkEnd w:id="893"/>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1．人员轻伤事故。</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2．负有同等及以上事故责任的人身轻伤交通事故。</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3．其他安全未遂事故和异常事件。</w:t>
      </w:r>
    </w:p>
    <w:p>
      <w:pPr>
        <w:spacing w:line="360" w:lineRule="auto"/>
        <w:ind w:firstLine="420" w:firstLineChars="200"/>
        <w:rPr>
          <w:rFonts w:ascii="宋体" w:hAnsi="宋体"/>
          <w:color w:val="auto"/>
          <w:szCs w:val="21"/>
          <w:highlight w:val="none"/>
        </w:rPr>
      </w:pPr>
      <w:bookmarkStart w:id="894" w:name="_Toc532375702"/>
      <w:bookmarkStart w:id="895" w:name="_Toc247418266"/>
      <w:bookmarkStart w:id="896" w:name="_Toc239510292"/>
      <w:bookmarkStart w:id="897" w:name="_Toc247431426"/>
      <w:r>
        <w:rPr>
          <w:rFonts w:hint="eastAsia" w:ascii="宋体" w:hAnsi="宋体"/>
          <w:color w:val="auto"/>
          <w:szCs w:val="21"/>
          <w:highlight w:val="none"/>
        </w:rPr>
        <w:t>三、安全责任</w:t>
      </w:r>
      <w:bookmarkEnd w:id="894"/>
      <w:bookmarkEnd w:id="895"/>
      <w:bookmarkEnd w:id="896"/>
      <w:bookmarkEnd w:id="897"/>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1．承包人负有安全生产的管理责任和直接责任。</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2．承包人的法人或签署合同的公司总经理或受委托的代理人对合同安全负有全面的领导责任。</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3．承包人项目经理对施工现场的安全工作负有全面的直接领导责任。</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4．承包人保证执行“谁施工、谁负责”的施工安全原则。</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5．承包人保证服从发包人对安全工作的统一协调和管理。</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6．承包人保证对本工程项目安全生产条件及其管理资源自行投入，保证安全资金的专款专用。</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7．承包人保证建立本工程项目的安全管理体系及安全保证体系（注：项目安全管理大纲/手册、管理性的程序文件等）。</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8．承包人保证现场的安全管理专职人员必须持有建设主管部门安全生产培训考核合格证书。</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9．承包人保证为现场所有工作人员（含分包商员工及劳务人员）配备符合国家标准的有承包人和/或其下属分包商标志的个人基本劳动保护用品。</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10．承包人保证按照国家法律规定为现场所有工作人员（含分包商员工及劳务人员）购买意外伤害保险。</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11．承包人保证施工生活营地（包括自建的和租用的营地）满足消防、安全用电、卫生防疫、防暴雨、防雷击等方面的安全要求。</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12．承包人保证对带入现场的设备、工具、材料按照国家法规和标准进行检测、试验，并持有法定部门出具的检验证书。</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13．承包人保证制订施工现场的文明施工措施，保护环境、树木和植被，保持施工现场的良好秩序和整洁的作业环境。</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14．承包人负责在施工过程中与当地政府、周边群众及其他承包商保持良好的沟通和交流。承包人遇到与周边群众发生纠纷时，应负责协调工作，确保工程能够顺利进行。</w:t>
      </w:r>
    </w:p>
    <w:p>
      <w:pPr>
        <w:spacing w:line="360" w:lineRule="auto"/>
        <w:ind w:firstLine="420" w:firstLineChars="200"/>
        <w:rPr>
          <w:rFonts w:ascii="宋体" w:hAnsi="宋体"/>
          <w:color w:val="auto"/>
          <w:szCs w:val="21"/>
          <w:highlight w:val="none"/>
        </w:rPr>
      </w:pPr>
      <w:bookmarkStart w:id="898" w:name="_Toc239510293"/>
      <w:bookmarkStart w:id="899" w:name="_Toc247431427"/>
      <w:bookmarkStart w:id="900" w:name="_Toc532375703"/>
      <w:bookmarkStart w:id="901" w:name="_Toc247418267"/>
      <w:r>
        <w:rPr>
          <w:rFonts w:hint="eastAsia" w:ascii="宋体" w:hAnsi="宋体"/>
          <w:color w:val="auto"/>
          <w:szCs w:val="21"/>
          <w:highlight w:val="none"/>
        </w:rPr>
        <w:t>四、接口及协调</w:t>
      </w:r>
      <w:bookmarkEnd w:id="898"/>
      <w:bookmarkEnd w:id="899"/>
      <w:bookmarkEnd w:id="900"/>
      <w:bookmarkEnd w:id="901"/>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1．发包人委托监理公司对该工程实施监理，监理公司在安全管理方面代表发包人行使监督检查职能，承包人必须给予配合和支持。</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2．承包人人员、车辆的出入，带入现场的设备、机具、材料，在现场使用的或直接管理的办公、生活、生产性设施的安全管理须满足发包人现场管理的基本要求。</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3．承包人应指定专职安全管理人员与发包人委托的监理公司接口，参与安全协调和管理。安全协调和管理的内容包括职业健康、工业安全、消防安全、卫生防疫、交通安全、环境保护、治安保卫等各方面。</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承包人的专职安全管理人员应具备协调安全工作的能力和授权。发包人委托的监理公司有权对专职安全管理人员的能力和权力做出评价，对于不能胜任的专职安全管理人员，发包人委托的监理公司有权要求承包人换人。</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5．承包人指定的专职安全管理人员应与发包人委托的监理公司建立联系，在业务上接受发包人委托的监理公司的协调和指导。</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6．开工后承包人的专职安全管理人员应按照发包人委托的监理公司的规定，定期报送安全月度快报、季报、年报和各种专项事故报告等。</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7．在工程实体未全部正式移交发包人施工管理部门之前，承包人依旧对施工范围内的安全管理负责。</w:t>
      </w:r>
    </w:p>
    <w:p>
      <w:pPr>
        <w:spacing w:line="360" w:lineRule="auto"/>
        <w:ind w:firstLine="420" w:firstLineChars="200"/>
        <w:rPr>
          <w:rFonts w:ascii="宋体" w:hAnsi="宋体"/>
          <w:color w:val="auto"/>
          <w:szCs w:val="21"/>
          <w:highlight w:val="none"/>
        </w:rPr>
      </w:pPr>
      <w:bookmarkStart w:id="902" w:name="_Toc247418268"/>
      <w:bookmarkStart w:id="903" w:name="_Toc239510294"/>
      <w:bookmarkStart w:id="904" w:name="_Toc532375704"/>
      <w:bookmarkStart w:id="905" w:name="_Toc247431428"/>
      <w:r>
        <w:rPr>
          <w:rFonts w:hint="eastAsia" w:ascii="宋体" w:hAnsi="宋体"/>
          <w:color w:val="auto"/>
          <w:szCs w:val="21"/>
          <w:highlight w:val="none"/>
        </w:rPr>
        <w:t>五、安全资质审查</w:t>
      </w:r>
      <w:bookmarkEnd w:id="902"/>
      <w:bookmarkEnd w:id="903"/>
      <w:bookmarkEnd w:id="904"/>
      <w:bookmarkEnd w:id="905"/>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承包人在项目开工前5个工作天内向发包人委托的监理公司提供以下安全资质供审查和存档：</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1．企业安全生产许可证书复印件。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2．企业近三年的施工简历及安全施工业绩证明文件。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3．企业主要安全管理人员（包括项目经理、专职安全管理人员）经建设主管部门安全生产知识考核合格证书。</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4．特种作业人员资格证书。</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5．项目安全管理机构及其人员配备（承包人必须配有专职的安全员）。</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6．适用于项目的安全管理体系及保证体系文件（安全管理大纲及管理程序文件）。</w:t>
      </w:r>
    </w:p>
    <w:p>
      <w:pPr>
        <w:spacing w:line="360" w:lineRule="auto"/>
        <w:ind w:firstLine="420" w:firstLineChars="200"/>
        <w:rPr>
          <w:rFonts w:ascii="宋体" w:hAnsi="宋体"/>
          <w:color w:val="auto"/>
          <w:szCs w:val="21"/>
          <w:highlight w:val="none"/>
        </w:rPr>
      </w:pPr>
      <w:bookmarkStart w:id="906" w:name="_Toc247418269"/>
      <w:bookmarkStart w:id="907" w:name="_Toc532375705"/>
      <w:bookmarkStart w:id="908" w:name="_Toc239510295"/>
      <w:bookmarkStart w:id="909" w:name="_Toc247431429"/>
      <w:r>
        <w:rPr>
          <w:rFonts w:hint="eastAsia" w:ascii="宋体" w:hAnsi="宋体"/>
          <w:color w:val="auto"/>
          <w:szCs w:val="21"/>
          <w:highlight w:val="none"/>
        </w:rPr>
        <w:t>六、人员基本素质</w:t>
      </w:r>
      <w:bookmarkEnd w:id="906"/>
      <w:bookmarkEnd w:id="907"/>
      <w:bookmarkEnd w:id="908"/>
      <w:bookmarkEnd w:id="909"/>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承包人提供的人员必须满足下列要求：</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1．身体健康，无影响工作的精神疾病、无传染病和其他重大疾病；承包人需对其雇用的施工人员签发健康声明并保证其健康。其中体检证明材料（县级以上医院）和健康声明作为人员办理入场证件的必备材料。</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2．无刑事案件牵连。</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3．无吸毒、酗酒、赌博、嫖娼等恶习及违法行为。</w:t>
      </w:r>
    </w:p>
    <w:p>
      <w:pPr>
        <w:spacing w:line="360" w:lineRule="auto"/>
        <w:ind w:firstLine="420" w:firstLineChars="200"/>
        <w:rPr>
          <w:rFonts w:ascii="宋体" w:hAnsi="宋体"/>
          <w:color w:val="auto"/>
          <w:szCs w:val="21"/>
          <w:highlight w:val="none"/>
        </w:rPr>
      </w:pPr>
      <w:bookmarkStart w:id="910" w:name="_Toc247431430"/>
      <w:bookmarkStart w:id="911" w:name="_Toc239510296"/>
      <w:bookmarkStart w:id="912" w:name="_Toc532375706"/>
      <w:bookmarkStart w:id="913" w:name="_Toc247418270"/>
      <w:r>
        <w:rPr>
          <w:rFonts w:hint="eastAsia" w:ascii="宋体" w:hAnsi="宋体"/>
          <w:color w:val="auto"/>
          <w:szCs w:val="21"/>
          <w:highlight w:val="none"/>
        </w:rPr>
        <w:t>七、劳动保护</w:t>
      </w:r>
      <w:bookmarkEnd w:id="910"/>
      <w:bookmarkEnd w:id="911"/>
      <w:bookmarkEnd w:id="912"/>
      <w:bookmarkEnd w:id="913"/>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1．承包人负责为本单位任何用工形式的员工提供个人劳动保护用品（包括工作服、安全帽、安全鞋等）。</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2．承包人负责向特殊工种的员工提供特殊劳动保护，否则不得从事特殊工种作业。</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3．发包人委托的监理公司有权检查承包人的个人劳动保护用品是否符合国家的相应标准。</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 承包人在特殊风险场所作业而需要特殊防护用品或安全仪表时，必须在上述防护用品全部到位后才能开工。</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5．承包人应配备临时安全围栏、警示带、警告标志、防火布等集体防护用品。</w:t>
      </w:r>
    </w:p>
    <w:p>
      <w:pPr>
        <w:spacing w:line="360" w:lineRule="auto"/>
        <w:ind w:firstLine="420" w:firstLineChars="200"/>
        <w:rPr>
          <w:rFonts w:ascii="宋体" w:hAnsi="宋体"/>
          <w:color w:val="auto"/>
          <w:szCs w:val="21"/>
          <w:highlight w:val="none"/>
        </w:rPr>
      </w:pPr>
      <w:bookmarkStart w:id="914" w:name="_Toc247418271"/>
      <w:bookmarkStart w:id="915" w:name="_Toc532375707"/>
      <w:bookmarkStart w:id="916" w:name="_Toc247431431"/>
      <w:bookmarkStart w:id="917" w:name="_Toc239510297"/>
      <w:r>
        <w:rPr>
          <w:rFonts w:hint="eastAsia" w:ascii="宋体" w:hAnsi="宋体"/>
          <w:color w:val="auto"/>
          <w:szCs w:val="21"/>
          <w:highlight w:val="none"/>
        </w:rPr>
        <w:t>八、施工机具与材料</w:t>
      </w:r>
      <w:bookmarkEnd w:id="914"/>
      <w:bookmarkEnd w:id="915"/>
      <w:bookmarkEnd w:id="916"/>
      <w:bookmarkEnd w:id="917"/>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1．承包人对带入现场的施工机械和工器具的安全负责。</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2．对于承包人带入现场的特殊工器具，如起重设备、索具、机动车辆、压缩气瓶等，承包人必须按国家法规和标准进行检测、试验，并持有法定部门出具的检验证书。</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3．对于不属于法定检测的工器具，承包人也必须建立相应的管理、检测制度，这些工器具包括登高工具、脚手架材料、电动工具、安全防护设备及用具等。</w:t>
      </w:r>
    </w:p>
    <w:p>
      <w:pPr>
        <w:spacing w:line="360" w:lineRule="auto"/>
        <w:ind w:firstLine="420" w:firstLineChars="200"/>
        <w:rPr>
          <w:rFonts w:ascii="宋体" w:hAnsi="宋体"/>
          <w:color w:val="auto"/>
          <w:szCs w:val="21"/>
          <w:highlight w:val="none"/>
        </w:rPr>
      </w:pPr>
      <w:bookmarkStart w:id="918" w:name="_Toc247418272"/>
      <w:bookmarkStart w:id="919" w:name="_Toc532375708"/>
      <w:bookmarkStart w:id="920" w:name="_Toc239510298"/>
      <w:bookmarkStart w:id="921" w:name="_Toc247431432"/>
      <w:r>
        <w:rPr>
          <w:rFonts w:hint="eastAsia" w:ascii="宋体" w:hAnsi="宋体"/>
          <w:color w:val="auto"/>
          <w:szCs w:val="21"/>
          <w:highlight w:val="none"/>
        </w:rPr>
        <w:t>九、开工前安全条件检查</w:t>
      </w:r>
      <w:bookmarkEnd w:id="918"/>
      <w:bookmarkEnd w:id="919"/>
      <w:bookmarkEnd w:id="920"/>
      <w:bookmarkEnd w:id="921"/>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发包人委托的监理公司将在合同生效后，工程项目正式开工5个工作日前，依据合同安全条款的要求逐项对承包人安全准备情况进行检查。不满足开工安全条件时，承包人将不得开工，由此产生的工期和成本的影响，由承包人自行负责。</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开工前安全条件检查的基本内容包括：安全管理体系建设、安全资金投入、危险源识别和安全风险分析、施工机械的安全状况、安全工器具和材料、安全培训教材和教员、专职安全人员的到岗情况、培训的有效性、人员控制、个人劳动保护用品配备等内容。</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3．发包人委托的监理公司检查发现的缺陷，承包人应在规定期限内完成整改。对于重大缺陷，发包人委托的监理公司有权要求承包人推迟开工，由此对工期产生的影响或经济损失，由承包人承担。</w:t>
      </w:r>
    </w:p>
    <w:p>
      <w:pPr>
        <w:spacing w:line="360" w:lineRule="auto"/>
        <w:ind w:firstLine="420" w:firstLineChars="200"/>
        <w:rPr>
          <w:rFonts w:ascii="宋体" w:hAnsi="宋体"/>
          <w:color w:val="auto"/>
          <w:szCs w:val="21"/>
          <w:highlight w:val="none"/>
        </w:rPr>
      </w:pPr>
      <w:bookmarkStart w:id="922" w:name="_Toc247418273"/>
      <w:bookmarkStart w:id="923" w:name="_Toc239510299"/>
      <w:bookmarkStart w:id="924" w:name="_Toc532375709"/>
      <w:bookmarkStart w:id="925" w:name="_Toc247431433"/>
      <w:r>
        <w:rPr>
          <w:rFonts w:hint="eastAsia" w:ascii="宋体" w:hAnsi="宋体"/>
          <w:color w:val="auto"/>
          <w:szCs w:val="21"/>
          <w:highlight w:val="none"/>
        </w:rPr>
        <w:t>十、安全监督</w:t>
      </w:r>
      <w:bookmarkEnd w:id="922"/>
      <w:bookmarkEnd w:id="923"/>
      <w:bookmarkEnd w:id="924"/>
      <w:bookmarkEnd w:id="925"/>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1．承包人应配备有满足项目安全管理需要的专职安全管理人员。</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2．承包人的专职安全管理人员必须持建设主管部门颁发的安全生产知识考核合格证书。</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3．承包人的专职安全管理人员在业务上接受发包人委托的监理公司和发包人安全管理部门的协调和指导。</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4．承包人应建立班前安全交底制度；施工期间坚持开展安全检查和日常安全监督并形成相应的记录。</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5．承包人应在每个作业区任命兼职安全员，赋予兼职安全员相应的授权和义务，并对兼职安全员进行定期考核。</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6．承包人应接受和配合发包人专业部门及委托的监理公司的监督与安全评价。</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7．发包人和委托的监理公司有权对承包人履行安全管理协议的情况进行监督，并有权对违章行为实行停工和处罚，处罚情况将通知承包人。涉及经济处罚时将直接通知合同管理部门从合同结算中扣除。</w:t>
      </w:r>
    </w:p>
    <w:p>
      <w:pPr>
        <w:spacing w:line="360" w:lineRule="auto"/>
        <w:ind w:firstLine="420" w:firstLineChars="200"/>
        <w:rPr>
          <w:rFonts w:ascii="宋体" w:hAnsi="宋体"/>
          <w:color w:val="auto"/>
          <w:szCs w:val="21"/>
          <w:highlight w:val="none"/>
        </w:rPr>
      </w:pPr>
      <w:bookmarkStart w:id="926" w:name="_Toc239510300"/>
      <w:bookmarkStart w:id="927" w:name="_Toc532375710"/>
      <w:bookmarkStart w:id="928" w:name="_Toc247418274"/>
      <w:bookmarkStart w:id="929" w:name="_Toc247431434"/>
      <w:r>
        <w:rPr>
          <w:rFonts w:hint="eastAsia" w:ascii="宋体" w:hAnsi="宋体"/>
          <w:color w:val="auto"/>
          <w:szCs w:val="21"/>
          <w:highlight w:val="none"/>
        </w:rPr>
        <w:t>十一、安全培训与授权</w:t>
      </w:r>
      <w:bookmarkEnd w:id="926"/>
      <w:bookmarkEnd w:id="927"/>
      <w:bookmarkEnd w:id="928"/>
      <w:bookmarkEnd w:id="929"/>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1．承包人所有特殊工种人员必须持证上岗，发包人和发包人委托的监理公司有权对其进行抽查。承包人要建立特殊工种定期培训和检查计划，这些工种包括但不限于：机动车驾驶员、焊工、起重工、电工等。</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2．承包人应在特殊工种之外的其他工种中，筛选出高风险工种，并对其开展针对性的专题安全培训。</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3．承包人应组织 “入场培训”和考核。发包人委托的监理公司有权监督培训、考核情况或组织抽查考核。</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4．承包人应建立安全培训和考核机制，编制培训教材和培训滚动计划。承包人应组织安全考试/考核，建立培训考核记录，发包人委托的监理公司有权查看这些记录。</w:t>
      </w:r>
    </w:p>
    <w:p>
      <w:pPr>
        <w:spacing w:line="360" w:lineRule="auto"/>
        <w:ind w:firstLine="420" w:firstLineChars="200"/>
        <w:rPr>
          <w:rFonts w:ascii="宋体" w:hAnsi="宋体"/>
          <w:color w:val="auto"/>
          <w:szCs w:val="21"/>
          <w:highlight w:val="none"/>
        </w:rPr>
      </w:pPr>
      <w:bookmarkStart w:id="930" w:name="_Toc532375711"/>
      <w:bookmarkStart w:id="931" w:name="_Toc247431435"/>
      <w:bookmarkStart w:id="932" w:name="_Toc247418275"/>
      <w:bookmarkStart w:id="933" w:name="_Toc239510301"/>
      <w:r>
        <w:rPr>
          <w:rFonts w:hint="eastAsia" w:ascii="宋体" w:hAnsi="宋体"/>
          <w:color w:val="auto"/>
          <w:szCs w:val="21"/>
          <w:highlight w:val="none"/>
        </w:rPr>
        <w:t>十二、职业健康与卫生防疫</w:t>
      </w:r>
      <w:bookmarkEnd w:id="930"/>
      <w:bookmarkEnd w:id="931"/>
      <w:bookmarkEnd w:id="932"/>
      <w:bookmarkEnd w:id="933"/>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1．承包人应有特殊健康检查制度，预防有禁忌症患者从事有关职业，如恐高症患者不得从事高空作业，患有心血管疾病的人员不得从事繁重的体力劳动，特殊工种人员的体检应符合国家的规定。</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2．承包人应保证卫生防疫基本设施的投入，以满足医疗、急救的要求，建立外部医疗支持渠道。</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应建立卫生防疫措施计划，做好生活区和施工区的卫生防疫工作；制定和执行保证饮水卫生、饮食卫生、环境卫生和预防集体食物中毒的措施；有灭蚊、灭鼠和消毒的专项工作计划；有针对性地制订预防SARS、禽流感、疟疾、霍乱、肠道传染病、肝炎、H1N1流感等疾病的措施。</w:t>
      </w:r>
    </w:p>
    <w:p>
      <w:pPr>
        <w:spacing w:line="360" w:lineRule="auto"/>
        <w:ind w:firstLine="420" w:firstLineChars="200"/>
        <w:rPr>
          <w:rFonts w:ascii="宋体" w:hAnsi="宋体"/>
          <w:color w:val="auto"/>
          <w:szCs w:val="21"/>
          <w:highlight w:val="none"/>
        </w:rPr>
      </w:pPr>
      <w:bookmarkStart w:id="934" w:name="_Toc247418276"/>
      <w:bookmarkStart w:id="935" w:name="_Toc247431436"/>
      <w:bookmarkStart w:id="936" w:name="_Toc239510302"/>
      <w:bookmarkStart w:id="937" w:name="_Toc532375712"/>
      <w:r>
        <w:rPr>
          <w:rFonts w:hint="eastAsia" w:ascii="宋体" w:hAnsi="宋体"/>
          <w:color w:val="auto"/>
          <w:szCs w:val="21"/>
          <w:highlight w:val="none"/>
        </w:rPr>
        <w:t>十三、文明施工与环保要求</w:t>
      </w:r>
      <w:bookmarkEnd w:id="934"/>
      <w:bookmarkEnd w:id="935"/>
      <w:bookmarkEnd w:id="936"/>
      <w:bookmarkEnd w:id="937"/>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1．承包人需制订施工现场的文明施工措施，保持良好的施工现场秩序。施工现场的物料堆放要摆放整齐，安全标志和宣传标志要清楚醒目，废料、废物要分类收集，安全通道要畅通。</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2．承包人作业时应避免建筑材料抛洒、飞扬、流淌；应尽可能降低噪音、震动。</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3．承包人应根据实际需要，在施工现场布置临时卫生设施（洗手间、卫生间等），施工作业不破坏环境卫生，不污染现场环境。</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4．承包人在施工中应充分重视对环境的保护，保护绿色植被，保护古树。施工如需伤害古树，必须报告发包人委托的监理公司，在未得到指令前，禁止擅自伤害古树。</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承包人应及时清理现场废物和垃圾。工业废料与生活垃圾必须分开，有害废物与普通废物必须分开（如油品废物、电池灯管等，必须单独收集、存放）；禁止在非指定场所乱倒、乱堆垃圾。禁止违章处理危险化学品和工业垃圾。</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6．承包人在施工中应禁止向环境，排放工业污水、生活污水、废油或其他有害物质。</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承包人在施工中应防止水土流失，应及时对裸露的地基、边坡、开挖出来的沙/土以及砂、石、水泥等建筑材料予以保护，防止风刮扬尘，雨水冲刷，流入下水道、排洪沟。如因防护不及时而造成大量水土流失、淤塞道路、沟道或污染环境的，承包人应承担清淤、清扫以及相应的赔偿责任。</w:t>
      </w:r>
    </w:p>
    <w:p>
      <w:pPr>
        <w:spacing w:line="360" w:lineRule="auto"/>
        <w:ind w:firstLine="420" w:firstLineChars="200"/>
        <w:rPr>
          <w:rFonts w:ascii="宋体" w:hAnsi="宋体"/>
          <w:color w:val="auto"/>
          <w:szCs w:val="21"/>
          <w:highlight w:val="none"/>
        </w:rPr>
      </w:pPr>
      <w:bookmarkStart w:id="938" w:name="_Toc532375713"/>
      <w:bookmarkStart w:id="939" w:name="_Toc247418277"/>
      <w:bookmarkStart w:id="940" w:name="_Toc239510303"/>
      <w:bookmarkStart w:id="941" w:name="_Toc247431437"/>
      <w:r>
        <w:rPr>
          <w:rFonts w:hint="eastAsia" w:ascii="宋体" w:hAnsi="宋体"/>
          <w:color w:val="auto"/>
          <w:szCs w:val="21"/>
          <w:highlight w:val="none"/>
        </w:rPr>
        <w:t>十四、工程风险管理与事故预防</w:t>
      </w:r>
      <w:bookmarkEnd w:id="938"/>
      <w:bookmarkEnd w:id="939"/>
      <w:bookmarkEnd w:id="940"/>
      <w:bookmarkEnd w:id="941"/>
    </w:p>
    <w:p>
      <w:pPr>
        <w:spacing w:line="360" w:lineRule="auto"/>
        <w:ind w:firstLine="420" w:firstLineChars="200"/>
        <w:rPr>
          <w:rFonts w:ascii="宋体" w:hAnsi="宋体"/>
          <w:color w:val="auto"/>
          <w:szCs w:val="21"/>
          <w:highlight w:val="none"/>
        </w:rPr>
      </w:pPr>
      <w:bookmarkStart w:id="942" w:name="_Toc239510304"/>
      <w:bookmarkStart w:id="943" w:name="_Toc247418278"/>
      <w:bookmarkStart w:id="944" w:name="_Toc247431438"/>
      <w:r>
        <w:rPr>
          <w:rFonts w:hint="eastAsia" w:ascii="宋体" w:hAnsi="宋体"/>
          <w:color w:val="auto"/>
          <w:szCs w:val="21"/>
          <w:highlight w:val="none"/>
        </w:rPr>
        <w:t>（一）基本要求</w:t>
      </w:r>
      <w:bookmarkEnd w:id="942"/>
      <w:bookmarkEnd w:id="943"/>
      <w:bookmarkEnd w:id="944"/>
    </w:p>
    <w:p>
      <w:pPr>
        <w:spacing w:line="360" w:lineRule="auto"/>
        <w:ind w:firstLine="420" w:firstLineChars="200"/>
        <w:rPr>
          <w:rFonts w:ascii="宋体" w:hAnsi="宋体"/>
          <w:color w:val="auto"/>
          <w:szCs w:val="21"/>
          <w:highlight w:val="none"/>
        </w:rPr>
      </w:pPr>
      <w:bookmarkStart w:id="945" w:name="_Toc532375714"/>
      <w:r>
        <w:rPr>
          <w:rFonts w:hint="eastAsia" w:ascii="宋体" w:hAnsi="宋体"/>
          <w:color w:val="auto"/>
          <w:szCs w:val="21"/>
          <w:highlight w:val="none"/>
        </w:rPr>
        <w:t>1．承包人应对施工过程进行全面、深入的危险源识别和风险分析。在施工安全组织设计中提供危险源及重要危险源清单、作业风险分析报告，该报告应包括（但不限于）如下信息：</w:t>
      </w:r>
      <w:bookmarkEnd w:id="945"/>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（1）高风险作业和工种清单：作业名称、类别和数量、主要事故风险。</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（2）施工能源和机械的种类、数量和主要事故风险。</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（3）施工作业条件的类型和主要事故风险。</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（4）主要工艺过程（或施工活动）的类别及其相关的事故风险。</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（5）主要火灾危险（可燃物、点火源）。</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（6）主要自然灾害（洪水、大风、雷暴、暴雨、地质灾害等）。</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（7）主要环境保护事件（有害垃圾、机械的跑冒滴漏、原材料流失、水土流失等）。</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（8）其他。</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2．承包人应针对识别出的危险源制定有针对性的事故预防措施并确保在施工中得到有效落实。</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3．承包人应建立日常施工活动的动态作业风险分析和安全交底制度。该制度应明确规定风险分析的方法、责任和交底的内容、时间及记录。</w:t>
      </w:r>
    </w:p>
    <w:p>
      <w:pPr>
        <w:spacing w:line="360" w:lineRule="auto"/>
        <w:ind w:firstLine="420" w:firstLineChars="200"/>
        <w:rPr>
          <w:rFonts w:ascii="宋体" w:hAnsi="宋体"/>
          <w:color w:val="auto"/>
          <w:szCs w:val="21"/>
          <w:highlight w:val="none"/>
        </w:rPr>
      </w:pPr>
      <w:bookmarkStart w:id="946" w:name="_Toc239510305"/>
      <w:bookmarkStart w:id="947" w:name="_Toc247418279"/>
      <w:bookmarkStart w:id="948" w:name="_Toc247431439"/>
      <w:r>
        <w:rPr>
          <w:rFonts w:hint="eastAsia" w:ascii="宋体" w:hAnsi="宋体"/>
          <w:color w:val="auto"/>
          <w:szCs w:val="21"/>
          <w:highlight w:val="none"/>
        </w:rPr>
        <w:t>（二）现场作业基本安全条件</w:t>
      </w:r>
      <w:bookmarkEnd w:id="946"/>
      <w:bookmarkEnd w:id="947"/>
      <w:bookmarkEnd w:id="948"/>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应规定现场作业的基本安全条件，包括照明条件、通风条件、作业平台和通道条件、物料堆放条件、供电供水条件、吸烟点、休息点等，并对临边现场、道路上作业现场、立体交叉作业现场、地面坑洞和沟道、夜间作业现场等的基本安全条件做出规定。</w:t>
      </w:r>
    </w:p>
    <w:p>
      <w:pPr>
        <w:spacing w:line="360" w:lineRule="auto"/>
        <w:ind w:firstLine="420" w:firstLineChars="200"/>
        <w:rPr>
          <w:rFonts w:ascii="宋体" w:hAnsi="宋体"/>
          <w:color w:val="auto"/>
          <w:szCs w:val="21"/>
          <w:highlight w:val="none"/>
        </w:rPr>
      </w:pPr>
      <w:bookmarkStart w:id="949" w:name="_Toc239510306"/>
      <w:bookmarkStart w:id="950" w:name="_Toc532375715"/>
      <w:bookmarkStart w:id="951" w:name="_Toc247431440"/>
      <w:bookmarkStart w:id="952" w:name="_Toc247418280"/>
      <w:r>
        <w:rPr>
          <w:rFonts w:hint="eastAsia" w:ascii="宋体" w:hAnsi="宋体"/>
          <w:color w:val="auto"/>
          <w:szCs w:val="21"/>
          <w:highlight w:val="none"/>
        </w:rPr>
        <w:t>十五、事故报告与应急救援</w:t>
      </w:r>
      <w:bookmarkEnd w:id="949"/>
      <w:bookmarkEnd w:id="950"/>
      <w:bookmarkEnd w:id="951"/>
      <w:bookmarkEnd w:id="952"/>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1．承包人应制定对于未遂事故及以上级别的安全事件和事故，定期报送安全月度快报、季报、年报和各种专项事故报告等。</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2．承包人应建立安全事故统计记录、未遂事故统计记录、违章统计记录，并根据统计情况进行分析，并就分析结果制定相应的预防措施。</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3．承包人应建立事故应急救援机制，明确事故处置的基本原则，即现场发生事故时，首先抢救生命，向救援组织报警，并采取措施限制事故扩大。</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4．承包人应建立相应的应急响应组织，以便能迅速处理突发意外。</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5．承包人应建立专项应急响应预案，包括重大人身伤亡事故的救护预案、火灾响应预案、“四防”预案（防风、防冻、防雷、防暴雨）、重大疫病防护预案、环境污染防护预案、地质灾害防护预案等。</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6．承包人应对应急预案进行适当演练，保证应急预案的可操作性。</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7．在工地的其他施工单位发生重大事故时，承包人应无条件立即配合、支持事故抢险。</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8．承包人必须为事故处置支付各项费用，包括受伤者的抚恤、补偿等费用，并按合同要求赔偿对发包人造成的损失。</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9．由于发包人原因而造成的事故，发包人应负责按事故的具体损失情况给予承包人经济赔偿。</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10．涉及承包人员工的伤害事故，承包人除要报告发包人委托的监理公司外，还应负责按照国家、行业和本单位上级公司的要求，上报事故。</w:t>
      </w:r>
    </w:p>
    <w:p>
      <w:pPr>
        <w:spacing w:line="360" w:lineRule="auto"/>
        <w:ind w:firstLine="420" w:firstLineChars="200"/>
        <w:rPr>
          <w:rFonts w:ascii="宋体" w:hAnsi="宋体"/>
          <w:color w:val="auto"/>
          <w:szCs w:val="21"/>
          <w:highlight w:val="none"/>
        </w:rPr>
      </w:pPr>
      <w:bookmarkStart w:id="953" w:name="_Toc239510307"/>
      <w:bookmarkStart w:id="954" w:name="_Toc247418281"/>
      <w:bookmarkStart w:id="955" w:name="_Toc247431441"/>
      <w:bookmarkStart w:id="956" w:name="_Toc532375716"/>
      <w:r>
        <w:rPr>
          <w:rFonts w:hint="eastAsia" w:ascii="宋体" w:hAnsi="宋体"/>
          <w:color w:val="auto"/>
          <w:szCs w:val="21"/>
          <w:highlight w:val="none"/>
        </w:rPr>
        <w:t>十六、安全业绩考核</w:t>
      </w:r>
      <w:bookmarkEnd w:id="953"/>
      <w:bookmarkEnd w:id="954"/>
      <w:bookmarkEnd w:id="955"/>
      <w:bookmarkEnd w:id="956"/>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为了落实安全管理的责任，承包人在施工过程中发生安全事故时，承包人除应按国家有关规定承担责任和处罚外，发包人还将按照以下标准进行考核：</w:t>
      </w:r>
    </w:p>
    <w:tbl>
      <w:tblPr>
        <w:tblStyle w:val="40"/>
        <w:tblW w:w="0" w:type="auto"/>
        <w:jc w:val="center"/>
        <w:tblLayout w:type="fixed"/>
        <w:tblCellMar>
          <w:top w:w="0" w:type="dxa"/>
          <w:left w:w="0" w:type="dxa"/>
          <w:bottom w:w="0" w:type="dxa"/>
          <w:right w:w="0" w:type="dxa"/>
        </w:tblCellMar>
      </w:tblPr>
      <w:tblGrid>
        <w:gridCol w:w="3240"/>
        <w:gridCol w:w="3765"/>
      </w:tblGrid>
      <w:tr>
        <w:tblPrEx>
          <w:tblCellMar>
            <w:top w:w="0" w:type="dxa"/>
            <w:left w:w="0" w:type="dxa"/>
            <w:bottom w:w="0" w:type="dxa"/>
            <w:right w:w="0" w:type="dxa"/>
          </w:tblCellMar>
        </w:tblPrEx>
        <w:trPr>
          <w:trHeight w:val="188" w:hRule="atLeast"/>
          <w:jc w:val="center"/>
        </w:trPr>
        <w:tc>
          <w:tcPr>
            <w:tcW w:w="3240"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事件类型</w:t>
            </w:r>
          </w:p>
        </w:tc>
        <w:tc>
          <w:tcPr>
            <w:tcW w:w="376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违约金额</w:t>
            </w:r>
          </w:p>
        </w:tc>
      </w:tr>
      <w:tr>
        <w:tblPrEx>
          <w:tblCellMar>
            <w:top w:w="0" w:type="dxa"/>
            <w:left w:w="0" w:type="dxa"/>
            <w:bottom w:w="0" w:type="dxa"/>
            <w:right w:w="0" w:type="dxa"/>
          </w:tblCellMar>
        </w:tblPrEx>
        <w:trPr>
          <w:trHeight w:val="281" w:hRule="atLeast"/>
          <w:jc w:val="center"/>
        </w:trPr>
        <w:tc>
          <w:tcPr>
            <w:tcW w:w="3240"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较大事故</w:t>
            </w:r>
          </w:p>
        </w:tc>
        <w:tc>
          <w:tcPr>
            <w:tcW w:w="3765" w:type="dxa"/>
            <w:tcBorders>
              <w:top w:val="single" w:color="auto" w:sz="8" w:space="0"/>
              <w:left w:val="nil"/>
              <w:bottom w:val="single" w:color="auto" w:sz="8" w:space="0"/>
              <w:right w:val="single" w:color="auto" w:sz="8" w:space="0"/>
            </w:tcBorders>
            <w:vAlign w:val="center"/>
          </w:tcPr>
          <w:p>
            <w:pPr>
              <w:spacing w:line="360" w:lineRule="auto"/>
              <w:ind w:firstLine="420" w:firstLineChars="200"/>
              <w:rPr>
                <w:rFonts w:ascii="宋体" w:hAnsi="宋体"/>
                <w:color w:val="auto"/>
                <w:szCs w:val="21"/>
                <w:highlight w:val="none"/>
              </w:rPr>
            </w:pPr>
            <w:r>
              <w:rPr>
                <w:rFonts w:hint="eastAsia" w:ascii="宋体" w:hAnsi="宋体"/>
                <w:color w:val="auto"/>
                <w:kern w:val="0"/>
                <w:szCs w:val="21"/>
                <w:highlight w:val="none"/>
              </w:rPr>
              <w:t>签约合同价</w:t>
            </w:r>
            <w:r>
              <w:rPr>
                <w:rFonts w:hint="eastAsia" w:ascii="宋体" w:hAnsi="宋体"/>
                <w:color w:val="auto"/>
                <w:szCs w:val="21"/>
                <w:highlight w:val="none"/>
              </w:rPr>
              <w:t>的0.5‰</w:t>
            </w:r>
          </w:p>
        </w:tc>
      </w:tr>
      <w:tr>
        <w:tblPrEx>
          <w:tblCellMar>
            <w:top w:w="0" w:type="dxa"/>
            <w:left w:w="0" w:type="dxa"/>
            <w:bottom w:w="0" w:type="dxa"/>
            <w:right w:w="0" w:type="dxa"/>
          </w:tblCellMar>
        </w:tblPrEx>
        <w:trPr>
          <w:trHeight w:val="274" w:hRule="atLeast"/>
          <w:jc w:val="center"/>
        </w:trPr>
        <w:tc>
          <w:tcPr>
            <w:tcW w:w="3240"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重大事故</w:t>
            </w:r>
          </w:p>
        </w:tc>
        <w:tc>
          <w:tcPr>
            <w:tcW w:w="3765" w:type="dxa"/>
            <w:tcBorders>
              <w:top w:val="single" w:color="auto" w:sz="8" w:space="0"/>
              <w:left w:val="nil"/>
              <w:bottom w:val="single" w:color="auto" w:sz="8" w:space="0"/>
              <w:right w:val="single" w:color="auto" w:sz="8" w:space="0"/>
            </w:tcBorders>
            <w:vAlign w:val="center"/>
          </w:tcPr>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签约合同价的2‰</w:t>
            </w:r>
          </w:p>
        </w:tc>
      </w:tr>
      <w:tr>
        <w:tblPrEx>
          <w:tblCellMar>
            <w:top w:w="0" w:type="dxa"/>
            <w:left w:w="0" w:type="dxa"/>
            <w:bottom w:w="0" w:type="dxa"/>
            <w:right w:w="0" w:type="dxa"/>
          </w:tblCellMar>
        </w:tblPrEx>
        <w:trPr>
          <w:trHeight w:val="138" w:hRule="atLeast"/>
          <w:jc w:val="center"/>
        </w:trPr>
        <w:tc>
          <w:tcPr>
            <w:tcW w:w="3240"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特别重大事故</w:t>
            </w:r>
          </w:p>
        </w:tc>
        <w:tc>
          <w:tcPr>
            <w:tcW w:w="3765" w:type="dxa"/>
            <w:tcBorders>
              <w:top w:val="single" w:color="auto" w:sz="8" w:space="0"/>
              <w:left w:val="nil"/>
              <w:bottom w:val="single" w:color="auto" w:sz="8" w:space="0"/>
              <w:right w:val="single" w:color="auto" w:sz="8" w:space="0"/>
            </w:tcBorders>
            <w:vAlign w:val="center"/>
          </w:tcPr>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签约合同价的4‰</w:t>
            </w:r>
          </w:p>
        </w:tc>
      </w:tr>
    </w:tbl>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（1）较大事故，是指造成3人以上10人以下死亡，或者10人以上50人以下重伤，或者1000万元以上5000万元以下直接经济损失的事故；</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（2）重大事故，是指造成10人以上30人以下死亡，或者50人以上100人以下重伤，或者5000万元以上1亿元以下直接经济损失的事故；</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（3）特别重大事故，是指造成30人以上死亡，或者100人以上重伤（包括急性工业中毒，下同），或者1亿元以上直接经济损失的事故；</w:t>
      </w:r>
    </w:p>
    <w:p>
      <w:pPr>
        <w:spacing w:line="276" w:lineRule="auto"/>
        <w:ind w:firstLine="420" w:firstLineChars="200"/>
        <w:rPr>
          <w:rFonts w:ascii="宋体" w:hAnsi="宋体"/>
          <w:color w:val="auto"/>
          <w:szCs w:val="21"/>
          <w:highlight w:val="none"/>
        </w:rPr>
      </w:pPr>
      <w:r>
        <w:rPr>
          <w:rFonts w:hint="eastAsia" w:ascii="宋体" w:hAnsi="宋体"/>
          <w:color w:val="auto"/>
          <w:szCs w:val="21"/>
          <w:highlight w:val="none"/>
        </w:rPr>
        <w:t>（4）所称的“以上”包括本数，所称的“以下”不包括本数。</w:t>
      </w:r>
    </w:p>
    <w:p>
      <w:pPr>
        <w:spacing w:line="276" w:lineRule="auto"/>
        <w:ind w:firstLine="420" w:firstLineChars="200"/>
        <w:rPr>
          <w:rFonts w:ascii="宋体" w:hAnsi="宋体"/>
          <w:color w:val="auto"/>
          <w:szCs w:val="21"/>
          <w:highlight w:val="none"/>
        </w:rPr>
      </w:pPr>
      <w:r>
        <w:rPr>
          <w:rFonts w:hint="eastAsia" w:ascii="宋体" w:hAnsi="宋体"/>
          <w:color w:val="auto"/>
          <w:szCs w:val="21"/>
          <w:highlight w:val="none"/>
        </w:rPr>
        <w:t>（5）如整个施工过程未发生以上安全事故，则给予承包人建安费总额的1‰的安全奖励。</w:t>
      </w:r>
    </w:p>
    <w:p>
      <w:pPr>
        <w:spacing w:line="276"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发包人委托的监理公司负责对承包人的安全业绩进行考核。每次合同支付前，承包人提交自我安全业绩评估报告，然后交发包人委托的监理公司评价。发包人委托的监理公司在签署评价意见后，将作为合同支付依据之一，同时也作为是否可接受承包人再次参加发包人项目投标的依据之一。 </w:t>
      </w:r>
    </w:p>
    <w:p>
      <w:pPr>
        <w:spacing w:line="276" w:lineRule="auto"/>
        <w:ind w:firstLine="420" w:firstLineChars="200"/>
        <w:rPr>
          <w:rFonts w:ascii="宋体" w:hAnsi="宋体"/>
          <w:color w:val="auto"/>
          <w:szCs w:val="21"/>
          <w:highlight w:val="none"/>
        </w:rPr>
      </w:pPr>
      <w:bookmarkStart w:id="957" w:name="_Toc532375717"/>
      <w:bookmarkStart w:id="958" w:name="_Toc247418282"/>
      <w:bookmarkStart w:id="959" w:name="_Toc247431442"/>
      <w:bookmarkStart w:id="960" w:name="_Toc239510308"/>
      <w:r>
        <w:rPr>
          <w:rFonts w:hint="eastAsia" w:ascii="宋体" w:hAnsi="宋体"/>
          <w:color w:val="auto"/>
          <w:szCs w:val="21"/>
          <w:highlight w:val="none"/>
        </w:rPr>
        <w:t>十七、协议条款的修订</w:t>
      </w:r>
      <w:bookmarkEnd w:id="957"/>
      <w:bookmarkEnd w:id="958"/>
      <w:bookmarkEnd w:id="959"/>
      <w:bookmarkEnd w:id="960"/>
    </w:p>
    <w:p>
      <w:pPr>
        <w:spacing w:line="276" w:lineRule="auto"/>
        <w:ind w:firstLine="420" w:firstLineChars="200"/>
        <w:rPr>
          <w:rFonts w:ascii="宋体" w:hAnsi="宋体"/>
          <w:color w:val="auto"/>
          <w:szCs w:val="21"/>
          <w:highlight w:val="none"/>
        </w:rPr>
      </w:pPr>
      <w:r>
        <w:rPr>
          <w:rFonts w:hint="eastAsia" w:ascii="宋体" w:hAnsi="宋体"/>
          <w:color w:val="auto"/>
          <w:szCs w:val="21"/>
          <w:highlight w:val="none"/>
        </w:rPr>
        <w:t>在项目实施过程中，经双方友好协商，本协议的有关条款也可做出相应的修改。</w:t>
      </w:r>
    </w:p>
    <w:p>
      <w:pPr>
        <w:spacing w:line="276" w:lineRule="auto"/>
        <w:ind w:firstLine="420" w:firstLineChars="200"/>
        <w:rPr>
          <w:rFonts w:ascii="宋体" w:hAnsi="宋体"/>
          <w:color w:val="auto"/>
          <w:szCs w:val="21"/>
          <w:highlight w:val="none"/>
        </w:rPr>
      </w:pPr>
      <w:r>
        <w:rPr>
          <w:rFonts w:hint="eastAsia" w:ascii="宋体" w:hAnsi="宋体"/>
          <w:color w:val="auto"/>
          <w:szCs w:val="21"/>
          <w:highlight w:val="none"/>
        </w:rPr>
        <w:t>本工程安全管理协议，由发包人、承包人双方在施工承包合同签订后7天内共同签署，作为施工合同附件。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  包  人（公章）：</w:t>
      </w:r>
      <w:r>
        <w:rPr>
          <w:rFonts w:hint="eastAsia" w:ascii="宋体" w:hAnsi="宋体" w:cs="宋体"/>
          <w:color w:val="auto"/>
          <w:szCs w:val="21"/>
          <w:highlight w:val="none"/>
          <w:u w:val="single"/>
        </w:rPr>
        <w:t xml:space="preserve">                       </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法定代表人（签字）：</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或其委托代理人（签字）：</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p>
    <w:p>
      <w:pPr>
        <w:spacing w:line="360" w:lineRule="auto"/>
        <w:ind w:firstLine="420" w:firstLineChars="200"/>
        <w:rPr>
          <w:rFonts w:ascii="宋体" w:hAnsi="宋体"/>
          <w:color w:val="auto"/>
          <w:szCs w:val="21"/>
          <w:highlight w:val="none"/>
        </w:rPr>
      </w:pPr>
    </w:p>
    <w:p>
      <w:pPr>
        <w:spacing w:line="360" w:lineRule="auto"/>
        <w:ind w:firstLine="420" w:firstLineChars="200"/>
        <w:rPr>
          <w:rFonts w:ascii="宋体" w:hAnsi="宋体"/>
          <w:color w:val="auto"/>
          <w:kern w:val="0"/>
          <w:szCs w:val="21"/>
          <w:highlight w:val="none"/>
        </w:rPr>
      </w:pPr>
      <w:r>
        <w:rPr>
          <w:rFonts w:hint="eastAsia" w:ascii="宋体" w:hAnsi="宋体"/>
          <w:color w:val="auto"/>
          <w:szCs w:val="21"/>
          <w:highlight w:val="none"/>
        </w:rPr>
        <w:t>承  包  人（公章）：</w:t>
      </w:r>
      <w:r>
        <w:rPr>
          <w:rFonts w:hint="eastAsia" w:ascii="宋体" w:hAnsi="宋体" w:cs="宋体"/>
          <w:color w:val="auto"/>
          <w:szCs w:val="21"/>
          <w:highlight w:val="none"/>
          <w:u w:val="single"/>
        </w:rPr>
        <w:t xml:space="preserve">                       </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法定代表人（签字）：</w:t>
      </w:r>
      <w:r>
        <w:rPr>
          <w:rFonts w:hint="eastAsia" w:ascii="宋体" w:hAnsi="宋体" w:cs="宋体"/>
          <w:color w:val="auto"/>
          <w:szCs w:val="21"/>
          <w:highlight w:val="none"/>
          <w:u w:val="single"/>
        </w:rPr>
        <w:t xml:space="preserve">                       </w:t>
      </w:r>
    </w:p>
    <w:p>
      <w:pPr>
        <w:spacing w:line="360" w:lineRule="auto"/>
        <w:ind w:firstLine="420" w:firstLineChars="200"/>
        <w:rPr>
          <w:rFonts w:ascii="宋体" w:hAnsi="宋体"/>
          <w:color w:val="auto"/>
          <w:kern w:val="0"/>
          <w:szCs w:val="21"/>
          <w:highlight w:val="none"/>
        </w:rPr>
      </w:pPr>
      <w:r>
        <w:rPr>
          <w:rFonts w:hint="eastAsia" w:ascii="宋体" w:hAnsi="宋体"/>
          <w:color w:val="auto"/>
          <w:szCs w:val="21"/>
          <w:highlight w:val="none"/>
        </w:rPr>
        <w:t>或其委托代理人（签字）：</w:t>
      </w:r>
      <w:r>
        <w:rPr>
          <w:rFonts w:hint="eastAsia" w:ascii="宋体" w:hAnsi="宋体" w:cs="宋体"/>
          <w:color w:val="auto"/>
          <w:szCs w:val="21"/>
          <w:highlight w:val="none"/>
          <w:u w:val="single"/>
        </w:rPr>
        <w:t xml:space="preserve">                   </w:t>
      </w:r>
    </w:p>
    <w:p>
      <w:pPr>
        <w:snapToGrid w:val="0"/>
        <w:spacing w:line="360" w:lineRule="auto"/>
        <w:rPr>
          <w:rFonts w:ascii="宋体" w:hAnsi="宋体"/>
          <w:color w:val="auto"/>
          <w:kern w:val="0"/>
          <w:szCs w:val="21"/>
          <w:highlight w:val="none"/>
        </w:rPr>
      </w:pPr>
      <w:r>
        <w:rPr>
          <w:rFonts w:hint="eastAsia" w:ascii="宋体" w:hAnsi="宋体"/>
          <w:color w:val="auto"/>
          <w:szCs w:val="21"/>
          <w:highlight w:val="none"/>
        </w:rPr>
        <w:br w:type="page"/>
      </w:r>
    </w:p>
    <w:p>
      <w:pPr>
        <w:spacing w:line="480" w:lineRule="auto"/>
        <w:rPr>
          <w:rFonts w:ascii="宋体" w:hAnsi="宋体"/>
          <w:color w:val="auto"/>
          <w:szCs w:val="21"/>
          <w:highlight w:val="none"/>
        </w:rPr>
      </w:pPr>
      <w:r>
        <w:rPr>
          <w:rFonts w:hint="eastAsia" w:ascii="宋体" w:hAnsi="宋体"/>
          <w:color w:val="auto"/>
          <w:szCs w:val="21"/>
          <w:highlight w:val="none"/>
        </w:rPr>
        <w:t>附件8 保障农民工工资支付协议</w:t>
      </w:r>
    </w:p>
    <w:p>
      <w:pPr>
        <w:spacing w:before="120" w:beforeLines="50" w:after="120" w:afterLines="50" w:line="480" w:lineRule="auto"/>
        <w:jc w:val="center"/>
        <w:rPr>
          <w:rFonts w:ascii="宋体" w:hAnsi="宋体"/>
          <w:color w:val="auto"/>
          <w:szCs w:val="21"/>
          <w:highlight w:val="none"/>
        </w:rPr>
      </w:pPr>
      <w:r>
        <w:rPr>
          <w:rFonts w:hint="eastAsia" w:ascii="宋体" w:hAnsi="宋体"/>
          <w:color w:val="auto"/>
          <w:szCs w:val="21"/>
          <w:highlight w:val="none"/>
        </w:rPr>
        <w:t>保障农民工工资支付协议</w:t>
      </w:r>
    </w:p>
    <w:p>
      <w:pPr>
        <w:snapToGrid w:val="0"/>
        <w:spacing w:line="480" w:lineRule="auto"/>
        <w:rPr>
          <w:rFonts w:ascii="宋体" w:hAnsi="宋体"/>
          <w:color w:val="auto"/>
          <w:szCs w:val="21"/>
          <w:highlight w:val="none"/>
        </w:rPr>
      </w:pPr>
      <w:r>
        <w:rPr>
          <w:rFonts w:hint="eastAsia" w:ascii="宋体" w:hAnsi="宋体"/>
          <w:color w:val="auto"/>
          <w:szCs w:val="21"/>
          <w:highlight w:val="none"/>
        </w:rPr>
        <w:t xml:space="preserve"> 发包人：</w:t>
      </w:r>
      <w:r>
        <w:rPr>
          <w:rFonts w:hint="eastAsia" w:ascii="宋体" w:hAnsi="宋体" w:cs="宋体"/>
          <w:color w:val="auto"/>
          <w:szCs w:val="21"/>
          <w:highlight w:val="none"/>
          <w:u w:val="single"/>
        </w:rPr>
        <w:t xml:space="preserve">                                 </w:t>
      </w:r>
      <w:r>
        <w:rPr>
          <w:rFonts w:hint="eastAsia" w:ascii="宋体" w:hAnsi="宋体"/>
          <w:color w:val="auto"/>
          <w:szCs w:val="21"/>
          <w:highlight w:val="none"/>
        </w:rPr>
        <w:t>（发包人）</w:t>
      </w:r>
    </w:p>
    <w:p>
      <w:pPr>
        <w:snapToGrid w:val="0"/>
        <w:spacing w:line="360" w:lineRule="auto"/>
        <w:rPr>
          <w:rFonts w:ascii="宋体" w:hAnsi="宋体"/>
          <w:color w:val="auto"/>
          <w:szCs w:val="21"/>
          <w:highlight w:val="none"/>
        </w:rPr>
      </w:pPr>
      <w:r>
        <w:rPr>
          <w:rFonts w:hint="eastAsia" w:ascii="宋体" w:hAnsi="宋体"/>
          <w:color w:val="auto"/>
          <w:szCs w:val="21"/>
          <w:highlight w:val="none"/>
        </w:rPr>
        <w:t xml:space="preserve"> 承包人：</w:t>
      </w:r>
      <w:r>
        <w:rPr>
          <w:rFonts w:hint="eastAsia" w:ascii="宋体" w:hAnsi="宋体" w:cs="宋体"/>
          <w:color w:val="auto"/>
          <w:szCs w:val="21"/>
          <w:highlight w:val="none"/>
          <w:u w:val="single"/>
        </w:rPr>
        <w:t xml:space="preserve">                                 </w:t>
      </w:r>
      <w:r>
        <w:rPr>
          <w:rFonts w:hint="eastAsia" w:ascii="宋体" w:hAnsi="宋体"/>
          <w:color w:val="auto"/>
          <w:szCs w:val="21"/>
          <w:highlight w:val="none"/>
        </w:rPr>
        <w:t>（承包人）</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为贯彻落实《国务院办公厅关于全面治理拖欠农民工工资问题的意见》（国办发〔2016〕1号），《重庆市人民政府办公厅关于全面治理拖欠农民工工资问题的实施意见》（渝府办发〔2016〕101号），健全预防和解决拖欠农民工工资问题的长效机制，切实保障农民工劳动报酬权益，维护社会公平正义，促进社会和谐稳定。经甲、乙双方结合实际情况，友好协商，达成如下协议：</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一、承包人申报工程进度款时，应对上月已支付工程款用于农民工工资发放的情况进行说明，并附农民工代表按时足额收取了工资的签字确认书。监理单位应对相关情况说明和签字确认书（详附件）进行审查签字后，与工程进度款申报资料一并提交给发包人。发包人审核合格后，才进行当期工程进度款的支付。</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二、由于工程进度款申报和审查需一定时间，其与农民工工资发放时间存在一定时间的延后，承包人应具有垫付不低于3个月农民工工资能力。承包人在本补充协议签订后申请的第一笔工程进度款时应出具垫付不低于3个月农民工工资的书面承诺给发包人。发包人将承包人是否做出承诺作为支付工程进度款的前提条件之一。</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三、承包人每月10日前将本月作业班组、班组人数、农民工身份信息等报监理单位，10日～15日分别以作业班组为小组，每小组自行选举产生一名农民工代表，监理单位应全程监督，选举结果与当期工程款支付申请一并报送发包人。</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四、若发现承包人有下列事项的，发包人在支付当期进度款时暂扣当期应支付进度款5%比例的款项。</w:t>
      </w:r>
      <w:r>
        <w:rPr>
          <w:rFonts w:hint="eastAsia" w:ascii="宋体" w:hAnsi="宋体"/>
          <w:color w:val="auto"/>
          <w:szCs w:val="21"/>
          <w:highlight w:val="none"/>
        </w:rPr>
        <w:br w:type="textWrapping"/>
      </w:r>
      <w:r>
        <w:rPr>
          <w:rFonts w:hint="eastAsia" w:ascii="宋体" w:hAnsi="宋体"/>
          <w:color w:val="auto"/>
          <w:szCs w:val="21"/>
          <w:highlight w:val="none"/>
        </w:rPr>
        <w:t xml:space="preserve">    （一）现场检查发现项目存在拖欠农民工工资情况并经核查属实的；</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（二）相关行政管理部门检查发现存在拖欠农民工工资情况并经核查属实的；</w:t>
      </w:r>
      <w:r>
        <w:rPr>
          <w:rFonts w:hint="eastAsia" w:ascii="宋体" w:hAnsi="宋体"/>
          <w:color w:val="auto"/>
          <w:szCs w:val="21"/>
          <w:highlight w:val="none"/>
        </w:rPr>
        <w:br w:type="textWrapping"/>
      </w:r>
      <w:r>
        <w:rPr>
          <w:rFonts w:hint="eastAsia" w:ascii="宋体" w:hAnsi="宋体"/>
          <w:color w:val="auto"/>
          <w:szCs w:val="21"/>
          <w:highlight w:val="none"/>
        </w:rPr>
        <w:t xml:space="preserve">    （三）有拖欠农民工工资投诉事项并经核查属实的。</w:t>
      </w:r>
      <w:r>
        <w:rPr>
          <w:rFonts w:hint="eastAsia" w:ascii="宋体" w:hAnsi="宋体"/>
          <w:color w:val="auto"/>
          <w:szCs w:val="21"/>
          <w:highlight w:val="none"/>
        </w:rPr>
        <w:br w:type="textWrapping"/>
      </w:r>
      <w:r>
        <w:rPr>
          <w:rFonts w:hint="eastAsia" w:ascii="宋体" w:hAnsi="宋体"/>
          <w:color w:val="auto"/>
          <w:szCs w:val="21"/>
          <w:highlight w:val="none"/>
        </w:rPr>
        <w:t xml:space="preserve">    五、对发现的存在拖欠农民工工资事项，承包人应在3天内限时整改，并将整改措施和结果报发包人审查，经发包人批准同意后，在下一期工程进度款支付中返还暂扣的工程款；如承包人未在3天内限时整改，暂扣工程款将继续扣留，直至整改完毕。暂扣款不计息。</w:t>
      </w:r>
    </w:p>
    <w:p>
      <w:pPr>
        <w:tabs>
          <w:tab w:val="left" w:pos="1080"/>
          <w:tab w:val="left" w:pos="1260"/>
          <w:tab w:val="left" w:pos="1440"/>
        </w:tabs>
        <w:spacing w:line="360" w:lineRule="auto"/>
        <w:ind w:firstLine="420" w:firstLineChars="200"/>
        <w:rPr>
          <w:rFonts w:ascii="宋体" w:hAnsi="宋体"/>
          <w:snapToGrid w:val="0"/>
          <w:color w:val="auto"/>
          <w:spacing w:val="-4"/>
          <w:kern w:val="0"/>
          <w:szCs w:val="21"/>
          <w:highlight w:val="none"/>
        </w:rPr>
      </w:pPr>
      <w:r>
        <w:rPr>
          <w:rFonts w:hint="eastAsia" w:ascii="宋体" w:hAnsi="宋体"/>
          <w:color w:val="auto"/>
          <w:szCs w:val="21"/>
          <w:highlight w:val="none"/>
        </w:rPr>
        <w:t>六、本协议经双方法定代表人或委托代理人签字并加盖公章后生效，履行完毕后自然失效。</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附件：</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1、关于农民工工资发放情况的说明表</w:t>
      </w:r>
    </w:p>
    <w:p>
      <w:pPr>
        <w:spacing w:after="120" w:line="360" w:lineRule="auto"/>
        <w:ind w:firstLine="420" w:firstLineChars="200"/>
        <w:rPr>
          <w:rFonts w:ascii="宋体" w:hAnsi="宋体"/>
          <w:color w:val="auto"/>
          <w:szCs w:val="21"/>
          <w:highlight w:val="none"/>
        </w:rPr>
      </w:pPr>
    </w:p>
    <w:p>
      <w:pPr>
        <w:spacing w:after="120" w:line="360" w:lineRule="auto"/>
        <w:ind w:firstLine="420" w:firstLineChars="200"/>
        <w:rPr>
          <w:rFonts w:ascii="宋体" w:hAnsi="宋体"/>
          <w:color w:val="auto"/>
          <w:szCs w:val="21"/>
          <w:highlight w:val="none"/>
        </w:rPr>
      </w:pPr>
    </w:p>
    <w:p>
      <w:pPr>
        <w:spacing w:after="120" w:line="360" w:lineRule="auto"/>
        <w:ind w:firstLine="420" w:firstLineChars="200"/>
        <w:rPr>
          <w:rFonts w:ascii="宋体" w:hAnsi="宋体"/>
          <w:color w:val="auto"/>
          <w:szCs w:val="21"/>
          <w:highlight w:val="none"/>
        </w:rPr>
      </w:pP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（以下无正文）</w:t>
      </w:r>
    </w:p>
    <w:p>
      <w:pPr>
        <w:spacing w:line="360" w:lineRule="auto"/>
        <w:ind w:firstLine="420" w:firstLineChars="200"/>
        <w:rPr>
          <w:rFonts w:ascii="宋体" w:hAnsi="宋体"/>
          <w:color w:val="auto"/>
          <w:szCs w:val="21"/>
          <w:highlight w:val="none"/>
        </w:rPr>
      </w:pPr>
    </w:p>
    <w:p>
      <w:pPr>
        <w:spacing w:line="360" w:lineRule="auto"/>
        <w:ind w:firstLine="420" w:firstLineChars="200"/>
        <w:rPr>
          <w:rFonts w:ascii="宋体" w:hAnsi="宋体"/>
          <w:color w:val="auto"/>
          <w:szCs w:val="21"/>
          <w:highlight w:val="none"/>
        </w:rPr>
      </w:pPr>
    </w:p>
    <w:p>
      <w:pPr>
        <w:spacing w:after="120" w:line="360" w:lineRule="auto"/>
        <w:rPr>
          <w:rFonts w:ascii="宋体" w:hAnsi="宋体"/>
          <w:color w:val="auto"/>
          <w:szCs w:val="21"/>
          <w:highlight w:val="none"/>
        </w:rPr>
      </w:pPr>
    </w:p>
    <w:p>
      <w:pPr>
        <w:spacing w:line="360" w:lineRule="auto"/>
        <w:rPr>
          <w:rFonts w:ascii="宋体" w:hAnsi="宋体"/>
          <w:color w:val="auto"/>
          <w:szCs w:val="21"/>
          <w:highlight w:val="none"/>
        </w:rPr>
      </w:pPr>
      <w:r>
        <w:rPr>
          <w:rFonts w:hint="eastAsia" w:ascii="宋体" w:hAnsi="宋体"/>
          <w:color w:val="auto"/>
          <w:szCs w:val="21"/>
          <w:highlight w:val="none"/>
        </w:rPr>
        <w:t>发包人：</w:t>
      </w:r>
      <w:r>
        <w:rPr>
          <w:rFonts w:hint="eastAsia" w:ascii="宋体" w:hAnsi="宋体" w:cs="宋体"/>
          <w:color w:val="auto"/>
          <w:szCs w:val="21"/>
          <w:highlight w:val="none"/>
          <w:u w:val="single"/>
        </w:rPr>
        <w:t xml:space="preserve">       </w:t>
      </w:r>
      <w:r>
        <w:rPr>
          <w:rFonts w:hint="eastAsia" w:ascii="宋体" w:hAnsi="宋体"/>
          <w:color w:val="auto"/>
          <w:szCs w:val="21"/>
          <w:highlight w:val="none"/>
        </w:rPr>
        <w:t>（发包人）</w:t>
      </w:r>
    </w:p>
    <w:p>
      <w:pPr>
        <w:spacing w:line="360" w:lineRule="auto"/>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s="宋体"/>
          <w:color w:val="auto"/>
          <w:szCs w:val="21"/>
          <w:highlight w:val="none"/>
          <w:u w:val="single"/>
        </w:rPr>
        <w:t xml:space="preserve">       </w:t>
      </w:r>
    </w:p>
    <w:p>
      <w:pPr>
        <w:spacing w:line="360" w:lineRule="auto"/>
        <w:rPr>
          <w:rFonts w:ascii="宋体" w:hAnsi="宋体"/>
          <w:color w:val="auto"/>
          <w:szCs w:val="21"/>
          <w:highlight w:val="none"/>
        </w:rPr>
      </w:pPr>
      <w:r>
        <w:rPr>
          <w:rFonts w:hint="eastAsia" w:ascii="宋体" w:hAnsi="宋体"/>
          <w:color w:val="auto"/>
          <w:szCs w:val="21"/>
          <w:highlight w:val="none"/>
        </w:rPr>
        <w:t>或委托代理人：</w:t>
      </w:r>
      <w:r>
        <w:rPr>
          <w:rFonts w:hint="eastAsia" w:ascii="宋体" w:hAnsi="宋体" w:cs="宋体"/>
          <w:color w:val="auto"/>
          <w:szCs w:val="21"/>
          <w:highlight w:val="none"/>
          <w:u w:val="single"/>
        </w:rPr>
        <w:t xml:space="preserve">       </w:t>
      </w:r>
    </w:p>
    <w:p>
      <w:pPr>
        <w:spacing w:line="360" w:lineRule="auto"/>
        <w:rPr>
          <w:rFonts w:ascii="宋体" w:hAnsi="宋体"/>
          <w:color w:val="auto"/>
          <w:szCs w:val="21"/>
          <w:highlight w:val="none"/>
        </w:rPr>
      </w:pPr>
      <w:r>
        <w:rPr>
          <w:rFonts w:hint="eastAsia" w:ascii="宋体" w:hAnsi="宋体"/>
          <w:color w:val="auto"/>
          <w:szCs w:val="21"/>
          <w:highlight w:val="none"/>
        </w:rPr>
        <w:t>联系人：</w:t>
      </w:r>
      <w:r>
        <w:rPr>
          <w:rFonts w:hint="eastAsia" w:ascii="宋体" w:hAnsi="宋体" w:cs="宋体"/>
          <w:color w:val="auto"/>
          <w:szCs w:val="21"/>
          <w:highlight w:val="none"/>
          <w:u w:val="single"/>
        </w:rPr>
        <w:t xml:space="preserve">       </w:t>
      </w:r>
    </w:p>
    <w:p>
      <w:pPr>
        <w:spacing w:line="360" w:lineRule="auto"/>
        <w:rPr>
          <w:rFonts w:ascii="宋体" w:hAnsi="宋体"/>
          <w:color w:val="auto"/>
          <w:szCs w:val="21"/>
          <w:highlight w:val="none"/>
        </w:rPr>
      </w:pPr>
    </w:p>
    <w:p>
      <w:pPr>
        <w:spacing w:line="360" w:lineRule="auto"/>
        <w:rPr>
          <w:rFonts w:ascii="宋体" w:hAnsi="宋体"/>
          <w:color w:val="auto"/>
          <w:szCs w:val="21"/>
          <w:highlight w:val="none"/>
        </w:rPr>
      </w:pPr>
    </w:p>
    <w:p>
      <w:pPr>
        <w:spacing w:line="360" w:lineRule="auto"/>
        <w:rPr>
          <w:rFonts w:ascii="宋体" w:hAnsi="宋体"/>
          <w:color w:val="auto"/>
          <w:szCs w:val="21"/>
          <w:highlight w:val="none"/>
        </w:rPr>
      </w:pPr>
    </w:p>
    <w:p>
      <w:pPr>
        <w:spacing w:line="360" w:lineRule="auto"/>
        <w:rPr>
          <w:rFonts w:ascii="宋体" w:hAnsi="宋体"/>
          <w:color w:val="auto"/>
          <w:szCs w:val="21"/>
          <w:highlight w:val="none"/>
        </w:rPr>
      </w:pPr>
      <w:r>
        <w:rPr>
          <w:rFonts w:hint="eastAsia" w:ascii="宋体" w:hAnsi="宋体"/>
          <w:color w:val="auto"/>
          <w:szCs w:val="21"/>
          <w:highlight w:val="none"/>
        </w:rPr>
        <w:t>承包人：</w:t>
      </w:r>
      <w:r>
        <w:rPr>
          <w:rFonts w:hint="eastAsia" w:ascii="宋体" w:hAnsi="宋体" w:cs="宋体"/>
          <w:color w:val="auto"/>
          <w:szCs w:val="21"/>
          <w:highlight w:val="none"/>
          <w:u w:val="single"/>
        </w:rPr>
        <w:t xml:space="preserve">       </w:t>
      </w:r>
      <w:r>
        <w:rPr>
          <w:rFonts w:hint="eastAsia" w:ascii="宋体" w:hAnsi="宋体"/>
          <w:color w:val="auto"/>
          <w:szCs w:val="21"/>
          <w:highlight w:val="none"/>
        </w:rPr>
        <w:t>（承包人）</w:t>
      </w:r>
    </w:p>
    <w:p>
      <w:pPr>
        <w:spacing w:line="360" w:lineRule="auto"/>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s="宋体"/>
          <w:color w:val="auto"/>
          <w:szCs w:val="21"/>
          <w:highlight w:val="none"/>
          <w:u w:val="single"/>
        </w:rPr>
        <w:t xml:space="preserve">       </w:t>
      </w:r>
    </w:p>
    <w:p>
      <w:pPr>
        <w:spacing w:line="360" w:lineRule="auto"/>
        <w:rPr>
          <w:rFonts w:ascii="宋体" w:hAnsi="宋体"/>
          <w:color w:val="auto"/>
          <w:szCs w:val="21"/>
          <w:highlight w:val="none"/>
        </w:rPr>
      </w:pPr>
      <w:r>
        <w:rPr>
          <w:rFonts w:hint="eastAsia" w:ascii="宋体" w:hAnsi="宋体"/>
          <w:color w:val="auto"/>
          <w:szCs w:val="21"/>
          <w:highlight w:val="none"/>
        </w:rPr>
        <w:t>或委托代理人：</w:t>
      </w:r>
      <w:r>
        <w:rPr>
          <w:rFonts w:hint="eastAsia" w:ascii="宋体" w:hAnsi="宋体" w:cs="宋体"/>
          <w:color w:val="auto"/>
          <w:szCs w:val="21"/>
          <w:highlight w:val="none"/>
          <w:u w:val="single"/>
        </w:rPr>
        <w:t xml:space="preserve">       </w:t>
      </w:r>
    </w:p>
    <w:p>
      <w:pPr>
        <w:spacing w:line="360" w:lineRule="auto"/>
        <w:rPr>
          <w:rFonts w:ascii="宋体" w:hAnsi="宋体"/>
          <w:color w:val="auto"/>
          <w:szCs w:val="21"/>
          <w:highlight w:val="none"/>
        </w:rPr>
      </w:pPr>
      <w:r>
        <w:rPr>
          <w:rFonts w:hint="eastAsia" w:ascii="宋体" w:hAnsi="宋体"/>
          <w:color w:val="auto"/>
          <w:szCs w:val="21"/>
          <w:highlight w:val="none"/>
        </w:rPr>
        <w:t>联系人：</w:t>
      </w:r>
      <w:r>
        <w:rPr>
          <w:rFonts w:hint="eastAsia" w:ascii="宋体" w:hAnsi="宋体" w:cs="宋体"/>
          <w:color w:val="auto"/>
          <w:szCs w:val="21"/>
          <w:highlight w:val="none"/>
          <w:u w:val="single"/>
        </w:rPr>
        <w:t xml:space="preserve">       </w:t>
      </w:r>
    </w:p>
    <w:p>
      <w:pPr>
        <w:snapToGrid w:val="0"/>
        <w:spacing w:line="360" w:lineRule="auto"/>
        <w:ind w:firstLine="560"/>
        <w:rPr>
          <w:rFonts w:ascii="宋体" w:hAnsi="宋体"/>
          <w:color w:val="auto"/>
          <w:szCs w:val="21"/>
          <w:highlight w:val="none"/>
        </w:rPr>
      </w:pPr>
    </w:p>
    <w:p>
      <w:pPr>
        <w:spacing w:line="480" w:lineRule="auto"/>
        <w:rPr>
          <w:rFonts w:ascii="宋体" w:hAnsi="宋体"/>
          <w:color w:val="auto"/>
          <w:szCs w:val="21"/>
          <w:highlight w:val="none"/>
        </w:rPr>
      </w:pPr>
      <w:r>
        <w:rPr>
          <w:rFonts w:hint="eastAsia" w:ascii="宋体" w:hAnsi="宋体"/>
          <w:color w:val="auto"/>
          <w:szCs w:val="21"/>
          <w:highlight w:val="none"/>
        </w:rPr>
        <w:br w:type="page"/>
      </w:r>
      <w:r>
        <w:rPr>
          <w:rFonts w:hint="eastAsia" w:ascii="宋体" w:hAnsi="宋体"/>
          <w:color w:val="auto"/>
          <w:szCs w:val="21"/>
          <w:highlight w:val="none"/>
        </w:rPr>
        <w:t>保障农民工工资支付协议附件1：</w:t>
      </w:r>
    </w:p>
    <w:p>
      <w:pPr>
        <w:snapToGrid w:val="0"/>
        <w:spacing w:after="100" w:afterAutospacing="1" w:line="480" w:lineRule="auto"/>
        <w:jc w:val="center"/>
        <w:rPr>
          <w:rFonts w:ascii="宋体" w:hAnsi="宋体"/>
          <w:color w:val="auto"/>
          <w:szCs w:val="21"/>
          <w:highlight w:val="none"/>
        </w:rPr>
      </w:pPr>
      <w:r>
        <w:rPr>
          <w:rFonts w:hint="eastAsia" w:ascii="宋体" w:hAnsi="宋体"/>
          <w:color w:val="auto"/>
          <w:szCs w:val="21"/>
          <w:highlight w:val="none"/>
        </w:rPr>
        <w:t>关于农民工工资发放情况的说明表</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6"/>
        <w:gridCol w:w="6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7" w:type="dxa"/>
            <w:gridSpan w:val="2"/>
          </w:tcPr>
          <w:p>
            <w:pPr>
              <w:snapToGrid w:val="0"/>
              <w:spacing w:after="100" w:afterAutospacing="1" w:line="400" w:lineRule="exact"/>
              <w:rPr>
                <w:rFonts w:ascii="宋体" w:hAnsi="宋体"/>
                <w:color w:val="auto"/>
                <w:kern w:val="0"/>
                <w:szCs w:val="21"/>
                <w:highlight w:val="none"/>
              </w:rPr>
            </w:pPr>
            <w:r>
              <w:rPr>
                <w:rFonts w:hint="eastAsia" w:ascii="宋体" w:hAnsi="宋体"/>
                <w:color w:val="auto"/>
                <w:kern w:val="0"/>
                <w:szCs w:val="21"/>
                <w:highlight w:val="none"/>
              </w:rPr>
              <w:t>工程名称：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236" w:type="dxa"/>
          </w:tcPr>
          <w:p>
            <w:pPr>
              <w:snapToGrid w:val="0"/>
              <w:spacing w:after="100" w:afterAutospacing="1" w:line="400" w:lineRule="exact"/>
              <w:rPr>
                <w:rFonts w:ascii="宋体" w:hAnsi="宋体"/>
                <w:color w:val="auto"/>
                <w:kern w:val="0"/>
                <w:szCs w:val="21"/>
                <w:highlight w:val="none"/>
              </w:rPr>
            </w:pPr>
            <w:r>
              <w:rPr>
                <w:rFonts w:hint="eastAsia" w:ascii="宋体" w:hAnsi="宋体"/>
                <w:color w:val="auto"/>
                <w:kern w:val="0"/>
                <w:szCs w:val="21"/>
                <w:highlight w:val="none"/>
              </w:rPr>
              <w:t>施工单位：</w:t>
            </w:r>
          </w:p>
        </w:tc>
        <w:tc>
          <w:tcPr>
            <w:tcW w:w="6201" w:type="dxa"/>
          </w:tcPr>
          <w:p>
            <w:pPr>
              <w:snapToGrid w:val="0"/>
              <w:spacing w:after="100" w:afterAutospacing="1" w:line="400" w:lineRule="exact"/>
              <w:rPr>
                <w:rFonts w:ascii="宋体"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6" w:type="dxa"/>
          </w:tcPr>
          <w:p>
            <w:pPr>
              <w:snapToGrid w:val="0"/>
              <w:spacing w:after="100" w:afterAutospacing="1" w:line="400" w:lineRule="exact"/>
              <w:rPr>
                <w:rFonts w:ascii="宋体" w:hAnsi="宋体"/>
                <w:color w:val="auto"/>
                <w:kern w:val="0"/>
                <w:szCs w:val="21"/>
                <w:highlight w:val="none"/>
              </w:rPr>
            </w:pPr>
            <w:r>
              <w:rPr>
                <w:rFonts w:hint="eastAsia" w:ascii="宋体" w:hAnsi="宋体"/>
                <w:color w:val="auto"/>
                <w:kern w:val="0"/>
                <w:szCs w:val="21"/>
                <w:highlight w:val="none"/>
              </w:rPr>
              <w:t>监理单位：</w:t>
            </w:r>
          </w:p>
        </w:tc>
        <w:tc>
          <w:tcPr>
            <w:tcW w:w="6201" w:type="dxa"/>
          </w:tcPr>
          <w:p>
            <w:pPr>
              <w:snapToGrid w:val="0"/>
              <w:spacing w:after="100" w:afterAutospacing="1" w:line="400" w:lineRule="exact"/>
              <w:rPr>
                <w:rFonts w:ascii="宋体" w:hAnsi="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5" w:hRule="atLeast"/>
          <w:jc w:val="center"/>
        </w:trPr>
        <w:tc>
          <w:tcPr>
            <w:tcW w:w="8437" w:type="dxa"/>
            <w:gridSpan w:val="2"/>
          </w:tcPr>
          <w:p>
            <w:pPr>
              <w:snapToGrid w:val="0"/>
              <w:spacing w:after="100" w:afterAutospacing="1" w:line="400" w:lineRule="exact"/>
              <w:rPr>
                <w:rFonts w:ascii="宋体" w:hAnsi="宋体"/>
                <w:color w:val="auto"/>
                <w:kern w:val="0"/>
                <w:szCs w:val="21"/>
                <w:highlight w:val="none"/>
                <w:u w:val="single"/>
              </w:rPr>
            </w:pPr>
          </w:p>
          <w:p>
            <w:pPr>
              <w:snapToGrid w:val="0"/>
              <w:spacing w:after="100" w:afterAutospacing="1" w:line="400" w:lineRule="exact"/>
              <w:rPr>
                <w:rFonts w:ascii="宋体" w:hAnsi="宋体"/>
                <w:color w:val="auto"/>
                <w:kern w:val="0"/>
                <w:szCs w:val="21"/>
                <w:highlight w:val="none"/>
              </w:rPr>
            </w:pPr>
            <w:r>
              <w:rPr>
                <w:rFonts w:hint="eastAsia" w:ascii="宋体" w:hAnsi="宋体"/>
                <w:color w:val="auto"/>
                <w:kern w:val="0"/>
                <w:szCs w:val="21"/>
                <w:highlight w:val="none"/>
              </w:rPr>
              <w:t>（项目业主单位名称）：</w:t>
            </w:r>
            <w:r>
              <w:rPr>
                <w:rFonts w:hint="eastAsia" w:ascii="宋体" w:hAnsi="宋体"/>
                <w:color w:val="auto"/>
                <w:kern w:val="0"/>
                <w:szCs w:val="21"/>
                <w:highlight w:val="none"/>
                <w:u w:val="single"/>
              </w:rPr>
              <w:br w:type="textWrapping"/>
            </w:r>
            <w:r>
              <w:rPr>
                <w:rFonts w:hint="eastAsia" w:ascii="宋体" w:hAnsi="宋体"/>
                <w:color w:val="auto"/>
                <w:kern w:val="0"/>
                <w:szCs w:val="21"/>
                <w:highlight w:val="none"/>
              </w:rPr>
              <w:t xml:space="preserve">    我单位负责承建的（工程名称）无拖欠农民工资的情况，贵单位先期支付我单位的工程款已优先用于支付了农民工工资，农民工工资全部按时足额进行了发放，请贵单位予以审核。</w:t>
            </w:r>
            <w:r>
              <w:rPr>
                <w:rFonts w:hint="eastAsia" w:ascii="宋体" w:hAnsi="宋体"/>
                <w:color w:val="auto"/>
                <w:kern w:val="0"/>
                <w:szCs w:val="21"/>
                <w:highlight w:val="none"/>
              </w:rPr>
              <w:br w:type="textWrapping"/>
            </w:r>
          </w:p>
          <w:p>
            <w:pPr>
              <w:snapToGrid w:val="0"/>
              <w:spacing w:after="100" w:afterAutospacing="1" w:line="400" w:lineRule="exact"/>
              <w:ind w:firstLine="1260" w:firstLineChars="600"/>
              <w:rPr>
                <w:rFonts w:ascii="宋体" w:hAnsi="宋体"/>
                <w:color w:val="auto"/>
                <w:kern w:val="0"/>
                <w:szCs w:val="21"/>
                <w:highlight w:val="none"/>
                <w:u w:val="single"/>
              </w:rPr>
            </w:pPr>
            <w:r>
              <w:rPr>
                <w:rFonts w:hint="eastAsia" w:ascii="宋体" w:hAnsi="宋体"/>
                <w:color w:val="auto"/>
                <w:kern w:val="0"/>
                <w:szCs w:val="21"/>
                <w:highlight w:val="none"/>
              </w:rPr>
              <w:t>施工单位项目负责人签字（加盖项目章）：</w:t>
            </w:r>
            <w:r>
              <w:rPr>
                <w:rFonts w:hint="eastAsia" w:ascii="宋体" w:hAnsi="宋体"/>
                <w:color w:val="auto"/>
                <w:kern w:val="0"/>
                <w:szCs w:val="21"/>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2236" w:type="dxa"/>
            <w:vAlign w:val="center"/>
          </w:tcPr>
          <w:p>
            <w:pPr>
              <w:snapToGrid w:val="0"/>
              <w:spacing w:after="100" w:afterAutospacing="1" w:line="40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监理单位意见：</w:t>
            </w:r>
          </w:p>
        </w:tc>
        <w:tc>
          <w:tcPr>
            <w:tcW w:w="6201" w:type="dxa"/>
          </w:tcPr>
          <w:p>
            <w:pPr>
              <w:snapToGrid w:val="0"/>
              <w:spacing w:after="100" w:afterAutospacing="1" w:line="400" w:lineRule="exact"/>
              <w:rPr>
                <w:rFonts w:ascii="宋体" w:hAnsi="宋体"/>
                <w:color w:val="auto"/>
                <w:kern w:val="0"/>
                <w:szCs w:val="21"/>
                <w:highlight w:val="none"/>
                <w:u w:val="single"/>
              </w:rPr>
            </w:pPr>
          </w:p>
          <w:p>
            <w:pPr>
              <w:snapToGrid w:val="0"/>
              <w:spacing w:after="100" w:afterAutospacing="1" w:line="400" w:lineRule="exact"/>
              <w:rPr>
                <w:rFonts w:ascii="宋体" w:hAnsi="宋体"/>
                <w:color w:val="auto"/>
                <w:kern w:val="0"/>
                <w:szCs w:val="21"/>
                <w:highlight w:val="none"/>
                <w:u w:val="single"/>
              </w:rPr>
            </w:pPr>
            <w:r>
              <w:rPr>
                <w:rFonts w:hint="eastAsia" w:ascii="宋体" w:hAnsi="宋体"/>
                <w:color w:val="auto"/>
                <w:kern w:val="0"/>
                <w:szCs w:val="21"/>
                <w:highlight w:val="none"/>
              </w:rPr>
              <w:t xml:space="preserve">             总监签字并加盖项目章：</w:t>
            </w:r>
            <w:r>
              <w:rPr>
                <w:rFonts w:hint="eastAsia" w:ascii="宋体" w:hAnsi="宋体"/>
                <w:color w:val="auto"/>
                <w:kern w:val="0"/>
                <w:szCs w:val="21"/>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2236" w:type="dxa"/>
            <w:vAlign w:val="center"/>
          </w:tcPr>
          <w:p>
            <w:pPr>
              <w:snapToGrid w:val="0"/>
              <w:spacing w:after="100" w:afterAutospacing="1" w:line="400" w:lineRule="exact"/>
              <w:jc w:val="center"/>
              <w:rPr>
                <w:rFonts w:ascii="宋体" w:hAnsi="宋体"/>
                <w:color w:val="auto"/>
                <w:kern w:val="0"/>
                <w:szCs w:val="21"/>
                <w:highlight w:val="none"/>
              </w:rPr>
            </w:pPr>
            <w:r>
              <w:rPr>
                <w:rFonts w:hint="eastAsia" w:ascii="宋体" w:hAnsi="宋体"/>
                <w:color w:val="auto"/>
                <w:kern w:val="0"/>
                <w:szCs w:val="21"/>
                <w:highlight w:val="none"/>
              </w:rPr>
              <w:t>工程部项目负责人意见：</w:t>
            </w:r>
          </w:p>
        </w:tc>
        <w:tc>
          <w:tcPr>
            <w:tcW w:w="6201" w:type="dxa"/>
          </w:tcPr>
          <w:p>
            <w:pPr>
              <w:snapToGrid w:val="0"/>
              <w:spacing w:after="100" w:afterAutospacing="1" w:line="400" w:lineRule="exact"/>
              <w:rPr>
                <w:rFonts w:ascii="宋体" w:hAnsi="宋体"/>
                <w:color w:val="auto"/>
                <w:kern w:val="0"/>
                <w:szCs w:val="21"/>
                <w:highlight w:val="none"/>
                <w:u w:val="single"/>
              </w:rPr>
            </w:pPr>
          </w:p>
          <w:p>
            <w:pPr>
              <w:snapToGrid w:val="0"/>
              <w:spacing w:after="100" w:afterAutospacing="1" w:line="400" w:lineRule="exact"/>
              <w:rPr>
                <w:rFonts w:ascii="宋体" w:hAnsi="宋体"/>
                <w:color w:val="auto"/>
                <w:kern w:val="0"/>
                <w:szCs w:val="21"/>
                <w:highlight w:val="none"/>
                <w:u w:val="single"/>
              </w:rPr>
            </w:pPr>
            <w:r>
              <w:rPr>
                <w:rFonts w:hint="eastAsia" w:ascii="宋体" w:hAnsi="宋体"/>
                <w:color w:val="auto"/>
                <w:kern w:val="0"/>
                <w:szCs w:val="21"/>
                <w:highlight w:val="none"/>
              </w:rPr>
              <w:t xml:space="preserve">                   项目负责人签字：</w:t>
            </w:r>
            <w:r>
              <w:rPr>
                <w:rFonts w:hint="eastAsia" w:ascii="宋体" w:hAnsi="宋体"/>
                <w:color w:val="auto"/>
                <w:kern w:val="0"/>
                <w:szCs w:val="21"/>
                <w:highlight w:val="none"/>
                <w:u w:val="single"/>
              </w:rPr>
              <w:t xml:space="preserve">        </w:t>
            </w:r>
          </w:p>
        </w:tc>
      </w:tr>
    </w:tbl>
    <w:p>
      <w:pPr>
        <w:pStyle w:val="35"/>
        <w:shd w:val="clear" w:color="auto" w:fill="FFFFFF"/>
        <w:spacing w:beforeAutospacing="0" w:afterAutospacing="0" w:line="400" w:lineRule="exact"/>
        <w:ind w:firstLine="420" w:firstLineChars="200"/>
        <w:jc w:val="both"/>
        <w:rPr>
          <w:rFonts w:ascii="Times New Roman" w:hAnsi="Times New Roman" w:eastAsia="宋体" w:cs="Times New Roman"/>
          <w:color w:val="auto"/>
          <w:kern w:val="2"/>
          <w:sz w:val="21"/>
          <w:szCs w:val="21"/>
          <w:highlight w:val="none"/>
        </w:rPr>
      </w:pPr>
    </w:p>
    <w:p>
      <w:pPr>
        <w:pStyle w:val="35"/>
        <w:shd w:val="clear" w:color="auto" w:fill="FFFFFF"/>
        <w:spacing w:beforeAutospacing="0" w:afterAutospacing="0" w:line="400" w:lineRule="exact"/>
        <w:ind w:firstLine="420" w:firstLineChars="200"/>
        <w:jc w:val="both"/>
        <w:rPr>
          <w:rFonts w:ascii="Times New Roman" w:hAnsi="Times New Roman" w:eastAsia="宋体" w:cs="Times New Roman"/>
          <w:color w:val="auto"/>
          <w:kern w:val="2"/>
          <w:sz w:val="21"/>
          <w:szCs w:val="21"/>
          <w:highlight w:val="none"/>
        </w:rPr>
      </w:pPr>
    </w:p>
    <w:p>
      <w:pPr>
        <w:pStyle w:val="35"/>
        <w:shd w:val="clear" w:color="auto" w:fill="FFFFFF"/>
        <w:spacing w:beforeAutospacing="0" w:afterAutospacing="0" w:line="400" w:lineRule="exact"/>
        <w:ind w:firstLine="420" w:firstLineChars="200"/>
        <w:jc w:val="both"/>
        <w:rPr>
          <w:rFonts w:ascii="Times New Roman" w:hAnsi="Times New Roman" w:eastAsia="宋体" w:cs="Times New Roman"/>
          <w:color w:val="auto"/>
          <w:kern w:val="2"/>
          <w:sz w:val="21"/>
          <w:szCs w:val="21"/>
          <w:highlight w:val="none"/>
        </w:rPr>
      </w:pPr>
    </w:p>
    <w:p>
      <w:pPr>
        <w:pStyle w:val="35"/>
        <w:shd w:val="clear" w:color="auto" w:fill="FFFFFF"/>
        <w:spacing w:beforeAutospacing="0" w:afterAutospacing="0" w:line="400" w:lineRule="exact"/>
        <w:ind w:firstLine="420" w:firstLineChars="200"/>
        <w:jc w:val="both"/>
        <w:rPr>
          <w:rFonts w:ascii="Times New Roman" w:hAnsi="Times New Roman" w:eastAsia="宋体" w:cs="Times New Roman"/>
          <w:color w:val="auto"/>
          <w:kern w:val="2"/>
          <w:sz w:val="21"/>
          <w:szCs w:val="21"/>
          <w:highlight w:val="none"/>
        </w:rPr>
      </w:pPr>
    </w:p>
    <w:p>
      <w:pPr>
        <w:pStyle w:val="35"/>
        <w:shd w:val="clear" w:color="auto" w:fill="FFFFFF"/>
        <w:spacing w:beforeAutospacing="0" w:afterAutospacing="0" w:line="400" w:lineRule="exact"/>
        <w:ind w:firstLine="420" w:firstLineChars="200"/>
        <w:jc w:val="both"/>
        <w:rPr>
          <w:rFonts w:ascii="Times New Roman" w:hAnsi="Times New Roman" w:eastAsia="宋体" w:cs="Times New Roman"/>
          <w:color w:val="auto"/>
          <w:kern w:val="2"/>
          <w:sz w:val="21"/>
          <w:szCs w:val="21"/>
          <w:highlight w:val="none"/>
        </w:rPr>
      </w:pPr>
    </w:p>
    <w:p>
      <w:pPr>
        <w:pStyle w:val="35"/>
        <w:shd w:val="clear" w:color="auto" w:fill="FFFFFF"/>
        <w:spacing w:beforeAutospacing="0" w:afterAutospacing="0" w:line="400" w:lineRule="exact"/>
        <w:ind w:firstLine="420" w:firstLineChars="200"/>
        <w:jc w:val="both"/>
        <w:rPr>
          <w:rFonts w:ascii="Times New Roman" w:hAnsi="Times New Roman" w:eastAsia="宋体" w:cs="Times New Roman"/>
          <w:color w:val="auto"/>
          <w:kern w:val="2"/>
          <w:sz w:val="21"/>
          <w:szCs w:val="21"/>
          <w:highlight w:val="none"/>
        </w:rPr>
      </w:pPr>
    </w:p>
    <w:p>
      <w:pPr>
        <w:pStyle w:val="35"/>
        <w:shd w:val="clear" w:color="auto" w:fill="FFFFFF"/>
        <w:spacing w:beforeAutospacing="0" w:afterAutospacing="0" w:line="400" w:lineRule="exact"/>
        <w:ind w:firstLine="420" w:firstLineChars="200"/>
        <w:jc w:val="both"/>
        <w:rPr>
          <w:rFonts w:ascii="Times New Roman" w:hAnsi="Times New Roman" w:eastAsia="宋体" w:cs="Times New Roman"/>
          <w:color w:val="auto"/>
          <w:kern w:val="2"/>
          <w:sz w:val="21"/>
          <w:szCs w:val="21"/>
          <w:highlight w:val="none"/>
        </w:rPr>
      </w:pPr>
    </w:p>
    <w:p>
      <w:pPr>
        <w:pStyle w:val="35"/>
        <w:shd w:val="clear" w:color="auto" w:fill="FFFFFF"/>
        <w:spacing w:beforeAutospacing="0" w:afterAutospacing="0" w:line="400" w:lineRule="exact"/>
        <w:ind w:firstLine="420" w:firstLineChars="200"/>
        <w:jc w:val="both"/>
        <w:rPr>
          <w:rFonts w:ascii="Times New Roman" w:hAnsi="Times New Roman" w:eastAsia="宋体" w:cs="Times New Roman"/>
          <w:color w:val="auto"/>
          <w:kern w:val="2"/>
          <w:sz w:val="21"/>
          <w:szCs w:val="21"/>
          <w:highlight w:val="none"/>
        </w:rPr>
      </w:pPr>
    </w:p>
    <w:p>
      <w:pPr>
        <w:rPr>
          <w:b/>
          <w:color w:val="auto"/>
          <w:sz w:val="24"/>
          <w:highlight w:val="none"/>
        </w:rPr>
      </w:pPr>
      <w:r>
        <w:rPr>
          <w:b/>
          <w:color w:val="auto"/>
          <w:sz w:val="24"/>
          <w:highlight w:val="none"/>
        </w:rPr>
        <w:br w:type="page"/>
      </w:r>
    </w:p>
    <w:p>
      <w:pPr>
        <w:tabs>
          <w:tab w:val="left" w:pos="8040"/>
        </w:tabs>
        <w:autoSpaceDE w:val="0"/>
        <w:autoSpaceDN w:val="0"/>
        <w:adjustRightInd w:val="0"/>
        <w:spacing w:line="360" w:lineRule="auto"/>
        <w:ind w:right="-23" w:firstLine="482" w:firstLineChars="200"/>
        <w:jc w:val="center"/>
        <w:rPr>
          <w:b/>
          <w:color w:val="auto"/>
          <w:sz w:val="24"/>
          <w:highlight w:val="none"/>
        </w:rPr>
      </w:pPr>
    </w:p>
    <w:bookmarkEnd w:id="46"/>
    <w:p>
      <w:pPr>
        <w:pStyle w:val="3"/>
        <w:keepLines w:val="0"/>
        <w:widowControl w:val="0"/>
        <w:tabs>
          <w:tab w:val="left" w:pos="1530"/>
          <w:tab w:val="left" w:pos="3360"/>
          <w:tab w:val="left" w:pos="8052"/>
        </w:tabs>
        <w:adjustRightInd/>
        <w:spacing w:line="480" w:lineRule="auto"/>
        <w:ind w:left="1531" w:hanging="1531"/>
        <w:rPr>
          <w:rFonts w:eastAsia="宋体"/>
          <w:bCs w:val="0"/>
          <w:color w:val="auto"/>
          <w:kern w:val="2"/>
          <w:szCs w:val="36"/>
          <w:highlight w:val="none"/>
        </w:rPr>
      </w:pPr>
      <w:bookmarkStart w:id="961" w:name="_Toc10213449"/>
      <w:r>
        <w:rPr>
          <w:rFonts w:eastAsia="宋体"/>
          <w:bCs w:val="0"/>
          <w:color w:val="auto"/>
          <w:kern w:val="2"/>
          <w:szCs w:val="36"/>
          <w:highlight w:val="none"/>
        </w:rPr>
        <w:t xml:space="preserve">第四章 </w:t>
      </w:r>
      <w:r>
        <w:rPr>
          <w:rFonts w:hint="eastAsia" w:eastAsia="宋体"/>
          <w:bCs w:val="0"/>
          <w:color w:val="auto"/>
          <w:kern w:val="2"/>
          <w:szCs w:val="36"/>
          <w:highlight w:val="none"/>
        </w:rPr>
        <w:t>技术</w:t>
      </w:r>
      <w:r>
        <w:rPr>
          <w:rFonts w:eastAsia="宋体"/>
          <w:bCs w:val="0"/>
          <w:color w:val="auto"/>
          <w:kern w:val="2"/>
          <w:szCs w:val="36"/>
          <w:highlight w:val="none"/>
        </w:rPr>
        <w:t>服务需求及说明</w:t>
      </w:r>
      <w:bookmarkEnd w:id="961"/>
    </w:p>
    <w:p>
      <w:pPr>
        <w:pStyle w:val="4"/>
        <w:spacing w:line="360" w:lineRule="auto"/>
        <w:jc w:val="left"/>
        <w:rPr>
          <w:rFonts w:asciiTheme="minorEastAsia" w:hAnsiTheme="minorEastAsia" w:eastAsiaTheme="minorEastAsia"/>
          <w:b w:val="0"/>
          <w:color w:val="auto"/>
          <w:szCs w:val="21"/>
          <w:highlight w:val="none"/>
        </w:rPr>
      </w:pPr>
      <w:r>
        <w:rPr>
          <w:rFonts w:hint="eastAsia" w:asciiTheme="minorEastAsia" w:hAnsiTheme="minorEastAsia" w:eastAsiaTheme="minorEastAsia"/>
          <w:color w:val="auto"/>
          <w:sz w:val="21"/>
          <w:szCs w:val="21"/>
          <w:highlight w:val="none"/>
        </w:rPr>
        <w:t>一、项目名称：北京理工大学重庆微电子研究院净化间实验室装修改造及实验环境改造</w:t>
      </w:r>
    </w:p>
    <w:p>
      <w:pPr>
        <w:pStyle w:val="4"/>
        <w:spacing w:line="360" w:lineRule="auto"/>
        <w:jc w:val="left"/>
        <w:rPr>
          <w:rFonts w:asciiTheme="minorEastAsia" w:hAnsiTheme="minorEastAsia" w:eastAsiaTheme="minorEastAsia"/>
          <w:b w:val="0"/>
          <w:color w:val="auto"/>
          <w:szCs w:val="21"/>
          <w:highlight w:val="none"/>
        </w:rPr>
      </w:pPr>
      <w:r>
        <w:rPr>
          <w:rFonts w:hint="eastAsia" w:asciiTheme="minorEastAsia" w:hAnsiTheme="minorEastAsia" w:eastAsiaTheme="minorEastAsia"/>
          <w:color w:val="auto"/>
          <w:sz w:val="21"/>
          <w:szCs w:val="21"/>
          <w:highlight w:val="none"/>
        </w:rPr>
        <w:t>二、详细技术要求：</w:t>
      </w:r>
    </w:p>
    <w:p>
      <w:pPr>
        <w:spacing w:line="360" w:lineRule="auto"/>
        <w:ind w:firstLine="422" w:firstLineChars="200"/>
        <w:rPr>
          <w:b/>
          <w:color w:val="auto"/>
          <w:sz w:val="24"/>
          <w:highlight w:val="none"/>
        </w:rPr>
      </w:pPr>
      <w:r>
        <w:rPr>
          <w:rFonts w:hint="eastAsia"/>
          <w:b/>
          <w:color w:val="auto"/>
          <w:szCs w:val="21"/>
          <w:highlight w:val="none"/>
        </w:rPr>
        <w:t>北京理工大学重庆微电子研究院净化间实验室装修改造及实验环境改造项目由两部分构成，供应商应按照采购方要求，完成工程设计、施工等工作，并配合采购方进行设计审查、施工监理、最终结算、工程验收等事项。</w:t>
      </w:r>
    </w:p>
    <w:p>
      <w:pPr>
        <w:spacing w:line="360" w:lineRule="auto"/>
        <w:jc w:val="center"/>
        <w:rPr>
          <w:b/>
          <w:bCs/>
          <w:color w:val="auto"/>
          <w:sz w:val="28"/>
          <w:szCs w:val="28"/>
          <w:highlight w:val="none"/>
        </w:rPr>
      </w:pPr>
      <w:r>
        <w:rPr>
          <w:rFonts w:hint="eastAsia"/>
          <w:b/>
          <w:bCs/>
          <w:color w:val="auto"/>
          <w:sz w:val="28"/>
          <w:szCs w:val="28"/>
          <w:highlight w:val="none"/>
        </w:rPr>
        <w:t>净化间实验室装修改造技术要求</w:t>
      </w:r>
    </w:p>
    <w:p>
      <w:pPr>
        <w:pStyle w:val="3"/>
        <w:jc w:val="left"/>
        <w:rPr>
          <w:rFonts w:eastAsia="宋体"/>
          <w:color w:val="auto"/>
          <w:kern w:val="2"/>
          <w:sz w:val="21"/>
          <w:szCs w:val="21"/>
          <w:highlight w:val="none"/>
        </w:rPr>
      </w:pPr>
      <w:r>
        <w:rPr>
          <w:rFonts w:hint="eastAsia" w:eastAsia="宋体"/>
          <w:color w:val="auto"/>
          <w:kern w:val="2"/>
          <w:sz w:val="21"/>
          <w:szCs w:val="21"/>
          <w:highlight w:val="none"/>
        </w:rPr>
        <w:t>（一）实验室概况说明</w:t>
      </w:r>
    </w:p>
    <w:p>
      <w:pPr>
        <w:spacing w:line="360" w:lineRule="auto"/>
        <w:ind w:firstLine="420" w:firstLineChars="200"/>
        <w:rPr>
          <w:color w:val="auto"/>
          <w:highlight w:val="none"/>
        </w:rPr>
      </w:pPr>
      <w:r>
        <w:rPr>
          <w:rFonts w:hint="eastAsia"/>
          <w:color w:val="auto"/>
          <w:highlight w:val="none"/>
        </w:rPr>
        <w:t>北京理工大学重庆微电子研究院此次装修改造涉及7个实验室区域。其中，MEMS封测实验室、生物光子学实验室、电子实验室、光学实验室、机加工实验室位于北京理工大学重庆微电子研究院三楼（</w:t>
      </w:r>
      <w:r>
        <w:rPr>
          <w:color w:val="auto"/>
          <w:highlight w:val="none"/>
        </w:rPr>
        <w:fldChar w:fldCharType="begin"/>
      </w:r>
      <w:r>
        <w:rPr>
          <w:color w:val="auto"/>
          <w:highlight w:val="none"/>
        </w:rPr>
        <w:instrText xml:space="preserve"> </w:instrText>
      </w:r>
      <w:r>
        <w:rPr>
          <w:rFonts w:hint="eastAsia"/>
          <w:color w:val="auto"/>
          <w:highlight w:val="none"/>
        </w:rPr>
        <w:instrText xml:space="preserve">REF _Ref106107218 \h</w:instrText>
      </w:r>
      <w:r>
        <w:rPr>
          <w:color w:val="auto"/>
          <w:highlight w:val="none"/>
        </w:rPr>
        <w:instrText xml:space="preserve"> </w:instrText>
      </w:r>
      <w:r>
        <w:rPr>
          <w:color w:val="auto"/>
          <w:highlight w:val="none"/>
        </w:rPr>
        <w:fldChar w:fldCharType="separate"/>
      </w:r>
      <w:r>
        <w:rPr>
          <w:color w:val="auto"/>
          <w:highlight w:val="none"/>
        </w:rPr>
        <w:t>图1</w:t>
      </w:r>
      <w:r>
        <w:rPr>
          <w:color w:val="auto"/>
          <w:highlight w:val="none"/>
        </w:rPr>
        <w:fldChar w:fldCharType="end"/>
      </w:r>
      <w:r>
        <w:rPr>
          <w:rFonts w:hint="eastAsia"/>
          <w:color w:val="auto"/>
          <w:highlight w:val="none"/>
        </w:rPr>
        <w:t>），公共平台实验室位于北京理工大学重庆微电子研究院五楼（</w:t>
      </w:r>
      <w:r>
        <w:rPr>
          <w:color w:val="auto"/>
          <w:highlight w:val="none"/>
        </w:rPr>
        <w:fldChar w:fldCharType="begin"/>
      </w:r>
      <w:r>
        <w:rPr>
          <w:color w:val="auto"/>
          <w:highlight w:val="none"/>
        </w:rPr>
        <w:instrText xml:space="preserve"> </w:instrText>
      </w:r>
      <w:r>
        <w:rPr>
          <w:rFonts w:hint="eastAsia"/>
          <w:color w:val="auto"/>
          <w:highlight w:val="none"/>
        </w:rPr>
        <w:instrText xml:space="preserve">REF _Ref106107264 \h</w:instrText>
      </w:r>
      <w:r>
        <w:rPr>
          <w:color w:val="auto"/>
          <w:highlight w:val="none"/>
        </w:rPr>
        <w:instrText xml:space="preserve"> </w:instrText>
      </w:r>
      <w:r>
        <w:rPr>
          <w:color w:val="auto"/>
          <w:highlight w:val="none"/>
        </w:rPr>
        <w:fldChar w:fldCharType="separate"/>
      </w:r>
      <w:r>
        <w:rPr>
          <w:color w:val="auto"/>
          <w:highlight w:val="none"/>
        </w:rPr>
        <w:t>图2</w:t>
      </w:r>
      <w:r>
        <w:rPr>
          <w:color w:val="auto"/>
          <w:highlight w:val="none"/>
        </w:rPr>
        <w:fldChar w:fldCharType="end"/>
      </w:r>
      <w:r>
        <w:rPr>
          <w:rFonts w:hint="eastAsia"/>
          <w:color w:val="auto"/>
          <w:highlight w:val="none"/>
        </w:rPr>
        <w:t>），五平台实验室位于北京理工大学重庆微电子研究院六楼（</w:t>
      </w:r>
      <w:r>
        <w:rPr>
          <w:color w:val="auto"/>
          <w:highlight w:val="none"/>
        </w:rPr>
        <w:fldChar w:fldCharType="begin"/>
      </w:r>
      <w:r>
        <w:rPr>
          <w:color w:val="auto"/>
          <w:highlight w:val="none"/>
        </w:rPr>
        <w:instrText xml:space="preserve"> REF _Ref106107223 \h </w:instrText>
      </w:r>
      <w:r>
        <w:rPr>
          <w:color w:val="auto"/>
          <w:highlight w:val="none"/>
        </w:rPr>
        <w:fldChar w:fldCharType="separate"/>
      </w:r>
      <w:r>
        <w:rPr>
          <w:color w:val="auto"/>
          <w:highlight w:val="none"/>
        </w:rPr>
        <w:t>图3</w:t>
      </w:r>
      <w:r>
        <w:rPr>
          <w:color w:val="auto"/>
          <w:highlight w:val="none"/>
        </w:rPr>
        <w:fldChar w:fldCharType="end"/>
      </w:r>
      <w:r>
        <w:rPr>
          <w:rFonts w:hint="eastAsia"/>
          <w:color w:val="auto"/>
          <w:highlight w:val="none"/>
        </w:rPr>
        <w:t>）。以上实验室除机加工实验室外，其他实验室皆为超净间实验室，除公共平台实验室为1</w:t>
      </w:r>
      <w:r>
        <w:rPr>
          <w:color w:val="auto"/>
          <w:highlight w:val="none"/>
        </w:rPr>
        <w:t>0</w:t>
      </w:r>
      <w:r>
        <w:rPr>
          <w:rFonts w:hint="eastAsia"/>
          <w:color w:val="auto"/>
          <w:highlight w:val="none"/>
        </w:rPr>
        <w:t>万级净化间外，其他实验室为3</w:t>
      </w:r>
      <w:r>
        <w:rPr>
          <w:color w:val="auto"/>
          <w:highlight w:val="none"/>
        </w:rPr>
        <w:t>0</w:t>
      </w:r>
      <w:r>
        <w:rPr>
          <w:rFonts w:hint="eastAsia"/>
          <w:color w:val="auto"/>
          <w:highlight w:val="none"/>
        </w:rPr>
        <w:t>万级净化间。</w:t>
      </w:r>
    </w:p>
    <w:p>
      <w:pPr>
        <w:keepNext/>
        <w:spacing w:line="360" w:lineRule="auto"/>
        <w:jc w:val="center"/>
        <w:rPr>
          <w:color w:val="auto"/>
          <w:highlight w:val="none"/>
        </w:rPr>
      </w:pPr>
      <w:r>
        <w:rPr>
          <w:color w:val="auto"/>
          <w:highlight w:val="none"/>
        </w:rPr>
        <w:drawing>
          <wp:inline distT="0" distB="0" distL="0" distR="0">
            <wp:extent cx="2474595" cy="2595245"/>
            <wp:effectExtent l="0" t="0" r="1905" b="1460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4"/>
                    <a:stretch>
                      <a:fillRect/>
                    </a:stretch>
                  </pic:blipFill>
                  <pic:spPr>
                    <a:xfrm>
                      <a:off x="0" y="0"/>
                      <a:ext cx="2541228" cy="2665304"/>
                    </a:xfrm>
                    <a:prstGeom prst="rect">
                      <a:avLst/>
                    </a:prstGeom>
                  </pic:spPr>
                </pic:pic>
              </a:graphicData>
            </a:graphic>
          </wp:inline>
        </w:drawing>
      </w:r>
    </w:p>
    <w:p>
      <w:pPr>
        <w:pStyle w:val="13"/>
        <w:spacing w:line="360" w:lineRule="auto"/>
        <w:jc w:val="center"/>
        <w:rPr>
          <w:color w:val="auto"/>
          <w:highlight w:val="none"/>
        </w:rPr>
      </w:pPr>
      <w:bookmarkStart w:id="962" w:name="_Ref106107218"/>
      <w:r>
        <w:rPr>
          <w:color w:val="auto"/>
          <w:highlight w:val="none"/>
        </w:rPr>
        <w:t>图</w:t>
      </w:r>
      <w:r>
        <w:rPr>
          <w:color w:val="auto"/>
          <w:highlight w:val="none"/>
        </w:rPr>
        <w:fldChar w:fldCharType="begin"/>
      </w:r>
      <w:r>
        <w:rPr>
          <w:color w:val="auto"/>
          <w:highlight w:val="none"/>
        </w:rPr>
        <w:instrText xml:space="preserve"> SEQ 图 \* ARABIC </w:instrText>
      </w:r>
      <w:r>
        <w:rPr>
          <w:color w:val="auto"/>
          <w:highlight w:val="none"/>
        </w:rPr>
        <w:fldChar w:fldCharType="separate"/>
      </w:r>
      <w:r>
        <w:rPr>
          <w:color w:val="auto"/>
          <w:highlight w:val="none"/>
        </w:rPr>
        <w:t>1</w:t>
      </w:r>
      <w:r>
        <w:rPr>
          <w:color w:val="auto"/>
          <w:highlight w:val="none"/>
        </w:rPr>
        <w:fldChar w:fldCharType="end"/>
      </w:r>
      <w:bookmarkEnd w:id="962"/>
      <w:r>
        <w:rPr>
          <w:color w:val="auto"/>
          <w:highlight w:val="none"/>
        </w:rPr>
        <w:t xml:space="preserve"> </w:t>
      </w:r>
      <w:r>
        <w:rPr>
          <w:rFonts w:hint="eastAsia"/>
          <w:color w:val="auto"/>
          <w:highlight w:val="none"/>
        </w:rPr>
        <w:t>三楼实验室分布</w:t>
      </w:r>
    </w:p>
    <w:p>
      <w:pPr>
        <w:keepNext/>
        <w:spacing w:line="360" w:lineRule="auto"/>
        <w:jc w:val="center"/>
        <w:rPr>
          <w:color w:val="auto"/>
          <w:highlight w:val="none"/>
        </w:rPr>
      </w:pPr>
      <w:r>
        <w:rPr>
          <w:color w:val="auto"/>
          <w:highlight w:val="none"/>
        </w:rPr>
        <w:drawing>
          <wp:inline distT="0" distB="0" distL="0" distR="0">
            <wp:extent cx="2491105" cy="2574290"/>
            <wp:effectExtent l="0" t="0" r="4445" b="1651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5"/>
                    <a:stretch>
                      <a:fillRect/>
                    </a:stretch>
                  </pic:blipFill>
                  <pic:spPr>
                    <a:xfrm>
                      <a:off x="0" y="0"/>
                      <a:ext cx="2535794" cy="2620054"/>
                    </a:xfrm>
                    <a:prstGeom prst="rect">
                      <a:avLst/>
                    </a:prstGeom>
                  </pic:spPr>
                </pic:pic>
              </a:graphicData>
            </a:graphic>
          </wp:inline>
        </w:drawing>
      </w:r>
    </w:p>
    <w:p>
      <w:pPr>
        <w:pStyle w:val="13"/>
        <w:spacing w:line="360" w:lineRule="auto"/>
        <w:jc w:val="center"/>
        <w:rPr>
          <w:color w:val="auto"/>
          <w:highlight w:val="none"/>
        </w:rPr>
      </w:pPr>
      <w:bookmarkStart w:id="963" w:name="_Ref106107264"/>
      <w:r>
        <w:rPr>
          <w:color w:val="auto"/>
          <w:highlight w:val="none"/>
        </w:rPr>
        <w:t>图</w:t>
      </w:r>
      <w:r>
        <w:rPr>
          <w:color w:val="auto"/>
          <w:highlight w:val="none"/>
        </w:rPr>
        <w:fldChar w:fldCharType="begin"/>
      </w:r>
      <w:r>
        <w:rPr>
          <w:color w:val="auto"/>
          <w:highlight w:val="none"/>
        </w:rPr>
        <w:instrText xml:space="preserve"> SEQ 图 \* ARABIC </w:instrText>
      </w:r>
      <w:r>
        <w:rPr>
          <w:color w:val="auto"/>
          <w:highlight w:val="none"/>
        </w:rPr>
        <w:fldChar w:fldCharType="separate"/>
      </w:r>
      <w:r>
        <w:rPr>
          <w:color w:val="auto"/>
          <w:highlight w:val="none"/>
        </w:rPr>
        <w:t>2</w:t>
      </w:r>
      <w:r>
        <w:rPr>
          <w:color w:val="auto"/>
          <w:highlight w:val="none"/>
        </w:rPr>
        <w:fldChar w:fldCharType="end"/>
      </w:r>
      <w:bookmarkEnd w:id="963"/>
      <w:r>
        <w:rPr>
          <w:color w:val="auto"/>
          <w:highlight w:val="none"/>
        </w:rPr>
        <w:t xml:space="preserve"> </w:t>
      </w:r>
      <w:r>
        <w:rPr>
          <w:rFonts w:hint="eastAsia"/>
          <w:color w:val="auto"/>
          <w:highlight w:val="none"/>
        </w:rPr>
        <w:t>五楼实验室分布</w:t>
      </w:r>
    </w:p>
    <w:p>
      <w:pPr>
        <w:keepNext/>
        <w:spacing w:line="360" w:lineRule="auto"/>
        <w:jc w:val="center"/>
        <w:rPr>
          <w:color w:val="auto"/>
          <w:highlight w:val="none"/>
        </w:rPr>
      </w:pPr>
      <w:r>
        <w:rPr>
          <w:color w:val="auto"/>
          <w:highlight w:val="none"/>
        </w:rPr>
        <w:drawing>
          <wp:inline distT="0" distB="0" distL="0" distR="0">
            <wp:extent cx="2541270" cy="2602230"/>
            <wp:effectExtent l="0" t="0" r="11430"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6"/>
                    <a:stretch>
                      <a:fillRect/>
                    </a:stretch>
                  </pic:blipFill>
                  <pic:spPr>
                    <a:xfrm>
                      <a:off x="0" y="0"/>
                      <a:ext cx="2596788" cy="2658957"/>
                    </a:xfrm>
                    <a:prstGeom prst="rect">
                      <a:avLst/>
                    </a:prstGeom>
                  </pic:spPr>
                </pic:pic>
              </a:graphicData>
            </a:graphic>
          </wp:inline>
        </w:drawing>
      </w:r>
    </w:p>
    <w:p>
      <w:pPr>
        <w:pStyle w:val="13"/>
        <w:spacing w:line="360" w:lineRule="auto"/>
        <w:jc w:val="center"/>
        <w:rPr>
          <w:color w:val="auto"/>
          <w:highlight w:val="none"/>
        </w:rPr>
      </w:pPr>
      <w:bookmarkStart w:id="964" w:name="_Ref106107223"/>
      <w:r>
        <w:rPr>
          <w:color w:val="auto"/>
          <w:highlight w:val="none"/>
        </w:rPr>
        <w:t>图</w:t>
      </w:r>
      <w:r>
        <w:rPr>
          <w:color w:val="auto"/>
          <w:highlight w:val="none"/>
        </w:rPr>
        <w:fldChar w:fldCharType="begin"/>
      </w:r>
      <w:r>
        <w:rPr>
          <w:color w:val="auto"/>
          <w:highlight w:val="none"/>
        </w:rPr>
        <w:instrText xml:space="preserve"> SEQ 图 \* ARABIC </w:instrText>
      </w:r>
      <w:r>
        <w:rPr>
          <w:color w:val="auto"/>
          <w:highlight w:val="none"/>
        </w:rPr>
        <w:fldChar w:fldCharType="separate"/>
      </w:r>
      <w:r>
        <w:rPr>
          <w:color w:val="auto"/>
          <w:highlight w:val="none"/>
        </w:rPr>
        <w:t>3</w:t>
      </w:r>
      <w:r>
        <w:rPr>
          <w:color w:val="auto"/>
          <w:highlight w:val="none"/>
        </w:rPr>
        <w:fldChar w:fldCharType="end"/>
      </w:r>
      <w:bookmarkEnd w:id="964"/>
      <w:r>
        <w:rPr>
          <w:color w:val="auto"/>
          <w:highlight w:val="none"/>
        </w:rPr>
        <w:t xml:space="preserve"> </w:t>
      </w:r>
      <w:r>
        <w:rPr>
          <w:rFonts w:hint="eastAsia"/>
          <w:color w:val="auto"/>
          <w:highlight w:val="none"/>
        </w:rPr>
        <w:t>六楼实验室分布</w:t>
      </w:r>
    </w:p>
    <w:p>
      <w:pPr>
        <w:pStyle w:val="3"/>
        <w:jc w:val="left"/>
        <w:rPr>
          <w:color w:val="auto"/>
          <w:sz w:val="21"/>
          <w:szCs w:val="21"/>
          <w:highlight w:val="none"/>
        </w:rPr>
      </w:pPr>
      <w:r>
        <w:rPr>
          <w:rFonts w:hint="eastAsia" w:eastAsia="宋体"/>
          <w:color w:val="auto"/>
          <w:kern w:val="2"/>
          <w:sz w:val="21"/>
          <w:szCs w:val="21"/>
          <w:highlight w:val="none"/>
        </w:rPr>
        <w:t>（二）总体方案要求：</w:t>
      </w:r>
    </w:p>
    <w:p>
      <w:pPr>
        <w:pStyle w:val="262"/>
        <w:numPr>
          <w:ilvl w:val="0"/>
          <w:numId w:val="14"/>
        </w:numPr>
        <w:spacing w:line="360" w:lineRule="auto"/>
        <w:ind w:firstLineChars="0"/>
        <w:rPr>
          <w:color w:val="auto"/>
          <w:highlight w:val="none"/>
        </w:rPr>
      </w:pPr>
      <w:r>
        <w:rPr>
          <w:rFonts w:hint="eastAsia"/>
          <w:color w:val="auto"/>
          <w:highlight w:val="none"/>
        </w:rPr>
        <w:t>装修施工要求</w:t>
      </w:r>
    </w:p>
    <w:p>
      <w:pPr>
        <w:pStyle w:val="262"/>
        <w:numPr>
          <w:ilvl w:val="0"/>
          <w:numId w:val="15"/>
        </w:numPr>
        <w:spacing w:line="360" w:lineRule="auto"/>
        <w:ind w:firstLineChars="0"/>
        <w:rPr>
          <w:color w:val="auto"/>
          <w:highlight w:val="none"/>
        </w:rPr>
      </w:pPr>
      <w:r>
        <w:rPr>
          <w:rFonts w:hint="eastAsia"/>
          <w:color w:val="auto"/>
          <w:highlight w:val="none"/>
        </w:rPr>
        <w:t>净化间内部装修改造，不改变原先净化间净化等级；</w:t>
      </w:r>
    </w:p>
    <w:p>
      <w:pPr>
        <w:pStyle w:val="262"/>
        <w:numPr>
          <w:ilvl w:val="0"/>
          <w:numId w:val="15"/>
        </w:numPr>
        <w:spacing w:line="360" w:lineRule="auto"/>
        <w:ind w:firstLineChars="0"/>
        <w:rPr>
          <w:color w:val="auto"/>
          <w:highlight w:val="none"/>
        </w:rPr>
      </w:pPr>
      <w:r>
        <w:rPr>
          <w:rFonts w:hint="eastAsia"/>
          <w:color w:val="auto"/>
          <w:highlight w:val="none"/>
        </w:rPr>
        <w:t>除净化间内部靠墙插座以及天花板下垂插座外，其余线路从天花板、墙板各层走暗线；</w:t>
      </w:r>
    </w:p>
    <w:p>
      <w:pPr>
        <w:pStyle w:val="262"/>
        <w:numPr>
          <w:ilvl w:val="0"/>
          <w:numId w:val="15"/>
        </w:numPr>
        <w:spacing w:line="360" w:lineRule="auto"/>
        <w:ind w:firstLineChars="0"/>
        <w:rPr>
          <w:color w:val="auto"/>
          <w:highlight w:val="none"/>
        </w:rPr>
      </w:pPr>
      <w:r>
        <w:rPr>
          <w:rFonts w:hint="eastAsia"/>
          <w:color w:val="auto"/>
          <w:highlight w:val="none"/>
        </w:rPr>
        <w:t>电力扩容以及新增电话线/网线分别从</w:t>
      </w:r>
      <w:r>
        <w:rPr>
          <w:color w:val="auto"/>
          <w:highlight w:val="none"/>
        </w:rPr>
        <w:fldChar w:fldCharType="begin"/>
      </w:r>
      <w:r>
        <w:rPr>
          <w:color w:val="auto"/>
          <w:highlight w:val="none"/>
        </w:rPr>
        <w:instrText xml:space="preserve"> </w:instrText>
      </w:r>
      <w:r>
        <w:rPr>
          <w:rFonts w:hint="eastAsia"/>
          <w:color w:val="auto"/>
          <w:highlight w:val="none"/>
        </w:rPr>
        <w:instrText xml:space="preserve">REF _Ref106107218 \h</w:instrText>
      </w:r>
      <w:r>
        <w:rPr>
          <w:color w:val="auto"/>
          <w:highlight w:val="none"/>
        </w:rPr>
        <w:instrText xml:space="preserve"> </w:instrText>
      </w:r>
      <w:r>
        <w:rPr>
          <w:color w:val="auto"/>
          <w:highlight w:val="none"/>
        </w:rPr>
        <w:fldChar w:fldCharType="separate"/>
      </w:r>
      <w:r>
        <w:rPr>
          <w:color w:val="auto"/>
          <w:highlight w:val="none"/>
        </w:rPr>
        <w:t>图1</w:t>
      </w:r>
      <w:r>
        <w:rPr>
          <w:color w:val="auto"/>
          <w:highlight w:val="none"/>
        </w:rPr>
        <w:fldChar w:fldCharType="end"/>
      </w:r>
      <w:r>
        <w:rPr>
          <w:color w:val="auto"/>
          <w:highlight w:val="none"/>
        </w:rPr>
        <w:t>-</w:t>
      </w:r>
      <w:r>
        <w:rPr>
          <w:color w:val="auto"/>
          <w:highlight w:val="none"/>
        </w:rPr>
        <w:fldChar w:fldCharType="begin"/>
      </w:r>
      <w:r>
        <w:rPr>
          <w:color w:val="auto"/>
          <w:highlight w:val="none"/>
        </w:rPr>
        <w:instrText xml:space="preserve"> REF _Ref106107223 \h </w:instrText>
      </w:r>
      <w:r>
        <w:rPr>
          <w:color w:val="auto"/>
          <w:highlight w:val="none"/>
        </w:rPr>
        <w:fldChar w:fldCharType="separate"/>
      </w:r>
      <w:r>
        <w:rPr>
          <w:color w:val="auto"/>
          <w:highlight w:val="none"/>
        </w:rPr>
        <w:t>图3</w:t>
      </w:r>
      <w:r>
        <w:rPr>
          <w:color w:val="auto"/>
          <w:highlight w:val="none"/>
        </w:rPr>
        <w:fldChar w:fldCharType="end"/>
      </w:r>
      <w:r>
        <w:rPr>
          <w:rFonts w:hint="eastAsia"/>
          <w:color w:val="auto"/>
          <w:highlight w:val="none"/>
        </w:rPr>
        <w:t>右侧电梯井旁强电井和弱电井引出；</w:t>
      </w:r>
    </w:p>
    <w:p>
      <w:pPr>
        <w:pStyle w:val="262"/>
        <w:numPr>
          <w:ilvl w:val="0"/>
          <w:numId w:val="15"/>
        </w:numPr>
        <w:spacing w:line="360" w:lineRule="auto"/>
        <w:ind w:firstLineChars="0"/>
        <w:rPr>
          <w:color w:val="auto"/>
          <w:highlight w:val="none"/>
        </w:rPr>
      </w:pPr>
      <w:r>
        <w:rPr>
          <w:rFonts w:hint="eastAsia"/>
          <w:color w:val="auto"/>
          <w:highlight w:val="none"/>
        </w:rPr>
        <w:t>装修改造样式、风格尽量与原装修风格一致。</w:t>
      </w:r>
    </w:p>
    <w:p>
      <w:pPr>
        <w:pStyle w:val="262"/>
        <w:numPr>
          <w:ilvl w:val="0"/>
          <w:numId w:val="14"/>
        </w:numPr>
        <w:spacing w:line="360" w:lineRule="auto"/>
        <w:ind w:firstLineChars="0"/>
        <w:rPr>
          <w:color w:val="auto"/>
          <w:highlight w:val="none"/>
        </w:rPr>
      </w:pPr>
      <w:r>
        <w:rPr>
          <w:rFonts w:hint="eastAsia"/>
          <w:color w:val="auto"/>
          <w:highlight w:val="none"/>
        </w:rPr>
        <w:t>防静电接地</w:t>
      </w:r>
    </w:p>
    <w:p>
      <w:pPr>
        <w:pStyle w:val="262"/>
        <w:numPr>
          <w:ilvl w:val="0"/>
          <w:numId w:val="16"/>
        </w:numPr>
        <w:spacing w:line="360" w:lineRule="auto"/>
        <w:ind w:firstLineChars="0"/>
        <w:rPr>
          <w:color w:val="auto"/>
          <w:highlight w:val="none"/>
        </w:rPr>
      </w:pPr>
      <w:r>
        <w:rPr>
          <w:rFonts w:hint="eastAsia"/>
          <w:color w:val="auto"/>
          <w:highlight w:val="none"/>
        </w:rPr>
        <w:t>各实验室接地非大楼楼体接地或电源地，而是单独的仪表、防静电桌、设备的防静电接地；</w:t>
      </w:r>
    </w:p>
    <w:p>
      <w:pPr>
        <w:pStyle w:val="262"/>
        <w:numPr>
          <w:ilvl w:val="0"/>
          <w:numId w:val="16"/>
        </w:numPr>
        <w:spacing w:line="360" w:lineRule="auto"/>
        <w:ind w:firstLineChars="0"/>
        <w:rPr>
          <w:color w:val="auto"/>
          <w:highlight w:val="none"/>
        </w:rPr>
      </w:pPr>
      <w:r>
        <w:rPr>
          <w:rFonts w:hint="eastAsia"/>
          <w:color w:val="auto"/>
          <w:highlight w:val="none"/>
        </w:rPr>
        <w:t>各实验室接地点位构成接地网络，接地形式采用TN</w:t>
      </w:r>
      <w:r>
        <w:rPr>
          <w:color w:val="auto"/>
          <w:highlight w:val="none"/>
        </w:rPr>
        <w:t>-</w:t>
      </w:r>
      <w:r>
        <w:rPr>
          <w:rFonts w:hint="eastAsia"/>
          <w:color w:val="auto"/>
          <w:highlight w:val="none"/>
        </w:rPr>
        <w:t>S接地系统，且利用铜排作为接地导体；</w:t>
      </w:r>
    </w:p>
    <w:p>
      <w:pPr>
        <w:pStyle w:val="262"/>
        <w:numPr>
          <w:ilvl w:val="0"/>
          <w:numId w:val="16"/>
        </w:numPr>
        <w:spacing w:line="360" w:lineRule="auto"/>
        <w:ind w:firstLineChars="0"/>
        <w:rPr>
          <w:color w:val="auto"/>
          <w:highlight w:val="none"/>
        </w:rPr>
      </w:pPr>
      <w:r>
        <w:rPr>
          <w:rFonts w:hint="eastAsia"/>
          <w:color w:val="auto"/>
          <w:highlight w:val="none"/>
        </w:rPr>
        <w:t>每个房间的防静电接地端子箱采用BVR</w:t>
      </w:r>
      <w:r>
        <w:rPr>
          <w:color w:val="auto"/>
          <w:highlight w:val="none"/>
        </w:rPr>
        <w:t>-1</w:t>
      </w:r>
      <w:r>
        <w:rPr>
          <w:rFonts w:hint="eastAsia"/>
          <w:color w:val="auto"/>
          <w:highlight w:val="none"/>
        </w:rPr>
        <w:t>×</w:t>
      </w:r>
      <w:r>
        <w:rPr>
          <w:color w:val="auto"/>
          <w:highlight w:val="none"/>
        </w:rPr>
        <w:t>25</w:t>
      </w:r>
      <w:r>
        <w:rPr>
          <w:rFonts w:hint="eastAsia"/>
          <w:color w:val="auto"/>
          <w:highlight w:val="none"/>
        </w:rPr>
        <w:t>mm</w:t>
      </w:r>
      <w:r>
        <w:rPr>
          <w:color w:val="auto"/>
          <w:highlight w:val="none"/>
        </w:rPr>
        <w:t>2</w:t>
      </w:r>
      <w:r>
        <w:rPr>
          <w:rFonts w:hint="eastAsia"/>
          <w:color w:val="auto"/>
          <w:highlight w:val="none"/>
        </w:rPr>
        <w:t>连接到主防静电接地线，防静电接地端子箱应与等电位接地端子箱区分；</w:t>
      </w:r>
    </w:p>
    <w:p>
      <w:pPr>
        <w:pStyle w:val="262"/>
        <w:numPr>
          <w:ilvl w:val="0"/>
          <w:numId w:val="16"/>
        </w:numPr>
        <w:spacing w:line="360" w:lineRule="auto"/>
        <w:ind w:firstLineChars="0"/>
        <w:rPr>
          <w:color w:val="auto"/>
          <w:highlight w:val="none"/>
        </w:rPr>
      </w:pPr>
      <w:r>
        <w:rPr>
          <w:rFonts w:hint="eastAsia"/>
          <w:color w:val="auto"/>
          <w:highlight w:val="none"/>
        </w:rPr>
        <w:t>防静电接地线采用BVR</w:t>
      </w:r>
      <w:r>
        <w:rPr>
          <w:color w:val="auto"/>
          <w:highlight w:val="none"/>
        </w:rPr>
        <w:t>-1</w:t>
      </w:r>
      <w:r>
        <w:rPr>
          <w:rFonts w:hint="eastAsia"/>
          <w:color w:val="auto"/>
          <w:highlight w:val="none"/>
        </w:rPr>
        <w:t>×</w:t>
      </w:r>
      <w:r>
        <w:rPr>
          <w:color w:val="auto"/>
          <w:highlight w:val="none"/>
        </w:rPr>
        <w:t>25</w:t>
      </w:r>
      <w:r>
        <w:rPr>
          <w:rFonts w:hint="eastAsia"/>
          <w:color w:val="auto"/>
          <w:highlight w:val="none"/>
        </w:rPr>
        <w:t>mm，每个实验室防静电接地端子箱内预留5个接线端子备用；</w:t>
      </w:r>
    </w:p>
    <w:p>
      <w:pPr>
        <w:pStyle w:val="3"/>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（三）MEMS封测实验室装修改造要求：</w:t>
      </w:r>
    </w:p>
    <w:p>
      <w:pPr>
        <w:pStyle w:val="262"/>
        <w:numPr>
          <w:ilvl w:val="0"/>
          <w:numId w:val="17"/>
        </w:numPr>
        <w:spacing w:line="360" w:lineRule="auto"/>
        <w:ind w:firstLineChars="0"/>
        <w:rPr>
          <w:rFonts w:ascii="宋体" w:hAnsi="宋体"/>
          <w:color w:val="auto"/>
          <w:highlight w:val="none"/>
        </w:rPr>
      </w:pPr>
      <w:r>
        <w:rPr>
          <w:rFonts w:hint="eastAsia" w:ascii="宋体" w:hAnsi="宋体"/>
          <w:color w:val="auto"/>
          <w:highlight w:val="none"/>
        </w:rPr>
        <w:t>新增一配电箱，配电箱置于实验室旁风机房内，容量1</w:t>
      </w:r>
      <w:r>
        <w:rPr>
          <w:rFonts w:ascii="宋体" w:hAnsi="宋体"/>
          <w:color w:val="auto"/>
          <w:highlight w:val="none"/>
        </w:rPr>
        <w:t>00</w:t>
      </w:r>
      <w:r>
        <w:rPr>
          <w:rFonts w:hint="eastAsia" w:ascii="宋体" w:hAnsi="宋体"/>
          <w:color w:val="auto"/>
          <w:highlight w:val="none"/>
        </w:rPr>
        <w:t>KW以上，所需电力从楼层强电井中引出，配电箱预留2</w:t>
      </w:r>
      <w:r>
        <w:rPr>
          <w:rFonts w:ascii="宋体" w:hAnsi="宋体"/>
          <w:color w:val="auto"/>
          <w:highlight w:val="none"/>
        </w:rPr>
        <w:t>20</w:t>
      </w:r>
      <w:r>
        <w:rPr>
          <w:rFonts w:hint="eastAsia" w:ascii="宋体" w:hAnsi="宋体"/>
          <w:color w:val="auto"/>
          <w:highlight w:val="none"/>
        </w:rPr>
        <w:t>V两相电空开</w:t>
      </w:r>
      <w:r>
        <w:rPr>
          <w:rFonts w:ascii="宋体" w:hAnsi="宋体"/>
          <w:color w:val="auto"/>
          <w:highlight w:val="none"/>
        </w:rPr>
        <w:t>3</w:t>
      </w:r>
      <w:r>
        <w:rPr>
          <w:rFonts w:hint="eastAsia" w:ascii="宋体" w:hAnsi="宋体"/>
          <w:color w:val="auto"/>
          <w:highlight w:val="none"/>
        </w:rPr>
        <w:t>个，3</w:t>
      </w:r>
      <w:r>
        <w:rPr>
          <w:rFonts w:ascii="宋体" w:hAnsi="宋体"/>
          <w:color w:val="auto"/>
          <w:highlight w:val="none"/>
        </w:rPr>
        <w:t>80</w:t>
      </w:r>
      <w:r>
        <w:rPr>
          <w:rFonts w:hint="eastAsia" w:ascii="宋体" w:hAnsi="宋体"/>
          <w:color w:val="auto"/>
          <w:highlight w:val="none"/>
        </w:rPr>
        <w:t>V三相电空开2个。</w:t>
      </w:r>
    </w:p>
    <w:p>
      <w:pPr>
        <w:pStyle w:val="262"/>
        <w:numPr>
          <w:ilvl w:val="0"/>
          <w:numId w:val="17"/>
        </w:numPr>
        <w:spacing w:line="360" w:lineRule="auto"/>
        <w:ind w:firstLineChars="0"/>
        <w:rPr>
          <w:color w:val="auto"/>
          <w:highlight w:val="none"/>
        </w:rPr>
      </w:pP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_Ref106094313 \h</w:instrText>
      </w:r>
      <w:r>
        <w:rPr>
          <w:rFonts w:ascii="宋体" w:hAnsi="宋体"/>
          <w:color w:val="auto"/>
          <w:highlight w:val="none"/>
        </w:rPr>
        <w:instrText xml:space="preserve">  \* MERGEFORMAT </w:instrText>
      </w:r>
      <w:r>
        <w:rPr>
          <w:rFonts w:ascii="宋体" w:hAnsi="宋体"/>
          <w:color w:val="auto"/>
          <w:highlight w:val="none"/>
        </w:rPr>
        <w:fldChar w:fldCharType="separate"/>
      </w:r>
      <w:r>
        <w:rPr>
          <w:rFonts w:ascii="宋体" w:hAnsi="宋体"/>
          <w:color w:val="auto"/>
          <w:highlight w:val="none"/>
        </w:rPr>
        <w:t>图4</w:t>
      </w:r>
      <w:r>
        <w:rPr>
          <w:rFonts w:ascii="宋体" w:hAnsi="宋体"/>
          <w:color w:val="auto"/>
          <w:highlight w:val="none"/>
        </w:rPr>
        <w:fldChar w:fldCharType="end"/>
      </w:r>
      <w:r>
        <w:rPr>
          <w:rFonts w:hint="eastAsia" w:ascii="宋体" w:hAnsi="宋体"/>
          <w:color w:val="auto"/>
          <w:highlight w:val="none"/>
        </w:rPr>
        <w:t>中“</w:t>
      </w:r>
      <w:r>
        <w:rPr>
          <w:rFonts w:hint="eastAsia" w:ascii="宋体" w:hAnsi="宋体"/>
          <w:color w:val="auto"/>
          <w:highlight w:val="none"/>
        </w:rPr>
        <w:t>●</w:t>
      </w:r>
      <w:r>
        <w:rPr>
          <w:rFonts w:hint="eastAsia" w:ascii="宋体" w:hAnsi="宋体"/>
          <w:color w:val="auto"/>
          <w:highlight w:val="none"/>
        </w:rPr>
        <w:t>”和“</w:t>
      </w:r>
      <w:r>
        <w:rPr>
          <w:rFonts w:ascii="宋体" w:hAnsi="宋体"/>
          <w:color w:val="auto"/>
          <w:highlight w:val="none"/>
        </w:rPr>
        <w:drawing>
          <wp:inline distT="0" distB="0" distL="0" distR="0">
            <wp:extent cx="107315" cy="99060"/>
            <wp:effectExtent l="0" t="0" r="6985" b="1524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117812" cy="108485"/>
                    </a:xfrm>
                    <a:prstGeom prst="rect">
                      <a:avLst/>
                    </a:prstGeom>
                    <a:noFill/>
                  </pic:spPr>
                </pic:pic>
              </a:graphicData>
            </a:graphic>
          </wp:inline>
        </w:drawing>
      </w:r>
      <w:r>
        <w:rPr>
          <w:rFonts w:hint="eastAsia" w:ascii="宋体" w:hAnsi="宋体"/>
          <w:color w:val="auto"/>
          <w:highlight w:val="none"/>
        </w:rPr>
        <w:t>”为新增电源接口和仪表单独接地接口，“</w:t>
      </w:r>
      <w:r>
        <w:rPr>
          <w:rFonts w:ascii="宋体" w:hAnsi="宋体"/>
          <w:color w:val="auto"/>
          <w:highlight w:val="none"/>
        </w:rPr>
        <w:drawing>
          <wp:inline distT="0" distB="0" distL="0" distR="0">
            <wp:extent cx="127635" cy="87630"/>
            <wp:effectExtent l="0" t="0" r="5715" b="7620"/>
            <wp:docPr id="217" name="图片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216"/>
                    <pic:cNvPicPr>
                      <a:picLocks noChangeAspect="1"/>
                    </pic:cNvPicPr>
                  </pic:nvPicPr>
                  <pic:blipFill>
                    <a:blip r:embed="rId18"/>
                    <a:stretch>
                      <a:fillRect/>
                    </a:stretch>
                  </pic:blipFill>
                  <pic:spPr>
                    <a:xfrm>
                      <a:off x="0" y="0"/>
                      <a:ext cx="135743" cy="93616"/>
                    </a:xfrm>
                    <a:prstGeom prst="rect">
                      <a:avLst/>
                    </a:prstGeom>
                  </pic:spPr>
                </pic:pic>
              </a:graphicData>
            </a:graphic>
          </wp:inline>
        </w:drawing>
      </w:r>
      <w:r>
        <w:rPr>
          <w:rFonts w:hint="eastAsia" w:ascii="宋体" w:hAnsi="宋体"/>
          <w:color w:val="auto"/>
          <w:highlight w:val="none"/>
        </w:rPr>
        <w:t>”为电话线接口，“</w:t>
      </w:r>
      <w:r>
        <w:rPr>
          <w:rFonts w:ascii="宋体" w:hAnsi="宋体"/>
          <w:color w:val="auto"/>
          <w:highlight w:val="none"/>
        </w:rPr>
        <w:drawing>
          <wp:inline distT="0" distB="0" distL="0" distR="0">
            <wp:extent cx="90805" cy="85725"/>
            <wp:effectExtent l="0" t="0" r="4445" b="9525"/>
            <wp:docPr id="216" name="图片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215"/>
                    <pic:cNvPicPr>
                      <a:picLocks noChangeAspect="1"/>
                    </pic:cNvPicPr>
                  </pic:nvPicPr>
                  <pic:blipFill>
                    <a:blip r:embed="rId19"/>
                    <a:stretch>
                      <a:fillRect/>
                    </a:stretch>
                  </pic:blipFill>
                  <pic:spPr>
                    <a:xfrm>
                      <a:off x="0" y="0"/>
                      <a:ext cx="96257" cy="90400"/>
                    </a:xfrm>
                    <a:prstGeom prst="rect">
                      <a:avLst/>
                    </a:prstGeom>
                  </pic:spPr>
                </pic:pic>
              </a:graphicData>
            </a:graphic>
          </wp:inline>
        </w:drawing>
      </w:r>
      <w:r>
        <w:rPr>
          <w:rFonts w:hint="eastAsia" w:ascii="宋体" w:hAnsi="宋体"/>
          <w:color w:val="auto"/>
          <w:highlight w:val="none"/>
        </w:rPr>
        <w:t>”为网线接口，相关需求说明如下：</w:t>
      </w:r>
    </w:p>
    <w:p>
      <w:pPr>
        <w:pStyle w:val="262"/>
        <w:numPr>
          <w:ilvl w:val="0"/>
          <w:numId w:val="18"/>
        </w:numPr>
        <w:spacing w:line="360" w:lineRule="auto"/>
        <w:ind w:firstLineChars="0"/>
        <w:rPr>
          <w:rFonts w:ascii="宋体" w:hAnsi="宋体"/>
          <w:color w:val="auto"/>
          <w:highlight w:val="none"/>
        </w:rPr>
      </w:pP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_Ref106094313 \h</w:instrText>
      </w:r>
      <w:r>
        <w:rPr>
          <w:rFonts w:ascii="宋体" w:hAnsi="宋体"/>
          <w:color w:val="auto"/>
          <w:highlight w:val="none"/>
        </w:rPr>
        <w:instrText xml:space="preserve">  \* MERGEFORMAT </w:instrText>
      </w:r>
      <w:r>
        <w:rPr>
          <w:rFonts w:ascii="宋体" w:hAnsi="宋体"/>
          <w:color w:val="auto"/>
          <w:highlight w:val="none"/>
        </w:rPr>
        <w:fldChar w:fldCharType="separate"/>
      </w:r>
      <w:r>
        <w:rPr>
          <w:rFonts w:ascii="宋体" w:hAnsi="宋体"/>
          <w:color w:val="auto"/>
          <w:highlight w:val="none"/>
        </w:rPr>
        <w:t>图4</w:t>
      </w:r>
      <w:r>
        <w:rPr>
          <w:rFonts w:ascii="宋体" w:hAnsi="宋体"/>
          <w:color w:val="auto"/>
          <w:highlight w:val="none"/>
        </w:rPr>
        <w:fldChar w:fldCharType="end"/>
      </w:r>
      <w:r>
        <w:rPr>
          <w:rFonts w:hint="eastAsia" w:ascii="宋体" w:hAnsi="宋体"/>
          <w:color w:val="auto"/>
          <w:highlight w:val="none"/>
        </w:rPr>
        <w:t>中实验室靠墙的电源、电话线、网线沿墙走接线盒，线盒高度距地面3</w:t>
      </w:r>
      <w:r>
        <w:rPr>
          <w:rFonts w:ascii="宋体" w:hAnsi="宋体"/>
          <w:color w:val="auto"/>
          <w:highlight w:val="none"/>
        </w:rPr>
        <w:t>0</w:t>
      </w:r>
      <w:r>
        <w:rPr>
          <w:rFonts w:hint="eastAsia" w:ascii="宋体" w:hAnsi="宋体"/>
          <w:color w:val="auto"/>
          <w:highlight w:val="none"/>
        </w:rPr>
        <w:t>cm（参考</w:t>
      </w: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_Ref106098682 \h</w:instrText>
      </w:r>
      <w:r>
        <w:rPr>
          <w:rFonts w:ascii="宋体" w:hAnsi="宋体"/>
          <w:color w:val="auto"/>
          <w:highlight w:val="none"/>
        </w:rPr>
        <w:instrText xml:space="preserve">  \* MERGEFORMAT </w:instrText>
      </w:r>
      <w:r>
        <w:rPr>
          <w:rFonts w:ascii="宋体" w:hAnsi="宋体"/>
          <w:color w:val="auto"/>
          <w:highlight w:val="none"/>
        </w:rPr>
        <w:fldChar w:fldCharType="separate"/>
      </w:r>
      <w:r>
        <w:rPr>
          <w:rFonts w:ascii="宋体" w:hAnsi="宋体"/>
          <w:color w:val="auto"/>
          <w:highlight w:val="none"/>
        </w:rPr>
        <w:t>图5</w:t>
      </w:r>
      <w:r>
        <w:rPr>
          <w:rFonts w:ascii="宋体" w:hAnsi="宋体"/>
          <w:color w:val="auto"/>
          <w:highlight w:val="none"/>
        </w:rPr>
        <w:fldChar w:fldCharType="end"/>
      </w:r>
      <w:r>
        <w:rPr>
          <w:rFonts w:hint="eastAsia" w:ascii="宋体" w:hAnsi="宋体"/>
          <w:color w:val="auto"/>
          <w:highlight w:val="none"/>
        </w:rPr>
        <w:t>），且不覆盖原有插座“</w:t>
      </w:r>
      <w:r>
        <w:rPr>
          <w:rFonts w:ascii="宋体" w:hAnsi="宋体"/>
          <w:color w:val="auto"/>
          <w:highlight w:val="none"/>
        </w:rPr>
        <w:drawing>
          <wp:inline distT="0" distB="0" distL="0" distR="0">
            <wp:extent cx="106680" cy="98425"/>
            <wp:effectExtent l="0" t="0" r="7620" b="1587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112171" cy="103291"/>
                    </a:xfrm>
                    <a:prstGeom prst="rect">
                      <a:avLst/>
                    </a:prstGeom>
                    <a:noFill/>
                  </pic:spPr>
                </pic:pic>
              </a:graphicData>
            </a:graphic>
          </wp:inline>
        </w:drawing>
      </w:r>
      <w:r>
        <w:rPr>
          <w:rFonts w:hint="eastAsia" w:ascii="宋体" w:hAnsi="宋体"/>
          <w:color w:val="auto"/>
          <w:highlight w:val="none"/>
        </w:rPr>
        <w:t>”；实验室中央位置电源、网线从天花板垂下，具体方案由供应商给出。</w:t>
      </w:r>
    </w:p>
    <w:p>
      <w:pPr>
        <w:pStyle w:val="262"/>
        <w:numPr>
          <w:ilvl w:val="0"/>
          <w:numId w:val="18"/>
        </w:numPr>
        <w:spacing w:line="360" w:lineRule="auto"/>
        <w:ind w:firstLineChars="0"/>
        <w:rPr>
          <w:rFonts w:ascii="宋体" w:hAnsi="宋体"/>
          <w:color w:val="auto"/>
          <w:highlight w:val="none"/>
        </w:rPr>
      </w:pPr>
      <w:r>
        <w:rPr>
          <w:rFonts w:hint="eastAsia" w:ascii="宋体" w:hAnsi="宋体"/>
          <w:color w:val="auto"/>
          <w:highlight w:val="none"/>
        </w:rPr>
        <w:t>如未做特别说明，“</w:t>
      </w:r>
      <w:r>
        <w:rPr>
          <w:rFonts w:hint="eastAsia" w:ascii="宋体" w:hAnsi="宋体"/>
          <w:color w:val="auto"/>
          <w:highlight w:val="none"/>
        </w:rPr>
        <w:t>●</w:t>
      </w:r>
      <w:r>
        <w:rPr>
          <w:rFonts w:hint="eastAsia" w:ascii="宋体" w:hAnsi="宋体"/>
          <w:color w:val="auto"/>
          <w:highlight w:val="none"/>
        </w:rPr>
        <w:t>”表示安装两个</w:t>
      </w:r>
      <w:r>
        <w:rPr>
          <w:rFonts w:ascii="宋体" w:hAnsi="宋体"/>
          <w:color w:val="auto"/>
          <w:highlight w:val="none"/>
        </w:rPr>
        <w:t>220V</w:t>
      </w:r>
      <w:r>
        <w:rPr>
          <w:rFonts w:hint="eastAsia" w:ascii="宋体" w:hAnsi="宋体"/>
          <w:color w:val="auto"/>
          <w:highlight w:val="none"/>
        </w:rPr>
        <w:t>/</w:t>
      </w:r>
      <w:r>
        <w:rPr>
          <w:rFonts w:ascii="宋体" w:hAnsi="宋体"/>
          <w:color w:val="auto"/>
          <w:highlight w:val="none"/>
        </w:rPr>
        <w:t>16A插座（每个插座3口+2口）</w:t>
      </w:r>
      <w:r>
        <w:rPr>
          <w:rFonts w:hint="eastAsia" w:ascii="宋体" w:hAnsi="宋体"/>
          <w:color w:val="auto"/>
          <w:highlight w:val="none"/>
        </w:rPr>
        <w:t>和一个仪表接地接口；</w:t>
      </w:r>
    </w:p>
    <w:p>
      <w:pPr>
        <w:pStyle w:val="262"/>
        <w:numPr>
          <w:ilvl w:val="0"/>
          <w:numId w:val="18"/>
        </w:numPr>
        <w:spacing w:line="360" w:lineRule="auto"/>
        <w:ind w:firstLineChars="0"/>
        <w:rPr>
          <w:rFonts w:ascii="宋体" w:hAnsi="宋体"/>
          <w:color w:val="auto"/>
          <w:highlight w:val="none"/>
        </w:rPr>
      </w:pPr>
      <w:r>
        <w:rPr>
          <w:rFonts w:hint="eastAsia" w:ascii="宋体" w:hAnsi="宋体"/>
          <w:color w:val="auto"/>
          <w:highlight w:val="none"/>
        </w:rPr>
        <w:t>如未作特别说明每两个“</w:t>
      </w:r>
      <w:r>
        <w:rPr>
          <w:rFonts w:hint="eastAsia" w:ascii="宋体" w:hAnsi="宋体"/>
          <w:color w:val="auto"/>
          <w:highlight w:val="none"/>
        </w:rPr>
        <w:t>●</w:t>
      </w:r>
      <w:r>
        <w:rPr>
          <w:rFonts w:hint="eastAsia" w:ascii="宋体" w:hAnsi="宋体"/>
          <w:color w:val="auto"/>
          <w:highlight w:val="none"/>
        </w:rPr>
        <w:t>”共用一个回路，靠墙插座每个回路至少支持功率7KW以上（线径4mm</w:t>
      </w:r>
      <w:r>
        <w:rPr>
          <w:rFonts w:ascii="宋体" w:hAnsi="宋体"/>
          <w:color w:val="auto"/>
          <w:highlight w:val="none"/>
          <w:vertAlign w:val="superscript"/>
        </w:rPr>
        <w:t>2</w:t>
      </w:r>
      <w:r>
        <w:rPr>
          <w:rFonts w:hint="eastAsia" w:ascii="宋体" w:hAnsi="宋体"/>
          <w:color w:val="auto"/>
          <w:highlight w:val="none"/>
        </w:rPr>
        <w:t>），房间中央位置插座每个回路至少支持功率1</w:t>
      </w:r>
      <w:r>
        <w:rPr>
          <w:rFonts w:ascii="宋体" w:hAnsi="宋体"/>
          <w:color w:val="auto"/>
          <w:highlight w:val="none"/>
        </w:rPr>
        <w:t>0</w:t>
      </w:r>
      <w:r>
        <w:rPr>
          <w:rFonts w:hint="eastAsia" w:ascii="宋体" w:hAnsi="宋体"/>
          <w:color w:val="auto"/>
          <w:highlight w:val="none"/>
        </w:rPr>
        <w:t>KW以上（线径</w:t>
      </w:r>
      <w:r>
        <w:rPr>
          <w:rFonts w:ascii="宋体" w:hAnsi="宋体"/>
          <w:color w:val="auto"/>
          <w:highlight w:val="none"/>
        </w:rPr>
        <w:t>6</w:t>
      </w:r>
      <w:r>
        <w:rPr>
          <w:rFonts w:hint="eastAsia" w:ascii="宋体" w:hAnsi="宋体"/>
          <w:color w:val="auto"/>
          <w:highlight w:val="none"/>
        </w:rPr>
        <w:t>mm</w:t>
      </w:r>
      <w:r>
        <w:rPr>
          <w:rFonts w:ascii="宋体" w:hAnsi="宋体"/>
          <w:color w:val="auto"/>
          <w:highlight w:val="none"/>
          <w:vertAlign w:val="superscript"/>
        </w:rPr>
        <w:t>2</w:t>
      </w:r>
      <w:r>
        <w:rPr>
          <w:rFonts w:hint="eastAsia" w:ascii="宋体" w:hAnsi="宋体"/>
          <w:color w:val="auto"/>
          <w:highlight w:val="none"/>
        </w:rPr>
        <w:t>）；</w:t>
      </w:r>
    </w:p>
    <w:p>
      <w:pPr>
        <w:pStyle w:val="262"/>
        <w:numPr>
          <w:ilvl w:val="0"/>
          <w:numId w:val="18"/>
        </w:numPr>
        <w:spacing w:line="360" w:lineRule="auto"/>
        <w:ind w:firstLineChars="0"/>
        <w:rPr>
          <w:rFonts w:ascii="宋体" w:hAnsi="宋体"/>
          <w:color w:val="auto"/>
          <w:highlight w:val="none"/>
        </w:rPr>
      </w:pPr>
      <w:r>
        <w:rPr>
          <w:rFonts w:hint="eastAsia" w:ascii="宋体" w:hAnsi="宋体"/>
          <w:color w:val="auto"/>
          <w:highlight w:val="none"/>
        </w:rPr>
        <w:t>通风橱处“</w:t>
      </w:r>
      <w:r>
        <w:rPr>
          <w:rFonts w:hint="eastAsia" w:ascii="宋体" w:hAnsi="宋体"/>
          <w:color w:val="auto"/>
          <w:highlight w:val="none"/>
        </w:rPr>
        <w:t>●</w:t>
      </w:r>
      <w:r>
        <w:rPr>
          <w:rFonts w:hint="eastAsia" w:ascii="宋体" w:hAnsi="宋体"/>
          <w:color w:val="auto"/>
          <w:highlight w:val="none"/>
        </w:rPr>
        <w:t>”表示为一个2</w:t>
      </w:r>
      <w:r>
        <w:rPr>
          <w:rFonts w:ascii="宋体" w:hAnsi="宋体"/>
          <w:color w:val="auto"/>
          <w:highlight w:val="none"/>
        </w:rPr>
        <w:t>20</w:t>
      </w:r>
      <w:r>
        <w:rPr>
          <w:rFonts w:hint="eastAsia" w:ascii="宋体" w:hAnsi="宋体"/>
          <w:color w:val="auto"/>
          <w:highlight w:val="none"/>
        </w:rPr>
        <w:t>V两相空开，一个</w:t>
      </w:r>
      <w:r>
        <w:rPr>
          <w:rFonts w:ascii="宋体" w:hAnsi="宋体"/>
          <w:color w:val="auto"/>
          <w:highlight w:val="none"/>
        </w:rPr>
        <w:t>220V</w:t>
      </w:r>
      <w:r>
        <w:rPr>
          <w:rFonts w:hint="eastAsia" w:ascii="宋体" w:hAnsi="宋体"/>
          <w:color w:val="auto"/>
          <w:highlight w:val="none"/>
        </w:rPr>
        <w:t>/</w:t>
      </w:r>
      <w:r>
        <w:rPr>
          <w:rFonts w:ascii="宋体" w:hAnsi="宋体"/>
          <w:color w:val="auto"/>
          <w:highlight w:val="none"/>
        </w:rPr>
        <w:t>16A插座（每个插座3口+2口）</w:t>
      </w:r>
      <w:r>
        <w:rPr>
          <w:rFonts w:hint="eastAsia" w:ascii="宋体" w:hAnsi="宋体"/>
          <w:color w:val="auto"/>
          <w:highlight w:val="none"/>
        </w:rPr>
        <w:t>和一个仪表接地接口，该点单独一个回路，总功率1</w:t>
      </w:r>
      <w:r>
        <w:rPr>
          <w:rFonts w:ascii="宋体" w:hAnsi="宋体"/>
          <w:color w:val="auto"/>
          <w:highlight w:val="none"/>
        </w:rPr>
        <w:t>0</w:t>
      </w:r>
      <w:r>
        <w:rPr>
          <w:rFonts w:hint="eastAsia" w:ascii="宋体" w:hAnsi="宋体"/>
          <w:color w:val="auto"/>
          <w:highlight w:val="none"/>
        </w:rPr>
        <w:t>KW以上；</w:t>
      </w:r>
    </w:p>
    <w:p>
      <w:pPr>
        <w:pStyle w:val="262"/>
        <w:numPr>
          <w:ilvl w:val="0"/>
          <w:numId w:val="18"/>
        </w:numPr>
        <w:spacing w:line="360" w:lineRule="auto"/>
        <w:ind w:firstLineChars="0"/>
        <w:rPr>
          <w:rFonts w:ascii="宋体" w:hAnsi="宋体"/>
          <w:color w:val="auto"/>
          <w:highlight w:val="none"/>
        </w:rPr>
      </w:pPr>
      <w:r>
        <w:rPr>
          <w:rFonts w:hint="eastAsia" w:ascii="宋体" w:hAnsi="宋体"/>
          <w:color w:val="auto"/>
          <w:highlight w:val="none"/>
        </w:rPr>
        <w:t>烘箱、退火炉和高低温箱处电源接口“</w:t>
      </w:r>
      <w:r>
        <w:rPr>
          <w:rFonts w:ascii="宋体" w:hAnsi="宋体"/>
          <w:color w:val="auto"/>
          <w:highlight w:val="none"/>
        </w:rPr>
        <w:drawing>
          <wp:inline distT="0" distB="0" distL="0" distR="0">
            <wp:extent cx="113665" cy="104140"/>
            <wp:effectExtent l="0" t="0" r="635" b="1016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116435" cy="107217"/>
                    </a:xfrm>
                    <a:prstGeom prst="rect">
                      <a:avLst/>
                    </a:prstGeom>
                    <a:noFill/>
                  </pic:spPr>
                </pic:pic>
              </a:graphicData>
            </a:graphic>
          </wp:inline>
        </w:drawing>
      </w:r>
      <w:r>
        <w:rPr>
          <w:rFonts w:hint="eastAsia" w:ascii="宋体" w:hAnsi="宋体"/>
          <w:color w:val="auto"/>
          <w:highlight w:val="none"/>
        </w:rPr>
        <w:t>”为一个支持1</w:t>
      </w:r>
      <w:r>
        <w:rPr>
          <w:rFonts w:ascii="宋体" w:hAnsi="宋体"/>
          <w:color w:val="auto"/>
          <w:highlight w:val="none"/>
        </w:rPr>
        <w:t>0</w:t>
      </w:r>
      <w:r>
        <w:rPr>
          <w:rFonts w:hint="eastAsia" w:ascii="宋体" w:hAnsi="宋体"/>
          <w:color w:val="auto"/>
          <w:highlight w:val="none"/>
        </w:rPr>
        <w:t>K</w:t>
      </w:r>
      <w:r>
        <w:rPr>
          <w:rFonts w:ascii="宋体" w:hAnsi="宋体"/>
          <w:color w:val="auto"/>
          <w:highlight w:val="none"/>
        </w:rPr>
        <w:t>W</w:t>
      </w:r>
      <w:r>
        <w:rPr>
          <w:rFonts w:hint="eastAsia" w:ascii="宋体" w:hAnsi="宋体"/>
          <w:color w:val="auto"/>
          <w:highlight w:val="none"/>
        </w:rPr>
        <w:t>的2</w:t>
      </w:r>
      <w:r>
        <w:rPr>
          <w:rFonts w:ascii="宋体" w:hAnsi="宋体"/>
          <w:color w:val="auto"/>
          <w:highlight w:val="none"/>
        </w:rPr>
        <w:t>20</w:t>
      </w:r>
      <w:r>
        <w:rPr>
          <w:rFonts w:hint="eastAsia" w:ascii="宋体" w:hAnsi="宋体"/>
          <w:color w:val="auto"/>
          <w:highlight w:val="none"/>
        </w:rPr>
        <w:t>V两相空开，一个1</w:t>
      </w:r>
      <w:r>
        <w:rPr>
          <w:rFonts w:ascii="宋体" w:hAnsi="宋体"/>
          <w:color w:val="auto"/>
          <w:highlight w:val="none"/>
        </w:rPr>
        <w:t>0</w:t>
      </w:r>
      <w:r>
        <w:rPr>
          <w:rFonts w:hint="eastAsia" w:ascii="宋体" w:hAnsi="宋体"/>
          <w:color w:val="auto"/>
          <w:highlight w:val="none"/>
        </w:rPr>
        <w:t>KW的3</w:t>
      </w:r>
      <w:r>
        <w:rPr>
          <w:rFonts w:ascii="宋体" w:hAnsi="宋体"/>
          <w:color w:val="auto"/>
          <w:highlight w:val="none"/>
        </w:rPr>
        <w:t>80</w:t>
      </w:r>
      <w:r>
        <w:rPr>
          <w:rFonts w:hint="eastAsia" w:ascii="宋体" w:hAnsi="宋体"/>
          <w:color w:val="auto"/>
          <w:highlight w:val="none"/>
        </w:rPr>
        <w:t>V三相空开和一个仪表接地接口，每个电源空开一个回路；</w:t>
      </w:r>
    </w:p>
    <w:p>
      <w:pPr>
        <w:pStyle w:val="262"/>
        <w:numPr>
          <w:ilvl w:val="0"/>
          <w:numId w:val="17"/>
        </w:numPr>
        <w:spacing w:line="360" w:lineRule="auto"/>
        <w:ind w:firstLineChars="0"/>
        <w:rPr>
          <w:rFonts w:ascii="宋体" w:hAnsi="宋体"/>
          <w:color w:val="auto"/>
          <w:highlight w:val="none"/>
        </w:rPr>
      </w:pP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_Ref106094313 \h</w:instrText>
      </w:r>
      <w:r>
        <w:rPr>
          <w:rFonts w:ascii="宋体" w:hAnsi="宋体"/>
          <w:color w:val="auto"/>
          <w:highlight w:val="none"/>
        </w:rPr>
        <w:instrText xml:space="preserve"> </w:instrText>
      </w:r>
      <w:r>
        <w:rPr>
          <w:rFonts w:ascii="宋体" w:hAnsi="宋体"/>
          <w:color w:val="auto"/>
          <w:highlight w:val="none"/>
        </w:rPr>
        <w:fldChar w:fldCharType="separate"/>
      </w:r>
      <w:r>
        <w:rPr>
          <w:color w:val="auto"/>
          <w:sz w:val="18"/>
          <w:szCs w:val="18"/>
          <w:highlight w:val="none"/>
        </w:rPr>
        <w:t>图4</w:t>
      </w:r>
      <w:r>
        <w:rPr>
          <w:rFonts w:ascii="宋体" w:hAnsi="宋体"/>
          <w:color w:val="auto"/>
          <w:highlight w:val="none"/>
        </w:rPr>
        <w:fldChar w:fldCharType="end"/>
      </w:r>
      <w:r>
        <w:rPr>
          <w:rFonts w:hint="eastAsia" w:ascii="宋体" w:hAnsi="宋体"/>
          <w:color w:val="auto"/>
          <w:highlight w:val="none"/>
        </w:rPr>
        <w:t>中MEMS封测实验室右侧虚线框做隔热处理，防止高温设备排热对墙面产生影响，具体方案由供应商给出；</w:t>
      </w:r>
    </w:p>
    <w:p>
      <w:pPr>
        <w:pStyle w:val="262"/>
        <w:numPr>
          <w:ilvl w:val="0"/>
          <w:numId w:val="17"/>
        </w:numPr>
        <w:spacing w:line="360" w:lineRule="auto"/>
        <w:ind w:firstLineChars="0"/>
        <w:rPr>
          <w:rFonts w:ascii="宋体" w:hAnsi="宋体"/>
          <w:color w:val="auto"/>
          <w:highlight w:val="none"/>
        </w:rPr>
      </w:pP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_Ref106094313 \h</w:instrText>
      </w:r>
      <w:r>
        <w:rPr>
          <w:rFonts w:ascii="宋体" w:hAnsi="宋体"/>
          <w:color w:val="auto"/>
          <w:highlight w:val="none"/>
        </w:rPr>
        <w:instrText xml:space="preserve"> </w:instrText>
      </w:r>
      <w:r>
        <w:rPr>
          <w:rFonts w:ascii="宋体" w:hAnsi="宋体"/>
          <w:color w:val="auto"/>
          <w:highlight w:val="none"/>
        </w:rPr>
        <w:fldChar w:fldCharType="separate"/>
      </w:r>
      <w:r>
        <w:rPr>
          <w:color w:val="auto"/>
          <w:sz w:val="18"/>
          <w:szCs w:val="18"/>
          <w:highlight w:val="none"/>
        </w:rPr>
        <w:t>图4</w:t>
      </w:r>
      <w:r>
        <w:rPr>
          <w:rFonts w:ascii="宋体" w:hAnsi="宋体"/>
          <w:color w:val="auto"/>
          <w:highlight w:val="none"/>
        </w:rPr>
        <w:fldChar w:fldCharType="end"/>
      </w:r>
      <w:r>
        <w:rPr>
          <w:rFonts w:hint="eastAsia" w:ascii="宋体" w:hAnsi="宋体"/>
          <w:color w:val="auto"/>
          <w:highlight w:val="none"/>
        </w:rPr>
        <w:t>中MEMS封测实验室需新增仪表、防静电桌、设备的单独接地（独立于楼体接地、电源地）。如上所述，图中新增电源点位“</w:t>
      </w:r>
      <w:r>
        <w:rPr>
          <w:rFonts w:hint="eastAsia" w:ascii="宋体" w:hAnsi="宋体"/>
          <w:color w:val="auto"/>
          <w:highlight w:val="none"/>
        </w:rPr>
        <w:t>●</w:t>
      </w:r>
      <w:r>
        <w:rPr>
          <w:rFonts w:hint="eastAsia" w:ascii="宋体" w:hAnsi="宋体"/>
          <w:color w:val="auto"/>
          <w:highlight w:val="none"/>
        </w:rPr>
        <w:t>”、“</w:t>
      </w:r>
      <w:r>
        <w:rPr>
          <w:rFonts w:ascii="宋体" w:hAnsi="宋体"/>
          <w:color w:val="auto"/>
          <w:highlight w:val="none"/>
        </w:rPr>
        <w:drawing>
          <wp:inline distT="0" distB="0" distL="0" distR="0">
            <wp:extent cx="106680" cy="97790"/>
            <wp:effectExtent l="0" t="0" r="7620" b="1651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flipV="1">
                      <a:off x="0" y="0"/>
                      <a:ext cx="114616" cy="105544"/>
                    </a:xfrm>
                    <a:prstGeom prst="rect">
                      <a:avLst/>
                    </a:prstGeom>
                    <a:noFill/>
                  </pic:spPr>
                </pic:pic>
              </a:graphicData>
            </a:graphic>
          </wp:inline>
        </w:drawing>
      </w:r>
      <w:r>
        <w:rPr>
          <w:rFonts w:hint="eastAsia" w:ascii="宋体" w:hAnsi="宋体"/>
          <w:color w:val="auto"/>
          <w:highlight w:val="none"/>
        </w:rPr>
        <w:t>”处皆需配备一单独接地端口，单个接地电阻小于4欧姆。</w:t>
      </w:r>
    </w:p>
    <w:p>
      <w:pPr>
        <w:keepNext/>
        <w:spacing w:line="360" w:lineRule="auto"/>
        <w:jc w:val="center"/>
        <w:rPr>
          <w:color w:val="auto"/>
          <w:highlight w:val="none"/>
        </w:rPr>
      </w:pPr>
      <w:r>
        <w:rPr>
          <w:color w:val="auto"/>
          <w:highlight w:val="none"/>
        </w:rPr>
        <w:drawing>
          <wp:inline distT="0" distB="0" distL="0" distR="0">
            <wp:extent cx="4892675" cy="2451735"/>
            <wp:effectExtent l="0" t="0" r="3175"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1"/>
                    <a:stretch>
                      <a:fillRect/>
                    </a:stretch>
                  </pic:blipFill>
                  <pic:spPr>
                    <a:xfrm>
                      <a:off x="0" y="0"/>
                      <a:ext cx="4965080" cy="2488519"/>
                    </a:xfrm>
                    <a:prstGeom prst="rect">
                      <a:avLst/>
                    </a:prstGeom>
                  </pic:spPr>
                </pic:pic>
              </a:graphicData>
            </a:graphic>
          </wp:inline>
        </w:drawing>
      </w:r>
    </w:p>
    <w:p>
      <w:pPr>
        <w:pStyle w:val="13"/>
        <w:spacing w:line="360" w:lineRule="auto"/>
        <w:jc w:val="center"/>
        <w:rPr>
          <w:color w:val="auto"/>
          <w:sz w:val="18"/>
          <w:szCs w:val="18"/>
          <w:highlight w:val="none"/>
        </w:rPr>
      </w:pPr>
      <w:bookmarkStart w:id="965" w:name="_Ref106094313"/>
      <w:r>
        <w:rPr>
          <w:color w:val="auto"/>
          <w:sz w:val="18"/>
          <w:szCs w:val="18"/>
          <w:highlight w:val="none"/>
        </w:rPr>
        <w:t>图</w:t>
      </w:r>
      <w:r>
        <w:rPr>
          <w:color w:val="auto"/>
          <w:sz w:val="18"/>
          <w:szCs w:val="18"/>
          <w:highlight w:val="none"/>
        </w:rPr>
        <w:fldChar w:fldCharType="begin"/>
      </w:r>
      <w:r>
        <w:rPr>
          <w:color w:val="auto"/>
          <w:sz w:val="18"/>
          <w:szCs w:val="18"/>
          <w:highlight w:val="none"/>
        </w:rPr>
        <w:instrText xml:space="preserve"> SEQ 图 \* ARABIC </w:instrText>
      </w:r>
      <w:r>
        <w:rPr>
          <w:color w:val="auto"/>
          <w:sz w:val="18"/>
          <w:szCs w:val="18"/>
          <w:highlight w:val="none"/>
        </w:rPr>
        <w:fldChar w:fldCharType="separate"/>
      </w:r>
      <w:r>
        <w:rPr>
          <w:color w:val="auto"/>
          <w:sz w:val="18"/>
          <w:szCs w:val="18"/>
          <w:highlight w:val="none"/>
        </w:rPr>
        <w:t>4</w:t>
      </w:r>
      <w:r>
        <w:rPr>
          <w:color w:val="auto"/>
          <w:sz w:val="18"/>
          <w:szCs w:val="18"/>
          <w:highlight w:val="none"/>
        </w:rPr>
        <w:fldChar w:fldCharType="end"/>
      </w:r>
      <w:bookmarkEnd w:id="965"/>
      <w:r>
        <w:rPr>
          <w:color w:val="auto"/>
          <w:sz w:val="18"/>
          <w:szCs w:val="18"/>
          <w:highlight w:val="none"/>
        </w:rPr>
        <w:t xml:space="preserve"> </w:t>
      </w:r>
      <w:r>
        <w:rPr>
          <w:rFonts w:hint="eastAsia"/>
          <w:color w:val="auto"/>
          <w:sz w:val="18"/>
          <w:szCs w:val="18"/>
          <w:highlight w:val="none"/>
        </w:rPr>
        <w:t>MEMS封测实验室装修改造示意图</w:t>
      </w:r>
    </w:p>
    <w:p>
      <w:pPr>
        <w:keepNext/>
        <w:spacing w:line="360" w:lineRule="auto"/>
        <w:jc w:val="center"/>
        <w:rPr>
          <w:color w:val="auto"/>
          <w:highlight w:val="none"/>
        </w:rPr>
      </w:pPr>
      <w:r>
        <w:rPr>
          <w:color w:val="auto"/>
          <w:highlight w:val="none"/>
        </w:rPr>
        <w:drawing>
          <wp:inline distT="0" distB="0" distL="0" distR="0">
            <wp:extent cx="1772920" cy="1329055"/>
            <wp:effectExtent l="0" t="0" r="17780" b="444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92729" cy="1344022"/>
                    </a:xfrm>
                    <a:prstGeom prst="rect">
                      <a:avLst/>
                    </a:prstGeom>
                  </pic:spPr>
                </pic:pic>
              </a:graphicData>
            </a:graphic>
          </wp:inline>
        </w:drawing>
      </w:r>
    </w:p>
    <w:p>
      <w:pPr>
        <w:pStyle w:val="13"/>
        <w:spacing w:line="360" w:lineRule="auto"/>
        <w:jc w:val="center"/>
        <w:rPr>
          <w:rFonts w:ascii="宋体" w:hAnsi="宋体"/>
          <w:color w:val="auto"/>
          <w:sz w:val="18"/>
          <w:szCs w:val="18"/>
          <w:highlight w:val="none"/>
        </w:rPr>
      </w:pPr>
      <w:bookmarkStart w:id="966" w:name="_Ref106098682"/>
      <w:r>
        <w:rPr>
          <w:color w:val="auto"/>
          <w:sz w:val="18"/>
          <w:szCs w:val="18"/>
          <w:highlight w:val="none"/>
        </w:rPr>
        <w:t>图</w:t>
      </w:r>
      <w:r>
        <w:rPr>
          <w:color w:val="auto"/>
          <w:sz w:val="18"/>
          <w:szCs w:val="18"/>
          <w:highlight w:val="none"/>
        </w:rPr>
        <w:fldChar w:fldCharType="begin"/>
      </w:r>
      <w:r>
        <w:rPr>
          <w:color w:val="auto"/>
          <w:sz w:val="18"/>
          <w:szCs w:val="18"/>
          <w:highlight w:val="none"/>
        </w:rPr>
        <w:instrText xml:space="preserve"> SEQ 图 \* ARABIC </w:instrText>
      </w:r>
      <w:r>
        <w:rPr>
          <w:color w:val="auto"/>
          <w:sz w:val="18"/>
          <w:szCs w:val="18"/>
          <w:highlight w:val="none"/>
        </w:rPr>
        <w:fldChar w:fldCharType="separate"/>
      </w:r>
      <w:r>
        <w:rPr>
          <w:color w:val="auto"/>
          <w:sz w:val="18"/>
          <w:szCs w:val="18"/>
          <w:highlight w:val="none"/>
        </w:rPr>
        <w:t>5</w:t>
      </w:r>
      <w:r>
        <w:rPr>
          <w:color w:val="auto"/>
          <w:sz w:val="18"/>
          <w:szCs w:val="18"/>
          <w:highlight w:val="none"/>
        </w:rPr>
        <w:fldChar w:fldCharType="end"/>
      </w:r>
      <w:bookmarkEnd w:id="966"/>
      <w:r>
        <w:rPr>
          <w:color w:val="auto"/>
          <w:sz w:val="18"/>
          <w:szCs w:val="18"/>
          <w:highlight w:val="none"/>
        </w:rPr>
        <w:t xml:space="preserve"> </w:t>
      </w:r>
      <w:r>
        <w:rPr>
          <w:rFonts w:hint="eastAsia" w:ascii="宋体" w:hAnsi="宋体"/>
          <w:color w:val="auto"/>
          <w:sz w:val="18"/>
          <w:szCs w:val="18"/>
          <w:highlight w:val="none"/>
        </w:rPr>
        <w:t>沿墙接线盒样式</w:t>
      </w:r>
    </w:p>
    <w:p>
      <w:pPr>
        <w:pStyle w:val="3"/>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（四）光学实验室装修改造要求：</w:t>
      </w:r>
    </w:p>
    <w:p>
      <w:pPr>
        <w:pStyle w:val="262"/>
        <w:numPr>
          <w:ilvl w:val="0"/>
          <w:numId w:val="19"/>
        </w:numPr>
        <w:spacing w:line="360" w:lineRule="auto"/>
        <w:ind w:firstLineChars="0"/>
        <w:rPr>
          <w:color w:val="auto"/>
          <w:highlight w:val="none"/>
        </w:rPr>
      </w:pPr>
      <w:r>
        <w:rPr>
          <w:color w:val="auto"/>
          <w:highlight w:val="none"/>
        </w:rPr>
        <w:t>新增一</w:t>
      </w:r>
      <w:r>
        <w:rPr>
          <w:rFonts w:ascii="宋体" w:hAnsi="宋体"/>
          <w:color w:val="auto"/>
          <w:highlight w:val="none"/>
        </w:rPr>
        <w:t>配电</w:t>
      </w:r>
      <w:r>
        <w:rPr>
          <w:color w:val="auto"/>
          <w:highlight w:val="none"/>
        </w:rPr>
        <w:t>箱，配电箱置于</w:t>
      </w:r>
      <w:r>
        <w:rPr>
          <w:rFonts w:hint="eastAsia"/>
          <w:color w:val="auto"/>
          <w:highlight w:val="none"/>
        </w:rPr>
        <w:t>光学</w:t>
      </w:r>
      <w:r>
        <w:rPr>
          <w:color w:val="auto"/>
          <w:highlight w:val="none"/>
        </w:rPr>
        <w:t>实验室旁风机房内，容量35KW以上，所需电力从楼层强电井中引出，配电箱预留220V两相电空开3个，380V三相电空开2个。</w:t>
      </w:r>
    </w:p>
    <w:p>
      <w:pPr>
        <w:pStyle w:val="262"/>
        <w:numPr>
          <w:ilvl w:val="0"/>
          <w:numId w:val="19"/>
        </w:numPr>
        <w:spacing w:line="360" w:lineRule="auto"/>
        <w:ind w:firstLineChars="0"/>
        <w:rPr>
          <w:color w:val="auto"/>
          <w:highlight w:val="none"/>
        </w:rPr>
      </w:pPr>
      <w:r>
        <w:rPr>
          <w:color w:val="auto"/>
          <w:highlight w:val="none"/>
        </w:rPr>
        <w:fldChar w:fldCharType="begin"/>
      </w:r>
      <w:r>
        <w:rPr>
          <w:color w:val="auto"/>
          <w:highlight w:val="none"/>
        </w:rPr>
        <w:instrText xml:space="preserve"> REF _Ref106175264 \h </w:instrText>
      </w:r>
      <w:r>
        <w:rPr>
          <w:color w:val="auto"/>
          <w:highlight w:val="none"/>
        </w:rPr>
        <w:fldChar w:fldCharType="separate"/>
      </w:r>
      <w:r>
        <w:rPr>
          <w:color w:val="auto"/>
          <w:highlight w:val="none"/>
        </w:rPr>
        <w:t>图6</w:t>
      </w:r>
      <w:r>
        <w:rPr>
          <w:color w:val="auto"/>
          <w:highlight w:val="none"/>
        </w:rPr>
        <w:fldChar w:fldCharType="end"/>
      </w:r>
      <w:r>
        <w:rPr>
          <w:rFonts w:hint="eastAsia"/>
          <w:color w:val="auto"/>
          <w:highlight w:val="none"/>
        </w:rPr>
        <w:t>中</w:t>
      </w:r>
      <w:r>
        <w:rPr>
          <w:color w:val="auto"/>
          <w:highlight w:val="none"/>
        </w:rPr>
        <w:t>“</w:t>
      </w:r>
      <w:r>
        <w:rPr>
          <w:rFonts w:hint="eastAsia"/>
          <w:color w:val="auto"/>
          <w:highlight w:val="none"/>
        </w:rPr>
        <w:t>■</w:t>
      </w:r>
      <w:r>
        <w:rPr>
          <w:color w:val="auto"/>
          <w:highlight w:val="none"/>
        </w:rPr>
        <w:t>”为新增电源接口，“</w:t>
      </w:r>
      <w:r>
        <w:rPr>
          <w:rFonts w:ascii="宋体" w:hAnsi="宋体"/>
          <w:color w:val="auto"/>
          <w:highlight w:val="none"/>
        </w:rPr>
        <w:drawing>
          <wp:inline distT="0" distB="0" distL="0" distR="0">
            <wp:extent cx="127635" cy="87630"/>
            <wp:effectExtent l="0" t="0" r="5715" b="7620"/>
            <wp:docPr id="32" name="图片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16"/>
                    <pic:cNvPicPr>
                      <a:picLocks noChangeAspect="1"/>
                    </pic:cNvPicPr>
                  </pic:nvPicPr>
                  <pic:blipFill>
                    <a:blip r:embed="rId18"/>
                    <a:stretch>
                      <a:fillRect/>
                    </a:stretch>
                  </pic:blipFill>
                  <pic:spPr>
                    <a:xfrm>
                      <a:off x="0" y="0"/>
                      <a:ext cx="135743" cy="93616"/>
                    </a:xfrm>
                    <a:prstGeom prst="rect">
                      <a:avLst/>
                    </a:prstGeom>
                  </pic:spPr>
                </pic:pic>
              </a:graphicData>
            </a:graphic>
          </wp:inline>
        </w:drawing>
      </w:r>
      <w:r>
        <w:rPr>
          <w:color w:val="auto"/>
          <w:highlight w:val="none"/>
        </w:rPr>
        <w:t>”为电话线接口，“</w:t>
      </w:r>
      <w:r>
        <w:rPr>
          <w:rFonts w:ascii="宋体" w:hAnsi="宋体"/>
          <w:color w:val="auto"/>
          <w:highlight w:val="none"/>
        </w:rPr>
        <w:drawing>
          <wp:inline distT="0" distB="0" distL="0" distR="0">
            <wp:extent cx="90805" cy="85725"/>
            <wp:effectExtent l="0" t="0" r="4445" b="9525"/>
            <wp:docPr id="17" name="图片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15"/>
                    <pic:cNvPicPr>
                      <a:picLocks noChangeAspect="1"/>
                    </pic:cNvPicPr>
                  </pic:nvPicPr>
                  <pic:blipFill>
                    <a:blip r:embed="rId19"/>
                    <a:stretch>
                      <a:fillRect/>
                    </a:stretch>
                  </pic:blipFill>
                  <pic:spPr>
                    <a:xfrm>
                      <a:off x="0" y="0"/>
                      <a:ext cx="96257" cy="90400"/>
                    </a:xfrm>
                    <a:prstGeom prst="rect">
                      <a:avLst/>
                    </a:prstGeom>
                  </pic:spPr>
                </pic:pic>
              </a:graphicData>
            </a:graphic>
          </wp:inline>
        </w:drawing>
      </w:r>
      <w:r>
        <w:rPr>
          <w:color w:val="auto"/>
          <w:highlight w:val="none"/>
        </w:rPr>
        <w:t>”为网线接口，相关需求说明如下：</w:t>
      </w:r>
    </w:p>
    <w:p>
      <w:pPr>
        <w:pStyle w:val="262"/>
        <w:numPr>
          <w:ilvl w:val="0"/>
          <w:numId w:val="20"/>
        </w:numPr>
        <w:spacing w:line="360" w:lineRule="auto"/>
        <w:ind w:firstLineChars="0"/>
        <w:rPr>
          <w:color w:val="auto"/>
          <w:highlight w:val="none"/>
        </w:rPr>
      </w:pPr>
      <w:r>
        <w:rPr>
          <w:color w:val="auto"/>
          <w:highlight w:val="none"/>
        </w:rPr>
        <w:fldChar w:fldCharType="begin"/>
      </w:r>
      <w:r>
        <w:rPr>
          <w:color w:val="auto"/>
          <w:highlight w:val="none"/>
        </w:rPr>
        <w:instrText xml:space="preserve"> REF _Ref106175264 \h  \* MERGEFORMAT </w:instrText>
      </w:r>
      <w:r>
        <w:rPr>
          <w:color w:val="auto"/>
          <w:highlight w:val="none"/>
        </w:rPr>
        <w:fldChar w:fldCharType="separate"/>
      </w:r>
      <w:r>
        <w:rPr>
          <w:color w:val="auto"/>
          <w:highlight w:val="none"/>
        </w:rPr>
        <w:t>图6</w:t>
      </w:r>
      <w:r>
        <w:rPr>
          <w:color w:val="auto"/>
          <w:highlight w:val="none"/>
        </w:rPr>
        <w:fldChar w:fldCharType="end"/>
      </w:r>
      <w:r>
        <w:rPr>
          <w:rFonts w:hint="eastAsia"/>
          <w:color w:val="auto"/>
          <w:highlight w:val="none"/>
        </w:rPr>
        <w:t>中</w:t>
      </w:r>
      <w:r>
        <w:rPr>
          <w:color w:val="auto"/>
          <w:highlight w:val="none"/>
        </w:rPr>
        <w:t>实验室靠墙的电源、电话线、网线沿墙走接线盒，线盒高度距地面30cm</w:t>
      </w:r>
      <w:r>
        <w:rPr>
          <w:rFonts w:hint="eastAsia"/>
          <w:color w:val="auto"/>
          <w:highlight w:val="none"/>
        </w:rPr>
        <w:t>（参考</w:t>
      </w:r>
      <w:r>
        <w:rPr>
          <w:color w:val="auto"/>
          <w:highlight w:val="none"/>
        </w:rPr>
        <w:fldChar w:fldCharType="begin"/>
      </w:r>
      <w:r>
        <w:rPr>
          <w:color w:val="auto"/>
          <w:highlight w:val="none"/>
        </w:rPr>
        <w:instrText xml:space="preserve"> </w:instrText>
      </w:r>
      <w:r>
        <w:rPr>
          <w:rFonts w:hint="eastAsia"/>
          <w:color w:val="auto"/>
          <w:highlight w:val="none"/>
        </w:rPr>
        <w:instrText xml:space="preserve">REF _Ref106098682 \h</w:instrText>
      </w:r>
      <w:r>
        <w:rPr>
          <w:color w:val="auto"/>
          <w:highlight w:val="none"/>
        </w:rPr>
        <w:instrText xml:space="preserve">  \* MERGEFORMAT </w:instrText>
      </w:r>
      <w:r>
        <w:rPr>
          <w:color w:val="auto"/>
          <w:highlight w:val="none"/>
        </w:rPr>
        <w:fldChar w:fldCharType="separate"/>
      </w:r>
      <w:r>
        <w:rPr>
          <w:color w:val="auto"/>
          <w:highlight w:val="none"/>
        </w:rPr>
        <w:t>图5</w:t>
      </w:r>
      <w:r>
        <w:rPr>
          <w:color w:val="auto"/>
          <w:highlight w:val="none"/>
        </w:rPr>
        <w:fldChar w:fldCharType="end"/>
      </w:r>
      <w:r>
        <w:rPr>
          <w:rFonts w:hint="eastAsia"/>
          <w:color w:val="auto"/>
          <w:highlight w:val="none"/>
        </w:rPr>
        <w:t>）</w:t>
      </w:r>
      <w:r>
        <w:rPr>
          <w:color w:val="auto"/>
          <w:highlight w:val="none"/>
        </w:rPr>
        <w:t>，且不覆盖原有插座；实验室中央位置电源、网线从天花板垂下，具体方案由供应商给出。</w:t>
      </w:r>
    </w:p>
    <w:p>
      <w:pPr>
        <w:pStyle w:val="262"/>
        <w:numPr>
          <w:ilvl w:val="0"/>
          <w:numId w:val="20"/>
        </w:numPr>
        <w:spacing w:line="360" w:lineRule="auto"/>
        <w:ind w:firstLineChars="0"/>
        <w:rPr>
          <w:color w:val="auto"/>
          <w:highlight w:val="none"/>
        </w:rPr>
      </w:pPr>
      <w:r>
        <w:rPr>
          <w:color w:val="auto"/>
          <w:highlight w:val="none"/>
        </w:rPr>
        <w:t>如未做特别说明，“</w:t>
      </w:r>
      <w:r>
        <w:rPr>
          <w:rFonts w:hint="eastAsia"/>
          <w:color w:val="auto"/>
          <w:highlight w:val="none"/>
        </w:rPr>
        <w:t>■</w:t>
      </w:r>
      <w:r>
        <w:rPr>
          <w:color w:val="auto"/>
          <w:highlight w:val="none"/>
        </w:rPr>
        <w:t>”表示安装两个220V/16A插座（每个插座3口+2口）和一个仪表接地接口；</w:t>
      </w:r>
    </w:p>
    <w:p>
      <w:pPr>
        <w:pStyle w:val="262"/>
        <w:numPr>
          <w:ilvl w:val="0"/>
          <w:numId w:val="20"/>
        </w:numPr>
        <w:spacing w:line="360" w:lineRule="auto"/>
        <w:ind w:firstLineChars="0"/>
        <w:rPr>
          <w:color w:val="auto"/>
          <w:highlight w:val="none"/>
        </w:rPr>
      </w:pPr>
      <w:r>
        <w:rPr>
          <w:color w:val="auto"/>
          <w:highlight w:val="none"/>
        </w:rPr>
        <w:t>如未作特别说明每两个“</w:t>
      </w:r>
      <w:r>
        <w:rPr>
          <w:rFonts w:hint="eastAsia"/>
          <w:color w:val="auto"/>
          <w:highlight w:val="none"/>
        </w:rPr>
        <w:t>■</w:t>
      </w:r>
      <w:r>
        <w:rPr>
          <w:color w:val="auto"/>
          <w:highlight w:val="none"/>
        </w:rPr>
        <w:t>”共用一个回路，靠墙插座每个回路至少支持功率7KW以上（线径4mm</w:t>
      </w:r>
      <w:r>
        <w:rPr>
          <w:color w:val="auto"/>
          <w:highlight w:val="none"/>
          <w:vertAlign w:val="superscript"/>
        </w:rPr>
        <w:t>2</w:t>
      </w:r>
      <w:r>
        <w:rPr>
          <w:color w:val="auto"/>
          <w:highlight w:val="none"/>
        </w:rPr>
        <w:t>），房间中央位置插座每个回路至少支持功率10KW以上（线径6mm</w:t>
      </w:r>
      <w:r>
        <w:rPr>
          <w:color w:val="auto"/>
          <w:highlight w:val="none"/>
          <w:vertAlign w:val="superscript"/>
        </w:rPr>
        <w:t>2</w:t>
      </w:r>
      <w:r>
        <w:rPr>
          <w:color w:val="auto"/>
          <w:highlight w:val="none"/>
        </w:rPr>
        <w:t>）；</w:t>
      </w:r>
    </w:p>
    <w:p>
      <w:pPr>
        <w:pStyle w:val="262"/>
        <w:numPr>
          <w:ilvl w:val="0"/>
          <w:numId w:val="19"/>
        </w:numPr>
        <w:spacing w:line="360" w:lineRule="auto"/>
        <w:ind w:firstLineChars="0"/>
        <w:rPr>
          <w:color w:val="auto"/>
          <w:highlight w:val="none"/>
        </w:rPr>
      </w:pPr>
      <w:r>
        <w:rPr>
          <w:color w:val="auto"/>
          <w:highlight w:val="none"/>
        </w:rPr>
        <w:fldChar w:fldCharType="begin"/>
      </w:r>
      <w:r>
        <w:rPr>
          <w:color w:val="auto"/>
          <w:highlight w:val="none"/>
        </w:rPr>
        <w:instrText xml:space="preserve"> REF _Ref106175264 \h </w:instrText>
      </w:r>
      <w:r>
        <w:rPr>
          <w:color w:val="auto"/>
          <w:highlight w:val="none"/>
        </w:rPr>
        <w:fldChar w:fldCharType="separate"/>
      </w:r>
      <w:r>
        <w:rPr>
          <w:color w:val="auto"/>
          <w:highlight w:val="none"/>
        </w:rPr>
        <w:t>图6</w:t>
      </w:r>
      <w:r>
        <w:rPr>
          <w:color w:val="auto"/>
          <w:highlight w:val="none"/>
        </w:rPr>
        <w:fldChar w:fldCharType="end"/>
      </w:r>
      <w:r>
        <w:rPr>
          <w:rFonts w:hint="eastAsia"/>
          <w:color w:val="auto"/>
          <w:highlight w:val="none"/>
        </w:rPr>
        <w:t>中</w:t>
      </w:r>
      <w:r>
        <w:rPr>
          <w:rFonts w:hint="eastAsia" w:ascii="宋体" w:hAnsi="宋体"/>
          <w:color w:val="auto"/>
          <w:highlight w:val="none"/>
        </w:rPr>
        <w:t>光学</w:t>
      </w:r>
      <w:r>
        <w:rPr>
          <w:color w:val="auto"/>
          <w:highlight w:val="none"/>
        </w:rPr>
        <w:t>实验室需新增仪表、防静电桌、设备的单独接地（独立于楼体接地、电源地）。如上所述，图中新增电源点位“</w:t>
      </w:r>
      <w:r>
        <w:rPr>
          <w:rFonts w:hint="eastAsia"/>
          <w:color w:val="auto"/>
          <w:highlight w:val="none"/>
        </w:rPr>
        <w:t>■</w:t>
      </w:r>
      <w:r>
        <w:rPr>
          <w:color w:val="auto"/>
          <w:highlight w:val="none"/>
        </w:rPr>
        <w:t>”处皆需配备一单独接地端口，单个接地电阻小于4欧姆。</w:t>
      </w:r>
    </w:p>
    <w:p>
      <w:pPr>
        <w:pStyle w:val="262"/>
        <w:numPr>
          <w:ilvl w:val="0"/>
          <w:numId w:val="19"/>
        </w:numPr>
        <w:spacing w:line="360" w:lineRule="auto"/>
        <w:ind w:firstLineChars="0"/>
        <w:rPr>
          <w:color w:val="auto"/>
          <w:highlight w:val="none"/>
        </w:rPr>
      </w:pPr>
      <w:r>
        <w:rPr>
          <w:color w:val="auto"/>
          <w:highlight w:val="none"/>
        </w:rPr>
        <w:t>左侧</w:t>
      </w:r>
      <w:r>
        <w:rPr>
          <w:rFonts w:ascii="宋体" w:hAnsi="宋体"/>
          <w:color w:val="auto"/>
          <w:highlight w:val="none"/>
        </w:rPr>
        <w:t>增加</w:t>
      </w:r>
      <w:r>
        <w:rPr>
          <w:color w:val="auto"/>
          <w:highlight w:val="none"/>
        </w:rPr>
        <w:t>一个暗室</w:t>
      </w:r>
      <w:r>
        <w:rPr>
          <w:rFonts w:hint="eastAsia"/>
          <w:color w:val="auto"/>
          <w:highlight w:val="none"/>
        </w:rPr>
        <w:t>。</w:t>
      </w:r>
    </w:p>
    <w:p>
      <w:pPr>
        <w:pStyle w:val="262"/>
        <w:numPr>
          <w:ilvl w:val="0"/>
          <w:numId w:val="19"/>
        </w:numPr>
        <w:spacing w:line="360" w:lineRule="auto"/>
        <w:ind w:firstLineChars="0"/>
        <w:rPr>
          <w:color w:val="auto"/>
          <w:highlight w:val="none"/>
        </w:rPr>
      </w:pPr>
      <w:r>
        <w:rPr>
          <w:color w:val="auto"/>
          <w:highlight w:val="none"/>
        </w:rPr>
        <w:t>右侧增加一个更衣室</w:t>
      </w:r>
      <w:r>
        <w:rPr>
          <w:rFonts w:hint="eastAsia"/>
          <w:color w:val="auto"/>
          <w:highlight w:val="none"/>
        </w:rPr>
        <w:t>。</w:t>
      </w:r>
    </w:p>
    <w:p>
      <w:pPr>
        <w:pStyle w:val="262"/>
        <w:numPr>
          <w:ilvl w:val="0"/>
          <w:numId w:val="19"/>
        </w:numPr>
        <w:spacing w:line="360" w:lineRule="auto"/>
        <w:ind w:firstLineChars="0"/>
        <w:rPr>
          <w:color w:val="auto"/>
          <w:highlight w:val="none"/>
        </w:rPr>
      </w:pPr>
      <w:r>
        <w:rPr>
          <w:color w:val="auto"/>
          <w:highlight w:val="none"/>
        </w:rPr>
        <w:t>更衣室</w:t>
      </w:r>
      <w:r>
        <w:rPr>
          <w:rFonts w:ascii="宋体" w:hAnsi="宋体"/>
          <w:color w:val="auto"/>
          <w:highlight w:val="none"/>
        </w:rPr>
        <w:t>内侧</w:t>
      </w:r>
      <w:r>
        <w:rPr>
          <w:color w:val="auto"/>
          <w:highlight w:val="none"/>
        </w:rPr>
        <w:t>的位置改造增加一个风淋室。</w:t>
      </w:r>
    </w:p>
    <w:p>
      <w:pPr>
        <w:keepNext/>
        <w:spacing w:line="360" w:lineRule="auto"/>
        <w:jc w:val="center"/>
        <w:rPr>
          <w:color w:val="auto"/>
          <w:highlight w:val="none"/>
        </w:rPr>
      </w:pPr>
      <w:r>
        <w:rPr>
          <w:color w:val="auto"/>
          <w:highlight w:val="none"/>
        </w:rPr>
        <w:drawing>
          <wp:inline distT="0" distB="0" distL="0" distR="0">
            <wp:extent cx="5281295" cy="1385570"/>
            <wp:effectExtent l="0" t="0" r="14605" b="508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5300920" cy="1390698"/>
                    </a:xfrm>
                    <a:prstGeom prst="rect">
                      <a:avLst/>
                    </a:prstGeom>
                    <a:noFill/>
                    <a:ln>
                      <a:noFill/>
                    </a:ln>
                  </pic:spPr>
                </pic:pic>
              </a:graphicData>
            </a:graphic>
          </wp:inline>
        </w:drawing>
      </w:r>
    </w:p>
    <w:p>
      <w:pPr>
        <w:pStyle w:val="13"/>
        <w:jc w:val="center"/>
        <w:rPr>
          <w:color w:val="auto"/>
          <w:highlight w:val="none"/>
        </w:rPr>
      </w:pPr>
      <w:bookmarkStart w:id="967" w:name="_Ref106175264"/>
      <w:r>
        <w:rPr>
          <w:color w:val="auto"/>
          <w:highlight w:val="none"/>
        </w:rPr>
        <w:t>图</w:t>
      </w:r>
      <w:r>
        <w:rPr>
          <w:color w:val="auto"/>
          <w:highlight w:val="none"/>
        </w:rPr>
        <w:fldChar w:fldCharType="begin"/>
      </w:r>
      <w:r>
        <w:rPr>
          <w:color w:val="auto"/>
          <w:highlight w:val="none"/>
        </w:rPr>
        <w:instrText xml:space="preserve"> SEQ 图 \* ARABIC </w:instrText>
      </w:r>
      <w:r>
        <w:rPr>
          <w:color w:val="auto"/>
          <w:highlight w:val="none"/>
        </w:rPr>
        <w:fldChar w:fldCharType="separate"/>
      </w:r>
      <w:r>
        <w:rPr>
          <w:color w:val="auto"/>
          <w:highlight w:val="none"/>
        </w:rPr>
        <w:t>6</w:t>
      </w:r>
      <w:r>
        <w:rPr>
          <w:color w:val="auto"/>
          <w:highlight w:val="none"/>
        </w:rPr>
        <w:fldChar w:fldCharType="end"/>
      </w:r>
      <w:bookmarkEnd w:id="967"/>
      <w:r>
        <w:rPr>
          <w:color w:val="auto"/>
          <w:highlight w:val="none"/>
        </w:rPr>
        <w:t xml:space="preserve"> </w:t>
      </w:r>
      <w:r>
        <w:rPr>
          <w:rFonts w:hint="eastAsia"/>
          <w:color w:val="auto"/>
          <w:highlight w:val="none"/>
        </w:rPr>
        <w:t>光学</w:t>
      </w:r>
      <w:r>
        <w:rPr>
          <w:color w:val="auto"/>
          <w:highlight w:val="none"/>
        </w:rPr>
        <w:t>实验室装修改造示意图</w:t>
      </w:r>
    </w:p>
    <w:p>
      <w:pPr>
        <w:pStyle w:val="3"/>
        <w:jc w:val="left"/>
        <w:rPr>
          <w:color w:val="auto"/>
          <w:sz w:val="21"/>
          <w:szCs w:val="21"/>
          <w:highlight w:val="none"/>
        </w:rPr>
      </w:pPr>
      <w:r>
        <w:rPr>
          <w:rFonts w:hint="eastAsia" w:ascii="宋体" w:hAnsi="宋体" w:eastAsia="宋体" w:cs="宋体"/>
          <w:color w:val="auto"/>
          <w:sz w:val="21"/>
          <w:szCs w:val="21"/>
          <w:highlight w:val="none"/>
        </w:rPr>
        <w:t>（五）电子实验室装修改造要求：</w:t>
      </w:r>
    </w:p>
    <w:p>
      <w:pPr>
        <w:pStyle w:val="262"/>
        <w:numPr>
          <w:ilvl w:val="0"/>
          <w:numId w:val="21"/>
        </w:numPr>
        <w:spacing w:line="360" w:lineRule="auto"/>
        <w:ind w:firstLineChars="0"/>
        <w:rPr>
          <w:rFonts w:ascii="宋体" w:hAnsi="宋体"/>
          <w:color w:val="auto"/>
          <w:highlight w:val="none"/>
        </w:rPr>
      </w:pPr>
      <w:r>
        <w:rPr>
          <w:rFonts w:hint="eastAsia" w:ascii="宋体" w:hAnsi="宋体"/>
          <w:color w:val="auto"/>
          <w:highlight w:val="none"/>
        </w:rPr>
        <w:t>新增一配电箱，配电箱置于电子实验室旁风机房内，容量</w:t>
      </w:r>
      <w:r>
        <w:rPr>
          <w:rFonts w:ascii="宋体" w:hAnsi="宋体"/>
          <w:color w:val="auto"/>
          <w:highlight w:val="none"/>
        </w:rPr>
        <w:t>50</w:t>
      </w:r>
      <w:r>
        <w:rPr>
          <w:rFonts w:hint="eastAsia" w:ascii="宋体" w:hAnsi="宋体"/>
          <w:color w:val="auto"/>
          <w:highlight w:val="none"/>
        </w:rPr>
        <w:t>KW以上，所需电力从楼层强电井中引出，配电箱预留2</w:t>
      </w:r>
      <w:r>
        <w:rPr>
          <w:rFonts w:ascii="宋体" w:hAnsi="宋体"/>
          <w:color w:val="auto"/>
          <w:highlight w:val="none"/>
        </w:rPr>
        <w:t>20</w:t>
      </w:r>
      <w:r>
        <w:rPr>
          <w:rFonts w:hint="eastAsia" w:ascii="宋体" w:hAnsi="宋体"/>
          <w:color w:val="auto"/>
          <w:highlight w:val="none"/>
        </w:rPr>
        <w:t>V两相电空开</w:t>
      </w:r>
      <w:r>
        <w:rPr>
          <w:rFonts w:ascii="宋体" w:hAnsi="宋体"/>
          <w:color w:val="auto"/>
          <w:highlight w:val="none"/>
        </w:rPr>
        <w:t>3</w:t>
      </w:r>
      <w:r>
        <w:rPr>
          <w:rFonts w:hint="eastAsia" w:ascii="宋体" w:hAnsi="宋体"/>
          <w:color w:val="auto"/>
          <w:highlight w:val="none"/>
        </w:rPr>
        <w:t>个。</w:t>
      </w:r>
    </w:p>
    <w:p>
      <w:pPr>
        <w:pStyle w:val="262"/>
        <w:numPr>
          <w:ilvl w:val="0"/>
          <w:numId w:val="21"/>
        </w:numPr>
        <w:spacing w:line="360" w:lineRule="auto"/>
        <w:ind w:firstLineChars="0"/>
        <w:rPr>
          <w:color w:val="auto"/>
          <w:highlight w:val="none"/>
        </w:rPr>
      </w:pP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_Ref106175467 \h</w:instrText>
      </w:r>
      <w:r>
        <w:rPr>
          <w:rFonts w:ascii="宋体" w:hAnsi="宋体"/>
          <w:color w:val="auto"/>
          <w:highlight w:val="none"/>
        </w:rPr>
        <w:instrText xml:space="preserve">  \* MERGEFORMAT </w:instrText>
      </w:r>
      <w:r>
        <w:rPr>
          <w:rFonts w:ascii="宋体" w:hAnsi="宋体"/>
          <w:color w:val="auto"/>
          <w:highlight w:val="none"/>
        </w:rPr>
        <w:fldChar w:fldCharType="separate"/>
      </w:r>
      <w:r>
        <w:rPr>
          <w:rFonts w:ascii="宋体" w:hAnsi="宋体"/>
          <w:color w:val="auto"/>
          <w:highlight w:val="none"/>
        </w:rPr>
        <w:t>图7</w:t>
      </w:r>
      <w:r>
        <w:rPr>
          <w:rFonts w:ascii="宋体" w:hAnsi="宋体"/>
          <w:color w:val="auto"/>
          <w:highlight w:val="none"/>
        </w:rPr>
        <w:fldChar w:fldCharType="end"/>
      </w:r>
      <w:r>
        <w:rPr>
          <w:rFonts w:hint="eastAsia" w:ascii="宋体" w:hAnsi="宋体"/>
          <w:color w:val="auto"/>
          <w:highlight w:val="none"/>
        </w:rPr>
        <w:t>中“</w:t>
      </w:r>
      <w:r>
        <w:rPr>
          <w:rFonts w:hint="eastAsia" w:ascii="宋体" w:hAnsi="宋体"/>
          <w:color w:val="auto"/>
          <w:highlight w:val="none"/>
        </w:rPr>
        <w:t>●</w:t>
      </w:r>
      <w:r>
        <w:rPr>
          <w:rFonts w:hint="eastAsia" w:ascii="宋体" w:hAnsi="宋体"/>
          <w:color w:val="auto"/>
          <w:highlight w:val="none"/>
        </w:rPr>
        <w:t>”为新增电源接口和仪表单独接地接口，“</w:t>
      </w:r>
      <w:r>
        <w:rPr>
          <w:rFonts w:ascii="宋体" w:hAnsi="宋体"/>
          <w:color w:val="auto"/>
          <w:highlight w:val="none"/>
        </w:rPr>
        <w:drawing>
          <wp:inline distT="0" distB="0" distL="0" distR="0">
            <wp:extent cx="127635" cy="87630"/>
            <wp:effectExtent l="0" t="0" r="5715" b="7620"/>
            <wp:docPr id="22" name="图片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6"/>
                    <pic:cNvPicPr>
                      <a:picLocks noChangeAspect="1"/>
                    </pic:cNvPicPr>
                  </pic:nvPicPr>
                  <pic:blipFill>
                    <a:blip r:embed="rId18"/>
                    <a:stretch>
                      <a:fillRect/>
                    </a:stretch>
                  </pic:blipFill>
                  <pic:spPr>
                    <a:xfrm>
                      <a:off x="0" y="0"/>
                      <a:ext cx="135743" cy="93616"/>
                    </a:xfrm>
                    <a:prstGeom prst="rect">
                      <a:avLst/>
                    </a:prstGeom>
                  </pic:spPr>
                </pic:pic>
              </a:graphicData>
            </a:graphic>
          </wp:inline>
        </w:drawing>
      </w:r>
      <w:r>
        <w:rPr>
          <w:rFonts w:hint="eastAsia" w:ascii="宋体" w:hAnsi="宋体"/>
          <w:color w:val="auto"/>
          <w:highlight w:val="none"/>
        </w:rPr>
        <w:t>”为电话线接口，“</w:t>
      </w:r>
      <w:r>
        <w:rPr>
          <w:rFonts w:ascii="宋体" w:hAnsi="宋体"/>
          <w:color w:val="auto"/>
          <w:highlight w:val="none"/>
        </w:rPr>
        <w:drawing>
          <wp:inline distT="0" distB="0" distL="0" distR="0">
            <wp:extent cx="90805" cy="85725"/>
            <wp:effectExtent l="0" t="0" r="4445" b="9525"/>
            <wp:docPr id="23" name="图片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15"/>
                    <pic:cNvPicPr>
                      <a:picLocks noChangeAspect="1"/>
                    </pic:cNvPicPr>
                  </pic:nvPicPr>
                  <pic:blipFill>
                    <a:blip r:embed="rId19"/>
                    <a:stretch>
                      <a:fillRect/>
                    </a:stretch>
                  </pic:blipFill>
                  <pic:spPr>
                    <a:xfrm>
                      <a:off x="0" y="0"/>
                      <a:ext cx="96257" cy="90400"/>
                    </a:xfrm>
                    <a:prstGeom prst="rect">
                      <a:avLst/>
                    </a:prstGeom>
                  </pic:spPr>
                </pic:pic>
              </a:graphicData>
            </a:graphic>
          </wp:inline>
        </w:drawing>
      </w:r>
      <w:r>
        <w:rPr>
          <w:rFonts w:hint="eastAsia" w:ascii="宋体" w:hAnsi="宋体"/>
          <w:color w:val="auto"/>
          <w:highlight w:val="none"/>
        </w:rPr>
        <w:t>”为网线接口，相关需求说明如下：</w:t>
      </w:r>
    </w:p>
    <w:p>
      <w:pPr>
        <w:pStyle w:val="262"/>
        <w:numPr>
          <w:ilvl w:val="0"/>
          <w:numId w:val="22"/>
        </w:numPr>
        <w:spacing w:line="360" w:lineRule="auto"/>
        <w:ind w:firstLineChars="0"/>
        <w:rPr>
          <w:rFonts w:ascii="宋体" w:hAnsi="宋体"/>
          <w:color w:val="auto"/>
          <w:highlight w:val="none"/>
        </w:rPr>
      </w:pP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_Ref106175467 \h</w:instrText>
      </w:r>
      <w:r>
        <w:rPr>
          <w:rFonts w:ascii="宋体" w:hAnsi="宋体"/>
          <w:color w:val="auto"/>
          <w:highlight w:val="none"/>
        </w:rPr>
        <w:instrText xml:space="preserve">  \* MERGEFORMAT </w:instrText>
      </w:r>
      <w:r>
        <w:rPr>
          <w:rFonts w:ascii="宋体" w:hAnsi="宋体"/>
          <w:color w:val="auto"/>
          <w:highlight w:val="none"/>
        </w:rPr>
        <w:fldChar w:fldCharType="separate"/>
      </w:r>
      <w:r>
        <w:rPr>
          <w:rFonts w:ascii="宋体" w:hAnsi="宋体"/>
          <w:color w:val="auto"/>
          <w:highlight w:val="none"/>
        </w:rPr>
        <w:t>图7</w:t>
      </w:r>
      <w:r>
        <w:rPr>
          <w:rFonts w:ascii="宋体" w:hAnsi="宋体"/>
          <w:color w:val="auto"/>
          <w:highlight w:val="none"/>
        </w:rPr>
        <w:fldChar w:fldCharType="end"/>
      </w:r>
      <w:r>
        <w:rPr>
          <w:rFonts w:hint="eastAsia" w:ascii="宋体" w:hAnsi="宋体"/>
          <w:color w:val="auto"/>
          <w:highlight w:val="none"/>
        </w:rPr>
        <w:t>中实验室靠墙的电源、电话线、接地线、网线沿墙走接线盒，线盒高度距地面3</w:t>
      </w:r>
      <w:r>
        <w:rPr>
          <w:rFonts w:ascii="宋体" w:hAnsi="宋体"/>
          <w:color w:val="auto"/>
          <w:highlight w:val="none"/>
        </w:rPr>
        <w:t>0</w:t>
      </w:r>
      <w:r>
        <w:rPr>
          <w:rFonts w:hint="eastAsia" w:ascii="宋体" w:hAnsi="宋体"/>
          <w:color w:val="auto"/>
          <w:highlight w:val="none"/>
        </w:rPr>
        <w:t>cm（参考</w:t>
      </w: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_Ref106098682 \h</w:instrText>
      </w:r>
      <w:r>
        <w:rPr>
          <w:rFonts w:ascii="宋体" w:hAnsi="宋体"/>
          <w:color w:val="auto"/>
          <w:highlight w:val="none"/>
        </w:rPr>
        <w:instrText xml:space="preserve">  \* MERGEFORMAT </w:instrText>
      </w:r>
      <w:r>
        <w:rPr>
          <w:rFonts w:ascii="宋体" w:hAnsi="宋体"/>
          <w:color w:val="auto"/>
          <w:highlight w:val="none"/>
        </w:rPr>
        <w:fldChar w:fldCharType="separate"/>
      </w:r>
      <w:r>
        <w:rPr>
          <w:rFonts w:ascii="宋体" w:hAnsi="宋体"/>
          <w:color w:val="auto"/>
          <w:highlight w:val="none"/>
        </w:rPr>
        <w:t>图5</w:t>
      </w:r>
      <w:r>
        <w:rPr>
          <w:rFonts w:ascii="宋体" w:hAnsi="宋体"/>
          <w:color w:val="auto"/>
          <w:highlight w:val="none"/>
        </w:rPr>
        <w:fldChar w:fldCharType="end"/>
      </w:r>
      <w:r>
        <w:rPr>
          <w:rFonts w:hint="eastAsia" w:ascii="宋体" w:hAnsi="宋体"/>
          <w:color w:val="auto"/>
          <w:highlight w:val="none"/>
        </w:rPr>
        <w:t>），且不覆盖原有插座“</w:t>
      </w:r>
      <w:r>
        <w:rPr>
          <w:rFonts w:ascii="宋体" w:hAnsi="宋体"/>
          <w:color w:val="auto"/>
          <w:highlight w:val="none"/>
        </w:rPr>
        <w:drawing>
          <wp:inline distT="0" distB="0" distL="0" distR="0">
            <wp:extent cx="106680" cy="98425"/>
            <wp:effectExtent l="0" t="0" r="7620" b="1587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112171" cy="103291"/>
                    </a:xfrm>
                    <a:prstGeom prst="rect">
                      <a:avLst/>
                    </a:prstGeom>
                    <a:noFill/>
                  </pic:spPr>
                </pic:pic>
              </a:graphicData>
            </a:graphic>
          </wp:inline>
        </w:drawing>
      </w:r>
      <w:r>
        <w:rPr>
          <w:rFonts w:hint="eastAsia" w:ascii="宋体" w:hAnsi="宋体"/>
          <w:color w:val="auto"/>
          <w:highlight w:val="none"/>
        </w:rPr>
        <w:t>”；实验室中央位置电源引线从天花板垂下，具体方案由供应商给出。</w:t>
      </w:r>
    </w:p>
    <w:p>
      <w:pPr>
        <w:pStyle w:val="262"/>
        <w:numPr>
          <w:ilvl w:val="0"/>
          <w:numId w:val="22"/>
        </w:numPr>
        <w:spacing w:line="360" w:lineRule="auto"/>
        <w:ind w:firstLineChars="0"/>
        <w:rPr>
          <w:rFonts w:ascii="宋体" w:hAnsi="宋体"/>
          <w:color w:val="auto"/>
          <w:highlight w:val="none"/>
        </w:rPr>
      </w:pPr>
      <w:r>
        <w:rPr>
          <w:rFonts w:hint="eastAsia" w:ascii="宋体" w:hAnsi="宋体"/>
          <w:color w:val="auto"/>
          <w:highlight w:val="none"/>
        </w:rPr>
        <w:t>如未做特别说明，“</w:t>
      </w:r>
      <w:r>
        <w:rPr>
          <w:rFonts w:hint="eastAsia" w:ascii="宋体" w:hAnsi="宋体"/>
          <w:color w:val="auto"/>
          <w:highlight w:val="none"/>
        </w:rPr>
        <w:t>●</w:t>
      </w:r>
      <w:r>
        <w:rPr>
          <w:rFonts w:hint="eastAsia" w:ascii="宋体" w:hAnsi="宋体"/>
          <w:color w:val="auto"/>
          <w:highlight w:val="none"/>
        </w:rPr>
        <w:t>”表示安装两个</w:t>
      </w:r>
      <w:r>
        <w:rPr>
          <w:rFonts w:ascii="宋体" w:hAnsi="宋体"/>
          <w:color w:val="auto"/>
          <w:highlight w:val="none"/>
        </w:rPr>
        <w:t>220V</w:t>
      </w:r>
      <w:r>
        <w:rPr>
          <w:rFonts w:hint="eastAsia" w:ascii="宋体" w:hAnsi="宋体"/>
          <w:color w:val="auto"/>
          <w:highlight w:val="none"/>
        </w:rPr>
        <w:t>/</w:t>
      </w:r>
      <w:r>
        <w:rPr>
          <w:rFonts w:ascii="宋体" w:hAnsi="宋体"/>
          <w:color w:val="auto"/>
          <w:highlight w:val="none"/>
        </w:rPr>
        <w:t>16A插座（每个插座3口+2口）</w:t>
      </w:r>
      <w:r>
        <w:rPr>
          <w:rFonts w:hint="eastAsia" w:ascii="宋体" w:hAnsi="宋体"/>
          <w:color w:val="auto"/>
          <w:highlight w:val="none"/>
        </w:rPr>
        <w:t>和一个仪表接地接口；</w:t>
      </w:r>
    </w:p>
    <w:p>
      <w:pPr>
        <w:pStyle w:val="262"/>
        <w:numPr>
          <w:ilvl w:val="0"/>
          <w:numId w:val="22"/>
        </w:numPr>
        <w:spacing w:line="360" w:lineRule="auto"/>
        <w:ind w:firstLineChars="0"/>
        <w:rPr>
          <w:rFonts w:ascii="宋体" w:hAnsi="宋体"/>
          <w:color w:val="auto"/>
          <w:highlight w:val="none"/>
        </w:rPr>
      </w:pPr>
      <w:r>
        <w:rPr>
          <w:rFonts w:hint="eastAsia" w:ascii="宋体" w:hAnsi="宋体"/>
          <w:color w:val="auto"/>
          <w:highlight w:val="none"/>
        </w:rPr>
        <w:t>如未作特别说明每两个“</w:t>
      </w:r>
      <w:r>
        <w:rPr>
          <w:rFonts w:hint="eastAsia" w:ascii="宋体" w:hAnsi="宋体"/>
          <w:color w:val="auto"/>
          <w:highlight w:val="none"/>
        </w:rPr>
        <w:t>●</w:t>
      </w:r>
      <w:r>
        <w:rPr>
          <w:rFonts w:hint="eastAsia" w:ascii="宋体" w:hAnsi="宋体"/>
          <w:color w:val="auto"/>
          <w:highlight w:val="none"/>
        </w:rPr>
        <w:t>”共用一个回路，靠墙插座每个回路至少支持功率7KW以上（线径4mm</w:t>
      </w:r>
      <w:r>
        <w:rPr>
          <w:rFonts w:ascii="宋体" w:hAnsi="宋体"/>
          <w:color w:val="auto"/>
          <w:highlight w:val="none"/>
          <w:vertAlign w:val="superscript"/>
        </w:rPr>
        <w:t>2</w:t>
      </w:r>
      <w:r>
        <w:rPr>
          <w:rFonts w:hint="eastAsia" w:ascii="宋体" w:hAnsi="宋体"/>
          <w:color w:val="auto"/>
          <w:highlight w:val="none"/>
        </w:rPr>
        <w:t>），房间中央位置插座每个回路至少支持功率1</w:t>
      </w:r>
      <w:r>
        <w:rPr>
          <w:rFonts w:ascii="宋体" w:hAnsi="宋体"/>
          <w:color w:val="auto"/>
          <w:highlight w:val="none"/>
        </w:rPr>
        <w:t>0</w:t>
      </w:r>
      <w:r>
        <w:rPr>
          <w:rFonts w:hint="eastAsia" w:ascii="宋体" w:hAnsi="宋体"/>
          <w:color w:val="auto"/>
          <w:highlight w:val="none"/>
        </w:rPr>
        <w:t>KW以上（线径</w:t>
      </w:r>
      <w:r>
        <w:rPr>
          <w:rFonts w:ascii="宋体" w:hAnsi="宋体"/>
          <w:color w:val="auto"/>
          <w:highlight w:val="none"/>
        </w:rPr>
        <w:t>6</w:t>
      </w:r>
      <w:r>
        <w:rPr>
          <w:rFonts w:hint="eastAsia" w:ascii="宋体" w:hAnsi="宋体"/>
          <w:color w:val="auto"/>
          <w:highlight w:val="none"/>
        </w:rPr>
        <w:t>mm</w:t>
      </w:r>
      <w:r>
        <w:rPr>
          <w:rFonts w:ascii="宋体" w:hAnsi="宋体"/>
          <w:color w:val="auto"/>
          <w:highlight w:val="none"/>
          <w:vertAlign w:val="superscript"/>
        </w:rPr>
        <w:t>2</w:t>
      </w:r>
      <w:r>
        <w:rPr>
          <w:rFonts w:hint="eastAsia" w:ascii="宋体" w:hAnsi="宋体"/>
          <w:color w:val="auto"/>
          <w:highlight w:val="none"/>
        </w:rPr>
        <w:t>）；</w:t>
      </w:r>
    </w:p>
    <w:p>
      <w:pPr>
        <w:pStyle w:val="262"/>
        <w:numPr>
          <w:ilvl w:val="0"/>
          <w:numId w:val="21"/>
        </w:numPr>
        <w:spacing w:line="360" w:lineRule="auto"/>
        <w:ind w:firstLineChars="0"/>
        <w:rPr>
          <w:rFonts w:ascii="宋体" w:hAnsi="宋体"/>
          <w:color w:val="auto"/>
          <w:highlight w:val="none"/>
        </w:rPr>
      </w:pP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_Ref106175467 \h</w:instrText>
      </w:r>
      <w:r>
        <w:rPr>
          <w:rFonts w:ascii="宋体" w:hAnsi="宋体"/>
          <w:color w:val="auto"/>
          <w:highlight w:val="none"/>
        </w:rPr>
        <w:instrText xml:space="preserve">  \* MERGEFORMAT </w:instrText>
      </w:r>
      <w:r>
        <w:rPr>
          <w:rFonts w:ascii="宋体" w:hAnsi="宋体"/>
          <w:color w:val="auto"/>
          <w:highlight w:val="none"/>
        </w:rPr>
        <w:fldChar w:fldCharType="separate"/>
      </w:r>
      <w:r>
        <w:rPr>
          <w:rFonts w:ascii="宋体" w:hAnsi="宋体"/>
          <w:color w:val="auto"/>
          <w:highlight w:val="none"/>
        </w:rPr>
        <w:t>图7</w:t>
      </w:r>
      <w:r>
        <w:rPr>
          <w:rFonts w:ascii="宋体" w:hAnsi="宋体"/>
          <w:color w:val="auto"/>
          <w:highlight w:val="none"/>
        </w:rPr>
        <w:fldChar w:fldCharType="end"/>
      </w:r>
      <w:r>
        <w:rPr>
          <w:rFonts w:hint="eastAsia" w:ascii="宋体" w:hAnsi="宋体"/>
          <w:color w:val="auto"/>
          <w:highlight w:val="none"/>
        </w:rPr>
        <w:t>中电子实验室需新增仪表、防静电桌、设备的单独接地（独立于楼体接地、电源地）。如上所述，图中新增电源点位“</w:t>
      </w:r>
      <w:r>
        <w:rPr>
          <w:rFonts w:hint="eastAsia" w:ascii="宋体" w:hAnsi="宋体"/>
          <w:color w:val="auto"/>
          <w:highlight w:val="none"/>
        </w:rPr>
        <w:t>●</w:t>
      </w:r>
      <w:r>
        <w:rPr>
          <w:rFonts w:hint="eastAsia" w:ascii="宋体" w:hAnsi="宋体"/>
          <w:color w:val="auto"/>
          <w:highlight w:val="none"/>
        </w:rPr>
        <w:t>”处需配备一单独接地端口，单个接地电阻小于4欧姆。</w:t>
      </w:r>
    </w:p>
    <w:p>
      <w:pPr>
        <w:spacing w:line="360" w:lineRule="auto"/>
        <w:jc w:val="center"/>
        <w:rPr>
          <w:color w:val="auto"/>
          <w:highlight w:val="none"/>
        </w:rPr>
      </w:pPr>
      <w:r>
        <w:rPr>
          <w:color w:val="auto"/>
          <w:highlight w:val="none"/>
        </w:rPr>
        <w:drawing>
          <wp:inline distT="0" distB="0" distL="0" distR="0">
            <wp:extent cx="3763645" cy="3608070"/>
            <wp:effectExtent l="0" t="0" r="8255" b="1143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4"/>
                    <a:stretch>
                      <a:fillRect/>
                    </a:stretch>
                  </pic:blipFill>
                  <pic:spPr>
                    <a:xfrm>
                      <a:off x="0" y="0"/>
                      <a:ext cx="3800301" cy="3643366"/>
                    </a:xfrm>
                    <a:prstGeom prst="rect">
                      <a:avLst/>
                    </a:prstGeom>
                  </pic:spPr>
                </pic:pic>
              </a:graphicData>
            </a:graphic>
          </wp:inline>
        </w:drawing>
      </w:r>
    </w:p>
    <w:p>
      <w:pPr>
        <w:pStyle w:val="13"/>
        <w:spacing w:line="360" w:lineRule="auto"/>
        <w:jc w:val="center"/>
        <w:rPr>
          <w:color w:val="auto"/>
          <w:sz w:val="18"/>
          <w:szCs w:val="18"/>
          <w:highlight w:val="none"/>
        </w:rPr>
      </w:pPr>
      <w:bookmarkStart w:id="968" w:name="_Ref106175467"/>
      <w:r>
        <w:rPr>
          <w:color w:val="auto"/>
          <w:sz w:val="18"/>
          <w:szCs w:val="18"/>
          <w:highlight w:val="none"/>
        </w:rPr>
        <w:t>图</w:t>
      </w:r>
      <w:r>
        <w:rPr>
          <w:color w:val="auto"/>
          <w:sz w:val="18"/>
          <w:szCs w:val="18"/>
          <w:highlight w:val="none"/>
        </w:rPr>
        <w:fldChar w:fldCharType="begin"/>
      </w:r>
      <w:r>
        <w:rPr>
          <w:color w:val="auto"/>
          <w:sz w:val="18"/>
          <w:szCs w:val="18"/>
          <w:highlight w:val="none"/>
        </w:rPr>
        <w:instrText xml:space="preserve"> SEQ 图 \* ARABIC </w:instrText>
      </w:r>
      <w:r>
        <w:rPr>
          <w:color w:val="auto"/>
          <w:sz w:val="18"/>
          <w:szCs w:val="18"/>
          <w:highlight w:val="none"/>
        </w:rPr>
        <w:fldChar w:fldCharType="separate"/>
      </w:r>
      <w:r>
        <w:rPr>
          <w:color w:val="auto"/>
          <w:sz w:val="18"/>
          <w:szCs w:val="18"/>
          <w:highlight w:val="none"/>
        </w:rPr>
        <w:t>7</w:t>
      </w:r>
      <w:r>
        <w:rPr>
          <w:color w:val="auto"/>
          <w:sz w:val="18"/>
          <w:szCs w:val="18"/>
          <w:highlight w:val="none"/>
        </w:rPr>
        <w:fldChar w:fldCharType="end"/>
      </w:r>
      <w:bookmarkEnd w:id="968"/>
      <w:r>
        <w:rPr>
          <w:color w:val="auto"/>
          <w:sz w:val="18"/>
          <w:szCs w:val="18"/>
          <w:highlight w:val="none"/>
        </w:rPr>
        <w:t xml:space="preserve"> </w:t>
      </w:r>
      <w:r>
        <w:rPr>
          <w:rFonts w:hint="eastAsia"/>
          <w:color w:val="auto"/>
          <w:sz w:val="18"/>
          <w:szCs w:val="18"/>
          <w:highlight w:val="none"/>
        </w:rPr>
        <w:t>电子实验室装修改造示意图</w:t>
      </w:r>
    </w:p>
    <w:p>
      <w:pPr>
        <w:pStyle w:val="3"/>
        <w:jc w:val="lef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（六）机加工实验室装修改造要求：</w:t>
      </w:r>
    </w:p>
    <w:p>
      <w:pPr>
        <w:pStyle w:val="262"/>
        <w:numPr>
          <w:ilvl w:val="0"/>
          <w:numId w:val="23"/>
        </w:numPr>
        <w:spacing w:line="360" w:lineRule="auto"/>
        <w:ind w:firstLineChars="0"/>
        <w:rPr>
          <w:rFonts w:ascii="宋体" w:hAnsi="宋体"/>
          <w:color w:val="auto"/>
          <w:highlight w:val="none"/>
        </w:rPr>
      </w:pPr>
      <w:r>
        <w:rPr>
          <w:rFonts w:hint="eastAsia" w:ascii="宋体" w:hAnsi="宋体"/>
          <w:color w:val="auto"/>
          <w:highlight w:val="none"/>
        </w:rPr>
        <w:t>机加工实验室需要增加隔断和1扇防火木门；</w:t>
      </w:r>
    </w:p>
    <w:p>
      <w:pPr>
        <w:pStyle w:val="262"/>
        <w:numPr>
          <w:ilvl w:val="0"/>
          <w:numId w:val="23"/>
        </w:numPr>
        <w:spacing w:line="360" w:lineRule="auto"/>
        <w:ind w:firstLineChars="0"/>
        <w:rPr>
          <w:rFonts w:ascii="宋体" w:hAnsi="宋体"/>
          <w:color w:val="auto"/>
          <w:highlight w:val="none"/>
        </w:rPr>
      </w:pPr>
      <w:r>
        <w:rPr>
          <w:rFonts w:hint="eastAsia" w:ascii="宋体" w:hAnsi="宋体"/>
          <w:color w:val="auto"/>
          <w:highlight w:val="none"/>
        </w:rPr>
        <w:t>需增加的设施为电源插座，从生物光子实验室新增配电箱中引出，左侧1个为空调电源插座（2</w:t>
      </w:r>
      <w:r>
        <w:rPr>
          <w:rFonts w:ascii="宋体" w:hAnsi="宋体"/>
          <w:color w:val="auto"/>
          <w:highlight w:val="none"/>
        </w:rPr>
        <w:t>20</w:t>
      </w:r>
      <w:r>
        <w:rPr>
          <w:rFonts w:hint="eastAsia" w:ascii="宋体" w:hAnsi="宋体"/>
          <w:color w:val="auto"/>
          <w:highlight w:val="none"/>
        </w:rPr>
        <w:t>V/1</w:t>
      </w:r>
      <w:r>
        <w:rPr>
          <w:rFonts w:ascii="宋体" w:hAnsi="宋体"/>
          <w:color w:val="auto"/>
          <w:highlight w:val="none"/>
        </w:rPr>
        <w:t>6</w:t>
      </w:r>
      <w:r>
        <w:rPr>
          <w:rFonts w:hint="eastAsia" w:ascii="宋体" w:hAnsi="宋体"/>
          <w:color w:val="auto"/>
          <w:highlight w:val="none"/>
        </w:rPr>
        <w:t>A/接地），其余9个插座为5孔电源插孔（220/10A/接地），所有插座总功率可支持到1</w:t>
      </w:r>
      <w:r>
        <w:rPr>
          <w:rFonts w:ascii="宋体" w:hAnsi="宋体"/>
          <w:color w:val="auto"/>
          <w:highlight w:val="none"/>
        </w:rPr>
        <w:t>0</w:t>
      </w:r>
      <w:r>
        <w:rPr>
          <w:rFonts w:hint="eastAsia" w:ascii="宋体" w:hAnsi="宋体"/>
          <w:color w:val="auto"/>
          <w:highlight w:val="none"/>
        </w:rPr>
        <w:t>KW；</w:t>
      </w:r>
    </w:p>
    <w:p>
      <w:pPr>
        <w:pStyle w:val="262"/>
        <w:numPr>
          <w:ilvl w:val="0"/>
          <w:numId w:val="23"/>
        </w:numPr>
        <w:spacing w:line="360" w:lineRule="auto"/>
        <w:ind w:firstLineChars="0"/>
        <w:rPr>
          <w:rFonts w:ascii="宋体" w:hAnsi="宋体"/>
          <w:color w:val="auto"/>
          <w:highlight w:val="none"/>
        </w:rPr>
      </w:pPr>
      <w:r>
        <w:rPr>
          <w:rFonts w:hint="eastAsia" w:ascii="宋体" w:hAnsi="宋体"/>
          <w:color w:val="auto"/>
          <w:highlight w:val="none"/>
        </w:rPr>
        <w:t>空调插座距离天花板50cm,其余沿墙布置的电源接口按距地面30cm布置；</w:t>
      </w:r>
    </w:p>
    <w:p>
      <w:pPr>
        <w:pStyle w:val="262"/>
        <w:numPr>
          <w:ilvl w:val="0"/>
          <w:numId w:val="23"/>
        </w:numPr>
        <w:spacing w:line="360" w:lineRule="auto"/>
        <w:ind w:firstLineChars="0"/>
        <w:rPr>
          <w:rFonts w:ascii="宋体" w:hAnsi="宋体"/>
          <w:color w:val="auto"/>
          <w:highlight w:val="none"/>
        </w:rPr>
      </w:pPr>
      <w:r>
        <w:rPr>
          <w:rFonts w:hint="eastAsia" w:ascii="宋体" w:hAnsi="宋体"/>
          <w:color w:val="auto"/>
          <w:highlight w:val="none"/>
        </w:rPr>
        <w:t>隔断内安装一静电释放球需防静电接地。</w:t>
      </w:r>
    </w:p>
    <w:p>
      <w:pPr>
        <w:spacing w:line="360" w:lineRule="auto"/>
        <w:jc w:val="center"/>
        <w:rPr>
          <w:color w:val="auto"/>
          <w:highlight w:val="none"/>
        </w:rPr>
      </w:pPr>
      <w:r>
        <w:rPr>
          <w:color w:val="auto"/>
          <w:highlight w:val="none"/>
        </w:rPr>
        <w:drawing>
          <wp:inline distT="0" distB="0" distL="0" distR="0">
            <wp:extent cx="2917190" cy="2173605"/>
            <wp:effectExtent l="0" t="0" r="16510" b="1714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38829" cy="2189438"/>
                    </a:xfrm>
                    <a:prstGeom prst="rect">
                      <a:avLst/>
                    </a:prstGeom>
                  </pic:spPr>
                </pic:pic>
              </a:graphicData>
            </a:graphic>
          </wp:inline>
        </w:drawing>
      </w:r>
    </w:p>
    <w:p>
      <w:pPr>
        <w:pStyle w:val="13"/>
        <w:spacing w:line="360" w:lineRule="auto"/>
        <w:jc w:val="center"/>
        <w:rPr>
          <w:color w:val="auto"/>
          <w:sz w:val="18"/>
          <w:szCs w:val="18"/>
          <w:highlight w:val="none"/>
        </w:rPr>
      </w:pPr>
      <w:r>
        <w:rPr>
          <w:color w:val="auto"/>
          <w:sz w:val="18"/>
          <w:szCs w:val="18"/>
          <w:highlight w:val="none"/>
        </w:rPr>
        <w:t xml:space="preserve">图 </w:t>
      </w:r>
      <w:r>
        <w:rPr>
          <w:color w:val="auto"/>
          <w:sz w:val="18"/>
          <w:szCs w:val="18"/>
          <w:highlight w:val="none"/>
        </w:rPr>
        <w:fldChar w:fldCharType="begin"/>
      </w:r>
      <w:r>
        <w:rPr>
          <w:color w:val="auto"/>
          <w:sz w:val="18"/>
          <w:szCs w:val="18"/>
          <w:highlight w:val="none"/>
        </w:rPr>
        <w:instrText xml:space="preserve"> SEQ 图 \* ARABIC </w:instrText>
      </w:r>
      <w:r>
        <w:rPr>
          <w:color w:val="auto"/>
          <w:sz w:val="18"/>
          <w:szCs w:val="18"/>
          <w:highlight w:val="none"/>
        </w:rPr>
        <w:fldChar w:fldCharType="separate"/>
      </w:r>
      <w:r>
        <w:rPr>
          <w:color w:val="auto"/>
          <w:sz w:val="18"/>
          <w:szCs w:val="18"/>
          <w:highlight w:val="none"/>
        </w:rPr>
        <w:t>8</w:t>
      </w:r>
      <w:r>
        <w:rPr>
          <w:color w:val="auto"/>
          <w:sz w:val="18"/>
          <w:szCs w:val="18"/>
          <w:highlight w:val="none"/>
        </w:rPr>
        <w:fldChar w:fldCharType="end"/>
      </w:r>
      <w:r>
        <w:rPr>
          <w:color w:val="auto"/>
          <w:sz w:val="18"/>
          <w:szCs w:val="18"/>
          <w:highlight w:val="none"/>
        </w:rPr>
        <w:t xml:space="preserve"> </w:t>
      </w:r>
      <w:r>
        <w:rPr>
          <w:rFonts w:hint="eastAsia"/>
          <w:color w:val="auto"/>
          <w:sz w:val="18"/>
          <w:szCs w:val="18"/>
          <w:highlight w:val="none"/>
        </w:rPr>
        <w:t>机加工实验室改造示意图</w:t>
      </w:r>
    </w:p>
    <w:p>
      <w:pPr>
        <w:pStyle w:val="3"/>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（七）生物光子学实验室装修改造要求：</w:t>
      </w:r>
    </w:p>
    <w:p>
      <w:pPr>
        <w:pStyle w:val="262"/>
        <w:numPr>
          <w:ilvl w:val="0"/>
          <w:numId w:val="24"/>
        </w:numPr>
        <w:spacing w:line="360" w:lineRule="auto"/>
        <w:ind w:firstLineChars="0"/>
        <w:rPr>
          <w:rFonts w:ascii="宋体" w:hAnsi="宋体"/>
          <w:color w:val="auto"/>
          <w:highlight w:val="none"/>
        </w:rPr>
      </w:pPr>
      <w:r>
        <w:rPr>
          <w:rFonts w:hint="eastAsia" w:ascii="宋体" w:hAnsi="宋体"/>
          <w:color w:val="auto"/>
          <w:highlight w:val="none"/>
        </w:rPr>
        <w:t>新增一配电箱，配电箱置于生物光子实验室旁风机房内，容量</w:t>
      </w:r>
      <w:r>
        <w:rPr>
          <w:rFonts w:ascii="宋体" w:hAnsi="宋体"/>
          <w:color w:val="auto"/>
          <w:highlight w:val="none"/>
        </w:rPr>
        <w:t>50</w:t>
      </w:r>
      <w:r>
        <w:rPr>
          <w:rFonts w:hint="eastAsia" w:ascii="宋体" w:hAnsi="宋体"/>
          <w:color w:val="auto"/>
          <w:highlight w:val="none"/>
        </w:rPr>
        <w:t>KW以上，所需电力从楼层强电井中引出，配电箱预留2</w:t>
      </w:r>
      <w:r>
        <w:rPr>
          <w:rFonts w:ascii="宋体" w:hAnsi="宋体"/>
          <w:color w:val="auto"/>
          <w:highlight w:val="none"/>
        </w:rPr>
        <w:t>20</w:t>
      </w:r>
      <w:r>
        <w:rPr>
          <w:rFonts w:hint="eastAsia" w:ascii="宋体" w:hAnsi="宋体"/>
          <w:color w:val="auto"/>
          <w:highlight w:val="none"/>
        </w:rPr>
        <w:t>V两相电空开</w:t>
      </w:r>
      <w:r>
        <w:rPr>
          <w:rFonts w:ascii="宋体" w:hAnsi="宋体"/>
          <w:color w:val="auto"/>
          <w:highlight w:val="none"/>
        </w:rPr>
        <w:t>3</w:t>
      </w:r>
      <w:r>
        <w:rPr>
          <w:rFonts w:hint="eastAsia" w:ascii="宋体" w:hAnsi="宋体"/>
          <w:color w:val="auto"/>
          <w:highlight w:val="none"/>
        </w:rPr>
        <w:t>个。</w:t>
      </w:r>
    </w:p>
    <w:p>
      <w:pPr>
        <w:pStyle w:val="262"/>
        <w:numPr>
          <w:ilvl w:val="0"/>
          <w:numId w:val="24"/>
        </w:numPr>
        <w:spacing w:line="360" w:lineRule="auto"/>
        <w:ind w:firstLineChars="0"/>
        <w:rPr>
          <w:color w:val="auto"/>
          <w:highlight w:val="none"/>
        </w:rPr>
      </w:pPr>
      <w:r>
        <w:rPr>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_Ref106112180 \h</w:instrText>
      </w:r>
      <w:r>
        <w:rPr>
          <w:rFonts w:ascii="宋体" w:hAnsi="宋体"/>
          <w:color w:val="auto"/>
          <w:highlight w:val="none"/>
        </w:rPr>
        <w:instrText xml:space="preserve"> </w:instrText>
      </w:r>
      <w:r>
        <w:rPr>
          <w:color w:val="auto"/>
          <w:highlight w:val="none"/>
        </w:rPr>
        <w:fldChar w:fldCharType="separate"/>
      </w:r>
      <w:r>
        <w:rPr>
          <w:color w:val="auto"/>
          <w:highlight w:val="none"/>
        </w:rPr>
        <w:t>图9</w:t>
      </w:r>
      <w:r>
        <w:rPr>
          <w:color w:val="auto"/>
          <w:highlight w:val="none"/>
        </w:rPr>
        <w:fldChar w:fldCharType="end"/>
      </w:r>
      <w:r>
        <w:rPr>
          <w:rFonts w:hint="eastAsia"/>
          <w:color w:val="auto"/>
          <w:highlight w:val="none"/>
        </w:rPr>
        <w:t>中</w:t>
      </w:r>
      <w:r>
        <w:rPr>
          <w:rFonts w:hint="eastAsia" w:ascii="宋体" w:hAnsi="宋体"/>
          <w:color w:val="auto"/>
          <w:highlight w:val="none"/>
        </w:rPr>
        <w:t>“</w:t>
      </w:r>
      <w:r>
        <w:rPr>
          <w:rFonts w:hint="eastAsia" w:ascii="宋体" w:hAnsi="宋体"/>
          <w:color w:val="auto"/>
          <w:highlight w:val="none"/>
        </w:rPr>
        <w:t>●</w:t>
      </w:r>
      <w:r>
        <w:rPr>
          <w:rFonts w:hint="eastAsia" w:ascii="宋体" w:hAnsi="宋体"/>
          <w:color w:val="auto"/>
          <w:highlight w:val="none"/>
        </w:rPr>
        <w:t>”为新增电源接口和仪表单独接地接口， “</w:t>
      </w:r>
      <w:r>
        <w:rPr>
          <w:rFonts w:ascii="宋体" w:hAnsi="宋体"/>
          <w:color w:val="auto"/>
          <w:highlight w:val="none"/>
        </w:rPr>
        <w:drawing>
          <wp:inline distT="0" distB="0" distL="0" distR="0">
            <wp:extent cx="90805" cy="85725"/>
            <wp:effectExtent l="0" t="0" r="4445" b="9525"/>
            <wp:docPr id="16" name="图片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15"/>
                    <pic:cNvPicPr>
                      <a:picLocks noChangeAspect="1"/>
                    </pic:cNvPicPr>
                  </pic:nvPicPr>
                  <pic:blipFill>
                    <a:blip r:embed="rId19"/>
                    <a:stretch>
                      <a:fillRect/>
                    </a:stretch>
                  </pic:blipFill>
                  <pic:spPr>
                    <a:xfrm>
                      <a:off x="0" y="0"/>
                      <a:ext cx="96257" cy="90400"/>
                    </a:xfrm>
                    <a:prstGeom prst="rect">
                      <a:avLst/>
                    </a:prstGeom>
                  </pic:spPr>
                </pic:pic>
              </a:graphicData>
            </a:graphic>
          </wp:inline>
        </w:drawing>
      </w:r>
      <w:r>
        <w:rPr>
          <w:rFonts w:hint="eastAsia" w:ascii="宋体" w:hAnsi="宋体"/>
          <w:color w:val="auto"/>
          <w:highlight w:val="none"/>
        </w:rPr>
        <w:t>”为网线接口，相关需求说明如下：</w:t>
      </w:r>
    </w:p>
    <w:p>
      <w:pPr>
        <w:pStyle w:val="262"/>
        <w:numPr>
          <w:ilvl w:val="0"/>
          <w:numId w:val="25"/>
        </w:numPr>
        <w:spacing w:line="360" w:lineRule="auto"/>
        <w:ind w:firstLineChars="0"/>
        <w:rPr>
          <w:rFonts w:ascii="宋体" w:hAnsi="宋体"/>
          <w:color w:val="auto"/>
          <w:highlight w:val="none"/>
        </w:rPr>
      </w:pP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_Ref106112180 \h</w:instrText>
      </w:r>
      <w:r>
        <w:rPr>
          <w:rFonts w:ascii="宋体" w:hAnsi="宋体"/>
          <w:color w:val="auto"/>
          <w:highlight w:val="none"/>
        </w:rPr>
        <w:instrText xml:space="preserve"> </w:instrText>
      </w:r>
      <w:r>
        <w:rPr>
          <w:rFonts w:ascii="宋体" w:hAnsi="宋体"/>
          <w:color w:val="auto"/>
          <w:highlight w:val="none"/>
        </w:rPr>
        <w:fldChar w:fldCharType="separate"/>
      </w:r>
      <w:r>
        <w:rPr>
          <w:color w:val="auto"/>
          <w:highlight w:val="none"/>
        </w:rPr>
        <w:t>图9</w:t>
      </w:r>
      <w:r>
        <w:rPr>
          <w:rFonts w:ascii="宋体" w:hAnsi="宋体"/>
          <w:color w:val="auto"/>
          <w:highlight w:val="none"/>
        </w:rPr>
        <w:fldChar w:fldCharType="end"/>
      </w:r>
      <w:r>
        <w:rPr>
          <w:rFonts w:hint="eastAsia" w:ascii="宋体" w:hAnsi="宋体"/>
          <w:color w:val="auto"/>
          <w:highlight w:val="none"/>
        </w:rPr>
        <w:t>中实验室靠墙的电源、电话线、接地线、网线沿墙走接线盒，线盒高度距地面3</w:t>
      </w:r>
      <w:r>
        <w:rPr>
          <w:rFonts w:ascii="宋体" w:hAnsi="宋体"/>
          <w:color w:val="auto"/>
          <w:highlight w:val="none"/>
        </w:rPr>
        <w:t>0</w:t>
      </w:r>
      <w:r>
        <w:rPr>
          <w:rFonts w:hint="eastAsia" w:ascii="宋体" w:hAnsi="宋体"/>
          <w:color w:val="auto"/>
          <w:highlight w:val="none"/>
        </w:rPr>
        <w:t>cm，且不覆盖原有插座“</w:t>
      </w:r>
      <w:r>
        <w:rPr>
          <w:rFonts w:ascii="宋体" w:hAnsi="宋体"/>
          <w:color w:val="auto"/>
          <w:highlight w:val="none"/>
        </w:rPr>
        <w:drawing>
          <wp:inline distT="0" distB="0" distL="0" distR="0">
            <wp:extent cx="106680" cy="98425"/>
            <wp:effectExtent l="0" t="0" r="7620" b="1587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112171" cy="103291"/>
                    </a:xfrm>
                    <a:prstGeom prst="rect">
                      <a:avLst/>
                    </a:prstGeom>
                    <a:noFill/>
                  </pic:spPr>
                </pic:pic>
              </a:graphicData>
            </a:graphic>
          </wp:inline>
        </w:drawing>
      </w:r>
      <w:r>
        <w:rPr>
          <w:rFonts w:hint="eastAsia" w:ascii="宋体" w:hAnsi="宋体"/>
          <w:color w:val="auto"/>
          <w:highlight w:val="none"/>
        </w:rPr>
        <w:t>”（参考</w:t>
      </w: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_Ref106098682 \h</w:instrText>
      </w:r>
      <w:r>
        <w:rPr>
          <w:rFonts w:ascii="宋体" w:hAnsi="宋体"/>
          <w:color w:val="auto"/>
          <w:highlight w:val="none"/>
        </w:rPr>
        <w:instrText xml:space="preserve">  \* MERGEFORMAT </w:instrText>
      </w:r>
      <w:r>
        <w:rPr>
          <w:rFonts w:ascii="宋体" w:hAnsi="宋体"/>
          <w:color w:val="auto"/>
          <w:highlight w:val="none"/>
        </w:rPr>
        <w:fldChar w:fldCharType="separate"/>
      </w:r>
      <w:r>
        <w:rPr>
          <w:rFonts w:ascii="宋体" w:hAnsi="宋体"/>
          <w:color w:val="auto"/>
          <w:highlight w:val="none"/>
        </w:rPr>
        <w:t>图5</w:t>
      </w:r>
      <w:r>
        <w:rPr>
          <w:rFonts w:ascii="宋体" w:hAnsi="宋体"/>
          <w:color w:val="auto"/>
          <w:highlight w:val="none"/>
        </w:rPr>
        <w:fldChar w:fldCharType="end"/>
      </w:r>
      <w:r>
        <w:rPr>
          <w:rFonts w:hint="eastAsia" w:ascii="宋体" w:hAnsi="宋体"/>
          <w:color w:val="auto"/>
          <w:highlight w:val="none"/>
        </w:rPr>
        <w:t>）；实验室中央位置电源、接地从天花板垂下，具体方案由供应商给出。</w:t>
      </w:r>
    </w:p>
    <w:p>
      <w:pPr>
        <w:pStyle w:val="262"/>
        <w:numPr>
          <w:ilvl w:val="0"/>
          <w:numId w:val="25"/>
        </w:numPr>
        <w:spacing w:line="360" w:lineRule="auto"/>
        <w:ind w:firstLineChars="0"/>
        <w:rPr>
          <w:rFonts w:ascii="宋体" w:hAnsi="宋体"/>
          <w:color w:val="auto"/>
          <w:highlight w:val="none"/>
        </w:rPr>
      </w:pPr>
      <w:r>
        <w:rPr>
          <w:rFonts w:hint="eastAsia" w:ascii="宋体" w:hAnsi="宋体"/>
          <w:color w:val="auto"/>
          <w:highlight w:val="none"/>
        </w:rPr>
        <w:t>如未做特别说明，“</w:t>
      </w:r>
      <w:r>
        <w:rPr>
          <w:rFonts w:hint="eastAsia" w:ascii="宋体" w:hAnsi="宋体"/>
          <w:color w:val="auto"/>
          <w:highlight w:val="none"/>
        </w:rPr>
        <w:t>●</w:t>
      </w:r>
      <w:r>
        <w:rPr>
          <w:rFonts w:hint="eastAsia" w:ascii="宋体" w:hAnsi="宋体"/>
          <w:color w:val="auto"/>
          <w:highlight w:val="none"/>
        </w:rPr>
        <w:t>”表示安装两个</w:t>
      </w:r>
      <w:r>
        <w:rPr>
          <w:rFonts w:ascii="宋体" w:hAnsi="宋体"/>
          <w:color w:val="auto"/>
          <w:highlight w:val="none"/>
        </w:rPr>
        <w:t>220V</w:t>
      </w:r>
      <w:r>
        <w:rPr>
          <w:rFonts w:hint="eastAsia" w:ascii="宋体" w:hAnsi="宋体"/>
          <w:color w:val="auto"/>
          <w:highlight w:val="none"/>
        </w:rPr>
        <w:t>/</w:t>
      </w:r>
      <w:r>
        <w:rPr>
          <w:rFonts w:ascii="宋体" w:hAnsi="宋体"/>
          <w:color w:val="auto"/>
          <w:highlight w:val="none"/>
        </w:rPr>
        <w:t>16A插座（每个插座3口+2口）</w:t>
      </w:r>
      <w:r>
        <w:rPr>
          <w:rFonts w:hint="eastAsia" w:ascii="宋体" w:hAnsi="宋体"/>
          <w:color w:val="auto"/>
          <w:highlight w:val="none"/>
        </w:rPr>
        <w:t>和一个仪表接地接口；</w:t>
      </w:r>
    </w:p>
    <w:p>
      <w:pPr>
        <w:pStyle w:val="262"/>
        <w:numPr>
          <w:ilvl w:val="0"/>
          <w:numId w:val="25"/>
        </w:numPr>
        <w:spacing w:line="360" w:lineRule="auto"/>
        <w:ind w:firstLineChars="0"/>
        <w:rPr>
          <w:rFonts w:ascii="宋体" w:hAnsi="宋体"/>
          <w:color w:val="auto"/>
          <w:highlight w:val="none"/>
        </w:rPr>
      </w:pPr>
      <w:r>
        <w:rPr>
          <w:rFonts w:hint="eastAsia" w:ascii="宋体" w:hAnsi="宋体"/>
          <w:color w:val="auto"/>
          <w:highlight w:val="none"/>
        </w:rPr>
        <w:t>如未作特别说明每两个“</w:t>
      </w:r>
      <w:r>
        <w:rPr>
          <w:rFonts w:hint="eastAsia" w:ascii="宋体" w:hAnsi="宋体"/>
          <w:color w:val="auto"/>
          <w:highlight w:val="none"/>
        </w:rPr>
        <w:t>●</w:t>
      </w:r>
      <w:r>
        <w:rPr>
          <w:rFonts w:hint="eastAsia" w:ascii="宋体" w:hAnsi="宋体"/>
          <w:color w:val="auto"/>
          <w:highlight w:val="none"/>
        </w:rPr>
        <w:t>”共用一个回路，靠墙插座每个回路至少支持功率7KW以上（线径4mm</w:t>
      </w:r>
      <w:r>
        <w:rPr>
          <w:rFonts w:ascii="宋体" w:hAnsi="宋体"/>
          <w:color w:val="auto"/>
          <w:highlight w:val="none"/>
          <w:vertAlign w:val="superscript"/>
        </w:rPr>
        <w:t>2</w:t>
      </w:r>
      <w:r>
        <w:rPr>
          <w:rFonts w:hint="eastAsia" w:ascii="宋体" w:hAnsi="宋体"/>
          <w:color w:val="auto"/>
          <w:highlight w:val="none"/>
        </w:rPr>
        <w:t>），房间中央位置插座每个回路至少支持功率1</w:t>
      </w:r>
      <w:r>
        <w:rPr>
          <w:rFonts w:ascii="宋体" w:hAnsi="宋体"/>
          <w:color w:val="auto"/>
          <w:highlight w:val="none"/>
        </w:rPr>
        <w:t>0</w:t>
      </w:r>
      <w:r>
        <w:rPr>
          <w:rFonts w:hint="eastAsia" w:ascii="宋体" w:hAnsi="宋体"/>
          <w:color w:val="auto"/>
          <w:highlight w:val="none"/>
        </w:rPr>
        <w:t>KW以上（线径</w:t>
      </w:r>
      <w:r>
        <w:rPr>
          <w:rFonts w:ascii="宋体" w:hAnsi="宋体"/>
          <w:color w:val="auto"/>
          <w:highlight w:val="none"/>
        </w:rPr>
        <w:t>6</w:t>
      </w:r>
      <w:r>
        <w:rPr>
          <w:rFonts w:hint="eastAsia" w:ascii="宋体" w:hAnsi="宋体"/>
          <w:color w:val="auto"/>
          <w:highlight w:val="none"/>
        </w:rPr>
        <w:t>mm</w:t>
      </w:r>
      <w:r>
        <w:rPr>
          <w:rFonts w:ascii="宋体" w:hAnsi="宋体"/>
          <w:color w:val="auto"/>
          <w:highlight w:val="none"/>
          <w:vertAlign w:val="superscript"/>
        </w:rPr>
        <w:t>2</w:t>
      </w:r>
      <w:r>
        <w:rPr>
          <w:rFonts w:hint="eastAsia" w:ascii="宋体" w:hAnsi="宋体"/>
          <w:color w:val="auto"/>
          <w:highlight w:val="none"/>
        </w:rPr>
        <w:t>）；</w:t>
      </w:r>
    </w:p>
    <w:p>
      <w:pPr>
        <w:pStyle w:val="262"/>
        <w:numPr>
          <w:ilvl w:val="0"/>
          <w:numId w:val="25"/>
        </w:numPr>
        <w:spacing w:line="360" w:lineRule="auto"/>
        <w:ind w:firstLineChars="0"/>
        <w:rPr>
          <w:rFonts w:ascii="宋体" w:hAnsi="宋体"/>
          <w:color w:val="auto"/>
          <w:highlight w:val="none"/>
        </w:rPr>
      </w:pP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_Ref106112180 \h</w:instrText>
      </w:r>
      <w:r>
        <w:rPr>
          <w:rFonts w:ascii="宋体" w:hAnsi="宋体"/>
          <w:color w:val="auto"/>
          <w:highlight w:val="none"/>
        </w:rPr>
        <w:instrText xml:space="preserve"> </w:instrText>
      </w:r>
      <w:r>
        <w:rPr>
          <w:rFonts w:ascii="宋体" w:hAnsi="宋体"/>
          <w:color w:val="auto"/>
          <w:highlight w:val="none"/>
        </w:rPr>
        <w:fldChar w:fldCharType="separate"/>
      </w:r>
      <w:r>
        <w:rPr>
          <w:color w:val="auto"/>
          <w:highlight w:val="none"/>
        </w:rPr>
        <w:t>图9</w:t>
      </w:r>
      <w:r>
        <w:rPr>
          <w:rFonts w:ascii="宋体" w:hAnsi="宋体"/>
          <w:color w:val="auto"/>
          <w:highlight w:val="none"/>
        </w:rPr>
        <w:fldChar w:fldCharType="end"/>
      </w:r>
      <w:r>
        <w:rPr>
          <w:rFonts w:hint="eastAsia" w:ascii="宋体" w:hAnsi="宋体"/>
          <w:color w:val="auto"/>
          <w:highlight w:val="none"/>
        </w:rPr>
        <w:t>左测虚线框位置的“</w:t>
      </w:r>
      <w:r>
        <w:rPr>
          <w:rFonts w:hint="eastAsia" w:ascii="宋体" w:hAnsi="宋体"/>
          <w:color w:val="auto"/>
          <w:highlight w:val="none"/>
        </w:rPr>
        <w:t>●</w:t>
      </w:r>
      <w:r>
        <w:rPr>
          <w:rFonts w:hint="eastAsia" w:ascii="宋体" w:hAnsi="宋体"/>
          <w:color w:val="auto"/>
          <w:highlight w:val="none"/>
        </w:rPr>
        <w:t>”表示为一个7KW以上功率2</w:t>
      </w:r>
      <w:r>
        <w:rPr>
          <w:rFonts w:ascii="宋体" w:hAnsi="宋体"/>
          <w:color w:val="auto"/>
          <w:highlight w:val="none"/>
        </w:rPr>
        <w:t>20</w:t>
      </w:r>
      <w:r>
        <w:rPr>
          <w:rFonts w:hint="eastAsia" w:ascii="宋体" w:hAnsi="宋体"/>
          <w:color w:val="auto"/>
          <w:highlight w:val="none"/>
        </w:rPr>
        <w:t>V两相空开，一个</w:t>
      </w:r>
      <w:r>
        <w:rPr>
          <w:rFonts w:ascii="宋体" w:hAnsi="宋体"/>
          <w:color w:val="auto"/>
          <w:highlight w:val="none"/>
        </w:rPr>
        <w:t>10</w:t>
      </w:r>
      <w:r>
        <w:rPr>
          <w:rFonts w:hint="eastAsia" w:ascii="宋体" w:hAnsi="宋体"/>
          <w:color w:val="auto"/>
          <w:highlight w:val="none"/>
        </w:rPr>
        <w:t>KW以上2</w:t>
      </w:r>
      <w:r>
        <w:rPr>
          <w:rFonts w:ascii="宋体" w:hAnsi="宋体"/>
          <w:color w:val="auto"/>
          <w:highlight w:val="none"/>
        </w:rPr>
        <w:t>20</w:t>
      </w:r>
      <w:r>
        <w:rPr>
          <w:rFonts w:hint="eastAsia" w:ascii="宋体" w:hAnsi="宋体"/>
          <w:color w:val="auto"/>
          <w:highlight w:val="none"/>
        </w:rPr>
        <w:t>V两相空开和一个仪表接地接口，每个空开单独一个回路；</w:t>
      </w:r>
    </w:p>
    <w:p>
      <w:pPr>
        <w:pStyle w:val="262"/>
        <w:numPr>
          <w:ilvl w:val="0"/>
          <w:numId w:val="24"/>
        </w:numPr>
        <w:spacing w:line="360" w:lineRule="auto"/>
        <w:ind w:firstLineChars="0"/>
        <w:rPr>
          <w:rFonts w:ascii="宋体" w:hAnsi="宋体"/>
          <w:color w:val="auto"/>
          <w:highlight w:val="none"/>
        </w:rPr>
      </w:pP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_Ref106112180 \h</w:instrText>
      </w:r>
      <w:r>
        <w:rPr>
          <w:rFonts w:ascii="宋体" w:hAnsi="宋体"/>
          <w:color w:val="auto"/>
          <w:highlight w:val="none"/>
        </w:rPr>
        <w:instrText xml:space="preserve"> </w:instrText>
      </w:r>
      <w:r>
        <w:rPr>
          <w:rFonts w:ascii="宋体" w:hAnsi="宋体"/>
          <w:color w:val="auto"/>
          <w:highlight w:val="none"/>
        </w:rPr>
        <w:fldChar w:fldCharType="separate"/>
      </w:r>
      <w:r>
        <w:rPr>
          <w:color w:val="auto"/>
          <w:highlight w:val="none"/>
        </w:rPr>
        <w:t>图9</w:t>
      </w:r>
      <w:r>
        <w:rPr>
          <w:rFonts w:ascii="宋体" w:hAnsi="宋体"/>
          <w:color w:val="auto"/>
          <w:highlight w:val="none"/>
        </w:rPr>
        <w:fldChar w:fldCharType="end"/>
      </w:r>
      <w:r>
        <w:rPr>
          <w:rFonts w:hint="eastAsia" w:ascii="宋体" w:hAnsi="宋体"/>
          <w:color w:val="auto"/>
          <w:highlight w:val="none"/>
        </w:rPr>
        <w:t>中生物光子实验室需新增仪表、防静电桌、设备的单独接地（独立于楼体接地、电源地）。如上所述，图中新增电源点位“</w:t>
      </w:r>
      <w:r>
        <w:rPr>
          <w:rFonts w:hint="eastAsia" w:ascii="宋体" w:hAnsi="宋体"/>
          <w:color w:val="auto"/>
          <w:highlight w:val="none"/>
        </w:rPr>
        <w:t>●</w:t>
      </w:r>
      <w:r>
        <w:rPr>
          <w:rFonts w:hint="eastAsia" w:ascii="宋体" w:hAnsi="宋体"/>
          <w:color w:val="auto"/>
          <w:highlight w:val="none"/>
        </w:rPr>
        <w:t>”处皆需配备一单独接地端口，单个接地电阻小于4欧姆。</w:t>
      </w:r>
    </w:p>
    <w:p>
      <w:pPr>
        <w:pStyle w:val="262"/>
        <w:spacing w:line="360" w:lineRule="auto"/>
        <w:ind w:firstLine="0" w:firstLineChars="0"/>
        <w:jc w:val="center"/>
        <w:rPr>
          <w:color w:val="auto"/>
          <w:highlight w:val="none"/>
        </w:rPr>
      </w:pPr>
      <w:r>
        <w:rPr>
          <w:color w:val="auto"/>
          <w:highlight w:val="none"/>
        </w:rPr>
        <w:drawing>
          <wp:inline distT="0" distB="0" distL="0" distR="0">
            <wp:extent cx="3298190" cy="2103755"/>
            <wp:effectExtent l="0" t="0" r="16510" b="10795"/>
            <wp:docPr id="198" name="图片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98"/>
                    <pic:cNvPicPr>
                      <a:picLocks noChangeAspect="1"/>
                    </pic:cNvPicPr>
                  </pic:nvPicPr>
                  <pic:blipFill>
                    <a:blip r:embed="rId26"/>
                    <a:stretch>
                      <a:fillRect/>
                    </a:stretch>
                  </pic:blipFill>
                  <pic:spPr>
                    <a:xfrm>
                      <a:off x="0" y="0"/>
                      <a:ext cx="3311044" cy="2112356"/>
                    </a:xfrm>
                    <a:prstGeom prst="rect">
                      <a:avLst/>
                    </a:prstGeom>
                  </pic:spPr>
                </pic:pic>
              </a:graphicData>
            </a:graphic>
          </wp:inline>
        </w:drawing>
      </w:r>
    </w:p>
    <w:p>
      <w:pPr>
        <w:pStyle w:val="13"/>
        <w:spacing w:line="360" w:lineRule="auto"/>
        <w:jc w:val="center"/>
        <w:rPr>
          <w:color w:val="auto"/>
          <w:highlight w:val="none"/>
        </w:rPr>
      </w:pPr>
      <w:bookmarkStart w:id="969" w:name="_Ref106112180"/>
      <w:r>
        <w:rPr>
          <w:color w:val="auto"/>
          <w:highlight w:val="none"/>
        </w:rPr>
        <w:t>图</w:t>
      </w:r>
      <w:r>
        <w:rPr>
          <w:color w:val="auto"/>
          <w:highlight w:val="none"/>
        </w:rPr>
        <w:fldChar w:fldCharType="begin"/>
      </w:r>
      <w:r>
        <w:rPr>
          <w:color w:val="auto"/>
          <w:highlight w:val="none"/>
        </w:rPr>
        <w:instrText xml:space="preserve"> SEQ 图 \* ARABIC </w:instrText>
      </w:r>
      <w:r>
        <w:rPr>
          <w:color w:val="auto"/>
          <w:highlight w:val="none"/>
        </w:rPr>
        <w:fldChar w:fldCharType="separate"/>
      </w:r>
      <w:r>
        <w:rPr>
          <w:color w:val="auto"/>
          <w:highlight w:val="none"/>
        </w:rPr>
        <w:t>9</w:t>
      </w:r>
      <w:r>
        <w:rPr>
          <w:color w:val="auto"/>
          <w:highlight w:val="none"/>
        </w:rPr>
        <w:fldChar w:fldCharType="end"/>
      </w:r>
      <w:bookmarkEnd w:id="969"/>
      <w:r>
        <w:rPr>
          <w:color w:val="auto"/>
          <w:highlight w:val="none"/>
        </w:rPr>
        <w:t xml:space="preserve"> </w:t>
      </w:r>
      <w:r>
        <w:rPr>
          <w:rFonts w:hint="eastAsia"/>
          <w:color w:val="auto"/>
          <w:highlight w:val="none"/>
        </w:rPr>
        <w:t>生物光子学实验室装修改造示意图</w:t>
      </w:r>
    </w:p>
    <w:p>
      <w:pPr>
        <w:pStyle w:val="3"/>
        <w:jc w:val="left"/>
        <w:rPr>
          <w:color w:val="auto"/>
          <w:sz w:val="21"/>
          <w:szCs w:val="21"/>
          <w:highlight w:val="none"/>
        </w:rPr>
      </w:pPr>
      <w:r>
        <w:rPr>
          <w:rFonts w:hint="eastAsia" w:ascii="宋体" w:hAnsi="宋体" w:eastAsia="宋体" w:cs="宋体"/>
          <w:color w:val="auto"/>
          <w:sz w:val="21"/>
          <w:szCs w:val="21"/>
          <w:highlight w:val="none"/>
        </w:rPr>
        <w:t>（八）公共平台实验室装修改造要求：</w:t>
      </w:r>
    </w:p>
    <w:p>
      <w:pPr>
        <w:pStyle w:val="262"/>
        <w:numPr>
          <w:ilvl w:val="0"/>
          <w:numId w:val="26"/>
        </w:numPr>
        <w:spacing w:line="360" w:lineRule="auto"/>
        <w:ind w:firstLineChars="0"/>
        <w:rPr>
          <w:rFonts w:ascii="宋体" w:hAnsi="宋体"/>
          <w:color w:val="auto"/>
          <w:highlight w:val="none"/>
        </w:rPr>
      </w:pPr>
      <w:r>
        <w:rPr>
          <w:rFonts w:hint="eastAsia" w:ascii="宋体" w:hAnsi="宋体"/>
          <w:color w:val="auto"/>
          <w:highlight w:val="none"/>
        </w:rPr>
        <w:t>新增一配电箱，配电箱置于公共平台实验室内，容量</w:t>
      </w:r>
      <w:r>
        <w:rPr>
          <w:rFonts w:ascii="宋体" w:hAnsi="宋体"/>
          <w:color w:val="auto"/>
          <w:highlight w:val="none"/>
        </w:rPr>
        <w:t>30</w:t>
      </w:r>
      <w:r>
        <w:rPr>
          <w:rFonts w:hint="eastAsia" w:ascii="宋体" w:hAnsi="宋体"/>
          <w:color w:val="auto"/>
          <w:highlight w:val="none"/>
        </w:rPr>
        <w:t>KW以上，所需电力从楼层强电井中引出，配电箱预留2</w:t>
      </w:r>
      <w:r>
        <w:rPr>
          <w:rFonts w:ascii="宋体" w:hAnsi="宋体"/>
          <w:color w:val="auto"/>
          <w:highlight w:val="none"/>
        </w:rPr>
        <w:t>20</w:t>
      </w:r>
      <w:r>
        <w:rPr>
          <w:rFonts w:hint="eastAsia" w:ascii="宋体" w:hAnsi="宋体"/>
          <w:color w:val="auto"/>
          <w:highlight w:val="none"/>
        </w:rPr>
        <w:t>V两相电空开</w:t>
      </w:r>
      <w:r>
        <w:rPr>
          <w:rFonts w:ascii="宋体" w:hAnsi="宋体"/>
          <w:color w:val="auto"/>
          <w:highlight w:val="none"/>
        </w:rPr>
        <w:t>3</w:t>
      </w:r>
      <w:r>
        <w:rPr>
          <w:rFonts w:hint="eastAsia" w:ascii="宋体" w:hAnsi="宋体"/>
          <w:color w:val="auto"/>
          <w:highlight w:val="none"/>
        </w:rPr>
        <w:t>个。</w:t>
      </w:r>
    </w:p>
    <w:p>
      <w:pPr>
        <w:pStyle w:val="262"/>
        <w:numPr>
          <w:ilvl w:val="0"/>
          <w:numId w:val="26"/>
        </w:numPr>
        <w:spacing w:line="360" w:lineRule="auto"/>
        <w:ind w:firstLineChars="0"/>
        <w:rPr>
          <w:color w:val="auto"/>
          <w:highlight w:val="none"/>
        </w:rPr>
      </w:pPr>
      <w:r>
        <w:rPr>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_Ref106113307 \h</w:instrText>
      </w:r>
      <w:r>
        <w:rPr>
          <w:rFonts w:ascii="宋体" w:hAnsi="宋体"/>
          <w:color w:val="auto"/>
          <w:highlight w:val="none"/>
        </w:rPr>
        <w:instrText xml:space="preserve"> </w:instrText>
      </w:r>
      <w:r>
        <w:rPr>
          <w:color w:val="auto"/>
          <w:highlight w:val="none"/>
        </w:rPr>
        <w:fldChar w:fldCharType="separate"/>
      </w:r>
      <w:r>
        <w:rPr>
          <w:color w:val="auto"/>
          <w:highlight w:val="none"/>
        </w:rPr>
        <w:t>图10</w:t>
      </w:r>
      <w:r>
        <w:rPr>
          <w:color w:val="auto"/>
          <w:highlight w:val="none"/>
        </w:rPr>
        <w:fldChar w:fldCharType="end"/>
      </w:r>
      <w:r>
        <w:rPr>
          <w:rFonts w:hint="eastAsia"/>
          <w:color w:val="auto"/>
          <w:highlight w:val="none"/>
        </w:rPr>
        <w:t>中</w:t>
      </w:r>
      <w:r>
        <w:rPr>
          <w:rFonts w:hint="eastAsia" w:ascii="宋体" w:hAnsi="宋体"/>
          <w:color w:val="auto"/>
          <w:highlight w:val="none"/>
        </w:rPr>
        <w:t>“</w:t>
      </w:r>
      <w:r>
        <w:rPr>
          <w:rFonts w:hint="eastAsia" w:ascii="宋体" w:hAnsi="宋体"/>
          <w:color w:val="auto"/>
          <w:highlight w:val="none"/>
        </w:rPr>
        <w:t>●</w:t>
      </w:r>
      <w:r>
        <w:rPr>
          <w:rFonts w:hint="eastAsia" w:ascii="宋体" w:hAnsi="宋体"/>
          <w:color w:val="auto"/>
          <w:highlight w:val="none"/>
        </w:rPr>
        <w:t>”为新增电源接口和仪表单独接地接口，“</w:t>
      </w:r>
      <w:r>
        <w:rPr>
          <w:rFonts w:ascii="宋体" w:hAnsi="宋体"/>
          <w:color w:val="auto"/>
          <w:highlight w:val="none"/>
        </w:rPr>
        <w:drawing>
          <wp:inline distT="0" distB="0" distL="0" distR="0">
            <wp:extent cx="127635" cy="87630"/>
            <wp:effectExtent l="0" t="0" r="5715" b="7620"/>
            <wp:docPr id="19" name="图片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16"/>
                    <pic:cNvPicPr>
                      <a:picLocks noChangeAspect="1"/>
                    </pic:cNvPicPr>
                  </pic:nvPicPr>
                  <pic:blipFill>
                    <a:blip r:embed="rId18"/>
                    <a:stretch>
                      <a:fillRect/>
                    </a:stretch>
                  </pic:blipFill>
                  <pic:spPr>
                    <a:xfrm>
                      <a:off x="0" y="0"/>
                      <a:ext cx="135743" cy="93616"/>
                    </a:xfrm>
                    <a:prstGeom prst="rect">
                      <a:avLst/>
                    </a:prstGeom>
                  </pic:spPr>
                </pic:pic>
              </a:graphicData>
            </a:graphic>
          </wp:inline>
        </w:drawing>
      </w:r>
      <w:r>
        <w:rPr>
          <w:rFonts w:hint="eastAsia" w:ascii="宋体" w:hAnsi="宋体"/>
          <w:color w:val="auto"/>
          <w:highlight w:val="none"/>
        </w:rPr>
        <w:t>”为电话线接口，“</w:t>
      </w:r>
      <w:r>
        <w:rPr>
          <w:rFonts w:ascii="宋体" w:hAnsi="宋体"/>
          <w:color w:val="auto"/>
          <w:highlight w:val="none"/>
        </w:rPr>
        <w:drawing>
          <wp:inline distT="0" distB="0" distL="0" distR="0">
            <wp:extent cx="90805" cy="85725"/>
            <wp:effectExtent l="0" t="0" r="4445" b="9525"/>
            <wp:docPr id="20" name="图片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15"/>
                    <pic:cNvPicPr>
                      <a:picLocks noChangeAspect="1"/>
                    </pic:cNvPicPr>
                  </pic:nvPicPr>
                  <pic:blipFill>
                    <a:blip r:embed="rId19"/>
                    <a:stretch>
                      <a:fillRect/>
                    </a:stretch>
                  </pic:blipFill>
                  <pic:spPr>
                    <a:xfrm>
                      <a:off x="0" y="0"/>
                      <a:ext cx="96257" cy="90400"/>
                    </a:xfrm>
                    <a:prstGeom prst="rect">
                      <a:avLst/>
                    </a:prstGeom>
                  </pic:spPr>
                </pic:pic>
              </a:graphicData>
            </a:graphic>
          </wp:inline>
        </w:drawing>
      </w:r>
      <w:r>
        <w:rPr>
          <w:rFonts w:hint="eastAsia" w:ascii="宋体" w:hAnsi="宋体"/>
          <w:color w:val="auto"/>
          <w:highlight w:val="none"/>
        </w:rPr>
        <w:t>”为网线接口，相关需求说明如下：</w:t>
      </w:r>
    </w:p>
    <w:p>
      <w:pPr>
        <w:pStyle w:val="262"/>
        <w:numPr>
          <w:ilvl w:val="0"/>
          <w:numId w:val="27"/>
        </w:numPr>
        <w:spacing w:line="360" w:lineRule="auto"/>
        <w:ind w:firstLineChars="0"/>
        <w:rPr>
          <w:rFonts w:ascii="宋体" w:hAnsi="宋体"/>
          <w:color w:val="auto"/>
          <w:highlight w:val="none"/>
        </w:rPr>
      </w:pP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_Ref106113307 \h</w:instrText>
      </w:r>
      <w:r>
        <w:rPr>
          <w:rFonts w:ascii="宋体" w:hAnsi="宋体"/>
          <w:color w:val="auto"/>
          <w:highlight w:val="none"/>
        </w:rPr>
        <w:instrText xml:space="preserve"> </w:instrText>
      </w:r>
      <w:r>
        <w:rPr>
          <w:rFonts w:ascii="宋体" w:hAnsi="宋体"/>
          <w:color w:val="auto"/>
          <w:highlight w:val="none"/>
        </w:rPr>
        <w:fldChar w:fldCharType="separate"/>
      </w:r>
      <w:r>
        <w:rPr>
          <w:color w:val="auto"/>
          <w:highlight w:val="none"/>
        </w:rPr>
        <w:t>图10</w:t>
      </w:r>
      <w:r>
        <w:rPr>
          <w:rFonts w:ascii="宋体" w:hAnsi="宋体"/>
          <w:color w:val="auto"/>
          <w:highlight w:val="none"/>
        </w:rPr>
        <w:fldChar w:fldCharType="end"/>
      </w:r>
      <w:r>
        <w:rPr>
          <w:rFonts w:hint="eastAsia" w:ascii="宋体" w:hAnsi="宋体"/>
          <w:color w:val="auto"/>
          <w:highlight w:val="none"/>
        </w:rPr>
        <w:t>中实验室靠墙的电源、电话线、接地线、网线沿墙走接线盒，线盒高度距地面3</w:t>
      </w:r>
      <w:r>
        <w:rPr>
          <w:rFonts w:ascii="宋体" w:hAnsi="宋体"/>
          <w:color w:val="auto"/>
          <w:highlight w:val="none"/>
        </w:rPr>
        <w:t>0</w:t>
      </w:r>
      <w:r>
        <w:rPr>
          <w:rFonts w:hint="eastAsia" w:ascii="宋体" w:hAnsi="宋体"/>
          <w:color w:val="auto"/>
          <w:highlight w:val="none"/>
        </w:rPr>
        <w:t>cm，且不覆盖原有插座“</w:t>
      </w:r>
      <w:r>
        <w:rPr>
          <w:rFonts w:ascii="宋体" w:hAnsi="宋体"/>
          <w:color w:val="auto"/>
          <w:highlight w:val="none"/>
        </w:rPr>
        <w:drawing>
          <wp:inline distT="0" distB="0" distL="0" distR="0">
            <wp:extent cx="106680" cy="98425"/>
            <wp:effectExtent l="0" t="0" r="7620" b="1587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112171" cy="103291"/>
                    </a:xfrm>
                    <a:prstGeom prst="rect">
                      <a:avLst/>
                    </a:prstGeom>
                    <a:noFill/>
                  </pic:spPr>
                </pic:pic>
              </a:graphicData>
            </a:graphic>
          </wp:inline>
        </w:drawing>
      </w:r>
      <w:r>
        <w:rPr>
          <w:rFonts w:hint="eastAsia" w:ascii="宋体" w:hAnsi="宋体"/>
          <w:color w:val="auto"/>
          <w:highlight w:val="none"/>
        </w:rPr>
        <w:t>”（参考</w:t>
      </w: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_Ref106098682 \h</w:instrText>
      </w:r>
      <w:r>
        <w:rPr>
          <w:rFonts w:ascii="宋体" w:hAnsi="宋体"/>
          <w:color w:val="auto"/>
          <w:highlight w:val="none"/>
        </w:rPr>
        <w:instrText xml:space="preserve">  \* MERGEFORMAT </w:instrText>
      </w:r>
      <w:r>
        <w:rPr>
          <w:rFonts w:ascii="宋体" w:hAnsi="宋体"/>
          <w:color w:val="auto"/>
          <w:highlight w:val="none"/>
        </w:rPr>
        <w:fldChar w:fldCharType="separate"/>
      </w:r>
      <w:r>
        <w:rPr>
          <w:rFonts w:ascii="宋体" w:hAnsi="宋体"/>
          <w:color w:val="auto"/>
          <w:highlight w:val="none"/>
        </w:rPr>
        <w:t>图5</w:t>
      </w:r>
      <w:r>
        <w:rPr>
          <w:rFonts w:ascii="宋体" w:hAnsi="宋体"/>
          <w:color w:val="auto"/>
          <w:highlight w:val="none"/>
        </w:rPr>
        <w:fldChar w:fldCharType="end"/>
      </w:r>
      <w:r>
        <w:rPr>
          <w:rFonts w:hint="eastAsia" w:ascii="宋体" w:hAnsi="宋体"/>
          <w:color w:val="auto"/>
          <w:highlight w:val="none"/>
        </w:rPr>
        <w:t>）；实验室中央位置电源、接地、网线从天花板垂下，具体方案由供应商给出。</w:t>
      </w:r>
    </w:p>
    <w:p>
      <w:pPr>
        <w:pStyle w:val="262"/>
        <w:numPr>
          <w:ilvl w:val="0"/>
          <w:numId w:val="27"/>
        </w:numPr>
        <w:spacing w:line="360" w:lineRule="auto"/>
        <w:ind w:firstLineChars="0"/>
        <w:rPr>
          <w:rFonts w:ascii="宋体" w:hAnsi="宋体"/>
          <w:color w:val="auto"/>
          <w:highlight w:val="none"/>
        </w:rPr>
      </w:pPr>
      <w:r>
        <w:rPr>
          <w:rFonts w:hint="eastAsia" w:ascii="宋体" w:hAnsi="宋体"/>
          <w:color w:val="auto"/>
          <w:highlight w:val="none"/>
        </w:rPr>
        <w:t>如未做特别说明，“</w:t>
      </w:r>
      <w:r>
        <w:rPr>
          <w:rFonts w:hint="eastAsia" w:ascii="宋体" w:hAnsi="宋体"/>
          <w:color w:val="auto"/>
          <w:highlight w:val="none"/>
        </w:rPr>
        <w:t>●</w:t>
      </w:r>
      <w:r>
        <w:rPr>
          <w:rFonts w:hint="eastAsia" w:ascii="宋体" w:hAnsi="宋体"/>
          <w:color w:val="auto"/>
          <w:highlight w:val="none"/>
        </w:rPr>
        <w:t>”表示安装两个</w:t>
      </w:r>
      <w:r>
        <w:rPr>
          <w:rFonts w:ascii="宋体" w:hAnsi="宋体"/>
          <w:color w:val="auto"/>
          <w:highlight w:val="none"/>
        </w:rPr>
        <w:t>220V</w:t>
      </w:r>
      <w:r>
        <w:rPr>
          <w:rFonts w:hint="eastAsia" w:ascii="宋体" w:hAnsi="宋体"/>
          <w:color w:val="auto"/>
          <w:highlight w:val="none"/>
        </w:rPr>
        <w:t>/</w:t>
      </w:r>
      <w:r>
        <w:rPr>
          <w:rFonts w:ascii="宋体" w:hAnsi="宋体"/>
          <w:color w:val="auto"/>
          <w:highlight w:val="none"/>
        </w:rPr>
        <w:t>16A插座（每个插座3口+2口）</w:t>
      </w:r>
      <w:r>
        <w:rPr>
          <w:rFonts w:hint="eastAsia" w:ascii="宋体" w:hAnsi="宋体"/>
          <w:color w:val="auto"/>
          <w:highlight w:val="none"/>
        </w:rPr>
        <w:t>和一个仪表接地接口；</w:t>
      </w:r>
    </w:p>
    <w:p>
      <w:pPr>
        <w:pStyle w:val="262"/>
        <w:numPr>
          <w:ilvl w:val="0"/>
          <w:numId w:val="27"/>
        </w:numPr>
        <w:spacing w:line="360" w:lineRule="auto"/>
        <w:ind w:firstLineChars="0"/>
        <w:rPr>
          <w:rFonts w:ascii="宋体" w:hAnsi="宋体"/>
          <w:color w:val="auto"/>
          <w:highlight w:val="none"/>
        </w:rPr>
      </w:pPr>
      <w:r>
        <w:rPr>
          <w:rFonts w:hint="eastAsia" w:ascii="宋体" w:hAnsi="宋体"/>
          <w:color w:val="auto"/>
          <w:highlight w:val="none"/>
        </w:rPr>
        <w:t>如未作特别说明每两个“</w:t>
      </w:r>
      <w:r>
        <w:rPr>
          <w:rFonts w:hint="eastAsia" w:ascii="宋体" w:hAnsi="宋体"/>
          <w:color w:val="auto"/>
          <w:highlight w:val="none"/>
        </w:rPr>
        <w:t>●</w:t>
      </w:r>
      <w:r>
        <w:rPr>
          <w:rFonts w:hint="eastAsia" w:ascii="宋体" w:hAnsi="宋体"/>
          <w:color w:val="auto"/>
          <w:highlight w:val="none"/>
        </w:rPr>
        <w:t>”共用一个回路，靠墙插座每个回路至少支持功率7KW以上（线径4mm</w:t>
      </w:r>
      <w:r>
        <w:rPr>
          <w:rFonts w:ascii="宋体" w:hAnsi="宋体"/>
          <w:color w:val="auto"/>
          <w:highlight w:val="none"/>
          <w:vertAlign w:val="superscript"/>
        </w:rPr>
        <w:t>2</w:t>
      </w:r>
      <w:r>
        <w:rPr>
          <w:rFonts w:hint="eastAsia" w:ascii="宋体" w:hAnsi="宋体"/>
          <w:color w:val="auto"/>
          <w:highlight w:val="none"/>
        </w:rPr>
        <w:t>），房间中央位置插座每个回路至少支持功率1</w:t>
      </w:r>
      <w:r>
        <w:rPr>
          <w:rFonts w:ascii="宋体" w:hAnsi="宋体"/>
          <w:color w:val="auto"/>
          <w:highlight w:val="none"/>
        </w:rPr>
        <w:t>0</w:t>
      </w:r>
      <w:r>
        <w:rPr>
          <w:rFonts w:hint="eastAsia" w:ascii="宋体" w:hAnsi="宋体"/>
          <w:color w:val="auto"/>
          <w:highlight w:val="none"/>
        </w:rPr>
        <w:t>KW以上（线径</w:t>
      </w:r>
      <w:r>
        <w:rPr>
          <w:rFonts w:ascii="宋体" w:hAnsi="宋体"/>
          <w:color w:val="auto"/>
          <w:highlight w:val="none"/>
        </w:rPr>
        <w:t>6</w:t>
      </w:r>
      <w:r>
        <w:rPr>
          <w:rFonts w:hint="eastAsia" w:ascii="宋体" w:hAnsi="宋体"/>
          <w:color w:val="auto"/>
          <w:highlight w:val="none"/>
        </w:rPr>
        <w:t>mm</w:t>
      </w:r>
      <w:r>
        <w:rPr>
          <w:rFonts w:ascii="宋体" w:hAnsi="宋体"/>
          <w:color w:val="auto"/>
          <w:highlight w:val="none"/>
          <w:vertAlign w:val="superscript"/>
        </w:rPr>
        <w:t>2</w:t>
      </w:r>
      <w:r>
        <w:rPr>
          <w:rFonts w:hint="eastAsia" w:ascii="宋体" w:hAnsi="宋体"/>
          <w:color w:val="auto"/>
          <w:highlight w:val="none"/>
        </w:rPr>
        <w:t>）。</w:t>
      </w:r>
    </w:p>
    <w:p>
      <w:pPr>
        <w:pStyle w:val="262"/>
        <w:numPr>
          <w:ilvl w:val="0"/>
          <w:numId w:val="26"/>
        </w:numPr>
        <w:spacing w:line="360" w:lineRule="auto"/>
        <w:ind w:firstLineChars="0"/>
        <w:rPr>
          <w:color w:val="auto"/>
          <w:highlight w:val="none"/>
        </w:rPr>
      </w:pP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_Ref106113307 \h</w:instrText>
      </w:r>
      <w:r>
        <w:rPr>
          <w:rFonts w:ascii="宋体" w:hAnsi="宋体"/>
          <w:color w:val="auto"/>
          <w:highlight w:val="none"/>
        </w:rPr>
        <w:instrText xml:space="preserve"> </w:instrText>
      </w:r>
      <w:r>
        <w:rPr>
          <w:rFonts w:ascii="宋体" w:hAnsi="宋体"/>
          <w:color w:val="auto"/>
          <w:highlight w:val="none"/>
        </w:rPr>
        <w:fldChar w:fldCharType="separate"/>
      </w:r>
      <w:r>
        <w:rPr>
          <w:color w:val="auto"/>
          <w:highlight w:val="none"/>
        </w:rPr>
        <w:t>图10</w:t>
      </w:r>
      <w:r>
        <w:rPr>
          <w:rFonts w:ascii="宋体" w:hAnsi="宋体"/>
          <w:color w:val="auto"/>
          <w:highlight w:val="none"/>
        </w:rPr>
        <w:fldChar w:fldCharType="end"/>
      </w:r>
      <w:r>
        <w:rPr>
          <w:rFonts w:hint="eastAsia" w:ascii="宋体" w:hAnsi="宋体"/>
          <w:color w:val="auto"/>
          <w:highlight w:val="none"/>
        </w:rPr>
        <w:t>中公共平台实验室需新增仪表、防静电桌、设备的单独接地（独立于楼体接地、电源地）。如上所述，图中新增电源点位“</w:t>
      </w:r>
      <w:r>
        <w:rPr>
          <w:rFonts w:hint="eastAsia" w:ascii="宋体" w:hAnsi="宋体"/>
          <w:color w:val="auto"/>
          <w:highlight w:val="none"/>
        </w:rPr>
        <w:t>●</w:t>
      </w:r>
      <w:r>
        <w:rPr>
          <w:rFonts w:hint="eastAsia" w:ascii="宋体" w:hAnsi="宋体"/>
          <w:color w:val="auto"/>
          <w:highlight w:val="none"/>
        </w:rPr>
        <w:t>”处皆需配备一单独接地端口，单个接地电阻小于4欧姆。</w:t>
      </w:r>
    </w:p>
    <w:p>
      <w:pPr>
        <w:keepNext/>
        <w:spacing w:line="360" w:lineRule="auto"/>
        <w:jc w:val="center"/>
        <w:rPr>
          <w:color w:val="auto"/>
          <w:highlight w:val="none"/>
        </w:rPr>
      </w:pPr>
      <w:r>
        <w:rPr>
          <w:color w:val="auto"/>
          <w:highlight w:val="none"/>
        </w:rPr>
        <w:drawing>
          <wp:inline distT="0" distB="0" distL="0" distR="0">
            <wp:extent cx="3375660" cy="3185160"/>
            <wp:effectExtent l="0" t="0" r="15240" b="1524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7"/>
                    <a:stretch>
                      <a:fillRect/>
                    </a:stretch>
                  </pic:blipFill>
                  <pic:spPr>
                    <a:xfrm>
                      <a:off x="0" y="0"/>
                      <a:ext cx="3391402" cy="3199903"/>
                    </a:xfrm>
                    <a:prstGeom prst="rect">
                      <a:avLst/>
                    </a:prstGeom>
                  </pic:spPr>
                </pic:pic>
              </a:graphicData>
            </a:graphic>
          </wp:inline>
        </w:drawing>
      </w:r>
    </w:p>
    <w:p>
      <w:pPr>
        <w:pStyle w:val="13"/>
        <w:spacing w:line="360" w:lineRule="auto"/>
        <w:jc w:val="center"/>
        <w:rPr>
          <w:color w:val="auto"/>
          <w:highlight w:val="none"/>
        </w:rPr>
      </w:pPr>
      <w:bookmarkStart w:id="970" w:name="_Ref106113307"/>
      <w:r>
        <w:rPr>
          <w:color w:val="auto"/>
          <w:highlight w:val="none"/>
        </w:rPr>
        <w:t>图</w:t>
      </w:r>
      <w:r>
        <w:rPr>
          <w:color w:val="auto"/>
          <w:highlight w:val="none"/>
        </w:rPr>
        <w:fldChar w:fldCharType="begin"/>
      </w:r>
      <w:r>
        <w:rPr>
          <w:color w:val="auto"/>
          <w:highlight w:val="none"/>
        </w:rPr>
        <w:instrText xml:space="preserve"> SEQ 图 \* ARABIC </w:instrText>
      </w:r>
      <w:r>
        <w:rPr>
          <w:color w:val="auto"/>
          <w:highlight w:val="none"/>
        </w:rPr>
        <w:fldChar w:fldCharType="separate"/>
      </w:r>
      <w:r>
        <w:rPr>
          <w:color w:val="auto"/>
          <w:highlight w:val="none"/>
        </w:rPr>
        <w:t>10</w:t>
      </w:r>
      <w:r>
        <w:rPr>
          <w:color w:val="auto"/>
          <w:highlight w:val="none"/>
        </w:rPr>
        <w:fldChar w:fldCharType="end"/>
      </w:r>
      <w:bookmarkEnd w:id="970"/>
      <w:r>
        <w:rPr>
          <w:color w:val="auto"/>
          <w:highlight w:val="none"/>
        </w:rPr>
        <w:t xml:space="preserve"> </w:t>
      </w:r>
      <w:r>
        <w:rPr>
          <w:rFonts w:hint="eastAsia"/>
          <w:color w:val="auto"/>
          <w:highlight w:val="none"/>
        </w:rPr>
        <w:t>公共平台实验室装修改造示意图</w:t>
      </w:r>
    </w:p>
    <w:p>
      <w:pPr>
        <w:pStyle w:val="3"/>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（九）五平台实验室装修改造要求：</w:t>
      </w:r>
    </w:p>
    <w:p>
      <w:pPr>
        <w:pStyle w:val="262"/>
        <w:numPr>
          <w:ilvl w:val="0"/>
          <w:numId w:val="28"/>
        </w:numPr>
        <w:spacing w:line="360" w:lineRule="auto"/>
        <w:ind w:firstLineChars="0"/>
        <w:rPr>
          <w:rFonts w:ascii="宋体" w:hAnsi="宋体"/>
          <w:color w:val="auto"/>
          <w:highlight w:val="none"/>
        </w:rPr>
      </w:pPr>
      <w:r>
        <w:rPr>
          <w:rFonts w:hint="eastAsia" w:ascii="宋体" w:hAnsi="宋体"/>
          <w:color w:val="auto"/>
          <w:highlight w:val="none"/>
        </w:rPr>
        <w:t>新增一配电箱，配电箱置于五平台实验室旁风机房内，容量</w:t>
      </w:r>
      <w:r>
        <w:rPr>
          <w:rFonts w:ascii="宋体" w:hAnsi="宋体"/>
          <w:color w:val="auto"/>
          <w:highlight w:val="none"/>
        </w:rPr>
        <w:t>80</w:t>
      </w:r>
      <w:r>
        <w:rPr>
          <w:rFonts w:hint="eastAsia" w:ascii="宋体" w:hAnsi="宋体"/>
          <w:color w:val="auto"/>
          <w:highlight w:val="none"/>
        </w:rPr>
        <w:t>KW以上，所需电力从楼层强电井中引出，配电箱预留2</w:t>
      </w:r>
      <w:r>
        <w:rPr>
          <w:rFonts w:ascii="宋体" w:hAnsi="宋体"/>
          <w:color w:val="auto"/>
          <w:highlight w:val="none"/>
        </w:rPr>
        <w:t>20</w:t>
      </w:r>
      <w:r>
        <w:rPr>
          <w:rFonts w:hint="eastAsia" w:ascii="宋体" w:hAnsi="宋体"/>
          <w:color w:val="auto"/>
          <w:highlight w:val="none"/>
        </w:rPr>
        <w:t>V两相电空开</w:t>
      </w:r>
      <w:r>
        <w:rPr>
          <w:rFonts w:ascii="宋体" w:hAnsi="宋体"/>
          <w:color w:val="auto"/>
          <w:highlight w:val="none"/>
        </w:rPr>
        <w:t>3</w:t>
      </w:r>
      <w:r>
        <w:rPr>
          <w:rFonts w:hint="eastAsia" w:ascii="宋体" w:hAnsi="宋体"/>
          <w:color w:val="auto"/>
          <w:highlight w:val="none"/>
        </w:rPr>
        <w:t>个。</w:t>
      </w:r>
    </w:p>
    <w:p>
      <w:pPr>
        <w:pStyle w:val="262"/>
        <w:numPr>
          <w:ilvl w:val="0"/>
          <w:numId w:val="28"/>
        </w:numPr>
        <w:spacing w:line="360" w:lineRule="auto"/>
        <w:ind w:firstLineChars="0"/>
        <w:rPr>
          <w:color w:val="auto"/>
          <w:highlight w:val="none"/>
        </w:rPr>
      </w:pPr>
      <w:r>
        <w:rPr>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_Ref106116677 \h</w:instrText>
      </w:r>
      <w:r>
        <w:rPr>
          <w:rFonts w:ascii="宋体" w:hAnsi="宋体"/>
          <w:color w:val="auto"/>
          <w:highlight w:val="none"/>
        </w:rPr>
        <w:instrText xml:space="preserve"> </w:instrText>
      </w:r>
      <w:r>
        <w:rPr>
          <w:color w:val="auto"/>
          <w:highlight w:val="none"/>
        </w:rPr>
        <w:fldChar w:fldCharType="separate"/>
      </w:r>
      <w:r>
        <w:rPr>
          <w:color w:val="auto"/>
          <w:highlight w:val="none"/>
        </w:rPr>
        <w:t>图11</w:t>
      </w:r>
      <w:r>
        <w:rPr>
          <w:color w:val="auto"/>
          <w:highlight w:val="none"/>
        </w:rPr>
        <w:fldChar w:fldCharType="end"/>
      </w:r>
      <w:r>
        <w:rPr>
          <w:rFonts w:hint="eastAsia"/>
          <w:color w:val="auto"/>
          <w:highlight w:val="none"/>
        </w:rPr>
        <w:t>中</w:t>
      </w:r>
      <w:r>
        <w:rPr>
          <w:rFonts w:hint="eastAsia" w:ascii="宋体" w:hAnsi="宋体"/>
          <w:color w:val="auto"/>
          <w:highlight w:val="none"/>
        </w:rPr>
        <w:t>“</w:t>
      </w:r>
      <w:r>
        <w:rPr>
          <w:rFonts w:hint="eastAsia" w:ascii="宋体" w:hAnsi="宋体"/>
          <w:color w:val="auto"/>
          <w:highlight w:val="none"/>
        </w:rPr>
        <w:t>●</w:t>
      </w:r>
      <w:r>
        <w:rPr>
          <w:rFonts w:hint="eastAsia" w:ascii="宋体" w:hAnsi="宋体"/>
          <w:color w:val="auto"/>
          <w:highlight w:val="none"/>
        </w:rPr>
        <w:t>”和“</w:t>
      </w:r>
      <w:r>
        <w:rPr>
          <w:rFonts w:ascii="宋体" w:hAnsi="宋体"/>
          <w:color w:val="auto"/>
          <w:highlight w:val="none"/>
        </w:rPr>
        <w:drawing>
          <wp:inline distT="0" distB="0" distL="0" distR="0">
            <wp:extent cx="116205" cy="102235"/>
            <wp:effectExtent l="0" t="0" r="17145" b="1206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28">
                      <a:extLst>
                        <a:ext uri="{28A0092B-C50C-407E-A947-70E740481C1C}">
                          <a14:useLocalDpi xmlns:a14="http://schemas.microsoft.com/office/drawing/2010/main" val="0"/>
                        </a:ext>
                      </a:extLst>
                    </a:blip>
                    <a:srcRect l="15334" t="19821" r="14671" b="29360"/>
                    <a:stretch>
                      <a:fillRect/>
                    </a:stretch>
                  </pic:blipFill>
                  <pic:spPr>
                    <a:xfrm>
                      <a:off x="0" y="0"/>
                      <a:ext cx="124569" cy="109064"/>
                    </a:xfrm>
                    <a:prstGeom prst="rect">
                      <a:avLst/>
                    </a:prstGeom>
                    <a:noFill/>
                    <a:ln>
                      <a:noFill/>
                    </a:ln>
                  </pic:spPr>
                </pic:pic>
              </a:graphicData>
            </a:graphic>
          </wp:inline>
        </w:drawing>
      </w:r>
      <w:r>
        <w:rPr>
          <w:rFonts w:hint="eastAsia" w:ascii="宋体" w:hAnsi="宋体"/>
          <w:color w:val="auto"/>
          <w:highlight w:val="none"/>
        </w:rPr>
        <w:t>”为新增电源接口和仪表单独接地接口，“</w:t>
      </w:r>
      <w:r>
        <w:rPr>
          <w:rFonts w:ascii="宋体" w:hAnsi="宋体"/>
          <w:color w:val="auto"/>
          <w:highlight w:val="none"/>
        </w:rPr>
        <w:drawing>
          <wp:inline distT="0" distB="0" distL="0" distR="0">
            <wp:extent cx="127635" cy="87630"/>
            <wp:effectExtent l="0" t="0" r="5715" b="7620"/>
            <wp:docPr id="26" name="图片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16"/>
                    <pic:cNvPicPr>
                      <a:picLocks noChangeAspect="1"/>
                    </pic:cNvPicPr>
                  </pic:nvPicPr>
                  <pic:blipFill>
                    <a:blip r:embed="rId18"/>
                    <a:stretch>
                      <a:fillRect/>
                    </a:stretch>
                  </pic:blipFill>
                  <pic:spPr>
                    <a:xfrm>
                      <a:off x="0" y="0"/>
                      <a:ext cx="135743" cy="93616"/>
                    </a:xfrm>
                    <a:prstGeom prst="rect">
                      <a:avLst/>
                    </a:prstGeom>
                  </pic:spPr>
                </pic:pic>
              </a:graphicData>
            </a:graphic>
          </wp:inline>
        </w:drawing>
      </w:r>
      <w:r>
        <w:rPr>
          <w:rFonts w:hint="eastAsia" w:ascii="宋体" w:hAnsi="宋体"/>
          <w:color w:val="auto"/>
          <w:highlight w:val="none"/>
        </w:rPr>
        <w:t>”为电话线接口，“</w:t>
      </w:r>
      <w:r>
        <w:rPr>
          <w:rFonts w:ascii="宋体" w:hAnsi="宋体"/>
          <w:color w:val="auto"/>
          <w:highlight w:val="none"/>
        </w:rPr>
        <w:drawing>
          <wp:inline distT="0" distB="0" distL="0" distR="0">
            <wp:extent cx="90805" cy="85725"/>
            <wp:effectExtent l="0" t="0" r="4445" b="9525"/>
            <wp:docPr id="27" name="图片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15"/>
                    <pic:cNvPicPr>
                      <a:picLocks noChangeAspect="1"/>
                    </pic:cNvPicPr>
                  </pic:nvPicPr>
                  <pic:blipFill>
                    <a:blip r:embed="rId19"/>
                    <a:stretch>
                      <a:fillRect/>
                    </a:stretch>
                  </pic:blipFill>
                  <pic:spPr>
                    <a:xfrm>
                      <a:off x="0" y="0"/>
                      <a:ext cx="96257" cy="90400"/>
                    </a:xfrm>
                    <a:prstGeom prst="rect">
                      <a:avLst/>
                    </a:prstGeom>
                  </pic:spPr>
                </pic:pic>
              </a:graphicData>
            </a:graphic>
          </wp:inline>
        </w:drawing>
      </w:r>
      <w:r>
        <w:rPr>
          <w:rFonts w:hint="eastAsia" w:ascii="宋体" w:hAnsi="宋体"/>
          <w:color w:val="auto"/>
          <w:highlight w:val="none"/>
        </w:rPr>
        <w:t>”为网线接口，相关需求说明如下：</w:t>
      </w:r>
    </w:p>
    <w:p>
      <w:pPr>
        <w:pStyle w:val="262"/>
        <w:numPr>
          <w:ilvl w:val="0"/>
          <w:numId w:val="29"/>
        </w:numPr>
        <w:spacing w:line="360" w:lineRule="auto"/>
        <w:ind w:firstLineChars="0"/>
        <w:rPr>
          <w:rFonts w:ascii="宋体" w:hAnsi="宋体"/>
          <w:color w:val="auto"/>
          <w:highlight w:val="none"/>
        </w:rPr>
      </w:pP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_Ref106116677 \h</w:instrText>
      </w:r>
      <w:r>
        <w:rPr>
          <w:rFonts w:ascii="宋体" w:hAnsi="宋体"/>
          <w:color w:val="auto"/>
          <w:highlight w:val="none"/>
        </w:rPr>
        <w:instrText xml:space="preserve"> </w:instrText>
      </w:r>
      <w:r>
        <w:rPr>
          <w:rFonts w:ascii="宋体" w:hAnsi="宋体"/>
          <w:color w:val="auto"/>
          <w:highlight w:val="none"/>
        </w:rPr>
        <w:fldChar w:fldCharType="separate"/>
      </w:r>
      <w:r>
        <w:rPr>
          <w:color w:val="auto"/>
          <w:highlight w:val="none"/>
        </w:rPr>
        <w:t>图11</w:t>
      </w:r>
      <w:r>
        <w:rPr>
          <w:rFonts w:ascii="宋体" w:hAnsi="宋体"/>
          <w:color w:val="auto"/>
          <w:highlight w:val="none"/>
        </w:rPr>
        <w:fldChar w:fldCharType="end"/>
      </w:r>
      <w:r>
        <w:rPr>
          <w:rFonts w:hint="eastAsia" w:ascii="宋体" w:hAnsi="宋体"/>
          <w:color w:val="auto"/>
          <w:highlight w:val="none"/>
        </w:rPr>
        <w:t>中实验室靠墙的电源、电话线、接地线、网线沿墙走接线盒，线盒高度距地面3</w:t>
      </w:r>
      <w:r>
        <w:rPr>
          <w:rFonts w:ascii="宋体" w:hAnsi="宋体"/>
          <w:color w:val="auto"/>
          <w:highlight w:val="none"/>
        </w:rPr>
        <w:t>0</w:t>
      </w:r>
      <w:r>
        <w:rPr>
          <w:rFonts w:hint="eastAsia" w:ascii="宋体" w:hAnsi="宋体"/>
          <w:color w:val="auto"/>
          <w:highlight w:val="none"/>
        </w:rPr>
        <w:t>cm，且不覆盖原有插座“</w:t>
      </w:r>
      <w:r>
        <w:rPr>
          <w:rFonts w:ascii="宋体" w:hAnsi="宋体"/>
          <w:color w:val="auto"/>
          <w:highlight w:val="none"/>
        </w:rPr>
        <w:drawing>
          <wp:inline distT="0" distB="0" distL="0" distR="0">
            <wp:extent cx="106680" cy="98425"/>
            <wp:effectExtent l="0" t="0" r="7620" b="1587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112171" cy="103291"/>
                    </a:xfrm>
                    <a:prstGeom prst="rect">
                      <a:avLst/>
                    </a:prstGeom>
                    <a:noFill/>
                  </pic:spPr>
                </pic:pic>
              </a:graphicData>
            </a:graphic>
          </wp:inline>
        </w:drawing>
      </w:r>
      <w:r>
        <w:rPr>
          <w:rFonts w:hint="eastAsia" w:ascii="宋体" w:hAnsi="宋体"/>
          <w:color w:val="auto"/>
          <w:highlight w:val="none"/>
        </w:rPr>
        <w:t>”（参考</w:t>
      </w: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_Ref106098682 \h</w:instrText>
      </w:r>
      <w:r>
        <w:rPr>
          <w:rFonts w:ascii="宋体" w:hAnsi="宋体"/>
          <w:color w:val="auto"/>
          <w:highlight w:val="none"/>
        </w:rPr>
        <w:instrText xml:space="preserve">  \* MERGEFORMAT </w:instrText>
      </w:r>
      <w:r>
        <w:rPr>
          <w:rFonts w:ascii="宋体" w:hAnsi="宋体"/>
          <w:color w:val="auto"/>
          <w:highlight w:val="none"/>
        </w:rPr>
        <w:fldChar w:fldCharType="separate"/>
      </w:r>
      <w:r>
        <w:rPr>
          <w:rFonts w:ascii="宋体" w:hAnsi="宋体"/>
          <w:color w:val="auto"/>
          <w:highlight w:val="none"/>
        </w:rPr>
        <w:t>图5</w:t>
      </w:r>
      <w:r>
        <w:rPr>
          <w:rFonts w:ascii="宋体" w:hAnsi="宋体"/>
          <w:color w:val="auto"/>
          <w:highlight w:val="none"/>
        </w:rPr>
        <w:fldChar w:fldCharType="end"/>
      </w:r>
      <w:r>
        <w:rPr>
          <w:rFonts w:hint="eastAsia" w:ascii="宋体" w:hAnsi="宋体"/>
          <w:color w:val="auto"/>
          <w:highlight w:val="none"/>
        </w:rPr>
        <w:t>）；实验室中央位置电源、接地从图中上方走地面引至点位，地面线盒高度不超过1cm。</w:t>
      </w:r>
    </w:p>
    <w:p>
      <w:pPr>
        <w:pStyle w:val="262"/>
        <w:numPr>
          <w:ilvl w:val="0"/>
          <w:numId w:val="29"/>
        </w:numPr>
        <w:spacing w:line="360" w:lineRule="auto"/>
        <w:ind w:firstLineChars="0"/>
        <w:rPr>
          <w:rFonts w:ascii="宋体" w:hAnsi="宋体"/>
          <w:color w:val="auto"/>
          <w:highlight w:val="none"/>
        </w:rPr>
      </w:pPr>
      <w:r>
        <w:rPr>
          <w:rFonts w:hint="eastAsia" w:ascii="宋体" w:hAnsi="宋体"/>
          <w:color w:val="auto"/>
          <w:highlight w:val="none"/>
        </w:rPr>
        <w:t>如未做特别说明，“</w:t>
      </w:r>
      <w:r>
        <w:rPr>
          <w:rFonts w:hint="eastAsia" w:ascii="宋体" w:hAnsi="宋体"/>
          <w:color w:val="auto"/>
          <w:highlight w:val="none"/>
        </w:rPr>
        <w:t>●</w:t>
      </w:r>
      <w:r>
        <w:rPr>
          <w:rFonts w:hint="eastAsia" w:ascii="宋体" w:hAnsi="宋体"/>
          <w:color w:val="auto"/>
          <w:highlight w:val="none"/>
        </w:rPr>
        <w:t>”表示安装两个</w:t>
      </w:r>
      <w:r>
        <w:rPr>
          <w:rFonts w:ascii="宋体" w:hAnsi="宋体"/>
          <w:color w:val="auto"/>
          <w:highlight w:val="none"/>
        </w:rPr>
        <w:t>220V</w:t>
      </w:r>
      <w:r>
        <w:rPr>
          <w:rFonts w:hint="eastAsia" w:ascii="宋体" w:hAnsi="宋体"/>
          <w:color w:val="auto"/>
          <w:highlight w:val="none"/>
        </w:rPr>
        <w:t>/</w:t>
      </w:r>
      <w:r>
        <w:rPr>
          <w:rFonts w:ascii="宋体" w:hAnsi="宋体"/>
          <w:color w:val="auto"/>
          <w:highlight w:val="none"/>
        </w:rPr>
        <w:t>16A插座（每个插座3口+2口）</w:t>
      </w:r>
      <w:r>
        <w:rPr>
          <w:rFonts w:hint="eastAsia" w:ascii="宋体" w:hAnsi="宋体"/>
          <w:color w:val="auto"/>
          <w:highlight w:val="none"/>
        </w:rPr>
        <w:t>和一个仪表接地接口，且每两个“</w:t>
      </w:r>
      <w:r>
        <w:rPr>
          <w:rFonts w:hint="eastAsia" w:ascii="宋体" w:hAnsi="宋体"/>
          <w:color w:val="auto"/>
          <w:highlight w:val="none"/>
        </w:rPr>
        <w:t>●</w:t>
      </w:r>
      <w:r>
        <w:rPr>
          <w:rFonts w:hint="eastAsia" w:ascii="宋体" w:hAnsi="宋体"/>
          <w:color w:val="auto"/>
          <w:highlight w:val="none"/>
        </w:rPr>
        <w:t>”共用一个回路，每个回路至少支持功率1</w:t>
      </w:r>
      <w:r>
        <w:rPr>
          <w:rFonts w:ascii="宋体" w:hAnsi="宋体"/>
          <w:color w:val="auto"/>
          <w:highlight w:val="none"/>
        </w:rPr>
        <w:t>0</w:t>
      </w:r>
      <w:r>
        <w:rPr>
          <w:rFonts w:hint="eastAsia" w:ascii="宋体" w:hAnsi="宋体"/>
          <w:color w:val="auto"/>
          <w:highlight w:val="none"/>
        </w:rPr>
        <w:t>KW以上（线径</w:t>
      </w:r>
      <w:r>
        <w:rPr>
          <w:rFonts w:ascii="宋体" w:hAnsi="宋体"/>
          <w:color w:val="auto"/>
          <w:highlight w:val="none"/>
        </w:rPr>
        <w:t>6</w:t>
      </w:r>
      <w:r>
        <w:rPr>
          <w:rFonts w:hint="eastAsia" w:ascii="宋体" w:hAnsi="宋体"/>
          <w:color w:val="auto"/>
          <w:highlight w:val="none"/>
        </w:rPr>
        <w:t>mm</w:t>
      </w:r>
      <w:r>
        <w:rPr>
          <w:rFonts w:ascii="宋体" w:hAnsi="宋体"/>
          <w:color w:val="auto"/>
          <w:highlight w:val="none"/>
          <w:vertAlign w:val="superscript"/>
        </w:rPr>
        <w:t>2</w:t>
      </w:r>
      <w:r>
        <w:rPr>
          <w:rFonts w:hint="eastAsia" w:ascii="宋体" w:hAnsi="宋体"/>
          <w:color w:val="auto"/>
          <w:highlight w:val="none"/>
        </w:rPr>
        <w:t>）；</w:t>
      </w:r>
    </w:p>
    <w:p>
      <w:pPr>
        <w:pStyle w:val="262"/>
        <w:numPr>
          <w:ilvl w:val="0"/>
          <w:numId w:val="29"/>
        </w:numPr>
        <w:spacing w:line="360" w:lineRule="auto"/>
        <w:ind w:firstLineChars="0"/>
        <w:rPr>
          <w:rFonts w:ascii="宋体" w:hAnsi="宋体"/>
          <w:color w:val="auto"/>
          <w:highlight w:val="none"/>
        </w:rPr>
      </w:pPr>
      <w:r>
        <w:rPr>
          <w:rFonts w:hint="eastAsia" w:ascii="宋体" w:hAnsi="宋体"/>
          <w:color w:val="auto"/>
          <w:highlight w:val="none"/>
        </w:rPr>
        <w:t>如未做特别说明，“</w:t>
      </w:r>
      <w:r>
        <w:rPr>
          <w:rFonts w:ascii="宋体" w:hAnsi="宋体"/>
          <w:color w:val="auto"/>
          <w:highlight w:val="none"/>
        </w:rPr>
        <w:drawing>
          <wp:inline distT="0" distB="0" distL="0" distR="0">
            <wp:extent cx="116205" cy="102235"/>
            <wp:effectExtent l="0" t="0" r="17145" b="1206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28">
                      <a:extLst>
                        <a:ext uri="{28A0092B-C50C-407E-A947-70E740481C1C}">
                          <a14:useLocalDpi xmlns:a14="http://schemas.microsoft.com/office/drawing/2010/main" val="0"/>
                        </a:ext>
                      </a:extLst>
                    </a:blip>
                    <a:srcRect l="15334" t="19821" r="14671" b="29360"/>
                    <a:stretch>
                      <a:fillRect/>
                    </a:stretch>
                  </pic:blipFill>
                  <pic:spPr>
                    <a:xfrm>
                      <a:off x="0" y="0"/>
                      <a:ext cx="124569" cy="109064"/>
                    </a:xfrm>
                    <a:prstGeom prst="rect">
                      <a:avLst/>
                    </a:prstGeom>
                    <a:noFill/>
                    <a:ln>
                      <a:noFill/>
                    </a:ln>
                  </pic:spPr>
                </pic:pic>
              </a:graphicData>
            </a:graphic>
          </wp:inline>
        </w:drawing>
      </w:r>
      <w:r>
        <w:rPr>
          <w:rFonts w:hint="eastAsia" w:ascii="宋体" w:hAnsi="宋体"/>
          <w:color w:val="auto"/>
          <w:highlight w:val="none"/>
        </w:rPr>
        <w:t>”表示安装三个</w:t>
      </w:r>
      <w:r>
        <w:rPr>
          <w:rFonts w:ascii="宋体" w:hAnsi="宋体"/>
          <w:color w:val="auto"/>
          <w:highlight w:val="none"/>
        </w:rPr>
        <w:t>220V</w:t>
      </w:r>
      <w:r>
        <w:rPr>
          <w:rFonts w:hint="eastAsia" w:ascii="宋体" w:hAnsi="宋体"/>
          <w:color w:val="auto"/>
          <w:highlight w:val="none"/>
        </w:rPr>
        <w:t>/</w:t>
      </w:r>
      <w:r>
        <w:rPr>
          <w:rFonts w:ascii="宋体" w:hAnsi="宋体"/>
          <w:color w:val="auto"/>
          <w:highlight w:val="none"/>
        </w:rPr>
        <w:t>16A插座（每个插座3口+2口）</w:t>
      </w:r>
      <w:r>
        <w:rPr>
          <w:rFonts w:hint="eastAsia" w:ascii="宋体" w:hAnsi="宋体"/>
          <w:color w:val="auto"/>
          <w:highlight w:val="none"/>
        </w:rPr>
        <w:t>和一个仪表接地接口，且每一个“</w:t>
      </w:r>
      <w:r>
        <w:rPr>
          <w:rFonts w:ascii="宋体" w:hAnsi="宋体"/>
          <w:color w:val="auto"/>
          <w:highlight w:val="none"/>
        </w:rPr>
        <w:drawing>
          <wp:inline distT="0" distB="0" distL="0" distR="0">
            <wp:extent cx="116205" cy="102235"/>
            <wp:effectExtent l="0" t="0" r="17145" b="1206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28">
                      <a:extLst>
                        <a:ext uri="{28A0092B-C50C-407E-A947-70E740481C1C}">
                          <a14:useLocalDpi xmlns:a14="http://schemas.microsoft.com/office/drawing/2010/main" val="0"/>
                        </a:ext>
                      </a:extLst>
                    </a:blip>
                    <a:srcRect l="15334" t="19821" r="14671" b="29360"/>
                    <a:stretch>
                      <a:fillRect/>
                    </a:stretch>
                  </pic:blipFill>
                  <pic:spPr>
                    <a:xfrm>
                      <a:off x="0" y="0"/>
                      <a:ext cx="124569" cy="109064"/>
                    </a:xfrm>
                    <a:prstGeom prst="rect">
                      <a:avLst/>
                    </a:prstGeom>
                    <a:noFill/>
                    <a:ln>
                      <a:noFill/>
                    </a:ln>
                  </pic:spPr>
                </pic:pic>
              </a:graphicData>
            </a:graphic>
          </wp:inline>
        </w:drawing>
      </w:r>
      <w:r>
        <w:rPr>
          <w:rFonts w:hint="eastAsia" w:ascii="宋体" w:hAnsi="宋体"/>
          <w:color w:val="auto"/>
          <w:highlight w:val="none"/>
        </w:rPr>
        <w:t>”使用一个回路，每个回路至少支持功率1</w:t>
      </w:r>
      <w:r>
        <w:rPr>
          <w:rFonts w:ascii="宋体" w:hAnsi="宋体"/>
          <w:color w:val="auto"/>
          <w:highlight w:val="none"/>
        </w:rPr>
        <w:t>0</w:t>
      </w:r>
      <w:r>
        <w:rPr>
          <w:rFonts w:hint="eastAsia" w:ascii="宋体" w:hAnsi="宋体"/>
          <w:color w:val="auto"/>
          <w:highlight w:val="none"/>
        </w:rPr>
        <w:t>KW以上（线径</w:t>
      </w:r>
      <w:r>
        <w:rPr>
          <w:rFonts w:ascii="宋体" w:hAnsi="宋体"/>
          <w:color w:val="auto"/>
          <w:highlight w:val="none"/>
        </w:rPr>
        <w:t>6</w:t>
      </w:r>
      <w:r>
        <w:rPr>
          <w:rFonts w:hint="eastAsia" w:ascii="宋体" w:hAnsi="宋体"/>
          <w:color w:val="auto"/>
          <w:highlight w:val="none"/>
        </w:rPr>
        <w:t>mm</w:t>
      </w:r>
      <w:r>
        <w:rPr>
          <w:rFonts w:ascii="宋体" w:hAnsi="宋体"/>
          <w:color w:val="auto"/>
          <w:highlight w:val="none"/>
          <w:vertAlign w:val="superscript"/>
        </w:rPr>
        <w:t>2</w:t>
      </w:r>
      <w:r>
        <w:rPr>
          <w:rFonts w:hint="eastAsia" w:ascii="宋体" w:hAnsi="宋体"/>
          <w:color w:val="auto"/>
          <w:highlight w:val="none"/>
        </w:rPr>
        <w:t>）。</w:t>
      </w:r>
    </w:p>
    <w:p>
      <w:pPr>
        <w:pStyle w:val="262"/>
        <w:numPr>
          <w:ilvl w:val="0"/>
          <w:numId w:val="28"/>
        </w:numPr>
        <w:spacing w:line="360" w:lineRule="auto"/>
        <w:ind w:firstLineChars="0"/>
        <w:rPr>
          <w:color w:val="auto"/>
          <w:highlight w:val="none"/>
        </w:rPr>
      </w:pPr>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REF _Ref106116677 \h</w:instrText>
      </w:r>
      <w:r>
        <w:rPr>
          <w:rFonts w:ascii="宋体" w:hAnsi="宋体"/>
          <w:color w:val="auto"/>
          <w:highlight w:val="none"/>
        </w:rPr>
        <w:instrText xml:space="preserve"> </w:instrText>
      </w:r>
      <w:r>
        <w:rPr>
          <w:rFonts w:ascii="宋体" w:hAnsi="宋体"/>
          <w:color w:val="auto"/>
          <w:highlight w:val="none"/>
        </w:rPr>
        <w:fldChar w:fldCharType="separate"/>
      </w:r>
      <w:r>
        <w:rPr>
          <w:color w:val="auto"/>
          <w:highlight w:val="none"/>
        </w:rPr>
        <w:t>图11</w:t>
      </w:r>
      <w:r>
        <w:rPr>
          <w:rFonts w:ascii="宋体" w:hAnsi="宋体"/>
          <w:color w:val="auto"/>
          <w:highlight w:val="none"/>
        </w:rPr>
        <w:fldChar w:fldCharType="end"/>
      </w:r>
      <w:r>
        <w:rPr>
          <w:rFonts w:hint="eastAsia" w:ascii="宋体" w:hAnsi="宋体"/>
          <w:color w:val="auto"/>
          <w:highlight w:val="none"/>
        </w:rPr>
        <w:t>中公共平台实验室需新增仪表、防静电桌、设备的单独接地（独立于楼体接地、电源地）。如上所述，图中新增电源点位“</w:t>
      </w:r>
      <w:r>
        <w:rPr>
          <w:rFonts w:hint="eastAsia" w:ascii="宋体" w:hAnsi="宋体"/>
          <w:color w:val="auto"/>
          <w:highlight w:val="none"/>
        </w:rPr>
        <w:t>●</w:t>
      </w:r>
      <w:r>
        <w:rPr>
          <w:rFonts w:hint="eastAsia" w:ascii="宋体" w:hAnsi="宋体"/>
          <w:color w:val="auto"/>
          <w:highlight w:val="none"/>
        </w:rPr>
        <w:t>”处皆需配备一单独接地端口，单个接地电阻小于4欧姆。</w:t>
      </w:r>
    </w:p>
    <w:p>
      <w:pPr>
        <w:keepNext/>
        <w:spacing w:line="360" w:lineRule="auto"/>
        <w:jc w:val="center"/>
        <w:rPr>
          <w:color w:val="auto"/>
          <w:highlight w:val="none"/>
        </w:rPr>
      </w:pPr>
      <w:r>
        <w:rPr>
          <w:color w:val="auto"/>
          <w:highlight w:val="none"/>
        </w:rPr>
        <w:object>
          <v:shape id="_x0000_i1026" o:spt="75" type="#_x0000_t75" style="height:202.5pt;width:275.25pt;" o:ole="t" filled="f" o:preferrelative="t" stroked="f" coordsize="21600,21600">
            <v:path/>
            <v:fill on="f" focussize="0,0"/>
            <v:stroke on="f" joinstyle="miter"/>
            <v:imagedata r:id="rId30" o:title=""/>
            <o:lock v:ext="edit" aspectratio="t"/>
            <w10:wrap type="none"/>
            <w10:anchorlock/>
          </v:shape>
          <o:OLEObject Type="Embed" ProgID="PBrush" ShapeID="_x0000_i1026" DrawAspect="Content" ObjectID="_1468075726" r:id="rId29">
            <o:LockedField>false</o:LockedField>
          </o:OLEObject>
        </w:object>
      </w:r>
    </w:p>
    <w:p>
      <w:pPr>
        <w:pStyle w:val="13"/>
        <w:spacing w:line="360" w:lineRule="auto"/>
        <w:jc w:val="center"/>
        <w:rPr>
          <w:color w:val="auto"/>
          <w:highlight w:val="none"/>
        </w:rPr>
      </w:pPr>
      <w:bookmarkStart w:id="971" w:name="_Ref106116677"/>
      <w:r>
        <w:rPr>
          <w:color w:val="auto"/>
          <w:highlight w:val="none"/>
        </w:rPr>
        <w:t>图</w:t>
      </w:r>
      <w:r>
        <w:rPr>
          <w:color w:val="auto"/>
          <w:highlight w:val="none"/>
        </w:rPr>
        <w:fldChar w:fldCharType="begin"/>
      </w:r>
      <w:r>
        <w:rPr>
          <w:color w:val="auto"/>
          <w:highlight w:val="none"/>
        </w:rPr>
        <w:instrText xml:space="preserve"> SEQ 图 \* ARABIC </w:instrText>
      </w:r>
      <w:r>
        <w:rPr>
          <w:color w:val="auto"/>
          <w:highlight w:val="none"/>
        </w:rPr>
        <w:fldChar w:fldCharType="separate"/>
      </w:r>
      <w:r>
        <w:rPr>
          <w:color w:val="auto"/>
          <w:highlight w:val="none"/>
        </w:rPr>
        <w:t>11</w:t>
      </w:r>
      <w:r>
        <w:rPr>
          <w:color w:val="auto"/>
          <w:highlight w:val="none"/>
        </w:rPr>
        <w:fldChar w:fldCharType="end"/>
      </w:r>
      <w:bookmarkEnd w:id="971"/>
      <w:r>
        <w:rPr>
          <w:color w:val="auto"/>
          <w:highlight w:val="none"/>
        </w:rPr>
        <w:t xml:space="preserve"> </w:t>
      </w:r>
      <w:r>
        <w:rPr>
          <w:rFonts w:hint="eastAsia"/>
          <w:color w:val="auto"/>
          <w:highlight w:val="none"/>
        </w:rPr>
        <w:t>五平台实验室装修改造示意图</w:t>
      </w:r>
    </w:p>
    <w:p>
      <w:pPr>
        <w:spacing w:line="360" w:lineRule="auto"/>
        <w:jc w:val="center"/>
        <w:rPr>
          <w:color w:val="auto"/>
          <w:sz w:val="18"/>
          <w:szCs w:val="21"/>
          <w:highlight w:val="none"/>
        </w:rPr>
      </w:pPr>
      <w:r>
        <w:rPr>
          <w:rFonts w:hint="eastAsia"/>
          <w:b/>
          <w:bCs/>
          <w:color w:val="auto"/>
          <w:sz w:val="28"/>
          <w:szCs w:val="28"/>
          <w:highlight w:val="none"/>
        </w:rPr>
        <w:t>生物光子学实验室实验环境改</w:t>
      </w:r>
    </w:p>
    <w:p>
      <w:pPr>
        <w:pStyle w:val="3"/>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（一）生物光子学实验室实验环境改造要求：</w:t>
      </w:r>
    </w:p>
    <w:p>
      <w:pPr>
        <w:pStyle w:val="262"/>
        <w:numPr>
          <w:ilvl w:val="0"/>
          <w:numId w:val="30"/>
        </w:numPr>
        <w:spacing w:line="360" w:lineRule="auto"/>
        <w:ind w:firstLineChars="0"/>
        <w:rPr>
          <w:rFonts w:ascii="宋体" w:hAnsi="宋体"/>
          <w:color w:val="auto"/>
          <w:highlight w:val="none"/>
        </w:rPr>
      </w:pPr>
      <w:r>
        <w:rPr>
          <w:rFonts w:hint="eastAsia" w:ascii="宋体" w:hAnsi="宋体"/>
          <w:color w:val="auto"/>
          <w:highlight w:val="none"/>
        </w:rPr>
        <w:t>增加一个光学暗室，尺寸4120*4400mm，需将一处灯向暗室中移动，约60cm，如图1所示。</w:t>
      </w:r>
    </w:p>
    <w:p>
      <w:pPr>
        <w:pStyle w:val="262"/>
        <w:numPr>
          <w:ilvl w:val="0"/>
          <w:numId w:val="30"/>
        </w:numPr>
        <w:spacing w:line="360" w:lineRule="auto"/>
        <w:ind w:firstLineChars="0"/>
        <w:rPr>
          <w:rFonts w:ascii="宋体" w:hAnsi="宋体"/>
          <w:color w:val="auto"/>
          <w:highlight w:val="none"/>
        </w:rPr>
      </w:pPr>
      <w:r>
        <w:rPr>
          <w:rFonts w:hint="eastAsia" w:ascii="宋体" w:hAnsi="宋体"/>
          <w:color w:val="auto"/>
          <w:highlight w:val="none"/>
        </w:rPr>
        <w:t>增加一处隔断，如下图所示，左边区域为电镀区，将会安放通风橱、纯水机，具体位置如图1所示，通风橱与纯水机配套的水路改造、通风改造，由供应商给出，具体要求如下：</w:t>
      </w:r>
    </w:p>
    <w:p>
      <w:pPr>
        <w:pStyle w:val="262"/>
        <w:spacing w:line="360" w:lineRule="auto"/>
        <w:rPr>
          <w:rFonts w:ascii="宋体" w:hAnsi="宋体"/>
          <w:color w:val="auto"/>
          <w:highlight w:val="none"/>
        </w:rPr>
      </w:pPr>
      <w:r>
        <w:rPr>
          <w:rFonts w:hint="eastAsia" w:ascii="宋体" w:hAnsi="宋体"/>
          <w:color w:val="auto"/>
          <w:highlight w:val="none"/>
        </w:rPr>
        <w:t>A）新增排风系统，排风量为4500m</w:t>
      </w:r>
      <w:r>
        <w:rPr>
          <w:rFonts w:hint="eastAsia" w:ascii="宋体" w:hAnsi="宋体"/>
          <w:color w:val="auto"/>
          <w:highlight w:val="none"/>
          <w:vertAlign w:val="superscript"/>
        </w:rPr>
        <w:t>3</w:t>
      </w:r>
      <w:r>
        <w:rPr>
          <w:rFonts w:hint="eastAsia" w:ascii="宋体" w:hAnsi="宋体"/>
          <w:color w:val="auto"/>
          <w:highlight w:val="none"/>
        </w:rPr>
        <w:t>/h，确保能适应3个通风橱；</w:t>
      </w:r>
    </w:p>
    <w:p>
      <w:pPr>
        <w:pStyle w:val="262"/>
        <w:spacing w:line="360" w:lineRule="auto"/>
        <w:rPr>
          <w:rFonts w:ascii="宋体" w:hAnsi="宋体"/>
          <w:color w:val="auto"/>
          <w:highlight w:val="none"/>
        </w:rPr>
      </w:pPr>
      <w:r>
        <w:rPr>
          <w:rFonts w:hint="eastAsia" w:ascii="宋体" w:hAnsi="宋体"/>
          <w:color w:val="auto"/>
          <w:highlight w:val="none"/>
        </w:rPr>
        <w:t>B)新增排风系统不能影响现有通风及楼栋环境；</w:t>
      </w:r>
    </w:p>
    <w:p>
      <w:pPr>
        <w:pStyle w:val="262"/>
        <w:spacing w:line="360" w:lineRule="auto"/>
        <w:rPr>
          <w:rFonts w:ascii="宋体" w:hAnsi="宋体"/>
          <w:color w:val="auto"/>
          <w:highlight w:val="none"/>
        </w:rPr>
      </w:pPr>
      <w:r>
        <w:rPr>
          <w:rFonts w:hint="eastAsia" w:ascii="宋体" w:hAnsi="宋体"/>
          <w:color w:val="auto"/>
          <w:highlight w:val="none"/>
        </w:rPr>
        <w:t>C）废气排放到楼顶，风机也需要放置在楼顶，废气排放不能影响楼栋环境与办公；</w:t>
      </w:r>
    </w:p>
    <w:p>
      <w:pPr>
        <w:pStyle w:val="262"/>
        <w:spacing w:line="360" w:lineRule="auto"/>
        <w:rPr>
          <w:rFonts w:ascii="宋体" w:hAnsi="宋体"/>
          <w:color w:val="auto"/>
          <w:highlight w:val="none"/>
        </w:rPr>
      </w:pPr>
      <w:r>
        <w:rPr>
          <w:rFonts w:hint="eastAsia" w:ascii="宋体" w:hAnsi="宋体"/>
          <w:color w:val="auto"/>
          <w:highlight w:val="none"/>
        </w:rPr>
        <w:t>D）纯水机涉及的水路改造，制水能力为200L/小时，电阻率为18MΩ·cm，满足一级纯水国标。</w:t>
      </w:r>
    </w:p>
    <w:p>
      <w:pPr>
        <w:pStyle w:val="262"/>
        <w:numPr>
          <w:ilvl w:val="0"/>
          <w:numId w:val="30"/>
        </w:numPr>
        <w:spacing w:line="360" w:lineRule="auto"/>
        <w:ind w:firstLineChars="0"/>
        <w:rPr>
          <w:rFonts w:ascii="宋体" w:hAnsi="宋体"/>
          <w:color w:val="auto"/>
          <w:highlight w:val="none"/>
        </w:rPr>
      </w:pPr>
      <w:r>
        <w:rPr>
          <w:rFonts w:hint="eastAsia" w:ascii="宋体" w:hAnsi="宋体"/>
          <w:color w:val="auto"/>
          <w:highlight w:val="none"/>
        </w:rPr>
        <w:t>隔断区域右边为生物光子学公共实验区。</w:t>
      </w:r>
    </w:p>
    <w:p>
      <w:pPr>
        <w:pStyle w:val="262"/>
        <w:numPr>
          <w:ilvl w:val="0"/>
          <w:numId w:val="30"/>
        </w:numPr>
        <w:spacing w:line="360" w:lineRule="auto"/>
        <w:ind w:firstLineChars="0"/>
        <w:rPr>
          <w:rFonts w:ascii="宋体" w:hAnsi="宋体"/>
          <w:color w:val="auto"/>
          <w:highlight w:val="none"/>
        </w:rPr>
      </w:pPr>
      <w:r>
        <w:rPr>
          <w:rFonts w:hint="eastAsia" w:ascii="宋体" w:hAnsi="宋体"/>
          <w:color w:val="auto"/>
          <w:highlight w:val="none"/>
        </w:rPr>
        <w:t>供应商应到现场进行踏勘。</w:t>
      </w:r>
    </w:p>
    <w:p>
      <w:pPr>
        <w:pStyle w:val="262"/>
        <w:spacing w:line="360" w:lineRule="auto"/>
        <w:ind w:firstLine="0" w:firstLineChars="0"/>
        <w:jc w:val="center"/>
        <w:rPr>
          <w:color w:val="auto"/>
          <w:highlight w:val="none"/>
        </w:rPr>
      </w:pPr>
      <w:r>
        <w:rPr>
          <w:color w:val="auto"/>
          <w:highlight w:val="none"/>
        </w:rPr>
        <w:drawing>
          <wp:inline distT="0" distB="0" distL="0" distR="0">
            <wp:extent cx="3803015" cy="2425700"/>
            <wp:effectExtent l="0" t="0" r="6985" b="12700"/>
            <wp:docPr id="199" name="图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99"/>
                    <pic:cNvPicPr>
                      <a:picLocks noChangeAspect="1"/>
                    </pic:cNvPicPr>
                  </pic:nvPicPr>
                  <pic:blipFill>
                    <a:blip r:embed="rId26"/>
                    <a:stretch>
                      <a:fillRect/>
                    </a:stretch>
                  </pic:blipFill>
                  <pic:spPr>
                    <a:xfrm>
                      <a:off x="0" y="0"/>
                      <a:ext cx="3815045" cy="2433894"/>
                    </a:xfrm>
                    <a:prstGeom prst="rect">
                      <a:avLst/>
                    </a:prstGeom>
                  </pic:spPr>
                </pic:pic>
              </a:graphicData>
            </a:graphic>
          </wp:inline>
        </w:drawing>
      </w:r>
    </w:p>
    <w:p>
      <w:pPr>
        <w:pStyle w:val="13"/>
        <w:spacing w:line="360" w:lineRule="auto"/>
        <w:jc w:val="center"/>
        <w:rPr>
          <w:color w:val="auto"/>
          <w:highlight w:val="none"/>
        </w:rPr>
      </w:pPr>
      <w:r>
        <w:rPr>
          <w:color w:val="auto"/>
          <w:highlight w:val="none"/>
        </w:rPr>
        <w:t>图</w:t>
      </w:r>
      <w:r>
        <w:rPr>
          <w:rFonts w:hint="eastAsia"/>
          <w:color w:val="auto"/>
          <w:highlight w:val="none"/>
        </w:rPr>
        <w:t>1</w:t>
      </w:r>
      <w:r>
        <w:rPr>
          <w:color w:val="auto"/>
          <w:highlight w:val="none"/>
        </w:rPr>
        <w:t xml:space="preserve"> </w:t>
      </w:r>
      <w:r>
        <w:rPr>
          <w:rFonts w:hint="eastAsia"/>
          <w:color w:val="auto"/>
          <w:highlight w:val="none"/>
        </w:rPr>
        <w:t>生物光子学实验室装修改造示意图</w:t>
      </w:r>
    </w:p>
    <w:p>
      <w:pPr>
        <w:pStyle w:val="3"/>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（二）排风系统</w:t>
      </w:r>
    </w:p>
    <w:p>
      <w:pPr>
        <w:numPr>
          <w:ilvl w:val="0"/>
          <w:numId w:val="31"/>
        </w:numPr>
        <w:spacing w:line="360" w:lineRule="auto"/>
        <w:rPr>
          <w:color w:val="auto"/>
          <w:szCs w:val="21"/>
          <w:highlight w:val="none"/>
        </w:rPr>
      </w:pPr>
      <w:r>
        <w:rPr>
          <w:rFonts w:hint="eastAsia"/>
          <w:color w:val="auto"/>
          <w:szCs w:val="21"/>
          <w:highlight w:val="none"/>
        </w:rPr>
        <w:t>基本要求：实验室通风柜采用变风量（VAV）蝶阀控制系统。每套通风柜配置一套优质品牌VAV控制系统。该系统保证通风柜调节门在任意位置下通风柜的面风速在1-3秒内迅速稳定到设定值0.5m/s。系统包括一台防腐型变风量(蝶)阀（215mm全pp一体开模成型）、一台数显控制面板、一台控制器、一台变风量快速执行器、一台管道执行传感器、一只位移传感器,管道静压传感器，风机变频器,通风柜中央监控系统。</w:t>
      </w:r>
    </w:p>
    <w:p>
      <w:pPr>
        <w:numPr>
          <w:ilvl w:val="0"/>
          <w:numId w:val="31"/>
        </w:numPr>
        <w:spacing w:line="360" w:lineRule="auto"/>
        <w:rPr>
          <w:color w:val="auto"/>
          <w:szCs w:val="21"/>
          <w:highlight w:val="none"/>
        </w:rPr>
      </w:pPr>
      <w:r>
        <w:rPr>
          <w:rFonts w:hint="eastAsia"/>
          <w:color w:val="auto"/>
          <w:szCs w:val="21"/>
          <w:highlight w:val="none"/>
        </w:rPr>
        <w:t>系统具有以下功能：自动调节风量以恒定不同状态下的安全面风速；测量并数字显示面风速状态；通风柜按国际标准保证安全最低排风量；不安全的情况（故障）下，声音报警和显示报警。</w:t>
      </w:r>
    </w:p>
    <w:p>
      <w:pPr>
        <w:numPr>
          <w:ilvl w:val="0"/>
          <w:numId w:val="31"/>
        </w:numPr>
        <w:spacing w:line="360" w:lineRule="auto"/>
        <w:rPr>
          <w:color w:val="auto"/>
          <w:szCs w:val="21"/>
          <w:highlight w:val="none"/>
        </w:rPr>
      </w:pPr>
      <w:r>
        <w:rPr>
          <w:rFonts w:hint="eastAsia"/>
          <w:color w:val="auto"/>
          <w:szCs w:val="21"/>
          <w:highlight w:val="none"/>
        </w:rPr>
        <w:t>变风量阀（蝶阀）：通风柜排风调节阀，阀体采用UPVC材质，满足实验室防火要求，受控于通风柜监控器，面风速控制精度：当前面风速设定值0.5m/s±20%。</w:t>
      </w:r>
    </w:p>
    <w:p>
      <w:pPr>
        <w:numPr>
          <w:ilvl w:val="0"/>
          <w:numId w:val="31"/>
        </w:numPr>
        <w:spacing w:line="360" w:lineRule="auto"/>
        <w:rPr>
          <w:color w:val="auto"/>
          <w:szCs w:val="21"/>
          <w:highlight w:val="none"/>
        </w:rPr>
      </w:pPr>
      <w:r>
        <w:rPr>
          <w:rFonts w:hint="eastAsia"/>
          <w:color w:val="auto"/>
          <w:szCs w:val="21"/>
          <w:highlight w:val="none"/>
        </w:rPr>
        <w:t>通风柜控制及显示装置：彩色液晶显示屏，用户及系统参数设置，显示面风速、运行状态，独立设置紧急排风控键、报警消音控键，风机启停控键，照明控制控键等。</w:t>
      </w:r>
    </w:p>
    <w:p>
      <w:pPr>
        <w:numPr>
          <w:ilvl w:val="0"/>
          <w:numId w:val="31"/>
        </w:numPr>
        <w:spacing w:line="360" w:lineRule="auto"/>
        <w:rPr>
          <w:color w:val="auto"/>
          <w:szCs w:val="21"/>
          <w:highlight w:val="none"/>
        </w:rPr>
      </w:pPr>
      <w:r>
        <w:rPr>
          <w:rFonts w:hint="eastAsia"/>
          <w:color w:val="auto"/>
          <w:szCs w:val="21"/>
          <w:highlight w:val="none"/>
        </w:rPr>
        <w:t>管道静压传感器：可实时测量风管管道静压，并以此作为控制信号完成风机变频调节。</w:t>
      </w:r>
    </w:p>
    <w:p>
      <w:pPr>
        <w:pStyle w:val="3"/>
        <w:jc w:val="left"/>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（三）实验台和通风柜等台柜产品</w:t>
      </w:r>
    </w:p>
    <w:p>
      <w:pPr>
        <w:pStyle w:val="12"/>
        <w:rPr>
          <w:rFonts w:ascii="宋体" w:hAnsi="宋体"/>
          <w:bCs/>
          <w:color w:val="auto"/>
          <w:szCs w:val="21"/>
          <w:highlight w:val="none"/>
        </w:rPr>
      </w:pPr>
      <w:r>
        <w:rPr>
          <w:rFonts w:hint="eastAsia" w:ascii="宋体" w:hAnsi="宋体"/>
          <w:bCs/>
          <w:color w:val="auto"/>
          <w:szCs w:val="21"/>
          <w:highlight w:val="none"/>
        </w:rPr>
        <w:t>1、中央台，边台，仪器台，高温台，实验台台面/水槽台面</w:t>
      </w:r>
    </w:p>
    <w:p>
      <w:pPr>
        <w:pStyle w:val="12"/>
        <w:rPr>
          <w:rFonts w:ascii="宋体" w:hAnsi="宋体"/>
          <w:bCs/>
          <w:color w:val="auto"/>
          <w:szCs w:val="21"/>
          <w:highlight w:val="none"/>
        </w:rPr>
      </w:pPr>
      <w:r>
        <w:rPr>
          <w:rFonts w:hint="eastAsia" w:ascii="宋体" w:hAnsi="宋体"/>
          <w:bCs/>
          <w:color w:val="auto"/>
          <w:szCs w:val="21"/>
          <w:highlight w:val="none"/>
        </w:rPr>
        <w:t>1.1、实芯理化理台面</w:t>
      </w:r>
    </w:p>
    <w:p>
      <w:pPr>
        <w:shd w:val="clear" w:color="auto" w:fill="FFFFFF"/>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1.1.1 台面：实芯理化板：采用≥12.7mm厚实芯理化板台面板（表面耐酸碱理化膜采用EBC 电子束固化技术生产），边缘双层加厚至25.4mm，使用CNC电脑数控设备加工工艺，符合人体工学设计，表面具备耐酸碱性能、耐冲击、韧性强等特点。</w:t>
      </w:r>
    </w:p>
    <w:p>
      <w:pPr>
        <w:shd w:val="clear" w:color="auto" w:fill="FFFFFF"/>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 xml:space="preserve">产品同时符合以下板材性能要求： </w:t>
      </w:r>
    </w:p>
    <w:p>
      <w:pPr>
        <w:shd w:val="clear" w:color="auto" w:fill="FFFFFF"/>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1.耐酸碱性能：台面按国家标准GB/T 17657-2013人造板及饰面人造板理化性能试验方法进行检测，对1、37%盐酸；2、65%硝酸；3、98%硫酸；4、85%磷酸；5、铬酸；6、40%氢氟酸；7、乙酸；8、甲酸；9、丙二醇米醋酸酯；10、二氯乙酸等至少52种强酸强碱化学试剂分级检验结果为5级。</w:t>
      </w:r>
    </w:p>
    <w:p>
      <w:pPr>
        <w:shd w:val="clear" w:color="auto" w:fill="FFFFFF"/>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2.物理性能：按GB/T7911-2013“热固性树脂浸渍纸高压装饰层积板”进行检验。表面耐磨性能≥1050转， 抗拉强度≥120Mpa、弯曲强度≥145Mpa、弯曲弹性模量≥12200Mpa。</w:t>
      </w:r>
    </w:p>
    <w:p>
      <w:pPr>
        <w:shd w:val="clear" w:color="auto" w:fill="FFFFFF"/>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3.环保性能：</w:t>
      </w:r>
    </w:p>
    <w:p>
      <w:pPr>
        <w:shd w:val="clear" w:color="auto" w:fill="FFFFFF"/>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A.台面检测结果达到国家标准《GB18580-2017》E1级的技术指标要求，甲醛释放量检测结果值≤0.016mg/m³；</w:t>
      </w:r>
    </w:p>
    <w:p>
      <w:pPr>
        <w:shd w:val="clear" w:color="auto" w:fill="FFFFFF"/>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B.为保证实验室内部环境空气质量，台面板须通过金牌绿色卫士认证，其中总醛最大允许预测浓度≤0.043ppm，4-苯基环乙烯最大预测浓度≤6.5μg/ m³。</w:t>
      </w:r>
    </w:p>
    <w:p>
      <w:pPr>
        <w:shd w:val="clear" w:color="auto" w:fill="FFFFFF"/>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4.台面材料生产厂家通过ISO45001:2018、ISO14001:2015、ISO9001:2015认证。</w:t>
      </w:r>
    </w:p>
    <w:p>
      <w:pPr>
        <w:shd w:val="clear" w:color="auto" w:fill="FFFFFF"/>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为保证质量，</w:t>
      </w:r>
      <w:r>
        <w:rPr>
          <w:rFonts w:hint="eastAsia" w:ascii="宋体" w:hAnsi="宋体"/>
          <w:color w:val="auto"/>
          <w:szCs w:val="21"/>
          <w:highlight w:val="none"/>
        </w:rPr>
        <w:t>投标人</w:t>
      </w:r>
      <w:r>
        <w:rPr>
          <w:rFonts w:hint="eastAsia" w:ascii="宋体" w:hAnsi="宋体"/>
          <w:bCs/>
          <w:color w:val="auto"/>
          <w:szCs w:val="21"/>
          <w:highlight w:val="none"/>
        </w:rPr>
        <w:t>投标时须提供 ：</w:t>
      </w:r>
    </w:p>
    <w:p>
      <w:pPr>
        <w:shd w:val="clear" w:color="auto" w:fill="FFFFFF"/>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▲符合或优于上述</w:t>
      </w:r>
      <w:r>
        <w:rPr>
          <w:rFonts w:hint="eastAsia" w:ascii="宋体" w:hAnsi="宋体"/>
          <w:color w:val="auto"/>
          <w:szCs w:val="21"/>
          <w:highlight w:val="none"/>
        </w:rPr>
        <w:t>台面技术参数</w:t>
      </w:r>
      <w:r>
        <w:rPr>
          <w:rFonts w:hint="eastAsia" w:ascii="宋体" w:hAnsi="宋体"/>
          <w:bCs/>
          <w:color w:val="auto"/>
          <w:szCs w:val="21"/>
          <w:highlight w:val="none"/>
        </w:rPr>
        <w:t>指标</w:t>
      </w:r>
      <w:r>
        <w:rPr>
          <w:rFonts w:hint="eastAsia" w:ascii="宋体" w:hAnsi="宋体"/>
          <w:color w:val="auto"/>
          <w:szCs w:val="21"/>
          <w:highlight w:val="none"/>
        </w:rPr>
        <w:t>的检测报告复印件</w:t>
      </w:r>
      <w:r>
        <w:rPr>
          <w:rFonts w:hint="eastAsia" w:ascii="宋体" w:hAnsi="宋体"/>
          <w:bCs/>
          <w:color w:val="auto"/>
          <w:szCs w:val="21"/>
          <w:highlight w:val="none"/>
        </w:rPr>
        <w:t>，并</w:t>
      </w:r>
      <w:r>
        <w:rPr>
          <w:rFonts w:hint="eastAsia" w:ascii="宋体" w:hAnsi="宋体"/>
          <w:color w:val="auto"/>
          <w:szCs w:val="21"/>
          <w:highlight w:val="none"/>
        </w:rPr>
        <w:t>加盖供应</w:t>
      </w:r>
      <w:r>
        <w:rPr>
          <w:rFonts w:hint="eastAsia" w:ascii="宋体" w:hAnsi="宋体"/>
          <w:bCs/>
          <w:color w:val="auto"/>
          <w:szCs w:val="21"/>
          <w:highlight w:val="none"/>
        </w:rPr>
        <w:t>厂家鲜</w:t>
      </w:r>
      <w:r>
        <w:rPr>
          <w:rFonts w:hint="eastAsia" w:ascii="宋体" w:hAnsi="宋体"/>
          <w:color w:val="auto"/>
          <w:szCs w:val="21"/>
          <w:highlight w:val="none"/>
        </w:rPr>
        <w:t>e</w:t>
      </w:r>
      <w:r>
        <w:rPr>
          <w:rFonts w:hint="eastAsia" w:ascii="宋体" w:hAnsi="宋体"/>
          <w:bCs/>
          <w:color w:val="auto"/>
          <w:szCs w:val="21"/>
          <w:highlight w:val="none"/>
        </w:rPr>
        <w:t>。</w:t>
      </w:r>
    </w:p>
    <w:p>
      <w:pPr>
        <w:shd w:val="clear" w:color="auto" w:fill="FFFFFF"/>
        <w:spacing w:line="360" w:lineRule="auto"/>
        <w:ind w:firstLine="420" w:firstLineChars="200"/>
        <w:rPr>
          <w:rFonts w:ascii="宋体" w:hAnsi="宋体"/>
          <w:color w:val="auto"/>
          <w:szCs w:val="21"/>
          <w:highlight w:val="none"/>
        </w:rPr>
      </w:pPr>
      <w:r>
        <w:rPr>
          <w:rFonts w:hint="eastAsia" w:ascii="宋体" w:hAnsi="宋体"/>
          <w:bCs/>
          <w:color w:val="auto"/>
          <w:szCs w:val="21"/>
          <w:highlight w:val="none"/>
        </w:rPr>
        <w:t>★台面板</w:t>
      </w:r>
      <w:r>
        <w:rPr>
          <w:rFonts w:hint="eastAsia" w:ascii="宋体" w:hAnsi="宋体"/>
          <w:color w:val="auto"/>
          <w:szCs w:val="21"/>
          <w:highlight w:val="none"/>
        </w:rPr>
        <w:t>e</w:t>
      </w:r>
      <w:r>
        <w:rPr>
          <w:rFonts w:hint="eastAsia" w:ascii="宋体" w:hAnsi="宋体"/>
          <w:bCs/>
          <w:color w:val="auto"/>
          <w:szCs w:val="21"/>
          <w:highlight w:val="none"/>
        </w:rPr>
        <w:t>厂家</w:t>
      </w:r>
      <w:r>
        <w:rPr>
          <w:rFonts w:hint="eastAsia" w:ascii="宋体" w:hAnsi="宋体"/>
          <w:color w:val="auto"/>
          <w:szCs w:val="21"/>
          <w:highlight w:val="none"/>
        </w:rPr>
        <w:t>针对</w:t>
      </w:r>
      <w:r>
        <w:rPr>
          <w:rFonts w:hint="eastAsia" w:ascii="宋体" w:hAnsi="宋体"/>
          <w:bCs/>
          <w:color w:val="auto"/>
          <w:szCs w:val="21"/>
          <w:highlight w:val="none"/>
        </w:rPr>
        <w:t>本</w:t>
      </w:r>
      <w:r>
        <w:rPr>
          <w:rFonts w:hint="eastAsia" w:ascii="宋体" w:hAnsi="宋体"/>
          <w:color w:val="auto"/>
          <w:szCs w:val="21"/>
          <w:highlight w:val="none"/>
        </w:rPr>
        <w:t>项目出具的</w:t>
      </w:r>
      <w:r>
        <w:rPr>
          <w:rFonts w:hint="eastAsia" w:ascii="宋体" w:hAnsi="宋体"/>
          <w:bCs/>
          <w:color w:val="auto"/>
          <w:szCs w:val="21"/>
          <w:highlight w:val="none"/>
        </w:rPr>
        <w:t>《售后服务承诺书》</w:t>
      </w:r>
      <w:r>
        <w:rPr>
          <w:rFonts w:hint="eastAsia" w:ascii="宋体" w:hAnsi="宋体"/>
          <w:color w:val="auto"/>
          <w:szCs w:val="21"/>
          <w:highlight w:val="none"/>
        </w:rPr>
        <w:t>原件，并加盖供应</w:t>
      </w:r>
      <w:r>
        <w:rPr>
          <w:rFonts w:hint="eastAsia" w:ascii="宋体" w:hAnsi="宋体"/>
          <w:bCs/>
          <w:color w:val="auto"/>
          <w:szCs w:val="21"/>
          <w:highlight w:val="none"/>
        </w:rPr>
        <w:t>厂家</w:t>
      </w:r>
      <w:r>
        <w:rPr>
          <w:rFonts w:hint="eastAsia" w:ascii="宋体" w:hAnsi="宋体"/>
          <w:color w:val="auto"/>
          <w:szCs w:val="21"/>
          <w:highlight w:val="none"/>
        </w:rPr>
        <w:t>公章</w:t>
      </w:r>
      <w:r>
        <w:rPr>
          <w:rFonts w:hint="eastAsia" w:ascii="宋体" w:hAnsi="宋体"/>
          <w:bCs/>
          <w:color w:val="auto"/>
          <w:szCs w:val="21"/>
          <w:highlight w:val="none"/>
        </w:rPr>
        <w:t>。</w:t>
      </w:r>
    </w:p>
    <w:p>
      <w:pPr>
        <w:pStyle w:val="12"/>
        <w:rPr>
          <w:rFonts w:ascii="宋体" w:hAnsi="宋体"/>
          <w:bCs/>
          <w:color w:val="auto"/>
          <w:szCs w:val="21"/>
          <w:highlight w:val="none"/>
        </w:rPr>
      </w:pP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1.2柜体部分</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1.2.1柜体材料：采用≥1.0mm高品质冷轧钢板，所有钢制部件先经脱脂、水洗、酸洗、中和、磷化、高压冲洗、烘干防锈。</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1.2.2喷涂：喷涂层厚度≧75μm厚环氧树脂粉末，表面光滑均匀、色泽一致、无流挂、皱皮、鼓泡、凹陷、压痕。</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1.2.3主箱体采用现代积木组合，分为上梁承重框架、储物柜体及底部地围保护框架三层独立模块。</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1.3实验台上梁--承重框架</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1.3.1为提高实验台整体承重性能，实验台台面下方与实验台柜体上方之间，配备横梁承重框架；</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1.3.2提高实验台平整度性能，防止实验台台面变形受损；</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1.3.3材料：专用模具拉伸成型的1.2mm铝型材；</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1.3.4转角连接插件：高强度工程塑料插件；</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1.3.5颜色：黑色</w:t>
      </w:r>
      <w:r>
        <w:rPr>
          <w:rFonts w:hint="eastAsia" w:ascii="宋体" w:hAnsi="宋体"/>
          <w:bCs/>
          <w:color w:val="auto"/>
          <w:szCs w:val="21"/>
          <w:highlight w:val="none"/>
        </w:rPr>
        <w:br w:type="textWrapping"/>
      </w:r>
      <w:r>
        <w:rPr>
          <w:rFonts w:hint="eastAsia" w:ascii="宋体" w:hAnsi="宋体"/>
          <w:bCs/>
          <w:color w:val="auto"/>
          <w:szCs w:val="21"/>
          <w:highlight w:val="none"/>
        </w:rPr>
        <w:t>1.4下柜体采用抽屉柜或单门储物柜：</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1.4.1满足甲方灵活使用需求，必须具备抽屉柜体可与单开门柜体快速调换位置功能；</w:t>
      </w:r>
      <w:r>
        <w:rPr>
          <w:rFonts w:hint="eastAsia" w:ascii="宋体" w:hAnsi="宋体"/>
          <w:bCs/>
          <w:color w:val="auto"/>
          <w:szCs w:val="21"/>
          <w:highlight w:val="none"/>
        </w:rPr>
        <w:br w:type="textWrapping"/>
      </w:r>
      <w:r>
        <w:rPr>
          <w:rFonts w:hint="eastAsia" w:ascii="宋体" w:hAnsi="宋体"/>
          <w:bCs/>
          <w:color w:val="auto"/>
          <w:szCs w:val="21"/>
          <w:highlight w:val="none"/>
        </w:rPr>
        <w:t>1.4.2柜体尺寸：长度*高度630mm*深度505mm；</w:t>
      </w:r>
      <w:r>
        <w:rPr>
          <w:rFonts w:hint="eastAsia" w:ascii="宋体" w:hAnsi="宋体"/>
          <w:bCs/>
          <w:color w:val="auto"/>
          <w:szCs w:val="21"/>
          <w:highlight w:val="none"/>
        </w:rPr>
        <w:br w:type="textWrapping"/>
      </w:r>
      <w:r>
        <w:rPr>
          <w:rFonts w:hint="eastAsia" w:ascii="宋体" w:hAnsi="宋体"/>
          <w:bCs/>
          <w:color w:val="auto"/>
          <w:szCs w:val="21"/>
          <w:highlight w:val="none"/>
        </w:rPr>
        <w:t>1.4.3柜门与抽屉面板，双层结构，内外部都经过环氧树脂喷涂，总厚度达30mm，中间填充隔音材料；</w:t>
      </w:r>
      <w:r>
        <w:rPr>
          <w:rFonts w:hint="eastAsia" w:ascii="宋体" w:hAnsi="宋体"/>
          <w:bCs/>
          <w:color w:val="auto"/>
          <w:szCs w:val="21"/>
          <w:highlight w:val="none"/>
        </w:rPr>
        <w:br w:type="textWrapping"/>
      </w:r>
      <w:r>
        <w:rPr>
          <w:rFonts w:hint="eastAsia" w:ascii="宋体" w:hAnsi="宋体"/>
          <w:bCs/>
          <w:color w:val="auto"/>
          <w:szCs w:val="21"/>
          <w:highlight w:val="none"/>
        </w:rPr>
        <w:t>1.4.4背板可拆装，方便安装维护；</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1.5拉手：</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1.5.1门板及抽屉拉手均采用双斜面一体成型拉手，</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1.5.2拉手与柜门或抽屉，是两个独立构件。</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1.6柜门、抽屉面板</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1.6.1单柜门以及抽屉面板须具备立体时尚感，均采用两侧双斜边设计，</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1.6.2颜色：低光白</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1.7下柜体螺丝孔位预留：</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1.7.1为方便现场安装，保护柜体表面防腐喷涂层。所有连接固定部分的螺丝孔位，预留拉铆螺母；</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1.7.2使用不锈钢机丝螺丝，与预留孔位连接组装；</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1.7.3柜体部分任何螺丝固定连接处，不得采用螺丝直接开孔工艺。</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1.8实验台地围--底部保护框架部分：</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1.8.1为提高钢制产品底部锈蚀性能。实验台底部配置保护框架；</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1.8.2材料：专用模具拉伸成型的1.2mm铝型材；</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1.8.3转角连接插件：高强度工程塑料插件；</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1.8.4颜色：黑色；</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1.8.5斜面结构设计，须符合人体工体学，美观实用。</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1.9五金配件：</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1.9.1导轨：采用1.2mm三节缓冲静音阻尼导轨；</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1.9.2铰链：采用105°、不锈钢缓冲防腐型铰链。</w:t>
      </w:r>
    </w:p>
    <w:p>
      <w:pPr>
        <w:pStyle w:val="12"/>
        <w:rPr>
          <w:rFonts w:ascii="宋体" w:hAnsi="宋体"/>
          <w:bCs/>
          <w:color w:val="auto"/>
          <w:szCs w:val="21"/>
          <w:highlight w:val="none"/>
        </w:rPr>
      </w:pPr>
      <w:r>
        <w:rPr>
          <w:rFonts w:hint="eastAsia" w:ascii="宋体" w:hAnsi="宋体"/>
          <w:bCs/>
          <w:color w:val="auto"/>
          <w:szCs w:val="21"/>
          <w:highlight w:val="none"/>
        </w:rPr>
        <w:t>2、全钢通风柜技术要求</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2.1 规格尺寸（1200/1500/1800）*900*2350；长、宽、高误差点≤3mm；邻边垂直度：台面对角线、框架对角线1000mm以下≤2mm； 1000mm以上≤3mm；</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2.2 采用组合式结构，上部排风工作面,中间操作台面,下部底柜含独立水、电、气管线系统。</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2.2.1上柜部分</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2.2.1.1上柜主框架：采用1.0mm厚度冷轧钢板制作框架,钢构件表面经高压喷淋工艺处理、烘干后使用环氧树脂喷涂粉末静电喷涂经180°高温固化，涂层厚度 ≥75μm，满足实验室家具硬度、耐腐蚀、附着力的技术要求。表面光滑均匀、色泽一致、无流挂、皱皮、鼓泡、凹陷、压痕。</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2.2.1.2内衬及导流板：采用5mm抗倍特化学积层板，经数控切割、CNC专用刀具开孔、铣槽、修边倒角、所有外露边缘需平整光滑不刮手，两边内侧板配一体成型检修门，方便维修。导流板根据排风气流设计满足通风柜在0.5m/s的工作面风速，实验产生气体全部通过导流排风口排出无外溢。</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2.2.1.3视窗：采用3+3mm夹胶玻璃，透明度高，安全性高，由于中间层的胶膜坚韧且附着力强，受冲击破损后不易被贯穿，碎片不会脱落，与胶膜紧紧地粘合在一起，与其他玻璃相比，具有耐震、防爆的性能。窗框及导槽采用6063-T5国标铝锭经专业模具拉伸成型后，经专用CNC设备进行切、铣、刨、钻孔、攻丝加工。表面经环氧树脂粉末喷涂经高温固化，涂层厚度 ≥75μm，满足实验室防潮、防腐要求。配合专用可调导块，使移门耐磨、轻滑，有效解决了传统卡死现象，可随意停留。视窗开启高度在20mm≤H≤750mm中的任何位置。视窗上印有安全操作指示，提示实验操作者规范操作。</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2.2.1.4同步带：通风柜升降采用新型同步带，包括带体和设置在带体一端面上的轮齿；新型同步带实用性强和拉伸力强，其不仅可作为通风柜提拉门升降的传动部件，而且可作为通风柜提拉门升降的信号传输线。</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2.2.1.5人字齿同步带轮：包括本体和设置在本体边缘上的轮齿，人字齿同步带轮承载能力大、运转平稳而且噪音小，用于通风柜上可实现透视窗平稳升降，从而提高实验室通风柜的实用性。</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2.2.1.6照明：采用全罩式灯座设计，内置2*12W LED灯，光度≥300LUX，隐藏于导流板下，易维修，具有泄爆功能。</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2.2.1.7前立柱：使用6063-T5国标铝锭专用模具拉伸成，经专用CNC设备进行切、铣、刨、钻孔、攻丝加工。表面经环氧树脂粉末喷涂经高温固化，涂层厚度 ≥75μm，满足实验室防潮、防腐要求。带可拆装前多功能设备安装面板，拆卸面板不需要任何工具方便安装维护；立柱中间有足够空间用于水、电、气的管道及控制模块的安装；</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2.2.2 下柜部分</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2.2.2.1承重钢支架：采用60*40*1.5mm方钢管焊接成型，焊接部分打磨、抛光处理平滑过渡，焊点无毛刺及假焊，表面经高压喷淋工艺处理、烘干后使用环氧树脂喷涂粉末静电喷涂经180°高温固化，涂层厚度 ≥75μm，满足实验室家具硬度、耐腐蚀、附着力的技术要求。表面光滑均匀、色泽一致、无流挂、皱皮、鼓泡、凹陷、压痕。</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2.2.2.2功能柜体：根据客户需求配置不同功能可活动组合柜体，用于存放试剂、药剂等化学品或资料、仪器等；箱体柜身采用1.0mm厚度冷轧钢板制作，表面经高压喷淋工艺处理、烘干后使用环氧树脂喷涂粉末静电喷涂经180°高温固化，涂层厚度 ≥75μm，满足实验室家具硬度、耐腐蚀、附着力的技术要求。表面光滑均匀、色泽一致、无流挂、皱皮、鼓泡、凹陷、压痕。</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2.2.2.3防潮地围：柜体下部地围采用6063-T5国标铝锭经专业模具拉伸成型后，经专用CNC设备进行切、铣、刨、钻孔、攻丝加工，表面经环氧树脂粉末喷涂经高温固化，涂层厚度 ≥75μm，满足实验室防潮、防腐要求，地围使用模具成型高强度连接件组装成型。</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2.2.2.4下柜门：采用1.0mm厚优质冷轧钢板，内外双层扣合式，内填充隔音材料，所有工件经模具冲压折弯焊接而成，焊接部分打磨、抛光处理平滑过渡，焊点无毛刺及假焊，表面经高压喷淋工艺处理、烘干后使用环氧树脂喷涂粉末静电喷涂经180°高温固化，涂层厚度 ≥75μm，满足实验室家具硬度、耐腐蚀、附着力的技术要求。表面光滑均匀、色泽一致、无流挂、皱皮、鼓泡、凹陷、压痕。</w:t>
      </w:r>
    </w:p>
    <w:p>
      <w:pPr>
        <w:adjustRightInd w:val="0"/>
        <w:snapToGrid w:val="0"/>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2.2.2.5不锈钢合页：采用模具成型2.0mm厚五节转轴304不锈钢合页，门开启角度达到270°；</w:t>
      </w:r>
    </w:p>
    <w:p>
      <w:pPr>
        <w:adjustRightInd w:val="0"/>
        <w:snapToGrid w:val="0"/>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2.2.2.6拉手：采用352长10mm不锈钢C型拉手</w:t>
      </w:r>
    </w:p>
    <w:p>
      <w:pPr>
        <w:pStyle w:val="12"/>
        <w:adjustRightInd w:val="0"/>
        <w:snapToGrid w:val="0"/>
        <w:spacing w:line="360" w:lineRule="auto"/>
        <w:rPr>
          <w:rFonts w:ascii="宋体" w:hAnsi="宋体"/>
          <w:bCs/>
          <w:color w:val="auto"/>
          <w:szCs w:val="21"/>
          <w:highlight w:val="none"/>
        </w:rPr>
      </w:pPr>
      <w:r>
        <w:rPr>
          <w:rFonts w:hint="eastAsia" w:ascii="宋体" w:hAnsi="宋体"/>
          <w:bCs/>
          <w:color w:val="auto"/>
          <w:szCs w:val="21"/>
          <w:highlight w:val="none"/>
        </w:rPr>
        <w:t>参与供应商需提供其通风柜产品基于ANSI/ASHRAE110或EN14175最新标准检测报告。其检测报告复印件和相关证明需含有品牌厂家的红色鲜章，并标注专用于本项目投标使用字样。</w:t>
      </w:r>
    </w:p>
    <w:p>
      <w:pPr>
        <w:adjustRightInd w:val="0"/>
        <w:snapToGrid w:val="0"/>
        <w:spacing w:line="360" w:lineRule="auto"/>
        <w:rPr>
          <w:rFonts w:ascii="宋体" w:hAnsi="宋体"/>
          <w:bCs/>
          <w:color w:val="auto"/>
          <w:szCs w:val="21"/>
          <w:highlight w:val="none"/>
        </w:rPr>
      </w:pPr>
      <w:r>
        <w:rPr>
          <w:rFonts w:hint="eastAsia" w:ascii="宋体" w:hAnsi="宋体"/>
          <w:bCs/>
          <w:color w:val="auto"/>
          <w:szCs w:val="21"/>
          <w:highlight w:val="none"/>
        </w:rPr>
        <w:t>3、实验室水龙头</w:t>
      </w:r>
    </w:p>
    <w:p>
      <w:pPr>
        <w:adjustRightInd w:val="0"/>
        <w:snapToGrid w:val="0"/>
        <w:spacing w:line="360" w:lineRule="auto"/>
        <w:ind w:firstLine="420" w:firstLineChars="200"/>
        <w:rPr>
          <w:rFonts w:ascii="宋体" w:hAnsi="宋体"/>
          <w:bCs/>
          <w:color w:val="auto"/>
          <w:szCs w:val="21"/>
          <w:highlight w:val="none"/>
        </w:rPr>
      </w:pPr>
      <w:r>
        <w:rPr>
          <w:rFonts w:ascii="宋体" w:hAnsi="宋体"/>
          <w:bCs/>
          <w:color w:val="auto"/>
          <w:szCs w:val="21"/>
          <w:highlight w:val="none"/>
        </w:rPr>
        <w:t>3.</w:t>
      </w:r>
      <w:r>
        <w:rPr>
          <w:rFonts w:hint="eastAsia" w:ascii="宋体" w:hAnsi="宋体"/>
          <w:bCs/>
          <w:color w:val="auto"/>
          <w:szCs w:val="21"/>
          <w:highlight w:val="none"/>
        </w:rPr>
        <w:t>1符合GB 25501-2010 水嘴用水效率限定值及用水效率等级标准，符合ASME A112.18.1-2012/CSA B125.1-12 认证标准。符合EN13792：2002认证标准。</w:t>
      </w:r>
    </w:p>
    <w:p>
      <w:pPr>
        <w:spacing w:line="360" w:lineRule="auto"/>
        <w:ind w:firstLine="420" w:firstLineChars="200"/>
        <w:rPr>
          <w:rFonts w:ascii="宋体" w:hAnsi="宋体"/>
          <w:bCs/>
          <w:color w:val="auto"/>
          <w:szCs w:val="21"/>
          <w:highlight w:val="none"/>
        </w:rPr>
      </w:pPr>
      <w:r>
        <w:rPr>
          <w:rFonts w:ascii="宋体" w:hAnsi="宋体"/>
          <w:bCs/>
          <w:color w:val="auto"/>
          <w:szCs w:val="21"/>
          <w:highlight w:val="none"/>
        </w:rPr>
        <w:t>3.</w:t>
      </w:r>
      <w:r>
        <w:rPr>
          <w:rFonts w:hint="eastAsia" w:ascii="宋体" w:hAnsi="宋体"/>
          <w:bCs/>
          <w:color w:val="auto"/>
          <w:szCs w:val="21"/>
          <w:highlight w:val="none"/>
        </w:rPr>
        <w:t>2主体材料：直管：采用ø26*1.2 mm管径的H63铜管制造。臂管：采用ø22*1.2mm 管径的H63铜管制造。鹅颈弯管：采用ø19 *1.0mm管径的H63铜管制造，可360°旋转。涂层: 高亮度环氧树脂涂层,耐腐蚀、耐热,防紫外线辐射，陶瓷阀芯: 90°旋转,使用寿命开关50万次,静态最大耐压10 bar，符合GB18145-2014标准，开关旋钮: 高密度PP,人体工学设计,手感舒适。</w:t>
      </w:r>
    </w:p>
    <w:p>
      <w:pPr>
        <w:spacing w:line="360" w:lineRule="auto"/>
        <w:ind w:firstLine="420" w:firstLineChars="200"/>
        <w:rPr>
          <w:rFonts w:ascii="宋体" w:hAnsi="宋体"/>
          <w:bCs/>
          <w:color w:val="auto"/>
          <w:szCs w:val="21"/>
          <w:highlight w:val="none"/>
        </w:rPr>
      </w:pPr>
      <w:r>
        <w:rPr>
          <w:rFonts w:ascii="宋体" w:hAnsi="宋体"/>
          <w:bCs/>
          <w:color w:val="auto"/>
          <w:szCs w:val="21"/>
          <w:highlight w:val="none"/>
        </w:rPr>
        <w:t>3.3</w:t>
      </w:r>
      <w:r>
        <w:rPr>
          <w:rFonts w:hint="eastAsia" w:ascii="宋体" w:hAnsi="宋体"/>
          <w:bCs/>
          <w:color w:val="auto"/>
          <w:szCs w:val="21"/>
          <w:highlight w:val="none"/>
        </w:rPr>
        <w:t xml:space="preserve"> 实验室三口化验水龙头：主体加厚纯铜制作，涂层经亚光环氧树脂耐酸碱粉末涂料热固处理，防紫外线辐射，防酸碱、耐腐蚀，开关采用进口精密陶瓷阀心、耐磨、耐腐蚀，开关寿命要求可达50万次，静态最大耐压2.5MPa,鹅颈出水管可360度旋转，水嘴密封性能符合国家相关标准,。水龙头总整高度555MM，主管直径26MM，弯头直径22 MM，鹅颈管直径19mm,重量1700g。</w:t>
      </w:r>
    </w:p>
    <w:p>
      <w:pPr>
        <w:spacing w:line="360" w:lineRule="auto"/>
        <w:ind w:firstLine="420" w:firstLineChars="200"/>
        <w:rPr>
          <w:rFonts w:ascii="宋体" w:hAnsi="宋体"/>
          <w:bCs/>
          <w:color w:val="auto"/>
          <w:szCs w:val="21"/>
          <w:highlight w:val="none"/>
        </w:rPr>
      </w:pPr>
      <w:r>
        <w:rPr>
          <w:rFonts w:ascii="宋体" w:hAnsi="宋体"/>
          <w:bCs/>
          <w:color w:val="auto"/>
          <w:szCs w:val="21"/>
          <w:highlight w:val="none"/>
        </w:rPr>
        <w:t>3.</w:t>
      </w:r>
      <w:r>
        <w:rPr>
          <w:rFonts w:hint="eastAsia" w:ascii="宋体" w:hAnsi="宋体"/>
          <w:bCs/>
          <w:color w:val="auto"/>
          <w:szCs w:val="21"/>
          <w:highlight w:val="none"/>
        </w:rPr>
        <w:t>4对实验室安全性，节水性要求的需要，水龙头配件好坏对实验尤为重要，投标人投标时须提供水龙头以下证书和检测报告复印件并加盖生产厂家公章：</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1）需提供实验室化验水龙头CSA认证证书；</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2）实验室化验水龙头需提供中国节水产品CQC认证；</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3）实验室化验水龙头符合CE-EN 13792:2002认证准标，提供CE认证报告；</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4）提供化验水龙头ACS认证；</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5）实验室化验水龙头提供有效的国内保险公司承保合同；</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6）提供水龙头WRAS认证。</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7）提供国家认可的第三方检测机构出具的表面耐污染检验报告，检测项目包含50种以上有机无机试剂，表面停留24小时后检验结果为5级。</w:t>
      </w:r>
    </w:p>
    <w:p>
      <w:pPr>
        <w:spacing w:line="360" w:lineRule="auto"/>
        <w:rPr>
          <w:rFonts w:ascii="宋体" w:hAnsi="宋体"/>
          <w:bCs/>
          <w:color w:val="auto"/>
          <w:szCs w:val="21"/>
          <w:highlight w:val="none"/>
        </w:rPr>
      </w:pPr>
      <w:r>
        <w:rPr>
          <w:rFonts w:hint="eastAsia" w:ascii="宋体" w:hAnsi="宋体"/>
          <w:bCs/>
          <w:color w:val="auto"/>
          <w:szCs w:val="21"/>
          <w:highlight w:val="none"/>
        </w:rPr>
        <w:t>4、水槽/杯槽</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作为实验室重要的配件与水龙头搭配，用于实验室器具的盥洗。水槽边沿平整，契合台面。水槽需自带溢水功能，可防止在实验过程中无人看管时水漫过台面的情况。水槽材质为防腐蚀材质。主要搭配 PP存水器，防止虹吸现象。</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1）材质：采用高密度PP新料注塑成型，耐腐蚀耐酸碱； 稳定性强，并具弹性、韧性，不易老化耐划。</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2）厚度：根据强度要求设计厚度为5mm-8mm。</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3）附件：高密度PP去水；含阻水盖、PP提笼。</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4）耐化学性：经试剂10%醋酸。10%NaOH,15%次氯酸钠，饱和NaCL溶液，70%乙醇分别试验，经试验后表面应无永久腐蚀或变形。其中外观及其承载能力的检测也都符合要求。</w:t>
      </w:r>
    </w:p>
    <w:p>
      <w:pPr>
        <w:pStyle w:val="262"/>
        <w:spacing w:line="440" w:lineRule="exact"/>
        <w:rPr>
          <w:color w:val="auto"/>
          <w:szCs w:val="21"/>
          <w:highlight w:val="none"/>
          <w:shd w:val="clear" w:color="auto" w:fill="FFFFFF"/>
        </w:rPr>
      </w:pPr>
      <w:r>
        <w:rPr>
          <w:rFonts w:hint="eastAsia" w:ascii="宋体" w:hAnsi="宋体"/>
          <w:bCs/>
          <w:color w:val="auto"/>
          <w:szCs w:val="21"/>
          <w:highlight w:val="none"/>
        </w:rPr>
        <w:t>5）投标人投标时须提供水槽检测报告及国内保险公司承保合同复印件并加盖生产厂家公章。</w:t>
      </w:r>
    </w:p>
    <w:p>
      <w:pPr>
        <w:pStyle w:val="4"/>
        <w:spacing w:before="120" w:beforeLines="50" w:line="360" w:lineRule="auto"/>
        <w:jc w:val="lef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三</w:t>
      </w:r>
      <w:r>
        <w:rPr>
          <w:rFonts w:asciiTheme="minorEastAsia" w:hAnsiTheme="minorEastAsia" w:eastAsiaTheme="minorEastAsia"/>
          <w:color w:val="auto"/>
          <w:sz w:val="21"/>
          <w:szCs w:val="21"/>
          <w:highlight w:val="none"/>
        </w:rPr>
        <w:t>、</w:t>
      </w:r>
      <w:bookmarkStart w:id="972" w:name="_Toc10213450"/>
      <w:r>
        <w:rPr>
          <w:rFonts w:asciiTheme="minorEastAsia" w:hAnsiTheme="minorEastAsia" w:eastAsiaTheme="minorEastAsia"/>
          <w:color w:val="auto"/>
          <w:sz w:val="21"/>
          <w:szCs w:val="21"/>
          <w:highlight w:val="none"/>
        </w:rPr>
        <w:t>商务要求</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“※”标注的商务要求为符合性审查中的实质性要求，响应文件若不满足按无效投标处理。</w:t>
      </w:r>
    </w:p>
    <w:p>
      <w:pPr>
        <w:spacing w:line="440" w:lineRule="exact"/>
        <w:ind w:firstLine="422" w:firstLineChars="200"/>
        <w:rPr>
          <w:b/>
          <w:bCs/>
          <w:color w:val="auto"/>
          <w:highlight w:val="none"/>
        </w:rPr>
      </w:pPr>
      <w:bookmarkStart w:id="973" w:name="_Toc13220"/>
      <w:bookmarkStart w:id="974" w:name="_Toc78978994"/>
      <w:bookmarkStart w:id="975" w:name="_Toc16855397"/>
      <w:r>
        <w:rPr>
          <w:b/>
          <w:bCs/>
          <w:color w:val="auto"/>
          <w:highlight w:val="none"/>
        </w:rPr>
        <w:t>3.1</w:t>
      </w:r>
      <w:r>
        <w:rPr>
          <w:rFonts w:hint="eastAsia"/>
          <w:b/>
          <w:bCs/>
          <w:color w:val="auto"/>
          <w:highlight w:val="none"/>
        </w:rPr>
        <w:t>实施时间、实施地点及验收方式</w:t>
      </w:r>
      <w:bookmarkEnd w:id="973"/>
      <w:bookmarkEnd w:id="974"/>
      <w:bookmarkEnd w:id="975"/>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※（一）计划工期</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1.合同签订后采购人下达开工报告后</w:t>
      </w:r>
      <w:r>
        <w:rPr>
          <w:rFonts w:ascii="宋体" w:hAnsi="宋体"/>
          <w:bCs/>
          <w:color w:val="auto"/>
          <w:szCs w:val="21"/>
          <w:highlight w:val="none"/>
        </w:rPr>
        <w:t>7</w:t>
      </w:r>
      <w:r>
        <w:rPr>
          <w:rFonts w:hint="eastAsia" w:ascii="宋体" w:hAnsi="宋体"/>
          <w:bCs/>
          <w:color w:val="auto"/>
          <w:szCs w:val="21"/>
          <w:highlight w:val="none"/>
        </w:rPr>
        <w:t>周，具体开工日期以采购人下达的开工报告为准。</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2.成交供应商若未按合同工期完工，每延迟一天除扣5000元的违约金，因延迟完工给采购人造成的损失，由成交供应商全部承担并赔赏。供应商在响应文件中必须对此作出承诺。</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（二）开工日期：采购人、监理人签发开工报告次日起。</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（三）项目地点</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项目地点：沙坪坝区西永微电园研发楼3期1号楼2单元</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（四）验收方式</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工程完工后，按国家相关标准验收程序和规程进行验收。在项目竣工验收时，成交供应商应提供验收报告，验收的相关费用由成交供应商负责。</w:t>
      </w:r>
    </w:p>
    <w:p>
      <w:pPr>
        <w:spacing w:line="440" w:lineRule="exact"/>
        <w:ind w:firstLine="422" w:firstLineChars="200"/>
        <w:rPr>
          <w:b/>
          <w:bCs/>
          <w:color w:val="auto"/>
          <w:highlight w:val="none"/>
        </w:rPr>
      </w:pPr>
      <w:r>
        <w:rPr>
          <w:b/>
          <w:bCs/>
          <w:color w:val="auto"/>
          <w:highlight w:val="none"/>
        </w:rPr>
        <w:t xml:space="preserve">3.2 </w:t>
      </w:r>
      <w:r>
        <w:rPr>
          <w:rFonts w:hint="eastAsia"/>
          <w:b/>
          <w:bCs/>
          <w:color w:val="auto"/>
          <w:highlight w:val="none"/>
        </w:rPr>
        <w:t>报价原则</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1.计价方式：</w:t>
      </w:r>
      <w:r>
        <w:rPr>
          <w:rFonts w:hint="eastAsia" w:ascii="宋体" w:hAnsi="宋体"/>
          <w:bCs/>
          <w:color w:val="auto"/>
          <w:szCs w:val="21"/>
          <w:highlight w:val="none"/>
        </w:rPr>
        <w:t>本项目实行包干计价。</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报价原则：本评比工程由供应商以评比文件、合同条件、本次招标范围的施工设计图、由供应商结合自身实力、市场行情自主合理报价。投标报价应包括完成招标范围内明示或暗示的工程项目的人工费、材料费、施工机具使用费、企业管理费、利润、风险费用、措施费、安全文明施工费、规费、税金、政策性文件规定的所有费用。供应商应认真填写工程量清单列表，清单明细表中的价格为包含完成本项目的所有工作内容的总价。</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材料、设备采购及报价。本工程所需的全部材料、设备由项目成交供应商采购供应。但所采购的材料必须符合国家规范标准及设计文件、评比文件要求，并提供相应合格证明资料、质保书等。项目成交供应商采购材料、设备应提前3天向项目采购方提交材料、设备采购计划表并经项目采购方或监理工程师确认后方可采购；材料价参照2022年第7期《重庆工程造价信息》并结合市场行情自主合理报价，承担材料价格涨跌风险，成交后，材料价格均不作调整；材料运输距离由投标单位根据自身情况及踏勘现场情况自行确定,成交后不作调整；施工过程中的材料损耗、消耗和试验用材料损耗和费用等，无论材料由何方供应，也无论这些损耗是否包含在消耗定额内，均由供应商纳入评比报价中。以下材料按指定品牌或同等档次及以上大厂知名品牌报价选用：</w:t>
      </w:r>
    </w:p>
    <w:tbl>
      <w:tblPr>
        <w:tblStyle w:val="40"/>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1814"/>
        <w:gridCol w:w="1418"/>
        <w:gridCol w:w="3402"/>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129" w:type="dxa"/>
          </w:tcPr>
          <w:p>
            <w:pPr>
              <w:rPr>
                <w:color w:val="auto"/>
                <w:highlight w:val="none"/>
              </w:rPr>
            </w:pPr>
            <w:r>
              <w:rPr>
                <w:color w:val="auto"/>
                <w:highlight w:val="none"/>
              </w:rPr>
              <w:t>序号</w:t>
            </w:r>
          </w:p>
        </w:tc>
        <w:tc>
          <w:tcPr>
            <w:tcW w:w="1814" w:type="dxa"/>
          </w:tcPr>
          <w:p>
            <w:pPr>
              <w:rPr>
                <w:color w:val="auto"/>
                <w:highlight w:val="none"/>
              </w:rPr>
            </w:pPr>
            <w:r>
              <w:rPr>
                <w:color w:val="auto"/>
                <w:highlight w:val="none"/>
              </w:rPr>
              <w:t>材料设备名称</w:t>
            </w:r>
          </w:p>
        </w:tc>
        <w:tc>
          <w:tcPr>
            <w:tcW w:w="1418" w:type="dxa"/>
          </w:tcPr>
          <w:p>
            <w:pPr>
              <w:rPr>
                <w:color w:val="auto"/>
                <w:highlight w:val="none"/>
              </w:rPr>
            </w:pPr>
            <w:r>
              <w:rPr>
                <w:color w:val="auto"/>
                <w:highlight w:val="none"/>
              </w:rPr>
              <w:t>规格型号</w:t>
            </w:r>
          </w:p>
        </w:tc>
        <w:tc>
          <w:tcPr>
            <w:tcW w:w="3402" w:type="dxa"/>
          </w:tcPr>
          <w:p>
            <w:pPr>
              <w:rPr>
                <w:color w:val="auto"/>
                <w:highlight w:val="none"/>
              </w:rPr>
            </w:pPr>
            <w:r>
              <w:rPr>
                <w:color w:val="auto"/>
                <w:highlight w:val="none"/>
              </w:rPr>
              <w:t>品牌范围</w:t>
            </w:r>
          </w:p>
        </w:tc>
        <w:tc>
          <w:tcPr>
            <w:tcW w:w="1417" w:type="dxa"/>
          </w:tcPr>
          <w:p>
            <w:pPr>
              <w:rPr>
                <w:color w:val="auto"/>
                <w:highlight w:val="none"/>
              </w:rPr>
            </w:pPr>
            <w:r>
              <w:rPr>
                <w:rFonts w:hint="eastAsia"/>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pPr>
              <w:rPr>
                <w:color w:val="auto"/>
                <w:highlight w:val="none"/>
              </w:rPr>
            </w:pPr>
            <w:r>
              <w:rPr>
                <w:rFonts w:hint="eastAsia"/>
                <w:color w:val="auto"/>
                <w:highlight w:val="none"/>
              </w:rPr>
              <w:t>1</w:t>
            </w:r>
          </w:p>
        </w:tc>
        <w:tc>
          <w:tcPr>
            <w:tcW w:w="1814" w:type="dxa"/>
          </w:tcPr>
          <w:p>
            <w:pPr>
              <w:rPr>
                <w:color w:val="auto"/>
                <w:highlight w:val="none"/>
              </w:rPr>
            </w:pPr>
            <w:r>
              <w:rPr>
                <w:rFonts w:hint="eastAsia"/>
                <w:color w:val="auto"/>
                <w:highlight w:val="none"/>
              </w:rPr>
              <w:t>电线电缆</w:t>
            </w:r>
          </w:p>
        </w:tc>
        <w:tc>
          <w:tcPr>
            <w:tcW w:w="1418" w:type="dxa"/>
          </w:tcPr>
          <w:p>
            <w:pPr>
              <w:rPr>
                <w:color w:val="auto"/>
                <w:highlight w:val="none"/>
              </w:rPr>
            </w:pPr>
            <w:r>
              <w:rPr>
                <w:color w:val="auto"/>
                <w:highlight w:val="none"/>
              </w:rPr>
              <w:t>综合</w:t>
            </w:r>
          </w:p>
        </w:tc>
        <w:tc>
          <w:tcPr>
            <w:tcW w:w="3402" w:type="dxa"/>
          </w:tcPr>
          <w:p>
            <w:pPr>
              <w:rPr>
                <w:color w:val="auto"/>
                <w:highlight w:val="none"/>
              </w:rPr>
            </w:pPr>
            <w:r>
              <w:rPr>
                <w:rFonts w:hint="eastAsia"/>
                <w:color w:val="auto"/>
                <w:highlight w:val="none"/>
              </w:rPr>
              <w:t>鸽牌、渝丰、南方阻燃、上海浦东、鲁能泰山</w:t>
            </w:r>
          </w:p>
        </w:tc>
        <w:tc>
          <w:tcPr>
            <w:tcW w:w="1417"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pPr>
              <w:rPr>
                <w:color w:val="auto"/>
                <w:highlight w:val="none"/>
              </w:rPr>
            </w:pPr>
            <w:r>
              <w:rPr>
                <w:rFonts w:hint="eastAsia"/>
                <w:color w:val="auto"/>
                <w:highlight w:val="none"/>
              </w:rPr>
              <w:t>2</w:t>
            </w:r>
          </w:p>
        </w:tc>
        <w:tc>
          <w:tcPr>
            <w:tcW w:w="1814" w:type="dxa"/>
          </w:tcPr>
          <w:p>
            <w:pPr>
              <w:rPr>
                <w:color w:val="auto"/>
                <w:highlight w:val="none"/>
              </w:rPr>
            </w:pPr>
            <w:r>
              <w:rPr>
                <w:rFonts w:hint="eastAsia"/>
                <w:color w:val="auto"/>
                <w:highlight w:val="none"/>
              </w:rPr>
              <w:t>电线管</w:t>
            </w:r>
          </w:p>
        </w:tc>
        <w:tc>
          <w:tcPr>
            <w:tcW w:w="1418" w:type="dxa"/>
          </w:tcPr>
          <w:p>
            <w:pPr>
              <w:rPr>
                <w:color w:val="auto"/>
                <w:highlight w:val="none"/>
              </w:rPr>
            </w:pPr>
            <w:r>
              <w:rPr>
                <w:color w:val="auto"/>
                <w:highlight w:val="none"/>
              </w:rPr>
              <w:t>综合</w:t>
            </w:r>
          </w:p>
        </w:tc>
        <w:tc>
          <w:tcPr>
            <w:tcW w:w="3402" w:type="dxa"/>
          </w:tcPr>
          <w:p>
            <w:pPr>
              <w:rPr>
                <w:color w:val="auto"/>
                <w:highlight w:val="none"/>
              </w:rPr>
            </w:pPr>
            <w:r>
              <w:rPr>
                <w:rFonts w:hint="eastAsia"/>
                <w:color w:val="auto"/>
                <w:highlight w:val="none"/>
              </w:rPr>
              <w:t>联塑、万丰、金牛</w:t>
            </w:r>
          </w:p>
        </w:tc>
        <w:tc>
          <w:tcPr>
            <w:tcW w:w="1417"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pPr>
              <w:rPr>
                <w:color w:val="auto"/>
                <w:highlight w:val="none"/>
              </w:rPr>
            </w:pPr>
            <w:r>
              <w:rPr>
                <w:rFonts w:hint="eastAsia"/>
                <w:color w:val="auto"/>
                <w:highlight w:val="none"/>
              </w:rPr>
              <w:t>3</w:t>
            </w:r>
          </w:p>
        </w:tc>
        <w:tc>
          <w:tcPr>
            <w:tcW w:w="1814" w:type="dxa"/>
          </w:tcPr>
          <w:p>
            <w:pPr>
              <w:rPr>
                <w:color w:val="auto"/>
                <w:highlight w:val="none"/>
              </w:rPr>
            </w:pPr>
            <w:r>
              <w:rPr>
                <w:rFonts w:hint="eastAsia"/>
                <w:color w:val="auto"/>
                <w:highlight w:val="none"/>
              </w:rPr>
              <w:t>UPVC管</w:t>
            </w:r>
          </w:p>
        </w:tc>
        <w:tc>
          <w:tcPr>
            <w:tcW w:w="1418" w:type="dxa"/>
          </w:tcPr>
          <w:p>
            <w:pPr>
              <w:rPr>
                <w:color w:val="auto"/>
                <w:highlight w:val="none"/>
              </w:rPr>
            </w:pPr>
            <w:r>
              <w:rPr>
                <w:color w:val="auto"/>
                <w:highlight w:val="none"/>
              </w:rPr>
              <w:t>综合</w:t>
            </w:r>
          </w:p>
        </w:tc>
        <w:tc>
          <w:tcPr>
            <w:tcW w:w="3402" w:type="dxa"/>
          </w:tcPr>
          <w:p>
            <w:pPr>
              <w:rPr>
                <w:color w:val="auto"/>
                <w:highlight w:val="none"/>
              </w:rPr>
            </w:pPr>
            <w:r>
              <w:rPr>
                <w:rFonts w:hint="eastAsia"/>
                <w:color w:val="auto"/>
                <w:highlight w:val="none"/>
              </w:rPr>
              <w:t>联塑、万丰、金牛</w:t>
            </w:r>
          </w:p>
        </w:tc>
        <w:tc>
          <w:tcPr>
            <w:tcW w:w="1417" w:type="dxa"/>
          </w:tcPr>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pPr>
              <w:rPr>
                <w:color w:val="auto"/>
                <w:highlight w:val="none"/>
              </w:rPr>
            </w:pPr>
            <w:r>
              <w:rPr>
                <w:rFonts w:hint="eastAsia"/>
                <w:color w:val="auto"/>
                <w:highlight w:val="none"/>
              </w:rPr>
              <w:t>4</w:t>
            </w:r>
          </w:p>
        </w:tc>
        <w:tc>
          <w:tcPr>
            <w:tcW w:w="1814" w:type="dxa"/>
          </w:tcPr>
          <w:p>
            <w:pPr>
              <w:rPr>
                <w:color w:val="auto"/>
                <w:highlight w:val="none"/>
              </w:rPr>
            </w:pPr>
            <w:r>
              <w:rPr>
                <w:rFonts w:hint="eastAsia"/>
                <w:color w:val="auto"/>
                <w:highlight w:val="none"/>
              </w:rPr>
              <w:t>配电箱元器件</w:t>
            </w:r>
          </w:p>
        </w:tc>
        <w:tc>
          <w:tcPr>
            <w:tcW w:w="1418" w:type="dxa"/>
          </w:tcPr>
          <w:p>
            <w:pPr>
              <w:rPr>
                <w:color w:val="auto"/>
                <w:highlight w:val="none"/>
              </w:rPr>
            </w:pPr>
            <w:r>
              <w:rPr>
                <w:rFonts w:hint="eastAsia"/>
                <w:color w:val="auto"/>
                <w:highlight w:val="none"/>
              </w:rPr>
              <w:t>综合</w:t>
            </w:r>
          </w:p>
        </w:tc>
        <w:tc>
          <w:tcPr>
            <w:tcW w:w="3402" w:type="dxa"/>
          </w:tcPr>
          <w:p>
            <w:pPr>
              <w:rPr>
                <w:color w:val="auto"/>
                <w:highlight w:val="none"/>
              </w:rPr>
            </w:pPr>
            <w:r>
              <w:rPr>
                <w:rFonts w:hint="eastAsia"/>
                <w:color w:val="auto"/>
                <w:highlight w:val="none"/>
              </w:rPr>
              <w:t>施耐德、ABB、西门子</w:t>
            </w:r>
          </w:p>
        </w:tc>
        <w:tc>
          <w:tcPr>
            <w:tcW w:w="1417" w:type="dxa"/>
          </w:tcPr>
          <w:p>
            <w:pPr>
              <w:rPr>
                <w:color w:val="auto"/>
                <w:highlight w:val="none"/>
              </w:rPr>
            </w:pPr>
          </w:p>
        </w:tc>
      </w:tr>
    </w:tbl>
    <w:p>
      <w:pPr>
        <w:snapToGrid w:val="0"/>
        <w:spacing w:line="360" w:lineRule="auto"/>
        <w:rPr>
          <w:rFonts w:ascii="宋体" w:hAnsi="宋体" w:cs="宋体"/>
          <w:color w:val="auto"/>
          <w:kern w:val="0"/>
          <w:sz w:val="24"/>
          <w:highlight w:val="none"/>
        </w:rPr>
      </w:pP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 xml:space="preserve">注：以上材料价格为到工地的出库包干价（有特别说明的为施工成品价格），由供应商自主报价，施工时经采购方、监理、成交供应商共同看质封样并书面签证同意后由成交供应商自行采购，但必须满足规范要求，原则上结算时不作调整。 </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（2）人工费参照2022年第7季度《重庆工程造价信息》并结合市场行情自主合理报价，成交后人工费不作调整。材料运输距离由供应商根据自身情况及踏勘现场情况自行确定,成交后不调整。</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（3）措施项目费包括施工技术措施项目费和施工组织措施项目费两部分。由供应商自行考虑进评比报价中，包干使用。</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 投标报价含投标总报价、各清单单价及安全文明施工费。投标总报价作为报价部分评标计分依据。</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3.供应商的评比总报价应是第二篇所述的本项目采购范围内的全部施工部分的评比报价（含疫情防控费用）。</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※4. 如发现图纸中有问题，应于规定的时间前书面通知采购人核查，除非采购人以补遗书的形式予以更正，否则，不作调整。 只允许有一个报价，任何有选择的报价将不予接受。</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5. 评比函中的投标总报价必须与商务部分（预算书）总报价一致，否则作未响应商务部分要求。</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6. 安全文明施工费：根据《重庆市建设工程费用定额》（CQFYDE-2018）规定进行计算。</w:t>
      </w:r>
    </w:p>
    <w:p>
      <w:pPr>
        <w:spacing w:line="360" w:lineRule="auto"/>
        <w:ind w:firstLine="420" w:firstLineChars="200"/>
        <w:rPr>
          <w:rFonts w:ascii="宋体" w:hAnsi="宋体"/>
          <w:bCs/>
          <w:color w:val="auto"/>
          <w:szCs w:val="21"/>
          <w:highlight w:val="none"/>
        </w:rPr>
      </w:pPr>
      <w:bookmarkStart w:id="976" w:name="_Toc28962040"/>
      <w:r>
        <w:rPr>
          <w:rFonts w:hint="eastAsia" w:ascii="宋体" w:hAnsi="宋体"/>
          <w:bCs/>
          <w:color w:val="auto"/>
          <w:szCs w:val="21"/>
          <w:highlight w:val="none"/>
        </w:rPr>
        <w:t>※ 注：本工程投标总报价最高预算为55万元，包含安全文明施工费。各供应商的投标总报价不得超过采购人设置的最高预算，否则，将被认定为无效投标。</w:t>
      </w:r>
      <w:bookmarkEnd w:id="976"/>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 7.低价成交风险担保金：如成交价低于投标总报价最高限价的85%，则成交供应商须按成交价与最高限价的85%之间差额的3倍向采购人缴纳低价成交风险担保金。</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提交方式：现金或电汇。</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提交时间：成交供应商收到成交通知书后5个工作日内向采购人提交低价成交风险担保金。若未按时提交，采购人不予签订合同并有权取消其成交资格、没收投标保证金。同时采购人可以按照评标报告推荐的成交候选供应商顺序，确定排名下一位的候选人为成交供应商，也可以重新开展政府采购活动。</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低价成交风险担保金退还方式：本工程完工验收合格后7日内一次性无息返还。</w:t>
      </w:r>
    </w:p>
    <w:p>
      <w:pPr>
        <w:spacing w:line="440" w:lineRule="exact"/>
        <w:ind w:firstLine="422" w:firstLineChars="200"/>
        <w:rPr>
          <w:b/>
          <w:bCs/>
          <w:color w:val="auto"/>
          <w:highlight w:val="none"/>
        </w:rPr>
      </w:pPr>
      <w:r>
        <w:rPr>
          <w:rFonts w:hint="eastAsia"/>
          <w:b/>
          <w:bCs/>
          <w:color w:val="auto"/>
          <w:highlight w:val="none"/>
        </w:rPr>
        <w:t>3</w:t>
      </w:r>
      <w:r>
        <w:rPr>
          <w:b/>
          <w:bCs/>
          <w:color w:val="auto"/>
          <w:highlight w:val="none"/>
        </w:rPr>
        <w:t xml:space="preserve">.3 </w:t>
      </w:r>
      <w:r>
        <w:rPr>
          <w:rFonts w:hint="eastAsia"/>
          <w:b/>
          <w:bCs/>
          <w:color w:val="auto"/>
          <w:highlight w:val="none"/>
        </w:rPr>
        <w:t>结算原则</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实行总价包干，既评比总报价</w:t>
      </w:r>
      <w:r>
        <w:rPr>
          <w:rFonts w:ascii="宋体" w:hAnsi="宋体"/>
          <w:bCs/>
          <w:color w:val="auto"/>
          <w:szCs w:val="21"/>
          <w:highlight w:val="none"/>
        </w:rPr>
        <w:t>=</w:t>
      </w:r>
      <w:r>
        <w:rPr>
          <w:rFonts w:hint="eastAsia" w:ascii="宋体" w:hAnsi="宋体"/>
          <w:bCs/>
          <w:color w:val="auto"/>
          <w:szCs w:val="21"/>
          <w:highlight w:val="none"/>
        </w:rPr>
        <w:t>结算价。</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4.其他说明</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4.1按政策和合同约定的应由成交供应商交纳的各种保险费由供应商自行投保，保险费由成交供应商承担并支付，并根据企业自身和本工程情况，测算包含在相应的报价中。</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4.2本项目施工水电的接入口由采购人指定，供应商自行承担施工用水用电费用，供应商应自行考虑包括电源、水源的接入，电缆、电线的架设，电表安装，水管铺设，水表安装，以及采用自备柴油发电机组发电等全部工作内容，以上所有内容不作为变更工期的条件。上述费用已包含在供应商评比报价中包干使用，结算时不作调整。</w:t>
      </w:r>
    </w:p>
    <w:p>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4.3 施工过程中，供应商需保证已有道路通行，不得中断交通，需对施工区域、运输通道及其他施工单位已完成工程或设施设备进行成品保护，相关费用由供应商自行考虑，包含在评比总报价中，包干使用，结算时不做调整。如在施工过程中造成任何物品的破坏、损坏及污染，由供应商在工程竣工验收前无偿更换或修复完成。成品损坏恢复作为竣工验收条件之一，若供应商未在约定工期内完成成品损坏恢复，则视为工期违约；若供应商拒不执行成品损坏恢复，发包人有权自行单方面处理，相关费用从工程结算款中扣除（费用由采购人及监理认定）。</w:t>
      </w:r>
    </w:p>
    <w:p>
      <w:pPr>
        <w:spacing w:line="440" w:lineRule="exact"/>
        <w:rPr>
          <w:b/>
          <w:bCs/>
          <w:color w:val="auto"/>
          <w:highlight w:val="none"/>
        </w:rPr>
      </w:pPr>
      <w:bookmarkStart w:id="977" w:name="_Toc27697"/>
      <w:bookmarkStart w:id="978" w:name="_Toc78978996"/>
      <w:r>
        <w:rPr>
          <w:b/>
          <w:bCs/>
          <w:color w:val="auto"/>
          <w:highlight w:val="none"/>
        </w:rPr>
        <w:t>3.4质量保证</w:t>
      </w:r>
      <w:bookmarkEnd w:id="977"/>
      <w:bookmarkEnd w:id="978"/>
      <w:r>
        <w:rPr>
          <w:rFonts w:hint="eastAsia"/>
          <w:b/>
          <w:bCs/>
          <w:color w:val="auto"/>
          <w:highlight w:val="none"/>
        </w:rPr>
        <w:t>期</w:t>
      </w:r>
    </w:p>
    <w:p>
      <w:pPr>
        <w:spacing w:line="440" w:lineRule="exact"/>
        <w:ind w:firstLine="420" w:firstLineChars="200"/>
        <w:rPr>
          <w:color w:val="auto"/>
          <w:szCs w:val="21"/>
          <w:highlight w:val="none"/>
        </w:rPr>
      </w:pPr>
      <w:r>
        <w:rPr>
          <w:rFonts w:hint="eastAsia"/>
          <w:color w:val="auto"/>
          <w:szCs w:val="21"/>
          <w:highlight w:val="none"/>
        </w:rPr>
        <w:t>工程设备和材料质量总体要求：工程相关设备和材料必须货真价实，符合环保节能要求，假冒伪劣产品不得参与政府采购；设备和材料的各项手续、文件必须真实完整有效；其他材料各项质量指标必须符合国家技术质量监督机构及有关管理部门和行业的规定和标准。工程质量、施工工艺应符合工程验收合格标准。</w:t>
      </w:r>
    </w:p>
    <w:p>
      <w:pPr>
        <w:spacing w:line="440" w:lineRule="exact"/>
        <w:ind w:firstLine="420" w:firstLineChars="200"/>
        <w:rPr>
          <w:color w:val="auto"/>
          <w:szCs w:val="21"/>
          <w:highlight w:val="none"/>
        </w:rPr>
      </w:pPr>
      <w:r>
        <w:rPr>
          <w:rFonts w:hint="eastAsia"/>
          <w:color w:val="auto"/>
          <w:szCs w:val="21"/>
          <w:highlight w:val="none"/>
        </w:rPr>
        <w:t>工程质量保证期从本工程竣工验收合格之日起计算。工程质保期需满足重庆市建设工程质量监督总站监制《重庆市建设工程质量保修书》相关要求，质量保修期为：</w:t>
      </w:r>
    </w:p>
    <w:p>
      <w:pPr>
        <w:spacing w:line="440" w:lineRule="exact"/>
        <w:rPr>
          <w:color w:val="auto"/>
          <w:szCs w:val="21"/>
          <w:highlight w:val="none"/>
        </w:rPr>
      </w:pPr>
      <w:r>
        <w:rPr>
          <w:rFonts w:hint="eastAsia"/>
          <w:color w:val="auto"/>
          <w:szCs w:val="21"/>
          <w:highlight w:val="none"/>
        </w:rPr>
        <w:t>（1）装修工程为贰年；</w:t>
      </w:r>
    </w:p>
    <w:p>
      <w:pPr>
        <w:spacing w:line="440" w:lineRule="exact"/>
        <w:rPr>
          <w:color w:val="auto"/>
          <w:szCs w:val="21"/>
          <w:highlight w:val="none"/>
        </w:rPr>
      </w:pPr>
      <w:r>
        <w:rPr>
          <w:rFonts w:hint="eastAsia"/>
          <w:color w:val="auto"/>
          <w:szCs w:val="21"/>
          <w:highlight w:val="none"/>
        </w:rPr>
        <w:t>（2）屋面防水工程、房间和外墙面的防渗漏为伍年；</w:t>
      </w:r>
    </w:p>
    <w:p>
      <w:pPr>
        <w:spacing w:line="440" w:lineRule="exact"/>
        <w:rPr>
          <w:color w:val="auto"/>
          <w:szCs w:val="21"/>
          <w:highlight w:val="none"/>
        </w:rPr>
      </w:pPr>
      <w:r>
        <w:rPr>
          <w:rFonts w:hint="eastAsia"/>
          <w:color w:val="auto"/>
          <w:szCs w:val="21"/>
          <w:highlight w:val="none"/>
        </w:rPr>
        <w:t>（3）电气管线、给排水管道、设备安装工程为贰年。</w:t>
      </w:r>
    </w:p>
    <w:p>
      <w:pPr>
        <w:spacing w:line="440" w:lineRule="exact"/>
        <w:rPr>
          <w:b/>
          <w:bCs/>
          <w:color w:val="auto"/>
          <w:highlight w:val="none"/>
        </w:rPr>
      </w:pPr>
      <w:r>
        <w:rPr>
          <w:rFonts w:hint="eastAsia"/>
          <w:b/>
          <w:bCs/>
          <w:color w:val="auto"/>
          <w:highlight w:val="none"/>
        </w:rPr>
        <w:t>3</w:t>
      </w:r>
      <w:r>
        <w:rPr>
          <w:b/>
          <w:bCs/>
          <w:color w:val="auto"/>
          <w:highlight w:val="none"/>
        </w:rPr>
        <w:t xml:space="preserve">.5 </w:t>
      </w:r>
      <w:r>
        <w:rPr>
          <w:rFonts w:hint="eastAsia"/>
          <w:b/>
          <w:bCs/>
          <w:color w:val="auto"/>
          <w:highlight w:val="none"/>
        </w:rPr>
        <w:t>缺陷责任</w:t>
      </w:r>
    </w:p>
    <w:p>
      <w:pPr>
        <w:spacing w:line="440" w:lineRule="exact"/>
        <w:ind w:firstLine="420" w:firstLineChars="200"/>
        <w:rPr>
          <w:color w:val="auto"/>
          <w:szCs w:val="21"/>
          <w:highlight w:val="none"/>
        </w:rPr>
      </w:pPr>
      <w:r>
        <w:rPr>
          <w:rFonts w:hint="eastAsia"/>
          <w:color w:val="auto"/>
          <w:szCs w:val="21"/>
          <w:highlight w:val="none"/>
        </w:rPr>
        <w:t>根据《中华人民共和国文物保护法》、《中华人民共和国文物保护法实施条例》、《建设工程质量管理条例》确定 ，缺陷责任期为竣工验收合格之日起2年。</w:t>
      </w:r>
    </w:p>
    <w:p>
      <w:pPr>
        <w:spacing w:line="440" w:lineRule="exact"/>
        <w:rPr>
          <w:b/>
          <w:bCs/>
          <w:color w:val="auto"/>
          <w:highlight w:val="none"/>
        </w:rPr>
      </w:pPr>
      <w:bookmarkStart w:id="979" w:name="_Toc338159969"/>
      <w:bookmarkStart w:id="980" w:name="_Toc78978999"/>
      <w:bookmarkStart w:id="981" w:name="_Toc341777731"/>
      <w:r>
        <w:rPr>
          <w:b/>
          <w:bCs/>
          <w:color w:val="auto"/>
          <w:highlight w:val="none"/>
        </w:rPr>
        <w:t>3.</w:t>
      </w:r>
      <w:bookmarkEnd w:id="979"/>
      <w:bookmarkEnd w:id="980"/>
      <w:bookmarkEnd w:id="981"/>
      <w:r>
        <w:rPr>
          <w:b/>
          <w:bCs/>
          <w:color w:val="auto"/>
          <w:highlight w:val="none"/>
        </w:rPr>
        <w:t>6</w:t>
      </w:r>
      <w:r>
        <w:rPr>
          <w:rFonts w:hint="eastAsia"/>
          <w:b/>
          <w:bCs/>
          <w:color w:val="auto"/>
          <w:highlight w:val="none"/>
        </w:rPr>
        <w:t>维修响应和修复</w:t>
      </w:r>
    </w:p>
    <w:p>
      <w:pPr>
        <w:spacing w:line="440" w:lineRule="exact"/>
        <w:rPr>
          <w:color w:val="auto"/>
          <w:szCs w:val="21"/>
          <w:highlight w:val="none"/>
        </w:rPr>
      </w:pPr>
      <w:bookmarkStart w:id="982" w:name="_Toc13432"/>
      <w:r>
        <w:rPr>
          <w:rFonts w:hint="eastAsia"/>
          <w:color w:val="auto"/>
          <w:szCs w:val="21"/>
          <w:highlight w:val="none"/>
        </w:rPr>
        <w:t>（1）质保期内安排专人负责处理故障维修工作，属于保修范围和内容的项目，应在接到故障维修通知之日后2小时内派人赶往现场，并在24小时内恢复正常供电。承包人不在约定期限内派人修理，发包人可委托其他人员修理，所发生的一切费用无须经承包人认可，费用从质量保修金内扣除。所留质量保修金不足以支付维修费的，承包人须补足余额；</w:t>
      </w:r>
    </w:p>
    <w:p>
      <w:pPr>
        <w:spacing w:line="440" w:lineRule="exact"/>
        <w:rPr>
          <w:color w:val="auto"/>
          <w:szCs w:val="21"/>
          <w:highlight w:val="none"/>
        </w:rPr>
      </w:pPr>
      <w:r>
        <w:rPr>
          <w:rFonts w:hint="eastAsia"/>
          <w:color w:val="auto"/>
          <w:szCs w:val="21"/>
          <w:highlight w:val="none"/>
        </w:rPr>
        <w:t>（2）防水工程的修复，承包人接到事故通知后，应立即到达事故现场抢修，修复时间不大于5个日历天（从报修时算起），其它工程修复时间不大于3个日历天（从报修时算起），特殊情况延长修复期的需征得发包人同意；</w:t>
      </w:r>
    </w:p>
    <w:p>
      <w:pPr>
        <w:spacing w:line="440" w:lineRule="exact"/>
        <w:rPr>
          <w:color w:val="auto"/>
          <w:szCs w:val="21"/>
          <w:highlight w:val="none"/>
        </w:rPr>
      </w:pPr>
      <w:r>
        <w:rPr>
          <w:rFonts w:hint="eastAsia"/>
          <w:color w:val="auto"/>
          <w:szCs w:val="21"/>
          <w:highlight w:val="none"/>
        </w:rPr>
        <w:t>（3）属于保修范围和内容的项目，承包人不能在规定时间内修复缺陷的，发包人有权自行修复或委托其他人修复，所发生的一切费用无须经承包人认可，费用从质量保修金内扣除。所留质量保修金不足以支付维修费的，承包人须补足余额。</w:t>
      </w:r>
    </w:p>
    <w:p>
      <w:pPr>
        <w:spacing w:line="440" w:lineRule="exact"/>
        <w:rPr>
          <w:b/>
          <w:bCs/>
          <w:color w:val="auto"/>
          <w:highlight w:val="none"/>
        </w:rPr>
      </w:pPr>
      <w:r>
        <w:rPr>
          <w:rFonts w:hint="eastAsia"/>
          <w:b/>
          <w:bCs/>
          <w:color w:val="auto"/>
          <w:highlight w:val="none"/>
        </w:rPr>
        <w:t>3</w:t>
      </w:r>
      <w:r>
        <w:rPr>
          <w:b/>
          <w:bCs/>
          <w:color w:val="auto"/>
          <w:highlight w:val="none"/>
        </w:rPr>
        <w:t xml:space="preserve">.7 </w:t>
      </w:r>
      <w:r>
        <w:rPr>
          <w:rFonts w:hint="eastAsia"/>
          <w:b/>
          <w:bCs/>
          <w:color w:val="auto"/>
          <w:highlight w:val="none"/>
        </w:rPr>
        <w:t>知识产权</w:t>
      </w:r>
    </w:p>
    <w:p>
      <w:pPr>
        <w:spacing w:line="440" w:lineRule="exact"/>
        <w:ind w:firstLine="420" w:firstLineChars="200"/>
        <w:rPr>
          <w:color w:val="auto"/>
          <w:szCs w:val="21"/>
          <w:highlight w:val="none"/>
        </w:rPr>
      </w:pPr>
      <w:r>
        <w:rPr>
          <w:rFonts w:hint="eastAsia"/>
          <w:color w:val="auto"/>
          <w:szCs w:val="21"/>
          <w:highlight w:val="none"/>
        </w:rPr>
        <w:t>采购人在中华人民共和国境内使用成交供应商提供的货物及服务时免受第三方提出的侵犯其专利权或其它知识产权的起诉。如果第三方提出侵权指控，成交供应商应承担由此而引起的一切法律责任和费用。</w:t>
      </w:r>
    </w:p>
    <w:p>
      <w:pPr>
        <w:spacing w:line="440" w:lineRule="exact"/>
        <w:rPr>
          <w:b/>
          <w:bCs/>
          <w:color w:val="auto"/>
          <w:highlight w:val="none"/>
        </w:rPr>
      </w:pPr>
      <w:r>
        <w:rPr>
          <w:rFonts w:hint="eastAsia"/>
          <w:b/>
          <w:bCs/>
          <w:color w:val="auto"/>
          <w:highlight w:val="none"/>
        </w:rPr>
        <w:t>3</w:t>
      </w:r>
      <w:r>
        <w:rPr>
          <w:b/>
          <w:bCs/>
          <w:color w:val="auto"/>
          <w:highlight w:val="none"/>
        </w:rPr>
        <w:t xml:space="preserve">.8 </w:t>
      </w:r>
      <w:r>
        <w:rPr>
          <w:rFonts w:hint="eastAsia"/>
          <w:b/>
          <w:bCs/>
          <w:color w:val="auto"/>
          <w:highlight w:val="none"/>
        </w:rPr>
        <w:t>关于转、分包</w:t>
      </w:r>
    </w:p>
    <w:p>
      <w:pPr>
        <w:spacing w:line="440" w:lineRule="exact"/>
        <w:ind w:firstLine="420" w:firstLineChars="200"/>
        <w:rPr>
          <w:color w:val="auto"/>
          <w:szCs w:val="21"/>
          <w:highlight w:val="none"/>
        </w:rPr>
      </w:pPr>
      <w:r>
        <w:rPr>
          <w:rFonts w:hint="eastAsia"/>
          <w:color w:val="auto"/>
          <w:szCs w:val="21"/>
          <w:highlight w:val="none"/>
        </w:rPr>
        <w:t>成交供应商未经采购人书面同意，不得将本工程项目转、分包给第三方，如成交供应商将本工程项目转、分包给第三方的，采购人有权解除合同，同时采购人有权要求成交供应商按合同总金额的10 %支付违约金，因此给采购人造成的损失应由成交供应商承担赔偿责任。</w:t>
      </w:r>
    </w:p>
    <w:bookmarkEnd w:id="982"/>
    <w:p>
      <w:pPr>
        <w:spacing w:line="440" w:lineRule="exact"/>
        <w:rPr>
          <w:b/>
          <w:bCs/>
          <w:color w:val="auto"/>
          <w:highlight w:val="none"/>
        </w:rPr>
      </w:pPr>
      <w:bookmarkStart w:id="983" w:name="_Toc78979001"/>
      <w:bookmarkStart w:id="984" w:name="_Toc4451"/>
      <w:r>
        <w:rPr>
          <w:b/>
          <w:bCs/>
          <w:color w:val="auto"/>
          <w:highlight w:val="none"/>
        </w:rPr>
        <w:t>3.9其他商务要求内容</w:t>
      </w:r>
      <w:bookmarkEnd w:id="983"/>
      <w:bookmarkEnd w:id="984"/>
    </w:p>
    <w:p>
      <w:pPr>
        <w:spacing w:line="440" w:lineRule="exact"/>
        <w:ind w:firstLine="420" w:firstLineChars="200"/>
        <w:rPr>
          <w:bCs/>
          <w:color w:val="auto"/>
          <w:szCs w:val="21"/>
          <w:highlight w:val="none"/>
        </w:rPr>
      </w:pPr>
      <w:r>
        <w:rPr>
          <w:rFonts w:hint="eastAsia"/>
          <w:bCs/>
          <w:color w:val="auto"/>
          <w:szCs w:val="21"/>
          <w:highlight w:val="none"/>
        </w:rPr>
        <w:t>1）设计要求：供应商应在投标前完成项目的实地勘察，在合同签订后，完成详细的设计，设计方案应符合国家有关法律、法规、相关规范及标准要求，并接受甲方聘请的第三方公司的审查</w:t>
      </w:r>
      <w:r>
        <w:rPr>
          <w:bCs/>
          <w:color w:val="auto"/>
          <w:szCs w:val="21"/>
          <w:highlight w:val="none"/>
        </w:rPr>
        <w:t>。</w:t>
      </w:r>
    </w:p>
    <w:p>
      <w:pPr>
        <w:spacing w:line="440" w:lineRule="exact"/>
        <w:ind w:firstLine="420" w:firstLineChars="200"/>
        <w:rPr>
          <w:color w:val="auto"/>
          <w:szCs w:val="21"/>
          <w:highlight w:val="none"/>
        </w:rPr>
      </w:pPr>
      <w:r>
        <w:rPr>
          <w:rFonts w:hint="eastAsia"/>
          <w:color w:val="auto"/>
          <w:szCs w:val="21"/>
          <w:highlight w:val="none"/>
        </w:rPr>
        <w:t>2）施工要求：</w:t>
      </w:r>
      <w:r>
        <w:rPr>
          <w:rFonts w:hint="eastAsia" w:ascii="宋体" w:hAnsi="宋体"/>
          <w:color w:val="auto"/>
          <w:kern w:val="24"/>
          <w:szCs w:val="21"/>
          <w:highlight w:val="none"/>
        </w:rPr>
        <w:t>供应商应当在施工前向甲方以及甲方聘请的第三方监理公司提供施工的方案和进度计划，并在施工过程中接受第三方监理公司的监理。</w:t>
      </w:r>
      <w:r>
        <w:rPr>
          <w:rFonts w:hint="eastAsia" w:ascii="宋体" w:hAnsi="宋体" w:cs="仿宋"/>
          <w:color w:val="auto"/>
          <w:szCs w:val="21"/>
          <w:highlight w:val="none"/>
        </w:rPr>
        <w:t>施工时必须严格施工图纸及图纸内容、进行施工，不得擅自修改施工内容</w:t>
      </w:r>
      <w:r>
        <w:rPr>
          <w:rFonts w:hint="eastAsia"/>
          <w:color w:val="auto"/>
          <w:szCs w:val="21"/>
          <w:highlight w:val="none"/>
        </w:rPr>
        <w:t>。</w:t>
      </w:r>
    </w:p>
    <w:p>
      <w:pPr>
        <w:spacing w:line="440" w:lineRule="exact"/>
        <w:ind w:firstLine="420" w:firstLineChars="200"/>
        <w:rPr>
          <w:rFonts w:ascii="宋体" w:hAnsi="宋体"/>
          <w:color w:val="auto"/>
          <w:szCs w:val="21"/>
          <w:highlight w:val="none"/>
        </w:rPr>
      </w:pPr>
      <w:r>
        <w:rPr>
          <w:rFonts w:hint="eastAsia"/>
          <w:bCs/>
          <w:color w:val="auto"/>
          <w:szCs w:val="21"/>
          <w:highlight w:val="none"/>
        </w:rPr>
        <w:t>3）供应</w:t>
      </w:r>
      <w:r>
        <w:rPr>
          <w:rFonts w:hint="eastAsia" w:ascii="宋体" w:hAnsi="宋体"/>
          <w:color w:val="auto"/>
          <w:szCs w:val="21"/>
          <w:highlight w:val="none"/>
        </w:rPr>
        <w:t>商必须在响应文件中对以上条款和服务承诺明确列出，承诺内容必须达到本篇及评比文件中其他条款的要求。</w:t>
      </w:r>
    </w:p>
    <w:p>
      <w:pPr>
        <w:spacing w:line="440" w:lineRule="exact"/>
        <w:ind w:firstLine="420" w:firstLineChars="200"/>
        <w:rPr>
          <w:bCs/>
          <w:color w:val="auto"/>
          <w:szCs w:val="21"/>
          <w:highlight w:val="none"/>
        </w:rPr>
      </w:pPr>
      <w:r>
        <w:rPr>
          <w:rFonts w:hint="eastAsia"/>
          <w:bCs/>
          <w:color w:val="auto"/>
          <w:szCs w:val="21"/>
          <w:highlight w:val="none"/>
        </w:rPr>
        <w:t>4）项目实施阶段，成交供应商不得变更评比时承诺的项目负责人（项目经理），否则采购人有权终止合同，供应商交纳的履约保证金采购人不予退还。</w:t>
      </w:r>
    </w:p>
    <w:p>
      <w:pPr>
        <w:spacing w:line="440" w:lineRule="exact"/>
        <w:ind w:firstLine="420" w:firstLineChars="200"/>
        <w:rPr>
          <w:bCs/>
          <w:color w:val="auto"/>
          <w:szCs w:val="21"/>
          <w:highlight w:val="none"/>
        </w:rPr>
      </w:pPr>
      <w:r>
        <w:rPr>
          <w:rFonts w:hint="eastAsia"/>
          <w:bCs/>
          <w:color w:val="auto"/>
          <w:szCs w:val="21"/>
          <w:highlight w:val="none"/>
        </w:rPr>
        <w:t>5）供应商有下列情况之一时，发包人有权解除合同，同时供应商必须无条件退场，因此产生的损失由供应商承担,</w:t>
      </w:r>
      <w:r>
        <w:rPr>
          <w:bCs/>
          <w:color w:val="auto"/>
          <w:szCs w:val="21"/>
          <w:highlight w:val="none"/>
        </w:rPr>
        <w:t xml:space="preserve"> </w:t>
      </w:r>
      <w:r>
        <w:rPr>
          <w:rFonts w:hint="eastAsia"/>
          <w:bCs/>
          <w:color w:val="auto"/>
          <w:szCs w:val="21"/>
          <w:highlight w:val="none"/>
        </w:rPr>
        <w:t>并没收履约保证金，且只按发包人和监理人验收合格的工程量的70％支付工程款。</w:t>
      </w:r>
    </w:p>
    <w:p>
      <w:pPr>
        <w:spacing w:line="440" w:lineRule="exact"/>
        <w:ind w:firstLine="420" w:firstLineChars="200"/>
        <w:rPr>
          <w:bCs/>
          <w:color w:val="auto"/>
          <w:szCs w:val="21"/>
          <w:highlight w:val="none"/>
        </w:rPr>
      </w:pPr>
      <w:r>
        <w:rPr>
          <w:rFonts w:hint="eastAsia"/>
          <w:bCs/>
          <w:color w:val="auto"/>
          <w:szCs w:val="21"/>
          <w:highlight w:val="none"/>
        </w:rPr>
        <w:t>（1）未按经发包人或监理工程师确定的施工组织设计（施工方案）和工程进度计划载明的人员、设备到位，经发包人或监理工程师检查到两次的；</w:t>
      </w:r>
    </w:p>
    <w:p>
      <w:pPr>
        <w:spacing w:line="440" w:lineRule="exact"/>
        <w:ind w:firstLine="420" w:firstLineChars="200"/>
        <w:rPr>
          <w:bCs/>
          <w:color w:val="auto"/>
          <w:szCs w:val="21"/>
          <w:highlight w:val="none"/>
        </w:rPr>
      </w:pPr>
      <w:r>
        <w:rPr>
          <w:rFonts w:hint="eastAsia"/>
          <w:bCs/>
          <w:color w:val="auto"/>
          <w:szCs w:val="21"/>
          <w:highlight w:val="none"/>
        </w:rPr>
        <w:t>（</w:t>
      </w:r>
      <w:r>
        <w:rPr>
          <w:bCs/>
          <w:color w:val="auto"/>
          <w:szCs w:val="21"/>
          <w:highlight w:val="none"/>
        </w:rPr>
        <w:t>2</w:t>
      </w:r>
      <w:r>
        <w:rPr>
          <w:rFonts w:hint="eastAsia"/>
          <w:bCs/>
          <w:color w:val="auto"/>
          <w:szCs w:val="21"/>
          <w:highlight w:val="none"/>
        </w:rPr>
        <w:t>）未按经发包人或监理工程师确认的工程进度计划保质保量按时完成，延期完成施工任务，经发包人或监理工程师检查到两次的；</w:t>
      </w:r>
    </w:p>
    <w:p>
      <w:pPr>
        <w:spacing w:line="440" w:lineRule="exact"/>
        <w:ind w:firstLine="420" w:firstLineChars="200"/>
        <w:rPr>
          <w:bCs/>
          <w:color w:val="auto"/>
          <w:szCs w:val="21"/>
          <w:highlight w:val="none"/>
        </w:rPr>
      </w:pPr>
      <w:r>
        <w:rPr>
          <w:rFonts w:hint="eastAsia"/>
          <w:bCs/>
          <w:color w:val="auto"/>
          <w:szCs w:val="21"/>
          <w:highlight w:val="none"/>
        </w:rPr>
        <w:t>（</w:t>
      </w:r>
      <w:r>
        <w:rPr>
          <w:bCs/>
          <w:color w:val="auto"/>
          <w:szCs w:val="21"/>
          <w:highlight w:val="none"/>
        </w:rPr>
        <w:t>3</w:t>
      </w:r>
      <w:r>
        <w:rPr>
          <w:rFonts w:hint="eastAsia"/>
          <w:bCs/>
          <w:color w:val="auto"/>
          <w:szCs w:val="21"/>
          <w:highlight w:val="none"/>
        </w:rPr>
        <w:t>）其他不按经发包人或监理工程师确认的施工组织设计（施工方案）和工程进度计划进行施工的行为，经发包人或监理工程师检查到两次的；</w:t>
      </w:r>
    </w:p>
    <w:p>
      <w:pPr>
        <w:spacing w:line="440" w:lineRule="exact"/>
        <w:ind w:firstLine="420" w:firstLineChars="200"/>
        <w:rPr>
          <w:bCs/>
          <w:color w:val="auto"/>
          <w:szCs w:val="21"/>
          <w:highlight w:val="none"/>
        </w:rPr>
      </w:pPr>
      <w:r>
        <w:rPr>
          <w:rFonts w:hint="eastAsia"/>
          <w:bCs/>
          <w:color w:val="auto"/>
          <w:szCs w:val="21"/>
          <w:highlight w:val="none"/>
        </w:rPr>
        <w:t>（</w:t>
      </w:r>
      <w:r>
        <w:rPr>
          <w:bCs/>
          <w:color w:val="auto"/>
          <w:szCs w:val="21"/>
          <w:highlight w:val="none"/>
        </w:rPr>
        <w:t>4</w:t>
      </w:r>
      <w:r>
        <w:rPr>
          <w:rFonts w:hint="eastAsia"/>
          <w:bCs/>
          <w:color w:val="auto"/>
          <w:szCs w:val="21"/>
          <w:highlight w:val="none"/>
        </w:rPr>
        <w:t>）在施工进程中施工质量达不到国家和地方有关质量规范或标准的，或施工质量达不到合同约定标准的，拒不执行监理工程师或发包人指出的修改意见的；</w:t>
      </w:r>
    </w:p>
    <w:p>
      <w:pPr>
        <w:spacing w:line="440" w:lineRule="exact"/>
        <w:ind w:firstLine="420" w:firstLineChars="200"/>
        <w:rPr>
          <w:bCs/>
          <w:color w:val="auto"/>
          <w:szCs w:val="21"/>
          <w:highlight w:val="none"/>
        </w:rPr>
      </w:pPr>
      <w:r>
        <w:rPr>
          <w:rFonts w:hint="eastAsia"/>
          <w:bCs/>
          <w:color w:val="auto"/>
          <w:szCs w:val="21"/>
          <w:highlight w:val="none"/>
        </w:rPr>
        <w:t>（5）在施工进程中不及时按发包人要求进行整改的；</w:t>
      </w:r>
    </w:p>
    <w:p>
      <w:pPr>
        <w:spacing w:line="440" w:lineRule="exact"/>
        <w:ind w:firstLine="420" w:firstLineChars="200"/>
        <w:rPr>
          <w:bCs/>
          <w:color w:val="auto"/>
          <w:szCs w:val="21"/>
          <w:highlight w:val="none"/>
        </w:rPr>
      </w:pPr>
      <w:r>
        <w:rPr>
          <w:rFonts w:hint="eastAsia"/>
          <w:bCs/>
          <w:color w:val="auto"/>
          <w:szCs w:val="21"/>
          <w:highlight w:val="none"/>
        </w:rPr>
        <w:t>（6）承包方未按照评比文件和合同条款履约的（发包人和供应商不得签订违背本评比文件和成交</w:t>
      </w:r>
      <w:r>
        <w:rPr>
          <w:bCs/>
          <w:color w:val="auto"/>
          <w:szCs w:val="21"/>
          <w:highlight w:val="none"/>
        </w:rPr>
        <w:t xml:space="preserve"> </w:t>
      </w:r>
      <w:r>
        <w:rPr>
          <w:rFonts w:hint="eastAsia"/>
          <w:bCs/>
          <w:color w:val="auto"/>
          <w:szCs w:val="21"/>
          <w:highlight w:val="none"/>
        </w:rPr>
        <w:t>文件实质性内容的合同）。</w:t>
      </w:r>
    </w:p>
    <w:p>
      <w:pPr>
        <w:adjustRightInd w:val="0"/>
        <w:snapToGrid w:val="0"/>
        <w:spacing w:line="440" w:lineRule="exact"/>
        <w:ind w:firstLine="420" w:firstLineChars="200"/>
        <w:rPr>
          <w:color w:val="auto"/>
          <w:kern w:val="0"/>
          <w:szCs w:val="21"/>
          <w:highlight w:val="none"/>
          <w:shd w:val="clear" w:color="auto" w:fill="FFFFFF"/>
        </w:rPr>
      </w:pPr>
      <w:r>
        <w:rPr>
          <w:bCs/>
          <w:color w:val="auto"/>
          <w:szCs w:val="21"/>
          <w:highlight w:val="none"/>
        </w:rPr>
        <w:t>12)</w:t>
      </w:r>
      <w:r>
        <w:rPr>
          <w:rFonts w:hint="eastAsia"/>
          <w:bCs/>
          <w:color w:val="auto"/>
          <w:szCs w:val="21"/>
          <w:highlight w:val="none"/>
        </w:rPr>
        <w:t>其他未尽事宜由供需双方在采购合同中详细约定</w:t>
      </w:r>
      <w:r>
        <w:rPr>
          <w:rFonts w:hint="eastAsia"/>
          <w:color w:val="auto"/>
          <w:kern w:val="0"/>
          <w:szCs w:val="21"/>
          <w:highlight w:val="none"/>
          <w:shd w:val="clear" w:color="auto" w:fill="FFFFFF"/>
        </w:rPr>
        <w:t>。</w:t>
      </w:r>
    </w:p>
    <w:p>
      <w:pPr>
        <w:pStyle w:val="4"/>
        <w:spacing w:before="120" w:beforeLines="50" w:line="360" w:lineRule="auto"/>
        <w:jc w:val="lef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四、人员要求：</w:t>
      </w:r>
    </w:p>
    <w:p>
      <w:pPr>
        <w:spacing w:line="440" w:lineRule="exact"/>
        <w:ind w:firstLine="420" w:firstLineChars="200"/>
        <w:rPr>
          <w:bCs/>
          <w:color w:val="auto"/>
          <w:szCs w:val="21"/>
          <w:highlight w:val="none"/>
        </w:rPr>
      </w:pPr>
      <w:r>
        <w:rPr>
          <w:rFonts w:hint="eastAsia"/>
          <w:bCs/>
          <w:color w:val="auto"/>
          <w:szCs w:val="21"/>
          <w:highlight w:val="none"/>
        </w:rPr>
        <w:t>1．项目经理资格要求</w:t>
      </w:r>
    </w:p>
    <w:p>
      <w:pPr>
        <w:snapToGrid w:val="0"/>
        <w:spacing w:line="400" w:lineRule="exact"/>
        <w:ind w:firstLine="420" w:firstLineChars="200"/>
        <w:rPr>
          <w:rFonts w:ascii="宋体" w:hAnsi="宋体"/>
          <w:color w:val="auto"/>
          <w:kern w:val="0"/>
          <w:szCs w:val="21"/>
          <w:highlight w:val="none"/>
        </w:rPr>
      </w:pPr>
      <w:r>
        <w:rPr>
          <w:rFonts w:hint="eastAsia"/>
          <w:bCs/>
          <w:color w:val="auto"/>
          <w:szCs w:val="21"/>
          <w:highlight w:val="none"/>
        </w:rPr>
        <w:t>项目经理必须已在供应商单位注册并应具有机电工程类二级及以上注册建造师执业资格，并且不能在在建工程担任项目经理。（提供建造师注册证书、2021年</w:t>
      </w:r>
      <w:r>
        <w:rPr>
          <w:bCs/>
          <w:color w:val="auto"/>
          <w:szCs w:val="21"/>
          <w:highlight w:val="none"/>
        </w:rPr>
        <w:t>5</w:t>
      </w:r>
      <w:r>
        <w:rPr>
          <w:rFonts w:hint="eastAsia"/>
          <w:bCs/>
          <w:color w:val="auto"/>
          <w:szCs w:val="21"/>
          <w:highlight w:val="none"/>
        </w:rPr>
        <w:t>月-2022年</w:t>
      </w:r>
      <w:r>
        <w:rPr>
          <w:bCs/>
          <w:color w:val="auto"/>
          <w:szCs w:val="21"/>
          <w:highlight w:val="none"/>
        </w:rPr>
        <w:t>6</w:t>
      </w:r>
      <w:r>
        <w:rPr>
          <w:rFonts w:hint="eastAsia"/>
          <w:bCs/>
          <w:color w:val="auto"/>
          <w:szCs w:val="21"/>
          <w:highlight w:val="none"/>
        </w:rPr>
        <w:t>月连续养老保险证明复印件、项目经理无在建承诺原件复印件须加盖供应商公章。）</w:t>
      </w:r>
      <w:r>
        <w:rPr>
          <w:rFonts w:hint="eastAsia" w:ascii="宋体" w:hAnsi="宋体"/>
          <w:color w:val="auto"/>
          <w:kern w:val="0"/>
          <w:szCs w:val="21"/>
          <w:highlight w:val="none"/>
        </w:rPr>
        <w:t>注：（1）提供拟派的项目经理为一级建造师或重庆市二级建造师注册人员的，必须提供建造师电子注册证书，且该建造师电子注册证书须由建造师本人在个人签名处手写本人签名。</w:t>
      </w:r>
    </w:p>
    <w:p>
      <w:pPr>
        <w:snapToGrid w:val="0"/>
        <w:spacing w:line="40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（2）重庆市以外的省级住房城乡建设主管部门对二级建造师电子注册证书使用有明确规定的，从其规定。未规定使用电子注册证书的，可提供纸质证书扫描件或复印件。</w:t>
      </w:r>
    </w:p>
    <w:p>
      <w:pPr>
        <w:spacing w:line="440" w:lineRule="exact"/>
        <w:ind w:firstLine="420" w:firstLineChars="200"/>
        <w:rPr>
          <w:bCs/>
          <w:color w:val="auto"/>
          <w:szCs w:val="21"/>
          <w:highlight w:val="none"/>
        </w:rPr>
      </w:pPr>
      <w:r>
        <w:rPr>
          <w:rFonts w:hint="eastAsia" w:ascii="宋体" w:hAnsi="宋体"/>
          <w:color w:val="auto"/>
          <w:kern w:val="0"/>
          <w:szCs w:val="21"/>
          <w:highlight w:val="none"/>
        </w:rPr>
        <w:t>（3）建造师电子注册证书本人手写签名与签名图像笔迹是否一致不作为否决投标的情形。</w:t>
      </w:r>
    </w:p>
    <w:p>
      <w:pPr>
        <w:spacing w:line="440" w:lineRule="exact"/>
        <w:ind w:firstLine="420" w:firstLineChars="200"/>
        <w:rPr>
          <w:bCs/>
          <w:color w:val="auto"/>
          <w:szCs w:val="21"/>
          <w:highlight w:val="none"/>
        </w:rPr>
      </w:pPr>
      <w:r>
        <w:rPr>
          <w:rFonts w:hint="eastAsia"/>
          <w:bCs/>
          <w:color w:val="auto"/>
          <w:szCs w:val="21"/>
          <w:highlight w:val="none"/>
        </w:rPr>
        <w:t>2． 项目技术负责人：</w:t>
      </w:r>
    </w:p>
    <w:p>
      <w:pPr>
        <w:spacing w:line="440" w:lineRule="exact"/>
        <w:ind w:firstLine="420" w:firstLineChars="200"/>
        <w:rPr>
          <w:bCs/>
          <w:color w:val="auto"/>
          <w:szCs w:val="21"/>
          <w:highlight w:val="none"/>
        </w:rPr>
      </w:pPr>
      <w:r>
        <w:rPr>
          <w:rFonts w:hint="eastAsia"/>
          <w:bCs/>
          <w:color w:val="auto"/>
          <w:szCs w:val="21"/>
          <w:highlight w:val="none"/>
        </w:rPr>
        <w:t>技术负责人须具有机电或电气类中级及以上职称。（提供职称证复印件、2021年</w:t>
      </w:r>
      <w:r>
        <w:rPr>
          <w:bCs/>
          <w:color w:val="auto"/>
          <w:szCs w:val="21"/>
          <w:highlight w:val="none"/>
        </w:rPr>
        <w:t>5</w:t>
      </w:r>
      <w:r>
        <w:rPr>
          <w:rFonts w:hint="eastAsia"/>
          <w:bCs/>
          <w:color w:val="auto"/>
          <w:szCs w:val="21"/>
          <w:highlight w:val="none"/>
        </w:rPr>
        <w:t>月-2022年</w:t>
      </w:r>
      <w:r>
        <w:rPr>
          <w:bCs/>
          <w:color w:val="auto"/>
          <w:szCs w:val="21"/>
          <w:highlight w:val="none"/>
        </w:rPr>
        <w:t>6</w:t>
      </w:r>
      <w:r>
        <w:rPr>
          <w:rFonts w:hint="eastAsia"/>
          <w:bCs/>
          <w:color w:val="auto"/>
          <w:szCs w:val="21"/>
          <w:highlight w:val="none"/>
        </w:rPr>
        <w:t>月连续养老保险证明复印件并加盖供应商公章）</w:t>
      </w:r>
    </w:p>
    <w:p>
      <w:pPr>
        <w:spacing w:line="440" w:lineRule="exact"/>
        <w:ind w:firstLine="420" w:firstLineChars="200"/>
        <w:rPr>
          <w:bCs/>
          <w:color w:val="auto"/>
          <w:szCs w:val="21"/>
          <w:highlight w:val="none"/>
        </w:rPr>
      </w:pPr>
      <w:r>
        <w:rPr>
          <w:rFonts w:hint="eastAsia"/>
          <w:bCs/>
          <w:color w:val="auto"/>
          <w:szCs w:val="21"/>
          <w:highlight w:val="none"/>
        </w:rPr>
        <w:t>3．其他主要管理人员：</w:t>
      </w:r>
    </w:p>
    <w:p>
      <w:pPr>
        <w:spacing w:line="440" w:lineRule="exact"/>
        <w:ind w:firstLine="420" w:firstLineChars="200"/>
        <w:rPr>
          <w:bCs/>
          <w:color w:val="auto"/>
          <w:szCs w:val="21"/>
          <w:highlight w:val="none"/>
        </w:rPr>
      </w:pPr>
      <w:r>
        <w:rPr>
          <w:rFonts w:hint="eastAsia"/>
          <w:bCs/>
          <w:color w:val="auto"/>
          <w:szCs w:val="21"/>
          <w:highlight w:val="none"/>
        </w:rPr>
        <w:t>拟任项目其他主要管理人员均应为本单位职工，须持有有效证件的施工员不少于1人，质量员（质检员）不少于 1 人，安全员不少于 1 人，材料员不少于 1 人，资料员不少于 1 人，预算员或造价员或造价工程师不少于 1 人。（提供主要管理人员有效的执业证或上岗证书或注册证书复印件加盖供应商公章）</w:t>
      </w:r>
    </w:p>
    <w:p>
      <w:pPr>
        <w:spacing w:line="440" w:lineRule="exact"/>
        <w:ind w:firstLine="420" w:firstLineChars="200"/>
        <w:rPr>
          <w:bCs/>
          <w:color w:val="auto"/>
          <w:szCs w:val="21"/>
          <w:highlight w:val="none"/>
        </w:rPr>
      </w:pPr>
      <w:bookmarkStart w:id="985" w:name="_Toc29641"/>
      <w:r>
        <w:rPr>
          <w:rFonts w:hint="eastAsia"/>
          <w:bCs/>
          <w:color w:val="auto"/>
          <w:szCs w:val="21"/>
          <w:highlight w:val="none"/>
        </w:rPr>
        <w:t>注：（1）供应商须随身携带以上所有复印件的原件备查（资质证书原件、身份证原件、截图文件除外），评标委员会审查时将有可能对有关证明和证件的原件核查。若经审查复印件与原件不一致时，则响应文件作否决投标处理。</w:t>
      </w:r>
    </w:p>
    <w:p>
      <w:pPr>
        <w:spacing w:line="440" w:lineRule="exact"/>
        <w:ind w:firstLine="420" w:firstLineChars="200"/>
        <w:rPr>
          <w:bCs/>
          <w:color w:val="auto"/>
          <w:szCs w:val="21"/>
          <w:highlight w:val="none"/>
        </w:rPr>
      </w:pPr>
      <w:r>
        <w:rPr>
          <w:rFonts w:hint="eastAsia"/>
          <w:bCs/>
          <w:color w:val="auto"/>
          <w:szCs w:val="21"/>
          <w:highlight w:val="none"/>
        </w:rPr>
        <w:t>（2）以上条件必须全部满足才能通过资格审查，对资格审查不合格的供应商其响应文件将不再进入下一步评审。</w:t>
      </w:r>
    </w:p>
    <w:p>
      <w:pPr>
        <w:spacing w:line="440" w:lineRule="exact"/>
        <w:ind w:firstLine="420" w:firstLineChars="200"/>
        <w:rPr>
          <w:bCs/>
          <w:color w:val="auto"/>
          <w:szCs w:val="21"/>
          <w:highlight w:val="none"/>
        </w:rPr>
      </w:pPr>
      <w:r>
        <w:rPr>
          <w:rFonts w:hint="eastAsia"/>
          <w:bCs/>
          <w:color w:val="auto"/>
          <w:szCs w:val="21"/>
          <w:highlight w:val="none"/>
        </w:rPr>
        <w:t>（3）供应商应对上述提供资料的真实性负责，若评比小组核验时缺少相应原件或原件与复印件不一致的情况，则资格审查不通过，按废标处理。若在结果公示期间发现成交供应商提供了虚假资料，采购人有权取消其成交资格；若在合同实施期间发现供应商提供了虚假资料，采购人有权没收其履约保证金，同时将上报主管部门作为不良记录，并追究其相应的法律责任。</w:t>
      </w:r>
    </w:p>
    <w:p>
      <w:pPr>
        <w:spacing w:line="440" w:lineRule="exact"/>
        <w:ind w:firstLine="420" w:firstLineChars="200"/>
        <w:rPr>
          <w:bCs/>
          <w:color w:val="auto"/>
          <w:szCs w:val="21"/>
          <w:highlight w:val="none"/>
        </w:rPr>
      </w:pPr>
      <w:r>
        <w:rPr>
          <w:rFonts w:hint="eastAsia"/>
          <w:bCs/>
          <w:color w:val="auto"/>
          <w:szCs w:val="21"/>
          <w:highlight w:val="none"/>
        </w:rPr>
        <w:t>（4）成交后，采购人有权对成交供应商的项目经理、技术负责人实行压证制度。供应商在响应文件中需自行承诺：a.拟派项目经理与项目技术负责人不得为同一人；项目部所有主要管理人员未经采购人同意，原则不得更换，否则，采购人有权解除合同，并没收履约保证金。b.拟投入本项目的项目经理每月到现场办工时间不得少于本月实际施工时间的90%（格式自拟），未提供承诺函按未作实质性响应技术部分处理。c. 项目经理未经批准，擅自离开施工现场的违约责任：按 5000元/天处罚；d.采购人、监理方认为项目经理不合格需更换，承包人无正当理由拒绝更换的，采购人有权要求成交供应商承担50000元的违约金(从履约保证金中扣除)，并有权解除合同、责令承包人退场，由此产生的一切损失及后果由成交供应商承担; 采购人、监理方认为主要管理人员不合格需更换，承包人无正当理由拒绝更换的， 采购人有权要求成交供应商承担20000元的违约金(从履约保证金中扣除)，并有权解除合同、责令承包人退场，由此产生的一切损失及后果由成交供应商承担。</w:t>
      </w:r>
    </w:p>
    <w:p>
      <w:pPr>
        <w:pStyle w:val="4"/>
        <w:spacing w:before="120" w:beforeLines="50" w:line="360" w:lineRule="auto"/>
        <w:jc w:val="left"/>
        <w:rPr>
          <w:rFonts w:asciiTheme="minorEastAsia" w:hAnsiTheme="minorEastAsia" w:eastAsiaTheme="minorEastAsia"/>
          <w:color w:val="auto"/>
          <w:sz w:val="21"/>
          <w:szCs w:val="21"/>
          <w:highlight w:val="none"/>
        </w:rPr>
      </w:pPr>
      <w:bookmarkStart w:id="986" w:name="_Toc89857629"/>
      <w:r>
        <w:rPr>
          <w:rFonts w:hint="eastAsia" w:asciiTheme="minorEastAsia" w:hAnsiTheme="minorEastAsia" w:eastAsiaTheme="minorEastAsia"/>
          <w:color w:val="auto"/>
          <w:sz w:val="21"/>
          <w:szCs w:val="21"/>
          <w:highlight w:val="none"/>
        </w:rPr>
        <w:t>五、现场踏勘</w:t>
      </w:r>
      <w:bookmarkEnd w:id="985"/>
      <w:bookmarkEnd w:id="986"/>
    </w:p>
    <w:p>
      <w:pPr>
        <w:spacing w:line="440" w:lineRule="exact"/>
        <w:ind w:firstLine="420" w:firstLineChars="200"/>
        <w:jc w:val="both"/>
        <w:rPr>
          <w:bCs/>
          <w:color w:val="auto"/>
          <w:szCs w:val="21"/>
          <w:highlight w:val="none"/>
        </w:rPr>
      </w:pPr>
      <w:r>
        <w:rPr>
          <w:rFonts w:hint="eastAsia"/>
          <w:bCs/>
          <w:color w:val="auto"/>
          <w:szCs w:val="21"/>
          <w:highlight w:val="none"/>
        </w:rPr>
        <w:t>采购人不集中组织现场踏勘。因本项目属院内供电改造项目，施工场地存在办公区与施工区交差、施工地点分属院内几个不同楼层区域、现有电梯不能用于施工材料转运及施工人员使用等，特别提醒全院目前仍处于疫情严防严控状态。鉴于以上具体情况，供应商须自行踏勘现场，提前了解施工场地和相关的周边环境，尤其充分了解工地位置、施工通道、储存空间、装卸限制、行人干扰、成品保护、交差作业及任何其它足以影响承包工程正常实施的情况，避免因工程量及施工措施变化带来的报价偏差影响施工作业，任何因忽视或误解工地情况而导致的索赔或工期延长或要求采购方调整综合单价的申请均不获批准，供应商须派出本项目拟派的项目经理在自觉遵守采购人疫情防控要求的前提下进行现场查勘（拟派项目经理应为非中高风险地区来渝人员，出示24小时内核酸证明、渝康码、行程码、扫描场所码。如有问题导致无法正常踏勘由供应商自行负责）。</w:t>
      </w:r>
    </w:p>
    <w:p>
      <w:pPr>
        <w:spacing w:line="440" w:lineRule="exact"/>
        <w:ind w:firstLine="420" w:firstLineChars="200"/>
        <w:jc w:val="both"/>
        <w:rPr>
          <w:bCs/>
          <w:color w:val="auto"/>
          <w:szCs w:val="21"/>
          <w:highlight w:val="none"/>
        </w:rPr>
      </w:pPr>
      <w:r>
        <w:rPr>
          <w:rFonts w:hint="eastAsia"/>
          <w:bCs/>
          <w:color w:val="auto"/>
          <w:szCs w:val="21"/>
          <w:highlight w:val="none"/>
        </w:rPr>
        <w:t>查勘地点: 沙坪坝区西永微电园研发楼3期1号楼2单元。</w:t>
      </w:r>
    </w:p>
    <w:p>
      <w:pPr>
        <w:spacing w:line="440" w:lineRule="exact"/>
        <w:ind w:firstLine="420" w:firstLineChars="200"/>
        <w:jc w:val="both"/>
        <w:rPr>
          <w:bCs/>
          <w:color w:val="auto"/>
          <w:szCs w:val="21"/>
          <w:highlight w:val="none"/>
        </w:rPr>
      </w:pPr>
      <w:r>
        <w:rPr>
          <w:rFonts w:hint="eastAsia"/>
          <w:bCs/>
          <w:color w:val="auto"/>
          <w:szCs w:val="21"/>
          <w:highlight w:val="none"/>
        </w:rPr>
        <w:t>查勘时间: 评比文件载明的报名和评比文件发售期限内。具体时间：上午09:00-11:30；下午14:00-17:00（工作时间）。</w:t>
      </w:r>
    </w:p>
    <w:p>
      <w:pPr>
        <w:spacing w:line="440" w:lineRule="exact"/>
        <w:ind w:firstLine="420" w:firstLineChars="200"/>
        <w:jc w:val="both"/>
        <w:rPr>
          <w:bCs/>
          <w:color w:val="auto"/>
          <w:szCs w:val="21"/>
          <w:highlight w:val="none"/>
        </w:rPr>
      </w:pPr>
      <w:r>
        <w:rPr>
          <w:rFonts w:hint="eastAsia"/>
          <w:bCs/>
          <w:color w:val="auto"/>
          <w:szCs w:val="21"/>
          <w:highlight w:val="none"/>
        </w:rPr>
        <w:t>※ 注：各供应商拟派的项目经理携带单位介绍信原件、公司资质证明文件、现场查勘确认书（现场查勘确认书必须按照评比文件中格式执行）、本人身份证原件及资质证书至采购人处进行现场查勘，现场查勘确认书经采购方确认并加盖采购方公章后原件附入响应文件中才具备合格供应商资格，否则视为未响应技术部分，则符合性审查不通过。</w:t>
      </w:r>
    </w:p>
    <w:p>
      <w:pPr>
        <w:pStyle w:val="4"/>
        <w:adjustRightInd/>
        <w:snapToGrid/>
        <w:spacing w:before="120" w:beforeLines="50" w:line="360" w:lineRule="auto"/>
        <w:jc w:val="left"/>
        <w:rPr>
          <w:rFonts w:asciiTheme="minorEastAsia" w:hAnsiTheme="minorEastAsia" w:eastAsiaTheme="minorEastAsia"/>
          <w:color w:val="auto"/>
          <w:sz w:val="21"/>
          <w:szCs w:val="21"/>
          <w:highlight w:val="none"/>
        </w:rPr>
      </w:pPr>
      <w:bookmarkStart w:id="987" w:name="_Toc89857630"/>
      <w:r>
        <w:rPr>
          <w:rFonts w:hint="eastAsia" w:asciiTheme="minorEastAsia" w:hAnsiTheme="minorEastAsia" w:eastAsiaTheme="minorEastAsia"/>
          <w:color w:val="auto"/>
          <w:sz w:val="21"/>
          <w:szCs w:val="21"/>
          <w:highlight w:val="none"/>
        </w:rPr>
        <w:t>六、其他要求</w:t>
      </w:r>
      <w:bookmarkEnd w:id="987"/>
    </w:p>
    <w:p>
      <w:pPr>
        <w:spacing w:line="440" w:lineRule="exact"/>
        <w:ind w:firstLine="420" w:firstLineChars="200"/>
        <w:rPr>
          <w:bCs/>
          <w:color w:val="auto"/>
          <w:szCs w:val="21"/>
          <w:highlight w:val="none"/>
        </w:rPr>
      </w:pPr>
      <w:r>
        <w:rPr>
          <w:rFonts w:hint="eastAsia"/>
          <w:bCs/>
          <w:color w:val="auto"/>
          <w:szCs w:val="21"/>
          <w:highlight w:val="none"/>
        </w:rPr>
        <w:t>1</w:t>
      </w:r>
      <w:r>
        <w:rPr>
          <w:bCs/>
          <w:color w:val="auto"/>
          <w:szCs w:val="21"/>
          <w:highlight w:val="none"/>
        </w:rPr>
        <w:t>.</w:t>
      </w:r>
      <w:r>
        <w:rPr>
          <w:rFonts w:hint="eastAsia"/>
          <w:bCs/>
          <w:color w:val="auto"/>
          <w:szCs w:val="21"/>
          <w:highlight w:val="none"/>
        </w:rPr>
        <w:t>供应商须自行承诺：若成为成交供应商，施工时必须严格按照采购人提供的施工图纸及图纸内容进行施工，不得擅自修改施工内容。（承诺书格式自拟）</w:t>
      </w:r>
    </w:p>
    <w:p>
      <w:pPr>
        <w:spacing w:line="440" w:lineRule="exact"/>
        <w:ind w:firstLine="420" w:firstLineChars="200"/>
        <w:rPr>
          <w:bCs/>
          <w:color w:val="auto"/>
          <w:szCs w:val="21"/>
          <w:highlight w:val="none"/>
        </w:rPr>
      </w:pPr>
      <w:r>
        <w:rPr>
          <w:rFonts w:hint="eastAsia"/>
          <w:bCs/>
          <w:color w:val="auto"/>
          <w:szCs w:val="21"/>
          <w:highlight w:val="none"/>
        </w:rPr>
        <w:t xml:space="preserve">    2.供应商须自行承诺：若成为成交供应商，施工期间必须严格执行国家有关新冠肺炎疫情防控规定要求，且不向采购人要求支付有关防控疫情所产生的任何费用。由于承包人自身管理原因导致发生疫情的，一切不良后果由承包人自行负责。 </w:t>
      </w:r>
    </w:p>
    <w:p>
      <w:pPr>
        <w:spacing w:line="440" w:lineRule="exact"/>
        <w:ind w:firstLine="420" w:firstLineChars="200"/>
        <w:rPr>
          <w:bCs/>
          <w:color w:val="auto"/>
          <w:szCs w:val="21"/>
          <w:highlight w:val="none"/>
        </w:rPr>
      </w:pPr>
      <w:r>
        <w:rPr>
          <w:rFonts w:hint="eastAsia"/>
          <w:bCs/>
          <w:color w:val="auto"/>
          <w:szCs w:val="21"/>
          <w:highlight w:val="none"/>
        </w:rPr>
        <w:t>3.采购人有权为加强新冠肺炎疫情防控增加措施及要求，供应商应无条件接受，由此产生的费用由供应商自行承担。</w:t>
      </w:r>
    </w:p>
    <w:p>
      <w:pPr>
        <w:spacing w:line="440" w:lineRule="exact"/>
        <w:ind w:firstLine="420" w:firstLineChars="200"/>
        <w:rPr>
          <w:bCs/>
          <w:color w:val="auto"/>
          <w:szCs w:val="21"/>
          <w:highlight w:val="none"/>
        </w:rPr>
      </w:pPr>
      <w:r>
        <w:rPr>
          <w:rFonts w:hint="eastAsia"/>
          <w:bCs/>
          <w:color w:val="auto"/>
          <w:szCs w:val="21"/>
          <w:highlight w:val="none"/>
        </w:rPr>
        <w:t>4．电线均采用铜芯电线，应符合国家相关规范及标准要求，规格型号及参数按设计图。插座面板、面板固定设备架由采购人看样确定后成交供应商方可采购。</w:t>
      </w:r>
    </w:p>
    <w:p>
      <w:pPr>
        <w:spacing w:line="440" w:lineRule="exact"/>
        <w:ind w:firstLine="420" w:firstLineChars="200"/>
        <w:rPr>
          <w:bCs/>
          <w:color w:val="auto"/>
          <w:szCs w:val="21"/>
          <w:highlight w:val="none"/>
        </w:rPr>
      </w:pPr>
      <w:r>
        <w:rPr>
          <w:rFonts w:hint="eastAsia"/>
          <w:bCs/>
          <w:color w:val="auto"/>
          <w:szCs w:val="21"/>
          <w:highlight w:val="none"/>
        </w:rPr>
        <w:t>5.成交供应商应配合采购人办理相关施工手续，并主动接受建设主管部门监管，在规定的工期内，完成对本项目的服务。</w:t>
      </w:r>
    </w:p>
    <w:p>
      <w:pPr>
        <w:rPr>
          <w:color w:val="auto"/>
          <w:highlight w:val="none"/>
        </w:rPr>
      </w:pPr>
    </w:p>
    <w:p>
      <w:pPr>
        <w:rPr>
          <w:color w:val="auto"/>
          <w:kern w:val="0"/>
          <w:szCs w:val="21"/>
          <w:highlight w:val="none"/>
          <w:shd w:val="clear" w:color="auto" w:fill="FFFFFF"/>
        </w:rPr>
      </w:pPr>
      <w:r>
        <w:rPr>
          <w:b/>
          <w:bCs/>
          <w:color w:val="auto"/>
          <w:kern w:val="0"/>
          <w:szCs w:val="21"/>
          <w:highlight w:val="none"/>
          <w:shd w:val="clear" w:color="auto" w:fill="FFFFFF"/>
        </w:rPr>
        <w:br w:type="page"/>
      </w:r>
    </w:p>
    <w:p>
      <w:pPr>
        <w:pStyle w:val="3"/>
        <w:keepLines w:val="0"/>
        <w:widowControl w:val="0"/>
        <w:tabs>
          <w:tab w:val="left" w:pos="1530"/>
          <w:tab w:val="left" w:pos="3360"/>
          <w:tab w:val="left" w:pos="8052"/>
        </w:tabs>
        <w:adjustRightInd/>
        <w:spacing w:line="480" w:lineRule="auto"/>
        <w:ind w:left="1531" w:hanging="1531"/>
        <w:rPr>
          <w:rFonts w:eastAsia="宋体"/>
          <w:bCs w:val="0"/>
          <w:color w:val="auto"/>
          <w:kern w:val="2"/>
          <w:szCs w:val="36"/>
          <w:highlight w:val="none"/>
        </w:rPr>
      </w:pPr>
      <w:r>
        <w:rPr>
          <w:rFonts w:eastAsia="宋体"/>
          <w:bCs w:val="0"/>
          <w:color w:val="auto"/>
          <w:kern w:val="2"/>
          <w:szCs w:val="36"/>
          <w:highlight w:val="none"/>
        </w:rPr>
        <w:t>第五章 评比响应文件格式</w:t>
      </w:r>
      <w:bookmarkEnd w:id="972"/>
    </w:p>
    <w:p>
      <w:pPr>
        <w:ind w:firstLine="1470" w:firstLineChars="700"/>
        <w:rPr>
          <w:color w:val="auto"/>
          <w:kern w:val="44"/>
          <w:sz w:val="36"/>
          <w:szCs w:val="36"/>
          <w:highlight w:val="none"/>
          <w:u w:val="single"/>
        </w:rPr>
      </w:pPr>
      <w:bookmarkStart w:id="988" w:name="_Toc10213451"/>
      <w:bookmarkStart w:id="989" w:name="_Toc68963480"/>
      <w:r>
        <w:rPr>
          <w:color w:val="auto"/>
          <w:kern w:val="0"/>
          <w:szCs w:val="21"/>
          <w:highlight w:val="none"/>
          <w:shd w:val="clear" w:color="auto" w:fill="FFFFFF"/>
        </w:rPr>
        <w:t xml:space="preserve">    </w:t>
      </w:r>
      <w:r>
        <w:rPr>
          <w:color w:val="auto"/>
          <w:kern w:val="44"/>
          <w:sz w:val="36"/>
          <w:szCs w:val="36"/>
          <w:highlight w:val="none"/>
          <w:u w:val="single"/>
        </w:rPr>
        <w:t xml:space="preserve">       项目名称       </w:t>
      </w:r>
    </w:p>
    <w:p>
      <w:pPr>
        <w:jc w:val="center"/>
        <w:rPr>
          <w:color w:val="auto"/>
          <w:kern w:val="44"/>
          <w:sz w:val="32"/>
          <w:szCs w:val="32"/>
          <w:highlight w:val="none"/>
        </w:rPr>
      </w:pPr>
    </w:p>
    <w:p>
      <w:pPr>
        <w:jc w:val="center"/>
        <w:rPr>
          <w:color w:val="auto"/>
          <w:kern w:val="44"/>
          <w:sz w:val="32"/>
          <w:szCs w:val="32"/>
          <w:highlight w:val="none"/>
        </w:rPr>
      </w:pPr>
    </w:p>
    <w:p>
      <w:pPr>
        <w:jc w:val="center"/>
        <w:rPr>
          <w:color w:val="auto"/>
          <w:kern w:val="44"/>
          <w:sz w:val="32"/>
          <w:szCs w:val="32"/>
          <w:highlight w:val="none"/>
        </w:rPr>
      </w:pPr>
    </w:p>
    <w:p>
      <w:pPr>
        <w:jc w:val="center"/>
        <w:rPr>
          <w:color w:val="auto"/>
          <w:kern w:val="44"/>
          <w:sz w:val="32"/>
          <w:szCs w:val="32"/>
          <w:highlight w:val="none"/>
        </w:rPr>
      </w:pPr>
    </w:p>
    <w:p>
      <w:pPr>
        <w:jc w:val="center"/>
        <w:rPr>
          <w:color w:val="auto"/>
          <w:kern w:val="44"/>
          <w:sz w:val="32"/>
          <w:szCs w:val="32"/>
          <w:highlight w:val="none"/>
        </w:rPr>
      </w:pPr>
    </w:p>
    <w:p>
      <w:pPr>
        <w:jc w:val="center"/>
        <w:rPr>
          <w:color w:val="auto"/>
          <w:kern w:val="44"/>
          <w:sz w:val="32"/>
          <w:szCs w:val="32"/>
          <w:highlight w:val="none"/>
        </w:rPr>
      </w:pPr>
    </w:p>
    <w:p>
      <w:pPr>
        <w:jc w:val="center"/>
        <w:rPr>
          <w:color w:val="auto"/>
          <w:kern w:val="44"/>
          <w:sz w:val="32"/>
          <w:szCs w:val="32"/>
          <w:highlight w:val="none"/>
        </w:rPr>
      </w:pPr>
    </w:p>
    <w:p>
      <w:pPr>
        <w:jc w:val="center"/>
        <w:rPr>
          <w:b/>
          <w:color w:val="auto"/>
          <w:sz w:val="52"/>
          <w:szCs w:val="52"/>
          <w:highlight w:val="none"/>
        </w:rPr>
      </w:pPr>
      <w:r>
        <w:rPr>
          <w:b/>
          <w:color w:val="auto"/>
          <w:sz w:val="52"/>
          <w:szCs w:val="52"/>
          <w:highlight w:val="none"/>
        </w:rPr>
        <w:t>评 比 响 应 文 件</w:t>
      </w:r>
    </w:p>
    <w:p>
      <w:pPr>
        <w:jc w:val="center"/>
        <w:rPr>
          <w:color w:val="auto"/>
          <w:kern w:val="44"/>
          <w:sz w:val="32"/>
          <w:szCs w:val="32"/>
          <w:highlight w:val="none"/>
        </w:rPr>
      </w:pPr>
      <w:r>
        <w:rPr>
          <w:color w:val="auto"/>
          <w:kern w:val="44"/>
          <w:sz w:val="32"/>
          <w:szCs w:val="32"/>
          <w:highlight w:val="none"/>
        </w:rPr>
        <w:t>项目编号：</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ind w:left="1418" w:leftChars="675"/>
        <w:rPr>
          <w:color w:val="auto"/>
          <w:sz w:val="28"/>
          <w:szCs w:val="28"/>
          <w:highlight w:val="none"/>
        </w:rPr>
      </w:pPr>
      <w:r>
        <w:rPr>
          <w:color w:val="auto"/>
          <w:sz w:val="28"/>
          <w:szCs w:val="28"/>
          <w:highlight w:val="none"/>
        </w:rPr>
        <w:t>供应商名称（盖章）：</w:t>
      </w:r>
    </w:p>
    <w:p>
      <w:pPr>
        <w:ind w:left="1418" w:leftChars="675"/>
        <w:rPr>
          <w:color w:val="auto"/>
          <w:sz w:val="28"/>
          <w:szCs w:val="28"/>
          <w:highlight w:val="none"/>
        </w:rPr>
      </w:pPr>
      <w:r>
        <w:rPr>
          <w:color w:val="auto"/>
          <w:sz w:val="28"/>
          <w:szCs w:val="28"/>
          <w:highlight w:val="none"/>
        </w:rPr>
        <w:t>法定代表人（或法定代表人授权代表）（签署或盖章）：</w:t>
      </w:r>
    </w:p>
    <w:p>
      <w:pPr>
        <w:jc w:val="center"/>
        <w:rPr>
          <w:color w:val="auto"/>
          <w:sz w:val="28"/>
          <w:szCs w:val="28"/>
          <w:highlight w:val="none"/>
        </w:rPr>
      </w:pPr>
    </w:p>
    <w:p>
      <w:pPr>
        <w:jc w:val="center"/>
        <w:rPr>
          <w:color w:val="auto"/>
          <w:sz w:val="28"/>
          <w:szCs w:val="28"/>
          <w:highlight w:val="none"/>
        </w:rPr>
      </w:pPr>
      <w:r>
        <w:rPr>
          <w:color w:val="auto"/>
          <w:sz w:val="28"/>
          <w:szCs w:val="28"/>
          <w:highlight w:val="none"/>
        </w:rPr>
        <w:t>日期：  年   月   日</w:t>
      </w:r>
    </w:p>
    <w:p>
      <w:pPr>
        <w:ind w:firstLine="1470" w:firstLineChars="700"/>
        <w:rPr>
          <w:color w:val="auto"/>
          <w:kern w:val="0"/>
          <w:szCs w:val="21"/>
          <w:highlight w:val="none"/>
          <w:shd w:val="clear" w:color="auto" w:fill="FFFFFF"/>
        </w:rPr>
      </w:pPr>
    </w:p>
    <w:p>
      <w:pPr>
        <w:jc w:val="center"/>
        <w:rPr>
          <w:color w:val="auto"/>
          <w:kern w:val="0"/>
          <w:szCs w:val="21"/>
          <w:highlight w:val="none"/>
          <w:shd w:val="clear" w:color="auto" w:fill="FFFFFF"/>
        </w:rPr>
      </w:pPr>
    </w:p>
    <w:p>
      <w:pPr>
        <w:jc w:val="center"/>
        <w:rPr>
          <w:color w:val="auto"/>
          <w:kern w:val="0"/>
          <w:szCs w:val="21"/>
          <w:highlight w:val="none"/>
          <w:shd w:val="clear" w:color="auto" w:fill="FFFFFF"/>
        </w:rPr>
      </w:pPr>
    </w:p>
    <w:p>
      <w:pPr>
        <w:jc w:val="center"/>
        <w:rPr>
          <w:color w:val="auto"/>
          <w:kern w:val="0"/>
          <w:szCs w:val="21"/>
          <w:highlight w:val="none"/>
          <w:shd w:val="clear" w:color="auto" w:fill="FFFFFF"/>
        </w:rPr>
      </w:pPr>
    </w:p>
    <w:p>
      <w:pPr>
        <w:jc w:val="center"/>
        <w:rPr>
          <w:color w:val="auto"/>
          <w:kern w:val="0"/>
          <w:szCs w:val="21"/>
          <w:highlight w:val="none"/>
          <w:shd w:val="clear" w:color="auto" w:fill="FFFFFF"/>
        </w:rPr>
      </w:pPr>
    </w:p>
    <w:p>
      <w:pPr>
        <w:jc w:val="center"/>
        <w:rPr>
          <w:color w:val="auto"/>
          <w:kern w:val="0"/>
          <w:szCs w:val="21"/>
          <w:highlight w:val="none"/>
          <w:shd w:val="clear" w:color="auto" w:fill="FFFFFF"/>
        </w:rPr>
      </w:pPr>
    </w:p>
    <w:p>
      <w:pPr>
        <w:jc w:val="center"/>
        <w:rPr>
          <w:color w:val="auto"/>
          <w:kern w:val="0"/>
          <w:szCs w:val="21"/>
          <w:highlight w:val="none"/>
          <w:shd w:val="clear" w:color="auto" w:fill="FFFFFF"/>
        </w:rPr>
      </w:pPr>
    </w:p>
    <w:p>
      <w:pPr>
        <w:jc w:val="center"/>
        <w:rPr>
          <w:color w:val="auto"/>
          <w:kern w:val="0"/>
          <w:szCs w:val="21"/>
          <w:highlight w:val="none"/>
          <w:shd w:val="clear" w:color="auto" w:fill="FFFFFF"/>
        </w:rPr>
      </w:pPr>
    </w:p>
    <w:p>
      <w:pPr>
        <w:jc w:val="center"/>
        <w:rPr>
          <w:color w:val="auto"/>
          <w:kern w:val="0"/>
          <w:szCs w:val="21"/>
          <w:highlight w:val="none"/>
          <w:shd w:val="clear" w:color="auto" w:fill="FFFFFF"/>
        </w:rPr>
      </w:pPr>
    </w:p>
    <w:p>
      <w:pPr>
        <w:jc w:val="center"/>
        <w:rPr>
          <w:color w:val="auto"/>
          <w:kern w:val="0"/>
          <w:szCs w:val="21"/>
          <w:highlight w:val="none"/>
          <w:shd w:val="clear" w:color="auto" w:fill="FFFFFF"/>
        </w:rPr>
      </w:pPr>
    </w:p>
    <w:p>
      <w:pPr>
        <w:jc w:val="center"/>
        <w:rPr>
          <w:color w:val="auto"/>
          <w:kern w:val="0"/>
          <w:szCs w:val="21"/>
          <w:highlight w:val="none"/>
          <w:shd w:val="clear" w:color="auto" w:fill="FFFFFF"/>
        </w:rPr>
      </w:pPr>
    </w:p>
    <w:p>
      <w:pPr>
        <w:jc w:val="center"/>
        <w:rPr>
          <w:color w:val="auto"/>
          <w:kern w:val="0"/>
          <w:szCs w:val="21"/>
          <w:highlight w:val="none"/>
          <w:shd w:val="clear" w:color="auto" w:fill="FFFFFF"/>
        </w:rPr>
      </w:pPr>
    </w:p>
    <w:p>
      <w:pPr>
        <w:jc w:val="center"/>
        <w:rPr>
          <w:color w:val="auto"/>
          <w:kern w:val="0"/>
          <w:szCs w:val="21"/>
          <w:highlight w:val="none"/>
          <w:shd w:val="clear" w:color="auto" w:fill="FFFFFF"/>
        </w:rPr>
      </w:pPr>
    </w:p>
    <w:p>
      <w:pPr>
        <w:jc w:val="center"/>
        <w:rPr>
          <w:color w:val="auto"/>
          <w:kern w:val="0"/>
          <w:szCs w:val="21"/>
          <w:highlight w:val="none"/>
          <w:shd w:val="clear" w:color="auto" w:fill="FFFFFF"/>
        </w:rPr>
      </w:pPr>
    </w:p>
    <w:p>
      <w:pPr>
        <w:jc w:val="center"/>
        <w:rPr>
          <w:color w:val="auto"/>
          <w:kern w:val="0"/>
          <w:szCs w:val="21"/>
          <w:highlight w:val="none"/>
          <w:shd w:val="clear" w:color="auto" w:fill="FFFFFF"/>
        </w:rPr>
      </w:pPr>
    </w:p>
    <w:p>
      <w:pPr>
        <w:pStyle w:val="4"/>
        <w:rPr>
          <w:rFonts w:ascii="Times New Roman" w:hAnsi="Times New Roman" w:eastAsia="宋体"/>
          <w:color w:val="auto"/>
          <w:sz w:val="32"/>
          <w:highlight w:val="none"/>
        </w:rPr>
      </w:pPr>
    </w:p>
    <w:bookmarkEnd w:id="988"/>
    <w:bookmarkEnd w:id="989"/>
    <w:p>
      <w:pPr>
        <w:rPr>
          <w:color w:val="auto"/>
          <w:sz w:val="32"/>
          <w:highlight w:val="none"/>
        </w:rPr>
      </w:pPr>
      <w:bookmarkStart w:id="990" w:name="_Toc68963492"/>
      <w:r>
        <w:rPr>
          <w:color w:val="auto"/>
          <w:sz w:val="32"/>
          <w:highlight w:val="none"/>
        </w:rPr>
        <w:br w:type="page"/>
      </w:r>
    </w:p>
    <w:p>
      <w:pPr>
        <w:pStyle w:val="4"/>
        <w:rPr>
          <w:rFonts w:ascii="Times New Roman" w:hAnsi="Times New Roman" w:eastAsia="宋体"/>
          <w:color w:val="auto"/>
          <w:sz w:val="32"/>
          <w:highlight w:val="none"/>
        </w:rPr>
      </w:pPr>
      <w:r>
        <w:rPr>
          <w:rFonts w:ascii="Times New Roman" w:hAnsi="Times New Roman" w:eastAsia="宋体"/>
          <w:color w:val="auto"/>
          <w:sz w:val="32"/>
          <w:highlight w:val="none"/>
        </w:rPr>
        <w:t>评比函</w:t>
      </w:r>
    </w:p>
    <w:p>
      <w:pPr>
        <w:rPr>
          <w:color w:val="auto"/>
          <w:highlight w:val="none"/>
        </w:rPr>
      </w:pPr>
    </w:p>
    <w:p>
      <w:pPr>
        <w:adjustRightInd w:val="0"/>
        <w:snapToGrid w:val="0"/>
        <w:spacing w:line="440" w:lineRule="exact"/>
        <w:rPr>
          <w:color w:val="auto"/>
          <w:szCs w:val="21"/>
          <w:highlight w:val="none"/>
        </w:rPr>
      </w:pPr>
      <w:r>
        <w:rPr>
          <w:color w:val="auto"/>
          <w:szCs w:val="21"/>
          <w:highlight w:val="none"/>
        </w:rPr>
        <w:t xml:space="preserve">评比编号： </w:t>
      </w:r>
    </w:p>
    <w:p>
      <w:pPr>
        <w:adjustRightInd w:val="0"/>
        <w:snapToGrid w:val="0"/>
        <w:spacing w:line="440" w:lineRule="exact"/>
        <w:rPr>
          <w:color w:val="auto"/>
          <w:szCs w:val="21"/>
          <w:highlight w:val="none"/>
        </w:rPr>
      </w:pPr>
      <w:r>
        <w:rPr>
          <w:color w:val="auto"/>
          <w:szCs w:val="21"/>
          <w:highlight w:val="none"/>
        </w:rPr>
        <w:t xml:space="preserve">项目名称： </w:t>
      </w:r>
      <w:r>
        <w:rPr>
          <w:rFonts w:hint="eastAsia"/>
          <w:color w:val="auto"/>
          <w:szCs w:val="21"/>
          <w:highlight w:val="none"/>
        </w:rPr>
        <w:t xml:space="preserve">       </w:t>
      </w:r>
    </w:p>
    <w:p>
      <w:pPr>
        <w:adjustRightInd w:val="0"/>
        <w:snapToGrid w:val="0"/>
        <w:spacing w:line="440" w:lineRule="exact"/>
        <w:rPr>
          <w:color w:val="auto"/>
          <w:szCs w:val="21"/>
          <w:highlight w:val="none"/>
          <w:u w:val="single"/>
        </w:rPr>
      </w:pPr>
      <w:r>
        <w:rPr>
          <w:b/>
          <w:bCs/>
          <w:color w:val="auto"/>
          <w:szCs w:val="21"/>
          <w:highlight w:val="none"/>
        </w:rPr>
        <w:t xml:space="preserve">致: </w:t>
      </w:r>
      <w:r>
        <w:rPr>
          <w:b/>
          <w:bCs/>
          <w:color w:val="auto"/>
          <w:szCs w:val="21"/>
          <w:highlight w:val="none"/>
          <w:u w:val="single"/>
        </w:rPr>
        <w:t xml:space="preserve">                 </w:t>
      </w:r>
      <w:r>
        <w:rPr>
          <w:color w:val="auto"/>
          <w:szCs w:val="21"/>
          <w:highlight w:val="none"/>
        </w:rPr>
        <w:t>（采购代理机构名称）：</w:t>
      </w:r>
    </w:p>
    <w:p>
      <w:pPr>
        <w:tabs>
          <w:tab w:val="left" w:pos="2700"/>
        </w:tabs>
        <w:adjustRightInd w:val="0"/>
        <w:snapToGrid w:val="0"/>
        <w:spacing w:line="440" w:lineRule="exact"/>
        <w:ind w:firstLine="420" w:firstLineChars="200"/>
        <w:rPr>
          <w:color w:val="auto"/>
          <w:szCs w:val="21"/>
          <w:highlight w:val="none"/>
        </w:rPr>
      </w:pPr>
      <w:r>
        <w:rPr>
          <w:color w:val="auto"/>
          <w:szCs w:val="21"/>
          <w:highlight w:val="none"/>
        </w:rPr>
        <w:t>1、我们收到并研究了贵单位的评比文件，对全部评比文件予以确认，愿意按评比文件规定的内容，承担本项目的服务，并保证严格履行我们所承诺的责任和义务。</w:t>
      </w:r>
    </w:p>
    <w:p>
      <w:pPr>
        <w:tabs>
          <w:tab w:val="left" w:pos="2700"/>
        </w:tabs>
        <w:adjustRightInd w:val="0"/>
        <w:snapToGrid w:val="0"/>
        <w:spacing w:line="440" w:lineRule="exact"/>
        <w:ind w:firstLine="420" w:firstLineChars="200"/>
        <w:rPr>
          <w:color w:val="auto"/>
          <w:szCs w:val="21"/>
          <w:highlight w:val="none"/>
        </w:rPr>
      </w:pPr>
      <w:r>
        <w:rPr>
          <w:color w:val="auto"/>
          <w:szCs w:val="21"/>
          <w:highlight w:val="none"/>
        </w:rPr>
        <w:t>2、我单位针对本项目的总报价为</w:t>
      </w:r>
      <w:r>
        <w:rPr>
          <w:b/>
          <w:color w:val="auto"/>
          <w:szCs w:val="21"/>
          <w:highlight w:val="none"/>
          <w:u w:val="single"/>
        </w:rPr>
        <w:t xml:space="preserve">          </w:t>
      </w:r>
      <w:r>
        <w:rPr>
          <w:bCs/>
          <w:color w:val="auto"/>
          <w:szCs w:val="21"/>
          <w:highlight w:val="none"/>
        </w:rPr>
        <w:t>万元</w:t>
      </w:r>
      <w:r>
        <w:rPr>
          <w:color w:val="auto"/>
          <w:szCs w:val="21"/>
          <w:highlight w:val="none"/>
        </w:rPr>
        <w:t>，交货</w:t>
      </w:r>
      <w:r>
        <w:rPr>
          <w:rFonts w:hint="eastAsia"/>
          <w:color w:val="auto"/>
          <w:szCs w:val="21"/>
          <w:highlight w:val="none"/>
        </w:rPr>
        <w:t>期</w:t>
      </w:r>
      <w:r>
        <w:rPr>
          <w:color w:val="auto"/>
          <w:szCs w:val="21"/>
          <w:highlight w:val="none"/>
        </w:rPr>
        <w:t>：</w:t>
      </w:r>
      <w:r>
        <w:rPr>
          <w:b/>
          <w:color w:val="auto"/>
          <w:szCs w:val="21"/>
          <w:highlight w:val="none"/>
          <w:u w:val="single"/>
        </w:rPr>
        <w:t xml:space="preserve">        </w:t>
      </w:r>
      <w:r>
        <w:rPr>
          <w:color w:val="auto"/>
          <w:szCs w:val="21"/>
          <w:highlight w:val="none"/>
        </w:rPr>
        <w:t xml:space="preserve"> 交货地点：</w:t>
      </w:r>
      <w:r>
        <w:rPr>
          <w:b/>
          <w:color w:val="auto"/>
          <w:szCs w:val="21"/>
          <w:highlight w:val="none"/>
          <w:u w:val="single"/>
        </w:rPr>
        <w:t xml:space="preserve">        。</w:t>
      </w:r>
      <w:r>
        <w:rPr>
          <w:color w:val="auto"/>
          <w:szCs w:val="21"/>
          <w:highlight w:val="none"/>
        </w:rPr>
        <w:t>本评比报价己考虑了所有因素，评比有效期内，评比价格保持不变。</w:t>
      </w:r>
    </w:p>
    <w:p>
      <w:pPr>
        <w:adjustRightInd w:val="0"/>
        <w:snapToGrid w:val="0"/>
        <w:spacing w:line="440" w:lineRule="exact"/>
        <w:ind w:firstLine="420" w:firstLineChars="200"/>
        <w:rPr>
          <w:color w:val="auto"/>
          <w:szCs w:val="21"/>
          <w:highlight w:val="none"/>
        </w:rPr>
      </w:pPr>
      <w:r>
        <w:rPr>
          <w:color w:val="auto"/>
          <w:szCs w:val="21"/>
          <w:highlight w:val="none"/>
        </w:rPr>
        <w:t>3、我们已详细审查全部评比文件，包括修改文件（如果有的话）以及全部参考资料和有关附件。我们完全理解并同意放弃对这方面有不明及误解的权利。</w:t>
      </w:r>
    </w:p>
    <w:p>
      <w:pPr>
        <w:adjustRightInd w:val="0"/>
        <w:snapToGrid w:val="0"/>
        <w:spacing w:line="440" w:lineRule="exact"/>
        <w:ind w:firstLine="420" w:firstLineChars="200"/>
        <w:rPr>
          <w:color w:val="auto"/>
          <w:szCs w:val="21"/>
          <w:highlight w:val="none"/>
        </w:rPr>
      </w:pPr>
      <w:r>
        <w:rPr>
          <w:color w:val="auto"/>
          <w:szCs w:val="21"/>
          <w:highlight w:val="none"/>
        </w:rPr>
        <w:t>4、如果我们成交，我们保证按评比文件的要求和评比供应商签订服务合同，并成立项目部，选派专业管理人员和服务人员实施服务合同。</w:t>
      </w:r>
    </w:p>
    <w:p>
      <w:pPr>
        <w:adjustRightInd w:val="0"/>
        <w:snapToGrid w:val="0"/>
        <w:spacing w:line="440" w:lineRule="exact"/>
        <w:ind w:firstLine="420" w:firstLineChars="200"/>
        <w:rPr>
          <w:color w:val="auto"/>
          <w:szCs w:val="21"/>
          <w:highlight w:val="none"/>
        </w:rPr>
      </w:pPr>
      <w:r>
        <w:rPr>
          <w:color w:val="auto"/>
          <w:szCs w:val="21"/>
          <w:highlight w:val="none"/>
        </w:rPr>
        <w:t>5、我们同意从评比之日起</w:t>
      </w:r>
      <w:r>
        <w:rPr>
          <w:color w:val="auto"/>
          <w:szCs w:val="21"/>
          <w:highlight w:val="none"/>
          <w:u w:val="single"/>
        </w:rPr>
        <w:t>90</w:t>
      </w:r>
      <w:r>
        <w:rPr>
          <w:color w:val="auto"/>
          <w:szCs w:val="21"/>
          <w:highlight w:val="none"/>
        </w:rPr>
        <w:t>天内遵守本评比文件，在此期限期满之前的任何时间，本评比文件一直对我们具有约束力。</w:t>
      </w:r>
    </w:p>
    <w:p>
      <w:pPr>
        <w:adjustRightInd w:val="0"/>
        <w:snapToGrid w:val="0"/>
        <w:spacing w:line="440" w:lineRule="exact"/>
        <w:ind w:firstLine="420" w:firstLineChars="200"/>
        <w:rPr>
          <w:color w:val="auto"/>
          <w:szCs w:val="21"/>
          <w:highlight w:val="none"/>
        </w:rPr>
      </w:pPr>
      <w:r>
        <w:rPr>
          <w:color w:val="auto"/>
          <w:szCs w:val="21"/>
          <w:highlight w:val="none"/>
        </w:rPr>
        <w:t>6、在制定和执行正式合同之前，本评比文件、评比响应文件连同你方书面的成交通知书，应构成我们双方之间有约束力的合同。</w:t>
      </w:r>
    </w:p>
    <w:p>
      <w:pPr>
        <w:adjustRightInd w:val="0"/>
        <w:snapToGrid w:val="0"/>
        <w:spacing w:line="440" w:lineRule="exact"/>
        <w:ind w:firstLine="420" w:firstLineChars="200"/>
        <w:rPr>
          <w:color w:val="auto"/>
          <w:szCs w:val="21"/>
          <w:highlight w:val="none"/>
        </w:rPr>
      </w:pPr>
      <w:r>
        <w:rPr>
          <w:color w:val="auto"/>
          <w:szCs w:val="21"/>
          <w:highlight w:val="none"/>
        </w:rPr>
        <w:t>7、我们理解你们并不一定接受最低标报价的评比或受到的任何评比响应文件的约束，同时也理解，你方不负担我们的任何评比费用。</w:t>
      </w:r>
    </w:p>
    <w:p>
      <w:pPr>
        <w:adjustRightInd w:val="0"/>
        <w:snapToGrid w:val="0"/>
        <w:spacing w:line="440" w:lineRule="exact"/>
        <w:rPr>
          <w:color w:val="auto"/>
          <w:szCs w:val="21"/>
          <w:highlight w:val="none"/>
        </w:rPr>
      </w:pPr>
    </w:p>
    <w:p>
      <w:pPr>
        <w:adjustRightInd w:val="0"/>
        <w:snapToGrid w:val="0"/>
        <w:spacing w:line="440" w:lineRule="exact"/>
        <w:rPr>
          <w:color w:val="auto"/>
          <w:szCs w:val="21"/>
          <w:highlight w:val="none"/>
          <w:u w:val="single"/>
        </w:rPr>
      </w:pPr>
      <w:r>
        <w:rPr>
          <w:color w:val="auto"/>
          <w:szCs w:val="21"/>
          <w:highlight w:val="none"/>
        </w:rPr>
        <w:t>评比供应商：</w:t>
      </w:r>
      <w:r>
        <w:rPr>
          <w:color w:val="auto"/>
          <w:szCs w:val="21"/>
          <w:highlight w:val="none"/>
          <w:u w:val="single"/>
        </w:rPr>
        <w:t xml:space="preserve">  （公章）</w:t>
      </w:r>
    </w:p>
    <w:p>
      <w:pPr>
        <w:adjustRightInd w:val="0"/>
        <w:snapToGrid w:val="0"/>
        <w:spacing w:line="440" w:lineRule="exact"/>
        <w:rPr>
          <w:color w:val="auto"/>
          <w:szCs w:val="21"/>
          <w:highlight w:val="none"/>
        </w:rPr>
      </w:pPr>
      <w:r>
        <w:rPr>
          <w:color w:val="auto"/>
          <w:szCs w:val="21"/>
          <w:highlight w:val="none"/>
        </w:rPr>
        <w:t>法定代表人（或法定代表人授权代表）或自然人（签署或盖章）：</w:t>
      </w:r>
    </w:p>
    <w:p>
      <w:pPr>
        <w:adjustRightInd w:val="0"/>
        <w:snapToGrid w:val="0"/>
        <w:spacing w:line="440" w:lineRule="exact"/>
        <w:rPr>
          <w:color w:val="auto"/>
          <w:szCs w:val="21"/>
          <w:highlight w:val="none"/>
        </w:rPr>
      </w:pPr>
      <w:r>
        <w:rPr>
          <w:color w:val="auto"/>
          <w:szCs w:val="21"/>
          <w:highlight w:val="none"/>
        </w:rPr>
        <w:t>地址：</w:t>
      </w:r>
    </w:p>
    <w:p>
      <w:pPr>
        <w:adjustRightInd w:val="0"/>
        <w:snapToGrid w:val="0"/>
        <w:spacing w:line="440" w:lineRule="exact"/>
        <w:rPr>
          <w:color w:val="auto"/>
          <w:szCs w:val="21"/>
          <w:highlight w:val="none"/>
        </w:rPr>
      </w:pPr>
      <w:r>
        <w:rPr>
          <w:color w:val="auto"/>
          <w:szCs w:val="21"/>
          <w:highlight w:val="none"/>
        </w:rPr>
        <w:t>电话：</w:t>
      </w:r>
    </w:p>
    <w:p>
      <w:pPr>
        <w:adjustRightInd w:val="0"/>
        <w:snapToGrid w:val="0"/>
        <w:spacing w:line="440" w:lineRule="exact"/>
        <w:rPr>
          <w:color w:val="auto"/>
          <w:szCs w:val="21"/>
          <w:highlight w:val="none"/>
        </w:rPr>
      </w:pPr>
      <w:r>
        <w:rPr>
          <w:color w:val="auto"/>
          <w:szCs w:val="21"/>
          <w:highlight w:val="none"/>
        </w:rPr>
        <w:t>传真：</w:t>
      </w:r>
    </w:p>
    <w:p>
      <w:pPr>
        <w:adjustRightInd w:val="0"/>
        <w:snapToGrid w:val="0"/>
        <w:spacing w:line="440" w:lineRule="exact"/>
        <w:rPr>
          <w:color w:val="auto"/>
          <w:szCs w:val="21"/>
          <w:highlight w:val="none"/>
        </w:rPr>
      </w:pPr>
      <w:r>
        <w:rPr>
          <w:color w:val="auto"/>
          <w:szCs w:val="21"/>
          <w:highlight w:val="none"/>
        </w:rPr>
        <w:t>日期：年 月 日</w:t>
      </w:r>
      <w:bookmarkStart w:id="991" w:name="_Toc68963481"/>
    </w:p>
    <w:p>
      <w:pPr>
        <w:adjustRightInd w:val="0"/>
        <w:snapToGrid w:val="0"/>
        <w:spacing w:line="440" w:lineRule="exact"/>
        <w:rPr>
          <w:color w:val="auto"/>
          <w:szCs w:val="21"/>
          <w:highlight w:val="none"/>
        </w:rPr>
      </w:pPr>
      <w:r>
        <w:rPr>
          <w:color w:val="auto"/>
          <w:szCs w:val="21"/>
          <w:highlight w:val="none"/>
        </w:rPr>
        <w:br w:type="page"/>
      </w:r>
    </w:p>
    <w:bookmarkEnd w:id="991"/>
    <w:p>
      <w:pPr>
        <w:pStyle w:val="4"/>
        <w:rPr>
          <w:rFonts w:ascii="Times New Roman" w:hAnsi="Times New Roman" w:eastAsia="宋体"/>
          <w:color w:val="auto"/>
          <w:sz w:val="32"/>
          <w:highlight w:val="none"/>
        </w:rPr>
      </w:pPr>
      <w:bookmarkStart w:id="992" w:name="_Toc10213455"/>
      <w:bookmarkStart w:id="993" w:name="_Toc68963488"/>
      <w:r>
        <w:rPr>
          <w:rFonts w:ascii="Times New Roman" w:hAnsi="Times New Roman" w:eastAsia="宋体"/>
          <w:color w:val="auto"/>
          <w:sz w:val="32"/>
          <w:highlight w:val="none"/>
        </w:rPr>
        <w:t>二、评比报价明细表</w:t>
      </w:r>
      <w:bookmarkEnd w:id="992"/>
    </w:p>
    <w:p>
      <w:pPr>
        <w:pStyle w:val="22"/>
        <w:spacing w:line="360" w:lineRule="auto"/>
        <w:rPr>
          <w:rFonts w:ascii="Times New Roman" w:hAnsi="Times New Roman"/>
          <w:b/>
          <w:bCs/>
          <w:color w:val="auto"/>
          <w:sz w:val="24"/>
          <w:szCs w:val="21"/>
          <w:highlight w:val="none"/>
        </w:rPr>
      </w:pPr>
    </w:p>
    <w:p>
      <w:pPr>
        <w:pStyle w:val="22"/>
        <w:spacing w:line="440" w:lineRule="exact"/>
        <w:rPr>
          <w:rFonts w:ascii="Times New Roman" w:hAnsi="Times New Roman"/>
          <w:color w:val="auto"/>
          <w:sz w:val="21"/>
          <w:szCs w:val="21"/>
          <w:highlight w:val="none"/>
        </w:rPr>
      </w:pPr>
      <w:r>
        <w:rPr>
          <w:rFonts w:hint="eastAsia"/>
          <w:color w:val="auto"/>
          <w:szCs w:val="21"/>
          <w:highlight w:val="none"/>
        </w:rPr>
        <w:t>由供应商自行编制提供</w:t>
      </w:r>
    </w:p>
    <w:p>
      <w:pPr>
        <w:pStyle w:val="22"/>
        <w:spacing w:line="440" w:lineRule="exact"/>
        <w:rPr>
          <w:rFonts w:ascii="Times New Roman" w:hAnsi="Times New Roman"/>
          <w:color w:val="auto"/>
          <w:sz w:val="21"/>
          <w:szCs w:val="21"/>
          <w:highlight w:val="none"/>
        </w:rPr>
      </w:pPr>
    </w:p>
    <w:p>
      <w:pPr>
        <w:pStyle w:val="22"/>
        <w:spacing w:line="440" w:lineRule="exact"/>
        <w:rPr>
          <w:rFonts w:ascii="Times New Roman" w:hAnsi="Times New Roman"/>
          <w:color w:val="auto"/>
          <w:sz w:val="21"/>
          <w:szCs w:val="21"/>
          <w:highlight w:val="none"/>
        </w:rPr>
      </w:pPr>
    </w:p>
    <w:p>
      <w:pPr>
        <w:pStyle w:val="22"/>
        <w:spacing w:line="440" w:lineRule="exact"/>
        <w:rPr>
          <w:rFonts w:ascii="Times New Roman" w:hAnsi="Times New Roman"/>
          <w:color w:val="auto"/>
          <w:sz w:val="21"/>
          <w:szCs w:val="21"/>
          <w:highlight w:val="none"/>
        </w:rPr>
      </w:pPr>
    </w:p>
    <w:p>
      <w:pPr>
        <w:pStyle w:val="22"/>
        <w:spacing w:line="440" w:lineRule="exact"/>
        <w:rPr>
          <w:rFonts w:ascii="Times New Roman" w:hAnsi="Times New Roman"/>
          <w:color w:val="auto"/>
          <w:sz w:val="21"/>
          <w:szCs w:val="21"/>
          <w:highlight w:val="none"/>
        </w:rPr>
      </w:pPr>
    </w:p>
    <w:p>
      <w:pPr>
        <w:pStyle w:val="22"/>
        <w:spacing w:line="440" w:lineRule="exact"/>
        <w:rPr>
          <w:rFonts w:ascii="Times New Roman" w:hAnsi="Times New Roman"/>
          <w:color w:val="auto"/>
          <w:sz w:val="21"/>
          <w:szCs w:val="21"/>
          <w:highlight w:val="none"/>
        </w:rPr>
      </w:pPr>
    </w:p>
    <w:p>
      <w:pPr>
        <w:pStyle w:val="22"/>
        <w:spacing w:line="440" w:lineRule="exact"/>
        <w:rPr>
          <w:rFonts w:ascii="Times New Roman" w:hAnsi="Times New Roman"/>
          <w:color w:val="auto"/>
          <w:sz w:val="21"/>
          <w:szCs w:val="21"/>
          <w:highlight w:val="none"/>
        </w:rPr>
      </w:pPr>
    </w:p>
    <w:p>
      <w:pPr>
        <w:adjustRightInd w:val="0"/>
        <w:snapToGrid w:val="0"/>
        <w:spacing w:line="440" w:lineRule="exact"/>
        <w:rPr>
          <w:color w:val="auto"/>
          <w:szCs w:val="21"/>
          <w:highlight w:val="none"/>
        </w:rPr>
      </w:pPr>
      <w:r>
        <w:rPr>
          <w:color w:val="auto"/>
          <w:szCs w:val="21"/>
          <w:highlight w:val="none"/>
        </w:rPr>
        <w:t>法定代表人（或法定代表人授权代表）或自然人（签署或盖章）：</w:t>
      </w:r>
    </w:p>
    <w:p>
      <w:pPr>
        <w:adjustRightInd w:val="0"/>
        <w:snapToGrid w:val="0"/>
        <w:spacing w:line="440" w:lineRule="exact"/>
        <w:rPr>
          <w:color w:val="auto"/>
          <w:szCs w:val="21"/>
          <w:highlight w:val="none"/>
        </w:rPr>
      </w:pPr>
      <w:r>
        <w:rPr>
          <w:color w:val="auto"/>
          <w:szCs w:val="21"/>
          <w:highlight w:val="none"/>
        </w:rPr>
        <w:t>地址：</w:t>
      </w:r>
    </w:p>
    <w:p>
      <w:pPr>
        <w:adjustRightInd w:val="0"/>
        <w:snapToGrid w:val="0"/>
        <w:spacing w:line="440" w:lineRule="exact"/>
        <w:rPr>
          <w:color w:val="auto"/>
          <w:szCs w:val="21"/>
          <w:highlight w:val="none"/>
        </w:rPr>
      </w:pPr>
      <w:r>
        <w:rPr>
          <w:color w:val="auto"/>
          <w:szCs w:val="21"/>
          <w:highlight w:val="none"/>
        </w:rPr>
        <w:t>电话：</w:t>
      </w:r>
    </w:p>
    <w:p>
      <w:pPr>
        <w:adjustRightInd w:val="0"/>
        <w:snapToGrid w:val="0"/>
        <w:spacing w:line="440" w:lineRule="exact"/>
        <w:rPr>
          <w:color w:val="auto"/>
          <w:szCs w:val="21"/>
          <w:highlight w:val="none"/>
        </w:rPr>
      </w:pPr>
      <w:r>
        <w:rPr>
          <w:color w:val="auto"/>
          <w:szCs w:val="21"/>
          <w:highlight w:val="none"/>
        </w:rPr>
        <w:t xml:space="preserve">传真：                                                                                                                                                                                                                                                                                                                                                                                                                                                                                                                                                                                                                                                                                                                                                                                                                                                                                                                                                                                                                                                                                                                                                                                                                                                                                                                                                                                                                                                                                                                                                                                                                                                                                                                                                                                                                                                                                                                                                                                                                                                                </w:t>
      </w:r>
    </w:p>
    <w:p>
      <w:pPr>
        <w:adjustRightInd w:val="0"/>
        <w:snapToGrid w:val="0"/>
        <w:spacing w:line="440" w:lineRule="exact"/>
        <w:rPr>
          <w:color w:val="auto"/>
          <w:szCs w:val="21"/>
          <w:highlight w:val="none"/>
        </w:rPr>
      </w:pPr>
      <w:r>
        <w:rPr>
          <w:color w:val="auto"/>
          <w:szCs w:val="21"/>
          <w:highlight w:val="none"/>
        </w:rPr>
        <w:t>日期： 年  月  日</w:t>
      </w:r>
    </w:p>
    <w:p>
      <w:pPr>
        <w:adjustRightInd w:val="0"/>
        <w:snapToGrid w:val="0"/>
        <w:spacing w:line="440" w:lineRule="exact"/>
        <w:rPr>
          <w:color w:val="auto"/>
          <w:szCs w:val="21"/>
          <w:highlight w:val="none"/>
        </w:rPr>
      </w:pPr>
    </w:p>
    <w:p>
      <w:pPr>
        <w:adjustRightInd w:val="0"/>
        <w:snapToGrid w:val="0"/>
        <w:spacing w:line="440" w:lineRule="exact"/>
        <w:rPr>
          <w:color w:val="auto"/>
          <w:szCs w:val="21"/>
          <w:highlight w:val="none"/>
        </w:rPr>
      </w:pPr>
      <w:r>
        <w:rPr>
          <w:color w:val="auto"/>
          <w:szCs w:val="21"/>
          <w:highlight w:val="none"/>
        </w:rPr>
        <w:t>注：</w:t>
      </w:r>
    </w:p>
    <w:p>
      <w:pPr>
        <w:snapToGrid w:val="0"/>
        <w:spacing w:line="480" w:lineRule="exact"/>
        <w:ind w:firstLine="420" w:firstLineChars="200"/>
        <w:rPr>
          <w:color w:val="auto"/>
          <w:szCs w:val="21"/>
          <w:highlight w:val="none"/>
        </w:rPr>
      </w:pPr>
      <w:r>
        <w:rPr>
          <w:color w:val="auto"/>
          <w:szCs w:val="21"/>
          <w:highlight w:val="none"/>
        </w:rPr>
        <w:t>1．请供应商完整填写本表</w:t>
      </w:r>
      <w:r>
        <w:rPr>
          <w:rFonts w:hint="eastAsia"/>
          <w:color w:val="auto"/>
          <w:szCs w:val="21"/>
          <w:highlight w:val="none"/>
        </w:rPr>
        <w:t>，为包含本项目工作内容的全部报价</w:t>
      </w:r>
      <w:r>
        <w:rPr>
          <w:color w:val="auto"/>
          <w:szCs w:val="21"/>
          <w:highlight w:val="none"/>
        </w:rPr>
        <w:t>；</w:t>
      </w:r>
    </w:p>
    <w:p>
      <w:pPr>
        <w:adjustRightInd w:val="0"/>
        <w:snapToGrid w:val="0"/>
        <w:spacing w:line="440" w:lineRule="exact"/>
        <w:rPr>
          <w:color w:val="auto"/>
          <w:szCs w:val="21"/>
          <w:highlight w:val="none"/>
        </w:rPr>
      </w:pPr>
    </w:p>
    <w:p>
      <w:pPr>
        <w:adjustRightInd w:val="0"/>
        <w:snapToGrid w:val="0"/>
        <w:spacing w:line="440" w:lineRule="exact"/>
        <w:rPr>
          <w:color w:val="auto"/>
          <w:szCs w:val="21"/>
          <w:highlight w:val="none"/>
        </w:rPr>
      </w:pPr>
    </w:p>
    <w:p>
      <w:pPr>
        <w:rPr>
          <w:color w:val="auto"/>
          <w:highlight w:val="none"/>
        </w:rPr>
      </w:pPr>
      <w:r>
        <w:rPr>
          <w:color w:val="auto"/>
          <w:highlight w:val="none"/>
        </w:rPr>
        <w:br w:type="page"/>
      </w:r>
    </w:p>
    <w:p>
      <w:pPr>
        <w:rPr>
          <w:color w:val="auto"/>
          <w:highlight w:val="none"/>
        </w:rPr>
      </w:pPr>
    </w:p>
    <w:p>
      <w:pPr>
        <w:pStyle w:val="4"/>
        <w:rPr>
          <w:rFonts w:ascii="Times New Roman" w:hAnsi="Times New Roman" w:eastAsia="宋体"/>
          <w:color w:val="auto"/>
          <w:sz w:val="32"/>
          <w:highlight w:val="none"/>
        </w:rPr>
      </w:pPr>
      <w:bookmarkStart w:id="994" w:name="_Toc10213456"/>
      <w:r>
        <w:rPr>
          <w:rFonts w:ascii="Times New Roman" w:hAnsi="Times New Roman" w:eastAsia="宋体"/>
          <w:color w:val="auto"/>
          <w:sz w:val="32"/>
          <w:highlight w:val="none"/>
        </w:rPr>
        <w:t>三、评比供应商基本情况表</w:t>
      </w:r>
      <w:bookmarkEnd w:id="993"/>
      <w:bookmarkEnd w:id="994"/>
    </w:p>
    <w:tbl>
      <w:tblPr>
        <w:tblStyle w:val="40"/>
        <w:tblW w:w="8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4"/>
        <w:gridCol w:w="1048"/>
        <w:gridCol w:w="705"/>
        <w:gridCol w:w="1753"/>
        <w:gridCol w:w="1753"/>
        <w:gridCol w:w="1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92" w:type="dxa"/>
            <w:gridSpan w:val="2"/>
            <w:vAlign w:val="center"/>
          </w:tcPr>
          <w:p>
            <w:pPr>
              <w:adjustRightInd w:val="0"/>
              <w:snapToGrid w:val="0"/>
              <w:spacing w:line="360" w:lineRule="auto"/>
              <w:jc w:val="center"/>
              <w:rPr>
                <w:color w:val="auto"/>
                <w:szCs w:val="21"/>
                <w:highlight w:val="none"/>
              </w:rPr>
            </w:pPr>
            <w:r>
              <w:rPr>
                <w:color w:val="auto"/>
                <w:szCs w:val="21"/>
                <w:highlight w:val="none"/>
              </w:rPr>
              <w:t>单位名称</w:t>
            </w:r>
          </w:p>
        </w:tc>
        <w:tc>
          <w:tcPr>
            <w:tcW w:w="5964" w:type="dxa"/>
            <w:gridSpan w:val="4"/>
            <w:vAlign w:val="center"/>
          </w:tcPr>
          <w:p>
            <w:pPr>
              <w:adjustRightInd w:val="0"/>
              <w:snapToGrid w:val="0"/>
              <w:spacing w:line="36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92" w:type="dxa"/>
            <w:gridSpan w:val="2"/>
            <w:vAlign w:val="center"/>
          </w:tcPr>
          <w:p>
            <w:pPr>
              <w:adjustRightInd w:val="0"/>
              <w:snapToGrid w:val="0"/>
              <w:spacing w:line="360" w:lineRule="auto"/>
              <w:jc w:val="center"/>
              <w:rPr>
                <w:color w:val="auto"/>
                <w:szCs w:val="21"/>
                <w:highlight w:val="none"/>
              </w:rPr>
            </w:pPr>
            <w:r>
              <w:rPr>
                <w:color w:val="auto"/>
                <w:szCs w:val="21"/>
                <w:highlight w:val="none"/>
              </w:rPr>
              <w:t>地址、邮编、电话</w:t>
            </w:r>
          </w:p>
        </w:tc>
        <w:tc>
          <w:tcPr>
            <w:tcW w:w="5964" w:type="dxa"/>
            <w:gridSpan w:val="4"/>
            <w:vAlign w:val="center"/>
          </w:tcPr>
          <w:p>
            <w:pPr>
              <w:adjustRightInd w:val="0"/>
              <w:snapToGrid w:val="0"/>
              <w:spacing w:line="36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92" w:type="dxa"/>
            <w:gridSpan w:val="2"/>
            <w:vAlign w:val="center"/>
          </w:tcPr>
          <w:p>
            <w:pPr>
              <w:adjustRightInd w:val="0"/>
              <w:snapToGrid w:val="0"/>
              <w:spacing w:line="360" w:lineRule="auto"/>
              <w:jc w:val="center"/>
              <w:rPr>
                <w:color w:val="auto"/>
                <w:szCs w:val="21"/>
                <w:highlight w:val="none"/>
              </w:rPr>
            </w:pPr>
            <w:r>
              <w:rPr>
                <w:color w:val="auto"/>
                <w:szCs w:val="21"/>
                <w:highlight w:val="none"/>
              </w:rPr>
              <w:t>主要业务范围</w:t>
            </w:r>
          </w:p>
        </w:tc>
        <w:tc>
          <w:tcPr>
            <w:tcW w:w="5964" w:type="dxa"/>
            <w:gridSpan w:val="4"/>
            <w:vAlign w:val="center"/>
          </w:tcPr>
          <w:p>
            <w:pPr>
              <w:adjustRightInd w:val="0"/>
              <w:snapToGrid w:val="0"/>
              <w:spacing w:line="36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92" w:type="dxa"/>
            <w:gridSpan w:val="2"/>
            <w:vAlign w:val="center"/>
          </w:tcPr>
          <w:p>
            <w:pPr>
              <w:adjustRightInd w:val="0"/>
              <w:snapToGrid w:val="0"/>
              <w:spacing w:line="360" w:lineRule="auto"/>
              <w:jc w:val="center"/>
              <w:rPr>
                <w:color w:val="auto"/>
                <w:szCs w:val="21"/>
                <w:highlight w:val="none"/>
              </w:rPr>
            </w:pPr>
            <w:r>
              <w:rPr>
                <w:color w:val="auto"/>
                <w:szCs w:val="21"/>
                <w:highlight w:val="none"/>
              </w:rPr>
              <w:t>单位性质</w:t>
            </w:r>
          </w:p>
        </w:tc>
        <w:tc>
          <w:tcPr>
            <w:tcW w:w="5964" w:type="dxa"/>
            <w:gridSpan w:val="4"/>
            <w:vAlign w:val="center"/>
          </w:tcPr>
          <w:p>
            <w:pPr>
              <w:adjustRightInd w:val="0"/>
              <w:snapToGrid w:val="0"/>
              <w:spacing w:line="36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92" w:type="dxa"/>
            <w:gridSpan w:val="2"/>
            <w:vAlign w:val="center"/>
          </w:tcPr>
          <w:p>
            <w:pPr>
              <w:adjustRightInd w:val="0"/>
              <w:snapToGrid w:val="0"/>
              <w:spacing w:line="360" w:lineRule="auto"/>
              <w:jc w:val="center"/>
              <w:rPr>
                <w:color w:val="auto"/>
                <w:szCs w:val="21"/>
                <w:highlight w:val="none"/>
              </w:rPr>
            </w:pPr>
            <w:r>
              <w:rPr>
                <w:color w:val="auto"/>
                <w:szCs w:val="21"/>
                <w:highlight w:val="none"/>
              </w:rPr>
              <w:t>成立时间</w:t>
            </w:r>
          </w:p>
        </w:tc>
        <w:tc>
          <w:tcPr>
            <w:tcW w:w="5964" w:type="dxa"/>
            <w:gridSpan w:val="4"/>
            <w:vAlign w:val="center"/>
          </w:tcPr>
          <w:p>
            <w:pPr>
              <w:adjustRightInd w:val="0"/>
              <w:snapToGrid w:val="0"/>
              <w:spacing w:line="36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56" w:type="dxa"/>
            <w:gridSpan w:val="6"/>
            <w:vAlign w:val="center"/>
          </w:tcPr>
          <w:p>
            <w:pPr>
              <w:adjustRightInd w:val="0"/>
              <w:snapToGrid w:val="0"/>
              <w:spacing w:line="360" w:lineRule="auto"/>
              <w:jc w:val="center"/>
              <w:rPr>
                <w:color w:val="auto"/>
                <w:szCs w:val="21"/>
                <w:highlight w:val="none"/>
              </w:rPr>
            </w:pPr>
            <w:r>
              <w:rPr>
                <w:color w:val="auto"/>
                <w:szCs w:val="21"/>
                <w:highlight w:val="none"/>
              </w:rPr>
              <w:t>单 位人 员 职 称 构 成 情 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44" w:type="dxa"/>
            <w:vAlign w:val="center"/>
          </w:tcPr>
          <w:p>
            <w:pPr>
              <w:adjustRightInd w:val="0"/>
              <w:snapToGrid w:val="0"/>
              <w:spacing w:line="360" w:lineRule="auto"/>
              <w:jc w:val="center"/>
              <w:rPr>
                <w:color w:val="auto"/>
                <w:szCs w:val="21"/>
                <w:highlight w:val="none"/>
              </w:rPr>
            </w:pPr>
            <w:r>
              <w:rPr>
                <w:color w:val="auto"/>
                <w:szCs w:val="21"/>
                <w:highlight w:val="none"/>
              </w:rPr>
              <w:t>人员总数</w:t>
            </w:r>
          </w:p>
        </w:tc>
        <w:tc>
          <w:tcPr>
            <w:tcW w:w="1753" w:type="dxa"/>
            <w:gridSpan w:val="2"/>
            <w:vAlign w:val="center"/>
          </w:tcPr>
          <w:p>
            <w:pPr>
              <w:adjustRightInd w:val="0"/>
              <w:snapToGrid w:val="0"/>
              <w:spacing w:line="360" w:lineRule="auto"/>
              <w:jc w:val="center"/>
              <w:rPr>
                <w:color w:val="auto"/>
                <w:szCs w:val="21"/>
                <w:highlight w:val="none"/>
              </w:rPr>
            </w:pPr>
            <w:r>
              <w:rPr>
                <w:color w:val="auto"/>
                <w:szCs w:val="21"/>
                <w:highlight w:val="none"/>
              </w:rPr>
              <w:t>高级职称</w:t>
            </w:r>
          </w:p>
        </w:tc>
        <w:tc>
          <w:tcPr>
            <w:tcW w:w="1753" w:type="dxa"/>
            <w:vAlign w:val="center"/>
          </w:tcPr>
          <w:p>
            <w:pPr>
              <w:adjustRightInd w:val="0"/>
              <w:snapToGrid w:val="0"/>
              <w:spacing w:line="360" w:lineRule="auto"/>
              <w:jc w:val="center"/>
              <w:rPr>
                <w:color w:val="auto"/>
                <w:szCs w:val="21"/>
                <w:highlight w:val="none"/>
              </w:rPr>
            </w:pPr>
            <w:r>
              <w:rPr>
                <w:color w:val="auto"/>
                <w:szCs w:val="21"/>
                <w:highlight w:val="none"/>
              </w:rPr>
              <w:t>中级职称</w:t>
            </w:r>
          </w:p>
        </w:tc>
        <w:tc>
          <w:tcPr>
            <w:tcW w:w="1753" w:type="dxa"/>
            <w:vAlign w:val="center"/>
          </w:tcPr>
          <w:p>
            <w:pPr>
              <w:adjustRightInd w:val="0"/>
              <w:snapToGrid w:val="0"/>
              <w:spacing w:line="360" w:lineRule="auto"/>
              <w:jc w:val="center"/>
              <w:rPr>
                <w:color w:val="auto"/>
                <w:szCs w:val="21"/>
                <w:highlight w:val="none"/>
              </w:rPr>
            </w:pPr>
            <w:r>
              <w:rPr>
                <w:color w:val="auto"/>
                <w:szCs w:val="21"/>
                <w:highlight w:val="none"/>
              </w:rPr>
              <w:t>初级职称</w:t>
            </w:r>
          </w:p>
        </w:tc>
        <w:tc>
          <w:tcPr>
            <w:tcW w:w="1753" w:type="dxa"/>
            <w:vAlign w:val="center"/>
          </w:tcPr>
          <w:p>
            <w:pPr>
              <w:adjustRightInd w:val="0"/>
              <w:snapToGrid w:val="0"/>
              <w:spacing w:line="360" w:lineRule="auto"/>
              <w:jc w:val="center"/>
              <w:rPr>
                <w:color w:val="auto"/>
                <w:szCs w:val="21"/>
                <w:highlight w:val="none"/>
              </w:rPr>
            </w:pPr>
            <w:r>
              <w:rPr>
                <w:color w:val="auto"/>
                <w:szCs w:val="21"/>
                <w:highlight w:val="none"/>
              </w:rPr>
              <w:t>其它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644" w:type="dxa"/>
            <w:vAlign w:val="center"/>
          </w:tcPr>
          <w:p>
            <w:pPr>
              <w:adjustRightInd w:val="0"/>
              <w:snapToGrid w:val="0"/>
              <w:spacing w:line="360" w:lineRule="auto"/>
              <w:jc w:val="center"/>
              <w:rPr>
                <w:color w:val="auto"/>
                <w:szCs w:val="21"/>
                <w:highlight w:val="none"/>
              </w:rPr>
            </w:pPr>
          </w:p>
        </w:tc>
        <w:tc>
          <w:tcPr>
            <w:tcW w:w="1753" w:type="dxa"/>
            <w:gridSpan w:val="2"/>
            <w:vAlign w:val="center"/>
          </w:tcPr>
          <w:p>
            <w:pPr>
              <w:adjustRightInd w:val="0"/>
              <w:snapToGrid w:val="0"/>
              <w:spacing w:line="360" w:lineRule="auto"/>
              <w:jc w:val="center"/>
              <w:rPr>
                <w:color w:val="auto"/>
                <w:szCs w:val="21"/>
                <w:highlight w:val="none"/>
              </w:rPr>
            </w:pPr>
          </w:p>
        </w:tc>
        <w:tc>
          <w:tcPr>
            <w:tcW w:w="1753" w:type="dxa"/>
            <w:vAlign w:val="center"/>
          </w:tcPr>
          <w:p>
            <w:pPr>
              <w:adjustRightInd w:val="0"/>
              <w:snapToGrid w:val="0"/>
              <w:spacing w:line="360" w:lineRule="auto"/>
              <w:jc w:val="center"/>
              <w:rPr>
                <w:color w:val="auto"/>
                <w:szCs w:val="21"/>
                <w:highlight w:val="none"/>
              </w:rPr>
            </w:pPr>
          </w:p>
        </w:tc>
        <w:tc>
          <w:tcPr>
            <w:tcW w:w="1753" w:type="dxa"/>
            <w:vAlign w:val="center"/>
          </w:tcPr>
          <w:p>
            <w:pPr>
              <w:adjustRightInd w:val="0"/>
              <w:snapToGrid w:val="0"/>
              <w:spacing w:line="360" w:lineRule="auto"/>
              <w:jc w:val="center"/>
              <w:rPr>
                <w:color w:val="auto"/>
                <w:szCs w:val="21"/>
                <w:highlight w:val="none"/>
              </w:rPr>
            </w:pPr>
          </w:p>
        </w:tc>
        <w:tc>
          <w:tcPr>
            <w:tcW w:w="1753" w:type="dxa"/>
            <w:vAlign w:val="center"/>
          </w:tcPr>
          <w:p>
            <w:pPr>
              <w:adjustRightInd w:val="0"/>
              <w:snapToGrid w:val="0"/>
              <w:spacing w:line="360" w:lineRule="auto"/>
              <w:jc w:val="center"/>
              <w:rPr>
                <w:color w:val="auto"/>
                <w:szCs w:val="21"/>
                <w:highlight w:val="none"/>
              </w:rPr>
            </w:pPr>
          </w:p>
        </w:tc>
      </w:tr>
    </w:tbl>
    <w:p>
      <w:pPr>
        <w:adjustRightInd w:val="0"/>
        <w:snapToGrid w:val="0"/>
        <w:spacing w:line="360" w:lineRule="auto"/>
        <w:rPr>
          <w:color w:val="auto"/>
          <w:szCs w:val="21"/>
          <w:highlight w:val="none"/>
        </w:rPr>
      </w:pPr>
    </w:p>
    <w:p>
      <w:pPr>
        <w:adjustRightInd w:val="0"/>
        <w:snapToGrid w:val="0"/>
        <w:spacing w:line="360" w:lineRule="auto"/>
        <w:rPr>
          <w:color w:val="auto"/>
          <w:szCs w:val="21"/>
          <w:highlight w:val="none"/>
        </w:rPr>
      </w:pPr>
    </w:p>
    <w:p>
      <w:pPr>
        <w:adjustRightInd w:val="0"/>
        <w:snapToGrid w:val="0"/>
        <w:spacing w:line="360" w:lineRule="auto"/>
        <w:rPr>
          <w:color w:val="auto"/>
          <w:szCs w:val="21"/>
          <w:highlight w:val="none"/>
          <w:u w:val="single"/>
        </w:rPr>
      </w:pPr>
      <w:r>
        <w:rPr>
          <w:color w:val="auto"/>
          <w:szCs w:val="21"/>
          <w:highlight w:val="none"/>
        </w:rPr>
        <w:t>评比供应商：</w:t>
      </w:r>
      <w:r>
        <w:rPr>
          <w:color w:val="auto"/>
          <w:szCs w:val="21"/>
          <w:highlight w:val="none"/>
          <w:u w:val="single"/>
        </w:rPr>
        <w:t xml:space="preserve">     （公章）        </w:t>
      </w:r>
    </w:p>
    <w:p>
      <w:pPr>
        <w:adjustRightInd w:val="0"/>
        <w:snapToGrid w:val="0"/>
        <w:spacing w:line="440" w:lineRule="exact"/>
        <w:rPr>
          <w:color w:val="auto"/>
          <w:szCs w:val="21"/>
          <w:highlight w:val="none"/>
        </w:rPr>
      </w:pPr>
      <w:r>
        <w:rPr>
          <w:color w:val="auto"/>
          <w:szCs w:val="21"/>
          <w:highlight w:val="none"/>
        </w:rPr>
        <w:t>法定代表人（或法定代表人授权代表）或自然人:</w:t>
      </w:r>
      <w:r>
        <w:rPr>
          <w:color w:val="auto"/>
          <w:szCs w:val="21"/>
          <w:highlight w:val="none"/>
          <w:u w:val="single"/>
        </w:rPr>
        <w:t>（签署或盖章）</w:t>
      </w:r>
    </w:p>
    <w:p>
      <w:pPr>
        <w:adjustRightInd w:val="0"/>
        <w:snapToGrid w:val="0"/>
        <w:spacing w:line="360" w:lineRule="auto"/>
        <w:rPr>
          <w:color w:val="auto"/>
          <w:szCs w:val="21"/>
          <w:highlight w:val="none"/>
        </w:rPr>
      </w:pPr>
      <w:r>
        <w:rPr>
          <w:color w:val="auto"/>
          <w:szCs w:val="21"/>
          <w:highlight w:val="none"/>
        </w:rPr>
        <w:t>日期： 年 月 日</w:t>
      </w:r>
    </w:p>
    <w:p>
      <w:pPr>
        <w:pStyle w:val="4"/>
        <w:rPr>
          <w:rFonts w:ascii="Times New Roman" w:hAnsi="Times New Roman" w:eastAsia="宋体"/>
          <w:color w:val="auto"/>
          <w:sz w:val="32"/>
          <w:highlight w:val="none"/>
        </w:rPr>
      </w:pPr>
      <w:r>
        <w:rPr>
          <w:rFonts w:ascii="Times New Roman" w:hAnsi="Times New Roman" w:eastAsia="宋体"/>
          <w:color w:val="auto"/>
          <w:sz w:val="32"/>
          <w:highlight w:val="none"/>
        </w:rPr>
        <w:br w:type="page"/>
      </w:r>
      <w:bookmarkStart w:id="995" w:name="_Toc10213457"/>
      <w:bookmarkStart w:id="996" w:name="_Toc68963489"/>
      <w:r>
        <w:rPr>
          <w:rFonts w:ascii="Times New Roman" w:hAnsi="Times New Roman" w:eastAsia="宋体"/>
          <w:color w:val="auto"/>
          <w:sz w:val="32"/>
          <w:highlight w:val="none"/>
        </w:rPr>
        <w:t>四、</w:t>
      </w:r>
      <w:r>
        <w:rPr>
          <w:rFonts w:hint="eastAsia" w:ascii="Times New Roman" w:hAnsi="Times New Roman" w:eastAsia="宋体"/>
          <w:color w:val="auto"/>
          <w:sz w:val="32"/>
          <w:highlight w:val="none"/>
        </w:rPr>
        <w:t>拟派</w:t>
      </w:r>
      <w:r>
        <w:rPr>
          <w:rFonts w:ascii="Times New Roman" w:hAnsi="Times New Roman" w:eastAsia="宋体"/>
          <w:color w:val="auto"/>
          <w:sz w:val="32"/>
          <w:highlight w:val="none"/>
        </w:rPr>
        <w:t>人员构成</w:t>
      </w:r>
      <w:bookmarkEnd w:id="995"/>
      <w:bookmarkEnd w:id="996"/>
    </w:p>
    <w:p>
      <w:pPr>
        <w:autoSpaceDE w:val="0"/>
        <w:autoSpaceDN w:val="0"/>
        <w:adjustRightInd w:val="0"/>
        <w:snapToGrid w:val="0"/>
        <w:spacing w:line="360" w:lineRule="auto"/>
        <w:jc w:val="center"/>
        <w:rPr>
          <w:rFonts w:ascii="宋体" w:hAnsi="宋体" w:cs="MingLiU"/>
          <w:color w:val="auto"/>
          <w:kern w:val="0"/>
          <w:sz w:val="28"/>
          <w:szCs w:val="28"/>
          <w:highlight w:val="none"/>
        </w:rPr>
      </w:pPr>
      <w:r>
        <w:rPr>
          <w:rFonts w:hint="eastAsia" w:ascii="宋体" w:hAnsi="宋体" w:cs="MingLiU"/>
          <w:color w:val="auto"/>
          <w:kern w:val="0"/>
          <w:sz w:val="28"/>
          <w:szCs w:val="28"/>
          <w:highlight w:val="none"/>
        </w:rPr>
        <w:t>项目管理机构组成表</w:t>
      </w:r>
    </w:p>
    <w:tbl>
      <w:tblPr>
        <w:tblStyle w:val="40"/>
        <w:tblW w:w="9482" w:type="dxa"/>
        <w:tblInd w:w="-5"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856"/>
        <w:gridCol w:w="734"/>
        <w:gridCol w:w="776"/>
        <w:gridCol w:w="1167"/>
        <w:gridCol w:w="776"/>
        <w:gridCol w:w="778"/>
        <w:gridCol w:w="776"/>
        <w:gridCol w:w="2723"/>
        <w:gridCol w:w="896"/>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vMerge w:val="restart"/>
            <w:vAlign w:val="center"/>
          </w:tcPr>
          <w:p>
            <w:pPr>
              <w:autoSpaceDE w:val="0"/>
              <w:autoSpaceDN w:val="0"/>
              <w:adjustRightInd w:val="0"/>
              <w:snapToGrid w:val="0"/>
              <w:jc w:val="center"/>
              <w:rPr>
                <w:rFonts w:ascii="宋体" w:hAnsi="宋体"/>
                <w:color w:val="auto"/>
                <w:kern w:val="0"/>
                <w:szCs w:val="21"/>
                <w:highlight w:val="none"/>
              </w:rPr>
            </w:pPr>
            <w:r>
              <w:rPr>
                <w:rFonts w:hint="eastAsia" w:ascii="宋体" w:hAnsi="宋体" w:cs="MingLiU"/>
                <w:color w:val="auto"/>
                <w:kern w:val="0"/>
                <w:szCs w:val="21"/>
                <w:highlight w:val="none"/>
              </w:rPr>
              <w:t>职务</w:t>
            </w:r>
          </w:p>
        </w:tc>
        <w:tc>
          <w:tcPr>
            <w:tcW w:w="734" w:type="dxa"/>
            <w:vMerge w:val="restart"/>
            <w:vAlign w:val="center"/>
          </w:tcPr>
          <w:p>
            <w:pPr>
              <w:autoSpaceDE w:val="0"/>
              <w:autoSpaceDN w:val="0"/>
              <w:adjustRightInd w:val="0"/>
              <w:snapToGrid w:val="0"/>
              <w:jc w:val="center"/>
              <w:rPr>
                <w:rFonts w:ascii="宋体" w:hAnsi="宋体"/>
                <w:color w:val="auto"/>
                <w:kern w:val="0"/>
                <w:szCs w:val="21"/>
                <w:highlight w:val="none"/>
              </w:rPr>
            </w:pPr>
            <w:r>
              <w:rPr>
                <w:rFonts w:hint="eastAsia" w:ascii="宋体" w:hAnsi="宋体" w:cs="MingLiU"/>
                <w:color w:val="auto"/>
                <w:kern w:val="0"/>
                <w:szCs w:val="21"/>
                <w:highlight w:val="none"/>
              </w:rPr>
              <w:t>姓名</w:t>
            </w:r>
          </w:p>
        </w:tc>
        <w:tc>
          <w:tcPr>
            <w:tcW w:w="776" w:type="dxa"/>
            <w:vMerge w:val="restart"/>
            <w:vAlign w:val="center"/>
          </w:tcPr>
          <w:p>
            <w:pPr>
              <w:autoSpaceDE w:val="0"/>
              <w:autoSpaceDN w:val="0"/>
              <w:adjustRightInd w:val="0"/>
              <w:snapToGrid w:val="0"/>
              <w:jc w:val="center"/>
              <w:rPr>
                <w:rFonts w:ascii="宋体" w:hAnsi="宋体"/>
                <w:color w:val="auto"/>
                <w:kern w:val="0"/>
                <w:szCs w:val="21"/>
                <w:highlight w:val="none"/>
              </w:rPr>
            </w:pPr>
            <w:r>
              <w:rPr>
                <w:rFonts w:hint="eastAsia" w:ascii="宋体" w:hAnsi="宋体" w:cs="MingLiU"/>
                <w:color w:val="auto"/>
                <w:kern w:val="0"/>
                <w:szCs w:val="21"/>
                <w:highlight w:val="none"/>
              </w:rPr>
              <w:t>职称</w:t>
            </w:r>
          </w:p>
        </w:tc>
        <w:tc>
          <w:tcPr>
            <w:tcW w:w="6220" w:type="dxa"/>
            <w:gridSpan w:val="5"/>
            <w:vAlign w:val="center"/>
          </w:tcPr>
          <w:p>
            <w:pPr>
              <w:autoSpaceDE w:val="0"/>
              <w:autoSpaceDN w:val="0"/>
              <w:adjustRightInd w:val="0"/>
              <w:snapToGrid w:val="0"/>
              <w:jc w:val="center"/>
              <w:rPr>
                <w:rFonts w:ascii="宋体" w:hAnsi="宋体"/>
                <w:color w:val="auto"/>
                <w:kern w:val="0"/>
                <w:szCs w:val="21"/>
                <w:highlight w:val="none"/>
              </w:rPr>
            </w:pPr>
            <w:r>
              <w:rPr>
                <w:rFonts w:hint="eastAsia" w:ascii="宋体" w:hAnsi="宋体" w:cs="MingLiU"/>
                <w:color w:val="auto"/>
                <w:kern w:val="0"/>
                <w:szCs w:val="21"/>
                <w:highlight w:val="none"/>
              </w:rPr>
              <w:t>执业或职业资格证明</w:t>
            </w:r>
          </w:p>
        </w:tc>
        <w:tc>
          <w:tcPr>
            <w:tcW w:w="896" w:type="dxa"/>
            <w:vAlign w:val="center"/>
          </w:tcPr>
          <w:p>
            <w:pPr>
              <w:autoSpaceDE w:val="0"/>
              <w:autoSpaceDN w:val="0"/>
              <w:adjustRightInd w:val="0"/>
              <w:snapToGrid w:val="0"/>
              <w:jc w:val="center"/>
              <w:rPr>
                <w:rFonts w:ascii="宋体" w:hAnsi="宋体"/>
                <w:color w:val="auto"/>
                <w:kern w:val="0"/>
                <w:szCs w:val="21"/>
                <w:highlight w:val="none"/>
              </w:rPr>
            </w:pPr>
            <w:r>
              <w:rPr>
                <w:rFonts w:hint="eastAsia" w:ascii="宋体" w:hAnsi="宋体" w:cs="MingLiU"/>
                <w:color w:val="auto"/>
                <w:kern w:val="0"/>
                <w:szCs w:val="21"/>
                <w:highlight w:val="none"/>
              </w:rPr>
              <w:t>备注</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vMerge w:val="continue"/>
          </w:tcPr>
          <w:p>
            <w:pPr>
              <w:autoSpaceDE w:val="0"/>
              <w:autoSpaceDN w:val="0"/>
              <w:adjustRightInd w:val="0"/>
              <w:snapToGrid w:val="0"/>
              <w:rPr>
                <w:rFonts w:ascii="宋体" w:hAnsi="宋体"/>
                <w:color w:val="auto"/>
                <w:kern w:val="0"/>
                <w:szCs w:val="21"/>
                <w:highlight w:val="none"/>
              </w:rPr>
            </w:pPr>
          </w:p>
        </w:tc>
        <w:tc>
          <w:tcPr>
            <w:tcW w:w="734" w:type="dxa"/>
            <w:vMerge w:val="continue"/>
          </w:tcPr>
          <w:p>
            <w:pPr>
              <w:autoSpaceDE w:val="0"/>
              <w:autoSpaceDN w:val="0"/>
              <w:adjustRightInd w:val="0"/>
              <w:snapToGrid w:val="0"/>
              <w:rPr>
                <w:rFonts w:ascii="宋体" w:hAnsi="宋体"/>
                <w:color w:val="auto"/>
                <w:kern w:val="0"/>
                <w:szCs w:val="21"/>
                <w:highlight w:val="none"/>
              </w:rPr>
            </w:pPr>
          </w:p>
        </w:tc>
        <w:tc>
          <w:tcPr>
            <w:tcW w:w="776" w:type="dxa"/>
            <w:vMerge w:val="continue"/>
          </w:tcPr>
          <w:p>
            <w:pPr>
              <w:autoSpaceDE w:val="0"/>
              <w:autoSpaceDN w:val="0"/>
              <w:adjustRightInd w:val="0"/>
              <w:snapToGrid w:val="0"/>
              <w:rPr>
                <w:rFonts w:ascii="宋体" w:hAnsi="宋体"/>
                <w:color w:val="auto"/>
                <w:kern w:val="0"/>
                <w:szCs w:val="21"/>
                <w:highlight w:val="none"/>
              </w:rPr>
            </w:pPr>
          </w:p>
        </w:tc>
        <w:tc>
          <w:tcPr>
            <w:tcW w:w="1167" w:type="dxa"/>
            <w:vAlign w:val="center"/>
          </w:tcPr>
          <w:p>
            <w:pPr>
              <w:autoSpaceDE w:val="0"/>
              <w:autoSpaceDN w:val="0"/>
              <w:adjustRightInd w:val="0"/>
              <w:snapToGrid w:val="0"/>
              <w:jc w:val="center"/>
              <w:rPr>
                <w:rFonts w:ascii="宋体" w:hAnsi="宋体"/>
                <w:color w:val="auto"/>
                <w:kern w:val="0"/>
                <w:szCs w:val="21"/>
                <w:highlight w:val="none"/>
              </w:rPr>
            </w:pPr>
            <w:r>
              <w:rPr>
                <w:rFonts w:hint="eastAsia" w:ascii="宋体" w:hAnsi="宋体" w:cs="MingLiU"/>
                <w:color w:val="auto"/>
                <w:kern w:val="0"/>
                <w:szCs w:val="21"/>
                <w:highlight w:val="none"/>
              </w:rPr>
              <w:t>证书名称</w:t>
            </w:r>
          </w:p>
        </w:tc>
        <w:tc>
          <w:tcPr>
            <w:tcW w:w="776" w:type="dxa"/>
            <w:vAlign w:val="center"/>
          </w:tcPr>
          <w:p>
            <w:pPr>
              <w:autoSpaceDE w:val="0"/>
              <w:autoSpaceDN w:val="0"/>
              <w:adjustRightInd w:val="0"/>
              <w:snapToGrid w:val="0"/>
              <w:jc w:val="center"/>
              <w:rPr>
                <w:rFonts w:ascii="宋体" w:hAnsi="宋体"/>
                <w:color w:val="auto"/>
                <w:kern w:val="0"/>
                <w:szCs w:val="21"/>
                <w:highlight w:val="none"/>
              </w:rPr>
            </w:pPr>
            <w:r>
              <w:rPr>
                <w:rFonts w:hint="eastAsia" w:ascii="宋体" w:hAnsi="宋体" w:cs="MingLiU"/>
                <w:color w:val="auto"/>
                <w:kern w:val="0"/>
                <w:szCs w:val="21"/>
                <w:highlight w:val="none"/>
              </w:rPr>
              <w:t>级别</w:t>
            </w:r>
          </w:p>
        </w:tc>
        <w:tc>
          <w:tcPr>
            <w:tcW w:w="778" w:type="dxa"/>
            <w:vAlign w:val="center"/>
          </w:tcPr>
          <w:p>
            <w:pPr>
              <w:autoSpaceDE w:val="0"/>
              <w:autoSpaceDN w:val="0"/>
              <w:adjustRightInd w:val="0"/>
              <w:snapToGrid w:val="0"/>
              <w:jc w:val="center"/>
              <w:rPr>
                <w:rFonts w:ascii="宋体" w:hAnsi="宋体"/>
                <w:color w:val="auto"/>
                <w:kern w:val="0"/>
                <w:szCs w:val="21"/>
                <w:highlight w:val="none"/>
              </w:rPr>
            </w:pPr>
            <w:r>
              <w:rPr>
                <w:rFonts w:hint="eastAsia" w:ascii="宋体" w:hAnsi="宋体" w:cs="MingLiU"/>
                <w:color w:val="auto"/>
                <w:kern w:val="0"/>
                <w:szCs w:val="21"/>
                <w:highlight w:val="none"/>
              </w:rPr>
              <w:t>证号</w:t>
            </w:r>
          </w:p>
        </w:tc>
        <w:tc>
          <w:tcPr>
            <w:tcW w:w="776" w:type="dxa"/>
            <w:vAlign w:val="center"/>
          </w:tcPr>
          <w:p>
            <w:pPr>
              <w:autoSpaceDE w:val="0"/>
              <w:autoSpaceDN w:val="0"/>
              <w:adjustRightInd w:val="0"/>
              <w:snapToGrid w:val="0"/>
              <w:jc w:val="center"/>
              <w:rPr>
                <w:rFonts w:ascii="宋体" w:hAnsi="宋体"/>
                <w:color w:val="auto"/>
                <w:kern w:val="0"/>
                <w:szCs w:val="21"/>
                <w:highlight w:val="none"/>
              </w:rPr>
            </w:pPr>
            <w:r>
              <w:rPr>
                <w:rFonts w:hint="eastAsia" w:ascii="宋体" w:hAnsi="宋体" w:cs="MingLiU"/>
                <w:color w:val="auto"/>
                <w:kern w:val="0"/>
                <w:szCs w:val="21"/>
                <w:highlight w:val="none"/>
              </w:rPr>
              <w:t>专业</w:t>
            </w:r>
          </w:p>
        </w:tc>
        <w:tc>
          <w:tcPr>
            <w:tcW w:w="2723" w:type="dxa"/>
            <w:vAlign w:val="center"/>
          </w:tcPr>
          <w:p>
            <w:pPr>
              <w:autoSpaceDE w:val="0"/>
              <w:autoSpaceDN w:val="0"/>
              <w:adjustRightInd w:val="0"/>
              <w:snapToGrid w:val="0"/>
              <w:jc w:val="center"/>
              <w:rPr>
                <w:rFonts w:ascii="宋体" w:hAnsi="宋体"/>
                <w:color w:val="auto"/>
                <w:kern w:val="0"/>
                <w:szCs w:val="21"/>
                <w:highlight w:val="none"/>
              </w:rPr>
            </w:pPr>
            <w:r>
              <w:rPr>
                <w:rFonts w:hint="eastAsia" w:ascii="宋体" w:hAnsi="宋体" w:cs="MingLiU"/>
                <w:color w:val="auto"/>
                <w:kern w:val="0"/>
                <w:szCs w:val="21"/>
                <w:highlight w:val="none"/>
              </w:rPr>
              <w:t>养老保险</w:t>
            </w:r>
          </w:p>
        </w:tc>
        <w:tc>
          <w:tcPr>
            <w:tcW w:w="896" w:type="dxa"/>
          </w:tcPr>
          <w:p>
            <w:pPr>
              <w:autoSpaceDE w:val="0"/>
              <w:autoSpaceDN w:val="0"/>
              <w:adjustRightInd w:val="0"/>
              <w:snapToGrid w:val="0"/>
              <w:rPr>
                <w:rFonts w:ascii="宋体" w:hAnsi="宋体"/>
                <w:color w:val="auto"/>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vAlign w:val="center"/>
          </w:tcPr>
          <w:p>
            <w:pPr>
              <w:autoSpaceDE w:val="0"/>
              <w:autoSpaceDN w:val="0"/>
              <w:adjustRightInd w:val="0"/>
              <w:snapToGrid w:val="0"/>
              <w:jc w:val="center"/>
              <w:rPr>
                <w:rFonts w:ascii="宋体" w:hAnsi="宋体"/>
                <w:color w:val="auto"/>
                <w:kern w:val="0"/>
                <w:szCs w:val="21"/>
                <w:highlight w:val="none"/>
              </w:rPr>
            </w:pPr>
          </w:p>
        </w:tc>
        <w:tc>
          <w:tcPr>
            <w:tcW w:w="734"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1167"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778"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2723" w:type="dxa"/>
          </w:tcPr>
          <w:p>
            <w:pPr>
              <w:autoSpaceDE w:val="0"/>
              <w:autoSpaceDN w:val="0"/>
              <w:adjustRightInd w:val="0"/>
              <w:snapToGrid w:val="0"/>
              <w:rPr>
                <w:rFonts w:ascii="宋体" w:hAnsi="宋体"/>
                <w:color w:val="auto"/>
                <w:kern w:val="0"/>
                <w:szCs w:val="21"/>
                <w:highlight w:val="none"/>
              </w:rPr>
            </w:pPr>
          </w:p>
        </w:tc>
        <w:tc>
          <w:tcPr>
            <w:tcW w:w="896" w:type="dxa"/>
          </w:tcPr>
          <w:p>
            <w:pPr>
              <w:autoSpaceDE w:val="0"/>
              <w:autoSpaceDN w:val="0"/>
              <w:adjustRightInd w:val="0"/>
              <w:snapToGrid w:val="0"/>
              <w:rPr>
                <w:rFonts w:ascii="宋体" w:hAnsi="宋体"/>
                <w:color w:val="auto"/>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Ex>
        <w:trPr>
          <w:trHeight w:val="803" w:hRule="exact"/>
        </w:trPr>
        <w:tc>
          <w:tcPr>
            <w:tcW w:w="856" w:type="dxa"/>
            <w:vAlign w:val="center"/>
          </w:tcPr>
          <w:p>
            <w:pPr>
              <w:autoSpaceDE w:val="0"/>
              <w:autoSpaceDN w:val="0"/>
              <w:adjustRightInd w:val="0"/>
              <w:snapToGrid w:val="0"/>
              <w:jc w:val="center"/>
              <w:rPr>
                <w:rFonts w:ascii="宋体" w:hAnsi="宋体"/>
                <w:color w:val="auto"/>
                <w:kern w:val="0"/>
                <w:szCs w:val="21"/>
                <w:highlight w:val="none"/>
              </w:rPr>
            </w:pPr>
          </w:p>
        </w:tc>
        <w:tc>
          <w:tcPr>
            <w:tcW w:w="734"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1167"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778"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2723" w:type="dxa"/>
          </w:tcPr>
          <w:p>
            <w:pPr>
              <w:autoSpaceDE w:val="0"/>
              <w:autoSpaceDN w:val="0"/>
              <w:adjustRightInd w:val="0"/>
              <w:snapToGrid w:val="0"/>
              <w:rPr>
                <w:rFonts w:ascii="宋体" w:hAnsi="宋体"/>
                <w:color w:val="auto"/>
                <w:kern w:val="0"/>
                <w:szCs w:val="21"/>
                <w:highlight w:val="none"/>
              </w:rPr>
            </w:pPr>
          </w:p>
        </w:tc>
        <w:tc>
          <w:tcPr>
            <w:tcW w:w="896" w:type="dxa"/>
          </w:tcPr>
          <w:p>
            <w:pPr>
              <w:autoSpaceDE w:val="0"/>
              <w:autoSpaceDN w:val="0"/>
              <w:adjustRightInd w:val="0"/>
              <w:snapToGrid w:val="0"/>
              <w:rPr>
                <w:rFonts w:ascii="宋体" w:hAnsi="宋体"/>
                <w:color w:val="auto"/>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tcPr>
          <w:p>
            <w:pPr>
              <w:autoSpaceDE w:val="0"/>
              <w:autoSpaceDN w:val="0"/>
              <w:adjustRightInd w:val="0"/>
              <w:snapToGrid w:val="0"/>
              <w:rPr>
                <w:rFonts w:ascii="宋体" w:hAnsi="宋体"/>
                <w:color w:val="auto"/>
                <w:kern w:val="0"/>
                <w:szCs w:val="21"/>
                <w:highlight w:val="none"/>
              </w:rPr>
            </w:pPr>
          </w:p>
        </w:tc>
        <w:tc>
          <w:tcPr>
            <w:tcW w:w="734"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1167"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778"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2723" w:type="dxa"/>
          </w:tcPr>
          <w:p>
            <w:pPr>
              <w:autoSpaceDE w:val="0"/>
              <w:autoSpaceDN w:val="0"/>
              <w:adjustRightInd w:val="0"/>
              <w:snapToGrid w:val="0"/>
              <w:rPr>
                <w:rFonts w:ascii="宋体" w:hAnsi="宋体"/>
                <w:color w:val="auto"/>
                <w:kern w:val="0"/>
                <w:szCs w:val="21"/>
                <w:highlight w:val="none"/>
              </w:rPr>
            </w:pPr>
          </w:p>
        </w:tc>
        <w:tc>
          <w:tcPr>
            <w:tcW w:w="896" w:type="dxa"/>
          </w:tcPr>
          <w:p>
            <w:pPr>
              <w:autoSpaceDE w:val="0"/>
              <w:autoSpaceDN w:val="0"/>
              <w:adjustRightInd w:val="0"/>
              <w:snapToGrid w:val="0"/>
              <w:rPr>
                <w:rFonts w:ascii="宋体" w:hAnsi="宋体"/>
                <w:color w:val="auto"/>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tcPr>
          <w:p>
            <w:pPr>
              <w:autoSpaceDE w:val="0"/>
              <w:autoSpaceDN w:val="0"/>
              <w:adjustRightInd w:val="0"/>
              <w:snapToGrid w:val="0"/>
              <w:rPr>
                <w:rFonts w:ascii="宋体" w:hAnsi="宋体"/>
                <w:color w:val="auto"/>
                <w:kern w:val="0"/>
                <w:szCs w:val="21"/>
                <w:highlight w:val="none"/>
              </w:rPr>
            </w:pPr>
          </w:p>
        </w:tc>
        <w:tc>
          <w:tcPr>
            <w:tcW w:w="734"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1167"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778"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2723" w:type="dxa"/>
          </w:tcPr>
          <w:p>
            <w:pPr>
              <w:autoSpaceDE w:val="0"/>
              <w:autoSpaceDN w:val="0"/>
              <w:adjustRightInd w:val="0"/>
              <w:snapToGrid w:val="0"/>
              <w:rPr>
                <w:rFonts w:ascii="宋体" w:hAnsi="宋体"/>
                <w:color w:val="auto"/>
                <w:kern w:val="0"/>
                <w:szCs w:val="21"/>
                <w:highlight w:val="none"/>
              </w:rPr>
            </w:pPr>
          </w:p>
        </w:tc>
        <w:tc>
          <w:tcPr>
            <w:tcW w:w="896" w:type="dxa"/>
          </w:tcPr>
          <w:p>
            <w:pPr>
              <w:autoSpaceDE w:val="0"/>
              <w:autoSpaceDN w:val="0"/>
              <w:adjustRightInd w:val="0"/>
              <w:snapToGrid w:val="0"/>
              <w:rPr>
                <w:rFonts w:ascii="宋体" w:hAnsi="宋体"/>
                <w:color w:val="auto"/>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tcPr>
          <w:p>
            <w:pPr>
              <w:autoSpaceDE w:val="0"/>
              <w:autoSpaceDN w:val="0"/>
              <w:adjustRightInd w:val="0"/>
              <w:snapToGrid w:val="0"/>
              <w:rPr>
                <w:rFonts w:ascii="宋体" w:hAnsi="宋体"/>
                <w:color w:val="auto"/>
                <w:kern w:val="0"/>
                <w:szCs w:val="21"/>
                <w:highlight w:val="none"/>
              </w:rPr>
            </w:pPr>
          </w:p>
        </w:tc>
        <w:tc>
          <w:tcPr>
            <w:tcW w:w="734"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1167"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778"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2723" w:type="dxa"/>
          </w:tcPr>
          <w:p>
            <w:pPr>
              <w:autoSpaceDE w:val="0"/>
              <w:autoSpaceDN w:val="0"/>
              <w:adjustRightInd w:val="0"/>
              <w:snapToGrid w:val="0"/>
              <w:rPr>
                <w:rFonts w:ascii="宋体" w:hAnsi="宋体"/>
                <w:color w:val="auto"/>
                <w:kern w:val="0"/>
                <w:szCs w:val="21"/>
                <w:highlight w:val="none"/>
              </w:rPr>
            </w:pPr>
          </w:p>
        </w:tc>
        <w:tc>
          <w:tcPr>
            <w:tcW w:w="896" w:type="dxa"/>
          </w:tcPr>
          <w:p>
            <w:pPr>
              <w:autoSpaceDE w:val="0"/>
              <w:autoSpaceDN w:val="0"/>
              <w:adjustRightInd w:val="0"/>
              <w:snapToGrid w:val="0"/>
              <w:rPr>
                <w:rFonts w:ascii="宋体" w:hAnsi="宋体"/>
                <w:color w:val="auto"/>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tcPr>
          <w:p>
            <w:pPr>
              <w:autoSpaceDE w:val="0"/>
              <w:autoSpaceDN w:val="0"/>
              <w:adjustRightInd w:val="0"/>
              <w:snapToGrid w:val="0"/>
              <w:rPr>
                <w:rFonts w:ascii="宋体" w:hAnsi="宋体"/>
                <w:color w:val="auto"/>
                <w:kern w:val="0"/>
                <w:szCs w:val="21"/>
                <w:highlight w:val="none"/>
              </w:rPr>
            </w:pPr>
          </w:p>
        </w:tc>
        <w:tc>
          <w:tcPr>
            <w:tcW w:w="734"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1167"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778"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2723" w:type="dxa"/>
          </w:tcPr>
          <w:p>
            <w:pPr>
              <w:autoSpaceDE w:val="0"/>
              <w:autoSpaceDN w:val="0"/>
              <w:adjustRightInd w:val="0"/>
              <w:snapToGrid w:val="0"/>
              <w:rPr>
                <w:rFonts w:ascii="宋体" w:hAnsi="宋体"/>
                <w:color w:val="auto"/>
                <w:kern w:val="0"/>
                <w:szCs w:val="21"/>
                <w:highlight w:val="none"/>
              </w:rPr>
            </w:pPr>
          </w:p>
        </w:tc>
        <w:tc>
          <w:tcPr>
            <w:tcW w:w="896" w:type="dxa"/>
          </w:tcPr>
          <w:p>
            <w:pPr>
              <w:autoSpaceDE w:val="0"/>
              <w:autoSpaceDN w:val="0"/>
              <w:adjustRightInd w:val="0"/>
              <w:snapToGrid w:val="0"/>
              <w:rPr>
                <w:rFonts w:ascii="宋体" w:hAnsi="宋体"/>
                <w:color w:val="auto"/>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tcPr>
          <w:p>
            <w:pPr>
              <w:autoSpaceDE w:val="0"/>
              <w:autoSpaceDN w:val="0"/>
              <w:adjustRightInd w:val="0"/>
              <w:snapToGrid w:val="0"/>
              <w:rPr>
                <w:rFonts w:ascii="宋体" w:hAnsi="宋体"/>
                <w:color w:val="auto"/>
                <w:kern w:val="0"/>
                <w:szCs w:val="21"/>
                <w:highlight w:val="none"/>
              </w:rPr>
            </w:pPr>
          </w:p>
        </w:tc>
        <w:tc>
          <w:tcPr>
            <w:tcW w:w="734"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1167"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778"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2723" w:type="dxa"/>
          </w:tcPr>
          <w:p>
            <w:pPr>
              <w:autoSpaceDE w:val="0"/>
              <w:autoSpaceDN w:val="0"/>
              <w:adjustRightInd w:val="0"/>
              <w:snapToGrid w:val="0"/>
              <w:rPr>
                <w:rFonts w:ascii="宋体" w:hAnsi="宋体"/>
                <w:color w:val="auto"/>
                <w:kern w:val="0"/>
                <w:szCs w:val="21"/>
                <w:highlight w:val="none"/>
              </w:rPr>
            </w:pPr>
          </w:p>
        </w:tc>
        <w:tc>
          <w:tcPr>
            <w:tcW w:w="896" w:type="dxa"/>
          </w:tcPr>
          <w:p>
            <w:pPr>
              <w:autoSpaceDE w:val="0"/>
              <w:autoSpaceDN w:val="0"/>
              <w:adjustRightInd w:val="0"/>
              <w:snapToGrid w:val="0"/>
              <w:rPr>
                <w:rFonts w:ascii="宋体" w:hAnsi="宋体"/>
                <w:color w:val="auto"/>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tcPr>
          <w:p>
            <w:pPr>
              <w:autoSpaceDE w:val="0"/>
              <w:autoSpaceDN w:val="0"/>
              <w:adjustRightInd w:val="0"/>
              <w:snapToGrid w:val="0"/>
              <w:rPr>
                <w:rFonts w:ascii="宋体" w:hAnsi="宋体"/>
                <w:color w:val="auto"/>
                <w:kern w:val="0"/>
                <w:szCs w:val="21"/>
                <w:highlight w:val="none"/>
              </w:rPr>
            </w:pPr>
          </w:p>
        </w:tc>
        <w:tc>
          <w:tcPr>
            <w:tcW w:w="734"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1167"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778"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2723" w:type="dxa"/>
          </w:tcPr>
          <w:p>
            <w:pPr>
              <w:autoSpaceDE w:val="0"/>
              <w:autoSpaceDN w:val="0"/>
              <w:adjustRightInd w:val="0"/>
              <w:snapToGrid w:val="0"/>
              <w:rPr>
                <w:rFonts w:ascii="宋体" w:hAnsi="宋体"/>
                <w:color w:val="auto"/>
                <w:kern w:val="0"/>
                <w:szCs w:val="21"/>
                <w:highlight w:val="none"/>
              </w:rPr>
            </w:pPr>
          </w:p>
        </w:tc>
        <w:tc>
          <w:tcPr>
            <w:tcW w:w="896" w:type="dxa"/>
          </w:tcPr>
          <w:p>
            <w:pPr>
              <w:autoSpaceDE w:val="0"/>
              <w:autoSpaceDN w:val="0"/>
              <w:adjustRightInd w:val="0"/>
              <w:snapToGrid w:val="0"/>
              <w:rPr>
                <w:rFonts w:ascii="宋体" w:hAnsi="宋体"/>
                <w:color w:val="auto"/>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tcPr>
          <w:p>
            <w:pPr>
              <w:autoSpaceDE w:val="0"/>
              <w:autoSpaceDN w:val="0"/>
              <w:adjustRightInd w:val="0"/>
              <w:snapToGrid w:val="0"/>
              <w:rPr>
                <w:rFonts w:ascii="宋体" w:hAnsi="宋体"/>
                <w:color w:val="auto"/>
                <w:kern w:val="0"/>
                <w:szCs w:val="21"/>
                <w:highlight w:val="none"/>
              </w:rPr>
            </w:pPr>
          </w:p>
        </w:tc>
        <w:tc>
          <w:tcPr>
            <w:tcW w:w="734"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1167"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778"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2723" w:type="dxa"/>
          </w:tcPr>
          <w:p>
            <w:pPr>
              <w:autoSpaceDE w:val="0"/>
              <w:autoSpaceDN w:val="0"/>
              <w:adjustRightInd w:val="0"/>
              <w:snapToGrid w:val="0"/>
              <w:rPr>
                <w:rFonts w:ascii="宋体" w:hAnsi="宋体"/>
                <w:color w:val="auto"/>
                <w:kern w:val="0"/>
                <w:szCs w:val="21"/>
                <w:highlight w:val="none"/>
              </w:rPr>
            </w:pPr>
          </w:p>
        </w:tc>
        <w:tc>
          <w:tcPr>
            <w:tcW w:w="896" w:type="dxa"/>
          </w:tcPr>
          <w:p>
            <w:pPr>
              <w:autoSpaceDE w:val="0"/>
              <w:autoSpaceDN w:val="0"/>
              <w:adjustRightInd w:val="0"/>
              <w:snapToGrid w:val="0"/>
              <w:rPr>
                <w:rFonts w:ascii="宋体" w:hAnsi="宋体"/>
                <w:color w:val="auto"/>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tcPr>
          <w:p>
            <w:pPr>
              <w:autoSpaceDE w:val="0"/>
              <w:autoSpaceDN w:val="0"/>
              <w:adjustRightInd w:val="0"/>
              <w:snapToGrid w:val="0"/>
              <w:rPr>
                <w:rFonts w:ascii="宋体" w:hAnsi="宋体"/>
                <w:color w:val="auto"/>
                <w:kern w:val="0"/>
                <w:szCs w:val="21"/>
                <w:highlight w:val="none"/>
              </w:rPr>
            </w:pPr>
          </w:p>
        </w:tc>
        <w:tc>
          <w:tcPr>
            <w:tcW w:w="734"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1167"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778"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2723" w:type="dxa"/>
          </w:tcPr>
          <w:p>
            <w:pPr>
              <w:autoSpaceDE w:val="0"/>
              <w:autoSpaceDN w:val="0"/>
              <w:adjustRightInd w:val="0"/>
              <w:snapToGrid w:val="0"/>
              <w:rPr>
                <w:rFonts w:ascii="宋体" w:hAnsi="宋体"/>
                <w:color w:val="auto"/>
                <w:kern w:val="0"/>
                <w:szCs w:val="21"/>
                <w:highlight w:val="none"/>
              </w:rPr>
            </w:pPr>
          </w:p>
        </w:tc>
        <w:tc>
          <w:tcPr>
            <w:tcW w:w="896" w:type="dxa"/>
          </w:tcPr>
          <w:p>
            <w:pPr>
              <w:autoSpaceDE w:val="0"/>
              <w:autoSpaceDN w:val="0"/>
              <w:adjustRightInd w:val="0"/>
              <w:snapToGrid w:val="0"/>
              <w:rPr>
                <w:rFonts w:ascii="宋体" w:hAnsi="宋体"/>
                <w:color w:val="auto"/>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tcPr>
          <w:p>
            <w:pPr>
              <w:autoSpaceDE w:val="0"/>
              <w:autoSpaceDN w:val="0"/>
              <w:adjustRightInd w:val="0"/>
              <w:snapToGrid w:val="0"/>
              <w:rPr>
                <w:rFonts w:ascii="宋体" w:hAnsi="宋体"/>
                <w:color w:val="auto"/>
                <w:kern w:val="0"/>
                <w:szCs w:val="21"/>
                <w:highlight w:val="none"/>
              </w:rPr>
            </w:pPr>
          </w:p>
        </w:tc>
        <w:tc>
          <w:tcPr>
            <w:tcW w:w="734"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1167"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778"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2723" w:type="dxa"/>
          </w:tcPr>
          <w:p>
            <w:pPr>
              <w:autoSpaceDE w:val="0"/>
              <w:autoSpaceDN w:val="0"/>
              <w:adjustRightInd w:val="0"/>
              <w:snapToGrid w:val="0"/>
              <w:rPr>
                <w:rFonts w:ascii="宋体" w:hAnsi="宋体"/>
                <w:color w:val="auto"/>
                <w:kern w:val="0"/>
                <w:szCs w:val="21"/>
                <w:highlight w:val="none"/>
              </w:rPr>
            </w:pPr>
          </w:p>
        </w:tc>
        <w:tc>
          <w:tcPr>
            <w:tcW w:w="896" w:type="dxa"/>
          </w:tcPr>
          <w:p>
            <w:pPr>
              <w:autoSpaceDE w:val="0"/>
              <w:autoSpaceDN w:val="0"/>
              <w:adjustRightInd w:val="0"/>
              <w:snapToGrid w:val="0"/>
              <w:rPr>
                <w:rFonts w:ascii="宋体" w:hAnsi="宋体"/>
                <w:color w:val="auto"/>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tcPr>
          <w:p>
            <w:pPr>
              <w:autoSpaceDE w:val="0"/>
              <w:autoSpaceDN w:val="0"/>
              <w:adjustRightInd w:val="0"/>
              <w:snapToGrid w:val="0"/>
              <w:rPr>
                <w:rFonts w:ascii="宋体" w:hAnsi="宋体"/>
                <w:color w:val="auto"/>
                <w:kern w:val="0"/>
                <w:szCs w:val="21"/>
                <w:highlight w:val="none"/>
              </w:rPr>
            </w:pPr>
          </w:p>
        </w:tc>
        <w:tc>
          <w:tcPr>
            <w:tcW w:w="734"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1167"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778"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2723" w:type="dxa"/>
          </w:tcPr>
          <w:p>
            <w:pPr>
              <w:autoSpaceDE w:val="0"/>
              <w:autoSpaceDN w:val="0"/>
              <w:adjustRightInd w:val="0"/>
              <w:snapToGrid w:val="0"/>
              <w:rPr>
                <w:rFonts w:ascii="宋体" w:hAnsi="宋体"/>
                <w:color w:val="auto"/>
                <w:kern w:val="0"/>
                <w:szCs w:val="21"/>
                <w:highlight w:val="none"/>
              </w:rPr>
            </w:pPr>
          </w:p>
        </w:tc>
        <w:tc>
          <w:tcPr>
            <w:tcW w:w="896" w:type="dxa"/>
          </w:tcPr>
          <w:p>
            <w:pPr>
              <w:autoSpaceDE w:val="0"/>
              <w:autoSpaceDN w:val="0"/>
              <w:adjustRightInd w:val="0"/>
              <w:snapToGrid w:val="0"/>
              <w:rPr>
                <w:rFonts w:ascii="宋体" w:hAnsi="宋体"/>
                <w:color w:val="auto"/>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tcPr>
          <w:p>
            <w:pPr>
              <w:autoSpaceDE w:val="0"/>
              <w:autoSpaceDN w:val="0"/>
              <w:adjustRightInd w:val="0"/>
              <w:snapToGrid w:val="0"/>
              <w:rPr>
                <w:rFonts w:ascii="宋体" w:hAnsi="宋体"/>
                <w:color w:val="auto"/>
                <w:kern w:val="0"/>
                <w:szCs w:val="21"/>
                <w:highlight w:val="none"/>
              </w:rPr>
            </w:pPr>
          </w:p>
        </w:tc>
        <w:tc>
          <w:tcPr>
            <w:tcW w:w="734"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1167"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778"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2723" w:type="dxa"/>
          </w:tcPr>
          <w:p>
            <w:pPr>
              <w:autoSpaceDE w:val="0"/>
              <w:autoSpaceDN w:val="0"/>
              <w:adjustRightInd w:val="0"/>
              <w:snapToGrid w:val="0"/>
              <w:rPr>
                <w:rFonts w:ascii="宋体" w:hAnsi="宋体"/>
                <w:color w:val="auto"/>
                <w:kern w:val="0"/>
                <w:szCs w:val="21"/>
                <w:highlight w:val="none"/>
              </w:rPr>
            </w:pPr>
          </w:p>
        </w:tc>
        <w:tc>
          <w:tcPr>
            <w:tcW w:w="896" w:type="dxa"/>
          </w:tcPr>
          <w:p>
            <w:pPr>
              <w:autoSpaceDE w:val="0"/>
              <w:autoSpaceDN w:val="0"/>
              <w:adjustRightInd w:val="0"/>
              <w:snapToGrid w:val="0"/>
              <w:rPr>
                <w:rFonts w:ascii="宋体" w:hAnsi="宋体"/>
                <w:color w:val="auto"/>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tcPr>
          <w:p>
            <w:pPr>
              <w:autoSpaceDE w:val="0"/>
              <w:autoSpaceDN w:val="0"/>
              <w:adjustRightInd w:val="0"/>
              <w:snapToGrid w:val="0"/>
              <w:rPr>
                <w:rFonts w:ascii="宋体" w:hAnsi="宋体"/>
                <w:color w:val="auto"/>
                <w:kern w:val="0"/>
                <w:szCs w:val="21"/>
                <w:highlight w:val="none"/>
              </w:rPr>
            </w:pPr>
          </w:p>
        </w:tc>
        <w:tc>
          <w:tcPr>
            <w:tcW w:w="734"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1167"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778"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2723" w:type="dxa"/>
          </w:tcPr>
          <w:p>
            <w:pPr>
              <w:autoSpaceDE w:val="0"/>
              <w:autoSpaceDN w:val="0"/>
              <w:adjustRightInd w:val="0"/>
              <w:snapToGrid w:val="0"/>
              <w:rPr>
                <w:rFonts w:ascii="宋体" w:hAnsi="宋体"/>
                <w:color w:val="auto"/>
                <w:kern w:val="0"/>
                <w:szCs w:val="21"/>
                <w:highlight w:val="none"/>
              </w:rPr>
            </w:pPr>
          </w:p>
        </w:tc>
        <w:tc>
          <w:tcPr>
            <w:tcW w:w="896" w:type="dxa"/>
          </w:tcPr>
          <w:p>
            <w:pPr>
              <w:autoSpaceDE w:val="0"/>
              <w:autoSpaceDN w:val="0"/>
              <w:adjustRightInd w:val="0"/>
              <w:snapToGrid w:val="0"/>
              <w:rPr>
                <w:rFonts w:ascii="宋体" w:hAnsi="宋体"/>
                <w:color w:val="auto"/>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tcPr>
          <w:p>
            <w:pPr>
              <w:autoSpaceDE w:val="0"/>
              <w:autoSpaceDN w:val="0"/>
              <w:adjustRightInd w:val="0"/>
              <w:snapToGrid w:val="0"/>
              <w:rPr>
                <w:rFonts w:ascii="宋体" w:hAnsi="宋体"/>
                <w:color w:val="auto"/>
                <w:kern w:val="0"/>
                <w:szCs w:val="21"/>
                <w:highlight w:val="none"/>
              </w:rPr>
            </w:pPr>
          </w:p>
        </w:tc>
        <w:tc>
          <w:tcPr>
            <w:tcW w:w="734"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1167"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778"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2723" w:type="dxa"/>
          </w:tcPr>
          <w:p>
            <w:pPr>
              <w:autoSpaceDE w:val="0"/>
              <w:autoSpaceDN w:val="0"/>
              <w:adjustRightInd w:val="0"/>
              <w:snapToGrid w:val="0"/>
              <w:rPr>
                <w:rFonts w:ascii="宋体" w:hAnsi="宋体"/>
                <w:color w:val="auto"/>
                <w:kern w:val="0"/>
                <w:szCs w:val="21"/>
                <w:highlight w:val="none"/>
              </w:rPr>
            </w:pPr>
          </w:p>
        </w:tc>
        <w:tc>
          <w:tcPr>
            <w:tcW w:w="896" w:type="dxa"/>
          </w:tcPr>
          <w:p>
            <w:pPr>
              <w:autoSpaceDE w:val="0"/>
              <w:autoSpaceDN w:val="0"/>
              <w:adjustRightInd w:val="0"/>
              <w:snapToGrid w:val="0"/>
              <w:rPr>
                <w:rFonts w:ascii="宋体" w:hAnsi="宋体"/>
                <w:color w:val="auto"/>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tcPr>
          <w:p>
            <w:pPr>
              <w:autoSpaceDE w:val="0"/>
              <w:autoSpaceDN w:val="0"/>
              <w:adjustRightInd w:val="0"/>
              <w:snapToGrid w:val="0"/>
              <w:rPr>
                <w:rFonts w:ascii="宋体" w:hAnsi="宋体"/>
                <w:color w:val="auto"/>
                <w:kern w:val="0"/>
                <w:szCs w:val="21"/>
                <w:highlight w:val="none"/>
              </w:rPr>
            </w:pPr>
          </w:p>
        </w:tc>
        <w:tc>
          <w:tcPr>
            <w:tcW w:w="734"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1167"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778"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2723" w:type="dxa"/>
          </w:tcPr>
          <w:p>
            <w:pPr>
              <w:autoSpaceDE w:val="0"/>
              <w:autoSpaceDN w:val="0"/>
              <w:adjustRightInd w:val="0"/>
              <w:snapToGrid w:val="0"/>
              <w:rPr>
                <w:rFonts w:ascii="宋体" w:hAnsi="宋体"/>
                <w:color w:val="auto"/>
                <w:kern w:val="0"/>
                <w:szCs w:val="21"/>
                <w:highlight w:val="none"/>
              </w:rPr>
            </w:pPr>
          </w:p>
        </w:tc>
        <w:tc>
          <w:tcPr>
            <w:tcW w:w="896" w:type="dxa"/>
          </w:tcPr>
          <w:p>
            <w:pPr>
              <w:autoSpaceDE w:val="0"/>
              <w:autoSpaceDN w:val="0"/>
              <w:adjustRightInd w:val="0"/>
              <w:snapToGrid w:val="0"/>
              <w:rPr>
                <w:rFonts w:ascii="宋体" w:hAnsi="宋体"/>
                <w:color w:val="auto"/>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tcPr>
          <w:p>
            <w:pPr>
              <w:autoSpaceDE w:val="0"/>
              <w:autoSpaceDN w:val="0"/>
              <w:adjustRightInd w:val="0"/>
              <w:snapToGrid w:val="0"/>
              <w:rPr>
                <w:rFonts w:ascii="宋体" w:hAnsi="宋体"/>
                <w:color w:val="auto"/>
                <w:kern w:val="0"/>
                <w:szCs w:val="21"/>
                <w:highlight w:val="none"/>
              </w:rPr>
            </w:pPr>
          </w:p>
        </w:tc>
        <w:tc>
          <w:tcPr>
            <w:tcW w:w="734"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1167"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778"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2723" w:type="dxa"/>
          </w:tcPr>
          <w:p>
            <w:pPr>
              <w:autoSpaceDE w:val="0"/>
              <w:autoSpaceDN w:val="0"/>
              <w:adjustRightInd w:val="0"/>
              <w:snapToGrid w:val="0"/>
              <w:rPr>
                <w:rFonts w:ascii="宋体" w:hAnsi="宋体"/>
                <w:color w:val="auto"/>
                <w:kern w:val="0"/>
                <w:szCs w:val="21"/>
                <w:highlight w:val="none"/>
              </w:rPr>
            </w:pPr>
          </w:p>
        </w:tc>
        <w:tc>
          <w:tcPr>
            <w:tcW w:w="896" w:type="dxa"/>
          </w:tcPr>
          <w:p>
            <w:pPr>
              <w:autoSpaceDE w:val="0"/>
              <w:autoSpaceDN w:val="0"/>
              <w:adjustRightInd w:val="0"/>
              <w:snapToGrid w:val="0"/>
              <w:rPr>
                <w:rFonts w:ascii="宋体" w:hAnsi="宋体"/>
                <w:color w:val="auto"/>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08" w:hRule="exact"/>
        </w:trPr>
        <w:tc>
          <w:tcPr>
            <w:tcW w:w="856" w:type="dxa"/>
          </w:tcPr>
          <w:p>
            <w:pPr>
              <w:autoSpaceDE w:val="0"/>
              <w:autoSpaceDN w:val="0"/>
              <w:adjustRightInd w:val="0"/>
              <w:snapToGrid w:val="0"/>
              <w:rPr>
                <w:rFonts w:ascii="宋体" w:hAnsi="宋体"/>
                <w:color w:val="auto"/>
                <w:kern w:val="0"/>
                <w:szCs w:val="21"/>
                <w:highlight w:val="none"/>
              </w:rPr>
            </w:pPr>
          </w:p>
        </w:tc>
        <w:tc>
          <w:tcPr>
            <w:tcW w:w="734"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1167"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778" w:type="dxa"/>
          </w:tcPr>
          <w:p>
            <w:pPr>
              <w:autoSpaceDE w:val="0"/>
              <w:autoSpaceDN w:val="0"/>
              <w:adjustRightInd w:val="0"/>
              <w:snapToGrid w:val="0"/>
              <w:rPr>
                <w:rFonts w:ascii="宋体" w:hAnsi="宋体"/>
                <w:color w:val="auto"/>
                <w:kern w:val="0"/>
                <w:szCs w:val="21"/>
                <w:highlight w:val="none"/>
              </w:rPr>
            </w:pPr>
          </w:p>
        </w:tc>
        <w:tc>
          <w:tcPr>
            <w:tcW w:w="776" w:type="dxa"/>
          </w:tcPr>
          <w:p>
            <w:pPr>
              <w:autoSpaceDE w:val="0"/>
              <w:autoSpaceDN w:val="0"/>
              <w:adjustRightInd w:val="0"/>
              <w:snapToGrid w:val="0"/>
              <w:rPr>
                <w:rFonts w:ascii="宋体" w:hAnsi="宋体"/>
                <w:color w:val="auto"/>
                <w:kern w:val="0"/>
                <w:szCs w:val="21"/>
                <w:highlight w:val="none"/>
              </w:rPr>
            </w:pPr>
          </w:p>
        </w:tc>
        <w:tc>
          <w:tcPr>
            <w:tcW w:w="2723" w:type="dxa"/>
          </w:tcPr>
          <w:p>
            <w:pPr>
              <w:autoSpaceDE w:val="0"/>
              <w:autoSpaceDN w:val="0"/>
              <w:adjustRightInd w:val="0"/>
              <w:snapToGrid w:val="0"/>
              <w:rPr>
                <w:rFonts w:ascii="宋体" w:hAnsi="宋体"/>
                <w:color w:val="auto"/>
                <w:kern w:val="0"/>
                <w:szCs w:val="21"/>
                <w:highlight w:val="none"/>
              </w:rPr>
            </w:pPr>
          </w:p>
        </w:tc>
        <w:tc>
          <w:tcPr>
            <w:tcW w:w="896" w:type="dxa"/>
          </w:tcPr>
          <w:p>
            <w:pPr>
              <w:autoSpaceDE w:val="0"/>
              <w:autoSpaceDN w:val="0"/>
              <w:adjustRightInd w:val="0"/>
              <w:snapToGrid w:val="0"/>
              <w:rPr>
                <w:rFonts w:ascii="宋体" w:hAnsi="宋体"/>
                <w:color w:val="auto"/>
                <w:kern w:val="0"/>
                <w:szCs w:val="21"/>
                <w:highlight w:val="none"/>
              </w:rPr>
            </w:pPr>
          </w:p>
        </w:tc>
      </w:tr>
    </w:tbl>
    <w:p>
      <w:pPr>
        <w:spacing w:line="20" w:lineRule="exact"/>
        <w:jc w:val="center"/>
        <w:rPr>
          <w:rFonts w:ascii="宋体" w:hAnsi="宋体"/>
          <w:color w:val="auto"/>
          <w:szCs w:val="21"/>
          <w:highlight w:val="none"/>
        </w:rPr>
      </w:pP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备注：按评标文件要求提供</w:t>
      </w:r>
    </w:p>
    <w:p>
      <w:pPr>
        <w:pStyle w:val="22"/>
        <w:adjustRightInd w:val="0"/>
        <w:snapToGrid w:val="0"/>
        <w:spacing w:line="440" w:lineRule="exact"/>
        <w:rPr>
          <w:rFonts w:ascii="Times New Roman" w:hAnsi="Times New Roman"/>
          <w:b/>
          <w:color w:val="auto"/>
          <w:sz w:val="21"/>
          <w:szCs w:val="21"/>
          <w:highlight w:val="none"/>
        </w:rPr>
      </w:pPr>
    </w:p>
    <w:p>
      <w:pPr>
        <w:adjustRightInd w:val="0"/>
        <w:snapToGrid w:val="0"/>
        <w:spacing w:line="440" w:lineRule="exact"/>
        <w:jc w:val="center"/>
        <w:rPr>
          <w:b/>
          <w:color w:val="auto"/>
          <w:spacing w:val="40"/>
          <w:szCs w:val="21"/>
          <w:highlight w:val="none"/>
        </w:rPr>
      </w:pPr>
    </w:p>
    <w:p>
      <w:pPr>
        <w:adjustRightInd w:val="0"/>
        <w:snapToGrid w:val="0"/>
        <w:spacing w:line="440" w:lineRule="exact"/>
        <w:rPr>
          <w:color w:val="auto"/>
          <w:szCs w:val="21"/>
          <w:highlight w:val="none"/>
          <w:u w:val="single"/>
        </w:rPr>
      </w:pPr>
      <w:r>
        <w:rPr>
          <w:color w:val="auto"/>
          <w:szCs w:val="21"/>
          <w:highlight w:val="none"/>
        </w:rPr>
        <w:t>评比供应商：</w:t>
      </w:r>
      <w:r>
        <w:rPr>
          <w:color w:val="auto"/>
          <w:szCs w:val="21"/>
          <w:highlight w:val="none"/>
          <w:u w:val="single"/>
        </w:rPr>
        <w:t xml:space="preserve">     （公章）        </w:t>
      </w:r>
    </w:p>
    <w:p>
      <w:pPr>
        <w:adjustRightInd w:val="0"/>
        <w:snapToGrid w:val="0"/>
        <w:spacing w:line="440" w:lineRule="exact"/>
        <w:rPr>
          <w:color w:val="auto"/>
          <w:szCs w:val="21"/>
          <w:highlight w:val="none"/>
          <w:u w:val="single"/>
        </w:rPr>
      </w:pPr>
      <w:r>
        <w:rPr>
          <w:color w:val="auto"/>
          <w:szCs w:val="21"/>
          <w:highlight w:val="none"/>
        </w:rPr>
        <w:t>法定代表人（或法定代表人授权代表）或自然人：</w:t>
      </w:r>
      <w:r>
        <w:rPr>
          <w:color w:val="auto"/>
          <w:szCs w:val="21"/>
          <w:highlight w:val="none"/>
          <w:u w:val="single"/>
        </w:rPr>
        <w:t xml:space="preserve">      （签署或盖章）      </w:t>
      </w:r>
    </w:p>
    <w:p>
      <w:pPr>
        <w:adjustRightInd w:val="0"/>
        <w:snapToGrid w:val="0"/>
        <w:spacing w:line="440" w:lineRule="exact"/>
        <w:rPr>
          <w:color w:val="auto"/>
          <w:szCs w:val="21"/>
          <w:highlight w:val="none"/>
        </w:rPr>
      </w:pPr>
      <w:r>
        <w:rPr>
          <w:color w:val="auto"/>
          <w:szCs w:val="21"/>
          <w:highlight w:val="none"/>
        </w:rPr>
        <w:t>日期：年月日</w:t>
      </w:r>
    </w:p>
    <w:p>
      <w:pPr>
        <w:adjustRightInd w:val="0"/>
        <w:snapToGrid w:val="0"/>
        <w:spacing w:line="360" w:lineRule="auto"/>
        <w:rPr>
          <w:b/>
          <w:color w:val="auto"/>
          <w:spacing w:val="40"/>
          <w:sz w:val="24"/>
          <w:szCs w:val="21"/>
          <w:highlight w:val="none"/>
        </w:rPr>
      </w:pPr>
      <w:bookmarkStart w:id="997" w:name="_Toc330205884"/>
      <w:r>
        <w:rPr>
          <w:b/>
          <w:color w:val="auto"/>
          <w:spacing w:val="40"/>
          <w:sz w:val="24"/>
          <w:szCs w:val="21"/>
          <w:highlight w:val="none"/>
        </w:rPr>
        <w:br w:type="page"/>
      </w:r>
    </w:p>
    <w:bookmarkEnd w:id="997"/>
    <w:p>
      <w:pPr>
        <w:pStyle w:val="4"/>
        <w:rPr>
          <w:rFonts w:ascii="Times New Roman" w:hAnsi="Times New Roman" w:eastAsia="宋体"/>
          <w:color w:val="auto"/>
          <w:sz w:val="32"/>
          <w:highlight w:val="none"/>
        </w:rPr>
      </w:pPr>
      <w:bookmarkStart w:id="998" w:name="_Toc10213460"/>
      <w:r>
        <w:rPr>
          <w:rFonts w:ascii="Times New Roman" w:hAnsi="Times New Roman" w:eastAsia="宋体"/>
          <w:color w:val="auto"/>
          <w:sz w:val="32"/>
          <w:highlight w:val="none"/>
        </w:rPr>
        <w:t>五、资质证明文件</w:t>
      </w:r>
      <w:bookmarkEnd w:id="998"/>
    </w:p>
    <w:p>
      <w:pPr>
        <w:rPr>
          <w:color w:val="auto"/>
          <w:highlight w:val="none"/>
        </w:rPr>
      </w:pPr>
    </w:p>
    <w:p>
      <w:pPr>
        <w:rPr>
          <w:color w:val="auto"/>
          <w:highlight w:val="none"/>
        </w:rPr>
      </w:pPr>
    </w:p>
    <w:p>
      <w:pPr>
        <w:numPr>
          <w:ilvl w:val="0"/>
          <w:numId w:val="32"/>
        </w:numPr>
        <w:tabs>
          <w:tab w:val="left" w:pos="5580"/>
        </w:tabs>
        <w:adjustRightInd w:val="0"/>
        <w:snapToGrid w:val="0"/>
        <w:spacing w:line="480" w:lineRule="exact"/>
        <w:rPr>
          <w:color w:val="auto"/>
          <w:szCs w:val="21"/>
          <w:highlight w:val="none"/>
        </w:rPr>
      </w:pPr>
      <w:r>
        <w:rPr>
          <w:color w:val="auto"/>
          <w:szCs w:val="21"/>
          <w:highlight w:val="none"/>
        </w:rPr>
        <w:t>营业执照（副本）或事业单位法人证书（副本）或个体工商户营业执照或有效的自然人身份证明或社会团体法人登记证书（提供复印件）</w:t>
      </w:r>
    </w:p>
    <w:p>
      <w:pPr>
        <w:pStyle w:val="12"/>
        <w:ind w:firstLine="0" w:firstLineChars="0"/>
        <w:rPr>
          <w:color w:val="auto"/>
          <w:highlight w:val="none"/>
        </w:rPr>
      </w:pPr>
    </w:p>
    <w:p>
      <w:pPr>
        <w:pStyle w:val="12"/>
        <w:ind w:firstLine="0" w:firstLineChars="0"/>
        <w:rPr>
          <w:color w:val="auto"/>
          <w:highlight w:val="none"/>
        </w:rPr>
      </w:pPr>
    </w:p>
    <w:p>
      <w:pPr>
        <w:pStyle w:val="12"/>
        <w:ind w:firstLine="0" w:firstLineChars="0"/>
        <w:rPr>
          <w:color w:val="auto"/>
          <w:highlight w:val="none"/>
        </w:rPr>
      </w:pPr>
    </w:p>
    <w:p>
      <w:pPr>
        <w:rPr>
          <w:color w:val="auto"/>
          <w:highlight w:val="none"/>
        </w:rPr>
      </w:pPr>
      <w:r>
        <w:rPr>
          <w:color w:val="auto"/>
          <w:highlight w:val="none"/>
        </w:rPr>
        <w:br w:type="page"/>
      </w:r>
    </w:p>
    <w:p>
      <w:pPr>
        <w:pStyle w:val="12"/>
        <w:ind w:firstLine="0" w:firstLineChars="0"/>
        <w:rPr>
          <w:color w:val="auto"/>
          <w:highlight w:val="none"/>
        </w:rPr>
      </w:pPr>
    </w:p>
    <w:p>
      <w:pPr>
        <w:numPr>
          <w:ilvl w:val="0"/>
          <w:numId w:val="32"/>
        </w:numPr>
        <w:tabs>
          <w:tab w:val="left" w:pos="5580"/>
        </w:tabs>
        <w:adjustRightInd w:val="0"/>
        <w:snapToGrid w:val="0"/>
        <w:spacing w:line="480" w:lineRule="exact"/>
        <w:jc w:val="both"/>
        <w:rPr>
          <w:color w:val="auto"/>
          <w:szCs w:val="21"/>
          <w:highlight w:val="none"/>
        </w:rPr>
      </w:pPr>
      <w:r>
        <w:rPr>
          <w:color w:val="auto"/>
          <w:szCs w:val="21"/>
          <w:highlight w:val="none"/>
        </w:rPr>
        <w:t>法定代表人身份证明书（格式）</w:t>
      </w:r>
    </w:p>
    <w:p>
      <w:pPr>
        <w:pStyle w:val="12"/>
        <w:ind w:firstLine="2730" w:firstLineChars="1300"/>
        <w:rPr>
          <w:color w:val="auto"/>
          <w:szCs w:val="21"/>
          <w:highlight w:val="none"/>
        </w:rPr>
      </w:pPr>
      <w:r>
        <w:rPr>
          <w:color w:val="auto"/>
          <w:szCs w:val="21"/>
          <w:highlight w:val="none"/>
        </w:rPr>
        <w:t>法定代表人身份证明书</w:t>
      </w:r>
    </w:p>
    <w:p>
      <w:pPr>
        <w:pStyle w:val="12"/>
        <w:rPr>
          <w:color w:val="auto"/>
          <w:szCs w:val="21"/>
          <w:highlight w:val="none"/>
        </w:rPr>
      </w:pPr>
    </w:p>
    <w:p>
      <w:pPr>
        <w:tabs>
          <w:tab w:val="left" w:pos="6300"/>
        </w:tabs>
        <w:snapToGrid w:val="0"/>
        <w:spacing w:line="500" w:lineRule="exact"/>
        <w:ind w:firstLine="570"/>
        <w:rPr>
          <w:color w:val="auto"/>
          <w:szCs w:val="21"/>
          <w:highlight w:val="none"/>
        </w:rPr>
      </w:pPr>
      <w:r>
        <w:rPr>
          <w:color w:val="auto"/>
          <w:szCs w:val="21"/>
          <w:highlight w:val="none"/>
        </w:rPr>
        <w:t>项目名称：</w:t>
      </w:r>
      <w:r>
        <w:rPr>
          <w:color w:val="auto"/>
          <w:szCs w:val="21"/>
          <w:highlight w:val="none"/>
          <w:u w:val="single"/>
        </w:rPr>
        <w:t xml:space="preserve">                                                </w:t>
      </w:r>
    </w:p>
    <w:p>
      <w:pPr>
        <w:tabs>
          <w:tab w:val="left" w:pos="6300"/>
        </w:tabs>
        <w:snapToGrid w:val="0"/>
        <w:spacing w:line="500" w:lineRule="exact"/>
        <w:ind w:firstLine="570"/>
        <w:rPr>
          <w:color w:val="auto"/>
          <w:szCs w:val="21"/>
          <w:highlight w:val="none"/>
        </w:rPr>
      </w:pPr>
    </w:p>
    <w:p>
      <w:pPr>
        <w:tabs>
          <w:tab w:val="left" w:pos="6300"/>
        </w:tabs>
        <w:snapToGrid w:val="0"/>
        <w:spacing w:line="500" w:lineRule="exact"/>
        <w:ind w:firstLine="570"/>
        <w:rPr>
          <w:color w:val="auto"/>
          <w:szCs w:val="21"/>
          <w:highlight w:val="none"/>
        </w:rPr>
      </w:pPr>
      <w:r>
        <w:rPr>
          <w:color w:val="auto"/>
          <w:szCs w:val="21"/>
          <w:highlight w:val="none"/>
        </w:rPr>
        <w:t>致：</w:t>
      </w:r>
      <w:r>
        <w:rPr>
          <w:color w:val="auto"/>
          <w:szCs w:val="21"/>
          <w:highlight w:val="none"/>
          <w:u w:val="single"/>
        </w:rPr>
        <w:t xml:space="preserve">                     </w:t>
      </w:r>
      <w:r>
        <w:rPr>
          <w:color w:val="auto"/>
          <w:szCs w:val="21"/>
          <w:highlight w:val="none"/>
        </w:rPr>
        <w:t>（采购代理机构名称）：</w:t>
      </w:r>
    </w:p>
    <w:p>
      <w:pPr>
        <w:tabs>
          <w:tab w:val="left" w:pos="6300"/>
        </w:tabs>
        <w:snapToGrid w:val="0"/>
        <w:spacing w:line="500" w:lineRule="exact"/>
        <w:ind w:firstLine="570"/>
        <w:rPr>
          <w:color w:val="auto"/>
          <w:szCs w:val="21"/>
          <w:highlight w:val="none"/>
        </w:rPr>
      </w:pPr>
      <w:r>
        <w:rPr>
          <w:color w:val="auto"/>
          <w:szCs w:val="21"/>
          <w:highlight w:val="none"/>
          <w:u w:val="single"/>
        </w:rPr>
        <w:t xml:space="preserve">         </w:t>
      </w:r>
      <w:r>
        <w:rPr>
          <w:color w:val="auto"/>
          <w:szCs w:val="21"/>
          <w:highlight w:val="none"/>
        </w:rPr>
        <w:t>（法定代表人姓名）在</w:t>
      </w:r>
      <w:r>
        <w:rPr>
          <w:color w:val="auto"/>
          <w:szCs w:val="21"/>
          <w:highlight w:val="none"/>
          <w:u w:val="single"/>
        </w:rPr>
        <w:t xml:space="preserve">                       </w:t>
      </w:r>
      <w:r>
        <w:rPr>
          <w:color w:val="auto"/>
          <w:szCs w:val="21"/>
          <w:highlight w:val="none"/>
        </w:rPr>
        <w:t>（供应商名称）任</w:t>
      </w:r>
      <w:r>
        <w:rPr>
          <w:color w:val="auto"/>
          <w:szCs w:val="21"/>
          <w:highlight w:val="none"/>
          <w:u w:val="single"/>
        </w:rPr>
        <w:t xml:space="preserve">      </w:t>
      </w:r>
      <w:r>
        <w:rPr>
          <w:color w:val="auto"/>
          <w:szCs w:val="21"/>
          <w:highlight w:val="none"/>
        </w:rPr>
        <w:t>（职务名称）职务，是（供应商名称）</w:t>
      </w:r>
      <w:r>
        <w:rPr>
          <w:color w:val="auto"/>
          <w:szCs w:val="21"/>
          <w:highlight w:val="none"/>
          <w:u w:val="single"/>
        </w:rPr>
        <w:t xml:space="preserve">              </w:t>
      </w:r>
      <w:r>
        <w:rPr>
          <w:color w:val="auto"/>
          <w:szCs w:val="21"/>
          <w:highlight w:val="none"/>
        </w:rPr>
        <w:t>的法定代表人。</w:t>
      </w:r>
    </w:p>
    <w:p>
      <w:pPr>
        <w:tabs>
          <w:tab w:val="left" w:pos="6300"/>
        </w:tabs>
        <w:snapToGrid w:val="0"/>
        <w:spacing w:line="500" w:lineRule="exact"/>
        <w:ind w:firstLine="570"/>
        <w:rPr>
          <w:color w:val="auto"/>
          <w:szCs w:val="21"/>
          <w:highlight w:val="none"/>
        </w:rPr>
      </w:pPr>
    </w:p>
    <w:p>
      <w:pPr>
        <w:tabs>
          <w:tab w:val="left" w:pos="6300"/>
        </w:tabs>
        <w:snapToGrid w:val="0"/>
        <w:spacing w:line="500" w:lineRule="exact"/>
        <w:ind w:firstLine="570"/>
        <w:rPr>
          <w:color w:val="auto"/>
          <w:szCs w:val="21"/>
          <w:highlight w:val="none"/>
        </w:rPr>
      </w:pPr>
      <w:r>
        <w:rPr>
          <w:color w:val="auto"/>
          <w:szCs w:val="21"/>
          <w:highlight w:val="none"/>
        </w:rPr>
        <w:t>特此证明。</w:t>
      </w:r>
    </w:p>
    <w:p>
      <w:pPr>
        <w:tabs>
          <w:tab w:val="left" w:pos="6300"/>
        </w:tabs>
        <w:snapToGrid w:val="0"/>
        <w:spacing w:line="500" w:lineRule="exact"/>
        <w:ind w:firstLine="570"/>
        <w:rPr>
          <w:color w:val="auto"/>
          <w:szCs w:val="21"/>
          <w:highlight w:val="none"/>
        </w:rPr>
      </w:pPr>
    </w:p>
    <w:p>
      <w:pPr>
        <w:tabs>
          <w:tab w:val="left" w:pos="6300"/>
        </w:tabs>
        <w:snapToGrid w:val="0"/>
        <w:spacing w:line="500" w:lineRule="exact"/>
        <w:ind w:firstLine="570"/>
        <w:rPr>
          <w:color w:val="auto"/>
          <w:szCs w:val="21"/>
          <w:highlight w:val="none"/>
        </w:rPr>
      </w:pPr>
    </w:p>
    <w:p>
      <w:pPr>
        <w:tabs>
          <w:tab w:val="left" w:pos="6300"/>
        </w:tabs>
        <w:snapToGrid w:val="0"/>
        <w:spacing w:line="500" w:lineRule="exact"/>
        <w:ind w:firstLine="570"/>
        <w:rPr>
          <w:color w:val="auto"/>
          <w:szCs w:val="21"/>
          <w:highlight w:val="none"/>
        </w:rPr>
      </w:pPr>
    </w:p>
    <w:p>
      <w:pPr>
        <w:tabs>
          <w:tab w:val="left" w:pos="6300"/>
        </w:tabs>
        <w:snapToGrid w:val="0"/>
        <w:spacing w:line="500" w:lineRule="exact"/>
        <w:ind w:firstLine="570"/>
        <w:rPr>
          <w:color w:val="auto"/>
          <w:szCs w:val="21"/>
          <w:highlight w:val="none"/>
        </w:rPr>
      </w:pPr>
      <w:r>
        <w:rPr>
          <w:color w:val="auto"/>
          <w:szCs w:val="21"/>
          <w:highlight w:val="none"/>
        </w:rPr>
        <w:t xml:space="preserve">                                             （供应商公章）</w:t>
      </w:r>
    </w:p>
    <w:p>
      <w:pPr>
        <w:tabs>
          <w:tab w:val="left" w:pos="6300"/>
        </w:tabs>
        <w:snapToGrid w:val="0"/>
        <w:spacing w:line="500" w:lineRule="exact"/>
        <w:ind w:firstLine="570"/>
        <w:rPr>
          <w:color w:val="auto"/>
          <w:szCs w:val="21"/>
          <w:highlight w:val="none"/>
        </w:rPr>
      </w:pPr>
    </w:p>
    <w:p>
      <w:pPr>
        <w:tabs>
          <w:tab w:val="left" w:pos="6300"/>
        </w:tabs>
        <w:snapToGrid w:val="0"/>
        <w:spacing w:line="500" w:lineRule="exact"/>
        <w:ind w:firstLine="570"/>
        <w:rPr>
          <w:color w:val="auto"/>
          <w:szCs w:val="21"/>
          <w:highlight w:val="none"/>
        </w:rPr>
      </w:pPr>
      <w:r>
        <w:rPr>
          <w:color w:val="auto"/>
          <w:szCs w:val="21"/>
          <w:highlight w:val="none"/>
        </w:rPr>
        <w:t xml:space="preserve">                                             年   月   日</w:t>
      </w:r>
    </w:p>
    <w:p>
      <w:pPr>
        <w:tabs>
          <w:tab w:val="left" w:pos="6300"/>
        </w:tabs>
        <w:snapToGrid w:val="0"/>
        <w:spacing w:line="500" w:lineRule="exact"/>
        <w:ind w:firstLine="570"/>
        <w:rPr>
          <w:color w:val="auto"/>
          <w:szCs w:val="21"/>
          <w:highlight w:val="none"/>
        </w:rPr>
      </w:pPr>
    </w:p>
    <w:p>
      <w:pPr>
        <w:tabs>
          <w:tab w:val="left" w:pos="6300"/>
        </w:tabs>
        <w:snapToGrid w:val="0"/>
        <w:spacing w:line="500" w:lineRule="exact"/>
        <w:ind w:firstLine="570"/>
        <w:rPr>
          <w:color w:val="auto"/>
          <w:szCs w:val="21"/>
          <w:highlight w:val="none"/>
        </w:rPr>
      </w:pPr>
    </w:p>
    <w:p>
      <w:pPr>
        <w:tabs>
          <w:tab w:val="left" w:pos="6300"/>
        </w:tabs>
        <w:snapToGrid w:val="0"/>
        <w:spacing w:line="500" w:lineRule="exact"/>
        <w:ind w:firstLine="570"/>
        <w:rPr>
          <w:color w:val="auto"/>
          <w:szCs w:val="21"/>
          <w:highlight w:val="none"/>
        </w:rPr>
      </w:pPr>
      <w:r>
        <w:rPr>
          <w:color w:val="auto"/>
          <w:szCs w:val="21"/>
          <w:highlight w:val="none"/>
        </w:rPr>
        <w:t>法定代表人电话：XXXXXXX      电子邮箱：XXXXXX@XXXXX（若授权他人办理并签署响应文件的可不填写）</w:t>
      </w:r>
    </w:p>
    <w:p>
      <w:pPr>
        <w:tabs>
          <w:tab w:val="left" w:pos="6300"/>
        </w:tabs>
        <w:snapToGrid w:val="0"/>
        <w:spacing w:line="500" w:lineRule="exact"/>
        <w:ind w:firstLine="570"/>
        <w:rPr>
          <w:color w:val="auto"/>
          <w:szCs w:val="21"/>
          <w:highlight w:val="none"/>
        </w:rPr>
      </w:pPr>
      <w:r>
        <w:rPr>
          <w:color w:val="auto"/>
          <w:szCs w:val="21"/>
          <w:highlight w:val="none"/>
        </w:rPr>
        <w:t>（附：法定代表人身份证正反面复印件）</w:t>
      </w:r>
    </w:p>
    <w:p>
      <w:pPr>
        <w:pStyle w:val="12"/>
        <w:rPr>
          <w:color w:val="auto"/>
          <w:szCs w:val="21"/>
          <w:highlight w:val="none"/>
        </w:rPr>
      </w:pPr>
    </w:p>
    <w:p>
      <w:pPr>
        <w:pStyle w:val="12"/>
        <w:rPr>
          <w:color w:val="auto"/>
          <w:szCs w:val="21"/>
          <w:highlight w:val="none"/>
        </w:rPr>
      </w:pPr>
    </w:p>
    <w:p>
      <w:pPr>
        <w:pStyle w:val="12"/>
        <w:rPr>
          <w:color w:val="auto"/>
          <w:szCs w:val="21"/>
          <w:highlight w:val="none"/>
        </w:rPr>
      </w:pPr>
    </w:p>
    <w:p>
      <w:pPr>
        <w:pStyle w:val="12"/>
        <w:rPr>
          <w:color w:val="auto"/>
          <w:szCs w:val="21"/>
          <w:highlight w:val="none"/>
        </w:rPr>
      </w:pPr>
    </w:p>
    <w:p>
      <w:pPr>
        <w:pStyle w:val="12"/>
        <w:rPr>
          <w:color w:val="auto"/>
          <w:szCs w:val="21"/>
          <w:highlight w:val="none"/>
        </w:rPr>
      </w:pPr>
    </w:p>
    <w:p>
      <w:pPr>
        <w:pStyle w:val="12"/>
        <w:rPr>
          <w:color w:val="auto"/>
          <w:szCs w:val="21"/>
          <w:highlight w:val="none"/>
        </w:rPr>
      </w:pPr>
    </w:p>
    <w:p>
      <w:pPr>
        <w:pStyle w:val="12"/>
        <w:rPr>
          <w:color w:val="auto"/>
          <w:szCs w:val="21"/>
          <w:highlight w:val="none"/>
        </w:rPr>
      </w:pPr>
    </w:p>
    <w:p>
      <w:pPr>
        <w:pStyle w:val="12"/>
        <w:rPr>
          <w:color w:val="auto"/>
          <w:szCs w:val="21"/>
          <w:highlight w:val="none"/>
        </w:rPr>
      </w:pPr>
    </w:p>
    <w:p>
      <w:pPr>
        <w:pStyle w:val="12"/>
        <w:rPr>
          <w:color w:val="auto"/>
          <w:szCs w:val="21"/>
          <w:highlight w:val="none"/>
        </w:rPr>
      </w:pPr>
    </w:p>
    <w:p>
      <w:pPr>
        <w:pStyle w:val="12"/>
        <w:rPr>
          <w:color w:val="auto"/>
          <w:szCs w:val="21"/>
          <w:highlight w:val="none"/>
        </w:rPr>
      </w:pPr>
    </w:p>
    <w:p>
      <w:pPr>
        <w:pStyle w:val="12"/>
        <w:rPr>
          <w:color w:val="auto"/>
          <w:szCs w:val="21"/>
          <w:highlight w:val="none"/>
        </w:rPr>
      </w:pPr>
    </w:p>
    <w:p>
      <w:pPr>
        <w:pStyle w:val="12"/>
        <w:rPr>
          <w:color w:val="auto"/>
          <w:szCs w:val="21"/>
          <w:highlight w:val="none"/>
        </w:rPr>
      </w:pPr>
    </w:p>
    <w:p>
      <w:pPr>
        <w:pStyle w:val="12"/>
        <w:rPr>
          <w:color w:val="auto"/>
          <w:szCs w:val="21"/>
          <w:highlight w:val="none"/>
        </w:rPr>
      </w:pPr>
    </w:p>
    <w:p>
      <w:pPr>
        <w:pStyle w:val="12"/>
        <w:rPr>
          <w:color w:val="auto"/>
          <w:szCs w:val="21"/>
          <w:highlight w:val="none"/>
        </w:rPr>
      </w:pPr>
    </w:p>
    <w:p>
      <w:pPr>
        <w:numPr>
          <w:ilvl w:val="0"/>
          <w:numId w:val="32"/>
        </w:numPr>
        <w:tabs>
          <w:tab w:val="left" w:pos="6300"/>
        </w:tabs>
        <w:snapToGrid w:val="0"/>
        <w:spacing w:line="500" w:lineRule="exact"/>
        <w:rPr>
          <w:color w:val="auto"/>
          <w:szCs w:val="21"/>
          <w:highlight w:val="none"/>
        </w:rPr>
      </w:pPr>
      <w:r>
        <w:rPr>
          <w:color w:val="auto"/>
          <w:szCs w:val="21"/>
          <w:highlight w:val="none"/>
        </w:rPr>
        <w:t>法定代表人授权委托书（格式）</w:t>
      </w:r>
    </w:p>
    <w:p>
      <w:pPr>
        <w:tabs>
          <w:tab w:val="left" w:pos="6300"/>
        </w:tabs>
        <w:snapToGrid w:val="0"/>
        <w:spacing w:line="500" w:lineRule="exact"/>
        <w:ind w:firstLine="3927" w:firstLineChars="1870"/>
        <w:rPr>
          <w:color w:val="auto"/>
          <w:szCs w:val="21"/>
          <w:highlight w:val="none"/>
        </w:rPr>
      </w:pPr>
      <w:r>
        <w:rPr>
          <w:color w:val="auto"/>
          <w:szCs w:val="21"/>
          <w:highlight w:val="none"/>
        </w:rPr>
        <w:t>法定代表人授权委托书</w:t>
      </w:r>
    </w:p>
    <w:p>
      <w:pPr>
        <w:tabs>
          <w:tab w:val="left" w:pos="6300"/>
        </w:tabs>
        <w:snapToGrid w:val="0"/>
        <w:spacing w:line="500" w:lineRule="exact"/>
        <w:ind w:firstLine="570"/>
        <w:rPr>
          <w:color w:val="auto"/>
          <w:szCs w:val="21"/>
          <w:highlight w:val="none"/>
        </w:rPr>
      </w:pPr>
      <w:r>
        <w:rPr>
          <w:color w:val="auto"/>
          <w:szCs w:val="21"/>
          <w:highlight w:val="none"/>
        </w:rPr>
        <w:t xml:space="preserve">    </w:t>
      </w:r>
    </w:p>
    <w:p>
      <w:pPr>
        <w:tabs>
          <w:tab w:val="left" w:pos="6300"/>
        </w:tabs>
        <w:snapToGrid w:val="0"/>
        <w:spacing w:line="500" w:lineRule="exact"/>
        <w:ind w:firstLine="420" w:firstLineChars="200"/>
        <w:rPr>
          <w:color w:val="auto"/>
          <w:szCs w:val="21"/>
          <w:highlight w:val="none"/>
        </w:rPr>
      </w:pPr>
      <w:r>
        <w:rPr>
          <w:color w:val="auto"/>
          <w:szCs w:val="21"/>
          <w:highlight w:val="none"/>
        </w:rPr>
        <w:t>项目名称：</w:t>
      </w:r>
      <w:r>
        <w:rPr>
          <w:color w:val="auto"/>
          <w:szCs w:val="21"/>
          <w:highlight w:val="none"/>
          <w:u w:val="single"/>
        </w:rPr>
        <w:t xml:space="preserve">                                                </w:t>
      </w:r>
    </w:p>
    <w:p>
      <w:pPr>
        <w:tabs>
          <w:tab w:val="left" w:pos="6300"/>
        </w:tabs>
        <w:snapToGrid w:val="0"/>
        <w:spacing w:line="500" w:lineRule="exact"/>
        <w:ind w:firstLine="570"/>
        <w:rPr>
          <w:color w:val="auto"/>
          <w:szCs w:val="21"/>
          <w:highlight w:val="none"/>
        </w:rPr>
      </w:pPr>
    </w:p>
    <w:p>
      <w:pPr>
        <w:tabs>
          <w:tab w:val="left" w:pos="6300"/>
        </w:tabs>
        <w:snapToGrid w:val="0"/>
        <w:spacing w:line="500" w:lineRule="exact"/>
        <w:ind w:firstLine="420" w:firstLineChars="200"/>
        <w:rPr>
          <w:color w:val="auto"/>
          <w:szCs w:val="21"/>
          <w:highlight w:val="none"/>
        </w:rPr>
      </w:pPr>
      <w:r>
        <w:rPr>
          <w:color w:val="auto"/>
          <w:szCs w:val="21"/>
          <w:highlight w:val="none"/>
        </w:rPr>
        <w:t>致：</w:t>
      </w:r>
      <w:r>
        <w:rPr>
          <w:color w:val="auto"/>
          <w:szCs w:val="21"/>
          <w:highlight w:val="none"/>
          <w:u w:val="single"/>
        </w:rPr>
        <w:t xml:space="preserve">                     </w:t>
      </w:r>
      <w:r>
        <w:rPr>
          <w:color w:val="auto"/>
          <w:szCs w:val="21"/>
          <w:highlight w:val="none"/>
        </w:rPr>
        <w:t>（采购代理机构名称）：</w:t>
      </w:r>
    </w:p>
    <w:p>
      <w:pPr>
        <w:tabs>
          <w:tab w:val="left" w:pos="6300"/>
        </w:tabs>
        <w:snapToGrid w:val="0"/>
        <w:spacing w:line="500" w:lineRule="exact"/>
        <w:ind w:firstLine="420" w:firstLineChars="200"/>
        <w:rPr>
          <w:color w:val="auto"/>
          <w:szCs w:val="21"/>
          <w:highlight w:val="none"/>
        </w:rPr>
      </w:pPr>
      <w:r>
        <w:rPr>
          <w:color w:val="auto"/>
          <w:szCs w:val="21"/>
          <w:highlight w:val="none"/>
          <w:u w:val="single"/>
        </w:rPr>
        <w:t xml:space="preserve">            </w:t>
      </w:r>
      <w:r>
        <w:rPr>
          <w:color w:val="auto"/>
          <w:szCs w:val="21"/>
          <w:highlight w:val="none"/>
        </w:rPr>
        <w:t>（供应商法定代表人名称）是</w:t>
      </w:r>
      <w:r>
        <w:rPr>
          <w:color w:val="auto"/>
          <w:szCs w:val="21"/>
          <w:highlight w:val="none"/>
          <w:u w:val="single"/>
        </w:rPr>
        <w:t xml:space="preserve">                    </w:t>
      </w:r>
      <w:r>
        <w:rPr>
          <w:color w:val="auto"/>
          <w:szCs w:val="21"/>
          <w:highlight w:val="none"/>
        </w:rPr>
        <w:t>（供应商名称）的法定代表人，特授权</w:t>
      </w:r>
      <w:r>
        <w:rPr>
          <w:color w:val="auto"/>
          <w:szCs w:val="21"/>
          <w:highlight w:val="none"/>
          <w:u w:val="single"/>
        </w:rPr>
        <w:t xml:space="preserve">          </w:t>
      </w:r>
      <w:r>
        <w:rPr>
          <w:color w:val="auto"/>
          <w:szCs w:val="21"/>
          <w:highlight w:val="none"/>
        </w:rPr>
        <w:t>（被授权人姓名及身份证代码）代表我单位全权办理上述项目的评比、谈判、签约等具体工作，并签署全部有关文件、协议及合同。</w:t>
      </w:r>
    </w:p>
    <w:p>
      <w:pPr>
        <w:tabs>
          <w:tab w:val="left" w:pos="6300"/>
        </w:tabs>
        <w:snapToGrid w:val="0"/>
        <w:spacing w:line="500" w:lineRule="exact"/>
        <w:ind w:firstLine="420" w:firstLineChars="200"/>
        <w:rPr>
          <w:color w:val="auto"/>
          <w:szCs w:val="21"/>
          <w:highlight w:val="none"/>
        </w:rPr>
      </w:pPr>
      <w:r>
        <w:rPr>
          <w:color w:val="auto"/>
          <w:szCs w:val="21"/>
          <w:highlight w:val="none"/>
        </w:rPr>
        <w:t>我单位对被授权人的签字负全部责任。</w:t>
      </w:r>
    </w:p>
    <w:p>
      <w:pPr>
        <w:tabs>
          <w:tab w:val="left" w:pos="6300"/>
        </w:tabs>
        <w:snapToGrid w:val="0"/>
        <w:spacing w:line="500" w:lineRule="exact"/>
        <w:ind w:firstLine="420" w:firstLineChars="200"/>
        <w:rPr>
          <w:color w:val="auto"/>
          <w:szCs w:val="21"/>
          <w:highlight w:val="none"/>
        </w:rPr>
      </w:pPr>
      <w:r>
        <w:rPr>
          <w:color w:val="auto"/>
          <w:szCs w:val="21"/>
          <w:highlight w:val="none"/>
        </w:rPr>
        <w:t>在撤消授权的书面通知以前，本授权书一直有效。被授权人在授权书有效期内签署的所有文件不因授权的撤消而失效。</w:t>
      </w:r>
    </w:p>
    <w:p>
      <w:pPr>
        <w:tabs>
          <w:tab w:val="left" w:pos="6300"/>
        </w:tabs>
        <w:snapToGrid w:val="0"/>
        <w:spacing w:line="500" w:lineRule="exact"/>
        <w:ind w:firstLine="570"/>
        <w:rPr>
          <w:color w:val="auto"/>
          <w:szCs w:val="21"/>
          <w:highlight w:val="none"/>
        </w:rPr>
      </w:pPr>
    </w:p>
    <w:p>
      <w:pPr>
        <w:tabs>
          <w:tab w:val="left" w:pos="6300"/>
        </w:tabs>
        <w:snapToGrid w:val="0"/>
        <w:spacing w:line="500" w:lineRule="exact"/>
        <w:ind w:firstLine="570"/>
        <w:rPr>
          <w:color w:val="auto"/>
          <w:szCs w:val="21"/>
          <w:highlight w:val="none"/>
        </w:rPr>
      </w:pPr>
      <w:r>
        <w:rPr>
          <w:color w:val="auto"/>
          <w:szCs w:val="21"/>
          <w:highlight w:val="none"/>
        </w:rPr>
        <w:t>被授权人：                                 供应商法定代表人：</w:t>
      </w:r>
    </w:p>
    <w:p>
      <w:pPr>
        <w:tabs>
          <w:tab w:val="left" w:pos="6300"/>
        </w:tabs>
        <w:snapToGrid w:val="0"/>
        <w:spacing w:line="500" w:lineRule="exact"/>
        <w:ind w:firstLine="570"/>
        <w:rPr>
          <w:color w:val="auto"/>
          <w:szCs w:val="21"/>
          <w:highlight w:val="none"/>
        </w:rPr>
      </w:pPr>
      <w:r>
        <w:rPr>
          <w:color w:val="auto"/>
          <w:szCs w:val="21"/>
          <w:highlight w:val="none"/>
        </w:rPr>
        <w:t>（签署或盖章）                                （签署或盖章）</w:t>
      </w:r>
    </w:p>
    <w:p>
      <w:pPr>
        <w:tabs>
          <w:tab w:val="left" w:pos="6300"/>
        </w:tabs>
        <w:snapToGrid w:val="0"/>
        <w:spacing w:line="500" w:lineRule="exact"/>
        <w:ind w:firstLine="570"/>
        <w:rPr>
          <w:color w:val="auto"/>
          <w:szCs w:val="21"/>
          <w:highlight w:val="none"/>
        </w:rPr>
      </w:pPr>
    </w:p>
    <w:p>
      <w:pPr>
        <w:tabs>
          <w:tab w:val="left" w:pos="6300"/>
        </w:tabs>
        <w:snapToGrid w:val="0"/>
        <w:spacing w:line="500" w:lineRule="exact"/>
        <w:ind w:firstLine="570"/>
        <w:rPr>
          <w:color w:val="auto"/>
          <w:szCs w:val="21"/>
          <w:highlight w:val="none"/>
        </w:rPr>
      </w:pPr>
      <w:r>
        <w:rPr>
          <w:color w:val="auto"/>
          <w:szCs w:val="21"/>
          <w:highlight w:val="none"/>
        </w:rPr>
        <w:t>（附：被授权人身份证正反面复印件）</w:t>
      </w:r>
    </w:p>
    <w:p>
      <w:pPr>
        <w:tabs>
          <w:tab w:val="left" w:pos="6300"/>
        </w:tabs>
        <w:snapToGrid w:val="0"/>
        <w:spacing w:line="500" w:lineRule="exact"/>
        <w:ind w:firstLine="570"/>
        <w:rPr>
          <w:color w:val="auto"/>
          <w:szCs w:val="21"/>
          <w:highlight w:val="none"/>
        </w:rPr>
      </w:pPr>
      <w:r>
        <w:rPr>
          <w:color w:val="auto"/>
          <w:szCs w:val="21"/>
          <w:highlight w:val="none"/>
        </w:rPr>
        <w:t xml:space="preserve">                                          </w:t>
      </w:r>
    </w:p>
    <w:p>
      <w:pPr>
        <w:tabs>
          <w:tab w:val="left" w:pos="6300"/>
        </w:tabs>
        <w:snapToGrid w:val="0"/>
        <w:spacing w:line="500" w:lineRule="exact"/>
        <w:ind w:firstLine="570"/>
        <w:rPr>
          <w:color w:val="auto"/>
          <w:szCs w:val="21"/>
          <w:highlight w:val="none"/>
        </w:rPr>
      </w:pPr>
    </w:p>
    <w:p>
      <w:pPr>
        <w:tabs>
          <w:tab w:val="left" w:pos="6300"/>
        </w:tabs>
        <w:snapToGrid w:val="0"/>
        <w:spacing w:line="500" w:lineRule="exact"/>
        <w:ind w:right="480" w:firstLine="570"/>
        <w:jc w:val="right"/>
        <w:rPr>
          <w:color w:val="auto"/>
          <w:szCs w:val="21"/>
          <w:highlight w:val="none"/>
        </w:rPr>
      </w:pPr>
      <w:r>
        <w:rPr>
          <w:color w:val="auto"/>
          <w:szCs w:val="21"/>
          <w:highlight w:val="none"/>
        </w:rPr>
        <w:t>（供应商公章）</w:t>
      </w:r>
    </w:p>
    <w:p>
      <w:pPr>
        <w:tabs>
          <w:tab w:val="left" w:pos="6300"/>
        </w:tabs>
        <w:snapToGrid w:val="0"/>
        <w:spacing w:line="500" w:lineRule="exact"/>
        <w:ind w:right="480" w:firstLine="570"/>
        <w:jc w:val="right"/>
        <w:rPr>
          <w:color w:val="auto"/>
          <w:szCs w:val="21"/>
          <w:highlight w:val="none"/>
        </w:rPr>
      </w:pPr>
      <w:r>
        <w:rPr>
          <w:color w:val="auto"/>
          <w:szCs w:val="21"/>
          <w:highlight w:val="none"/>
        </w:rPr>
        <w:t>年   月   日</w:t>
      </w:r>
    </w:p>
    <w:p>
      <w:pPr>
        <w:tabs>
          <w:tab w:val="left" w:pos="6300"/>
        </w:tabs>
        <w:snapToGrid w:val="0"/>
        <w:spacing w:line="500" w:lineRule="exact"/>
        <w:ind w:right="480" w:firstLine="570"/>
        <w:jc w:val="right"/>
        <w:rPr>
          <w:color w:val="auto"/>
          <w:szCs w:val="21"/>
          <w:highlight w:val="none"/>
        </w:rPr>
      </w:pPr>
    </w:p>
    <w:p>
      <w:pPr>
        <w:tabs>
          <w:tab w:val="left" w:pos="6300"/>
        </w:tabs>
        <w:snapToGrid w:val="0"/>
        <w:spacing w:line="500" w:lineRule="exact"/>
        <w:ind w:firstLine="570"/>
        <w:rPr>
          <w:color w:val="auto"/>
          <w:szCs w:val="21"/>
          <w:highlight w:val="none"/>
        </w:rPr>
      </w:pPr>
      <w:r>
        <w:rPr>
          <w:color w:val="auto"/>
          <w:szCs w:val="21"/>
          <w:highlight w:val="none"/>
        </w:rPr>
        <w:t>被授权人电话：XXXXXXX     电子邮箱：XXXXXX@XXXXX（若法定代表人办理并签署评比文件的可不填写）</w:t>
      </w:r>
    </w:p>
    <w:p>
      <w:pPr>
        <w:tabs>
          <w:tab w:val="left" w:pos="6300"/>
        </w:tabs>
        <w:snapToGrid w:val="0"/>
        <w:spacing w:line="500" w:lineRule="exact"/>
        <w:ind w:right="480" w:firstLine="570"/>
        <w:rPr>
          <w:color w:val="auto"/>
          <w:szCs w:val="21"/>
          <w:highlight w:val="none"/>
        </w:rPr>
      </w:pPr>
      <w:r>
        <w:rPr>
          <w:color w:val="auto"/>
          <w:szCs w:val="21"/>
          <w:highlight w:val="none"/>
        </w:rPr>
        <w:t>注：1.若为法定代表人办理并签署响应文件的，不提供此文件。</w:t>
      </w: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（4）基本资格条件承诺函（格式）</w:t>
      </w:r>
    </w:p>
    <w:p>
      <w:pPr>
        <w:tabs>
          <w:tab w:val="left" w:pos="6300"/>
        </w:tabs>
        <w:snapToGrid w:val="0"/>
        <w:spacing w:line="500" w:lineRule="exact"/>
        <w:ind w:right="480" w:firstLine="570"/>
        <w:jc w:val="center"/>
        <w:rPr>
          <w:rFonts w:ascii="宋体" w:hAnsi="宋体" w:cs="宋体"/>
          <w:color w:val="auto"/>
          <w:szCs w:val="21"/>
          <w:highlight w:val="none"/>
        </w:rPr>
      </w:pPr>
    </w:p>
    <w:p>
      <w:pPr>
        <w:tabs>
          <w:tab w:val="left" w:pos="6300"/>
        </w:tabs>
        <w:snapToGrid w:val="0"/>
        <w:spacing w:line="500" w:lineRule="exact"/>
        <w:ind w:right="480" w:firstLine="570"/>
        <w:jc w:val="center"/>
        <w:rPr>
          <w:rFonts w:ascii="宋体" w:hAnsi="宋体" w:cs="宋体"/>
          <w:color w:val="auto"/>
          <w:szCs w:val="21"/>
          <w:highlight w:val="none"/>
        </w:rPr>
      </w:pPr>
      <w:r>
        <w:rPr>
          <w:rFonts w:hint="eastAsia" w:ascii="宋体" w:hAnsi="宋体" w:cs="宋体"/>
          <w:color w:val="auto"/>
          <w:szCs w:val="21"/>
          <w:highlight w:val="none"/>
        </w:rPr>
        <w:t>基本资格条件承诺函</w:t>
      </w:r>
    </w:p>
    <w:p>
      <w:pPr>
        <w:tabs>
          <w:tab w:val="left" w:pos="6300"/>
        </w:tabs>
        <w:snapToGrid w:val="0"/>
        <w:spacing w:line="500" w:lineRule="exact"/>
        <w:ind w:right="480" w:firstLine="570"/>
        <w:rPr>
          <w:rFonts w:ascii="宋体" w:hAnsi="宋体" w:cs="宋体"/>
          <w:color w:val="auto"/>
          <w:szCs w:val="21"/>
          <w:highlight w:val="none"/>
        </w:rPr>
      </w:pPr>
    </w:p>
    <w:p>
      <w:pPr>
        <w:tabs>
          <w:tab w:val="left" w:pos="6300"/>
        </w:tabs>
        <w:snapToGrid w:val="0"/>
        <w:spacing w:line="500" w:lineRule="exact"/>
        <w:ind w:right="480" w:firstLine="570"/>
        <w:rPr>
          <w:rFonts w:ascii="宋体" w:hAnsi="宋体" w:cs="宋体"/>
          <w:color w:val="auto"/>
          <w:szCs w:val="21"/>
          <w:highlight w:val="none"/>
        </w:rPr>
      </w:pPr>
      <w:r>
        <w:rPr>
          <w:rFonts w:hint="eastAsia" w:ascii="宋体" w:hAnsi="宋体" w:cs="宋体"/>
          <w:color w:val="auto"/>
          <w:szCs w:val="21"/>
          <w:highlight w:val="none"/>
        </w:rPr>
        <w:t xml:space="preserve">致 </w:t>
      </w:r>
      <w:r>
        <w:rPr>
          <w:rFonts w:hint="eastAsia" w:ascii="宋体" w:hAnsi="宋体" w:cs="宋体"/>
          <w:color w:val="auto"/>
          <w:szCs w:val="21"/>
          <w:highlight w:val="none"/>
          <w:u w:val="single"/>
        </w:rPr>
        <w:t xml:space="preserve">                  （采购代理机构名称）</w:t>
      </w:r>
      <w:r>
        <w:rPr>
          <w:rFonts w:hint="eastAsia" w:ascii="宋体" w:hAnsi="宋体" w:cs="宋体"/>
          <w:color w:val="auto"/>
          <w:szCs w:val="21"/>
          <w:highlight w:val="none"/>
        </w:rPr>
        <w:t>：</w:t>
      </w:r>
    </w:p>
    <w:p>
      <w:pPr>
        <w:tabs>
          <w:tab w:val="left" w:pos="6300"/>
        </w:tabs>
        <w:snapToGrid w:val="0"/>
        <w:spacing w:line="500" w:lineRule="exact"/>
        <w:ind w:right="480" w:firstLine="570"/>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（投标人名称）郑重承诺</w:t>
      </w:r>
      <w:r>
        <w:rPr>
          <w:rFonts w:hint="eastAsia" w:ascii="宋体" w:hAnsi="宋体" w:cs="宋体"/>
          <w:color w:val="auto"/>
          <w:szCs w:val="21"/>
          <w:highlight w:val="none"/>
        </w:rPr>
        <w:t>：</w:t>
      </w:r>
    </w:p>
    <w:p>
      <w:pPr>
        <w:tabs>
          <w:tab w:val="left" w:pos="6300"/>
        </w:tabs>
        <w:snapToGrid w:val="0"/>
        <w:spacing w:line="500" w:lineRule="exact"/>
        <w:ind w:right="480" w:firstLine="570"/>
        <w:rPr>
          <w:rFonts w:ascii="宋体" w:hAnsi="宋体" w:cs="宋体"/>
          <w:color w:val="auto"/>
          <w:szCs w:val="21"/>
          <w:highlight w:val="none"/>
        </w:rPr>
      </w:pPr>
      <w:r>
        <w:rPr>
          <w:rFonts w:hint="eastAsia" w:ascii="宋体" w:hAnsi="宋体" w:cs="宋体"/>
          <w:color w:val="auto"/>
          <w:szCs w:val="21"/>
          <w:highlight w:val="none"/>
        </w:rPr>
        <w:t>1.我方具有良好的商业信誉和健全的财务会计制度，具有履行合同所必需的设备和专业技术能力，具</w:t>
      </w:r>
      <w:r>
        <w:rPr>
          <w:rFonts w:hint="eastAsia" w:ascii="宋体" w:hAnsi="宋体" w:cs="宋体"/>
          <w:color w:val="auto"/>
          <w:szCs w:val="21"/>
          <w:highlight w:val="none"/>
          <w:lang w:val="zh-CN"/>
        </w:rPr>
        <w:t>有依法缴纳税收和社会保障金的良好记录</w:t>
      </w:r>
      <w:r>
        <w:rPr>
          <w:rFonts w:hint="eastAsia" w:ascii="宋体" w:hAnsi="宋体" w:cs="宋体"/>
          <w:color w:val="auto"/>
          <w:szCs w:val="21"/>
          <w:highlight w:val="none"/>
        </w:rPr>
        <w:t>，参加本项目采购活动前三年内无重大违法活动记录。</w:t>
      </w:r>
    </w:p>
    <w:p>
      <w:pPr>
        <w:tabs>
          <w:tab w:val="left" w:pos="6300"/>
        </w:tabs>
        <w:snapToGrid w:val="0"/>
        <w:spacing w:line="500" w:lineRule="exact"/>
        <w:ind w:right="480" w:firstLine="570"/>
        <w:rPr>
          <w:rFonts w:ascii="宋体" w:hAnsi="宋体" w:cs="宋体"/>
          <w:color w:val="auto"/>
          <w:szCs w:val="21"/>
          <w:highlight w:val="none"/>
        </w:rPr>
      </w:pPr>
      <w:r>
        <w:rPr>
          <w:rFonts w:hint="eastAsia" w:ascii="宋体" w:hAnsi="宋体" w:cs="宋体"/>
          <w:color w:val="auto"/>
          <w:szCs w:val="21"/>
          <w:highlight w:val="none"/>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right="480" w:firstLine="570"/>
        <w:rPr>
          <w:rFonts w:ascii="宋体" w:hAnsi="宋体" w:cs="宋体"/>
          <w:color w:val="auto"/>
          <w:szCs w:val="21"/>
          <w:highlight w:val="none"/>
        </w:rPr>
      </w:pPr>
      <w:r>
        <w:rPr>
          <w:rFonts w:hint="eastAsia" w:ascii="宋体" w:hAnsi="宋体" w:cs="宋体"/>
          <w:color w:val="auto"/>
          <w:szCs w:val="21"/>
          <w:highlight w:val="none"/>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right="480" w:firstLine="570"/>
        <w:rPr>
          <w:rFonts w:ascii="宋体" w:hAnsi="宋体" w:cs="宋体"/>
          <w:color w:val="auto"/>
          <w:szCs w:val="21"/>
          <w:highlight w:val="none"/>
        </w:rPr>
      </w:pPr>
      <w:r>
        <w:rPr>
          <w:rFonts w:hint="eastAsia" w:ascii="宋体" w:hAnsi="宋体" w:cs="宋体"/>
          <w:color w:val="auto"/>
          <w:szCs w:val="21"/>
          <w:highlight w:val="none"/>
        </w:rPr>
        <w:t>我方对以上承诺负全部法律责任。</w:t>
      </w:r>
    </w:p>
    <w:p>
      <w:pPr>
        <w:tabs>
          <w:tab w:val="left" w:pos="6300"/>
        </w:tabs>
        <w:snapToGrid w:val="0"/>
        <w:spacing w:line="500" w:lineRule="exact"/>
        <w:ind w:right="480" w:firstLine="570"/>
        <w:rPr>
          <w:rFonts w:ascii="宋体" w:hAnsi="宋体" w:cs="宋体"/>
          <w:color w:val="auto"/>
          <w:szCs w:val="21"/>
          <w:highlight w:val="none"/>
        </w:rPr>
      </w:pPr>
      <w:r>
        <w:rPr>
          <w:rFonts w:hint="eastAsia" w:ascii="宋体" w:hAnsi="宋体" w:cs="宋体"/>
          <w:color w:val="auto"/>
          <w:szCs w:val="21"/>
          <w:highlight w:val="none"/>
        </w:rPr>
        <w:t>特此承诺。</w:t>
      </w:r>
    </w:p>
    <w:p>
      <w:pPr>
        <w:tabs>
          <w:tab w:val="left" w:pos="6300"/>
        </w:tabs>
        <w:snapToGrid w:val="0"/>
        <w:spacing w:line="500" w:lineRule="exact"/>
        <w:ind w:right="480" w:firstLine="570"/>
        <w:rPr>
          <w:rFonts w:ascii="宋体" w:hAnsi="宋体" w:cs="宋体"/>
          <w:color w:val="auto"/>
          <w:szCs w:val="21"/>
          <w:highlight w:val="none"/>
        </w:rPr>
      </w:pPr>
    </w:p>
    <w:p>
      <w:pPr>
        <w:tabs>
          <w:tab w:val="left" w:pos="6300"/>
        </w:tabs>
        <w:snapToGrid w:val="0"/>
        <w:spacing w:line="500" w:lineRule="exact"/>
        <w:ind w:right="480" w:firstLine="570"/>
        <w:jc w:val="right"/>
        <w:rPr>
          <w:rFonts w:ascii="宋体" w:hAnsi="宋体" w:cs="宋体"/>
          <w:color w:val="auto"/>
          <w:szCs w:val="21"/>
          <w:highlight w:val="none"/>
        </w:rPr>
      </w:pPr>
      <w:r>
        <w:rPr>
          <w:rFonts w:hint="eastAsia" w:ascii="宋体" w:hAnsi="宋体" w:cs="宋体"/>
          <w:color w:val="auto"/>
          <w:szCs w:val="21"/>
          <w:highlight w:val="none"/>
        </w:rPr>
        <w:t>（供应商公章）</w:t>
      </w:r>
    </w:p>
    <w:p>
      <w:pPr>
        <w:tabs>
          <w:tab w:val="left" w:pos="6300"/>
        </w:tabs>
        <w:snapToGrid w:val="0"/>
        <w:spacing w:line="500" w:lineRule="exact"/>
        <w:ind w:right="480" w:firstLine="570"/>
        <w:jc w:val="right"/>
        <w:rPr>
          <w:rFonts w:ascii="宋体" w:hAnsi="宋体" w:cs="宋体"/>
          <w:color w:val="auto"/>
          <w:szCs w:val="21"/>
          <w:highlight w:val="none"/>
        </w:rPr>
      </w:pPr>
      <w:r>
        <w:rPr>
          <w:rFonts w:hint="eastAsia" w:ascii="宋体" w:hAnsi="宋体" w:cs="宋体"/>
          <w:color w:val="auto"/>
          <w:szCs w:val="21"/>
          <w:highlight w:val="none"/>
        </w:rPr>
        <w:t>年   月   日</w:t>
      </w:r>
    </w:p>
    <w:p>
      <w:pPr>
        <w:pStyle w:val="12"/>
        <w:rPr>
          <w:color w:val="auto"/>
          <w:szCs w:val="21"/>
          <w:highlight w:val="none"/>
        </w:rPr>
      </w:pPr>
    </w:p>
    <w:p>
      <w:pPr>
        <w:pStyle w:val="12"/>
        <w:rPr>
          <w:color w:val="auto"/>
          <w:szCs w:val="21"/>
          <w:highlight w:val="none"/>
        </w:rPr>
      </w:pPr>
    </w:p>
    <w:p>
      <w:pPr>
        <w:pStyle w:val="12"/>
        <w:rPr>
          <w:color w:val="auto"/>
          <w:szCs w:val="21"/>
          <w:highlight w:val="none"/>
        </w:rPr>
      </w:pPr>
    </w:p>
    <w:p>
      <w:pPr>
        <w:pStyle w:val="22"/>
        <w:tabs>
          <w:tab w:val="left" w:pos="5580"/>
        </w:tabs>
        <w:adjustRightInd w:val="0"/>
        <w:snapToGrid w:val="0"/>
        <w:spacing w:line="480" w:lineRule="exact"/>
        <w:rPr>
          <w:rFonts w:ascii="Times New Roman" w:hAnsi="Times New Roman"/>
          <w:color w:val="auto"/>
          <w:sz w:val="21"/>
          <w:szCs w:val="21"/>
          <w:highlight w:val="none"/>
        </w:rPr>
      </w:pPr>
    </w:p>
    <w:p>
      <w:pPr>
        <w:rPr>
          <w:b/>
          <w:color w:val="auto"/>
          <w:sz w:val="24"/>
          <w:szCs w:val="21"/>
          <w:highlight w:val="none"/>
        </w:rPr>
      </w:pPr>
      <w:r>
        <w:rPr>
          <w:color w:val="auto"/>
          <w:szCs w:val="21"/>
          <w:highlight w:val="none"/>
        </w:rPr>
        <w:br w:type="page"/>
      </w:r>
    </w:p>
    <w:p>
      <w:pPr>
        <w:tabs>
          <w:tab w:val="left" w:pos="6300"/>
        </w:tabs>
        <w:snapToGrid w:val="0"/>
        <w:spacing w:line="500" w:lineRule="exact"/>
        <w:ind w:firstLine="630" w:firstLineChars="300"/>
        <w:rPr>
          <w:color w:val="auto"/>
          <w:szCs w:val="21"/>
          <w:highlight w:val="none"/>
        </w:rPr>
      </w:pPr>
      <w:r>
        <w:rPr>
          <w:rFonts w:hint="eastAsia"/>
          <w:color w:val="auto"/>
          <w:szCs w:val="21"/>
          <w:highlight w:val="none"/>
        </w:rPr>
        <w:t>（5）</w:t>
      </w:r>
      <w:r>
        <w:rPr>
          <w:color w:val="auto"/>
          <w:szCs w:val="21"/>
          <w:highlight w:val="none"/>
        </w:rPr>
        <w:t>特定资格条件证书或证明文件</w:t>
      </w:r>
    </w:p>
    <w:p>
      <w:pPr>
        <w:tabs>
          <w:tab w:val="left" w:pos="6300"/>
        </w:tabs>
        <w:snapToGrid w:val="0"/>
        <w:spacing w:line="500" w:lineRule="exact"/>
        <w:ind w:firstLine="630" w:firstLineChars="300"/>
        <w:rPr>
          <w:color w:val="auto"/>
          <w:szCs w:val="21"/>
          <w:highlight w:val="none"/>
        </w:rPr>
      </w:pPr>
      <w:r>
        <w:rPr>
          <w:color w:val="auto"/>
          <w:szCs w:val="21"/>
          <w:highlight w:val="none"/>
        </w:rPr>
        <w:t>1）按评比文件要求提供。</w:t>
      </w:r>
    </w:p>
    <w:p>
      <w:pPr>
        <w:tabs>
          <w:tab w:val="left" w:pos="6300"/>
        </w:tabs>
        <w:snapToGrid w:val="0"/>
        <w:spacing w:line="500" w:lineRule="exact"/>
        <w:ind w:firstLine="630" w:firstLineChars="300"/>
        <w:rPr>
          <w:color w:val="auto"/>
          <w:szCs w:val="21"/>
          <w:highlight w:val="none"/>
        </w:rPr>
        <w:sectPr>
          <w:footerReference r:id="rId9" w:type="default"/>
          <w:footerReference r:id="rId10" w:type="even"/>
          <w:pgSz w:w="11907" w:h="16840"/>
          <w:pgMar w:top="1134" w:right="1191" w:bottom="1134" w:left="1304" w:header="964" w:footer="992" w:gutter="0"/>
          <w:cols w:space="720" w:num="1"/>
          <w:docGrid w:linePitch="380" w:charSpace="-5735"/>
        </w:sectPr>
      </w:pPr>
    </w:p>
    <w:p>
      <w:pPr>
        <w:tabs>
          <w:tab w:val="left" w:pos="6300"/>
        </w:tabs>
        <w:snapToGrid w:val="0"/>
        <w:spacing w:line="500" w:lineRule="exact"/>
        <w:rPr>
          <w:color w:val="auto"/>
          <w:szCs w:val="21"/>
          <w:highlight w:val="none"/>
        </w:rPr>
      </w:pPr>
      <w:r>
        <w:rPr>
          <w:rFonts w:hint="eastAsia"/>
          <w:color w:val="auto"/>
          <w:szCs w:val="21"/>
          <w:highlight w:val="none"/>
        </w:rPr>
        <w:t>（6）</w:t>
      </w:r>
      <w:r>
        <w:rPr>
          <w:color w:val="auto"/>
          <w:szCs w:val="21"/>
          <w:highlight w:val="none"/>
        </w:rPr>
        <w:t>评比文件要求的其他资格证明文件</w:t>
      </w:r>
    </w:p>
    <w:p>
      <w:pPr>
        <w:tabs>
          <w:tab w:val="left" w:pos="6300"/>
        </w:tabs>
        <w:snapToGrid w:val="0"/>
        <w:spacing w:line="300" w:lineRule="exact"/>
        <w:ind w:firstLine="570"/>
        <w:rPr>
          <w:color w:val="auto"/>
          <w:szCs w:val="21"/>
          <w:highlight w:val="none"/>
        </w:rPr>
      </w:pPr>
    </w:p>
    <w:p>
      <w:pPr>
        <w:rPr>
          <w:color w:val="auto"/>
          <w:szCs w:val="21"/>
          <w:highlight w:val="none"/>
        </w:rPr>
      </w:pPr>
      <w:r>
        <w:rPr>
          <w:color w:val="auto"/>
          <w:szCs w:val="21"/>
          <w:highlight w:val="none"/>
        </w:rPr>
        <w:br w:type="page"/>
      </w:r>
    </w:p>
    <w:p>
      <w:pPr>
        <w:ind w:firstLine="2940" w:firstLineChars="1400"/>
        <w:rPr>
          <w:bCs/>
          <w:color w:val="auto"/>
          <w:szCs w:val="21"/>
          <w:highlight w:val="none"/>
        </w:rPr>
      </w:pPr>
      <w:r>
        <w:rPr>
          <w:bCs/>
          <w:color w:val="auto"/>
          <w:szCs w:val="21"/>
          <w:highlight w:val="none"/>
        </w:rPr>
        <w:t>相关单位一览表</w:t>
      </w:r>
    </w:p>
    <w:p>
      <w:pPr>
        <w:ind w:firstLine="2940" w:firstLineChars="1400"/>
        <w:rPr>
          <w:bCs/>
          <w:color w:val="auto"/>
          <w:szCs w:val="21"/>
          <w:highlight w:val="none"/>
        </w:rPr>
      </w:pPr>
    </w:p>
    <w:p>
      <w:pPr>
        <w:ind w:firstLine="420" w:firstLineChars="200"/>
        <w:rPr>
          <w:bCs/>
          <w:color w:val="auto"/>
          <w:szCs w:val="21"/>
          <w:highlight w:val="none"/>
        </w:rPr>
      </w:pPr>
      <w:r>
        <w:rPr>
          <w:bCs/>
          <w:color w:val="auto"/>
          <w:szCs w:val="21"/>
          <w:highlight w:val="none"/>
        </w:rPr>
        <w:t>供应商应如实列出和本单位负责人为同一人或者存在直接控股、管理关系的单位名单并加盖公章</w:t>
      </w:r>
      <w:r>
        <w:rPr>
          <w:color w:val="auto"/>
          <w:szCs w:val="21"/>
          <w:highlight w:val="none"/>
        </w:rPr>
        <w:t>。</w:t>
      </w:r>
    </w:p>
    <w:tbl>
      <w:tblPr>
        <w:tblStyle w:val="40"/>
        <w:tblW w:w="809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2"/>
        <w:gridCol w:w="6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96" w:type="dxa"/>
            <w:gridSpan w:val="2"/>
            <w:vAlign w:val="center"/>
          </w:tcPr>
          <w:p>
            <w:pPr>
              <w:jc w:val="center"/>
              <w:rPr>
                <w:color w:val="auto"/>
                <w:szCs w:val="21"/>
                <w:highlight w:val="none"/>
              </w:rPr>
            </w:pPr>
            <w:r>
              <w:rPr>
                <w:color w:val="auto"/>
                <w:szCs w:val="21"/>
                <w:highlight w:val="none"/>
              </w:rPr>
              <w:t>与</w:t>
            </w:r>
            <w:r>
              <w:rPr>
                <w:bCs/>
                <w:color w:val="auto"/>
                <w:szCs w:val="21"/>
                <w:highlight w:val="none"/>
              </w:rPr>
              <w:t>供应商</w:t>
            </w:r>
            <w:r>
              <w:rPr>
                <w:color w:val="auto"/>
                <w:szCs w:val="21"/>
                <w:highlight w:val="none"/>
              </w:rPr>
              <w:t>的负责人为同一人的其他单位名称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2" w:type="dxa"/>
            <w:vAlign w:val="center"/>
          </w:tcPr>
          <w:p>
            <w:pPr>
              <w:jc w:val="center"/>
              <w:rPr>
                <w:color w:val="auto"/>
                <w:szCs w:val="21"/>
                <w:highlight w:val="none"/>
              </w:rPr>
            </w:pPr>
            <w:r>
              <w:rPr>
                <w:color w:val="auto"/>
                <w:szCs w:val="21"/>
                <w:highlight w:val="none"/>
              </w:rPr>
              <w:t>1</w:t>
            </w:r>
          </w:p>
        </w:tc>
        <w:tc>
          <w:tcPr>
            <w:tcW w:w="6924" w:type="dxa"/>
            <w:vAlign w:val="center"/>
          </w:tcPr>
          <w:p>
            <w:pPr>
              <w:jc w:val="center"/>
              <w:rPr>
                <w:color w:val="auto"/>
                <w:szCs w:val="21"/>
                <w:highlight w:val="none"/>
              </w:rPr>
            </w:pPr>
            <w:r>
              <w:rPr>
                <w:color w:val="auto"/>
                <w:szCs w:val="21"/>
                <w:highlight w:val="none"/>
              </w:rPr>
              <w:t>（单位名称）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2" w:type="dxa"/>
            <w:vAlign w:val="center"/>
          </w:tcPr>
          <w:p>
            <w:pPr>
              <w:jc w:val="center"/>
              <w:rPr>
                <w:color w:val="auto"/>
                <w:szCs w:val="21"/>
                <w:highlight w:val="none"/>
              </w:rPr>
            </w:pPr>
            <w:r>
              <w:rPr>
                <w:color w:val="auto"/>
                <w:szCs w:val="21"/>
                <w:highlight w:val="none"/>
              </w:rPr>
              <w:t>2</w:t>
            </w:r>
          </w:p>
        </w:tc>
        <w:tc>
          <w:tcPr>
            <w:tcW w:w="6924" w:type="dxa"/>
            <w:vAlign w:val="center"/>
          </w:tcPr>
          <w:p>
            <w:pPr>
              <w:jc w:val="center"/>
              <w:rPr>
                <w:b/>
                <w:color w:val="auto"/>
                <w:szCs w:val="21"/>
                <w:highlight w:val="none"/>
              </w:rPr>
            </w:pPr>
            <w:r>
              <w:rPr>
                <w:b/>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2" w:type="dxa"/>
            <w:vAlign w:val="center"/>
          </w:tcPr>
          <w:p>
            <w:pPr>
              <w:jc w:val="center"/>
              <w:rPr>
                <w:color w:val="auto"/>
                <w:szCs w:val="21"/>
                <w:highlight w:val="none"/>
              </w:rPr>
            </w:pPr>
            <w:r>
              <w:rPr>
                <w:color w:val="auto"/>
                <w:szCs w:val="21"/>
                <w:highlight w:val="none"/>
              </w:rPr>
              <w:t>3</w:t>
            </w:r>
          </w:p>
        </w:tc>
        <w:tc>
          <w:tcPr>
            <w:tcW w:w="6924" w:type="dxa"/>
            <w:vAlign w:val="center"/>
          </w:tcPr>
          <w:p>
            <w:pPr>
              <w:jc w:val="center"/>
              <w:rPr>
                <w:b/>
                <w:color w:val="auto"/>
                <w:szCs w:val="21"/>
                <w:highlight w:val="none"/>
              </w:rPr>
            </w:pPr>
            <w:r>
              <w:rPr>
                <w:b/>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2" w:type="dxa"/>
            <w:vAlign w:val="center"/>
          </w:tcPr>
          <w:p>
            <w:pPr>
              <w:jc w:val="center"/>
              <w:rPr>
                <w:b/>
                <w:color w:val="auto"/>
                <w:szCs w:val="21"/>
                <w:highlight w:val="none"/>
              </w:rPr>
            </w:pPr>
            <w:r>
              <w:rPr>
                <w:b/>
                <w:color w:val="auto"/>
                <w:szCs w:val="21"/>
                <w:highlight w:val="none"/>
              </w:rPr>
              <w:t>…</w:t>
            </w:r>
          </w:p>
        </w:tc>
        <w:tc>
          <w:tcPr>
            <w:tcW w:w="6924" w:type="dxa"/>
            <w:vAlign w:val="center"/>
          </w:tcPr>
          <w:p>
            <w:pPr>
              <w:jc w:val="center"/>
              <w:rPr>
                <w:b/>
                <w:color w:val="auto"/>
                <w:szCs w:val="21"/>
                <w:highlight w:val="none"/>
              </w:rPr>
            </w:pPr>
            <w:r>
              <w:rPr>
                <w:b/>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96" w:type="dxa"/>
            <w:gridSpan w:val="2"/>
            <w:vAlign w:val="center"/>
          </w:tcPr>
          <w:p>
            <w:pPr>
              <w:jc w:val="center"/>
              <w:rPr>
                <w:color w:val="auto"/>
                <w:szCs w:val="21"/>
                <w:highlight w:val="none"/>
              </w:rPr>
            </w:pPr>
            <w:r>
              <w:rPr>
                <w:color w:val="auto"/>
                <w:szCs w:val="21"/>
                <w:highlight w:val="none"/>
              </w:rPr>
              <w:t>与</w:t>
            </w:r>
            <w:r>
              <w:rPr>
                <w:bCs/>
                <w:color w:val="auto"/>
                <w:szCs w:val="21"/>
                <w:highlight w:val="none"/>
              </w:rPr>
              <w:t>供应商</w:t>
            </w:r>
            <w:r>
              <w:rPr>
                <w:color w:val="auto"/>
                <w:szCs w:val="21"/>
                <w:highlight w:val="none"/>
              </w:rPr>
              <w:t>存在直接控股、管理关系的其他单位名称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2" w:type="dxa"/>
            <w:vAlign w:val="center"/>
          </w:tcPr>
          <w:p>
            <w:pPr>
              <w:jc w:val="center"/>
              <w:rPr>
                <w:color w:val="auto"/>
                <w:szCs w:val="21"/>
                <w:highlight w:val="none"/>
              </w:rPr>
            </w:pPr>
            <w:r>
              <w:rPr>
                <w:color w:val="auto"/>
                <w:szCs w:val="21"/>
                <w:highlight w:val="none"/>
              </w:rPr>
              <w:t>1</w:t>
            </w:r>
          </w:p>
        </w:tc>
        <w:tc>
          <w:tcPr>
            <w:tcW w:w="6924" w:type="dxa"/>
            <w:vAlign w:val="center"/>
          </w:tcPr>
          <w:p>
            <w:pPr>
              <w:jc w:val="center"/>
              <w:rPr>
                <w:color w:val="auto"/>
                <w:szCs w:val="21"/>
                <w:highlight w:val="none"/>
              </w:rPr>
            </w:pPr>
            <w:r>
              <w:rPr>
                <w:color w:val="auto"/>
                <w:szCs w:val="21"/>
                <w:highlight w:val="none"/>
              </w:rPr>
              <w:t>（单位名称）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2" w:type="dxa"/>
            <w:vAlign w:val="center"/>
          </w:tcPr>
          <w:p>
            <w:pPr>
              <w:jc w:val="center"/>
              <w:rPr>
                <w:color w:val="auto"/>
                <w:szCs w:val="21"/>
                <w:highlight w:val="none"/>
              </w:rPr>
            </w:pPr>
            <w:r>
              <w:rPr>
                <w:color w:val="auto"/>
                <w:szCs w:val="21"/>
                <w:highlight w:val="none"/>
              </w:rPr>
              <w:t>2</w:t>
            </w:r>
          </w:p>
        </w:tc>
        <w:tc>
          <w:tcPr>
            <w:tcW w:w="6924" w:type="dxa"/>
            <w:vAlign w:val="center"/>
          </w:tcPr>
          <w:p>
            <w:pPr>
              <w:jc w:val="center"/>
              <w:rPr>
                <w:b/>
                <w:color w:val="auto"/>
                <w:szCs w:val="21"/>
                <w:highlight w:val="none"/>
              </w:rPr>
            </w:pPr>
            <w:r>
              <w:rPr>
                <w:b/>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2" w:type="dxa"/>
            <w:vAlign w:val="center"/>
          </w:tcPr>
          <w:p>
            <w:pPr>
              <w:jc w:val="center"/>
              <w:rPr>
                <w:color w:val="auto"/>
                <w:szCs w:val="21"/>
                <w:highlight w:val="none"/>
              </w:rPr>
            </w:pPr>
            <w:r>
              <w:rPr>
                <w:color w:val="auto"/>
                <w:szCs w:val="21"/>
                <w:highlight w:val="none"/>
              </w:rPr>
              <w:t>3</w:t>
            </w:r>
          </w:p>
        </w:tc>
        <w:tc>
          <w:tcPr>
            <w:tcW w:w="6924" w:type="dxa"/>
            <w:vAlign w:val="center"/>
          </w:tcPr>
          <w:p>
            <w:pPr>
              <w:jc w:val="center"/>
              <w:rPr>
                <w:b/>
                <w:color w:val="auto"/>
                <w:szCs w:val="21"/>
                <w:highlight w:val="none"/>
              </w:rPr>
            </w:pPr>
            <w:r>
              <w:rPr>
                <w:b/>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2" w:type="dxa"/>
            <w:vAlign w:val="center"/>
          </w:tcPr>
          <w:p>
            <w:pPr>
              <w:jc w:val="center"/>
              <w:rPr>
                <w:b/>
                <w:color w:val="auto"/>
                <w:szCs w:val="21"/>
                <w:highlight w:val="none"/>
              </w:rPr>
            </w:pPr>
            <w:r>
              <w:rPr>
                <w:b/>
                <w:color w:val="auto"/>
                <w:szCs w:val="21"/>
                <w:highlight w:val="none"/>
              </w:rPr>
              <w:t>…</w:t>
            </w:r>
          </w:p>
        </w:tc>
        <w:tc>
          <w:tcPr>
            <w:tcW w:w="6924" w:type="dxa"/>
            <w:vAlign w:val="center"/>
          </w:tcPr>
          <w:p>
            <w:pPr>
              <w:jc w:val="center"/>
              <w:rPr>
                <w:b/>
                <w:color w:val="auto"/>
                <w:szCs w:val="21"/>
                <w:highlight w:val="none"/>
              </w:rPr>
            </w:pPr>
            <w:r>
              <w:rPr>
                <w:b/>
                <w:color w:val="auto"/>
                <w:szCs w:val="21"/>
                <w:highlight w:val="none"/>
              </w:rPr>
              <w:t>……</w:t>
            </w:r>
          </w:p>
        </w:tc>
      </w:tr>
    </w:tbl>
    <w:p>
      <w:pPr>
        <w:snapToGrid w:val="0"/>
        <w:spacing w:line="402" w:lineRule="atLeast"/>
        <w:rPr>
          <w:color w:val="auto"/>
          <w:szCs w:val="21"/>
          <w:highlight w:val="none"/>
          <w:lang w:val="zh-CN"/>
        </w:rPr>
      </w:pPr>
      <w:r>
        <w:rPr>
          <w:bCs/>
          <w:color w:val="auto"/>
          <w:szCs w:val="21"/>
          <w:highlight w:val="none"/>
        </w:rPr>
        <w:t>供应商</w:t>
      </w:r>
      <w:r>
        <w:rPr>
          <w:color w:val="auto"/>
          <w:szCs w:val="21"/>
          <w:highlight w:val="none"/>
          <w:lang w:val="zh-CN"/>
        </w:rPr>
        <w:t>授权代表（签字）</w:t>
      </w:r>
      <w:r>
        <w:rPr>
          <w:color w:val="auto"/>
          <w:szCs w:val="21"/>
          <w:highlight w:val="none"/>
          <w:u w:val="single"/>
          <w:lang w:val="zh-CN"/>
        </w:rPr>
        <w:t xml:space="preserve">              </w:t>
      </w:r>
      <w:r>
        <w:rPr>
          <w:color w:val="auto"/>
          <w:szCs w:val="21"/>
          <w:highlight w:val="none"/>
          <w:lang w:val="zh-CN"/>
        </w:rPr>
        <w:t xml:space="preserve">          </w:t>
      </w:r>
    </w:p>
    <w:p>
      <w:pPr>
        <w:rPr>
          <w:b/>
          <w:bCs/>
          <w:color w:val="auto"/>
          <w:szCs w:val="21"/>
          <w:highlight w:val="none"/>
        </w:rPr>
      </w:pPr>
      <w:r>
        <w:rPr>
          <w:color w:val="auto"/>
          <w:szCs w:val="21"/>
          <w:highlight w:val="none"/>
        </w:rPr>
        <w:t>投标人公章</w:t>
      </w:r>
      <w:r>
        <w:rPr>
          <w:color w:val="auto"/>
          <w:szCs w:val="21"/>
          <w:highlight w:val="none"/>
          <w:u w:val="single"/>
        </w:rPr>
        <w:t>　　　　　　　　　       　</w:t>
      </w:r>
    </w:p>
    <w:p>
      <w:pPr>
        <w:rPr>
          <w:color w:val="auto"/>
          <w:szCs w:val="21"/>
          <w:highlight w:val="none"/>
        </w:rPr>
      </w:pPr>
    </w:p>
    <w:p>
      <w:pPr>
        <w:spacing w:line="360" w:lineRule="auto"/>
        <w:rPr>
          <w:color w:val="auto"/>
          <w:szCs w:val="21"/>
          <w:highlight w:val="none"/>
        </w:rPr>
      </w:pPr>
      <w:r>
        <w:rPr>
          <w:color w:val="auto"/>
          <w:szCs w:val="21"/>
          <w:highlight w:val="none"/>
        </w:rPr>
        <w:t>注：（1）如</w:t>
      </w:r>
      <w:r>
        <w:rPr>
          <w:bCs/>
          <w:color w:val="auto"/>
          <w:szCs w:val="21"/>
          <w:highlight w:val="none"/>
        </w:rPr>
        <w:t>供应商</w:t>
      </w:r>
      <w:r>
        <w:rPr>
          <w:color w:val="auto"/>
          <w:szCs w:val="21"/>
          <w:highlight w:val="none"/>
        </w:rPr>
        <w:t>没有表中列示的相关单位，请填写“无”。</w:t>
      </w:r>
    </w:p>
    <w:p>
      <w:pPr>
        <w:spacing w:line="360" w:lineRule="auto"/>
        <w:ind w:firstLine="420" w:firstLineChars="200"/>
        <w:rPr>
          <w:color w:val="auto"/>
          <w:szCs w:val="21"/>
          <w:highlight w:val="none"/>
        </w:rPr>
      </w:pPr>
      <w:r>
        <w:rPr>
          <w:color w:val="auto"/>
          <w:szCs w:val="21"/>
          <w:highlight w:val="none"/>
        </w:rPr>
        <w:t>（2）单位负责人是指单位法定代表人或者法律、行政法规规定代表单位行使职权的主要负责人。</w:t>
      </w:r>
    </w:p>
    <w:p>
      <w:pPr>
        <w:spacing w:line="360" w:lineRule="auto"/>
        <w:ind w:firstLine="420" w:firstLineChars="200"/>
        <w:rPr>
          <w:color w:val="auto"/>
          <w:szCs w:val="21"/>
          <w:highlight w:val="none"/>
        </w:rPr>
      </w:pPr>
      <w:r>
        <w:rPr>
          <w:color w:val="auto"/>
          <w:szCs w:val="21"/>
          <w:highlight w:val="none"/>
        </w:rPr>
        <w:t>（3）控股关系是指单位或个人股东的控股关系，管理关系是指不具有出资持股关系的其他单位之间存在的管理与被管理关系。</w:t>
      </w:r>
    </w:p>
    <w:p>
      <w:pPr>
        <w:ind w:firstLine="480"/>
        <w:rPr>
          <w:color w:val="auto"/>
          <w:szCs w:val="21"/>
          <w:highlight w:val="none"/>
        </w:rPr>
      </w:pPr>
    </w:p>
    <w:p>
      <w:pPr>
        <w:adjustRightInd w:val="0"/>
        <w:snapToGrid w:val="0"/>
        <w:spacing w:line="360" w:lineRule="auto"/>
        <w:rPr>
          <w:color w:val="auto"/>
          <w:szCs w:val="21"/>
          <w:highlight w:val="none"/>
        </w:rPr>
      </w:pPr>
    </w:p>
    <w:p>
      <w:pPr>
        <w:adjustRightInd w:val="0"/>
        <w:snapToGrid w:val="0"/>
        <w:spacing w:line="360" w:lineRule="auto"/>
        <w:rPr>
          <w:color w:val="auto"/>
          <w:sz w:val="24"/>
          <w:szCs w:val="21"/>
          <w:highlight w:val="none"/>
        </w:rPr>
      </w:pPr>
      <w:r>
        <w:rPr>
          <w:color w:val="auto"/>
          <w:szCs w:val="21"/>
          <w:highlight w:val="none"/>
        </w:rPr>
        <w:br w:type="page"/>
      </w:r>
    </w:p>
    <w:p>
      <w:pPr>
        <w:pStyle w:val="4"/>
        <w:rPr>
          <w:rFonts w:ascii="Times New Roman" w:hAnsi="Times New Roman" w:eastAsia="宋体"/>
          <w:color w:val="auto"/>
          <w:sz w:val="32"/>
          <w:highlight w:val="none"/>
        </w:rPr>
      </w:pPr>
      <w:r>
        <w:rPr>
          <w:rFonts w:ascii="Times New Roman" w:hAnsi="Times New Roman" w:eastAsia="宋体"/>
          <w:color w:val="auto"/>
          <w:sz w:val="32"/>
          <w:highlight w:val="none"/>
        </w:rPr>
        <w:t>六、技术响应偏离表</w:t>
      </w:r>
    </w:p>
    <w:p>
      <w:pPr>
        <w:rPr>
          <w:color w:val="auto"/>
          <w:sz w:val="24"/>
          <w:szCs w:val="21"/>
          <w:highlight w:val="none"/>
        </w:rPr>
      </w:pPr>
    </w:p>
    <w:p>
      <w:pPr>
        <w:pStyle w:val="91"/>
        <w:rPr>
          <w:rFonts w:ascii="Times New Roman"/>
          <w:color w:val="auto"/>
          <w:highlight w:val="none"/>
        </w:rPr>
      </w:pPr>
      <w:r>
        <w:rPr>
          <w:rFonts w:ascii="Times New Roman"/>
          <w:color w:val="auto"/>
          <w:highlight w:val="none"/>
        </w:rPr>
        <w:t>项目名称：</w:t>
      </w:r>
      <w:r>
        <w:rPr>
          <w:rFonts w:hint="eastAsia" w:ascii="Times New Roman"/>
          <w:color w:val="auto"/>
          <w:highlight w:val="none"/>
        </w:rPr>
        <w:t xml:space="preserve">     </w:t>
      </w:r>
    </w:p>
    <w:tbl>
      <w:tblPr>
        <w:tblStyle w:val="40"/>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2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r>
              <w:rPr>
                <w:color w:val="auto"/>
                <w:szCs w:val="21"/>
                <w:highlight w:val="none"/>
              </w:rPr>
              <w:t>序号</w:t>
            </w:r>
          </w:p>
        </w:tc>
        <w:tc>
          <w:tcPr>
            <w:tcW w:w="242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r>
              <w:rPr>
                <w:color w:val="auto"/>
                <w:szCs w:val="21"/>
                <w:highlight w:val="none"/>
              </w:rPr>
              <w:t>文件要求</w:t>
            </w:r>
          </w:p>
        </w:tc>
        <w:tc>
          <w:tcPr>
            <w:tcW w:w="252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r>
              <w:rPr>
                <w:color w:val="auto"/>
                <w:szCs w:val="21"/>
                <w:highlight w:val="none"/>
              </w:rPr>
              <w:t>响应应答</w:t>
            </w:r>
          </w:p>
        </w:tc>
        <w:tc>
          <w:tcPr>
            <w:tcW w:w="251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r>
              <w:rPr>
                <w:color w:val="auto"/>
                <w:szCs w:val="21"/>
                <w:highlight w:val="none"/>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42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1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42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1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42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1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42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1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42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1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42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1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42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1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42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1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r>
    </w:tbl>
    <w:p>
      <w:pPr>
        <w:spacing w:line="500" w:lineRule="exact"/>
        <w:ind w:firstLine="525" w:firstLineChars="250"/>
        <w:rPr>
          <w:color w:val="auto"/>
          <w:szCs w:val="21"/>
          <w:highlight w:val="none"/>
        </w:rPr>
      </w:pPr>
      <w:r>
        <w:rPr>
          <w:color w:val="auto"/>
          <w:szCs w:val="21"/>
          <w:highlight w:val="none"/>
        </w:rPr>
        <w:t>供应商：                                法定代表人（或法定代表人授权代表）或自然人：</w:t>
      </w:r>
    </w:p>
    <w:p>
      <w:pPr>
        <w:spacing w:line="500" w:lineRule="exact"/>
        <w:rPr>
          <w:color w:val="auto"/>
          <w:szCs w:val="21"/>
          <w:highlight w:val="none"/>
        </w:rPr>
      </w:pPr>
      <w:r>
        <w:rPr>
          <w:color w:val="auto"/>
          <w:szCs w:val="21"/>
          <w:highlight w:val="none"/>
        </w:rPr>
        <w:t xml:space="preserve">    </w:t>
      </w:r>
    </w:p>
    <w:p>
      <w:pPr>
        <w:spacing w:line="500" w:lineRule="exact"/>
        <w:ind w:firstLine="630" w:firstLineChars="300"/>
        <w:rPr>
          <w:color w:val="auto"/>
          <w:szCs w:val="21"/>
          <w:highlight w:val="none"/>
        </w:rPr>
      </w:pPr>
      <w:r>
        <w:rPr>
          <w:color w:val="auto"/>
          <w:szCs w:val="21"/>
          <w:highlight w:val="none"/>
        </w:rPr>
        <w:t>（供应商公章）                               （签署或盖章）</w:t>
      </w:r>
    </w:p>
    <w:p>
      <w:pPr>
        <w:tabs>
          <w:tab w:val="left" w:pos="6300"/>
        </w:tabs>
        <w:snapToGrid w:val="0"/>
        <w:spacing w:line="500" w:lineRule="exact"/>
        <w:ind w:firstLine="570"/>
        <w:rPr>
          <w:color w:val="auto"/>
          <w:szCs w:val="21"/>
          <w:highlight w:val="none"/>
        </w:rPr>
      </w:pPr>
      <w:r>
        <w:rPr>
          <w:color w:val="auto"/>
          <w:szCs w:val="21"/>
          <w:highlight w:val="none"/>
        </w:rPr>
        <w:t xml:space="preserve">                                            年     月     日</w:t>
      </w:r>
    </w:p>
    <w:p>
      <w:pPr>
        <w:tabs>
          <w:tab w:val="left" w:pos="6300"/>
        </w:tabs>
        <w:snapToGrid w:val="0"/>
        <w:spacing w:line="500" w:lineRule="exact"/>
        <w:ind w:firstLine="570"/>
        <w:rPr>
          <w:color w:val="auto"/>
          <w:szCs w:val="21"/>
          <w:highlight w:val="none"/>
        </w:rPr>
      </w:pPr>
      <w:r>
        <w:rPr>
          <w:color w:val="auto"/>
          <w:szCs w:val="21"/>
          <w:highlight w:val="none"/>
        </w:rPr>
        <w:t>注：</w:t>
      </w:r>
    </w:p>
    <w:p>
      <w:pPr>
        <w:tabs>
          <w:tab w:val="left" w:pos="6300"/>
        </w:tabs>
        <w:spacing w:line="500" w:lineRule="exact"/>
        <w:ind w:firstLine="420" w:firstLineChars="200"/>
        <w:rPr>
          <w:b/>
          <w:color w:val="auto"/>
          <w:szCs w:val="21"/>
          <w:highlight w:val="none"/>
        </w:rPr>
      </w:pPr>
      <w:r>
        <w:rPr>
          <w:color w:val="auto"/>
          <w:szCs w:val="21"/>
          <w:highlight w:val="none"/>
        </w:rPr>
        <w:t>1.本表即为对本项目“第四章 2.</w:t>
      </w:r>
      <w:r>
        <w:rPr>
          <w:b/>
          <w:color w:val="auto"/>
          <w:szCs w:val="21"/>
          <w:highlight w:val="none"/>
        </w:rPr>
        <w:t>项目技术及质量要求</w:t>
      </w:r>
      <w:r>
        <w:rPr>
          <w:color w:val="auto"/>
          <w:szCs w:val="21"/>
          <w:highlight w:val="none"/>
        </w:rPr>
        <w:t>”中</w:t>
      </w:r>
      <w:r>
        <w:rPr>
          <w:b/>
          <w:color w:val="auto"/>
          <w:szCs w:val="21"/>
          <w:highlight w:val="none"/>
        </w:rPr>
        <w:t xml:space="preserve">所列的全部内容进行比较和响应； </w:t>
      </w:r>
    </w:p>
    <w:p>
      <w:pPr>
        <w:tabs>
          <w:tab w:val="left" w:pos="6300"/>
        </w:tabs>
        <w:snapToGrid w:val="0"/>
        <w:spacing w:line="500" w:lineRule="exact"/>
        <w:ind w:firstLine="420" w:firstLineChars="200"/>
        <w:rPr>
          <w:color w:val="auto"/>
          <w:szCs w:val="21"/>
          <w:highlight w:val="none"/>
        </w:rPr>
      </w:pPr>
      <w:r>
        <w:rPr>
          <w:color w:val="auto"/>
          <w:szCs w:val="21"/>
          <w:highlight w:val="none"/>
        </w:rPr>
        <w:t>2.该表必须按照评比文件要求如实填写，根据响应情况在“差异说明”项填写正偏离或负偏离及原因，完全符合的填写“无差异”；</w:t>
      </w:r>
    </w:p>
    <w:p>
      <w:pPr>
        <w:tabs>
          <w:tab w:val="left" w:pos="6300"/>
        </w:tabs>
        <w:snapToGrid w:val="0"/>
        <w:spacing w:line="500" w:lineRule="exact"/>
        <w:ind w:firstLine="420" w:firstLineChars="200"/>
        <w:rPr>
          <w:color w:val="auto"/>
          <w:szCs w:val="21"/>
          <w:highlight w:val="none"/>
        </w:rPr>
      </w:pPr>
      <w:r>
        <w:rPr>
          <w:color w:val="auto"/>
          <w:szCs w:val="21"/>
          <w:highlight w:val="none"/>
        </w:rPr>
        <w:t>3.该表可扩展；</w:t>
      </w:r>
    </w:p>
    <w:p>
      <w:pPr>
        <w:tabs>
          <w:tab w:val="left" w:pos="6300"/>
        </w:tabs>
        <w:snapToGrid w:val="0"/>
        <w:spacing w:line="500" w:lineRule="exact"/>
        <w:ind w:firstLine="422" w:firstLineChars="200"/>
        <w:rPr>
          <w:b/>
          <w:color w:val="auto"/>
          <w:szCs w:val="21"/>
          <w:highlight w:val="none"/>
        </w:rPr>
      </w:pPr>
      <w:r>
        <w:rPr>
          <w:b/>
          <w:color w:val="auto"/>
          <w:szCs w:val="21"/>
          <w:highlight w:val="none"/>
        </w:rPr>
        <w:t>4.附评比文件中要求提供的相关技术支撑材料。（格式自定）</w:t>
      </w:r>
    </w:p>
    <w:p>
      <w:pPr>
        <w:tabs>
          <w:tab w:val="left" w:pos="6300"/>
        </w:tabs>
        <w:snapToGrid w:val="0"/>
        <w:spacing w:line="500" w:lineRule="exact"/>
        <w:ind w:firstLine="422" w:firstLineChars="200"/>
        <w:rPr>
          <w:b/>
          <w:color w:val="auto"/>
          <w:szCs w:val="21"/>
          <w:highlight w:val="none"/>
        </w:rPr>
      </w:pPr>
    </w:p>
    <w:p>
      <w:pPr>
        <w:tabs>
          <w:tab w:val="left" w:pos="6300"/>
        </w:tabs>
        <w:snapToGrid w:val="0"/>
        <w:spacing w:line="500" w:lineRule="exact"/>
        <w:ind w:firstLine="422" w:firstLineChars="200"/>
        <w:rPr>
          <w:b/>
          <w:color w:val="auto"/>
          <w:szCs w:val="21"/>
          <w:highlight w:val="none"/>
        </w:rPr>
      </w:pPr>
    </w:p>
    <w:p>
      <w:pPr>
        <w:rPr>
          <w:color w:val="auto"/>
          <w:sz w:val="24"/>
          <w:szCs w:val="21"/>
          <w:highlight w:val="none"/>
        </w:rPr>
      </w:pPr>
    </w:p>
    <w:p>
      <w:pPr>
        <w:rPr>
          <w:color w:val="auto"/>
          <w:sz w:val="24"/>
          <w:szCs w:val="21"/>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4"/>
        <w:rPr>
          <w:rFonts w:ascii="Times New Roman" w:hAnsi="Times New Roman" w:eastAsia="宋体"/>
          <w:color w:val="auto"/>
          <w:sz w:val="32"/>
          <w:highlight w:val="none"/>
        </w:rPr>
      </w:pPr>
      <w:r>
        <w:rPr>
          <w:rFonts w:ascii="Times New Roman" w:hAnsi="Times New Roman" w:eastAsia="宋体"/>
          <w:color w:val="auto"/>
          <w:sz w:val="32"/>
          <w:highlight w:val="none"/>
        </w:rPr>
        <w:t>七、商务响应偏离表</w:t>
      </w:r>
    </w:p>
    <w:p>
      <w:pPr>
        <w:rPr>
          <w:color w:val="auto"/>
          <w:sz w:val="24"/>
          <w:szCs w:val="21"/>
          <w:highlight w:val="none"/>
        </w:rPr>
      </w:pPr>
    </w:p>
    <w:p>
      <w:pPr>
        <w:pStyle w:val="91"/>
        <w:ind w:firstLine="420"/>
        <w:rPr>
          <w:rFonts w:ascii="Times New Roman"/>
          <w:color w:val="auto"/>
          <w:sz w:val="21"/>
          <w:szCs w:val="21"/>
          <w:highlight w:val="none"/>
        </w:rPr>
      </w:pPr>
      <w:r>
        <w:rPr>
          <w:rFonts w:ascii="Times New Roman"/>
          <w:color w:val="auto"/>
          <w:sz w:val="21"/>
          <w:szCs w:val="21"/>
          <w:highlight w:val="none"/>
        </w:rPr>
        <w:t>项目名称：</w:t>
      </w:r>
      <w:r>
        <w:rPr>
          <w:rFonts w:hint="eastAsia" w:ascii="Times New Roman"/>
          <w:color w:val="auto"/>
          <w:sz w:val="21"/>
          <w:szCs w:val="21"/>
          <w:highlight w:val="none"/>
        </w:rPr>
        <w:t xml:space="preserve">    </w:t>
      </w:r>
    </w:p>
    <w:tbl>
      <w:tblPr>
        <w:tblStyle w:val="40"/>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2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r>
              <w:rPr>
                <w:color w:val="auto"/>
                <w:szCs w:val="21"/>
                <w:highlight w:val="none"/>
              </w:rPr>
              <w:t>序号</w:t>
            </w:r>
          </w:p>
        </w:tc>
        <w:tc>
          <w:tcPr>
            <w:tcW w:w="242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r>
              <w:rPr>
                <w:color w:val="auto"/>
                <w:szCs w:val="21"/>
                <w:highlight w:val="none"/>
              </w:rPr>
              <w:t>文件要求</w:t>
            </w:r>
          </w:p>
        </w:tc>
        <w:tc>
          <w:tcPr>
            <w:tcW w:w="252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r>
              <w:rPr>
                <w:color w:val="auto"/>
                <w:szCs w:val="21"/>
                <w:highlight w:val="none"/>
              </w:rPr>
              <w:t>响应应答</w:t>
            </w:r>
          </w:p>
        </w:tc>
        <w:tc>
          <w:tcPr>
            <w:tcW w:w="251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r>
              <w:rPr>
                <w:color w:val="auto"/>
                <w:szCs w:val="21"/>
                <w:highlight w:val="none"/>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42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1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42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1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42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1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42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1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42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1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42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1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42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1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428"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20"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c>
          <w:tcPr>
            <w:tcW w:w="2513" w:type="dxa"/>
            <w:tcBorders>
              <w:top w:val="single" w:color="auto" w:sz="4" w:space="0"/>
              <w:left w:val="single" w:color="auto" w:sz="4" w:space="0"/>
              <w:bottom w:val="single" w:color="auto" w:sz="4" w:space="0"/>
              <w:right w:val="single" w:color="auto" w:sz="4" w:space="0"/>
            </w:tcBorders>
            <w:vAlign w:val="center"/>
          </w:tcPr>
          <w:p>
            <w:pPr>
              <w:tabs>
                <w:tab w:val="left" w:pos="6300"/>
              </w:tabs>
              <w:snapToGrid w:val="0"/>
              <w:spacing w:line="500" w:lineRule="exact"/>
              <w:jc w:val="center"/>
              <w:outlineLvl w:val="0"/>
              <w:rPr>
                <w:color w:val="auto"/>
                <w:szCs w:val="21"/>
                <w:highlight w:val="none"/>
              </w:rPr>
            </w:pPr>
          </w:p>
        </w:tc>
      </w:tr>
    </w:tbl>
    <w:p>
      <w:pPr>
        <w:spacing w:line="500" w:lineRule="exact"/>
        <w:ind w:firstLine="525" w:firstLineChars="250"/>
        <w:rPr>
          <w:color w:val="auto"/>
          <w:szCs w:val="21"/>
          <w:highlight w:val="none"/>
        </w:rPr>
      </w:pPr>
      <w:r>
        <w:rPr>
          <w:color w:val="auto"/>
          <w:szCs w:val="21"/>
          <w:highlight w:val="none"/>
        </w:rPr>
        <w:t>供应商：                                法定代表人（或法定代表人授权代表）或自然人：</w:t>
      </w:r>
    </w:p>
    <w:p>
      <w:pPr>
        <w:spacing w:line="500" w:lineRule="exact"/>
        <w:rPr>
          <w:color w:val="auto"/>
          <w:szCs w:val="21"/>
          <w:highlight w:val="none"/>
        </w:rPr>
      </w:pPr>
      <w:r>
        <w:rPr>
          <w:color w:val="auto"/>
          <w:szCs w:val="21"/>
          <w:highlight w:val="none"/>
        </w:rPr>
        <w:t xml:space="preserve">    </w:t>
      </w:r>
    </w:p>
    <w:p>
      <w:pPr>
        <w:spacing w:line="500" w:lineRule="exact"/>
        <w:ind w:firstLine="630" w:firstLineChars="300"/>
        <w:rPr>
          <w:color w:val="auto"/>
          <w:szCs w:val="21"/>
          <w:highlight w:val="none"/>
        </w:rPr>
      </w:pPr>
      <w:r>
        <w:rPr>
          <w:color w:val="auto"/>
          <w:szCs w:val="21"/>
          <w:highlight w:val="none"/>
        </w:rPr>
        <w:t>（供应商公章）                               （签署或盖章）</w:t>
      </w:r>
    </w:p>
    <w:p>
      <w:pPr>
        <w:tabs>
          <w:tab w:val="left" w:pos="6300"/>
        </w:tabs>
        <w:snapToGrid w:val="0"/>
        <w:spacing w:line="500" w:lineRule="exact"/>
        <w:ind w:firstLine="570"/>
        <w:rPr>
          <w:color w:val="auto"/>
          <w:szCs w:val="21"/>
          <w:highlight w:val="none"/>
        </w:rPr>
      </w:pPr>
      <w:r>
        <w:rPr>
          <w:color w:val="auto"/>
          <w:szCs w:val="21"/>
          <w:highlight w:val="none"/>
        </w:rPr>
        <w:t xml:space="preserve">                                            年     月     日</w:t>
      </w:r>
    </w:p>
    <w:p>
      <w:pPr>
        <w:tabs>
          <w:tab w:val="left" w:pos="6300"/>
        </w:tabs>
        <w:snapToGrid w:val="0"/>
        <w:spacing w:line="500" w:lineRule="exact"/>
        <w:ind w:firstLine="570"/>
        <w:rPr>
          <w:color w:val="auto"/>
          <w:szCs w:val="21"/>
          <w:highlight w:val="none"/>
        </w:rPr>
      </w:pPr>
      <w:r>
        <w:rPr>
          <w:color w:val="auto"/>
          <w:szCs w:val="21"/>
          <w:highlight w:val="none"/>
        </w:rPr>
        <w:t>注：</w:t>
      </w:r>
    </w:p>
    <w:p>
      <w:pPr>
        <w:tabs>
          <w:tab w:val="left" w:pos="6300"/>
        </w:tabs>
        <w:spacing w:line="500" w:lineRule="exact"/>
        <w:ind w:firstLine="420" w:firstLineChars="200"/>
        <w:rPr>
          <w:b/>
          <w:color w:val="auto"/>
          <w:szCs w:val="21"/>
          <w:highlight w:val="none"/>
        </w:rPr>
      </w:pPr>
      <w:r>
        <w:rPr>
          <w:color w:val="auto"/>
          <w:szCs w:val="21"/>
          <w:highlight w:val="none"/>
        </w:rPr>
        <w:t>1.本表即为对本项目“第四章 3.商务要求”中</w:t>
      </w:r>
      <w:r>
        <w:rPr>
          <w:b/>
          <w:color w:val="auto"/>
          <w:szCs w:val="21"/>
          <w:highlight w:val="none"/>
        </w:rPr>
        <w:t xml:space="preserve">所列的全部内容进行比较和响应； </w:t>
      </w:r>
    </w:p>
    <w:p>
      <w:pPr>
        <w:tabs>
          <w:tab w:val="left" w:pos="6300"/>
        </w:tabs>
        <w:snapToGrid w:val="0"/>
        <w:spacing w:line="500" w:lineRule="exact"/>
        <w:ind w:firstLine="420" w:firstLineChars="200"/>
        <w:rPr>
          <w:color w:val="auto"/>
          <w:szCs w:val="21"/>
          <w:highlight w:val="none"/>
        </w:rPr>
      </w:pPr>
      <w:r>
        <w:rPr>
          <w:color w:val="auto"/>
          <w:szCs w:val="21"/>
          <w:highlight w:val="none"/>
        </w:rPr>
        <w:t>2.该表必须按照评比文件要求如实填写，根据响应情况在“差异说明”项填写正偏离或负偏离及原因，完全符合的填写“无差异”；</w:t>
      </w:r>
    </w:p>
    <w:p>
      <w:pPr>
        <w:tabs>
          <w:tab w:val="left" w:pos="6300"/>
        </w:tabs>
        <w:snapToGrid w:val="0"/>
        <w:spacing w:line="500" w:lineRule="exact"/>
        <w:ind w:firstLine="420" w:firstLineChars="200"/>
        <w:rPr>
          <w:color w:val="auto"/>
          <w:szCs w:val="21"/>
          <w:highlight w:val="none"/>
        </w:rPr>
      </w:pPr>
      <w:r>
        <w:rPr>
          <w:color w:val="auto"/>
          <w:szCs w:val="21"/>
          <w:highlight w:val="none"/>
        </w:rPr>
        <w:t>3.该表可扩展；</w:t>
      </w:r>
    </w:p>
    <w:p>
      <w:pPr>
        <w:rPr>
          <w:color w:val="auto"/>
          <w:sz w:val="24"/>
          <w:szCs w:val="21"/>
          <w:highlight w:val="none"/>
        </w:rPr>
      </w:pPr>
      <w:r>
        <w:rPr>
          <w:color w:val="auto"/>
          <w:sz w:val="24"/>
          <w:szCs w:val="21"/>
          <w:highlight w:val="none"/>
        </w:rPr>
        <w:br w:type="page"/>
      </w:r>
    </w:p>
    <w:bookmarkEnd w:id="990"/>
    <w:p>
      <w:pPr>
        <w:pStyle w:val="3"/>
        <w:keepLines w:val="0"/>
        <w:widowControl w:val="0"/>
        <w:tabs>
          <w:tab w:val="left" w:pos="1530"/>
          <w:tab w:val="left" w:pos="3360"/>
          <w:tab w:val="left" w:pos="8052"/>
        </w:tabs>
        <w:adjustRightInd/>
        <w:spacing w:line="480" w:lineRule="auto"/>
        <w:ind w:left="1531" w:hanging="1531"/>
        <w:rPr>
          <w:rFonts w:eastAsia="宋体"/>
          <w:bCs w:val="0"/>
          <w:color w:val="auto"/>
          <w:kern w:val="2"/>
          <w:szCs w:val="36"/>
          <w:highlight w:val="none"/>
        </w:rPr>
      </w:pPr>
      <w:bookmarkStart w:id="999" w:name="_Toc330205892"/>
      <w:bookmarkStart w:id="1000" w:name="_Toc10213462"/>
      <w:r>
        <w:rPr>
          <w:rFonts w:eastAsia="宋体"/>
          <w:bCs w:val="0"/>
          <w:color w:val="auto"/>
          <w:kern w:val="2"/>
          <w:szCs w:val="36"/>
          <w:highlight w:val="none"/>
        </w:rPr>
        <w:t>第六章 评审办法</w:t>
      </w:r>
      <w:bookmarkEnd w:id="999"/>
      <w:bookmarkEnd w:id="1000"/>
    </w:p>
    <w:p>
      <w:pPr>
        <w:adjustRightInd w:val="0"/>
        <w:snapToGrid w:val="0"/>
        <w:spacing w:line="440" w:lineRule="exact"/>
        <w:rPr>
          <w:b/>
          <w:color w:val="auto"/>
          <w:szCs w:val="21"/>
          <w:highlight w:val="none"/>
        </w:rPr>
      </w:pPr>
      <w:r>
        <w:rPr>
          <w:b/>
          <w:color w:val="auto"/>
          <w:szCs w:val="21"/>
          <w:highlight w:val="none"/>
        </w:rPr>
        <w:t>一、评审原则与标准</w:t>
      </w:r>
    </w:p>
    <w:p>
      <w:pPr>
        <w:adjustRightInd w:val="0"/>
        <w:snapToGrid w:val="0"/>
        <w:spacing w:line="440" w:lineRule="exact"/>
        <w:ind w:firstLine="480"/>
        <w:rPr>
          <w:color w:val="auto"/>
          <w:szCs w:val="21"/>
          <w:highlight w:val="none"/>
        </w:rPr>
      </w:pPr>
      <w:r>
        <w:rPr>
          <w:color w:val="auto"/>
          <w:szCs w:val="21"/>
          <w:highlight w:val="none"/>
        </w:rPr>
        <w:t>评审原则是指评审委员会成员在评审活动中应遵循的原则，即“公平、公正、科学、择优”的原则和评审保密原则。</w:t>
      </w:r>
    </w:p>
    <w:p>
      <w:pPr>
        <w:adjustRightInd w:val="0"/>
        <w:snapToGrid w:val="0"/>
        <w:spacing w:line="440" w:lineRule="exact"/>
        <w:rPr>
          <w:b/>
          <w:color w:val="auto"/>
          <w:szCs w:val="21"/>
          <w:highlight w:val="none"/>
        </w:rPr>
      </w:pPr>
      <w:r>
        <w:rPr>
          <w:b/>
          <w:color w:val="auto"/>
          <w:szCs w:val="21"/>
          <w:highlight w:val="none"/>
        </w:rPr>
        <w:t>二、评审方法</w:t>
      </w:r>
    </w:p>
    <w:p>
      <w:pPr>
        <w:adjustRightInd w:val="0"/>
        <w:snapToGrid w:val="0"/>
        <w:spacing w:line="440" w:lineRule="exact"/>
        <w:ind w:firstLine="480"/>
        <w:rPr>
          <w:color w:val="auto"/>
          <w:szCs w:val="21"/>
          <w:highlight w:val="none"/>
        </w:rPr>
      </w:pPr>
      <w:r>
        <w:rPr>
          <w:color w:val="auto"/>
          <w:szCs w:val="21"/>
          <w:highlight w:val="none"/>
        </w:rPr>
        <w:t>本次评审采用综合评分法，即以有关法律法规、评比文件为依据，对通过初步审查评比供应商的商务、技术及评比报价等方面进行综合评估并按得分高低进行排序及推荐。若得分相同的，按评比技术部分得分高低顺序排列，依次是商务和报价。技术部分得0分的评比供应商不得作为推荐候选供应商。</w:t>
      </w:r>
    </w:p>
    <w:p>
      <w:pPr>
        <w:numPr>
          <w:ilvl w:val="0"/>
          <w:numId w:val="33"/>
        </w:numPr>
        <w:adjustRightInd w:val="0"/>
        <w:snapToGrid w:val="0"/>
        <w:spacing w:line="440" w:lineRule="exact"/>
        <w:rPr>
          <w:color w:val="auto"/>
          <w:szCs w:val="21"/>
          <w:highlight w:val="none"/>
        </w:rPr>
      </w:pPr>
      <w:r>
        <w:rPr>
          <w:b/>
          <w:color w:val="auto"/>
          <w:szCs w:val="21"/>
          <w:highlight w:val="none"/>
        </w:rPr>
        <w:t>评分标准</w:t>
      </w:r>
    </w:p>
    <w:p>
      <w:pPr>
        <w:tabs>
          <w:tab w:val="left" w:pos="993"/>
        </w:tabs>
        <w:autoSpaceDE w:val="0"/>
        <w:autoSpaceDN w:val="0"/>
        <w:adjustRightInd w:val="0"/>
        <w:snapToGrid w:val="0"/>
        <w:spacing w:after="156" w:afterLines="50" w:line="440" w:lineRule="exact"/>
        <w:ind w:firstLine="420" w:firstLineChars="200"/>
        <w:rPr>
          <w:color w:val="auto"/>
          <w:kern w:val="0"/>
          <w:szCs w:val="21"/>
          <w:highlight w:val="none"/>
        </w:rPr>
      </w:pPr>
      <w:r>
        <w:rPr>
          <w:rFonts w:hint="eastAsia"/>
          <w:color w:val="auto"/>
          <w:kern w:val="0"/>
          <w:szCs w:val="21"/>
          <w:highlight w:val="none"/>
        </w:rPr>
        <w:t>1、</w:t>
      </w:r>
      <w:r>
        <w:rPr>
          <w:color w:val="auto"/>
          <w:kern w:val="0"/>
          <w:szCs w:val="21"/>
          <w:highlight w:val="none"/>
        </w:rPr>
        <w:t>分值构成：总分100分，其中：</w:t>
      </w:r>
    </w:p>
    <w:p>
      <w:pPr>
        <w:tabs>
          <w:tab w:val="left" w:pos="993"/>
        </w:tabs>
        <w:autoSpaceDE w:val="0"/>
        <w:autoSpaceDN w:val="0"/>
        <w:adjustRightInd w:val="0"/>
        <w:snapToGrid w:val="0"/>
        <w:spacing w:after="156" w:afterLines="50" w:line="440" w:lineRule="exact"/>
        <w:ind w:firstLine="210" w:firstLineChars="100"/>
        <w:rPr>
          <w:color w:val="auto"/>
          <w:kern w:val="0"/>
          <w:szCs w:val="21"/>
          <w:highlight w:val="none"/>
        </w:rPr>
      </w:pPr>
      <w:r>
        <w:rPr>
          <w:color w:val="auto"/>
          <w:kern w:val="0"/>
          <w:szCs w:val="21"/>
          <w:highlight w:val="none"/>
        </w:rPr>
        <w:t>（1）商务部分权重：10%；</w:t>
      </w:r>
    </w:p>
    <w:p>
      <w:pPr>
        <w:tabs>
          <w:tab w:val="left" w:pos="993"/>
        </w:tabs>
        <w:autoSpaceDE w:val="0"/>
        <w:autoSpaceDN w:val="0"/>
        <w:adjustRightInd w:val="0"/>
        <w:snapToGrid w:val="0"/>
        <w:spacing w:after="156" w:afterLines="50" w:line="440" w:lineRule="exact"/>
        <w:ind w:firstLine="210" w:firstLineChars="100"/>
        <w:rPr>
          <w:color w:val="auto"/>
          <w:kern w:val="0"/>
          <w:szCs w:val="21"/>
          <w:highlight w:val="none"/>
        </w:rPr>
      </w:pPr>
      <w:r>
        <w:rPr>
          <w:color w:val="auto"/>
          <w:kern w:val="0"/>
          <w:szCs w:val="21"/>
          <w:highlight w:val="none"/>
        </w:rPr>
        <w:t xml:space="preserve">（2）技术部分权重：50%； </w:t>
      </w:r>
    </w:p>
    <w:p>
      <w:pPr>
        <w:tabs>
          <w:tab w:val="left" w:pos="993"/>
        </w:tabs>
        <w:autoSpaceDE w:val="0"/>
        <w:autoSpaceDN w:val="0"/>
        <w:adjustRightInd w:val="0"/>
        <w:snapToGrid w:val="0"/>
        <w:spacing w:after="156" w:afterLines="50" w:line="440" w:lineRule="exact"/>
        <w:ind w:firstLine="210" w:firstLineChars="100"/>
        <w:rPr>
          <w:color w:val="auto"/>
          <w:kern w:val="0"/>
          <w:szCs w:val="21"/>
          <w:highlight w:val="none"/>
        </w:rPr>
      </w:pPr>
      <w:r>
        <w:rPr>
          <w:color w:val="auto"/>
          <w:kern w:val="0"/>
          <w:szCs w:val="21"/>
          <w:highlight w:val="none"/>
        </w:rPr>
        <w:t>（3）报价部分权重：40%。</w:t>
      </w:r>
    </w:p>
    <w:p>
      <w:pPr>
        <w:rPr>
          <w:b/>
          <w:color w:val="auto"/>
          <w:sz w:val="30"/>
          <w:szCs w:val="30"/>
          <w:highlight w:val="none"/>
        </w:rPr>
      </w:pPr>
      <w:r>
        <w:rPr>
          <w:b/>
          <w:color w:val="auto"/>
          <w:sz w:val="30"/>
          <w:szCs w:val="30"/>
          <w:highlight w:val="none"/>
        </w:rPr>
        <w:br w:type="page"/>
      </w:r>
    </w:p>
    <w:p>
      <w:pPr>
        <w:tabs>
          <w:tab w:val="left" w:pos="-94"/>
          <w:tab w:val="left" w:pos="428"/>
        </w:tabs>
        <w:adjustRightInd w:val="0"/>
        <w:spacing w:line="360" w:lineRule="auto"/>
        <w:ind w:left="23" w:leftChars="11"/>
        <w:jc w:val="center"/>
        <w:textAlignment w:val="baseline"/>
        <w:outlineLvl w:val="1"/>
        <w:rPr>
          <w:b/>
          <w:color w:val="auto"/>
          <w:sz w:val="30"/>
          <w:szCs w:val="30"/>
          <w:highlight w:val="none"/>
        </w:rPr>
      </w:pPr>
      <w:r>
        <w:rPr>
          <w:b/>
          <w:color w:val="auto"/>
          <w:sz w:val="30"/>
          <w:szCs w:val="30"/>
          <w:highlight w:val="none"/>
        </w:rPr>
        <w:t>评分标准</w:t>
      </w:r>
    </w:p>
    <w:p>
      <w:pPr>
        <w:rPr>
          <w:bCs/>
          <w:color w:val="auto"/>
          <w:szCs w:val="21"/>
          <w:highlight w:val="none"/>
        </w:rPr>
      </w:pPr>
      <w:r>
        <w:rPr>
          <w:bCs/>
          <w:color w:val="auto"/>
          <w:szCs w:val="21"/>
          <w:highlight w:val="none"/>
        </w:rPr>
        <w:t>本项目满分为100分。综合得分保留小数点后2位。具体分值分配表如下：</w:t>
      </w:r>
    </w:p>
    <w:tbl>
      <w:tblPr>
        <w:tblStyle w:val="40"/>
        <w:tblW w:w="9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3"/>
        <w:gridCol w:w="1145"/>
        <w:gridCol w:w="1164"/>
        <w:gridCol w:w="5172"/>
        <w:gridCol w:w="1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blHeader/>
          <w:jc w:val="center"/>
        </w:trPr>
        <w:tc>
          <w:tcPr>
            <w:tcW w:w="693" w:type="dxa"/>
            <w:vAlign w:val="center"/>
          </w:tcPr>
          <w:p>
            <w:pPr>
              <w:adjustRightInd w:val="0"/>
              <w:snapToGrid w:val="0"/>
              <w:spacing w:line="360" w:lineRule="auto"/>
              <w:jc w:val="center"/>
              <w:rPr>
                <w:color w:val="auto"/>
                <w:highlight w:val="none"/>
              </w:rPr>
            </w:pPr>
            <w:r>
              <w:rPr>
                <w:color w:val="auto"/>
                <w:highlight w:val="none"/>
              </w:rPr>
              <w:t>序号</w:t>
            </w:r>
          </w:p>
        </w:tc>
        <w:tc>
          <w:tcPr>
            <w:tcW w:w="2309" w:type="dxa"/>
            <w:gridSpan w:val="2"/>
            <w:vAlign w:val="center"/>
          </w:tcPr>
          <w:p>
            <w:pPr>
              <w:adjustRightInd w:val="0"/>
              <w:snapToGrid w:val="0"/>
              <w:spacing w:line="360" w:lineRule="auto"/>
              <w:jc w:val="center"/>
              <w:rPr>
                <w:color w:val="auto"/>
                <w:highlight w:val="none"/>
              </w:rPr>
            </w:pPr>
            <w:r>
              <w:rPr>
                <w:color w:val="auto"/>
                <w:highlight w:val="none"/>
              </w:rPr>
              <w:t>评审因素</w:t>
            </w:r>
          </w:p>
        </w:tc>
        <w:tc>
          <w:tcPr>
            <w:tcW w:w="5172" w:type="dxa"/>
            <w:vAlign w:val="center"/>
          </w:tcPr>
          <w:p>
            <w:pPr>
              <w:adjustRightInd w:val="0"/>
              <w:snapToGrid w:val="0"/>
              <w:spacing w:line="360" w:lineRule="auto"/>
              <w:jc w:val="center"/>
              <w:rPr>
                <w:color w:val="auto"/>
                <w:highlight w:val="none"/>
              </w:rPr>
            </w:pPr>
            <w:r>
              <w:rPr>
                <w:color w:val="auto"/>
                <w:highlight w:val="none"/>
              </w:rPr>
              <w:t>评分标准</w:t>
            </w:r>
          </w:p>
        </w:tc>
        <w:tc>
          <w:tcPr>
            <w:tcW w:w="1548" w:type="dxa"/>
            <w:vAlign w:val="center"/>
          </w:tcPr>
          <w:p>
            <w:pPr>
              <w:jc w:val="center"/>
              <w:rPr>
                <w:color w:val="auto"/>
                <w:highlight w:val="none"/>
              </w:rPr>
            </w:pPr>
            <w:r>
              <w:rPr>
                <w:rFonts w:hint="eastAsia"/>
                <w:color w:val="auto"/>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693" w:type="dxa"/>
            <w:vAlign w:val="center"/>
          </w:tcPr>
          <w:p>
            <w:pPr>
              <w:adjustRightInd w:val="0"/>
              <w:snapToGrid w:val="0"/>
              <w:spacing w:line="360" w:lineRule="auto"/>
              <w:rPr>
                <w:color w:val="auto"/>
                <w:highlight w:val="none"/>
              </w:rPr>
            </w:pPr>
            <w:r>
              <w:rPr>
                <w:color w:val="auto"/>
                <w:highlight w:val="none"/>
              </w:rPr>
              <w:t>1</w:t>
            </w:r>
          </w:p>
        </w:tc>
        <w:tc>
          <w:tcPr>
            <w:tcW w:w="2309" w:type="dxa"/>
            <w:gridSpan w:val="2"/>
            <w:vAlign w:val="center"/>
          </w:tcPr>
          <w:p>
            <w:pPr>
              <w:adjustRightInd w:val="0"/>
              <w:snapToGrid w:val="0"/>
              <w:spacing w:line="360" w:lineRule="auto"/>
              <w:rPr>
                <w:color w:val="auto"/>
                <w:highlight w:val="none"/>
              </w:rPr>
            </w:pPr>
            <w:r>
              <w:rPr>
                <w:color w:val="auto"/>
                <w:highlight w:val="none"/>
              </w:rPr>
              <w:t>价格部分(</w:t>
            </w:r>
            <w:r>
              <w:rPr>
                <w:rFonts w:hint="eastAsia"/>
                <w:color w:val="auto"/>
                <w:highlight w:val="none"/>
              </w:rPr>
              <w:t>40</w:t>
            </w:r>
            <w:r>
              <w:rPr>
                <w:color w:val="auto"/>
                <w:highlight w:val="none"/>
              </w:rPr>
              <w:t>分)</w:t>
            </w:r>
          </w:p>
        </w:tc>
        <w:tc>
          <w:tcPr>
            <w:tcW w:w="5172" w:type="dxa"/>
            <w:vAlign w:val="center"/>
          </w:tcPr>
          <w:p>
            <w:pPr>
              <w:adjustRightInd w:val="0"/>
              <w:snapToGrid w:val="0"/>
              <w:spacing w:line="360" w:lineRule="auto"/>
              <w:rPr>
                <w:color w:val="auto"/>
                <w:highlight w:val="none"/>
              </w:rPr>
            </w:pPr>
            <w:r>
              <w:rPr>
                <w:color w:val="auto"/>
                <w:highlight w:val="none"/>
              </w:rPr>
              <w:t>基准价= 实质性满足采购文件要求且价格最低的报价</w:t>
            </w:r>
          </w:p>
          <w:p>
            <w:pPr>
              <w:adjustRightInd w:val="0"/>
              <w:snapToGrid w:val="0"/>
              <w:spacing w:line="360" w:lineRule="auto"/>
              <w:rPr>
                <w:color w:val="auto"/>
                <w:highlight w:val="none"/>
              </w:rPr>
            </w:pPr>
            <w:r>
              <w:rPr>
                <w:color w:val="auto"/>
                <w:highlight w:val="none"/>
              </w:rPr>
              <w:t>报价得分=（基准价/报价）×</w:t>
            </w:r>
            <w:r>
              <w:rPr>
                <w:rFonts w:hint="eastAsia"/>
                <w:color w:val="auto"/>
                <w:highlight w:val="none"/>
              </w:rPr>
              <w:t>40</w:t>
            </w:r>
          </w:p>
        </w:tc>
        <w:tc>
          <w:tcPr>
            <w:tcW w:w="1548" w:type="dxa"/>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693" w:type="dxa"/>
            <w:vMerge w:val="restart"/>
            <w:vAlign w:val="center"/>
          </w:tcPr>
          <w:p>
            <w:pPr>
              <w:adjustRightInd w:val="0"/>
              <w:snapToGrid w:val="0"/>
              <w:spacing w:line="360" w:lineRule="auto"/>
              <w:rPr>
                <w:color w:val="auto"/>
                <w:highlight w:val="none"/>
              </w:rPr>
            </w:pPr>
            <w:r>
              <w:rPr>
                <w:color w:val="auto"/>
                <w:highlight w:val="none"/>
              </w:rPr>
              <w:t>2</w:t>
            </w:r>
          </w:p>
        </w:tc>
        <w:tc>
          <w:tcPr>
            <w:tcW w:w="1145" w:type="dxa"/>
            <w:vMerge w:val="restart"/>
            <w:vAlign w:val="center"/>
          </w:tcPr>
          <w:p>
            <w:pPr>
              <w:adjustRightInd w:val="0"/>
              <w:snapToGrid w:val="0"/>
              <w:spacing w:line="360" w:lineRule="auto"/>
              <w:rPr>
                <w:color w:val="auto"/>
                <w:highlight w:val="none"/>
              </w:rPr>
            </w:pPr>
            <w:r>
              <w:rPr>
                <w:color w:val="auto"/>
                <w:highlight w:val="none"/>
              </w:rPr>
              <w:t>商务部分（</w:t>
            </w:r>
            <w:r>
              <w:rPr>
                <w:rFonts w:hint="eastAsia"/>
                <w:color w:val="auto"/>
                <w:highlight w:val="none"/>
              </w:rPr>
              <w:t>10</w:t>
            </w:r>
            <w:r>
              <w:rPr>
                <w:color w:val="auto"/>
                <w:highlight w:val="none"/>
              </w:rPr>
              <w:t>分）</w:t>
            </w:r>
          </w:p>
        </w:tc>
        <w:tc>
          <w:tcPr>
            <w:tcW w:w="1164" w:type="dxa"/>
            <w:vAlign w:val="center"/>
          </w:tcPr>
          <w:p>
            <w:pPr>
              <w:adjustRightInd w:val="0"/>
              <w:snapToGrid w:val="0"/>
              <w:spacing w:line="360" w:lineRule="auto"/>
              <w:jc w:val="center"/>
              <w:rPr>
                <w:color w:val="auto"/>
                <w:highlight w:val="none"/>
              </w:rPr>
            </w:pPr>
            <w:r>
              <w:rPr>
                <w:color w:val="auto"/>
                <w:highlight w:val="none"/>
              </w:rPr>
              <w:t>类似业绩</w:t>
            </w:r>
          </w:p>
          <w:p>
            <w:pPr>
              <w:adjustRightInd w:val="0"/>
              <w:snapToGrid w:val="0"/>
              <w:spacing w:line="360" w:lineRule="auto"/>
              <w:jc w:val="center"/>
              <w:rPr>
                <w:color w:val="auto"/>
                <w:highlight w:val="none"/>
              </w:rPr>
            </w:pPr>
            <w:r>
              <w:rPr>
                <w:color w:val="auto"/>
                <w:highlight w:val="none"/>
              </w:rPr>
              <w:t>（</w:t>
            </w:r>
            <w:r>
              <w:rPr>
                <w:rFonts w:hint="eastAsia"/>
                <w:color w:val="auto"/>
                <w:highlight w:val="none"/>
              </w:rPr>
              <w:t>4</w:t>
            </w:r>
            <w:r>
              <w:rPr>
                <w:color w:val="auto"/>
                <w:highlight w:val="none"/>
              </w:rPr>
              <w:t>分）</w:t>
            </w:r>
          </w:p>
        </w:tc>
        <w:tc>
          <w:tcPr>
            <w:tcW w:w="5172" w:type="dxa"/>
            <w:vAlign w:val="center"/>
          </w:tcPr>
          <w:p>
            <w:pPr>
              <w:adjustRightInd w:val="0"/>
              <w:snapToGrid w:val="0"/>
              <w:spacing w:line="360" w:lineRule="auto"/>
              <w:rPr>
                <w:color w:val="auto"/>
                <w:highlight w:val="none"/>
              </w:rPr>
            </w:pPr>
            <w:r>
              <w:rPr>
                <w:color w:val="auto"/>
                <w:highlight w:val="none"/>
              </w:rPr>
              <w:t>2019年1月1日至今，评比供应商具有</w:t>
            </w:r>
            <w:r>
              <w:rPr>
                <w:rFonts w:hint="eastAsia"/>
                <w:color w:val="auto"/>
                <w:highlight w:val="none"/>
              </w:rPr>
              <w:t>含实验室装修改造项目的</w:t>
            </w:r>
            <w:r>
              <w:rPr>
                <w:color w:val="auto"/>
                <w:highlight w:val="none"/>
              </w:rPr>
              <w:t>，每一个得</w:t>
            </w:r>
            <w:r>
              <w:rPr>
                <w:rFonts w:hint="eastAsia"/>
                <w:color w:val="auto"/>
                <w:highlight w:val="none"/>
              </w:rPr>
              <w:t>2</w:t>
            </w:r>
            <w:r>
              <w:rPr>
                <w:color w:val="auto"/>
                <w:highlight w:val="none"/>
              </w:rPr>
              <w:t>分，最多得</w:t>
            </w:r>
            <w:r>
              <w:rPr>
                <w:rFonts w:hint="eastAsia"/>
                <w:color w:val="auto"/>
                <w:highlight w:val="none"/>
              </w:rPr>
              <w:t>4</w:t>
            </w:r>
            <w:r>
              <w:rPr>
                <w:color w:val="auto"/>
                <w:highlight w:val="none"/>
              </w:rPr>
              <w:t>分。</w:t>
            </w:r>
          </w:p>
        </w:tc>
        <w:tc>
          <w:tcPr>
            <w:tcW w:w="1548" w:type="dxa"/>
            <w:vAlign w:val="center"/>
          </w:tcPr>
          <w:p>
            <w:pPr>
              <w:jc w:val="center"/>
              <w:rPr>
                <w:color w:val="auto"/>
                <w:highlight w:val="none"/>
              </w:rPr>
            </w:pPr>
            <w:r>
              <w:rPr>
                <w:rFonts w:hint="eastAsia" w:ascii="宋体" w:hAnsi="宋体" w:cs="宋体"/>
                <w:color w:val="auto"/>
                <w:szCs w:val="21"/>
                <w:highlight w:val="none"/>
              </w:rPr>
              <w:t>提供合同、竣工验收证明或业主证明等证明材料的复印件，加盖供应商公章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jc w:val="center"/>
        </w:trPr>
        <w:tc>
          <w:tcPr>
            <w:tcW w:w="693" w:type="dxa"/>
            <w:vMerge w:val="continue"/>
            <w:vAlign w:val="center"/>
          </w:tcPr>
          <w:p>
            <w:pPr>
              <w:adjustRightInd w:val="0"/>
              <w:snapToGrid w:val="0"/>
              <w:spacing w:line="360" w:lineRule="auto"/>
              <w:rPr>
                <w:color w:val="auto"/>
                <w:highlight w:val="none"/>
              </w:rPr>
            </w:pPr>
          </w:p>
        </w:tc>
        <w:tc>
          <w:tcPr>
            <w:tcW w:w="1145" w:type="dxa"/>
            <w:vMerge w:val="continue"/>
            <w:vAlign w:val="center"/>
          </w:tcPr>
          <w:p>
            <w:pPr>
              <w:adjustRightInd w:val="0"/>
              <w:snapToGrid w:val="0"/>
              <w:spacing w:line="360" w:lineRule="auto"/>
              <w:rPr>
                <w:color w:val="auto"/>
                <w:highlight w:val="none"/>
              </w:rPr>
            </w:pPr>
          </w:p>
        </w:tc>
        <w:tc>
          <w:tcPr>
            <w:tcW w:w="1164" w:type="dxa"/>
            <w:vAlign w:val="center"/>
          </w:tcPr>
          <w:p>
            <w:pPr>
              <w:spacing w:line="276" w:lineRule="auto"/>
              <w:jc w:val="center"/>
              <w:rPr>
                <w:color w:val="auto"/>
                <w:highlight w:val="none"/>
              </w:rPr>
            </w:pPr>
            <w:r>
              <w:rPr>
                <w:rFonts w:hint="eastAsia" w:ascii="宋体" w:hAnsi="宋体" w:cs="仿宋"/>
                <w:color w:val="auto"/>
                <w:szCs w:val="21"/>
                <w:highlight w:val="none"/>
              </w:rPr>
              <w:t>售后服务（6分）</w:t>
            </w:r>
          </w:p>
        </w:tc>
        <w:tc>
          <w:tcPr>
            <w:tcW w:w="5172" w:type="dxa"/>
            <w:vAlign w:val="center"/>
          </w:tcPr>
          <w:p>
            <w:pPr>
              <w:spacing w:line="400" w:lineRule="exact"/>
              <w:rPr>
                <w:color w:val="auto"/>
                <w:highlight w:val="none"/>
              </w:rPr>
            </w:pPr>
            <w:r>
              <w:rPr>
                <w:rFonts w:hint="eastAsia" w:ascii="宋体" w:hAnsi="宋体" w:cs="仿宋"/>
                <w:color w:val="auto"/>
                <w:szCs w:val="21"/>
                <w:highlight w:val="none"/>
              </w:rPr>
              <w:t xml:space="preserve">售后服务：根据供应商提供的售后服务方案优劣进行打分，优秀得6分，良得4分，一般得2分，差得1分，未提供得0分。 </w:t>
            </w:r>
          </w:p>
        </w:tc>
        <w:tc>
          <w:tcPr>
            <w:tcW w:w="1548" w:type="dxa"/>
            <w:vAlign w:val="center"/>
          </w:tcPr>
          <w:p>
            <w:pPr>
              <w:spacing w:line="280" w:lineRule="exact"/>
              <w:rPr>
                <w:rFonts w:ascii="宋体" w:hAnsi="宋体" w:cs="仿宋"/>
                <w:color w:val="auto"/>
                <w:szCs w:val="21"/>
                <w:highlight w:val="none"/>
              </w:rPr>
            </w:pPr>
            <w:r>
              <w:rPr>
                <w:rFonts w:hint="eastAsia" w:ascii="宋体" w:hAnsi="宋体" w:cs="仿宋"/>
                <w:color w:val="auto"/>
                <w:szCs w:val="21"/>
                <w:highlight w:val="none"/>
              </w:rPr>
              <w:t>优标准：方案可行性非常强，符合采购人实施要求；</w:t>
            </w:r>
          </w:p>
          <w:p>
            <w:pPr>
              <w:spacing w:line="280" w:lineRule="exact"/>
              <w:rPr>
                <w:rFonts w:ascii="宋体" w:hAnsi="宋体" w:cs="仿宋"/>
                <w:color w:val="auto"/>
                <w:szCs w:val="21"/>
                <w:highlight w:val="none"/>
              </w:rPr>
            </w:pPr>
            <w:r>
              <w:rPr>
                <w:rFonts w:hint="eastAsia" w:ascii="宋体" w:hAnsi="宋体" w:cs="仿宋"/>
                <w:color w:val="auto"/>
                <w:szCs w:val="21"/>
                <w:highlight w:val="none"/>
              </w:rPr>
              <w:t>良标准：方案较为合理，满足采购人实施要求；</w:t>
            </w:r>
          </w:p>
          <w:p>
            <w:pPr>
              <w:spacing w:line="280" w:lineRule="exact"/>
              <w:rPr>
                <w:rFonts w:ascii="宋体" w:hAnsi="宋体" w:cs="仿宋"/>
                <w:color w:val="auto"/>
                <w:szCs w:val="21"/>
                <w:highlight w:val="none"/>
              </w:rPr>
            </w:pPr>
            <w:r>
              <w:rPr>
                <w:rFonts w:hint="eastAsia" w:ascii="宋体" w:hAnsi="宋体" w:cs="仿宋"/>
                <w:color w:val="auto"/>
                <w:szCs w:val="21"/>
                <w:highlight w:val="none"/>
              </w:rPr>
              <w:t>一般标准：方案一般，基本符合采购人实施要求；</w:t>
            </w:r>
          </w:p>
          <w:p>
            <w:pPr>
              <w:jc w:val="center"/>
              <w:rPr>
                <w:color w:val="auto"/>
                <w:highlight w:val="none"/>
              </w:rPr>
            </w:pPr>
            <w:r>
              <w:rPr>
                <w:rFonts w:hint="eastAsia" w:ascii="宋体" w:hAnsi="宋体" w:cs="仿宋"/>
                <w:color w:val="auto"/>
                <w:szCs w:val="21"/>
                <w:highlight w:val="none"/>
              </w:rPr>
              <w:t>差标准：方案可行性不强，不符合采购人实施要求。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4" w:hRule="atLeast"/>
          <w:jc w:val="center"/>
        </w:trPr>
        <w:tc>
          <w:tcPr>
            <w:tcW w:w="693" w:type="dxa"/>
            <w:vMerge w:val="restart"/>
            <w:vAlign w:val="center"/>
          </w:tcPr>
          <w:p>
            <w:pPr>
              <w:adjustRightInd w:val="0"/>
              <w:snapToGrid w:val="0"/>
              <w:spacing w:line="360" w:lineRule="auto"/>
              <w:rPr>
                <w:color w:val="auto"/>
                <w:highlight w:val="none"/>
              </w:rPr>
            </w:pPr>
            <w:r>
              <w:rPr>
                <w:color w:val="auto"/>
                <w:highlight w:val="none"/>
              </w:rPr>
              <w:t>3</w:t>
            </w:r>
          </w:p>
        </w:tc>
        <w:tc>
          <w:tcPr>
            <w:tcW w:w="1145" w:type="dxa"/>
            <w:vMerge w:val="restart"/>
            <w:vAlign w:val="center"/>
          </w:tcPr>
          <w:p>
            <w:pPr>
              <w:adjustRightInd w:val="0"/>
              <w:snapToGrid w:val="0"/>
              <w:spacing w:line="360" w:lineRule="auto"/>
              <w:rPr>
                <w:color w:val="auto"/>
                <w:highlight w:val="none"/>
              </w:rPr>
            </w:pPr>
            <w:r>
              <w:rPr>
                <w:color w:val="auto"/>
                <w:highlight w:val="none"/>
              </w:rPr>
              <w:t>技术部分（</w:t>
            </w:r>
            <w:r>
              <w:rPr>
                <w:rFonts w:hint="eastAsia"/>
                <w:color w:val="auto"/>
                <w:highlight w:val="none"/>
              </w:rPr>
              <w:t>5</w:t>
            </w:r>
            <w:r>
              <w:rPr>
                <w:color w:val="auto"/>
                <w:highlight w:val="none"/>
              </w:rPr>
              <w:t>0分）</w:t>
            </w:r>
          </w:p>
        </w:tc>
        <w:tc>
          <w:tcPr>
            <w:tcW w:w="1164" w:type="dxa"/>
            <w:vAlign w:val="center"/>
          </w:tcPr>
          <w:p>
            <w:pPr>
              <w:adjustRightInd w:val="0"/>
              <w:snapToGrid w:val="0"/>
              <w:spacing w:line="360" w:lineRule="auto"/>
              <w:jc w:val="center"/>
              <w:rPr>
                <w:color w:val="auto"/>
                <w:highlight w:val="none"/>
              </w:rPr>
            </w:pPr>
            <w:r>
              <w:rPr>
                <w:rFonts w:hint="eastAsia" w:ascii="宋体" w:hAnsi="宋体" w:cs="仿宋"/>
                <w:color w:val="auto"/>
                <w:szCs w:val="21"/>
                <w:highlight w:val="none"/>
              </w:rPr>
              <w:t>施工方案与技术措施（15分）</w:t>
            </w:r>
          </w:p>
        </w:tc>
        <w:tc>
          <w:tcPr>
            <w:tcW w:w="5172" w:type="dxa"/>
            <w:vAlign w:val="center"/>
          </w:tcPr>
          <w:p>
            <w:pPr>
              <w:adjustRightInd w:val="0"/>
              <w:snapToGrid w:val="0"/>
              <w:spacing w:line="360" w:lineRule="auto"/>
              <w:rPr>
                <w:rFonts w:ascii="宋体" w:hAnsi="宋体" w:cs="仿宋"/>
                <w:color w:val="auto"/>
                <w:szCs w:val="21"/>
                <w:highlight w:val="none"/>
              </w:rPr>
            </w:pPr>
            <w:r>
              <w:rPr>
                <w:rFonts w:hint="eastAsia" w:ascii="宋体" w:hAnsi="宋体" w:cs="仿宋"/>
                <w:color w:val="auto"/>
                <w:szCs w:val="21"/>
                <w:highlight w:val="none"/>
              </w:rPr>
              <w:t>对本工程有针对性的施工方案与技术措施，工程重点、难点认识深刻，表述全面准确，解决方案科学、系统、安全、经济、可操作性强，保障措施得力，对施工把握准确、应用到位、阐释清晰。</w:t>
            </w:r>
          </w:p>
          <w:p>
            <w:pPr>
              <w:adjustRightInd w:val="0"/>
              <w:snapToGrid w:val="0"/>
              <w:spacing w:line="360" w:lineRule="auto"/>
              <w:rPr>
                <w:color w:val="auto"/>
                <w:highlight w:val="none"/>
              </w:rPr>
            </w:pPr>
            <w:r>
              <w:rPr>
                <w:rFonts w:hint="eastAsia" w:ascii="宋体" w:hAnsi="宋体" w:cs="仿宋"/>
                <w:color w:val="auto"/>
                <w:szCs w:val="21"/>
                <w:highlight w:val="none"/>
              </w:rPr>
              <w:t>优秀得15分，良得11分，较好得7分，一般得3分，差得1分，未提供得0分。</w:t>
            </w:r>
          </w:p>
        </w:tc>
        <w:tc>
          <w:tcPr>
            <w:tcW w:w="1548" w:type="dxa"/>
            <w:vMerge w:val="restart"/>
            <w:vAlign w:val="center"/>
          </w:tcPr>
          <w:p>
            <w:pPr>
              <w:spacing w:line="280" w:lineRule="exact"/>
              <w:rPr>
                <w:rFonts w:ascii="宋体" w:hAnsi="宋体" w:cs="仿宋"/>
                <w:color w:val="auto"/>
                <w:szCs w:val="21"/>
                <w:highlight w:val="none"/>
              </w:rPr>
            </w:pPr>
            <w:r>
              <w:rPr>
                <w:rFonts w:hint="eastAsia" w:ascii="宋体" w:hAnsi="宋体" w:cs="仿宋"/>
                <w:color w:val="auto"/>
                <w:szCs w:val="21"/>
                <w:highlight w:val="none"/>
              </w:rPr>
              <w:t>优标准：方案可行性非常强，符合采购人实施要求；</w:t>
            </w:r>
          </w:p>
          <w:p>
            <w:pPr>
              <w:spacing w:line="280" w:lineRule="exact"/>
              <w:rPr>
                <w:rFonts w:ascii="宋体" w:hAnsi="宋体" w:cs="仿宋"/>
                <w:color w:val="auto"/>
                <w:szCs w:val="21"/>
                <w:highlight w:val="none"/>
              </w:rPr>
            </w:pPr>
            <w:r>
              <w:rPr>
                <w:rFonts w:hint="eastAsia" w:ascii="宋体" w:hAnsi="宋体" w:cs="仿宋"/>
                <w:color w:val="auto"/>
                <w:szCs w:val="21"/>
                <w:highlight w:val="none"/>
              </w:rPr>
              <w:t>良标准：方案较为合理，满足采购人实施要求；</w:t>
            </w:r>
          </w:p>
          <w:p>
            <w:pPr>
              <w:spacing w:line="280" w:lineRule="exact"/>
              <w:rPr>
                <w:rFonts w:ascii="宋体" w:hAnsi="宋体" w:cs="仿宋"/>
                <w:color w:val="auto"/>
                <w:szCs w:val="21"/>
                <w:highlight w:val="none"/>
              </w:rPr>
            </w:pPr>
            <w:r>
              <w:rPr>
                <w:rFonts w:hint="eastAsia" w:ascii="宋体" w:hAnsi="宋体" w:cs="仿宋"/>
                <w:color w:val="auto"/>
                <w:szCs w:val="21"/>
                <w:highlight w:val="none"/>
              </w:rPr>
              <w:t>一般标准：方案一般，基本符合采购人实施要求；</w:t>
            </w:r>
          </w:p>
          <w:p>
            <w:pPr>
              <w:spacing w:line="280" w:lineRule="exact"/>
              <w:rPr>
                <w:rFonts w:ascii="宋体" w:hAnsi="宋体" w:cs="仿宋"/>
                <w:color w:val="auto"/>
                <w:szCs w:val="21"/>
                <w:highlight w:val="none"/>
              </w:rPr>
            </w:pPr>
            <w:r>
              <w:rPr>
                <w:rFonts w:hint="eastAsia" w:ascii="宋体" w:hAnsi="宋体" w:cs="仿宋"/>
                <w:color w:val="auto"/>
                <w:szCs w:val="21"/>
                <w:highlight w:val="none"/>
              </w:rPr>
              <w:t>差标准：方案可行性不强，不符合采购人实施要求。</w:t>
            </w:r>
          </w:p>
          <w:p>
            <w:pPr>
              <w:jc w:val="center"/>
              <w:rPr>
                <w:color w:val="auto"/>
                <w:highlight w:val="none"/>
              </w:rPr>
            </w:pPr>
            <w:r>
              <w:rPr>
                <w:rFonts w:hint="eastAsia" w:ascii="宋体" w:hAnsi="宋体" w:cs="仿宋"/>
                <w:color w:val="auto"/>
                <w:szCs w:val="21"/>
                <w:highlight w:val="none"/>
              </w:rPr>
              <w:t>评审委员会根据供应商的施工组织设计方案内容，独立评审，逐项进行打分。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693" w:type="dxa"/>
            <w:vMerge w:val="continue"/>
            <w:vAlign w:val="center"/>
          </w:tcPr>
          <w:p>
            <w:pPr>
              <w:adjustRightInd w:val="0"/>
              <w:snapToGrid w:val="0"/>
              <w:spacing w:line="360" w:lineRule="auto"/>
              <w:rPr>
                <w:color w:val="auto"/>
                <w:highlight w:val="none"/>
              </w:rPr>
            </w:pPr>
          </w:p>
        </w:tc>
        <w:tc>
          <w:tcPr>
            <w:tcW w:w="1145" w:type="dxa"/>
            <w:vMerge w:val="continue"/>
            <w:vAlign w:val="center"/>
          </w:tcPr>
          <w:p>
            <w:pPr>
              <w:adjustRightInd w:val="0"/>
              <w:snapToGrid w:val="0"/>
              <w:spacing w:line="360" w:lineRule="auto"/>
              <w:rPr>
                <w:color w:val="auto"/>
                <w:highlight w:val="none"/>
              </w:rPr>
            </w:pPr>
          </w:p>
        </w:tc>
        <w:tc>
          <w:tcPr>
            <w:tcW w:w="1164" w:type="dxa"/>
            <w:vAlign w:val="center"/>
          </w:tcPr>
          <w:p>
            <w:pPr>
              <w:adjustRightInd w:val="0"/>
              <w:snapToGrid w:val="0"/>
              <w:spacing w:line="360" w:lineRule="auto"/>
              <w:jc w:val="center"/>
              <w:rPr>
                <w:color w:val="auto"/>
                <w:highlight w:val="none"/>
              </w:rPr>
            </w:pPr>
            <w:r>
              <w:rPr>
                <w:rFonts w:hint="eastAsia" w:ascii="宋体" w:hAnsi="宋体" w:cs="仿宋"/>
                <w:color w:val="auto"/>
                <w:szCs w:val="21"/>
                <w:highlight w:val="none"/>
              </w:rPr>
              <w:t>质量管理体系与措施（</w:t>
            </w:r>
            <w:r>
              <w:rPr>
                <w:rFonts w:ascii="宋体" w:hAnsi="宋体" w:cs="仿宋"/>
                <w:color w:val="auto"/>
                <w:szCs w:val="21"/>
                <w:highlight w:val="none"/>
              </w:rPr>
              <w:t>7</w:t>
            </w:r>
            <w:r>
              <w:rPr>
                <w:rFonts w:hint="eastAsia" w:ascii="宋体" w:hAnsi="宋体" w:cs="仿宋"/>
                <w:color w:val="auto"/>
                <w:szCs w:val="21"/>
                <w:highlight w:val="none"/>
              </w:rPr>
              <w:t>分）</w:t>
            </w:r>
          </w:p>
        </w:tc>
        <w:tc>
          <w:tcPr>
            <w:tcW w:w="5172" w:type="dxa"/>
            <w:vAlign w:val="center"/>
          </w:tcPr>
          <w:p>
            <w:pPr>
              <w:adjustRightInd w:val="0"/>
              <w:snapToGrid w:val="0"/>
              <w:spacing w:line="360" w:lineRule="auto"/>
              <w:rPr>
                <w:color w:val="auto"/>
                <w:highlight w:val="none"/>
              </w:rPr>
            </w:pPr>
            <w:r>
              <w:rPr>
                <w:rFonts w:hint="eastAsia" w:ascii="宋体" w:hAnsi="宋体" w:cs="仿宋"/>
                <w:color w:val="auto"/>
                <w:szCs w:val="21"/>
                <w:highlight w:val="none"/>
              </w:rPr>
              <w:t>对施工项目质量保证目标明确，施工质量保证体系和质量 检查监督机构健全并具备有效的控制措施和手段。保证措施具有针对性，材料的质量保证措施满足招标文件及图纸所要求的工程质量要求。优秀得7分，良得5分，一般得3分，差得1分，未提供得0分。</w:t>
            </w:r>
          </w:p>
        </w:tc>
        <w:tc>
          <w:tcPr>
            <w:tcW w:w="1548" w:type="dxa"/>
            <w:vMerge w:val="continue"/>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693" w:type="dxa"/>
            <w:vMerge w:val="continue"/>
            <w:vAlign w:val="center"/>
          </w:tcPr>
          <w:p>
            <w:pPr>
              <w:adjustRightInd w:val="0"/>
              <w:snapToGrid w:val="0"/>
              <w:spacing w:line="360" w:lineRule="auto"/>
              <w:rPr>
                <w:color w:val="auto"/>
                <w:highlight w:val="none"/>
              </w:rPr>
            </w:pPr>
          </w:p>
        </w:tc>
        <w:tc>
          <w:tcPr>
            <w:tcW w:w="1145" w:type="dxa"/>
            <w:vMerge w:val="continue"/>
            <w:vAlign w:val="center"/>
          </w:tcPr>
          <w:p>
            <w:pPr>
              <w:adjustRightInd w:val="0"/>
              <w:snapToGrid w:val="0"/>
              <w:spacing w:line="360" w:lineRule="auto"/>
              <w:rPr>
                <w:color w:val="auto"/>
                <w:highlight w:val="none"/>
              </w:rPr>
            </w:pPr>
          </w:p>
        </w:tc>
        <w:tc>
          <w:tcPr>
            <w:tcW w:w="1164" w:type="dxa"/>
            <w:vAlign w:val="center"/>
          </w:tcPr>
          <w:p>
            <w:pPr>
              <w:adjustRightInd w:val="0"/>
              <w:snapToGrid w:val="0"/>
              <w:spacing w:line="360" w:lineRule="auto"/>
              <w:jc w:val="center"/>
              <w:rPr>
                <w:color w:val="auto"/>
                <w:highlight w:val="none"/>
              </w:rPr>
            </w:pPr>
            <w:r>
              <w:rPr>
                <w:rFonts w:hint="eastAsia" w:ascii="宋体" w:hAnsi="宋体" w:cs="仿宋"/>
                <w:color w:val="auto"/>
                <w:szCs w:val="21"/>
                <w:highlight w:val="none"/>
              </w:rPr>
              <w:t>安全管理体系与措施（</w:t>
            </w:r>
            <w:r>
              <w:rPr>
                <w:rFonts w:ascii="宋体" w:hAnsi="宋体" w:cs="仿宋"/>
                <w:color w:val="auto"/>
                <w:szCs w:val="21"/>
                <w:highlight w:val="none"/>
              </w:rPr>
              <w:t>7</w:t>
            </w:r>
            <w:r>
              <w:rPr>
                <w:rFonts w:hint="eastAsia" w:ascii="宋体" w:hAnsi="宋体" w:cs="仿宋"/>
                <w:color w:val="auto"/>
                <w:szCs w:val="21"/>
                <w:highlight w:val="none"/>
              </w:rPr>
              <w:t>分）</w:t>
            </w:r>
          </w:p>
        </w:tc>
        <w:tc>
          <w:tcPr>
            <w:tcW w:w="5172" w:type="dxa"/>
            <w:vAlign w:val="center"/>
          </w:tcPr>
          <w:p>
            <w:pPr>
              <w:spacing w:line="360" w:lineRule="auto"/>
              <w:rPr>
                <w:color w:val="auto"/>
                <w:highlight w:val="none"/>
              </w:rPr>
            </w:pPr>
            <w:r>
              <w:rPr>
                <w:rFonts w:hint="eastAsia" w:ascii="宋体" w:hAnsi="宋体" w:cs="仿宋"/>
                <w:color w:val="auto"/>
                <w:szCs w:val="21"/>
                <w:highlight w:val="none"/>
              </w:rPr>
              <w:t>有齐全完整的、可操作的项目安全生产管理制度，施工安全措施、劳动保护措施,符合现行的安全管理规范及要求。优秀得7分，良得5分，一般得3分，差得1分，未提供得0分。</w:t>
            </w:r>
          </w:p>
        </w:tc>
        <w:tc>
          <w:tcPr>
            <w:tcW w:w="1548" w:type="dxa"/>
            <w:vMerge w:val="continue"/>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693" w:type="dxa"/>
            <w:vMerge w:val="continue"/>
            <w:vAlign w:val="center"/>
          </w:tcPr>
          <w:p>
            <w:pPr>
              <w:adjustRightInd w:val="0"/>
              <w:snapToGrid w:val="0"/>
              <w:spacing w:line="360" w:lineRule="auto"/>
              <w:rPr>
                <w:color w:val="auto"/>
                <w:highlight w:val="none"/>
              </w:rPr>
            </w:pPr>
          </w:p>
        </w:tc>
        <w:tc>
          <w:tcPr>
            <w:tcW w:w="1145" w:type="dxa"/>
            <w:vMerge w:val="continue"/>
            <w:vAlign w:val="center"/>
          </w:tcPr>
          <w:p>
            <w:pPr>
              <w:adjustRightInd w:val="0"/>
              <w:snapToGrid w:val="0"/>
              <w:spacing w:line="360" w:lineRule="auto"/>
              <w:rPr>
                <w:color w:val="auto"/>
                <w:highlight w:val="none"/>
              </w:rPr>
            </w:pPr>
          </w:p>
        </w:tc>
        <w:tc>
          <w:tcPr>
            <w:tcW w:w="1164" w:type="dxa"/>
            <w:vAlign w:val="center"/>
          </w:tcPr>
          <w:p>
            <w:pPr>
              <w:adjustRightInd w:val="0"/>
              <w:snapToGrid w:val="0"/>
              <w:spacing w:line="360" w:lineRule="auto"/>
              <w:jc w:val="center"/>
              <w:rPr>
                <w:rFonts w:ascii="宋体" w:hAnsi="宋体" w:cs="宋体"/>
                <w:color w:val="auto"/>
                <w:szCs w:val="21"/>
                <w:highlight w:val="none"/>
              </w:rPr>
            </w:pPr>
            <w:r>
              <w:rPr>
                <w:rFonts w:hint="eastAsia" w:ascii="宋体" w:hAnsi="宋体" w:cs="仿宋"/>
                <w:color w:val="auto"/>
                <w:szCs w:val="21"/>
                <w:highlight w:val="none"/>
              </w:rPr>
              <w:t>环境保护管理体系与措施（</w:t>
            </w:r>
            <w:r>
              <w:rPr>
                <w:rFonts w:ascii="宋体" w:hAnsi="宋体" w:cs="仿宋"/>
                <w:color w:val="auto"/>
                <w:szCs w:val="21"/>
                <w:highlight w:val="none"/>
              </w:rPr>
              <w:t>7</w:t>
            </w:r>
            <w:r>
              <w:rPr>
                <w:rFonts w:hint="eastAsia" w:ascii="宋体" w:hAnsi="宋体" w:cs="仿宋"/>
                <w:color w:val="auto"/>
                <w:szCs w:val="21"/>
                <w:highlight w:val="none"/>
              </w:rPr>
              <w:t>分）</w:t>
            </w:r>
          </w:p>
        </w:tc>
        <w:tc>
          <w:tcPr>
            <w:tcW w:w="5172" w:type="dxa"/>
            <w:vAlign w:val="center"/>
          </w:tcPr>
          <w:p>
            <w:pPr>
              <w:adjustRightInd w:val="0"/>
              <w:snapToGrid w:val="0"/>
              <w:spacing w:line="360" w:lineRule="auto"/>
              <w:rPr>
                <w:rFonts w:ascii="宋体" w:hAnsi="宋体" w:cs="宋体"/>
                <w:color w:val="auto"/>
                <w:szCs w:val="21"/>
                <w:highlight w:val="none"/>
              </w:rPr>
            </w:pPr>
            <w:r>
              <w:rPr>
                <w:rFonts w:hint="eastAsia" w:ascii="宋体" w:hAnsi="宋体" w:cs="仿宋"/>
                <w:color w:val="auto"/>
                <w:szCs w:val="21"/>
                <w:highlight w:val="none"/>
              </w:rPr>
              <w:t>环境保护管理体系的方案、措施先进、合理、可靠。优秀得7分，良得5分，一般得3分，差得1分，未提供得0分。</w:t>
            </w:r>
          </w:p>
        </w:tc>
        <w:tc>
          <w:tcPr>
            <w:tcW w:w="1548" w:type="dxa"/>
            <w:vMerge w:val="restart"/>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693" w:type="dxa"/>
            <w:vMerge w:val="continue"/>
            <w:vAlign w:val="center"/>
          </w:tcPr>
          <w:p>
            <w:pPr>
              <w:adjustRightInd w:val="0"/>
              <w:snapToGrid w:val="0"/>
              <w:spacing w:line="360" w:lineRule="auto"/>
              <w:rPr>
                <w:color w:val="auto"/>
                <w:highlight w:val="none"/>
              </w:rPr>
            </w:pPr>
          </w:p>
        </w:tc>
        <w:tc>
          <w:tcPr>
            <w:tcW w:w="1145" w:type="dxa"/>
            <w:vMerge w:val="continue"/>
            <w:vAlign w:val="center"/>
          </w:tcPr>
          <w:p>
            <w:pPr>
              <w:adjustRightInd w:val="0"/>
              <w:snapToGrid w:val="0"/>
              <w:spacing w:line="360" w:lineRule="auto"/>
              <w:rPr>
                <w:color w:val="auto"/>
                <w:highlight w:val="none"/>
              </w:rPr>
            </w:pPr>
          </w:p>
        </w:tc>
        <w:tc>
          <w:tcPr>
            <w:tcW w:w="1164" w:type="dxa"/>
            <w:vAlign w:val="center"/>
          </w:tcPr>
          <w:p>
            <w:pPr>
              <w:spacing w:line="280" w:lineRule="exact"/>
              <w:rPr>
                <w:rFonts w:ascii="宋体" w:hAnsi="宋体" w:cs="仿宋"/>
                <w:color w:val="auto"/>
                <w:szCs w:val="21"/>
                <w:highlight w:val="none"/>
              </w:rPr>
            </w:pPr>
            <w:r>
              <w:rPr>
                <w:rFonts w:hint="eastAsia" w:ascii="宋体" w:hAnsi="宋体" w:cs="仿宋"/>
                <w:color w:val="auto"/>
                <w:szCs w:val="21"/>
                <w:highlight w:val="none"/>
              </w:rPr>
              <w:t>工程进度计划与措施（</w:t>
            </w:r>
            <w:r>
              <w:rPr>
                <w:rFonts w:ascii="宋体" w:hAnsi="宋体" w:cs="仿宋"/>
                <w:color w:val="auto"/>
                <w:szCs w:val="21"/>
                <w:highlight w:val="none"/>
              </w:rPr>
              <w:t>7</w:t>
            </w:r>
            <w:r>
              <w:rPr>
                <w:rFonts w:hint="eastAsia" w:ascii="宋体" w:hAnsi="宋体" w:cs="仿宋"/>
                <w:color w:val="auto"/>
                <w:szCs w:val="21"/>
                <w:highlight w:val="none"/>
              </w:rPr>
              <w:t>分）</w:t>
            </w:r>
          </w:p>
          <w:p>
            <w:pPr>
              <w:adjustRightInd w:val="0"/>
              <w:snapToGrid w:val="0"/>
              <w:spacing w:line="360" w:lineRule="auto"/>
              <w:jc w:val="center"/>
              <w:rPr>
                <w:rFonts w:ascii="宋体" w:hAnsi="宋体" w:cs="宋体"/>
                <w:color w:val="auto"/>
                <w:szCs w:val="21"/>
                <w:highlight w:val="none"/>
              </w:rPr>
            </w:pPr>
          </w:p>
        </w:tc>
        <w:tc>
          <w:tcPr>
            <w:tcW w:w="5172" w:type="dxa"/>
            <w:vAlign w:val="center"/>
          </w:tcPr>
          <w:p>
            <w:pPr>
              <w:spacing w:line="360" w:lineRule="auto"/>
              <w:rPr>
                <w:rFonts w:ascii="宋体" w:hAnsi="宋体" w:cs="宋体"/>
                <w:color w:val="auto"/>
                <w:szCs w:val="21"/>
                <w:highlight w:val="none"/>
              </w:rPr>
            </w:pPr>
            <w:r>
              <w:rPr>
                <w:rFonts w:hint="eastAsia" w:ascii="宋体" w:hAnsi="宋体" w:cs="仿宋"/>
                <w:color w:val="auto"/>
                <w:szCs w:val="21"/>
                <w:highlight w:val="none"/>
              </w:rPr>
              <w:t>总计划满足招标文件要求，各关键节点的工期切实可行，保证工期的措施科学、可靠。施工总体进度计划合理、控制性项目安排得当，工程进度补救措施可行，能保证在采购人规定的工期内完成。优秀得7分，良得5分，一般得3分，差得1分，未提供得0分。</w:t>
            </w:r>
          </w:p>
        </w:tc>
        <w:tc>
          <w:tcPr>
            <w:tcW w:w="1548" w:type="dxa"/>
            <w:vMerge w:val="continue"/>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693" w:type="dxa"/>
            <w:vMerge w:val="continue"/>
            <w:vAlign w:val="center"/>
          </w:tcPr>
          <w:p>
            <w:pPr>
              <w:adjustRightInd w:val="0"/>
              <w:snapToGrid w:val="0"/>
              <w:spacing w:line="360" w:lineRule="auto"/>
              <w:rPr>
                <w:color w:val="auto"/>
                <w:highlight w:val="none"/>
              </w:rPr>
            </w:pPr>
          </w:p>
        </w:tc>
        <w:tc>
          <w:tcPr>
            <w:tcW w:w="1145" w:type="dxa"/>
            <w:vMerge w:val="continue"/>
            <w:vAlign w:val="center"/>
          </w:tcPr>
          <w:p>
            <w:pPr>
              <w:adjustRightInd w:val="0"/>
              <w:snapToGrid w:val="0"/>
              <w:spacing w:line="360" w:lineRule="auto"/>
              <w:rPr>
                <w:color w:val="auto"/>
                <w:highlight w:val="none"/>
              </w:rPr>
            </w:pPr>
          </w:p>
        </w:tc>
        <w:tc>
          <w:tcPr>
            <w:tcW w:w="1164" w:type="dxa"/>
            <w:vAlign w:val="center"/>
          </w:tcPr>
          <w:p>
            <w:pPr>
              <w:adjustRightInd w:val="0"/>
              <w:snapToGrid w:val="0"/>
              <w:spacing w:line="360" w:lineRule="auto"/>
              <w:jc w:val="center"/>
              <w:rPr>
                <w:rFonts w:ascii="宋体" w:hAnsi="宋体" w:cs="宋体"/>
                <w:color w:val="auto"/>
                <w:szCs w:val="21"/>
                <w:highlight w:val="none"/>
              </w:rPr>
            </w:pPr>
            <w:r>
              <w:rPr>
                <w:rFonts w:hint="eastAsia" w:ascii="宋体" w:hAnsi="宋体" w:cs="仿宋"/>
                <w:color w:val="auto"/>
                <w:szCs w:val="21"/>
                <w:highlight w:val="none"/>
              </w:rPr>
              <w:t>施工设备配置情况（</w:t>
            </w:r>
            <w:r>
              <w:rPr>
                <w:rFonts w:ascii="宋体" w:hAnsi="宋体" w:cs="仿宋"/>
                <w:color w:val="auto"/>
                <w:szCs w:val="21"/>
                <w:highlight w:val="none"/>
              </w:rPr>
              <w:t>7</w:t>
            </w:r>
            <w:r>
              <w:rPr>
                <w:rFonts w:hint="eastAsia" w:ascii="宋体" w:hAnsi="宋体" w:cs="仿宋"/>
                <w:color w:val="auto"/>
                <w:szCs w:val="21"/>
                <w:highlight w:val="none"/>
              </w:rPr>
              <w:t>分）</w:t>
            </w:r>
          </w:p>
        </w:tc>
        <w:tc>
          <w:tcPr>
            <w:tcW w:w="5172" w:type="dxa"/>
            <w:vAlign w:val="center"/>
          </w:tcPr>
          <w:p>
            <w:pPr>
              <w:spacing w:line="360" w:lineRule="auto"/>
              <w:rPr>
                <w:rFonts w:ascii="宋体" w:hAnsi="宋体" w:cs="宋体"/>
                <w:color w:val="auto"/>
                <w:szCs w:val="21"/>
                <w:highlight w:val="none"/>
              </w:rPr>
            </w:pPr>
            <w:r>
              <w:rPr>
                <w:rFonts w:hint="eastAsia" w:ascii="宋体" w:hAnsi="宋体" w:cs="仿宋"/>
                <w:color w:val="auto"/>
                <w:szCs w:val="21"/>
                <w:highlight w:val="none"/>
              </w:rPr>
              <w:t>根据施工设备配置方案实际性、可行性、科学性、合理性进行评审。优秀得7分，良得5分，一般得3分，差得1分，未提供得0分。</w:t>
            </w:r>
          </w:p>
        </w:tc>
        <w:tc>
          <w:tcPr>
            <w:tcW w:w="1548" w:type="dxa"/>
            <w:vMerge w:val="continue"/>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8174" w:type="dxa"/>
            <w:gridSpan w:val="4"/>
            <w:vAlign w:val="center"/>
          </w:tcPr>
          <w:p>
            <w:pPr>
              <w:pStyle w:val="265"/>
              <w:spacing w:line="276" w:lineRule="auto"/>
              <w:jc w:val="center"/>
              <w:rPr>
                <w:rFonts w:ascii="Times New Roman" w:hAnsi="Times New Roman" w:cs="Times New Roman"/>
                <w:color w:val="auto"/>
                <w:highlight w:val="none"/>
              </w:rPr>
            </w:pPr>
            <w:r>
              <w:rPr>
                <w:rFonts w:ascii="Times New Roman" w:hAnsi="Times New Roman" w:cs="Times New Roman"/>
                <w:color w:val="auto"/>
                <w:highlight w:val="none"/>
              </w:rPr>
              <w:t>合计</w:t>
            </w:r>
          </w:p>
        </w:tc>
        <w:tc>
          <w:tcPr>
            <w:tcW w:w="1548" w:type="dxa"/>
            <w:vAlign w:val="center"/>
          </w:tcPr>
          <w:p>
            <w:pPr>
              <w:pStyle w:val="265"/>
              <w:spacing w:line="276" w:lineRule="auto"/>
              <w:jc w:val="center"/>
              <w:rPr>
                <w:rFonts w:ascii="Times New Roman" w:hAnsi="Times New Roman" w:cs="Times New Roman"/>
                <w:color w:val="auto"/>
                <w:highlight w:val="none"/>
              </w:rPr>
            </w:pPr>
            <w:r>
              <w:rPr>
                <w:rFonts w:ascii="Times New Roman" w:hAnsi="Times New Roman" w:cs="Times New Roman"/>
                <w:color w:val="auto"/>
                <w:highlight w:val="none"/>
              </w:rPr>
              <w:t>100</w:t>
            </w:r>
          </w:p>
        </w:tc>
      </w:tr>
    </w:tbl>
    <w:p>
      <w:pPr>
        <w:rPr>
          <w:color w:val="auto"/>
          <w:szCs w:val="21"/>
          <w:highlight w:val="none"/>
        </w:rPr>
      </w:pPr>
    </w:p>
    <w:p>
      <w:pPr>
        <w:rPr>
          <w:color w:val="auto"/>
          <w:szCs w:val="21"/>
          <w:highlight w:val="none"/>
        </w:rPr>
      </w:pPr>
    </w:p>
    <w:p>
      <w:pPr>
        <w:rPr>
          <w:color w:val="auto"/>
          <w:szCs w:val="21"/>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jc w:val="center"/>
        <w:rPr>
          <w:rFonts w:ascii="Calibri" w:hAnsi="Calibri"/>
          <w:b/>
          <w:color w:val="auto"/>
          <w:sz w:val="36"/>
          <w:szCs w:val="36"/>
          <w:highlight w:val="none"/>
        </w:rPr>
      </w:pPr>
      <w:r>
        <w:rPr>
          <w:rFonts w:hint="eastAsia" w:ascii="Calibri" w:hAnsi="Calibri"/>
          <w:b/>
          <w:color w:val="auto"/>
          <w:sz w:val="36"/>
          <w:szCs w:val="36"/>
          <w:highlight w:val="none"/>
        </w:rPr>
        <w:t>现场查勘确认书</w:t>
      </w:r>
      <w:r>
        <w:rPr>
          <w:rFonts w:hint="eastAsia" w:ascii="宋体" w:hAnsi="宋体"/>
          <w:color w:val="auto"/>
          <w:sz w:val="36"/>
          <w:szCs w:val="36"/>
          <w:highlight w:val="none"/>
        </w:rPr>
        <w:t> </w:t>
      </w:r>
    </w:p>
    <w:p>
      <w:pPr>
        <w:spacing w:line="500" w:lineRule="exact"/>
        <w:ind w:firstLine="420" w:firstLineChars="200"/>
        <w:outlineLvl w:val="0"/>
        <w:rPr>
          <w:rFonts w:ascii="宋体" w:hAnsi="宋体"/>
          <w:color w:val="auto"/>
          <w:szCs w:val="28"/>
          <w:highlight w:val="none"/>
        </w:rPr>
      </w:pPr>
    </w:p>
    <w:p>
      <w:pPr>
        <w:spacing w:line="500" w:lineRule="exact"/>
        <w:ind w:firstLine="560" w:firstLineChars="200"/>
        <w:outlineLvl w:val="0"/>
        <w:rPr>
          <w:rFonts w:ascii="宋体" w:hAnsi="宋体" w:cs="宋体"/>
          <w:color w:val="auto"/>
          <w:sz w:val="28"/>
          <w:szCs w:val="28"/>
          <w:highlight w:val="none"/>
        </w:rPr>
      </w:pPr>
      <w:r>
        <w:rPr>
          <w:rFonts w:hint="eastAsia" w:ascii="宋体" w:hAnsi="宋体"/>
          <w:color w:val="auto"/>
          <w:sz w:val="28"/>
          <w:szCs w:val="28"/>
          <w:highlight w:val="none"/>
        </w:rPr>
        <w:t>根据评比文件要求，各供应商对“</w:t>
      </w:r>
      <w:r>
        <w:rPr>
          <w:rFonts w:hint="eastAsia" w:ascii="宋体" w:hAnsi="宋体" w:cs="宋体"/>
          <w:color w:val="auto"/>
          <w:sz w:val="28"/>
          <w:szCs w:val="28"/>
          <w:highlight w:val="none"/>
          <w:u w:val="single"/>
        </w:rPr>
        <w:t xml:space="preserve">   （项目名称）   </w:t>
      </w:r>
      <w:r>
        <w:rPr>
          <w:rFonts w:hint="eastAsia" w:ascii="宋体" w:hAnsi="宋体"/>
          <w:color w:val="auto"/>
          <w:sz w:val="28"/>
          <w:szCs w:val="28"/>
          <w:highlight w:val="none"/>
        </w:rPr>
        <w:t>”现场必须进行实地踏勘。现有供应商单位“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”已进行实地踏勘。 </w:t>
      </w:r>
    </w:p>
    <w:p>
      <w:pPr>
        <w:ind w:firstLine="560" w:firstLineChars="200"/>
        <w:rPr>
          <w:rFonts w:ascii="宋体" w:hAnsi="宋体"/>
          <w:color w:val="auto"/>
          <w:sz w:val="28"/>
          <w:szCs w:val="28"/>
          <w:highlight w:val="none"/>
        </w:rPr>
      </w:pPr>
      <w:r>
        <w:rPr>
          <w:rFonts w:hint="eastAsia" w:ascii="宋体" w:hAnsi="宋体"/>
          <w:color w:val="auto"/>
          <w:sz w:val="28"/>
          <w:szCs w:val="28"/>
          <w:highlight w:val="none"/>
        </w:rPr>
        <w:t>1、供应商单位经现场踏勘后领取</w:t>
      </w:r>
      <w:r>
        <w:rPr>
          <w:rFonts w:hint="eastAsia" w:ascii="Calibri" w:hAnsi="Calibri"/>
          <w:color w:val="auto"/>
          <w:sz w:val="28"/>
          <w:szCs w:val="28"/>
          <w:highlight w:val="none"/>
        </w:rPr>
        <w:t>现场查勘确认书</w:t>
      </w:r>
      <w:r>
        <w:rPr>
          <w:rFonts w:hint="eastAsia" w:ascii="宋体" w:hAnsi="宋体"/>
          <w:color w:val="auto"/>
          <w:sz w:val="28"/>
          <w:szCs w:val="28"/>
          <w:highlight w:val="none"/>
        </w:rPr>
        <w:t>，即视作对该项目现场现状已充分了解。 </w:t>
      </w:r>
    </w:p>
    <w:p>
      <w:pPr>
        <w:ind w:firstLine="560" w:firstLineChars="200"/>
        <w:rPr>
          <w:rFonts w:ascii="宋体" w:hAnsi="宋体"/>
          <w:color w:val="auto"/>
          <w:sz w:val="28"/>
          <w:szCs w:val="28"/>
          <w:highlight w:val="none"/>
        </w:rPr>
      </w:pPr>
      <w:r>
        <w:rPr>
          <w:rFonts w:hint="eastAsia" w:ascii="宋体" w:hAnsi="宋体"/>
          <w:color w:val="auto"/>
          <w:sz w:val="28"/>
          <w:szCs w:val="28"/>
          <w:highlight w:val="none"/>
        </w:rPr>
        <w:t>2、拟成交单位中标后，不因场地或其他施工条件等原因拒绝签署项目合同书或施工过程不履行所约定的各项义务。 </w:t>
      </w:r>
    </w:p>
    <w:p>
      <w:pPr>
        <w:ind w:firstLine="560" w:firstLineChars="200"/>
        <w:rPr>
          <w:rFonts w:ascii="宋体" w:hAnsi="宋体"/>
          <w:color w:val="auto"/>
          <w:sz w:val="28"/>
          <w:szCs w:val="28"/>
          <w:highlight w:val="none"/>
        </w:rPr>
      </w:pPr>
      <w:r>
        <w:rPr>
          <w:rFonts w:hint="eastAsia" w:ascii="宋体" w:hAnsi="宋体"/>
          <w:color w:val="auto"/>
          <w:sz w:val="28"/>
          <w:szCs w:val="28"/>
          <w:highlight w:val="none"/>
        </w:rPr>
        <w:t>特此证明 </w:t>
      </w:r>
    </w:p>
    <w:p>
      <w:pPr>
        <w:rPr>
          <w:rFonts w:ascii="宋体" w:hAnsi="宋体"/>
          <w:color w:val="auto"/>
          <w:sz w:val="28"/>
          <w:szCs w:val="28"/>
          <w:highlight w:val="none"/>
        </w:rPr>
      </w:pPr>
      <w:r>
        <w:rPr>
          <w:rFonts w:hint="eastAsia" w:ascii="宋体" w:hAnsi="宋体"/>
          <w:color w:val="auto"/>
          <w:sz w:val="28"/>
          <w:szCs w:val="28"/>
          <w:highlight w:val="none"/>
        </w:rPr>
        <w:t>                                        </w:t>
      </w:r>
    </w:p>
    <w:p>
      <w:pPr>
        <w:rPr>
          <w:rFonts w:ascii="宋体" w:hAnsi="宋体"/>
          <w:color w:val="auto"/>
          <w:sz w:val="28"/>
          <w:szCs w:val="28"/>
          <w:highlight w:val="none"/>
        </w:rPr>
      </w:pPr>
      <w:r>
        <w:rPr>
          <w:rFonts w:hint="eastAsia" w:ascii="宋体" w:hAnsi="宋体"/>
          <w:color w:val="auto"/>
          <w:sz w:val="28"/>
          <w:szCs w:val="28"/>
          <w:highlight w:val="none"/>
        </w:rPr>
        <w:t>               </w:t>
      </w:r>
      <w:r>
        <w:rPr>
          <w:rFonts w:ascii="宋体" w:hAnsi="宋体"/>
          <w:color w:val="auto"/>
          <w:sz w:val="28"/>
          <w:szCs w:val="28"/>
          <w:highlight w:val="none"/>
        </w:rPr>
        <w:t xml:space="preserve">  </w:t>
      </w:r>
      <w:r>
        <w:rPr>
          <w:rFonts w:hint="eastAsia" w:ascii="宋体" w:hAnsi="宋体"/>
          <w:color w:val="auto"/>
          <w:sz w:val="28"/>
          <w:szCs w:val="28"/>
          <w:highlight w:val="none"/>
        </w:rPr>
        <w:t xml:space="preserve"> 采购单位： </w:t>
      </w:r>
    </w:p>
    <w:p>
      <w:pPr>
        <w:pStyle w:val="29"/>
        <w:rPr>
          <w:rFonts w:ascii="宋体" w:hAnsi="宋体"/>
          <w:b w:val="0"/>
          <w:bCs w:val="0"/>
          <w:color w:val="auto"/>
          <w:kern w:val="2"/>
          <w:sz w:val="28"/>
          <w:szCs w:val="28"/>
          <w:highlight w:val="none"/>
        </w:rPr>
      </w:pPr>
      <w:r>
        <w:rPr>
          <w:rFonts w:hint="eastAsia" w:ascii="宋体" w:hAnsi="宋体"/>
          <w:b w:val="0"/>
          <w:bCs w:val="0"/>
          <w:color w:val="auto"/>
          <w:kern w:val="2"/>
          <w:sz w:val="28"/>
          <w:szCs w:val="28"/>
          <w:highlight w:val="none"/>
        </w:rPr>
        <w:t xml:space="preserve">                  </w:t>
      </w:r>
      <w:bookmarkStart w:id="1001" w:name="_Toc89857655"/>
      <w:r>
        <w:rPr>
          <w:rFonts w:hint="eastAsia" w:ascii="宋体" w:hAnsi="宋体"/>
          <w:b w:val="0"/>
          <w:bCs w:val="0"/>
          <w:color w:val="auto"/>
          <w:kern w:val="2"/>
          <w:sz w:val="28"/>
          <w:szCs w:val="28"/>
          <w:highlight w:val="none"/>
        </w:rPr>
        <w:t>日    期：   年   月   日   时</w:t>
      </w:r>
      <w:bookmarkEnd w:id="1001"/>
    </w:p>
    <w:p>
      <w:pPr>
        <w:rPr>
          <w:color w:val="auto"/>
          <w:szCs w:val="21"/>
          <w:highlight w:val="none"/>
        </w:rPr>
      </w:pPr>
    </w:p>
    <w:bookmarkEnd w:id="1002"/>
    <w:sectPr>
      <w:headerReference r:id="rId11" w:type="default"/>
      <w:pgSz w:w="11906" w:h="16838"/>
      <w:pgMar w:top="851" w:right="1134" w:bottom="851" w:left="124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微软简楷体">
    <w:altName w:val="宋体"/>
    <w:panose1 w:val="00000000000000000000"/>
    <w:charset w:val="86"/>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Century Gothic">
    <w:panose1 w:val="020B0502020202020204"/>
    <w:charset w:val="00"/>
    <w:family w:val="swiss"/>
    <w:pitch w:val="default"/>
    <w:sig w:usb0="00000287" w:usb1="00000000" w:usb2="00000000" w:usb3="00000000" w:csb0="2000009F" w:csb1="DFD70000"/>
  </w:font>
  <w:font w:name="Helvetica-Black">
    <w:altName w:val="Arial"/>
    <w:panose1 w:val="00000000000000000000"/>
    <w:charset w:val="00"/>
    <w:family w:val="swiss"/>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Frutiger 55 Roman">
    <w:altName w:val="Courier New"/>
    <w:panose1 w:val="00000000000000000000"/>
    <w:charset w:val="00"/>
    <w:family w:val="auto"/>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0002A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Microsoft Sans Serif">
    <w:panose1 w:val="020B0604020202020204"/>
    <w:charset w:val="00"/>
    <w:family w:val="swiss"/>
    <w:pitch w:val="default"/>
    <w:sig w:usb0="E5002EFF" w:usb1="C000605B" w:usb2="00000029" w:usb3="00000000" w:csb0="200101FF" w:csb1="2028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right="360"/>
      <w:rPr>
        <w:rFonts w:ascii="仿宋_GB2312" w:hAnsi="宋体" w:eastAsia="仿宋_GB2312"/>
      </w:rPr>
    </w:pPr>
    <w:r>
      <w:rPr>
        <w:rFonts w:hint="eastAsia" w:ascii="仿宋_GB2312" w:hAnsi="宋体" w:eastAsia="仿宋_GB2312"/>
      </w:rPr>
      <w:t xml:space="preserve">中招国际招标有限公司重庆分公司 </w:t>
    </w:r>
    <w:r>
      <w:rPr>
        <w:rFonts w:ascii="仿宋_GB2312" w:hAnsi="宋体" w:eastAsia="仿宋_GB2312"/>
      </w:rPr>
      <w:t xml:space="preserve">        </w:t>
    </w:r>
    <w:r>
      <w:rPr>
        <w:rFonts w:hint="eastAsia" w:ascii="仿宋_GB2312" w:hAnsi="宋体" w:eastAsia="仿宋_GB2312"/>
        <w:bCs/>
      </w:rPr>
      <w:t>地址</w:t>
    </w:r>
    <w:r>
      <w:rPr>
        <w:rFonts w:hint="eastAsia" w:ascii="仿宋_GB2312" w:hAnsi="宋体" w:eastAsia="仿宋_GB2312"/>
        <w:bCs/>
        <w:sz w:val="21"/>
      </w:rPr>
      <w:t>：</w:t>
    </w:r>
    <w:r>
      <w:rPr>
        <w:rFonts w:hint="eastAsia" w:ascii="仿宋_GB2312" w:hAnsi="宋体" w:eastAsia="仿宋_GB2312"/>
      </w:rPr>
      <w:t>重庆渝北区黄山大道中段53号5-1（双鱼座A栋5楼）</w:t>
    </w:r>
  </w:p>
  <w:p>
    <w:pPr>
      <w:pStyle w:val="26"/>
      <w:ind w:right="360"/>
      <w:rPr>
        <w:rFonts w:ascii="仿宋_GB2312" w:hAnsi="宋体" w:eastAsia="仿宋_GB2312"/>
      </w:rPr>
    </w:pPr>
    <w:r>
      <w:rPr>
        <w:rFonts w:hint="eastAsia" w:ascii="仿宋_GB2312" w:hAnsi="宋体" w:eastAsia="仿宋_GB2312"/>
      </w:rPr>
      <w:t>电话：023-68881331   传真：023-68696636</w:t>
    </w:r>
  </w:p>
  <w:p>
    <w:pPr>
      <w:pStyle w:val="26"/>
      <w:jc w:val="center"/>
      <w:rPr>
        <w:sz w:val="21"/>
      </w:rPr>
    </w:pPr>
    <w:r>
      <w:rPr>
        <w:sz w:val="21"/>
      </w:rPr>
      <w:fldChar w:fldCharType="begin"/>
    </w:r>
    <w:r>
      <w:rPr>
        <w:rStyle w:val="44"/>
        <w:sz w:val="21"/>
      </w:rPr>
      <w:instrText xml:space="preserve"> PAGE </w:instrText>
    </w:r>
    <w:r>
      <w:rPr>
        <w:sz w:val="21"/>
      </w:rPr>
      <w:fldChar w:fldCharType="separate"/>
    </w:r>
    <w:r>
      <w:rPr>
        <w:rStyle w:val="44"/>
        <w:sz w:val="21"/>
      </w:rPr>
      <w:t>2</w:t>
    </w:r>
    <w:r>
      <w:rPr>
        <w:sz w:val="2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4"/>
      </w:rPr>
    </w:pPr>
    <w:r>
      <w:fldChar w:fldCharType="begin"/>
    </w:r>
    <w:r>
      <w:rPr>
        <w:rStyle w:val="44"/>
      </w:rPr>
      <w:instrText xml:space="preserve">PAGE  </w:instrText>
    </w:r>
    <w:r>
      <w:fldChar w:fldCharType="end"/>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w:fldChar w:fldCharType="begin"/>
    </w:r>
    <w:r>
      <w:rPr>
        <w:rStyle w:val="44"/>
      </w:rPr>
      <w:instrText xml:space="preserve"> PAGE </w:instrText>
    </w:r>
    <w:r>
      <w:fldChar w:fldCharType="separate"/>
    </w:r>
    <w:r>
      <w:rPr>
        <w:rStyle w:val="44"/>
      </w:rP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right="360"/>
      <w:jc w:val="center"/>
      <w:rPr>
        <w:rFonts w:ascii="仿宋" w:hAnsi="仿宋" w:eastAsia="仿宋"/>
        <w:sz w:val="21"/>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ge">
                <wp:posOffset>9912350</wp:posOffset>
              </wp:positionV>
              <wp:extent cx="295910" cy="17272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295910" cy="172720"/>
                      </a:xfrm>
                      <a:prstGeom prst="rect">
                        <a:avLst/>
                      </a:prstGeom>
                      <a:noFill/>
                      <a:ln>
                        <a:noFill/>
                      </a:ln>
                    </wps:spPr>
                    <wps:txbx>
                      <w:txbxContent>
                        <w:p>
                          <w:pPr>
                            <w:pStyle w:val="26"/>
                            <w:ind w:right="360"/>
                            <w:jc w:val="center"/>
                          </w:pPr>
                          <w:r>
                            <w:rPr>
                              <w:rFonts w:ascii="仿宋" w:hAnsi="仿宋" w:eastAsia="仿宋"/>
                              <w:sz w:val="21"/>
                              <w:szCs w:val="21"/>
                            </w:rPr>
                            <w:fldChar w:fldCharType="begin"/>
                          </w:r>
                          <w:r>
                            <w:rPr>
                              <w:rStyle w:val="44"/>
                              <w:rFonts w:ascii="仿宋" w:hAnsi="仿宋" w:eastAsia="仿宋"/>
                              <w:sz w:val="21"/>
                              <w:szCs w:val="21"/>
                            </w:rPr>
                            <w:instrText xml:space="preserve"> PAGE </w:instrText>
                          </w:r>
                          <w:r>
                            <w:rPr>
                              <w:rFonts w:ascii="仿宋" w:hAnsi="仿宋" w:eastAsia="仿宋"/>
                              <w:sz w:val="21"/>
                              <w:szCs w:val="21"/>
                            </w:rPr>
                            <w:fldChar w:fldCharType="separate"/>
                          </w:r>
                          <w:r>
                            <w:rPr>
                              <w:rStyle w:val="44"/>
                              <w:rFonts w:ascii="仿宋" w:hAnsi="仿宋" w:eastAsia="仿宋"/>
                              <w:sz w:val="21"/>
                              <w:szCs w:val="21"/>
                            </w:rPr>
                            <w:t>44</w:t>
                          </w:r>
                          <w:r>
                            <w:rPr>
                              <w:rFonts w:ascii="仿宋" w:hAnsi="仿宋" w:eastAsia="仿宋"/>
                              <w:sz w:val="21"/>
                              <w:szCs w:val="21"/>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780.5pt;height:13.6pt;width:23.3pt;mso-position-horizontal:center;mso-position-horizontal-relative:margin;mso-position-vertical-relative:page;mso-wrap-style:none;z-index:251659264;mso-width-relative:page;mso-height-relative:page;" filled="f" stroked="f" coordsize="21600,21600" o:gfxdata="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5TLT91AAAAAkBAAAPAAAAAAAAAAEAIAAAACIAAABkcnMvZG93bnJl&#10;di54bWxQSwECFAAUAAAACACHTuJAs6yJnsgBAACNAwAADgAAAAAAAAABACAAAAAjAQAAZHJzL2Uy&#10;b0RvYy54bWxQSwUGAAAAAAYABgBZAQAAXQUAAAAA&#10;">
              <v:fill on="f" focussize="0,0"/>
              <v:stroke on="f"/>
              <v:imagedata o:title=""/>
              <o:lock v:ext="edit" aspectratio="f"/>
              <v:textbox inset="0mm,0mm,0mm,0mm" style="mso-fit-shape-to-text:t;">
                <w:txbxContent>
                  <w:p>
                    <w:pPr>
                      <w:pStyle w:val="26"/>
                      <w:ind w:right="360"/>
                      <w:jc w:val="center"/>
                    </w:pPr>
                    <w:r>
                      <w:rPr>
                        <w:rFonts w:ascii="仿宋" w:hAnsi="仿宋" w:eastAsia="仿宋"/>
                        <w:sz w:val="21"/>
                        <w:szCs w:val="21"/>
                      </w:rPr>
                      <w:fldChar w:fldCharType="begin"/>
                    </w:r>
                    <w:r>
                      <w:rPr>
                        <w:rStyle w:val="44"/>
                        <w:rFonts w:ascii="仿宋" w:hAnsi="仿宋" w:eastAsia="仿宋"/>
                        <w:sz w:val="21"/>
                        <w:szCs w:val="21"/>
                      </w:rPr>
                      <w:instrText xml:space="preserve"> PAGE </w:instrText>
                    </w:r>
                    <w:r>
                      <w:rPr>
                        <w:rFonts w:ascii="仿宋" w:hAnsi="仿宋" w:eastAsia="仿宋"/>
                        <w:sz w:val="21"/>
                        <w:szCs w:val="21"/>
                      </w:rPr>
                      <w:fldChar w:fldCharType="separate"/>
                    </w:r>
                    <w:r>
                      <w:rPr>
                        <w:rStyle w:val="44"/>
                        <w:rFonts w:ascii="仿宋" w:hAnsi="仿宋" w:eastAsia="仿宋"/>
                        <w:sz w:val="21"/>
                        <w:szCs w:val="21"/>
                      </w:rPr>
                      <w:t>44</w:t>
                    </w:r>
                    <w:r>
                      <w:rPr>
                        <w:rFonts w:ascii="仿宋" w:hAnsi="仿宋" w:eastAsia="仿宋"/>
                        <w:sz w:val="21"/>
                        <w:szCs w:val="21"/>
                      </w:rPr>
                      <w:fldChar w:fldCharType="end"/>
                    </w:r>
                  </w:p>
                </w:txbxContent>
              </v:textbox>
            </v:shape>
          </w:pict>
        </mc:Fallback>
      </mc:AlternateContent>
    </w:r>
  </w:p>
  <w:p>
    <w:pPr>
      <w:rPr>
        <w:rFonts w:ascii="仿宋" w:hAnsi="仿宋" w:eastAsia="仿宋"/>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right" w:y="1"/>
      <w:rPr>
        <w:rStyle w:val="44"/>
      </w:rPr>
    </w:pPr>
    <w:r>
      <w:fldChar w:fldCharType="begin"/>
    </w:r>
    <w:r>
      <w:rPr>
        <w:rStyle w:val="44"/>
      </w:rPr>
      <w:instrText xml:space="preserve">PAGE  </w:instrText>
    </w:r>
    <w:r>
      <w:fldChar w:fldCharType="end"/>
    </w:r>
  </w:p>
  <w:p>
    <w:pPr>
      <w:pStyle w:val="26"/>
      <w:ind w:right="360"/>
    </w:pP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single" w:color="auto" w:sz="4" w:space="1"/>
      </w:pBdr>
      <w:ind w:left="5220" w:hanging="5220" w:hangingChars="2900"/>
      <w:jc w:val="left"/>
      <w:rPr>
        <w:rFonts w:ascii="黑体" w:eastAsia="黑体"/>
      </w:rPr>
    </w:pPr>
    <w:r>
      <w:rPr>
        <w:rFonts w:hint="eastAsia" w:ascii="黑体" w:eastAsia="黑体"/>
      </w:rPr>
      <w:t xml:space="preserve">北京理工大学重庆创新中心空间文化提升项目    </w:t>
    </w:r>
    <w:r>
      <w:rPr>
        <w:rFonts w:hint="eastAsia" w:ascii="方正仿宋_GBK" w:eastAsia="方正仿宋_GBK"/>
        <w:sz w:val="21"/>
        <w:szCs w:val="24"/>
      </w:rPr>
      <w:t xml:space="preserve"> </w:t>
    </w:r>
    <w:r>
      <w:rPr>
        <w:rFonts w:ascii="方正仿宋_GBK" w:eastAsia="方正仿宋_GBK"/>
        <w:sz w:val="21"/>
        <w:szCs w:val="24"/>
      </w:rPr>
      <w:t xml:space="preserve">      </w:t>
    </w:r>
    <w:r>
      <w:rPr>
        <w:rFonts w:hint="eastAsia" w:ascii="方正仿宋_GBK" w:eastAsia="方正仿宋_GBK"/>
        <w:sz w:val="21"/>
        <w:szCs w:val="24"/>
      </w:rPr>
      <w:t xml:space="preserve"> </w:t>
    </w:r>
    <w:r>
      <w:rPr>
        <w:rFonts w:ascii="方正仿宋_GBK" w:eastAsia="方正仿宋_GBK"/>
        <w:sz w:val="21"/>
        <w:szCs w:val="24"/>
      </w:rPr>
      <w:t xml:space="preserve">  </w:t>
    </w:r>
    <w:r>
      <w:rPr>
        <w:rFonts w:ascii="方正仿宋_GBK" w:eastAsia="方正仿宋_GBK"/>
        <w:sz w:val="21"/>
        <w:szCs w:val="24"/>
      </w:rPr>
      <w:object>
        <v:shape id="_x0000_i1025" o:spt="75" type="#_x0000_t75" style="height:21pt;width:21.75pt;" o:ole="t" filled="f" o:preferrelative="t" stroked="f" coordsize="21600,21600">
          <v:path/>
          <v:fill on="f" focussize="0,0"/>
          <v:stroke on="f" joinstyle="miter"/>
          <v:imagedata r:id="rId2" embosscolor="#FFFFFF" o:title=""/>
          <o:lock v:ext="edit" aspectratio="t"/>
          <w10:wrap type="none"/>
          <w10:anchorlock/>
        </v:shape>
        <o:OLEObject Type="Embed" ProgID="PBrush" ShapeID="_x0000_i1025" DrawAspect="Content" ObjectID="_1468075725" r:id="rId1">
          <o:LockedField>false</o:LockedField>
        </o:OLEObject>
      </w:object>
    </w:r>
    <w:r>
      <w:rPr>
        <w:rFonts w:hint="eastAsia" w:ascii="方正仿宋_GBK" w:eastAsia="方正仿宋_GBK"/>
        <w:sz w:val="21"/>
        <w:szCs w:val="24"/>
      </w:rPr>
      <w:t xml:space="preserve">      </w:t>
    </w:r>
    <w:r>
      <w:rPr>
        <w:rFonts w:ascii="方正仿宋_GBK" w:eastAsia="方正仿宋_GBK"/>
        <w:sz w:val="21"/>
        <w:szCs w:val="24"/>
      </w:rPr>
      <w:t xml:space="preserve">           </w:t>
    </w:r>
    <w:r>
      <w:rPr>
        <w:rFonts w:hint="eastAsia" w:ascii="方正仿宋_GBK" w:eastAsia="方正仿宋_GBK"/>
        <w:sz w:val="21"/>
        <w:szCs w:val="24"/>
      </w:rPr>
      <w:t xml:space="preserve">    </w:t>
    </w:r>
    <w:r>
      <w:rPr>
        <w:rFonts w:ascii="方正仿宋_GBK" w:eastAsia="方正仿宋_GBK"/>
        <w:sz w:val="21"/>
        <w:szCs w:val="24"/>
      </w:rPr>
      <w:t xml:space="preserve">      </w:t>
    </w:r>
    <w:r>
      <w:rPr>
        <w:rFonts w:hint="eastAsia" w:ascii="黑体" w:eastAsia="黑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33B837"/>
    <w:multiLevelType w:val="singleLevel"/>
    <w:tmpl w:val="8433B837"/>
    <w:lvl w:ilvl="0" w:tentative="0">
      <w:start w:val="26"/>
      <w:numFmt w:val="decimal"/>
      <w:suff w:val="space"/>
      <w:lvlText w:val="%1."/>
      <w:lvlJc w:val="left"/>
    </w:lvl>
  </w:abstractNum>
  <w:abstractNum w:abstractNumId="1">
    <w:nsid w:val="D098AA1A"/>
    <w:multiLevelType w:val="singleLevel"/>
    <w:tmpl w:val="D098AA1A"/>
    <w:lvl w:ilvl="0" w:tentative="0">
      <w:start w:val="1"/>
      <w:numFmt w:val="decimal"/>
      <w:lvlText w:val="%1)"/>
      <w:lvlJc w:val="left"/>
      <w:pPr>
        <w:ind w:left="425" w:hanging="425"/>
      </w:pPr>
      <w:rPr>
        <w:rFonts w:hint="default"/>
      </w:rPr>
    </w:lvl>
  </w:abstractNum>
  <w:abstractNum w:abstractNumId="2">
    <w:nsid w:val="EA695811"/>
    <w:multiLevelType w:val="singleLevel"/>
    <w:tmpl w:val="EA695811"/>
    <w:lvl w:ilvl="0" w:tentative="0">
      <w:start w:val="1"/>
      <w:numFmt w:val="decimal"/>
      <w:suff w:val="space"/>
      <w:lvlText w:val="(%1)"/>
      <w:lvlJc w:val="left"/>
    </w:lvl>
  </w:abstractNum>
  <w:abstractNum w:abstractNumId="3">
    <w:nsid w:val="00000002"/>
    <w:multiLevelType w:val="multilevel"/>
    <w:tmpl w:val="00000002"/>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4">
    <w:nsid w:val="00000004"/>
    <w:multiLevelType w:val="multilevel"/>
    <w:tmpl w:val="00000004"/>
    <w:lvl w:ilvl="0" w:tentative="0">
      <w:start w:val="1"/>
      <w:numFmt w:val="decimal"/>
      <w:isLgl/>
      <w:lvlText w:val="%1."/>
      <w:lvlJc w:val="left"/>
      <w:pPr>
        <w:tabs>
          <w:tab w:val="left" w:pos="624"/>
        </w:tabs>
        <w:ind w:left="624" w:hanging="624"/>
      </w:pPr>
      <w:rPr>
        <w:rFonts w:hint="eastAsia"/>
      </w:rPr>
    </w:lvl>
    <w:lvl w:ilvl="1" w:tentative="0">
      <w:start w:val="1"/>
      <w:numFmt w:val="decimal"/>
      <w:isLgl/>
      <w:lvlText w:val="%1.%2"/>
      <w:lvlJc w:val="left"/>
      <w:pPr>
        <w:tabs>
          <w:tab w:val="left" w:pos="624"/>
        </w:tabs>
        <w:ind w:left="624" w:hanging="624"/>
      </w:pPr>
      <w:rPr>
        <w:rFonts w:hint="eastAsia" w:ascii="宋体" w:hAnsi="宋体" w:eastAsia="宋体"/>
        <w:b w:val="0"/>
      </w:rPr>
    </w:lvl>
    <w:lvl w:ilvl="2" w:tentative="0">
      <w:start w:val="1"/>
      <w:numFmt w:val="lowerLetter"/>
      <w:lvlText w:val="%3)"/>
      <w:lvlJc w:val="left"/>
      <w:pPr>
        <w:tabs>
          <w:tab w:val="left" w:pos="420"/>
        </w:tabs>
        <w:ind w:left="420" w:hanging="420"/>
      </w:pPr>
      <w:rPr>
        <w:rFonts w:hint="eastAsia"/>
      </w:rPr>
    </w:lvl>
    <w:lvl w:ilvl="3" w:tentative="0">
      <w:start w:val="1"/>
      <w:numFmt w:val="decimalEnclosedCircle"/>
      <w:lvlText w:val="%4"/>
      <w:lvlJc w:val="left"/>
      <w:pPr>
        <w:tabs>
          <w:tab w:val="left" w:pos="624"/>
        </w:tabs>
        <w:ind w:left="624" w:hanging="397"/>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0000005"/>
    <w:multiLevelType w:val="multilevel"/>
    <w:tmpl w:val="00000005"/>
    <w:lvl w:ilvl="0" w:tentative="0">
      <w:start w:val="1"/>
      <w:numFmt w:val="decimal"/>
      <w:lvlText w:val="%1)"/>
      <w:lvlJc w:val="left"/>
      <w:pPr>
        <w:tabs>
          <w:tab w:val="left" w:pos="900"/>
        </w:tabs>
        <w:ind w:left="900" w:hanging="420"/>
      </w:pPr>
    </w:lvl>
    <w:lvl w:ilvl="1" w:tentative="0">
      <w:start w:val="4"/>
      <w:numFmt w:val="japaneseCounting"/>
      <w:lvlText w:val="第%2章"/>
      <w:lvlJc w:val="left"/>
      <w:pPr>
        <w:tabs>
          <w:tab w:val="left" w:pos="2340"/>
        </w:tabs>
        <w:ind w:left="2340" w:hanging="1440"/>
      </w:pPr>
      <w:rPr>
        <w:rFonts w:hint="default"/>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6">
    <w:nsid w:val="00000006"/>
    <w:multiLevelType w:val="singleLevel"/>
    <w:tmpl w:val="00000006"/>
    <w:lvl w:ilvl="0" w:tentative="0">
      <w:start w:val="1"/>
      <w:numFmt w:val="japaneseCounting"/>
      <w:lvlText w:val="第%1章"/>
      <w:lvlJc w:val="left"/>
      <w:pPr>
        <w:tabs>
          <w:tab w:val="left" w:pos="1065"/>
        </w:tabs>
        <w:ind w:left="1065" w:hanging="165"/>
      </w:pPr>
      <w:rPr>
        <w:rFonts w:ascii="微软雅黑" w:hAnsi="微软雅黑" w:eastAsia="微软雅黑" w:cs="Times New Roman"/>
      </w:rPr>
    </w:lvl>
  </w:abstractNum>
  <w:abstractNum w:abstractNumId="7">
    <w:nsid w:val="00000009"/>
    <w:multiLevelType w:val="multilevel"/>
    <w:tmpl w:val="00000009"/>
    <w:lvl w:ilvl="0" w:tentative="0">
      <w:start w:val="13"/>
      <w:numFmt w:val="decimal"/>
      <w:lvlText w:val="%1"/>
      <w:lvlJc w:val="left"/>
      <w:pPr>
        <w:tabs>
          <w:tab w:val="left" w:pos="420"/>
        </w:tabs>
        <w:ind w:left="420" w:hanging="420"/>
      </w:pPr>
      <w:rPr>
        <w:rFonts w:hint="default"/>
      </w:rPr>
    </w:lvl>
    <w:lvl w:ilvl="1" w:tentative="0">
      <w:start w:val="1"/>
      <w:numFmt w:val="decimal"/>
      <w:lvlText w:val="%1.%2"/>
      <w:lvlJc w:val="left"/>
      <w:pPr>
        <w:tabs>
          <w:tab w:val="left" w:pos="420"/>
        </w:tabs>
        <w:ind w:left="420" w:hanging="42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8">
    <w:nsid w:val="0000000C"/>
    <w:multiLevelType w:val="multilevel"/>
    <w:tmpl w:val="0000000C"/>
    <w:lvl w:ilvl="0" w:tentative="0">
      <w:start w:val="1"/>
      <w:numFmt w:val="decimal"/>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9">
    <w:nsid w:val="00000014"/>
    <w:multiLevelType w:val="multilevel"/>
    <w:tmpl w:val="00000014"/>
    <w:lvl w:ilvl="0" w:tentative="0">
      <w:start w:val="1"/>
      <w:numFmt w:val="bullet"/>
      <w:lvlText w:val=""/>
      <w:lvlJc w:val="left"/>
      <w:pPr>
        <w:tabs>
          <w:tab w:val="left" w:pos="1044"/>
        </w:tabs>
        <w:ind w:left="1044" w:hanging="420"/>
      </w:pPr>
      <w:rPr>
        <w:rFonts w:hint="default" w:ascii="Wingdings" w:hAnsi="Wingdings"/>
      </w:rPr>
    </w:lvl>
    <w:lvl w:ilvl="1" w:tentative="0">
      <w:start w:val="1"/>
      <w:numFmt w:val="bullet"/>
      <w:lvlText w:val=""/>
      <w:lvlJc w:val="left"/>
      <w:pPr>
        <w:tabs>
          <w:tab w:val="left" w:pos="1464"/>
        </w:tabs>
        <w:ind w:left="1464" w:hanging="420"/>
      </w:pPr>
      <w:rPr>
        <w:rFonts w:hint="default" w:ascii="Wingdings" w:hAnsi="Wingdings"/>
      </w:rPr>
    </w:lvl>
    <w:lvl w:ilvl="2" w:tentative="0">
      <w:start w:val="1"/>
      <w:numFmt w:val="bullet"/>
      <w:lvlText w:val=""/>
      <w:lvlJc w:val="left"/>
      <w:pPr>
        <w:tabs>
          <w:tab w:val="left" w:pos="1884"/>
        </w:tabs>
        <w:ind w:left="1884" w:hanging="420"/>
      </w:pPr>
      <w:rPr>
        <w:rFonts w:hint="default" w:ascii="Wingdings" w:hAnsi="Wingdings"/>
      </w:rPr>
    </w:lvl>
    <w:lvl w:ilvl="3" w:tentative="0">
      <w:start w:val="1"/>
      <w:numFmt w:val="bullet"/>
      <w:lvlText w:val=""/>
      <w:lvlJc w:val="left"/>
      <w:pPr>
        <w:tabs>
          <w:tab w:val="left" w:pos="2304"/>
        </w:tabs>
        <w:ind w:left="2304" w:hanging="420"/>
      </w:pPr>
      <w:rPr>
        <w:rFonts w:hint="default" w:ascii="Wingdings" w:hAnsi="Wingdings"/>
      </w:rPr>
    </w:lvl>
    <w:lvl w:ilvl="4" w:tentative="0">
      <w:start w:val="1"/>
      <w:numFmt w:val="bullet"/>
      <w:lvlText w:val=""/>
      <w:lvlJc w:val="left"/>
      <w:pPr>
        <w:tabs>
          <w:tab w:val="left" w:pos="2724"/>
        </w:tabs>
        <w:ind w:left="2724" w:hanging="420"/>
      </w:pPr>
      <w:rPr>
        <w:rFonts w:hint="default" w:ascii="Wingdings" w:hAnsi="Wingdings"/>
      </w:rPr>
    </w:lvl>
    <w:lvl w:ilvl="5" w:tentative="0">
      <w:start w:val="1"/>
      <w:numFmt w:val="bullet"/>
      <w:lvlText w:val=""/>
      <w:lvlJc w:val="left"/>
      <w:pPr>
        <w:tabs>
          <w:tab w:val="left" w:pos="3144"/>
        </w:tabs>
        <w:ind w:left="3144" w:hanging="420"/>
      </w:pPr>
      <w:rPr>
        <w:rFonts w:hint="default" w:ascii="Wingdings" w:hAnsi="Wingdings"/>
      </w:rPr>
    </w:lvl>
    <w:lvl w:ilvl="6" w:tentative="0">
      <w:start w:val="1"/>
      <w:numFmt w:val="bullet"/>
      <w:lvlText w:val=""/>
      <w:lvlJc w:val="left"/>
      <w:pPr>
        <w:tabs>
          <w:tab w:val="left" w:pos="3564"/>
        </w:tabs>
        <w:ind w:left="3564" w:hanging="420"/>
      </w:pPr>
      <w:rPr>
        <w:rFonts w:hint="default" w:ascii="Wingdings" w:hAnsi="Wingdings"/>
      </w:rPr>
    </w:lvl>
    <w:lvl w:ilvl="7" w:tentative="0">
      <w:start w:val="1"/>
      <w:numFmt w:val="bullet"/>
      <w:lvlText w:val=""/>
      <w:lvlJc w:val="left"/>
      <w:pPr>
        <w:tabs>
          <w:tab w:val="left" w:pos="3984"/>
        </w:tabs>
        <w:ind w:left="3984" w:hanging="420"/>
      </w:pPr>
      <w:rPr>
        <w:rFonts w:hint="default" w:ascii="Wingdings" w:hAnsi="Wingdings"/>
      </w:rPr>
    </w:lvl>
    <w:lvl w:ilvl="8" w:tentative="0">
      <w:start w:val="1"/>
      <w:numFmt w:val="bullet"/>
      <w:lvlText w:val=""/>
      <w:lvlJc w:val="left"/>
      <w:pPr>
        <w:tabs>
          <w:tab w:val="left" w:pos="4404"/>
        </w:tabs>
        <w:ind w:left="4404" w:hanging="420"/>
      </w:pPr>
      <w:rPr>
        <w:rFonts w:hint="default" w:ascii="Wingdings" w:hAnsi="Wingdings"/>
      </w:rPr>
    </w:lvl>
  </w:abstractNum>
  <w:abstractNum w:abstractNumId="10">
    <w:nsid w:val="108C6C1B"/>
    <w:multiLevelType w:val="multilevel"/>
    <w:tmpl w:val="108C6C1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5C43D9D"/>
    <w:multiLevelType w:val="multilevel"/>
    <w:tmpl w:val="15C43D9D"/>
    <w:lvl w:ilvl="0" w:tentative="0">
      <w:start w:val="1"/>
      <w:numFmt w:val="lowerLetter"/>
      <w:lvlText w:val="%1."/>
      <w:lvlJc w:val="left"/>
      <w:pPr>
        <w:ind w:left="720" w:hanging="360"/>
      </w:pPr>
      <w:rPr>
        <w:rFonts w:hint="default" w:ascii="宋体" w:hAnsi="宋体" w:eastAsia="宋体"/>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12">
    <w:nsid w:val="15DA0C47"/>
    <w:multiLevelType w:val="multilevel"/>
    <w:tmpl w:val="15DA0C47"/>
    <w:lvl w:ilvl="0" w:tentative="0">
      <w:start w:val="1"/>
      <w:numFmt w:val="lowerLetter"/>
      <w:lvlText w:val="%1."/>
      <w:lvlJc w:val="left"/>
      <w:pPr>
        <w:ind w:left="720" w:hanging="360"/>
      </w:pPr>
      <w:rPr>
        <w:rFonts w:hint="default" w:ascii="宋体" w:hAnsi="宋体" w:eastAsia="宋体"/>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13">
    <w:nsid w:val="1AB70D28"/>
    <w:multiLevelType w:val="multilevel"/>
    <w:tmpl w:val="1AB70D28"/>
    <w:lvl w:ilvl="0" w:tentative="0">
      <w:start w:val="1"/>
      <w:numFmt w:val="upperLetter"/>
      <w:lvlText w:val="%1）"/>
      <w:lvlJc w:val="left"/>
      <w:pPr>
        <w:ind w:left="720" w:hanging="36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14">
    <w:nsid w:val="1B0E2045"/>
    <w:multiLevelType w:val="multilevel"/>
    <w:tmpl w:val="1B0E2045"/>
    <w:lvl w:ilvl="0" w:tentative="0">
      <w:start w:val="10"/>
      <w:numFmt w:val="decimal"/>
      <w:lvlText w:val="%1．"/>
      <w:lvlJc w:val="left"/>
      <w:pPr>
        <w:ind w:left="495" w:hanging="49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38E364D"/>
    <w:multiLevelType w:val="multilevel"/>
    <w:tmpl w:val="238E364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CF8608E"/>
    <w:multiLevelType w:val="multilevel"/>
    <w:tmpl w:val="2CF8608E"/>
    <w:lvl w:ilvl="0" w:tentative="0">
      <w:start w:val="22"/>
      <w:numFmt w:val="decimal"/>
      <w:lvlText w:val="%1．"/>
      <w:lvlJc w:val="left"/>
      <w:pPr>
        <w:ind w:left="495" w:hanging="49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30FD1DD2"/>
    <w:multiLevelType w:val="multilevel"/>
    <w:tmpl w:val="30FD1DD2"/>
    <w:lvl w:ilvl="0" w:tentative="0">
      <w:start w:val="1"/>
      <w:numFmt w:val="lowerLetter"/>
      <w:lvlText w:val="%1."/>
      <w:lvlJc w:val="left"/>
      <w:pPr>
        <w:ind w:left="720" w:hanging="360"/>
      </w:pPr>
      <w:rPr>
        <w:rFonts w:hint="default" w:ascii="宋体" w:hAnsi="宋体" w:eastAsia="宋体"/>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18">
    <w:nsid w:val="36573685"/>
    <w:multiLevelType w:val="singleLevel"/>
    <w:tmpl w:val="36573685"/>
    <w:lvl w:ilvl="0" w:tentative="0">
      <w:start w:val="1"/>
      <w:numFmt w:val="decimal"/>
      <w:lvlText w:val="%1."/>
      <w:lvlJc w:val="left"/>
      <w:pPr>
        <w:ind w:left="425" w:hanging="425"/>
      </w:pPr>
      <w:rPr>
        <w:rFonts w:hint="default"/>
      </w:rPr>
    </w:lvl>
  </w:abstractNum>
  <w:abstractNum w:abstractNumId="19">
    <w:nsid w:val="3AD6CAC4"/>
    <w:multiLevelType w:val="singleLevel"/>
    <w:tmpl w:val="3AD6CAC4"/>
    <w:lvl w:ilvl="0" w:tentative="0">
      <w:start w:val="4"/>
      <w:numFmt w:val="chineseCounting"/>
      <w:suff w:val="nothing"/>
      <w:lvlText w:val="%1、"/>
      <w:lvlJc w:val="left"/>
      <w:rPr>
        <w:rFonts w:hint="eastAsia"/>
      </w:rPr>
    </w:lvl>
  </w:abstractNum>
  <w:abstractNum w:abstractNumId="20">
    <w:nsid w:val="41436097"/>
    <w:multiLevelType w:val="multilevel"/>
    <w:tmpl w:val="4143609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4A6D09A4"/>
    <w:multiLevelType w:val="multilevel"/>
    <w:tmpl w:val="4A6D09A4"/>
    <w:lvl w:ilvl="0" w:tentative="0">
      <w:start w:val="1"/>
      <w:numFmt w:val="upperLetter"/>
      <w:lvlText w:val="%1）"/>
      <w:lvlJc w:val="left"/>
      <w:pPr>
        <w:ind w:left="720" w:hanging="36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22">
    <w:nsid w:val="4E914420"/>
    <w:multiLevelType w:val="multilevel"/>
    <w:tmpl w:val="4E91442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6A1266D"/>
    <w:multiLevelType w:val="multilevel"/>
    <w:tmpl w:val="56A1266D"/>
    <w:lvl w:ilvl="0" w:tentative="0">
      <w:start w:val="1"/>
      <w:numFmt w:val="lowerLetter"/>
      <w:lvlText w:val="%1."/>
      <w:lvlJc w:val="left"/>
      <w:pPr>
        <w:ind w:left="720" w:hanging="360"/>
      </w:pPr>
      <w:rPr>
        <w:rFonts w:hint="default" w:ascii="宋体" w:hAnsi="宋体" w:eastAsia="宋体"/>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24">
    <w:nsid w:val="56D915AA"/>
    <w:multiLevelType w:val="multilevel"/>
    <w:tmpl w:val="56D915A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987C441"/>
    <w:multiLevelType w:val="singleLevel"/>
    <w:tmpl w:val="5987C441"/>
    <w:lvl w:ilvl="0" w:tentative="0">
      <w:start w:val="3"/>
      <w:numFmt w:val="chineseCounting"/>
      <w:suff w:val="nothing"/>
      <w:lvlText w:val="%1、"/>
      <w:lvlJc w:val="left"/>
    </w:lvl>
  </w:abstractNum>
  <w:abstractNum w:abstractNumId="26">
    <w:nsid w:val="5D247254"/>
    <w:multiLevelType w:val="multilevel"/>
    <w:tmpl w:val="5D247254"/>
    <w:lvl w:ilvl="0" w:tentative="0">
      <w:start w:val="1"/>
      <w:numFmt w:val="lowerLetter"/>
      <w:lvlText w:val="%1."/>
      <w:lvlJc w:val="left"/>
      <w:pPr>
        <w:ind w:left="720" w:hanging="360"/>
      </w:pPr>
      <w:rPr>
        <w:rFonts w:hint="default" w:ascii="宋体" w:hAnsi="宋体" w:eastAsia="宋体"/>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27">
    <w:nsid w:val="697206FB"/>
    <w:multiLevelType w:val="multilevel"/>
    <w:tmpl w:val="697206F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6B6B3F2F"/>
    <w:multiLevelType w:val="multilevel"/>
    <w:tmpl w:val="6B6B3F2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5D96018"/>
    <w:multiLevelType w:val="multilevel"/>
    <w:tmpl w:val="75D96018"/>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6283E75"/>
    <w:multiLevelType w:val="multilevel"/>
    <w:tmpl w:val="76283E75"/>
    <w:lvl w:ilvl="0" w:tentative="0">
      <w:start w:val="1"/>
      <w:numFmt w:val="lowerLetter"/>
      <w:lvlText w:val="%1."/>
      <w:lvlJc w:val="left"/>
      <w:pPr>
        <w:ind w:left="720" w:hanging="360"/>
      </w:pPr>
      <w:rPr>
        <w:rFonts w:hint="default" w:ascii="宋体" w:hAnsi="宋体" w:eastAsia="宋体"/>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31">
    <w:nsid w:val="7D8810DB"/>
    <w:multiLevelType w:val="multilevel"/>
    <w:tmpl w:val="7D8810DB"/>
    <w:lvl w:ilvl="0" w:tentative="0">
      <w:start w:val="26"/>
      <w:numFmt w:val="decimal"/>
      <w:lvlText w:val="%1．"/>
      <w:lvlJc w:val="left"/>
      <w:pPr>
        <w:ind w:left="495" w:hanging="49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DF31960"/>
    <w:multiLevelType w:val="multilevel"/>
    <w:tmpl w:val="7DF3196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8"/>
  </w:num>
  <w:num w:numId="3">
    <w:abstractNumId w:val="6"/>
  </w:num>
  <w:num w:numId="4">
    <w:abstractNumId w:val="14"/>
  </w:num>
  <w:num w:numId="5">
    <w:abstractNumId w:val="7"/>
  </w:num>
  <w:num w:numId="6">
    <w:abstractNumId w:val="19"/>
  </w:num>
  <w:num w:numId="7">
    <w:abstractNumId w:val="9"/>
  </w:num>
  <w:num w:numId="8">
    <w:abstractNumId w:val="5"/>
  </w:num>
  <w:num w:numId="9">
    <w:abstractNumId w:val="1"/>
  </w:num>
  <w:num w:numId="10">
    <w:abstractNumId w:val="4"/>
  </w:num>
  <w:num w:numId="11">
    <w:abstractNumId w:val="16"/>
  </w:num>
  <w:num w:numId="12">
    <w:abstractNumId w:val="0"/>
  </w:num>
  <w:num w:numId="13">
    <w:abstractNumId w:val="31"/>
  </w:num>
  <w:num w:numId="14">
    <w:abstractNumId w:val="15"/>
  </w:num>
  <w:num w:numId="15">
    <w:abstractNumId w:val="13"/>
  </w:num>
  <w:num w:numId="16">
    <w:abstractNumId w:val="21"/>
  </w:num>
  <w:num w:numId="17">
    <w:abstractNumId w:val="22"/>
  </w:num>
  <w:num w:numId="18">
    <w:abstractNumId w:val="26"/>
  </w:num>
  <w:num w:numId="19">
    <w:abstractNumId w:val="32"/>
  </w:num>
  <w:num w:numId="20">
    <w:abstractNumId w:val="23"/>
  </w:num>
  <w:num w:numId="21">
    <w:abstractNumId w:val="29"/>
  </w:num>
  <w:num w:numId="22">
    <w:abstractNumId w:val="17"/>
  </w:num>
  <w:num w:numId="23">
    <w:abstractNumId w:val="24"/>
  </w:num>
  <w:num w:numId="24">
    <w:abstractNumId w:val="20"/>
  </w:num>
  <w:num w:numId="25">
    <w:abstractNumId w:val="11"/>
  </w:num>
  <w:num w:numId="26">
    <w:abstractNumId w:val="10"/>
  </w:num>
  <w:num w:numId="27">
    <w:abstractNumId w:val="30"/>
  </w:num>
  <w:num w:numId="28">
    <w:abstractNumId w:val="28"/>
  </w:num>
  <w:num w:numId="29">
    <w:abstractNumId w:val="12"/>
  </w:num>
  <w:num w:numId="30">
    <w:abstractNumId w:val="27"/>
  </w:num>
  <w:num w:numId="31">
    <w:abstractNumId w:val="18"/>
  </w:num>
  <w:num w:numId="32">
    <w:abstractNumId w:val="2"/>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hlMzE1ZGYwNjQ3NjY3MWRhZGY2NjU3MGM5YzNkNTgifQ=="/>
  </w:docVars>
  <w:rsids>
    <w:rsidRoot w:val="00050E81"/>
    <w:rsid w:val="000010BE"/>
    <w:rsid w:val="00004192"/>
    <w:rsid w:val="00005D3B"/>
    <w:rsid w:val="00007EC4"/>
    <w:rsid w:val="00016457"/>
    <w:rsid w:val="00024EE4"/>
    <w:rsid w:val="000309D6"/>
    <w:rsid w:val="00034D38"/>
    <w:rsid w:val="00050E81"/>
    <w:rsid w:val="00057061"/>
    <w:rsid w:val="0007140F"/>
    <w:rsid w:val="00075796"/>
    <w:rsid w:val="00080FA3"/>
    <w:rsid w:val="00091903"/>
    <w:rsid w:val="000939B9"/>
    <w:rsid w:val="00096342"/>
    <w:rsid w:val="00096C3C"/>
    <w:rsid w:val="000A4829"/>
    <w:rsid w:val="000A62FF"/>
    <w:rsid w:val="000B38BD"/>
    <w:rsid w:val="000B4591"/>
    <w:rsid w:val="000B649D"/>
    <w:rsid w:val="000C6AF6"/>
    <w:rsid w:val="000D2FBB"/>
    <w:rsid w:val="000D386C"/>
    <w:rsid w:val="000D65B4"/>
    <w:rsid w:val="000E6FD9"/>
    <w:rsid w:val="000E7285"/>
    <w:rsid w:val="000F40BC"/>
    <w:rsid w:val="001150F7"/>
    <w:rsid w:val="00115E18"/>
    <w:rsid w:val="00126F75"/>
    <w:rsid w:val="0014012E"/>
    <w:rsid w:val="00142098"/>
    <w:rsid w:val="00145B02"/>
    <w:rsid w:val="00145F9B"/>
    <w:rsid w:val="001548A5"/>
    <w:rsid w:val="0016119F"/>
    <w:rsid w:val="00164072"/>
    <w:rsid w:val="001715A3"/>
    <w:rsid w:val="00176499"/>
    <w:rsid w:val="001855BE"/>
    <w:rsid w:val="00191BF0"/>
    <w:rsid w:val="001930F3"/>
    <w:rsid w:val="001B0255"/>
    <w:rsid w:val="001B43C8"/>
    <w:rsid w:val="001C12A3"/>
    <w:rsid w:val="001D3663"/>
    <w:rsid w:val="001D456F"/>
    <w:rsid w:val="001D7B0F"/>
    <w:rsid w:val="001E1FB1"/>
    <w:rsid w:val="001E53A2"/>
    <w:rsid w:val="001E6970"/>
    <w:rsid w:val="001F20E6"/>
    <w:rsid w:val="00201EAC"/>
    <w:rsid w:val="0020432E"/>
    <w:rsid w:val="00206860"/>
    <w:rsid w:val="00215773"/>
    <w:rsid w:val="002200BF"/>
    <w:rsid w:val="0022036C"/>
    <w:rsid w:val="0024155E"/>
    <w:rsid w:val="00242277"/>
    <w:rsid w:val="00243BF0"/>
    <w:rsid w:val="00245BB1"/>
    <w:rsid w:val="00255535"/>
    <w:rsid w:val="00255560"/>
    <w:rsid w:val="002808B4"/>
    <w:rsid w:val="00284075"/>
    <w:rsid w:val="0028413B"/>
    <w:rsid w:val="002873B4"/>
    <w:rsid w:val="00292150"/>
    <w:rsid w:val="00292509"/>
    <w:rsid w:val="002A15F7"/>
    <w:rsid w:val="002A2C87"/>
    <w:rsid w:val="002A3FC7"/>
    <w:rsid w:val="002A65C0"/>
    <w:rsid w:val="002B0078"/>
    <w:rsid w:val="002B0EB9"/>
    <w:rsid w:val="002B23DF"/>
    <w:rsid w:val="002C027D"/>
    <w:rsid w:val="002C467F"/>
    <w:rsid w:val="002D2FCE"/>
    <w:rsid w:val="002D3B80"/>
    <w:rsid w:val="002D5FDF"/>
    <w:rsid w:val="002D7A61"/>
    <w:rsid w:val="002E1511"/>
    <w:rsid w:val="002F1218"/>
    <w:rsid w:val="002F25D0"/>
    <w:rsid w:val="002F6E2D"/>
    <w:rsid w:val="003027E1"/>
    <w:rsid w:val="003225A7"/>
    <w:rsid w:val="00323F2D"/>
    <w:rsid w:val="00324C29"/>
    <w:rsid w:val="003276BD"/>
    <w:rsid w:val="00340589"/>
    <w:rsid w:val="0034368A"/>
    <w:rsid w:val="003476CB"/>
    <w:rsid w:val="00351A34"/>
    <w:rsid w:val="00353CA5"/>
    <w:rsid w:val="00354B05"/>
    <w:rsid w:val="00354EEE"/>
    <w:rsid w:val="0035616C"/>
    <w:rsid w:val="003574FC"/>
    <w:rsid w:val="0036634E"/>
    <w:rsid w:val="0037460C"/>
    <w:rsid w:val="00375A82"/>
    <w:rsid w:val="003815A1"/>
    <w:rsid w:val="0038693D"/>
    <w:rsid w:val="00390188"/>
    <w:rsid w:val="00392592"/>
    <w:rsid w:val="00395008"/>
    <w:rsid w:val="003A18BA"/>
    <w:rsid w:val="003B3334"/>
    <w:rsid w:val="003B552A"/>
    <w:rsid w:val="003B55EE"/>
    <w:rsid w:val="003B61ED"/>
    <w:rsid w:val="003C73E4"/>
    <w:rsid w:val="003D07D1"/>
    <w:rsid w:val="003E15CC"/>
    <w:rsid w:val="003F1175"/>
    <w:rsid w:val="003F34B3"/>
    <w:rsid w:val="003F4062"/>
    <w:rsid w:val="003F5511"/>
    <w:rsid w:val="0040117C"/>
    <w:rsid w:val="00412B62"/>
    <w:rsid w:val="00414283"/>
    <w:rsid w:val="004334B6"/>
    <w:rsid w:val="004339C6"/>
    <w:rsid w:val="00447194"/>
    <w:rsid w:val="00452BBF"/>
    <w:rsid w:val="00452E50"/>
    <w:rsid w:val="00457FBA"/>
    <w:rsid w:val="00471F47"/>
    <w:rsid w:val="004875CD"/>
    <w:rsid w:val="004A389D"/>
    <w:rsid w:val="004A406E"/>
    <w:rsid w:val="004A6E41"/>
    <w:rsid w:val="004C649C"/>
    <w:rsid w:val="004E1662"/>
    <w:rsid w:val="004E5AC1"/>
    <w:rsid w:val="004E79F3"/>
    <w:rsid w:val="004E7DA9"/>
    <w:rsid w:val="004F75FC"/>
    <w:rsid w:val="00520660"/>
    <w:rsid w:val="005228B2"/>
    <w:rsid w:val="00522B5D"/>
    <w:rsid w:val="0053472C"/>
    <w:rsid w:val="00536CD4"/>
    <w:rsid w:val="00537BF8"/>
    <w:rsid w:val="005430D0"/>
    <w:rsid w:val="00553C98"/>
    <w:rsid w:val="0055577B"/>
    <w:rsid w:val="00556A7C"/>
    <w:rsid w:val="005609E2"/>
    <w:rsid w:val="00560CD6"/>
    <w:rsid w:val="00575DCF"/>
    <w:rsid w:val="00582280"/>
    <w:rsid w:val="00584E27"/>
    <w:rsid w:val="00590528"/>
    <w:rsid w:val="005916DF"/>
    <w:rsid w:val="005A34D5"/>
    <w:rsid w:val="005A4D32"/>
    <w:rsid w:val="005D60B1"/>
    <w:rsid w:val="005F0EDF"/>
    <w:rsid w:val="00602F1F"/>
    <w:rsid w:val="00613A60"/>
    <w:rsid w:val="00617345"/>
    <w:rsid w:val="00617BFD"/>
    <w:rsid w:val="00621712"/>
    <w:rsid w:val="0062357A"/>
    <w:rsid w:val="00627B07"/>
    <w:rsid w:val="00627E1F"/>
    <w:rsid w:val="00632B68"/>
    <w:rsid w:val="006475EE"/>
    <w:rsid w:val="00647C93"/>
    <w:rsid w:val="006500AD"/>
    <w:rsid w:val="006509B0"/>
    <w:rsid w:val="00653928"/>
    <w:rsid w:val="00655D4D"/>
    <w:rsid w:val="006603B6"/>
    <w:rsid w:val="0067317D"/>
    <w:rsid w:val="00674916"/>
    <w:rsid w:val="0068017D"/>
    <w:rsid w:val="00681D09"/>
    <w:rsid w:val="00691A14"/>
    <w:rsid w:val="006926C1"/>
    <w:rsid w:val="00694B77"/>
    <w:rsid w:val="00694E9E"/>
    <w:rsid w:val="006A0364"/>
    <w:rsid w:val="006A55CA"/>
    <w:rsid w:val="006A62E7"/>
    <w:rsid w:val="006B1D39"/>
    <w:rsid w:val="006B250F"/>
    <w:rsid w:val="006B4A36"/>
    <w:rsid w:val="006E29E9"/>
    <w:rsid w:val="006E4A66"/>
    <w:rsid w:val="006F582A"/>
    <w:rsid w:val="0071099D"/>
    <w:rsid w:val="00714DC5"/>
    <w:rsid w:val="0071767F"/>
    <w:rsid w:val="0072413F"/>
    <w:rsid w:val="00733D83"/>
    <w:rsid w:val="00754F62"/>
    <w:rsid w:val="00757224"/>
    <w:rsid w:val="00760650"/>
    <w:rsid w:val="0077597F"/>
    <w:rsid w:val="00782B49"/>
    <w:rsid w:val="00784E9E"/>
    <w:rsid w:val="00797287"/>
    <w:rsid w:val="007B0E04"/>
    <w:rsid w:val="007B304E"/>
    <w:rsid w:val="007B3530"/>
    <w:rsid w:val="007B3812"/>
    <w:rsid w:val="007B79FC"/>
    <w:rsid w:val="007C37F7"/>
    <w:rsid w:val="007C6FFD"/>
    <w:rsid w:val="007D1351"/>
    <w:rsid w:val="007D3926"/>
    <w:rsid w:val="007D626B"/>
    <w:rsid w:val="007E5F91"/>
    <w:rsid w:val="007E61BA"/>
    <w:rsid w:val="007E6A88"/>
    <w:rsid w:val="007F0961"/>
    <w:rsid w:val="008046C3"/>
    <w:rsid w:val="0081756C"/>
    <w:rsid w:val="00817BF0"/>
    <w:rsid w:val="00821BB7"/>
    <w:rsid w:val="00830915"/>
    <w:rsid w:val="00834D5A"/>
    <w:rsid w:val="00840723"/>
    <w:rsid w:val="00861D9E"/>
    <w:rsid w:val="00865F14"/>
    <w:rsid w:val="008661DE"/>
    <w:rsid w:val="00867A56"/>
    <w:rsid w:val="00875EF4"/>
    <w:rsid w:val="00880BD2"/>
    <w:rsid w:val="00880F80"/>
    <w:rsid w:val="008902DB"/>
    <w:rsid w:val="008972E5"/>
    <w:rsid w:val="008975A1"/>
    <w:rsid w:val="008B1592"/>
    <w:rsid w:val="008B55F0"/>
    <w:rsid w:val="008B6FEA"/>
    <w:rsid w:val="008D6BB0"/>
    <w:rsid w:val="008F7823"/>
    <w:rsid w:val="00906566"/>
    <w:rsid w:val="00911E53"/>
    <w:rsid w:val="00912D01"/>
    <w:rsid w:val="009132ED"/>
    <w:rsid w:val="00917720"/>
    <w:rsid w:val="00920855"/>
    <w:rsid w:val="009217F1"/>
    <w:rsid w:val="00921E4E"/>
    <w:rsid w:val="00922034"/>
    <w:rsid w:val="00926E2A"/>
    <w:rsid w:val="00931646"/>
    <w:rsid w:val="009334BA"/>
    <w:rsid w:val="00945073"/>
    <w:rsid w:val="0096044B"/>
    <w:rsid w:val="00966210"/>
    <w:rsid w:val="009705EE"/>
    <w:rsid w:val="0097183B"/>
    <w:rsid w:val="00975F82"/>
    <w:rsid w:val="009803B6"/>
    <w:rsid w:val="00981E4E"/>
    <w:rsid w:val="00986F96"/>
    <w:rsid w:val="00990E0D"/>
    <w:rsid w:val="009A22FB"/>
    <w:rsid w:val="009A7D42"/>
    <w:rsid w:val="009B42B6"/>
    <w:rsid w:val="009E44F9"/>
    <w:rsid w:val="009E72DA"/>
    <w:rsid w:val="009F4E87"/>
    <w:rsid w:val="00A055D2"/>
    <w:rsid w:val="00A13FE5"/>
    <w:rsid w:val="00A17206"/>
    <w:rsid w:val="00A2137E"/>
    <w:rsid w:val="00A316A6"/>
    <w:rsid w:val="00A3195D"/>
    <w:rsid w:val="00A40509"/>
    <w:rsid w:val="00A42479"/>
    <w:rsid w:val="00A42AF5"/>
    <w:rsid w:val="00A5071A"/>
    <w:rsid w:val="00A605C4"/>
    <w:rsid w:val="00A61A27"/>
    <w:rsid w:val="00A650EE"/>
    <w:rsid w:val="00A654B7"/>
    <w:rsid w:val="00A77458"/>
    <w:rsid w:val="00A97AA8"/>
    <w:rsid w:val="00AA3316"/>
    <w:rsid w:val="00AA7137"/>
    <w:rsid w:val="00AB6F9D"/>
    <w:rsid w:val="00AC4680"/>
    <w:rsid w:val="00AC64E0"/>
    <w:rsid w:val="00AC790F"/>
    <w:rsid w:val="00AD0302"/>
    <w:rsid w:val="00AD2F95"/>
    <w:rsid w:val="00AD6B9B"/>
    <w:rsid w:val="00AE0D87"/>
    <w:rsid w:val="00AE5732"/>
    <w:rsid w:val="00AF0FDC"/>
    <w:rsid w:val="00B021B1"/>
    <w:rsid w:val="00B143B2"/>
    <w:rsid w:val="00B178D4"/>
    <w:rsid w:val="00B24C79"/>
    <w:rsid w:val="00B25CA1"/>
    <w:rsid w:val="00B264C2"/>
    <w:rsid w:val="00B30B0D"/>
    <w:rsid w:val="00B31C05"/>
    <w:rsid w:val="00B37C82"/>
    <w:rsid w:val="00B444CA"/>
    <w:rsid w:val="00B50B9B"/>
    <w:rsid w:val="00B51999"/>
    <w:rsid w:val="00B5317C"/>
    <w:rsid w:val="00B66FEB"/>
    <w:rsid w:val="00B82C0F"/>
    <w:rsid w:val="00B93869"/>
    <w:rsid w:val="00B93BF5"/>
    <w:rsid w:val="00B93D9D"/>
    <w:rsid w:val="00B97D31"/>
    <w:rsid w:val="00BA3879"/>
    <w:rsid w:val="00BB4284"/>
    <w:rsid w:val="00BB43BC"/>
    <w:rsid w:val="00BB6069"/>
    <w:rsid w:val="00BC1D69"/>
    <w:rsid w:val="00BD1E9F"/>
    <w:rsid w:val="00BD3F36"/>
    <w:rsid w:val="00BE597C"/>
    <w:rsid w:val="00BE68F2"/>
    <w:rsid w:val="00BE7767"/>
    <w:rsid w:val="00BF3341"/>
    <w:rsid w:val="00C0490E"/>
    <w:rsid w:val="00C04B7F"/>
    <w:rsid w:val="00C07291"/>
    <w:rsid w:val="00C10C76"/>
    <w:rsid w:val="00C12CD2"/>
    <w:rsid w:val="00C12E7C"/>
    <w:rsid w:val="00C15208"/>
    <w:rsid w:val="00C1556F"/>
    <w:rsid w:val="00C16E51"/>
    <w:rsid w:val="00C219B3"/>
    <w:rsid w:val="00C225F8"/>
    <w:rsid w:val="00C24E74"/>
    <w:rsid w:val="00C272BF"/>
    <w:rsid w:val="00C50507"/>
    <w:rsid w:val="00C511A9"/>
    <w:rsid w:val="00C6051D"/>
    <w:rsid w:val="00C65E70"/>
    <w:rsid w:val="00C706B5"/>
    <w:rsid w:val="00C76195"/>
    <w:rsid w:val="00C76378"/>
    <w:rsid w:val="00C827CD"/>
    <w:rsid w:val="00C84C23"/>
    <w:rsid w:val="00C85182"/>
    <w:rsid w:val="00C900C5"/>
    <w:rsid w:val="00C95300"/>
    <w:rsid w:val="00C9682B"/>
    <w:rsid w:val="00CA2079"/>
    <w:rsid w:val="00CB110D"/>
    <w:rsid w:val="00CC26A5"/>
    <w:rsid w:val="00CC26BB"/>
    <w:rsid w:val="00CD259C"/>
    <w:rsid w:val="00CD4F58"/>
    <w:rsid w:val="00CE4873"/>
    <w:rsid w:val="00CE4DDB"/>
    <w:rsid w:val="00CE7EF1"/>
    <w:rsid w:val="00CF6F47"/>
    <w:rsid w:val="00D03376"/>
    <w:rsid w:val="00D03A78"/>
    <w:rsid w:val="00D20C53"/>
    <w:rsid w:val="00D2785F"/>
    <w:rsid w:val="00D44C2B"/>
    <w:rsid w:val="00D44D2B"/>
    <w:rsid w:val="00D55F0A"/>
    <w:rsid w:val="00D60B8F"/>
    <w:rsid w:val="00D645F0"/>
    <w:rsid w:val="00D652B7"/>
    <w:rsid w:val="00D70D95"/>
    <w:rsid w:val="00D7414E"/>
    <w:rsid w:val="00D7591F"/>
    <w:rsid w:val="00D7624D"/>
    <w:rsid w:val="00D92754"/>
    <w:rsid w:val="00DA0318"/>
    <w:rsid w:val="00DA1AEB"/>
    <w:rsid w:val="00DA7E2A"/>
    <w:rsid w:val="00DB28B4"/>
    <w:rsid w:val="00DD019E"/>
    <w:rsid w:val="00DD0ED8"/>
    <w:rsid w:val="00DD4D57"/>
    <w:rsid w:val="00DD634C"/>
    <w:rsid w:val="00DE47E0"/>
    <w:rsid w:val="00DF13CC"/>
    <w:rsid w:val="00DF31E0"/>
    <w:rsid w:val="00DF6277"/>
    <w:rsid w:val="00DF6527"/>
    <w:rsid w:val="00E01F54"/>
    <w:rsid w:val="00E11E8C"/>
    <w:rsid w:val="00E15029"/>
    <w:rsid w:val="00E2349D"/>
    <w:rsid w:val="00E23A2E"/>
    <w:rsid w:val="00E264CE"/>
    <w:rsid w:val="00E30230"/>
    <w:rsid w:val="00E32BDF"/>
    <w:rsid w:val="00E33173"/>
    <w:rsid w:val="00E41182"/>
    <w:rsid w:val="00E43924"/>
    <w:rsid w:val="00E4784A"/>
    <w:rsid w:val="00E50EE0"/>
    <w:rsid w:val="00E51070"/>
    <w:rsid w:val="00E54A67"/>
    <w:rsid w:val="00E55EC2"/>
    <w:rsid w:val="00E62874"/>
    <w:rsid w:val="00E639F9"/>
    <w:rsid w:val="00E96C9D"/>
    <w:rsid w:val="00EB0A3E"/>
    <w:rsid w:val="00EC1CCF"/>
    <w:rsid w:val="00EC42AD"/>
    <w:rsid w:val="00ED55FF"/>
    <w:rsid w:val="00EE7B7D"/>
    <w:rsid w:val="00EF094D"/>
    <w:rsid w:val="00EF1C50"/>
    <w:rsid w:val="00EF44EC"/>
    <w:rsid w:val="00F017BE"/>
    <w:rsid w:val="00F04DA4"/>
    <w:rsid w:val="00F1075F"/>
    <w:rsid w:val="00F123C9"/>
    <w:rsid w:val="00F1253F"/>
    <w:rsid w:val="00F17389"/>
    <w:rsid w:val="00F2080D"/>
    <w:rsid w:val="00F247B4"/>
    <w:rsid w:val="00F271F9"/>
    <w:rsid w:val="00F30B9B"/>
    <w:rsid w:val="00F32CD3"/>
    <w:rsid w:val="00F34DEA"/>
    <w:rsid w:val="00F42F12"/>
    <w:rsid w:val="00F42F57"/>
    <w:rsid w:val="00F46773"/>
    <w:rsid w:val="00F675CD"/>
    <w:rsid w:val="00F81AC8"/>
    <w:rsid w:val="00F86176"/>
    <w:rsid w:val="00F96124"/>
    <w:rsid w:val="00F96EC6"/>
    <w:rsid w:val="00FA0B7E"/>
    <w:rsid w:val="00FA147D"/>
    <w:rsid w:val="00FD1430"/>
    <w:rsid w:val="00FE0C52"/>
    <w:rsid w:val="00FE18BC"/>
    <w:rsid w:val="00FE601F"/>
    <w:rsid w:val="00FF03AE"/>
    <w:rsid w:val="019D2D98"/>
    <w:rsid w:val="01EE3248"/>
    <w:rsid w:val="02B9611C"/>
    <w:rsid w:val="02F1719D"/>
    <w:rsid w:val="04B34EFE"/>
    <w:rsid w:val="06884F6E"/>
    <w:rsid w:val="06D40BE5"/>
    <w:rsid w:val="06EB281A"/>
    <w:rsid w:val="074A2459"/>
    <w:rsid w:val="074A53D1"/>
    <w:rsid w:val="078874C5"/>
    <w:rsid w:val="07A17511"/>
    <w:rsid w:val="09F02893"/>
    <w:rsid w:val="0B160C0F"/>
    <w:rsid w:val="0B2F2792"/>
    <w:rsid w:val="0BB565B1"/>
    <w:rsid w:val="0BEE462D"/>
    <w:rsid w:val="0F030974"/>
    <w:rsid w:val="0F3C02B6"/>
    <w:rsid w:val="0F414BDF"/>
    <w:rsid w:val="105D6CDE"/>
    <w:rsid w:val="107C3429"/>
    <w:rsid w:val="10A83678"/>
    <w:rsid w:val="10B7482D"/>
    <w:rsid w:val="11846996"/>
    <w:rsid w:val="123228ED"/>
    <w:rsid w:val="12FE2933"/>
    <w:rsid w:val="13CD1C92"/>
    <w:rsid w:val="13E55C7E"/>
    <w:rsid w:val="14962244"/>
    <w:rsid w:val="14D61C18"/>
    <w:rsid w:val="14EC4DA2"/>
    <w:rsid w:val="15542EF1"/>
    <w:rsid w:val="15D6208E"/>
    <w:rsid w:val="15FB2CA4"/>
    <w:rsid w:val="18F84BCF"/>
    <w:rsid w:val="1A873E90"/>
    <w:rsid w:val="1B2236A3"/>
    <w:rsid w:val="1B3501FE"/>
    <w:rsid w:val="1BD34340"/>
    <w:rsid w:val="1C280D3F"/>
    <w:rsid w:val="1C2B65D3"/>
    <w:rsid w:val="1C3C0914"/>
    <w:rsid w:val="1D080452"/>
    <w:rsid w:val="1D7169A7"/>
    <w:rsid w:val="1E7C51A0"/>
    <w:rsid w:val="1E89741C"/>
    <w:rsid w:val="1EA31F7A"/>
    <w:rsid w:val="1F235B73"/>
    <w:rsid w:val="203B6491"/>
    <w:rsid w:val="21015550"/>
    <w:rsid w:val="211461CA"/>
    <w:rsid w:val="219D5E7A"/>
    <w:rsid w:val="21DD0C5D"/>
    <w:rsid w:val="22215F9A"/>
    <w:rsid w:val="22C10948"/>
    <w:rsid w:val="22DE2A7D"/>
    <w:rsid w:val="242D1AAF"/>
    <w:rsid w:val="24B2529A"/>
    <w:rsid w:val="24DB124F"/>
    <w:rsid w:val="25127CDC"/>
    <w:rsid w:val="26DE6711"/>
    <w:rsid w:val="26F91121"/>
    <w:rsid w:val="281640ED"/>
    <w:rsid w:val="295178A8"/>
    <w:rsid w:val="29B055B2"/>
    <w:rsid w:val="2A5D22A6"/>
    <w:rsid w:val="2B293F52"/>
    <w:rsid w:val="2C753D48"/>
    <w:rsid w:val="2D206443"/>
    <w:rsid w:val="2DED4237"/>
    <w:rsid w:val="2E481C07"/>
    <w:rsid w:val="2E4B2262"/>
    <w:rsid w:val="2E7513DB"/>
    <w:rsid w:val="2EFA10EB"/>
    <w:rsid w:val="30117BD5"/>
    <w:rsid w:val="30B21D15"/>
    <w:rsid w:val="30DA4C5F"/>
    <w:rsid w:val="30E25ECB"/>
    <w:rsid w:val="313244A7"/>
    <w:rsid w:val="319D2CBE"/>
    <w:rsid w:val="321F0F89"/>
    <w:rsid w:val="32266559"/>
    <w:rsid w:val="323C401E"/>
    <w:rsid w:val="32BE019B"/>
    <w:rsid w:val="32E47AED"/>
    <w:rsid w:val="33D27280"/>
    <w:rsid w:val="341847E7"/>
    <w:rsid w:val="34AF744A"/>
    <w:rsid w:val="34DA5AEB"/>
    <w:rsid w:val="34E01C60"/>
    <w:rsid w:val="34F32CB1"/>
    <w:rsid w:val="35FD3DBA"/>
    <w:rsid w:val="3685200E"/>
    <w:rsid w:val="36A908A4"/>
    <w:rsid w:val="370300F7"/>
    <w:rsid w:val="3722467B"/>
    <w:rsid w:val="37A75414"/>
    <w:rsid w:val="37B56D92"/>
    <w:rsid w:val="37FB6841"/>
    <w:rsid w:val="38815E94"/>
    <w:rsid w:val="38EC20B0"/>
    <w:rsid w:val="39B147B9"/>
    <w:rsid w:val="3A0C2048"/>
    <w:rsid w:val="3A517FB8"/>
    <w:rsid w:val="3B5F17AC"/>
    <w:rsid w:val="3BAA5C47"/>
    <w:rsid w:val="3BBA6A4F"/>
    <w:rsid w:val="3D0D7DD8"/>
    <w:rsid w:val="3DD813C2"/>
    <w:rsid w:val="3DE45B0D"/>
    <w:rsid w:val="3E310076"/>
    <w:rsid w:val="3F5D52A2"/>
    <w:rsid w:val="3F685C50"/>
    <w:rsid w:val="40D803C7"/>
    <w:rsid w:val="40FE2CBD"/>
    <w:rsid w:val="412D38F9"/>
    <w:rsid w:val="4156060E"/>
    <w:rsid w:val="422D1B84"/>
    <w:rsid w:val="44455C30"/>
    <w:rsid w:val="445D2423"/>
    <w:rsid w:val="45274FA4"/>
    <w:rsid w:val="457B7A6B"/>
    <w:rsid w:val="469D4977"/>
    <w:rsid w:val="46AE0EAE"/>
    <w:rsid w:val="46B3028B"/>
    <w:rsid w:val="479F062A"/>
    <w:rsid w:val="47D475AF"/>
    <w:rsid w:val="48FD1AAC"/>
    <w:rsid w:val="49204A7B"/>
    <w:rsid w:val="4A0D3F3A"/>
    <w:rsid w:val="4B27098B"/>
    <w:rsid w:val="4B2732C6"/>
    <w:rsid w:val="4C0C5265"/>
    <w:rsid w:val="4C6B3C12"/>
    <w:rsid w:val="4CBC0F90"/>
    <w:rsid w:val="4D5A6798"/>
    <w:rsid w:val="4E884CAB"/>
    <w:rsid w:val="4ED708FC"/>
    <w:rsid w:val="4F2A72B1"/>
    <w:rsid w:val="4F381716"/>
    <w:rsid w:val="4FCB1DB2"/>
    <w:rsid w:val="503A57CF"/>
    <w:rsid w:val="504F4D1F"/>
    <w:rsid w:val="506D5DA9"/>
    <w:rsid w:val="512F4DDC"/>
    <w:rsid w:val="513A4DDC"/>
    <w:rsid w:val="51AA0CB7"/>
    <w:rsid w:val="52964527"/>
    <w:rsid w:val="54465ED5"/>
    <w:rsid w:val="5506558A"/>
    <w:rsid w:val="550A42F9"/>
    <w:rsid w:val="555C27B5"/>
    <w:rsid w:val="55872F3C"/>
    <w:rsid w:val="55980885"/>
    <w:rsid w:val="55B32F5D"/>
    <w:rsid w:val="561930D9"/>
    <w:rsid w:val="567275BE"/>
    <w:rsid w:val="569E51C1"/>
    <w:rsid w:val="57D72232"/>
    <w:rsid w:val="5AE22C96"/>
    <w:rsid w:val="5B85349C"/>
    <w:rsid w:val="5BF2290A"/>
    <w:rsid w:val="5BF96B1A"/>
    <w:rsid w:val="5C411DD2"/>
    <w:rsid w:val="5D0516DA"/>
    <w:rsid w:val="5DF8293A"/>
    <w:rsid w:val="5EB366A7"/>
    <w:rsid w:val="5EB82917"/>
    <w:rsid w:val="5F2B5FC0"/>
    <w:rsid w:val="5FB24990"/>
    <w:rsid w:val="5FB4322A"/>
    <w:rsid w:val="5FC71095"/>
    <w:rsid w:val="602940CD"/>
    <w:rsid w:val="602F76F0"/>
    <w:rsid w:val="6032512F"/>
    <w:rsid w:val="61356084"/>
    <w:rsid w:val="62BE7217"/>
    <w:rsid w:val="63257780"/>
    <w:rsid w:val="63773ECD"/>
    <w:rsid w:val="63B54FA7"/>
    <w:rsid w:val="64F658D5"/>
    <w:rsid w:val="662E4882"/>
    <w:rsid w:val="665F7AD8"/>
    <w:rsid w:val="668C5641"/>
    <w:rsid w:val="66E05CD6"/>
    <w:rsid w:val="678E542C"/>
    <w:rsid w:val="67963432"/>
    <w:rsid w:val="67DB7E66"/>
    <w:rsid w:val="68B741B8"/>
    <w:rsid w:val="690232AD"/>
    <w:rsid w:val="690643FC"/>
    <w:rsid w:val="69643209"/>
    <w:rsid w:val="69F051D4"/>
    <w:rsid w:val="6A2F0B8B"/>
    <w:rsid w:val="6A973D77"/>
    <w:rsid w:val="6B0E2394"/>
    <w:rsid w:val="6B2E1ABE"/>
    <w:rsid w:val="6B554263"/>
    <w:rsid w:val="6C072893"/>
    <w:rsid w:val="6C331AC6"/>
    <w:rsid w:val="6D647255"/>
    <w:rsid w:val="6E4F2B8C"/>
    <w:rsid w:val="6E7C29D5"/>
    <w:rsid w:val="6ED65063"/>
    <w:rsid w:val="6FF86BFE"/>
    <w:rsid w:val="70DA044E"/>
    <w:rsid w:val="711B723B"/>
    <w:rsid w:val="71E12FF6"/>
    <w:rsid w:val="72672266"/>
    <w:rsid w:val="72FE3595"/>
    <w:rsid w:val="73E94A8B"/>
    <w:rsid w:val="742B0FBF"/>
    <w:rsid w:val="746F4EA7"/>
    <w:rsid w:val="750379B1"/>
    <w:rsid w:val="754F67ED"/>
    <w:rsid w:val="75BF5033"/>
    <w:rsid w:val="766C628A"/>
    <w:rsid w:val="76BE35B4"/>
    <w:rsid w:val="775F6272"/>
    <w:rsid w:val="7853007F"/>
    <w:rsid w:val="786B08D3"/>
    <w:rsid w:val="787024E3"/>
    <w:rsid w:val="78BD00C7"/>
    <w:rsid w:val="79AC72A7"/>
    <w:rsid w:val="7A215A5A"/>
    <w:rsid w:val="7AA921BC"/>
    <w:rsid w:val="7B03233B"/>
    <w:rsid w:val="7B0705ED"/>
    <w:rsid w:val="7B452712"/>
    <w:rsid w:val="7B7F3815"/>
    <w:rsid w:val="7B8063CB"/>
    <w:rsid w:val="7BCD0407"/>
    <w:rsid w:val="7BDF773E"/>
    <w:rsid w:val="7C0C509E"/>
    <w:rsid w:val="7C4F1AB8"/>
    <w:rsid w:val="7C8C3918"/>
    <w:rsid w:val="7E3D0C67"/>
    <w:rsid w:val="7F296C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qFormat="1" w:unhideWhenUsed="0" w:uiPriority="0" w:semiHidden="0"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name="Body Text 2"/>
    <w:lsdException w:qFormat="1"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2"/>
      <w:sz w:val="21"/>
      <w:szCs w:val="24"/>
      <w:lang w:val="en-US" w:eastAsia="zh-CN" w:bidi="ar-SA"/>
    </w:rPr>
  </w:style>
  <w:style w:type="paragraph" w:styleId="3">
    <w:name w:val="heading 1"/>
    <w:basedOn w:val="1"/>
    <w:next w:val="1"/>
    <w:link w:val="51"/>
    <w:qFormat/>
    <w:uiPriority w:val="0"/>
    <w:pPr>
      <w:keepNext/>
      <w:keepLines/>
      <w:adjustRightInd w:val="0"/>
      <w:snapToGrid w:val="0"/>
      <w:spacing w:line="360" w:lineRule="auto"/>
      <w:jc w:val="center"/>
      <w:outlineLvl w:val="0"/>
    </w:pPr>
    <w:rPr>
      <w:rFonts w:eastAsia="楷体"/>
      <w:b/>
      <w:bCs/>
      <w:kern w:val="44"/>
      <w:sz w:val="36"/>
      <w:szCs w:val="44"/>
    </w:rPr>
  </w:style>
  <w:style w:type="paragraph" w:styleId="4">
    <w:name w:val="heading 2"/>
    <w:basedOn w:val="1"/>
    <w:next w:val="1"/>
    <w:link w:val="52"/>
    <w:qFormat/>
    <w:uiPriority w:val="0"/>
    <w:pPr>
      <w:keepNext/>
      <w:keepLines/>
      <w:adjustRightInd w:val="0"/>
      <w:snapToGrid w:val="0"/>
      <w:jc w:val="center"/>
      <w:outlineLvl w:val="1"/>
    </w:pPr>
    <w:rPr>
      <w:rFonts w:ascii="Arial" w:hAnsi="Arial" w:eastAsia="楷体"/>
      <w:b/>
      <w:bCs/>
      <w:sz w:val="24"/>
      <w:szCs w:val="32"/>
    </w:rPr>
  </w:style>
  <w:style w:type="paragraph" w:styleId="5">
    <w:name w:val="heading 3"/>
    <w:basedOn w:val="1"/>
    <w:next w:val="1"/>
    <w:link w:val="53"/>
    <w:qFormat/>
    <w:uiPriority w:val="0"/>
    <w:pPr>
      <w:keepNext/>
      <w:keepLines/>
      <w:spacing w:before="260" w:after="260" w:line="413" w:lineRule="auto"/>
      <w:outlineLvl w:val="2"/>
    </w:pPr>
    <w:rPr>
      <w:b/>
      <w:sz w:val="32"/>
      <w:szCs w:val="20"/>
    </w:rPr>
  </w:style>
  <w:style w:type="paragraph" w:styleId="6">
    <w:name w:val="heading 4"/>
    <w:basedOn w:val="1"/>
    <w:next w:val="1"/>
    <w:link w:val="54"/>
    <w:qFormat/>
    <w:uiPriority w:val="9"/>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55"/>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56"/>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57"/>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58"/>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59"/>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2">
    <w:name w:val="Default Paragraph Font"/>
    <w:semiHidden/>
    <w:unhideWhenUsed/>
    <w:uiPriority w:val="1"/>
  </w:style>
  <w:style w:type="table" w:default="1" w:styleId="40">
    <w:name w:val="Normal Table"/>
    <w:semiHidden/>
    <w:unhideWhenUsed/>
    <w:uiPriority w:val="99"/>
    <w:tblPr>
      <w:tblCellMar>
        <w:top w:w="0" w:type="dxa"/>
        <w:left w:w="108" w:type="dxa"/>
        <w:bottom w:w="0" w:type="dxa"/>
        <w:right w:w="108" w:type="dxa"/>
      </w:tblCellMar>
    </w:tblPr>
  </w:style>
  <w:style w:type="paragraph" w:styleId="2">
    <w:name w:val="Body Text"/>
    <w:basedOn w:val="1"/>
    <w:next w:val="1"/>
    <w:link w:val="73"/>
    <w:qFormat/>
    <w:uiPriority w:val="0"/>
    <w:pPr>
      <w:spacing w:after="120"/>
    </w:pPr>
  </w:style>
  <w:style w:type="paragraph" w:styleId="12">
    <w:name w:val="Normal Indent"/>
    <w:basedOn w:val="1"/>
    <w:qFormat/>
    <w:uiPriority w:val="0"/>
    <w:pPr>
      <w:ind w:firstLine="420" w:firstLineChars="200"/>
    </w:pPr>
  </w:style>
  <w:style w:type="paragraph" w:styleId="13">
    <w:name w:val="caption"/>
    <w:basedOn w:val="1"/>
    <w:next w:val="1"/>
    <w:qFormat/>
    <w:uiPriority w:val="35"/>
    <w:pPr>
      <w:spacing w:before="120" w:after="120"/>
    </w:pPr>
    <w:rPr>
      <w:b/>
    </w:rPr>
  </w:style>
  <w:style w:type="paragraph" w:styleId="14">
    <w:name w:val="Document Map"/>
    <w:basedOn w:val="1"/>
    <w:link w:val="72"/>
    <w:qFormat/>
    <w:uiPriority w:val="99"/>
    <w:pPr>
      <w:shd w:val="clear" w:color="auto" w:fill="000080"/>
    </w:pPr>
  </w:style>
  <w:style w:type="paragraph" w:styleId="15">
    <w:name w:val="annotation text"/>
    <w:basedOn w:val="1"/>
    <w:link w:val="70"/>
    <w:unhideWhenUsed/>
    <w:qFormat/>
    <w:uiPriority w:val="99"/>
  </w:style>
  <w:style w:type="paragraph" w:styleId="16">
    <w:name w:val="Salutation"/>
    <w:basedOn w:val="1"/>
    <w:next w:val="1"/>
    <w:link w:val="170"/>
    <w:qFormat/>
    <w:uiPriority w:val="0"/>
    <w:rPr>
      <w:szCs w:val="20"/>
    </w:rPr>
  </w:style>
  <w:style w:type="paragraph" w:styleId="17">
    <w:name w:val="Body Text 3"/>
    <w:basedOn w:val="1"/>
    <w:link w:val="267"/>
    <w:semiHidden/>
    <w:unhideWhenUsed/>
    <w:qFormat/>
    <w:uiPriority w:val="99"/>
    <w:pPr>
      <w:spacing w:after="120"/>
    </w:pPr>
    <w:rPr>
      <w:sz w:val="16"/>
      <w:szCs w:val="16"/>
    </w:rPr>
  </w:style>
  <w:style w:type="paragraph" w:styleId="18">
    <w:name w:val="List Bullet 3"/>
    <w:basedOn w:val="1"/>
    <w:qFormat/>
    <w:uiPriority w:val="0"/>
    <w:pPr>
      <w:tabs>
        <w:tab w:val="left" w:pos="720"/>
      </w:tabs>
      <w:ind w:left="720" w:hanging="720"/>
      <w:outlineLvl w:val="0"/>
    </w:pPr>
    <w:rPr>
      <w:color w:val="0000FF"/>
      <w:sz w:val="24"/>
      <w:szCs w:val="20"/>
    </w:rPr>
  </w:style>
  <w:style w:type="paragraph" w:styleId="19">
    <w:name w:val="Body Text Indent"/>
    <w:basedOn w:val="1"/>
    <w:link w:val="75"/>
    <w:qFormat/>
    <w:uiPriority w:val="0"/>
    <w:pPr>
      <w:autoSpaceDE w:val="0"/>
      <w:autoSpaceDN w:val="0"/>
      <w:adjustRightInd w:val="0"/>
      <w:spacing w:line="460" w:lineRule="exact"/>
      <w:ind w:firstLine="570"/>
    </w:pPr>
    <w:rPr>
      <w:rFonts w:ascii="宋体"/>
      <w:kern w:val="0"/>
      <w:sz w:val="24"/>
      <w:szCs w:val="20"/>
    </w:rPr>
  </w:style>
  <w:style w:type="paragraph" w:styleId="20">
    <w:name w:val="List 2"/>
    <w:basedOn w:val="1"/>
    <w:qFormat/>
    <w:uiPriority w:val="0"/>
    <w:pPr>
      <w:ind w:left="100" w:leftChars="200" w:hanging="200" w:hangingChars="200"/>
    </w:pPr>
  </w:style>
  <w:style w:type="paragraph" w:styleId="21">
    <w:name w:val="toc 3"/>
    <w:basedOn w:val="1"/>
    <w:next w:val="1"/>
    <w:qFormat/>
    <w:uiPriority w:val="39"/>
    <w:pPr>
      <w:ind w:left="840" w:leftChars="400"/>
    </w:pPr>
  </w:style>
  <w:style w:type="paragraph" w:styleId="22">
    <w:name w:val="Plain Text"/>
    <w:basedOn w:val="1"/>
    <w:link w:val="76"/>
    <w:qFormat/>
    <w:uiPriority w:val="99"/>
    <w:rPr>
      <w:rFonts w:ascii="宋体" w:hAnsi="Courier New"/>
      <w:sz w:val="19"/>
      <w:szCs w:val="20"/>
    </w:rPr>
  </w:style>
  <w:style w:type="paragraph" w:styleId="23">
    <w:name w:val="Date"/>
    <w:basedOn w:val="1"/>
    <w:next w:val="1"/>
    <w:link w:val="77"/>
    <w:qFormat/>
    <w:uiPriority w:val="99"/>
    <w:pPr>
      <w:autoSpaceDE w:val="0"/>
      <w:autoSpaceDN w:val="0"/>
      <w:adjustRightInd w:val="0"/>
    </w:pPr>
    <w:rPr>
      <w:rFonts w:ascii="宋体"/>
      <w:kern w:val="0"/>
      <w:sz w:val="28"/>
      <w:szCs w:val="20"/>
    </w:rPr>
  </w:style>
  <w:style w:type="paragraph" w:styleId="24">
    <w:name w:val="Body Text Indent 2"/>
    <w:basedOn w:val="1"/>
    <w:link w:val="78"/>
    <w:qFormat/>
    <w:uiPriority w:val="0"/>
    <w:pPr>
      <w:spacing w:line="600" w:lineRule="atLeast"/>
      <w:ind w:left="241" w:leftChars="241" w:firstLine="647" w:firstLineChars="231"/>
    </w:pPr>
    <w:rPr>
      <w:sz w:val="28"/>
      <w:szCs w:val="20"/>
    </w:rPr>
  </w:style>
  <w:style w:type="paragraph" w:styleId="25">
    <w:name w:val="Balloon Text"/>
    <w:basedOn w:val="1"/>
    <w:link w:val="80"/>
    <w:qFormat/>
    <w:uiPriority w:val="99"/>
    <w:rPr>
      <w:sz w:val="18"/>
      <w:szCs w:val="18"/>
    </w:rPr>
  </w:style>
  <w:style w:type="paragraph" w:styleId="26">
    <w:name w:val="footer"/>
    <w:basedOn w:val="1"/>
    <w:link w:val="61"/>
    <w:unhideWhenUsed/>
    <w:qFormat/>
    <w:uiPriority w:val="0"/>
    <w:pPr>
      <w:tabs>
        <w:tab w:val="center" w:pos="4153"/>
        <w:tab w:val="right" w:pos="8306"/>
      </w:tabs>
      <w:snapToGrid w:val="0"/>
    </w:pPr>
    <w:rPr>
      <w:sz w:val="18"/>
      <w:szCs w:val="18"/>
    </w:rPr>
  </w:style>
  <w:style w:type="paragraph" w:styleId="27">
    <w:name w:val="header"/>
    <w:basedOn w:val="1"/>
    <w:link w:val="60"/>
    <w:unhideWhenUsed/>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tabs>
        <w:tab w:val="right" w:leader="dot" w:pos="8302"/>
      </w:tabs>
    </w:pPr>
  </w:style>
  <w:style w:type="paragraph" w:styleId="29">
    <w:name w:val="Subtitle"/>
    <w:basedOn w:val="1"/>
    <w:next w:val="1"/>
    <w:qFormat/>
    <w:uiPriority w:val="99"/>
    <w:pPr>
      <w:spacing w:before="240" w:after="60" w:line="312" w:lineRule="auto"/>
      <w:jc w:val="center"/>
      <w:outlineLvl w:val="1"/>
    </w:pPr>
    <w:rPr>
      <w:rFonts w:asciiTheme="majorHAnsi" w:hAnsiTheme="majorHAnsi" w:cstheme="majorBidi"/>
      <w:b/>
      <w:bCs/>
      <w:kern w:val="28"/>
      <w:sz w:val="32"/>
      <w:szCs w:val="32"/>
    </w:rPr>
  </w:style>
  <w:style w:type="paragraph" w:styleId="30">
    <w:name w:val="footnote text"/>
    <w:basedOn w:val="1"/>
    <w:link w:val="83"/>
    <w:qFormat/>
    <w:uiPriority w:val="0"/>
    <w:pPr>
      <w:snapToGrid w:val="0"/>
    </w:pPr>
    <w:rPr>
      <w:sz w:val="18"/>
      <w:szCs w:val="18"/>
    </w:rPr>
  </w:style>
  <w:style w:type="paragraph" w:styleId="31">
    <w:name w:val="Body Text Indent 3"/>
    <w:basedOn w:val="1"/>
    <w:link w:val="84"/>
    <w:qFormat/>
    <w:uiPriority w:val="0"/>
    <w:pPr>
      <w:spacing w:line="360" w:lineRule="auto"/>
      <w:ind w:right="67" w:firstLine="420"/>
    </w:pPr>
    <w:rPr>
      <w:color w:val="FF0000"/>
      <w:sz w:val="24"/>
    </w:rPr>
  </w:style>
  <w:style w:type="paragraph" w:styleId="32">
    <w:name w:val="toc 2"/>
    <w:basedOn w:val="1"/>
    <w:next w:val="1"/>
    <w:qFormat/>
    <w:uiPriority w:val="39"/>
    <w:pPr>
      <w:ind w:left="420" w:leftChars="200"/>
    </w:pPr>
  </w:style>
  <w:style w:type="paragraph" w:styleId="33">
    <w:name w:val="Body Text 2"/>
    <w:basedOn w:val="1"/>
    <w:link w:val="192"/>
    <w:semiHidden/>
    <w:qFormat/>
    <w:uiPriority w:val="0"/>
    <w:pPr>
      <w:tabs>
        <w:tab w:val="left" w:pos="6742"/>
        <w:tab w:val="left" w:pos="7234"/>
        <w:tab w:val="left" w:leader="hyphen" w:pos="8431"/>
      </w:tabs>
      <w:spacing w:before="60" w:after="60"/>
    </w:pPr>
    <w:rPr>
      <w:i/>
      <w:kern w:val="0"/>
      <w:sz w:val="24"/>
      <w:szCs w:val="20"/>
      <w:lang w:val="it-IT"/>
    </w:rPr>
  </w:style>
  <w:style w:type="paragraph" w:styleId="34">
    <w:name w:val="HTML Preformatted"/>
    <w:basedOn w:val="1"/>
    <w:link w:val="180"/>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kern w:val="0"/>
      <w:sz w:val="24"/>
    </w:rPr>
  </w:style>
  <w:style w:type="paragraph" w:styleId="35">
    <w:name w:val="Normal (Web)"/>
    <w:basedOn w:val="1"/>
    <w:qFormat/>
    <w:uiPriority w:val="99"/>
    <w:pPr>
      <w:spacing w:before="100" w:beforeAutospacing="1" w:after="100" w:afterAutospacing="1"/>
    </w:pPr>
    <w:rPr>
      <w:rFonts w:ascii="Arial Unicode MS" w:hAnsi="Arial Unicode MS" w:eastAsia="Arial Unicode MS" w:cs="Arial Unicode MS"/>
      <w:color w:val="000000"/>
      <w:kern w:val="0"/>
      <w:sz w:val="24"/>
    </w:rPr>
  </w:style>
  <w:style w:type="paragraph" w:styleId="36">
    <w:name w:val="Title"/>
    <w:basedOn w:val="1"/>
    <w:link w:val="223"/>
    <w:qFormat/>
    <w:uiPriority w:val="0"/>
    <w:pPr>
      <w:tabs>
        <w:tab w:val="left" w:pos="360"/>
      </w:tabs>
      <w:spacing w:before="240" w:after="60"/>
      <w:ind w:left="360" w:hanging="360"/>
      <w:jc w:val="center"/>
      <w:outlineLvl w:val="0"/>
    </w:pPr>
    <w:rPr>
      <w:rFonts w:ascii="Arial" w:hAnsi="Arial" w:cs="Arial"/>
      <w:b/>
      <w:bCs/>
      <w:sz w:val="32"/>
      <w:szCs w:val="32"/>
    </w:rPr>
  </w:style>
  <w:style w:type="paragraph" w:styleId="37">
    <w:name w:val="annotation subject"/>
    <w:basedOn w:val="15"/>
    <w:next w:val="15"/>
    <w:link w:val="71"/>
    <w:qFormat/>
    <w:uiPriority w:val="99"/>
    <w:rPr>
      <w:b/>
      <w:bCs/>
    </w:rPr>
  </w:style>
  <w:style w:type="paragraph" w:styleId="38">
    <w:name w:val="Body Text First Indent"/>
    <w:basedOn w:val="2"/>
    <w:link w:val="194"/>
    <w:qFormat/>
    <w:uiPriority w:val="0"/>
    <w:pPr>
      <w:ind w:firstLine="420" w:firstLineChars="100"/>
    </w:pPr>
  </w:style>
  <w:style w:type="paragraph" w:styleId="39">
    <w:name w:val="Body Text First Indent 2"/>
    <w:basedOn w:val="19"/>
    <w:link w:val="81"/>
    <w:qFormat/>
    <w:uiPriority w:val="0"/>
    <w:pPr>
      <w:widowControl w:val="0"/>
      <w:autoSpaceDE/>
      <w:autoSpaceDN/>
      <w:adjustRightInd/>
      <w:spacing w:after="120" w:line="360" w:lineRule="auto"/>
      <w:ind w:left="420" w:firstLine="210"/>
      <w:jc w:val="both"/>
    </w:pPr>
    <w:rPr>
      <w:rFonts w:ascii="Times New Roman"/>
      <w:kern w:val="2"/>
    </w:rPr>
  </w:style>
  <w:style w:type="table" w:styleId="41">
    <w:name w:val="Table Grid"/>
    <w:basedOn w:val="4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0"/>
    <w:rPr>
      <w:b/>
      <w:bCs/>
    </w:rPr>
  </w:style>
  <w:style w:type="character" w:styleId="44">
    <w:name w:val="page number"/>
    <w:basedOn w:val="42"/>
    <w:qFormat/>
    <w:uiPriority w:val="0"/>
  </w:style>
  <w:style w:type="character" w:styleId="45">
    <w:name w:val="FollowedHyperlink"/>
    <w:qFormat/>
    <w:uiPriority w:val="99"/>
    <w:rPr>
      <w:color w:val="800080"/>
      <w:u w:val="single"/>
    </w:rPr>
  </w:style>
  <w:style w:type="character" w:styleId="46">
    <w:name w:val="Emphasis"/>
    <w:qFormat/>
    <w:uiPriority w:val="20"/>
    <w:rPr>
      <w:color w:val="CC0000"/>
    </w:rPr>
  </w:style>
  <w:style w:type="character" w:styleId="47">
    <w:name w:val="Hyperlink"/>
    <w:qFormat/>
    <w:uiPriority w:val="99"/>
    <w:rPr>
      <w:color w:val="0000FF"/>
      <w:u w:val="single"/>
    </w:rPr>
  </w:style>
  <w:style w:type="character" w:styleId="48">
    <w:name w:val="annotation reference"/>
    <w:qFormat/>
    <w:uiPriority w:val="99"/>
    <w:rPr>
      <w:sz w:val="21"/>
      <w:szCs w:val="21"/>
    </w:rPr>
  </w:style>
  <w:style w:type="character" w:styleId="49">
    <w:name w:val="HTML Cite"/>
    <w:qFormat/>
    <w:uiPriority w:val="0"/>
    <w:rPr>
      <w:color w:val="008000"/>
    </w:rPr>
  </w:style>
  <w:style w:type="character" w:styleId="50">
    <w:name w:val="footnote reference"/>
    <w:qFormat/>
    <w:uiPriority w:val="0"/>
    <w:rPr>
      <w:vertAlign w:val="superscript"/>
    </w:rPr>
  </w:style>
  <w:style w:type="character" w:customStyle="1" w:styleId="51">
    <w:name w:val="标题 1 Char"/>
    <w:basedOn w:val="42"/>
    <w:link w:val="3"/>
    <w:qFormat/>
    <w:uiPriority w:val="0"/>
    <w:rPr>
      <w:rFonts w:ascii="Times New Roman" w:hAnsi="Times New Roman" w:eastAsia="楷体" w:cs="Times New Roman"/>
      <w:b/>
      <w:bCs/>
      <w:kern w:val="44"/>
      <w:sz w:val="36"/>
      <w:szCs w:val="44"/>
    </w:rPr>
  </w:style>
  <w:style w:type="character" w:customStyle="1" w:styleId="52">
    <w:name w:val="标题 2 Char2"/>
    <w:link w:val="4"/>
    <w:qFormat/>
    <w:uiPriority w:val="0"/>
    <w:rPr>
      <w:rFonts w:ascii="Arial" w:hAnsi="Arial" w:eastAsia="楷体" w:cs="Times New Roman"/>
      <w:b/>
      <w:bCs/>
      <w:sz w:val="24"/>
      <w:szCs w:val="32"/>
    </w:rPr>
  </w:style>
  <w:style w:type="character" w:customStyle="1" w:styleId="53">
    <w:name w:val="标题 3 Char1"/>
    <w:link w:val="5"/>
    <w:qFormat/>
    <w:uiPriority w:val="0"/>
    <w:rPr>
      <w:rFonts w:ascii="Times New Roman" w:hAnsi="Times New Roman" w:eastAsia="宋体" w:cs="Times New Roman"/>
      <w:b/>
      <w:sz w:val="32"/>
      <w:szCs w:val="20"/>
    </w:rPr>
  </w:style>
  <w:style w:type="character" w:customStyle="1" w:styleId="54">
    <w:name w:val="标题 4 Char1"/>
    <w:link w:val="6"/>
    <w:qFormat/>
    <w:uiPriority w:val="9"/>
    <w:rPr>
      <w:rFonts w:ascii="Arial" w:hAnsi="Arial" w:eastAsia="黑体" w:cs="Times New Roman"/>
      <w:b/>
      <w:kern w:val="0"/>
      <w:sz w:val="28"/>
      <w:szCs w:val="20"/>
    </w:rPr>
  </w:style>
  <w:style w:type="character" w:customStyle="1" w:styleId="55">
    <w:name w:val="标题 5 Char1"/>
    <w:link w:val="7"/>
    <w:qFormat/>
    <w:uiPriority w:val="0"/>
    <w:rPr>
      <w:rFonts w:ascii="Times New Roman" w:hAnsi="Times New Roman" w:eastAsia="宋体" w:cs="Times New Roman"/>
      <w:b/>
      <w:kern w:val="0"/>
      <w:sz w:val="28"/>
      <w:szCs w:val="20"/>
    </w:rPr>
  </w:style>
  <w:style w:type="character" w:customStyle="1" w:styleId="56">
    <w:name w:val="标题 6 Char1"/>
    <w:link w:val="8"/>
    <w:qFormat/>
    <w:uiPriority w:val="0"/>
    <w:rPr>
      <w:rFonts w:ascii="Arial" w:hAnsi="Arial" w:eastAsia="黑体" w:cs="Times New Roman"/>
      <w:b/>
      <w:kern w:val="0"/>
      <w:sz w:val="24"/>
      <w:szCs w:val="20"/>
    </w:rPr>
  </w:style>
  <w:style w:type="character" w:customStyle="1" w:styleId="57">
    <w:name w:val="标题 7 Char1"/>
    <w:link w:val="9"/>
    <w:qFormat/>
    <w:uiPriority w:val="0"/>
    <w:rPr>
      <w:rFonts w:ascii="Times New Roman" w:hAnsi="Times New Roman" w:eastAsia="宋体" w:cs="Times New Roman"/>
      <w:b/>
      <w:kern w:val="0"/>
      <w:sz w:val="24"/>
      <w:szCs w:val="20"/>
    </w:rPr>
  </w:style>
  <w:style w:type="character" w:customStyle="1" w:styleId="58">
    <w:name w:val="标题 8 Char1"/>
    <w:link w:val="10"/>
    <w:qFormat/>
    <w:uiPriority w:val="0"/>
    <w:rPr>
      <w:rFonts w:ascii="Arial" w:hAnsi="Arial" w:eastAsia="黑体" w:cs="Times New Roman"/>
      <w:kern w:val="0"/>
      <w:sz w:val="24"/>
      <w:szCs w:val="20"/>
    </w:rPr>
  </w:style>
  <w:style w:type="character" w:customStyle="1" w:styleId="59">
    <w:name w:val="标题 9 Char1"/>
    <w:link w:val="11"/>
    <w:qFormat/>
    <w:uiPriority w:val="0"/>
    <w:rPr>
      <w:rFonts w:ascii="Arial" w:hAnsi="Arial" w:eastAsia="黑体" w:cs="Times New Roman"/>
      <w:kern w:val="0"/>
      <w:szCs w:val="20"/>
    </w:rPr>
  </w:style>
  <w:style w:type="character" w:customStyle="1" w:styleId="60">
    <w:name w:val="页眉 Char"/>
    <w:basedOn w:val="42"/>
    <w:link w:val="27"/>
    <w:qFormat/>
    <w:uiPriority w:val="0"/>
    <w:rPr>
      <w:sz w:val="18"/>
      <w:szCs w:val="18"/>
    </w:rPr>
  </w:style>
  <w:style w:type="character" w:customStyle="1" w:styleId="61">
    <w:name w:val="页脚 Char"/>
    <w:basedOn w:val="42"/>
    <w:link w:val="26"/>
    <w:qFormat/>
    <w:uiPriority w:val="0"/>
    <w:rPr>
      <w:sz w:val="18"/>
      <w:szCs w:val="18"/>
    </w:rPr>
  </w:style>
  <w:style w:type="character" w:customStyle="1" w:styleId="62">
    <w:name w:val="标题 2 Char"/>
    <w:basedOn w:val="42"/>
    <w:qFormat/>
    <w:uiPriority w:val="9"/>
    <w:rPr>
      <w:rFonts w:asciiTheme="majorHAnsi" w:hAnsiTheme="majorHAnsi" w:eastAsiaTheme="majorEastAsia" w:cstheme="majorBidi"/>
      <w:b/>
      <w:bCs/>
      <w:sz w:val="32"/>
      <w:szCs w:val="32"/>
    </w:rPr>
  </w:style>
  <w:style w:type="character" w:customStyle="1" w:styleId="63">
    <w:name w:val="标题 3 Char"/>
    <w:basedOn w:val="42"/>
    <w:qFormat/>
    <w:uiPriority w:val="9"/>
    <w:rPr>
      <w:rFonts w:ascii="Times New Roman" w:hAnsi="Times New Roman" w:eastAsia="宋体" w:cs="Times New Roman"/>
      <w:b/>
      <w:bCs/>
      <w:sz w:val="32"/>
      <w:szCs w:val="32"/>
    </w:rPr>
  </w:style>
  <w:style w:type="character" w:customStyle="1" w:styleId="64">
    <w:name w:val="标题 4 Char"/>
    <w:basedOn w:val="42"/>
    <w:semiHidden/>
    <w:qFormat/>
    <w:uiPriority w:val="9"/>
    <w:rPr>
      <w:rFonts w:asciiTheme="majorHAnsi" w:hAnsiTheme="majorHAnsi" w:eastAsiaTheme="majorEastAsia" w:cstheme="majorBidi"/>
      <w:b/>
      <w:bCs/>
      <w:sz w:val="28"/>
      <w:szCs w:val="28"/>
    </w:rPr>
  </w:style>
  <w:style w:type="character" w:customStyle="1" w:styleId="65">
    <w:name w:val="标题 5 Char"/>
    <w:basedOn w:val="42"/>
    <w:semiHidden/>
    <w:qFormat/>
    <w:uiPriority w:val="9"/>
    <w:rPr>
      <w:rFonts w:ascii="Times New Roman" w:hAnsi="Times New Roman" w:eastAsia="宋体" w:cs="Times New Roman"/>
      <w:b/>
      <w:bCs/>
      <w:sz w:val="28"/>
      <w:szCs w:val="28"/>
    </w:rPr>
  </w:style>
  <w:style w:type="character" w:customStyle="1" w:styleId="66">
    <w:name w:val="标题 6 Char"/>
    <w:basedOn w:val="42"/>
    <w:semiHidden/>
    <w:qFormat/>
    <w:uiPriority w:val="9"/>
    <w:rPr>
      <w:rFonts w:asciiTheme="majorHAnsi" w:hAnsiTheme="majorHAnsi" w:eastAsiaTheme="majorEastAsia" w:cstheme="majorBidi"/>
      <w:b/>
      <w:bCs/>
      <w:sz w:val="24"/>
      <w:szCs w:val="24"/>
    </w:rPr>
  </w:style>
  <w:style w:type="character" w:customStyle="1" w:styleId="67">
    <w:name w:val="标题 7 Char"/>
    <w:basedOn w:val="42"/>
    <w:semiHidden/>
    <w:qFormat/>
    <w:uiPriority w:val="9"/>
    <w:rPr>
      <w:rFonts w:ascii="Times New Roman" w:hAnsi="Times New Roman" w:eastAsia="宋体" w:cs="Times New Roman"/>
      <w:b/>
      <w:bCs/>
      <w:sz w:val="24"/>
      <w:szCs w:val="24"/>
    </w:rPr>
  </w:style>
  <w:style w:type="character" w:customStyle="1" w:styleId="68">
    <w:name w:val="标题 8 Char"/>
    <w:basedOn w:val="42"/>
    <w:semiHidden/>
    <w:qFormat/>
    <w:uiPriority w:val="9"/>
    <w:rPr>
      <w:rFonts w:asciiTheme="majorHAnsi" w:hAnsiTheme="majorHAnsi" w:eastAsiaTheme="majorEastAsia" w:cstheme="majorBidi"/>
      <w:sz w:val="24"/>
      <w:szCs w:val="24"/>
    </w:rPr>
  </w:style>
  <w:style w:type="character" w:customStyle="1" w:styleId="69">
    <w:name w:val="标题 9 Char"/>
    <w:basedOn w:val="42"/>
    <w:semiHidden/>
    <w:qFormat/>
    <w:uiPriority w:val="9"/>
    <w:rPr>
      <w:rFonts w:asciiTheme="majorHAnsi" w:hAnsiTheme="majorHAnsi" w:eastAsiaTheme="majorEastAsia" w:cstheme="majorBidi"/>
      <w:szCs w:val="21"/>
    </w:rPr>
  </w:style>
  <w:style w:type="character" w:customStyle="1" w:styleId="70">
    <w:name w:val="批注文字 Char"/>
    <w:basedOn w:val="42"/>
    <w:link w:val="15"/>
    <w:qFormat/>
    <w:uiPriority w:val="99"/>
    <w:rPr>
      <w:rFonts w:ascii="Times New Roman" w:hAnsi="Times New Roman" w:eastAsia="宋体" w:cs="Times New Roman"/>
      <w:szCs w:val="24"/>
    </w:rPr>
  </w:style>
  <w:style w:type="character" w:customStyle="1" w:styleId="71">
    <w:name w:val="批注主题 Char"/>
    <w:basedOn w:val="70"/>
    <w:link w:val="37"/>
    <w:qFormat/>
    <w:uiPriority w:val="99"/>
    <w:rPr>
      <w:rFonts w:ascii="Times New Roman" w:hAnsi="Times New Roman" w:eastAsia="宋体" w:cs="Times New Roman"/>
      <w:b/>
      <w:bCs/>
      <w:szCs w:val="24"/>
    </w:rPr>
  </w:style>
  <w:style w:type="character" w:customStyle="1" w:styleId="72">
    <w:name w:val="文档结构图 Char"/>
    <w:basedOn w:val="42"/>
    <w:link w:val="14"/>
    <w:qFormat/>
    <w:uiPriority w:val="99"/>
    <w:rPr>
      <w:rFonts w:ascii="Times New Roman" w:hAnsi="Times New Roman" w:eastAsia="宋体" w:cs="Times New Roman"/>
      <w:szCs w:val="24"/>
      <w:shd w:val="clear" w:color="auto" w:fill="000080"/>
    </w:rPr>
  </w:style>
  <w:style w:type="character" w:customStyle="1" w:styleId="73">
    <w:name w:val="正文文本 Char2"/>
    <w:basedOn w:val="42"/>
    <w:link w:val="2"/>
    <w:qFormat/>
    <w:uiPriority w:val="0"/>
    <w:rPr>
      <w:rFonts w:ascii="Times New Roman" w:hAnsi="Times New Roman" w:eastAsia="宋体" w:cs="Times New Roman"/>
      <w:szCs w:val="24"/>
    </w:rPr>
  </w:style>
  <w:style w:type="character" w:customStyle="1" w:styleId="74">
    <w:name w:val="正文文本 Char"/>
    <w:basedOn w:val="42"/>
    <w:semiHidden/>
    <w:qFormat/>
    <w:uiPriority w:val="99"/>
    <w:rPr>
      <w:rFonts w:ascii="Times New Roman" w:hAnsi="Times New Roman" w:eastAsia="宋体" w:cs="Times New Roman"/>
      <w:szCs w:val="24"/>
    </w:rPr>
  </w:style>
  <w:style w:type="character" w:customStyle="1" w:styleId="75">
    <w:name w:val="正文文本缩进 Char"/>
    <w:basedOn w:val="42"/>
    <w:link w:val="19"/>
    <w:qFormat/>
    <w:uiPriority w:val="0"/>
    <w:rPr>
      <w:rFonts w:ascii="宋体" w:hAnsi="Times New Roman" w:eastAsia="宋体" w:cs="Times New Roman"/>
      <w:kern w:val="0"/>
      <w:sz w:val="24"/>
      <w:szCs w:val="20"/>
    </w:rPr>
  </w:style>
  <w:style w:type="character" w:customStyle="1" w:styleId="76">
    <w:name w:val="纯文本 Char"/>
    <w:basedOn w:val="42"/>
    <w:link w:val="22"/>
    <w:qFormat/>
    <w:uiPriority w:val="99"/>
    <w:rPr>
      <w:rFonts w:ascii="宋体" w:hAnsi="Courier New" w:eastAsia="宋体" w:cs="Times New Roman"/>
      <w:sz w:val="19"/>
      <w:szCs w:val="20"/>
    </w:rPr>
  </w:style>
  <w:style w:type="character" w:customStyle="1" w:styleId="77">
    <w:name w:val="日期 Char"/>
    <w:basedOn w:val="42"/>
    <w:link w:val="23"/>
    <w:qFormat/>
    <w:uiPriority w:val="99"/>
    <w:rPr>
      <w:rFonts w:ascii="宋体" w:hAnsi="Times New Roman" w:eastAsia="宋体" w:cs="Times New Roman"/>
      <w:kern w:val="0"/>
      <w:sz w:val="28"/>
      <w:szCs w:val="20"/>
    </w:rPr>
  </w:style>
  <w:style w:type="character" w:customStyle="1" w:styleId="78">
    <w:name w:val="正文文本缩进 2 Char1"/>
    <w:link w:val="24"/>
    <w:qFormat/>
    <w:uiPriority w:val="0"/>
    <w:rPr>
      <w:rFonts w:ascii="Times New Roman" w:hAnsi="Times New Roman" w:eastAsia="宋体" w:cs="Times New Roman"/>
      <w:sz w:val="28"/>
      <w:szCs w:val="20"/>
    </w:rPr>
  </w:style>
  <w:style w:type="character" w:customStyle="1" w:styleId="79">
    <w:name w:val="正文文本缩进 2 Char"/>
    <w:basedOn w:val="42"/>
    <w:semiHidden/>
    <w:qFormat/>
    <w:uiPriority w:val="99"/>
    <w:rPr>
      <w:rFonts w:ascii="Times New Roman" w:hAnsi="Times New Roman" w:eastAsia="宋体" w:cs="Times New Roman"/>
      <w:szCs w:val="24"/>
    </w:rPr>
  </w:style>
  <w:style w:type="character" w:customStyle="1" w:styleId="80">
    <w:name w:val="批注框文本 Char"/>
    <w:basedOn w:val="42"/>
    <w:link w:val="25"/>
    <w:qFormat/>
    <w:uiPriority w:val="99"/>
    <w:rPr>
      <w:rFonts w:ascii="Times New Roman" w:hAnsi="Times New Roman" w:eastAsia="宋体" w:cs="Times New Roman"/>
      <w:sz w:val="18"/>
      <w:szCs w:val="18"/>
    </w:rPr>
  </w:style>
  <w:style w:type="character" w:customStyle="1" w:styleId="81">
    <w:name w:val="正文首行缩进 2 Char1"/>
    <w:link w:val="39"/>
    <w:qFormat/>
    <w:uiPriority w:val="0"/>
    <w:rPr>
      <w:rFonts w:ascii="Times New Roman" w:hAnsi="Times New Roman" w:eastAsia="宋体" w:cs="Times New Roman"/>
      <w:sz w:val="24"/>
      <w:szCs w:val="20"/>
    </w:rPr>
  </w:style>
  <w:style w:type="character" w:customStyle="1" w:styleId="82">
    <w:name w:val="正文首行缩进 2 Char"/>
    <w:basedOn w:val="75"/>
    <w:semiHidden/>
    <w:qFormat/>
    <w:uiPriority w:val="99"/>
    <w:rPr>
      <w:rFonts w:ascii="宋体" w:hAnsi="Times New Roman" w:eastAsia="宋体" w:cs="Times New Roman"/>
      <w:kern w:val="0"/>
      <w:sz w:val="24"/>
      <w:szCs w:val="20"/>
    </w:rPr>
  </w:style>
  <w:style w:type="character" w:customStyle="1" w:styleId="83">
    <w:name w:val="脚注文本 Char"/>
    <w:basedOn w:val="42"/>
    <w:link w:val="30"/>
    <w:qFormat/>
    <w:uiPriority w:val="0"/>
    <w:rPr>
      <w:rFonts w:ascii="Times New Roman" w:hAnsi="Times New Roman" w:eastAsia="宋体" w:cs="Times New Roman"/>
      <w:sz w:val="18"/>
      <w:szCs w:val="18"/>
    </w:rPr>
  </w:style>
  <w:style w:type="character" w:customStyle="1" w:styleId="84">
    <w:name w:val="正文文本缩进 3 Char1"/>
    <w:link w:val="31"/>
    <w:qFormat/>
    <w:uiPriority w:val="0"/>
    <w:rPr>
      <w:rFonts w:ascii="Times New Roman" w:hAnsi="Times New Roman" w:eastAsia="宋体" w:cs="Times New Roman"/>
      <w:color w:val="FF0000"/>
      <w:sz w:val="24"/>
      <w:szCs w:val="24"/>
    </w:rPr>
  </w:style>
  <w:style w:type="character" w:customStyle="1" w:styleId="85">
    <w:name w:val="正文文本缩进 3 Char"/>
    <w:basedOn w:val="42"/>
    <w:semiHidden/>
    <w:qFormat/>
    <w:uiPriority w:val="99"/>
    <w:rPr>
      <w:rFonts w:ascii="Times New Roman" w:hAnsi="Times New Roman" w:eastAsia="宋体" w:cs="Times New Roman"/>
      <w:sz w:val="16"/>
      <w:szCs w:val="16"/>
    </w:rPr>
  </w:style>
  <w:style w:type="character" w:customStyle="1" w:styleId="86">
    <w:name w:val="ca-4"/>
    <w:basedOn w:val="42"/>
    <w:qFormat/>
    <w:uiPriority w:val="0"/>
  </w:style>
  <w:style w:type="character" w:customStyle="1" w:styleId="87">
    <w:name w:val="aa"/>
    <w:basedOn w:val="42"/>
    <w:qFormat/>
    <w:uiPriority w:val="0"/>
  </w:style>
  <w:style w:type="character" w:customStyle="1" w:styleId="88">
    <w:name w:val="ca-2"/>
    <w:basedOn w:val="42"/>
    <w:qFormat/>
    <w:uiPriority w:val="0"/>
  </w:style>
  <w:style w:type="character" w:customStyle="1" w:styleId="89">
    <w:name w:val="bu1"/>
    <w:qFormat/>
    <w:uiPriority w:val="0"/>
    <w:rPr>
      <w:sz w:val="26"/>
      <w:szCs w:val="26"/>
    </w:rPr>
  </w:style>
  <w:style w:type="paragraph" w:customStyle="1" w:styleId="90">
    <w:name w:val="xl24"/>
    <w:basedOn w:val="1"/>
    <w:qFormat/>
    <w:uiPriority w:val="0"/>
    <w:pPr>
      <w:spacing w:before="100" w:after="100"/>
      <w:jc w:val="center"/>
    </w:pPr>
    <w:rPr>
      <w:rFonts w:ascii="宋体" w:hAnsi="宋体"/>
      <w:kern w:val="0"/>
      <w:sz w:val="24"/>
      <w:szCs w:val="20"/>
    </w:rPr>
  </w:style>
  <w:style w:type="paragraph" w:customStyle="1" w:styleId="91">
    <w:name w:val="正文1"/>
    <w:basedOn w:val="1"/>
    <w:qFormat/>
    <w:uiPriority w:val="0"/>
    <w:pPr>
      <w:spacing w:line="480" w:lineRule="exact"/>
      <w:ind w:firstLine="480" w:firstLineChars="200"/>
    </w:pPr>
    <w:rPr>
      <w:rFonts w:ascii="宋体"/>
      <w:sz w:val="24"/>
      <w:szCs w:val="20"/>
    </w:rPr>
  </w:style>
  <w:style w:type="paragraph" w:customStyle="1" w:styleId="92">
    <w:name w:val="Header Base"/>
    <w:basedOn w:val="2"/>
    <w:qFormat/>
    <w:uiPriority w:val="0"/>
    <w:pPr>
      <w:keepLines/>
      <w:tabs>
        <w:tab w:val="center" w:pos="4320"/>
        <w:tab w:val="right" w:pos="8640"/>
      </w:tabs>
      <w:suppressAutoHyphens/>
      <w:spacing w:after="0" w:line="180" w:lineRule="atLeast"/>
    </w:pPr>
    <w:rPr>
      <w:rFonts w:ascii="Arial" w:hAnsi="Arial" w:eastAsia="微软简楷体"/>
      <w:spacing w:val="-5"/>
      <w:kern w:val="0"/>
      <w:sz w:val="24"/>
      <w:szCs w:val="20"/>
    </w:rPr>
  </w:style>
  <w:style w:type="paragraph" w:customStyle="1" w:styleId="93">
    <w:name w:val="列出段落2"/>
    <w:basedOn w:val="1"/>
    <w:qFormat/>
    <w:uiPriority w:val="0"/>
    <w:pPr>
      <w:ind w:firstLine="420" w:firstLineChars="200"/>
    </w:pPr>
  </w:style>
  <w:style w:type="paragraph" w:customStyle="1" w:styleId="94">
    <w:name w:val="列出段落3"/>
    <w:basedOn w:val="1"/>
    <w:unhideWhenUsed/>
    <w:qFormat/>
    <w:uiPriority w:val="99"/>
    <w:pPr>
      <w:ind w:firstLine="420" w:firstLineChars="200"/>
    </w:pPr>
  </w:style>
  <w:style w:type="paragraph" w:customStyle="1" w:styleId="95">
    <w:name w:val="Char"/>
    <w:basedOn w:val="1"/>
    <w:qFormat/>
    <w:uiPriority w:val="0"/>
  </w:style>
  <w:style w:type="paragraph" w:customStyle="1" w:styleId="96">
    <w:name w:val="列出段落1"/>
    <w:basedOn w:val="1"/>
    <w:qFormat/>
    <w:uiPriority w:val="99"/>
    <w:pPr>
      <w:ind w:firstLine="420" w:firstLineChars="200"/>
    </w:pPr>
  </w:style>
  <w:style w:type="paragraph" w:customStyle="1" w:styleId="97">
    <w:name w:val="样式1"/>
    <w:basedOn w:val="1"/>
    <w:qFormat/>
    <w:uiPriority w:val="0"/>
    <w:pPr>
      <w:tabs>
        <w:tab w:val="left" w:pos="753"/>
      </w:tabs>
    </w:pPr>
    <w:rPr>
      <w:rFonts w:ascii="宋体" w:hAnsi="宋体"/>
      <w:szCs w:val="21"/>
    </w:rPr>
  </w:style>
  <w:style w:type="paragraph" w:customStyle="1" w:styleId="98">
    <w:name w:val="普通 (Web)"/>
    <w:basedOn w:val="1"/>
    <w:qFormat/>
    <w:uiPriority w:val="0"/>
    <w:pPr>
      <w:suppressAutoHyphens/>
      <w:spacing w:before="100" w:after="100"/>
    </w:pPr>
    <w:rPr>
      <w:rFonts w:ascii="Arial Unicode MS" w:hAnsi="Arial Unicode MS" w:eastAsia="Arial Unicode MS" w:cs="Courier New"/>
      <w:color w:val="000000"/>
      <w:kern w:val="1"/>
      <w:sz w:val="24"/>
      <w:szCs w:val="20"/>
      <w:lang w:eastAsia="ar-SA"/>
    </w:rPr>
  </w:style>
  <w:style w:type="paragraph" w:customStyle="1" w:styleId="99">
    <w:name w:val="Char1"/>
    <w:basedOn w:val="1"/>
    <w:qFormat/>
    <w:uiPriority w:val="0"/>
  </w:style>
  <w:style w:type="paragraph" w:customStyle="1" w:styleId="100">
    <w:name w:val="TOC 标题1"/>
    <w:basedOn w:val="3"/>
    <w:next w:val="1"/>
    <w:qFormat/>
    <w:uiPriority w:val="39"/>
    <w:pPr>
      <w:spacing w:before="480" w:line="276" w:lineRule="auto"/>
      <w:jc w:val="left"/>
      <w:outlineLvl w:val="9"/>
    </w:pPr>
    <w:rPr>
      <w:rFonts w:ascii="Cambria" w:hAnsi="Cambria" w:eastAsia="宋体"/>
      <w:color w:val="365F91"/>
      <w:kern w:val="0"/>
      <w:sz w:val="28"/>
      <w:szCs w:val="28"/>
    </w:rPr>
  </w:style>
  <w:style w:type="paragraph" w:customStyle="1" w:styleId="101">
    <w:name w:val="_Style 1"/>
    <w:basedOn w:val="1"/>
    <w:qFormat/>
    <w:uiPriority w:val="34"/>
    <w:pPr>
      <w:ind w:firstLine="420" w:firstLineChars="200"/>
    </w:pPr>
  </w:style>
  <w:style w:type="paragraph" w:customStyle="1" w:styleId="102">
    <w:name w:val="列出段落4"/>
    <w:basedOn w:val="1"/>
    <w:link w:val="103"/>
    <w:unhideWhenUsed/>
    <w:qFormat/>
    <w:uiPriority w:val="34"/>
    <w:pPr>
      <w:ind w:firstLine="420" w:firstLineChars="200"/>
    </w:pPr>
  </w:style>
  <w:style w:type="character" w:customStyle="1" w:styleId="103">
    <w:name w:val="列出段落 Char"/>
    <w:link w:val="102"/>
    <w:qFormat/>
    <w:uiPriority w:val="34"/>
    <w:rPr>
      <w:rFonts w:ascii="Times New Roman" w:hAnsi="Times New Roman" w:eastAsia="宋体" w:cs="Times New Roman"/>
      <w:szCs w:val="24"/>
    </w:rPr>
  </w:style>
  <w:style w:type="character" w:customStyle="1" w:styleId="104">
    <w:name w:val="标题 1 字符"/>
    <w:qFormat/>
    <w:uiPriority w:val="9"/>
    <w:rPr>
      <w:rFonts w:eastAsia="黑体"/>
      <w:bCs/>
      <w:kern w:val="44"/>
      <w:sz w:val="32"/>
      <w:szCs w:val="44"/>
    </w:rPr>
  </w:style>
  <w:style w:type="character" w:customStyle="1" w:styleId="105">
    <w:name w:val="页眉 字符"/>
    <w:qFormat/>
    <w:uiPriority w:val="99"/>
    <w:rPr>
      <w:sz w:val="18"/>
      <w:szCs w:val="18"/>
    </w:rPr>
  </w:style>
  <w:style w:type="character" w:customStyle="1" w:styleId="106">
    <w:name w:val="页脚 字符"/>
    <w:qFormat/>
    <w:uiPriority w:val="99"/>
    <w:rPr>
      <w:sz w:val="18"/>
      <w:szCs w:val="18"/>
    </w:rPr>
  </w:style>
  <w:style w:type="character" w:customStyle="1" w:styleId="107">
    <w:name w:val="批注文字 字符"/>
    <w:basedOn w:val="42"/>
    <w:qFormat/>
    <w:uiPriority w:val="99"/>
  </w:style>
  <w:style w:type="paragraph" w:customStyle="1" w:styleId="108">
    <w:name w:val="Char Char Char1 Char"/>
    <w:basedOn w:val="1"/>
    <w:qFormat/>
    <w:uiPriority w:val="0"/>
    <w:rPr>
      <w:rFonts w:ascii="Tahoma" w:hAnsi="Tahoma"/>
      <w:sz w:val="24"/>
      <w:szCs w:val="20"/>
    </w:rPr>
  </w:style>
  <w:style w:type="paragraph" w:customStyle="1" w:styleId="109">
    <w:name w:val="font5"/>
    <w:basedOn w:val="1"/>
    <w:qFormat/>
    <w:uiPriority w:val="0"/>
    <w:pPr>
      <w:spacing w:before="100" w:beforeAutospacing="1" w:after="100" w:afterAutospacing="1"/>
    </w:pPr>
    <w:rPr>
      <w:rFonts w:ascii="宋体" w:hAnsi="宋体" w:cs="宋体"/>
      <w:kern w:val="0"/>
      <w:sz w:val="18"/>
      <w:szCs w:val="18"/>
    </w:rPr>
  </w:style>
  <w:style w:type="paragraph" w:customStyle="1" w:styleId="110">
    <w:name w:val="font6"/>
    <w:basedOn w:val="1"/>
    <w:qFormat/>
    <w:uiPriority w:val="0"/>
    <w:pPr>
      <w:spacing w:before="100" w:beforeAutospacing="1" w:after="100" w:afterAutospacing="1"/>
    </w:pPr>
    <w:rPr>
      <w:rFonts w:ascii="宋体" w:hAnsi="宋体" w:cs="宋体"/>
      <w:kern w:val="0"/>
      <w:sz w:val="20"/>
      <w:szCs w:val="20"/>
    </w:rPr>
  </w:style>
  <w:style w:type="paragraph" w:customStyle="1" w:styleId="111">
    <w:name w:val="font8"/>
    <w:basedOn w:val="1"/>
    <w:qFormat/>
    <w:uiPriority w:val="0"/>
    <w:pPr>
      <w:spacing w:before="100" w:beforeAutospacing="1" w:after="100" w:afterAutospacing="1"/>
    </w:pPr>
    <w:rPr>
      <w:kern w:val="0"/>
      <w:sz w:val="36"/>
      <w:szCs w:val="36"/>
    </w:rPr>
  </w:style>
  <w:style w:type="paragraph" w:customStyle="1" w:styleId="112">
    <w:name w:val="xl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13">
    <w:name w:val="xl3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14">
    <w:name w:val="font7"/>
    <w:basedOn w:val="1"/>
    <w:qFormat/>
    <w:uiPriority w:val="0"/>
    <w:pPr>
      <w:spacing w:before="100" w:beforeAutospacing="1" w:after="100" w:afterAutospacing="1"/>
    </w:pPr>
    <w:rPr>
      <w:rFonts w:eastAsia="Arial Unicode MS"/>
      <w:b/>
      <w:bCs/>
      <w:color w:val="000000"/>
      <w:kern w:val="0"/>
      <w:sz w:val="20"/>
      <w:szCs w:val="20"/>
    </w:rPr>
  </w:style>
  <w:style w:type="paragraph" w:customStyle="1" w:styleId="115">
    <w:name w:val="font9"/>
    <w:basedOn w:val="1"/>
    <w:qFormat/>
    <w:uiPriority w:val="0"/>
    <w:pPr>
      <w:spacing w:before="100" w:beforeAutospacing="1" w:after="100" w:afterAutospacing="1"/>
    </w:pPr>
    <w:rPr>
      <w:rFonts w:hint="eastAsia" w:ascii="宋体" w:hAnsi="宋体" w:cs="Arial Unicode MS"/>
      <w:color w:val="000000"/>
      <w:kern w:val="0"/>
      <w:sz w:val="20"/>
      <w:szCs w:val="20"/>
    </w:rPr>
  </w:style>
  <w:style w:type="paragraph" w:customStyle="1" w:styleId="116">
    <w:name w:val="xl2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17">
    <w:name w:val="xl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8">
    <w:name w:val="xl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19">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0">
    <w:name w:val="xl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color w:val="000000"/>
      <w:kern w:val="0"/>
      <w:sz w:val="20"/>
      <w:szCs w:val="20"/>
    </w:rPr>
  </w:style>
  <w:style w:type="paragraph" w:customStyle="1" w:styleId="121">
    <w:name w:val="xl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22">
    <w:name w:val="xl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3">
    <w:name w:val="xl3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color w:val="000000"/>
      <w:kern w:val="0"/>
      <w:sz w:val="20"/>
      <w:szCs w:val="20"/>
    </w:rPr>
  </w:style>
  <w:style w:type="paragraph" w:customStyle="1" w:styleId="124">
    <w:name w:val="xl35"/>
    <w:basedOn w:val="1"/>
    <w:qFormat/>
    <w:uiPriority w:val="0"/>
    <w:pPr>
      <w:spacing w:before="100" w:beforeAutospacing="1" w:after="100" w:afterAutospacing="1"/>
    </w:pPr>
    <w:rPr>
      <w:rFonts w:ascii="Arial Unicode MS" w:hAnsi="Arial Unicode MS" w:eastAsia="Arial Unicode MS" w:cs="Arial Unicode MS"/>
      <w:color w:val="000000"/>
      <w:kern w:val="0"/>
      <w:sz w:val="20"/>
      <w:szCs w:val="20"/>
    </w:rPr>
  </w:style>
  <w:style w:type="paragraph" w:customStyle="1" w:styleId="125">
    <w:name w:val="xl36"/>
    <w:basedOn w:val="1"/>
    <w:qFormat/>
    <w:uiPriority w:val="0"/>
    <w:pP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qFormat/>
    <w:uiPriority w:val="0"/>
    <w:pPr>
      <w:spacing w:before="100" w:beforeAutospacing="1" w:after="100" w:afterAutospacing="1"/>
    </w:pPr>
    <w:rPr>
      <w:rFonts w:ascii="Arial Unicode MS" w:hAnsi="Arial Unicode MS" w:eastAsia="Arial Unicode MS" w:cs="Arial Unicode MS"/>
      <w:color w:val="000000"/>
      <w:kern w:val="0"/>
      <w:sz w:val="20"/>
      <w:szCs w:val="20"/>
    </w:rPr>
  </w:style>
  <w:style w:type="paragraph" w:customStyle="1" w:styleId="127">
    <w:name w:val="xl3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color w:val="000000"/>
      <w:kern w:val="0"/>
      <w:sz w:val="16"/>
      <w:szCs w:val="16"/>
    </w:rPr>
  </w:style>
  <w:style w:type="paragraph" w:customStyle="1" w:styleId="12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xl4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color w:val="000000"/>
      <w:kern w:val="0"/>
      <w:sz w:val="20"/>
      <w:szCs w:val="20"/>
    </w:rPr>
  </w:style>
  <w:style w:type="paragraph" w:customStyle="1" w:styleId="130">
    <w:name w:val="xl41"/>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1">
    <w:name w:val="xl4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xl43"/>
    <w:basedOn w:val="1"/>
    <w:qFormat/>
    <w:uiPriority w:val="0"/>
    <w:pPr>
      <w:pBdr>
        <w:top w:val="single" w:color="auto" w:sz="4" w:space="0"/>
        <w:left w:val="single" w:color="auto" w:sz="4" w:space="0"/>
        <w:bottom w:val="single" w:color="auto" w:sz="4" w:space="0"/>
      </w:pBdr>
      <w:spacing w:before="100" w:beforeAutospacing="1" w:after="100" w:afterAutospacing="1"/>
    </w:pPr>
    <w:rPr>
      <w:rFonts w:ascii="Arial Unicode MS" w:hAnsi="Arial Unicode MS" w:eastAsia="Arial Unicode MS" w:cs="Arial Unicode MS"/>
      <w:color w:val="000000"/>
      <w:kern w:val="0"/>
      <w:sz w:val="20"/>
      <w:szCs w:val="20"/>
    </w:rPr>
  </w:style>
  <w:style w:type="paragraph" w:customStyle="1" w:styleId="133">
    <w:name w:val="xl44"/>
    <w:basedOn w:val="1"/>
    <w:qFormat/>
    <w:uiPriority w:val="0"/>
    <w:pPr>
      <w:pBdr>
        <w:top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kern w:val="0"/>
      <w:sz w:val="24"/>
    </w:rPr>
  </w:style>
  <w:style w:type="paragraph" w:customStyle="1" w:styleId="134">
    <w:name w:val="xl45"/>
    <w:basedOn w:val="1"/>
    <w:qFormat/>
    <w:uiPriority w:val="0"/>
    <w:pPr>
      <w:pBdr>
        <w:top w:val="single" w:color="auto" w:sz="4" w:space="0"/>
        <w:left w:val="single" w:color="auto" w:sz="4" w:space="0"/>
        <w:bottom w:val="single" w:color="auto" w:sz="4" w:space="0"/>
      </w:pBdr>
      <w:spacing w:before="100" w:beforeAutospacing="1" w:after="100" w:afterAutospacing="1"/>
    </w:pPr>
    <w:rPr>
      <w:rFonts w:ascii="Arial Unicode MS" w:hAnsi="Arial Unicode MS" w:eastAsia="Arial Unicode MS" w:cs="Arial Unicode MS"/>
      <w:b/>
      <w:bCs/>
      <w:color w:val="000000"/>
      <w:kern w:val="0"/>
      <w:sz w:val="20"/>
      <w:szCs w:val="20"/>
    </w:rPr>
  </w:style>
  <w:style w:type="paragraph" w:customStyle="1" w:styleId="135">
    <w:name w:val="xl46"/>
    <w:basedOn w:val="1"/>
    <w:qFormat/>
    <w:uiPriority w:val="0"/>
    <w:pPr>
      <w:pBdr>
        <w:top w:val="single" w:color="auto" w:sz="4" w:space="0"/>
        <w:bottom w:val="single" w:color="auto" w:sz="4" w:space="0"/>
      </w:pBdr>
      <w:spacing w:before="100" w:beforeAutospacing="1" w:after="100" w:afterAutospacing="1"/>
    </w:pPr>
    <w:rPr>
      <w:rFonts w:ascii="Arial Unicode MS" w:hAnsi="Arial Unicode MS" w:eastAsia="Arial Unicode MS" w:cs="Arial Unicode MS"/>
      <w:b/>
      <w:bCs/>
      <w:color w:val="000000"/>
      <w:kern w:val="0"/>
      <w:sz w:val="20"/>
      <w:szCs w:val="20"/>
    </w:rPr>
  </w:style>
  <w:style w:type="paragraph" w:customStyle="1" w:styleId="13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color w:val="000000"/>
      <w:kern w:val="0"/>
      <w:sz w:val="20"/>
      <w:szCs w:val="20"/>
    </w:rPr>
  </w:style>
  <w:style w:type="paragraph" w:customStyle="1" w:styleId="137">
    <w:name w:val="xl4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38">
    <w:name w:val="xl4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color w:val="000000"/>
      <w:kern w:val="0"/>
      <w:sz w:val="22"/>
      <w:szCs w:val="22"/>
    </w:rPr>
  </w:style>
  <w:style w:type="paragraph" w:customStyle="1" w:styleId="13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41">
    <w:name w:val="xl5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42">
    <w:name w:val="xl5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character" w:customStyle="1" w:styleId="143">
    <w:name w:val="正文文本 Char1"/>
    <w:qFormat/>
    <w:uiPriority w:val="0"/>
    <w:rPr>
      <w:color w:val="FF0000"/>
      <w:kern w:val="2"/>
      <w:sz w:val="21"/>
    </w:rPr>
  </w:style>
  <w:style w:type="paragraph" w:customStyle="1" w:styleId="144">
    <w:name w:val="正文 + 宋体"/>
    <w:basedOn w:val="1"/>
    <w:qFormat/>
    <w:uiPriority w:val="0"/>
    <w:pPr>
      <w:ind w:left="360" w:hanging="360"/>
    </w:pPr>
    <w:rPr>
      <w:rFonts w:ascii="宋体" w:hAnsi="宋体" w:cs="宋体"/>
      <w:b/>
      <w:bCs/>
      <w:color w:val="000000"/>
      <w:kern w:val="0"/>
      <w:sz w:val="18"/>
      <w:szCs w:val="18"/>
    </w:rPr>
  </w:style>
  <w:style w:type="paragraph" w:customStyle="1" w:styleId="145">
    <w:name w:val="样式 标题 22nd levelh22Header 2l2第一章 标题 2Heading 2 HiddenHea..."/>
    <w:basedOn w:val="4"/>
    <w:qFormat/>
    <w:uiPriority w:val="0"/>
    <w:pPr>
      <w:tabs>
        <w:tab w:val="left" w:pos="992"/>
      </w:tabs>
      <w:adjustRightInd/>
      <w:snapToGrid/>
      <w:spacing w:before="260" w:after="260"/>
      <w:ind w:left="992" w:hanging="567"/>
      <w:jc w:val="both"/>
    </w:pPr>
    <w:rPr>
      <w:rFonts w:eastAsia="黑体" w:cs="宋体"/>
      <w:szCs w:val="24"/>
    </w:rPr>
  </w:style>
  <w:style w:type="paragraph" w:customStyle="1" w:styleId="146">
    <w:name w:val="样式 标题 22nd levelh22Header 2l2第一章 标题 2Heading 2 HiddenHea...1"/>
    <w:basedOn w:val="4"/>
    <w:qFormat/>
    <w:uiPriority w:val="0"/>
    <w:pPr>
      <w:tabs>
        <w:tab w:val="left" w:pos="992"/>
      </w:tabs>
      <w:adjustRightInd/>
      <w:snapToGrid/>
      <w:spacing w:before="260" w:after="260"/>
      <w:ind w:left="992" w:hanging="567"/>
      <w:jc w:val="both"/>
    </w:pPr>
    <w:rPr>
      <w:rFonts w:eastAsia="黑体" w:cs="宋体"/>
      <w:sz w:val="28"/>
      <w:szCs w:val="20"/>
    </w:rPr>
  </w:style>
  <w:style w:type="paragraph" w:customStyle="1" w:styleId="147">
    <w:name w:val="样式 标题 2H2UNDERRUBRIK 1-2Underrubrik1prop2Heading 2 HiddenH..."/>
    <w:basedOn w:val="4"/>
    <w:qFormat/>
    <w:uiPriority w:val="0"/>
    <w:pPr>
      <w:keepLines w:val="0"/>
      <w:tabs>
        <w:tab w:val="left" w:pos="992"/>
      </w:tabs>
      <w:adjustRightInd/>
      <w:snapToGrid/>
      <w:spacing w:before="240" w:after="240"/>
      <w:ind w:left="992" w:hanging="567"/>
      <w:jc w:val="both"/>
    </w:pPr>
    <w:rPr>
      <w:rFonts w:eastAsia="黑体"/>
      <w:b w:val="0"/>
      <w:bCs w:val="0"/>
      <w:sz w:val="30"/>
      <w:szCs w:val="24"/>
    </w:rPr>
  </w:style>
  <w:style w:type="paragraph" w:customStyle="1" w:styleId="148">
    <w:name w:val="Table Text"/>
    <w:qFormat/>
    <w:uiPriority w:val="0"/>
    <w:pPr>
      <w:snapToGrid w:val="0"/>
      <w:spacing w:before="80" w:after="80"/>
    </w:pPr>
    <w:rPr>
      <w:rFonts w:ascii="Arial" w:hAnsi="Arial" w:eastAsia="宋体" w:cs="Arial"/>
      <w:kern w:val="2"/>
      <w:sz w:val="18"/>
      <w:szCs w:val="18"/>
      <w:lang w:val="en-US" w:eastAsia="zh-CN" w:bidi="ar-SA"/>
    </w:rPr>
  </w:style>
  <w:style w:type="character" w:customStyle="1" w:styleId="149">
    <w:name w:val="Table Text Char1"/>
    <w:qFormat/>
    <w:uiPriority w:val="0"/>
    <w:rPr>
      <w:rFonts w:ascii="Arial" w:hAnsi="Arial" w:eastAsia="宋体" w:cs="Arial"/>
      <w:kern w:val="2"/>
      <w:sz w:val="18"/>
      <w:szCs w:val="18"/>
      <w:lang w:val="en-US" w:eastAsia="zh-CN" w:bidi="ar-SA"/>
    </w:rPr>
  </w:style>
  <w:style w:type="paragraph" w:customStyle="1" w:styleId="150">
    <w:name w:val="Table Text Char Char"/>
    <w:qFormat/>
    <w:uiPriority w:val="0"/>
    <w:pPr>
      <w:snapToGrid w:val="0"/>
      <w:spacing w:before="80" w:after="80"/>
    </w:pPr>
    <w:rPr>
      <w:rFonts w:ascii="Arial" w:hAnsi="Arial" w:eastAsia="宋体" w:cs="Arial"/>
      <w:kern w:val="2"/>
      <w:sz w:val="18"/>
      <w:szCs w:val="21"/>
      <w:lang w:val="en-US" w:eastAsia="zh-CN" w:bidi="ar-SA"/>
    </w:rPr>
  </w:style>
  <w:style w:type="character" w:customStyle="1" w:styleId="151">
    <w:name w:val="Table Text Char Char Char"/>
    <w:qFormat/>
    <w:uiPriority w:val="0"/>
    <w:rPr>
      <w:rFonts w:ascii="Arial" w:hAnsi="Arial" w:eastAsia="宋体" w:cs="Arial"/>
      <w:kern w:val="2"/>
      <w:sz w:val="18"/>
      <w:szCs w:val="21"/>
      <w:lang w:val="en-US" w:eastAsia="zh-CN" w:bidi="ar-SA"/>
    </w:rPr>
  </w:style>
  <w:style w:type="paragraph" w:customStyle="1" w:styleId="152">
    <w:name w:val="Table Description"/>
    <w:next w:val="1"/>
    <w:qFormat/>
    <w:uiPriority w:val="0"/>
    <w:pPr>
      <w:keepNext/>
      <w:snapToGrid w:val="0"/>
      <w:spacing w:before="160" w:after="80"/>
      <w:ind w:left="1134"/>
      <w:jc w:val="center"/>
    </w:pPr>
    <w:rPr>
      <w:rFonts w:ascii="Arial" w:hAnsi="Arial" w:eastAsia="黑体" w:cs="Arial"/>
      <w:kern w:val="2"/>
      <w:sz w:val="18"/>
      <w:szCs w:val="18"/>
      <w:lang w:val="en-US" w:eastAsia="zh-CN" w:bidi="ar-SA"/>
    </w:rPr>
  </w:style>
  <w:style w:type="paragraph" w:customStyle="1" w:styleId="153">
    <w:name w:val="Figure Description"/>
    <w:next w:val="1"/>
    <w:qFormat/>
    <w:uiPriority w:val="0"/>
    <w:pPr>
      <w:snapToGrid w:val="0"/>
      <w:spacing w:before="80" w:after="320"/>
      <w:ind w:left="1134"/>
      <w:jc w:val="center"/>
    </w:pPr>
    <w:rPr>
      <w:rFonts w:ascii="Arial" w:hAnsi="Arial" w:eastAsia="黑体" w:cs="Arial"/>
      <w:sz w:val="18"/>
      <w:szCs w:val="18"/>
      <w:lang w:val="en-US" w:eastAsia="zh-CN" w:bidi="ar-SA"/>
    </w:rPr>
  </w:style>
  <w:style w:type="paragraph" w:customStyle="1" w:styleId="154">
    <w:name w:val="Item List"/>
    <w:qFormat/>
    <w:uiPriority w:val="0"/>
    <w:pPr>
      <w:tabs>
        <w:tab w:val="left" w:pos="870"/>
      </w:tabs>
      <w:spacing w:line="300" w:lineRule="auto"/>
      <w:ind w:left="870" w:hanging="510"/>
      <w:jc w:val="both"/>
    </w:pPr>
    <w:rPr>
      <w:rFonts w:ascii="Arial" w:hAnsi="Arial" w:eastAsia="宋体" w:cs="Arial"/>
      <w:kern w:val="2"/>
      <w:sz w:val="21"/>
      <w:szCs w:val="21"/>
      <w:lang w:val="en-US" w:eastAsia="zh-CN" w:bidi="ar-SA"/>
    </w:rPr>
  </w:style>
  <w:style w:type="paragraph" w:customStyle="1" w:styleId="155">
    <w:name w:val="Table Text Char"/>
    <w:qFormat/>
    <w:uiPriority w:val="0"/>
    <w:pPr>
      <w:snapToGrid w:val="0"/>
      <w:spacing w:before="80" w:after="80"/>
    </w:pPr>
    <w:rPr>
      <w:rFonts w:ascii="Arial" w:hAnsi="Arial" w:eastAsia="宋体" w:cs="Arial"/>
      <w:sz w:val="18"/>
      <w:szCs w:val="18"/>
      <w:lang w:val="en-US" w:eastAsia="zh-CN" w:bidi="ar-SA"/>
    </w:rPr>
  </w:style>
  <w:style w:type="paragraph" w:customStyle="1" w:styleId="156">
    <w:name w:val="默认段落字体 Para Char Char Char Char Char Char Char Char Char1"/>
    <w:basedOn w:val="1"/>
    <w:qFormat/>
    <w:uiPriority w:val="0"/>
    <w:rPr>
      <w:rFonts w:ascii="Tahoma" w:hAnsi="Tahoma"/>
      <w:sz w:val="24"/>
      <w:szCs w:val="20"/>
    </w:rPr>
  </w:style>
  <w:style w:type="paragraph" w:customStyle="1" w:styleId="157">
    <w:name w:val="Item Step in Table"/>
    <w:qFormat/>
    <w:uiPriority w:val="0"/>
    <w:pPr>
      <w:tabs>
        <w:tab w:val="left" w:pos="397"/>
      </w:tabs>
      <w:spacing w:before="40" w:after="40"/>
      <w:ind w:left="397" w:hanging="397"/>
      <w:jc w:val="both"/>
    </w:pPr>
    <w:rPr>
      <w:rFonts w:ascii="Arial" w:hAnsi="Arial" w:eastAsia="宋体" w:cs="Times New Roman"/>
      <w:sz w:val="18"/>
      <w:lang w:val="en-US" w:eastAsia="zh-CN" w:bidi="ar-SA"/>
    </w:rPr>
  </w:style>
  <w:style w:type="paragraph" w:customStyle="1" w:styleId="158">
    <w:name w:val="Char Char Char"/>
    <w:basedOn w:val="1"/>
    <w:qFormat/>
    <w:uiPriority w:val="0"/>
    <w:rPr>
      <w:rFonts w:ascii="Tahoma" w:hAnsi="Tahoma"/>
      <w:sz w:val="24"/>
      <w:szCs w:val="20"/>
    </w:rPr>
  </w:style>
  <w:style w:type="paragraph" w:customStyle="1" w:styleId="159">
    <w:name w:val="样式 标题 1 + 四号 居中 段前: 12 磅 段后: 12 磅 行距: 单倍行距"/>
    <w:basedOn w:val="3"/>
    <w:qFormat/>
    <w:uiPriority w:val="0"/>
    <w:pPr>
      <w:tabs>
        <w:tab w:val="left" w:pos="425"/>
      </w:tabs>
      <w:snapToGrid/>
      <w:spacing w:before="240" w:after="240" w:line="240" w:lineRule="auto"/>
      <w:ind w:left="425" w:hanging="425"/>
      <w:textAlignment w:val="baseline"/>
    </w:pPr>
    <w:rPr>
      <w:rFonts w:eastAsia="宋体"/>
      <w:bCs w:val="0"/>
      <w:sz w:val="28"/>
      <w:szCs w:val="20"/>
    </w:rPr>
  </w:style>
  <w:style w:type="paragraph" w:customStyle="1" w:styleId="160">
    <w:name w:val="Char1 Char Char Char Char Char Char"/>
    <w:basedOn w:val="1"/>
    <w:qFormat/>
    <w:uiPriority w:val="0"/>
    <w:rPr>
      <w:rFonts w:ascii="Tahoma" w:hAnsi="Tahoma"/>
      <w:sz w:val="24"/>
      <w:szCs w:val="20"/>
    </w:rPr>
  </w:style>
  <w:style w:type="paragraph" w:customStyle="1" w:styleId="16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62">
    <w:name w:val="Char Char Char Char1"/>
    <w:basedOn w:val="1"/>
    <w:qFormat/>
    <w:uiPriority w:val="0"/>
    <w:pPr>
      <w:tabs>
        <w:tab w:val="left" w:pos="360"/>
      </w:tabs>
      <w:ind w:firstLine="420" w:firstLineChars="150"/>
    </w:pPr>
    <w:rPr>
      <w:rFonts w:ascii="Arial" w:hAnsi="Arial" w:cs="Arial"/>
      <w:sz w:val="20"/>
      <w:szCs w:val="20"/>
    </w:rPr>
  </w:style>
  <w:style w:type="paragraph" w:customStyle="1" w:styleId="163">
    <w:name w:val="样式 宋体 五号 两端对齐 行距: 单倍行距"/>
    <w:basedOn w:val="1"/>
    <w:qFormat/>
    <w:uiPriority w:val="0"/>
    <w:pPr>
      <w:adjustRightInd w:val="0"/>
      <w:textAlignment w:val="baseline"/>
    </w:pPr>
    <w:rPr>
      <w:rFonts w:ascii="宋体" w:hAnsi="宋体"/>
      <w:kern w:val="0"/>
      <w:szCs w:val="20"/>
    </w:rPr>
  </w:style>
  <w:style w:type="paragraph" w:customStyle="1" w:styleId="164">
    <w:name w:val="表格文字"/>
    <w:basedOn w:val="1"/>
    <w:qFormat/>
    <w:uiPriority w:val="0"/>
    <w:pPr>
      <w:spacing w:beforeLines="5" w:afterLines="5" w:line="200" w:lineRule="atLeast"/>
      <w:ind w:left="10" w:leftChars="10"/>
    </w:pPr>
    <w:rPr>
      <w:rFonts w:ascii="宋体" w:hAnsi="宋体"/>
      <w:color w:val="000000"/>
      <w:sz w:val="20"/>
      <w:szCs w:val="20"/>
    </w:rPr>
  </w:style>
  <w:style w:type="paragraph" w:customStyle="1" w:styleId="165">
    <w:name w:val="缺省文本"/>
    <w:basedOn w:val="1"/>
    <w:qFormat/>
    <w:uiPriority w:val="0"/>
    <w:pPr>
      <w:autoSpaceDE w:val="0"/>
      <w:autoSpaceDN w:val="0"/>
      <w:adjustRightInd w:val="0"/>
    </w:pPr>
    <w:rPr>
      <w:kern w:val="0"/>
      <w:sz w:val="24"/>
    </w:rPr>
  </w:style>
  <w:style w:type="paragraph" w:customStyle="1" w:styleId="166">
    <w:name w:val="缩进项目"/>
    <w:basedOn w:val="1"/>
    <w:qFormat/>
    <w:uiPriority w:val="0"/>
    <w:pPr>
      <w:tabs>
        <w:tab w:val="left" w:pos="425"/>
        <w:tab w:val="left" w:pos="1924"/>
      </w:tabs>
      <w:spacing w:line="400" w:lineRule="exact"/>
      <w:ind w:left="1924" w:hanging="425"/>
      <w:outlineLvl w:val="0"/>
    </w:pPr>
    <w:rPr>
      <w:rFonts w:ascii="宋体"/>
      <w:color w:val="0000FF"/>
      <w:kern w:val="0"/>
      <w:sz w:val="24"/>
      <w:szCs w:val="20"/>
    </w:rPr>
  </w:style>
  <w:style w:type="paragraph" w:customStyle="1" w:styleId="167">
    <w:name w:val="一级条标题"/>
    <w:basedOn w:val="168"/>
    <w:next w:val="169"/>
    <w:qFormat/>
    <w:uiPriority w:val="0"/>
    <w:pPr>
      <w:tabs>
        <w:tab w:val="left" w:pos="486"/>
        <w:tab w:val="left" w:pos="992"/>
      </w:tabs>
      <w:spacing w:before="0" w:after="0" w:line="240" w:lineRule="auto"/>
      <w:ind w:left="486" w:hanging="420"/>
      <w:outlineLvl w:val="2"/>
    </w:pPr>
  </w:style>
  <w:style w:type="paragraph" w:customStyle="1" w:styleId="168">
    <w:name w:val="章标题"/>
    <w:next w:val="1"/>
    <w:qFormat/>
    <w:uiPriority w:val="0"/>
    <w:pPr>
      <w:tabs>
        <w:tab w:val="left" w:pos="992"/>
      </w:tabs>
      <w:spacing w:before="50" w:after="50" w:line="360" w:lineRule="auto"/>
      <w:ind w:left="992" w:hanging="567"/>
      <w:jc w:val="both"/>
      <w:outlineLvl w:val="1"/>
    </w:pPr>
    <w:rPr>
      <w:rFonts w:ascii="黑体" w:hAnsi="Times New Roman" w:eastAsia="黑体" w:cs="Times New Roman"/>
      <w:sz w:val="21"/>
      <w:lang w:val="en-US" w:eastAsia="zh-CN" w:bidi="ar-SA"/>
    </w:rPr>
  </w:style>
  <w:style w:type="paragraph" w:customStyle="1" w:styleId="169">
    <w:name w:val="段"/>
    <w:next w:val="1"/>
    <w:qFormat/>
    <w:uiPriority w:val="0"/>
    <w:pPr>
      <w:tabs>
        <w:tab w:val="left" w:pos="1395"/>
      </w:tabs>
      <w:autoSpaceDE w:val="0"/>
      <w:autoSpaceDN w:val="0"/>
      <w:ind w:firstLine="425"/>
      <w:jc w:val="both"/>
    </w:pPr>
    <w:rPr>
      <w:rFonts w:ascii="宋体" w:hAnsi="Times New Roman" w:eastAsia="宋体" w:cs="Times New Roman"/>
      <w:sz w:val="21"/>
      <w:lang w:val="en-US" w:eastAsia="zh-CN" w:bidi="ar-SA"/>
    </w:rPr>
  </w:style>
  <w:style w:type="character" w:customStyle="1" w:styleId="170">
    <w:name w:val="称呼 Char1"/>
    <w:link w:val="16"/>
    <w:qFormat/>
    <w:uiPriority w:val="0"/>
    <w:rPr>
      <w:rFonts w:ascii="Times New Roman" w:hAnsi="Times New Roman" w:eastAsia="宋体" w:cs="Times New Roman"/>
      <w:szCs w:val="20"/>
    </w:rPr>
  </w:style>
  <w:style w:type="character" w:customStyle="1" w:styleId="171">
    <w:name w:val="称呼 Char"/>
    <w:basedOn w:val="42"/>
    <w:qFormat/>
    <w:uiPriority w:val="99"/>
    <w:rPr>
      <w:rFonts w:ascii="Times New Roman" w:hAnsi="Times New Roman" w:eastAsia="宋体" w:cs="Times New Roman"/>
      <w:szCs w:val="24"/>
    </w:rPr>
  </w:style>
  <w:style w:type="paragraph" w:customStyle="1" w:styleId="172">
    <w:name w:val="NICMAN Body Text"/>
    <w:basedOn w:val="1"/>
    <w:next w:val="2"/>
    <w:qFormat/>
    <w:uiPriority w:val="0"/>
    <w:pPr>
      <w:spacing w:after="120" w:line="400" w:lineRule="exact"/>
      <w:ind w:firstLine="454"/>
    </w:pPr>
    <w:rPr>
      <w:sz w:val="24"/>
      <w:szCs w:val="20"/>
    </w:rPr>
  </w:style>
  <w:style w:type="character" w:customStyle="1" w:styleId="173">
    <w:name w:val="纯文本 Char1"/>
    <w:qFormat/>
    <w:uiPriority w:val="0"/>
    <w:rPr>
      <w:rFonts w:ascii="宋体" w:hAnsi="Courier New" w:cs="Courier New"/>
      <w:kern w:val="2"/>
      <w:sz w:val="21"/>
      <w:szCs w:val="21"/>
    </w:rPr>
  </w:style>
  <w:style w:type="paragraph" w:customStyle="1" w:styleId="174">
    <w:name w:val="正文首行缩进:  2 字符"/>
    <w:basedOn w:val="1"/>
    <w:qFormat/>
    <w:uiPriority w:val="0"/>
    <w:pPr>
      <w:spacing w:line="360" w:lineRule="auto"/>
      <w:ind w:firstLine="482" w:firstLineChars="200"/>
    </w:pPr>
    <w:rPr>
      <w:rFonts w:ascii="Arial" w:hAnsi="Arial" w:cs="宋体"/>
      <w:kern w:val="0"/>
      <w:sz w:val="24"/>
      <w:szCs w:val="20"/>
    </w:rPr>
  </w:style>
  <w:style w:type="paragraph" w:customStyle="1" w:styleId="175">
    <w:name w:val="Char Char Char Char"/>
    <w:basedOn w:val="1"/>
    <w:qFormat/>
    <w:uiPriority w:val="0"/>
    <w:rPr>
      <w:rFonts w:ascii="Tahoma" w:hAnsi="Tahoma"/>
      <w:sz w:val="24"/>
      <w:szCs w:val="20"/>
    </w:rPr>
  </w:style>
  <w:style w:type="paragraph" w:customStyle="1" w:styleId="176">
    <w:name w:val="正文首行缩进两字符 Char Char"/>
    <w:basedOn w:val="1"/>
    <w:qFormat/>
    <w:uiPriority w:val="0"/>
    <w:pPr>
      <w:spacing w:line="360" w:lineRule="auto"/>
      <w:ind w:firstLine="200" w:firstLineChars="200"/>
    </w:pPr>
    <w:rPr>
      <w:sz w:val="24"/>
    </w:rPr>
  </w:style>
  <w:style w:type="paragraph" w:customStyle="1" w:styleId="177">
    <w:name w:val="123"/>
    <w:basedOn w:val="1"/>
    <w:qFormat/>
    <w:uiPriority w:val="0"/>
    <w:pPr>
      <w:spacing w:before="120"/>
      <w:ind w:firstLine="425"/>
    </w:pPr>
    <w:rPr>
      <w:szCs w:val="20"/>
    </w:rPr>
  </w:style>
  <w:style w:type="paragraph" w:customStyle="1" w:styleId="178">
    <w:name w:val="Char1 Char Char Char"/>
    <w:basedOn w:val="1"/>
    <w:qFormat/>
    <w:uiPriority w:val="0"/>
    <w:rPr>
      <w:rFonts w:ascii="Tahoma" w:hAnsi="Tahoma"/>
      <w:sz w:val="24"/>
      <w:szCs w:val="20"/>
    </w:rPr>
  </w:style>
  <w:style w:type="paragraph" w:customStyle="1" w:styleId="179">
    <w:name w:val="大标题"/>
    <w:basedOn w:val="1"/>
    <w:qFormat/>
    <w:uiPriority w:val="0"/>
    <w:pPr>
      <w:spacing w:line="600" w:lineRule="exact"/>
      <w:ind w:left="340" w:right="340"/>
      <w:jc w:val="center"/>
    </w:pPr>
    <w:rPr>
      <w:sz w:val="44"/>
      <w:szCs w:val="20"/>
    </w:rPr>
  </w:style>
  <w:style w:type="character" w:customStyle="1" w:styleId="180">
    <w:name w:val="HTML 预设格式 Char1"/>
    <w:link w:val="34"/>
    <w:qFormat/>
    <w:uiPriority w:val="0"/>
    <w:rPr>
      <w:rFonts w:ascii="宋体" w:hAnsi="宋体" w:eastAsia="宋体" w:cs="宋体"/>
      <w:kern w:val="0"/>
      <w:sz w:val="24"/>
      <w:szCs w:val="24"/>
    </w:rPr>
  </w:style>
  <w:style w:type="character" w:customStyle="1" w:styleId="181">
    <w:name w:val="HTML 预设格式 Char"/>
    <w:basedOn w:val="42"/>
    <w:semiHidden/>
    <w:qFormat/>
    <w:uiPriority w:val="99"/>
    <w:rPr>
      <w:rFonts w:ascii="Courier New" w:hAnsi="Courier New" w:eastAsia="宋体" w:cs="Courier New"/>
      <w:sz w:val="20"/>
      <w:szCs w:val="20"/>
    </w:rPr>
  </w:style>
  <w:style w:type="paragraph" w:customStyle="1" w:styleId="182">
    <w:name w:val="表格文字（大）"/>
    <w:basedOn w:val="1"/>
    <w:qFormat/>
    <w:uiPriority w:val="0"/>
    <w:pPr>
      <w:spacing w:before="20" w:after="20"/>
    </w:pPr>
    <w:rPr>
      <w:rFonts w:ascii="Century Gothic" w:hAnsi="Century Gothic"/>
      <w:sz w:val="24"/>
      <w:szCs w:val="20"/>
    </w:rPr>
  </w:style>
  <w:style w:type="paragraph" w:customStyle="1" w:styleId="183">
    <w:name w:val="Item List in Table"/>
    <w:basedOn w:val="1"/>
    <w:qFormat/>
    <w:uiPriority w:val="0"/>
    <w:pPr>
      <w:tabs>
        <w:tab w:val="left" w:pos="420"/>
      </w:tabs>
      <w:ind w:left="420" w:hanging="420"/>
    </w:pPr>
  </w:style>
  <w:style w:type="paragraph" w:customStyle="1" w:styleId="184">
    <w:name w:val="Char Char Char Char Char Char Char Char Char Char"/>
    <w:basedOn w:val="1"/>
    <w:qFormat/>
    <w:uiPriority w:val="0"/>
    <w:pPr>
      <w:tabs>
        <w:tab w:val="left" w:pos="360"/>
      </w:tabs>
      <w:ind w:left="360" w:hanging="360" w:hangingChars="200"/>
    </w:pPr>
    <w:rPr>
      <w:sz w:val="24"/>
    </w:rPr>
  </w:style>
  <w:style w:type="paragraph" w:customStyle="1" w:styleId="185">
    <w:name w:val="样式4"/>
    <w:basedOn w:val="1"/>
    <w:qFormat/>
    <w:uiPriority w:val="0"/>
    <w:pPr>
      <w:jc w:val="center"/>
      <w:outlineLvl w:val="0"/>
    </w:pPr>
    <w:rPr>
      <w:b/>
      <w:sz w:val="32"/>
      <w:szCs w:val="20"/>
    </w:rPr>
  </w:style>
  <w:style w:type="character" w:customStyle="1" w:styleId="186">
    <w:name w:val="h31"/>
    <w:qFormat/>
    <w:uiPriority w:val="0"/>
    <w:rPr>
      <w:spacing w:val="330"/>
      <w:sz w:val="21"/>
      <w:szCs w:val="21"/>
    </w:rPr>
  </w:style>
  <w:style w:type="paragraph" w:customStyle="1" w:styleId="187">
    <w:name w:val="Titel 2"/>
    <w:basedOn w:val="1"/>
    <w:qFormat/>
    <w:uiPriority w:val="0"/>
    <w:pPr>
      <w:tabs>
        <w:tab w:val="decimal" w:leader="underscore" w:pos="8504"/>
        <w:tab w:val="right" w:pos="9923"/>
      </w:tabs>
      <w:autoSpaceDE w:val="0"/>
      <w:autoSpaceDN w:val="0"/>
    </w:pPr>
    <w:rPr>
      <w:rFonts w:ascii="Helvetica-Black" w:hAnsi="Helvetica-Black"/>
      <w:b/>
      <w:bCs/>
      <w:kern w:val="0"/>
      <w:sz w:val="28"/>
      <w:szCs w:val="28"/>
      <w:lang w:eastAsia="en-US"/>
    </w:rPr>
  </w:style>
  <w:style w:type="character" w:customStyle="1" w:styleId="188">
    <w:name w:val="tpc_content1"/>
    <w:qFormat/>
    <w:uiPriority w:val="0"/>
    <w:rPr>
      <w:sz w:val="15"/>
      <w:szCs w:val="15"/>
    </w:rPr>
  </w:style>
  <w:style w:type="character" w:customStyle="1" w:styleId="189">
    <w:name w:val="blacksmm"/>
    <w:qFormat/>
    <w:uiPriority w:val="0"/>
  </w:style>
  <w:style w:type="character" w:customStyle="1" w:styleId="190">
    <w:name w:val="blacksm"/>
    <w:qFormat/>
    <w:uiPriority w:val="0"/>
  </w:style>
  <w:style w:type="paragraph" w:customStyle="1" w:styleId="191">
    <w:name w:val="标题X.1.1"/>
    <w:basedOn w:val="1"/>
    <w:next w:val="2"/>
    <w:qFormat/>
    <w:uiPriority w:val="0"/>
    <w:pPr>
      <w:tabs>
        <w:tab w:val="left" w:pos="540"/>
        <w:tab w:val="left" w:pos="5985"/>
      </w:tabs>
      <w:spacing w:beforeLines="150" w:line="400" w:lineRule="exact"/>
      <w:outlineLvl w:val="2"/>
    </w:pPr>
    <w:rPr>
      <w:rFonts w:ascii="宋体" w:hAnsi="宋体"/>
      <w:b/>
      <w:sz w:val="30"/>
      <w:szCs w:val="30"/>
    </w:rPr>
  </w:style>
  <w:style w:type="character" w:customStyle="1" w:styleId="192">
    <w:name w:val="正文文本 2 Char1"/>
    <w:link w:val="33"/>
    <w:semiHidden/>
    <w:qFormat/>
    <w:uiPriority w:val="0"/>
    <w:rPr>
      <w:rFonts w:ascii="Times New Roman" w:hAnsi="Times New Roman" w:eastAsia="宋体" w:cs="Times New Roman"/>
      <w:i/>
      <w:kern w:val="0"/>
      <w:sz w:val="24"/>
      <w:szCs w:val="20"/>
      <w:lang w:val="it-IT"/>
    </w:rPr>
  </w:style>
  <w:style w:type="character" w:customStyle="1" w:styleId="193">
    <w:name w:val="正文文本 2 Char"/>
    <w:basedOn w:val="42"/>
    <w:semiHidden/>
    <w:qFormat/>
    <w:uiPriority w:val="99"/>
    <w:rPr>
      <w:rFonts w:ascii="Times New Roman" w:hAnsi="Times New Roman" w:eastAsia="宋体" w:cs="Times New Roman"/>
      <w:szCs w:val="24"/>
    </w:rPr>
  </w:style>
  <w:style w:type="character" w:customStyle="1" w:styleId="194">
    <w:name w:val="正文首行缩进 Char1"/>
    <w:link w:val="38"/>
    <w:qFormat/>
    <w:uiPriority w:val="0"/>
    <w:rPr>
      <w:rFonts w:ascii="Times New Roman" w:hAnsi="Times New Roman" w:eastAsia="宋体" w:cs="Times New Roman"/>
      <w:szCs w:val="24"/>
    </w:rPr>
  </w:style>
  <w:style w:type="character" w:customStyle="1" w:styleId="195">
    <w:name w:val="正文首行缩进 Char"/>
    <w:basedOn w:val="74"/>
    <w:qFormat/>
    <w:uiPriority w:val="99"/>
    <w:rPr>
      <w:rFonts w:ascii="Times New Roman" w:hAnsi="Times New Roman" w:eastAsia="宋体" w:cs="Times New Roman"/>
      <w:szCs w:val="24"/>
    </w:rPr>
  </w:style>
  <w:style w:type="character" w:customStyle="1" w:styleId="196">
    <w:name w:val="navhead1"/>
    <w:qFormat/>
    <w:uiPriority w:val="0"/>
    <w:rPr>
      <w:rFonts w:hint="default" w:ascii="Verdana" w:hAnsi="Verdana"/>
      <w:b/>
      <w:bCs/>
      <w:color w:val="000066"/>
      <w:sz w:val="22"/>
      <w:szCs w:val="22"/>
      <w:u w:val="none"/>
      <w:shd w:val="clear" w:color="auto" w:fill="FFFFFF"/>
    </w:rPr>
  </w:style>
  <w:style w:type="character" w:customStyle="1" w:styleId="197">
    <w:name w:val="boldheader1"/>
    <w:qFormat/>
    <w:uiPriority w:val="0"/>
    <w:rPr>
      <w:rFonts w:hint="default" w:ascii="Verdana" w:hAnsi="Verdana"/>
      <w:b/>
      <w:bCs/>
      <w:color w:val="000066"/>
      <w:sz w:val="22"/>
      <w:szCs w:val="22"/>
      <w:u w:val="none"/>
    </w:rPr>
  </w:style>
  <w:style w:type="character" w:customStyle="1" w:styleId="198">
    <w:name w:val="style11"/>
    <w:qFormat/>
    <w:uiPriority w:val="0"/>
    <w:rPr>
      <w:b/>
      <w:bCs/>
      <w:color w:val="669900"/>
    </w:rPr>
  </w:style>
  <w:style w:type="paragraph" w:customStyle="1" w:styleId="199">
    <w:name w:val="SecC"/>
    <w:qFormat/>
    <w:uiPriority w:val="0"/>
    <w:pPr>
      <w:tabs>
        <w:tab w:val="left" w:pos="1701"/>
        <w:tab w:val="left" w:pos="2126"/>
        <w:tab w:val="left" w:pos="2552"/>
        <w:tab w:val="left" w:pos="3969"/>
        <w:tab w:val="left" w:pos="5670"/>
        <w:tab w:val="right" w:pos="7938"/>
      </w:tabs>
      <w:ind w:left="1701" w:hanging="1701"/>
      <w:jc w:val="both"/>
    </w:pPr>
    <w:rPr>
      <w:rFonts w:ascii="Frutiger 55 Roman" w:hAnsi="Frutiger 55 Roman" w:eastAsia="宋体" w:cs="Times New Roman"/>
      <w:sz w:val="22"/>
      <w:lang w:val="en-GB" w:eastAsia="zh-CN" w:bidi="ar-SA"/>
    </w:rPr>
  </w:style>
  <w:style w:type="paragraph" w:customStyle="1" w:styleId="200">
    <w:name w:val="Char Char Char Char Char Char Char Char Char Char1"/>
    <w:basedOn w:val="1"/>
    <w:qFormat/>
    <w:uiPriority w:val="0"/>
    <w:pPr>
      <w:tabs>
        <w:tab w:val="left" w:pos="360"/>
      </w:tabs>
      <w:ind w:left="360" w:hanging="360" w:hangingChars="200"/>
    </w:pPr>
    <w:rPr>
      <w:sz w:val="24"/>
    </w:rPr>
  </w:style>
  <w:style w:type="character" w:customStyle="1" w:styleId="201">
    <w:name w:val="parameter"/>
    <w:qFormat/>
    <w:uiPriority w:val="0"/>
  </w:style>
  <w:style w:type="character" w:customStyle="1" w:styleId="202">
    <w:name w:val="style1"/>
    <w:qFormat/>
    <w:uiPriority w:val="0"/>
  </w:style>
  <w:style w:type="character" w:customStyle="1" w:styleId="203">
    <w:name w:val="lh15 s"/>
    <w:qFormat/>
    <w:uiPriority w:val="0"/>
  </w:style>
  <w:style w:type="paragraph" w:customStyle="1" w:styleId="204">
    <w:name w:val="Char Char Char Char Char Char1 Char"/>
    <w:basedOn w:val="1"/>
    <w:qFormat/>
    <w:uiPriority w:val="0"/>
    <w:pPr>
      <w:spacing w:after="160" w:line="240" w:lineRule="exact"/>
    </w:pPr>
    <w:rPr>
      <w:rFonts w:ascii="Verdana" w:hAnsi="Verdana"/>
      <w:kern w:val="0"/>
      <w:szCs w:val="20"/>
      <w:lang w:eastAsia="en-US"/>
    </w:rPr>
  </w:style>
  <w:style w:type="paragraph" w:customStyle="1" w:styleId="205">
    <w:name w:val=".."/>
    <w:basedOn w:val="161"/>
    <w:next w:val="161"/>
    <w:qFormat/>
    <w:uiPriority w:val="0"/>
    <w:rPr>
      <w:rFonts w:cs="Times New Roman"/>
      <w:color w:val="auto"/>
    </w:rPr>
  </w:style>
  <w:style w:type="paragraph" w:customStyle="1" w:styleId="206">
    <w:name w:val="标题3"/>
    <w:basedOn w:val="5"/>
    <w:qFormat/>
    <w:uiPriority w:val="0"/>
    <w:pPr>
      <w:spacing w:line="416" w:lineRule="auto"/>
    </w:pPr>
    <w:rPr>
      <w:rFonts w:ascii="宋体" w:hAnsi="宋体"/>
      <w:bCs/>
      <w:sz w:val="28"/>
      <w:szCs w:val="28"/>
    </w:rPr>
  </w:style>
  <w:style w:type="character" w:customStyle="1" w:styleId="207">
    <w:name w:val="t31"/>
    <w:qFormat/>
    <w:uiPriority w:val="0"/>
    <w:rPr>
      <w:color w:val="000000"/>
      <w:sz w:val="21"/>
      <w:szCs w:val="21"/>
      <w:u w:val="none"/>
    </w:rPr>
  </w:style>
  <w:style w:type="paragraph" w:customStyle="1" w:styleId="208">
    <w:name w:val="Char1 Char Char Char1"/>
    <w:basedOn w:val="1"/>
    <w:qFormat/>
    <w:uiPriority w:val="0"/>
    <w:rPr>
      <w:rFonts w:ascii="Tahoma" w:hAnsi="Tahoma"/>
      <w:sz w:val="24"/>
      <w:szCs w:val="20"/>
    </w:rPr>
  </w:style>
  <w:style w:type="character" w:customStyle="1" w:styleId="209">
    <w:name w:val="tit1"/>
    <w:qFormat/>
    <w:uiPriority w:val="0"/>
    <w:rPr>
      <w:rFonts w:hint="default" w:ascii="Arial" w:hAnsi="Arial" w:eastAsia="黑体" w:cs="Arial"/>
      <w:b/>
      <w:bCs/>
      <w:color w:val="000000"/>
      <w:sz w:val="21"/>
      <w:szCs w:val="21"/>
    </w:rPr>
  </w:style>
  <w:style w:type="character" w:customStyle="1" w:styleId="210">
    <w:name w:val="11pt"/>
    <w:qFormat/>
    <w:uiPriority w:val="0"/>
  </w:style>
  <w:style w:type="paragraph" w:customStyle="1" w:styleId="211">
    <w:name w:val="Char Char Char Char2"/>
    <w:basedOn w:val="1"/>
    <w:qFormat/>
    <w:uiPriority w:val="0"/>
    <w:pPr>
      <w:tabs>
        <w:tab w:val="left" w:pos="360"/>
      </w:tabs>
      <w:ind w:firstLine="420" w:firstLineChars="150"/>
    </w:pPr>
    <w:rPr>
      <w:rFonts w:ascii="Arial" w:hAnsi="Arial" w:cs="Arial"/>
      <w:sz w:val="20"/>
      <w:szCs w:val="20"/>
    </w:rPr>
  </w:style>
  <w:style w:type="paragraph" w:customStyle="1" w:styleId="212">
    <w:name w:val="Char Char1 Char Char Char Char Char Char"/>
    <w:basedOn w:val="1"/>
    <w:qFormat/>
    <w:uiPriority w:val="0"/>
    <w:pPr>
      <w:spacing w:after="160" w:line="240" w:lineRule="exact"/>
    </w:pPr>
    <w:rPr>
      <w:rFonts w:ascii="Verdana" w:hAnsi="Verdana" w:eastAsia="仿宋_GB2312"/>
      <w:spacing w:val="-4"/>
      <w:kern w:val="0"/>
      <w:position w:val="-8"/>
      <w:sz w:val="24"/>
      <w:szCs w:val="20"/>
      <w:lang w:eastAsia="en-US"/>
    </w:rPr>
  </w:style>
  <w:style w:type="character" w:customStyle="1" w:styleId="213">
    <w:name w:val="text_line_height_201"/>
    <w:qFormat/>
    <w:uiPriority w:val="0"/>
  </w:style>
  <w:style w:type="paragraph" w:customStyle="1" w:styleId="214">
    <w:name w:val="Char Char Char Char Char Char Char Char Char Char Char Char Char Char Char Char"/>
    <w:basedOn w:val="1"/>
    <w:qFormat/>
    <w:uiPriority w:val="0"/>
    <w:pPr>
      <w:tabs>
        <w:tab w:val="left" w:pos="360"/>
      </w:tabs>
    </w:pPr>
    <w:rPr>
      <w:sz w:val="24"/>
    </w:rPr>
  </w:style>
  <w:style w:type="paragraph" w:customStyle="1" w:styleId="215">
    <w:name w:val="Char Char1"/>
    <w:basedOn w:val="14"/>
    <w:qFormat/>
    <w:uiPriority w:val="0"/>
    <w:rPr>
      <w:rFonts w:ascii="Tahoma" w:hAnsi="Tahoma"/>
      <w:sz w:val="24"/>
    </w:rPr>
  </w:style>
  <w:style w:type="character" w:customStyle="1" w:styleId="216">
    <w:name w:val="普通文字 Char Char"/>
    <w:qFormat/>
    <w:uiPriority w:val="0"/>
    <w:rPr>
      <w:rFonts w:ascii="宋体" w:hAnsi="Courier New" w:eastAsia="宋体" w:cs="Courier New"/>
      <w:kern w:val="2"/>
      <w:sz w:val="21"/>
      <w:szCs w:val="21"/>
      <w:lang w:val="en-US" w:eastAsia="zh-CN" w:bidi="ar-SA"/>
    </w:rPr>
  </w:style>
  <w:style w:type="paragraph" w:customStyle="1" w:styleId="217">
    <w:name w:val="Char1 Char Char"/>
    <w:basedOn w:val="1"/>
    <w:qFormat/>
    <w:uiPriority w:val="0"/>
    <w:pPr>
      <w:spacing w:after="160" w:line="240" w:lineRule="exact"/>
    </w:pPr>
    <w:rPr>
      <w:rFonts w:ascii="Arial" w:hAnsi="Arial" w:eastAsia="Times New Roman" w:cs="Verdana"/>
      <w:b/>
      <w:kern w:val="0"/>
      <w:sz w:val="24"/>
      <w:lang w:eastAsia="en-US"/>
    </w:rPr>
  </w:style>
  <w:style w:type="paragraph" w:customStyle="1" w:styleId="218">
    <w:name w:val="字元 字元"/>
    <w:basedOn w:val="1"/>
    <w:qFormat/>
    <w:uiPriority w:val="0"/>
    <w:rPr>
      <w:szCs w:val="20"/>
    </w:rPr>
  </w:style>
  <w:style w:type="paragraph" w:customStyle="1" w:styleId="219">
    <w:name w:val="090909"/>
    <w:basedOn w:val="1"/>
    <w:qFormat/>
    <w:uiPriority w:val="0"/>
    <w:pPr>
      <w:ind w:firstLine="200" w:firstLineChars="200"/>
      <w:outlineLvl w:val="0"/>
    </w:pPr>
    <w:rPr>
      <w:szCs w:val="20"/>
    </w:rPr>
  </w:style>
  <w:style w:type="paragraph" w:customStyle="1" w:styleId="220">
    <w:name w:val="Char Char Char1"/>
    <w:basedOn w:val="1"/>
    <w:qFormat/>
    <w:uiPriority w:val="0"/>
    <w:rPr>
      <w:rFonts w:ascii="Tahoma" w:hAnsi="Tahoma"/>
      <w:sz w:val="24"/>
      <w:szCs w:val="20"/>
    </w:rPr>
  </w:style>
  <w:style w:type="character" w:customStyle="1" w:styleId="221">
    <w:name w:val="纯文本 字符"/>
    <w:qFormat/>
    <w:uiPriority w:val="0"/>
    <w:rPr>
      <w:rFonts w:ascii="宋体" w:hAnsi="Courier New"/>
    </w:rPr>
  </w:style>
  <w:style w:type="character" w:customStyle="1" w:styleId="222">
    <w:name w:val="emtidy-1"/>
    <w:qFormat/>
    <w:uiPriority w:val="0"/>
  </w:style>
  <w:style w:type="character" w:customStyle="1" w:styleId="223">
    <w:name w:val="标题 Char"/>
    <w:basedOn w:val="42"/>
    <w:link w:val="36"/>
    <w:qFormat/>
    <w:uiPriority w:val="0"/>
    <w:rPr>
      <w:rFonts w:ascii="Arial" w:hAnsi="Arial" w:eastAsia="宋体" w:cs="Arial"/>
      <w:b/>
      <w:bCs/>
      <w:sz w:val="32"/>
      <w:szCs w:val="32"/>
    </w:rPr>
  </w:style>
  <w:style w:type="paragraph" w:customStyle="1" w:styleId="224">
    <w:name w:val="p0"/>
    <w:basedOn w:val="1"/>
    <w:qFormat/>
    <w:uiPriority w:val="0"/>
    <w:rPr>
      <w:rFonts w:ascii="Calibri" w:hAnsi="Calibri"/>
      <w:kern w:val="0"/>
      <w:szCs w:val="21"/>
    </w:rPr>
  </w:style>
  <w:style w:type="paragraph" w:customStyle="1" w:styleId="225">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26">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227">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color w:val="000000"/>
      <w:kern w:val="0"/>
      <w:sz w:val="20"/>
      <w:szCs w:val="20"/>
    </w:rPr>
  </w:style>
  <w:style w:type="paragraph" w:customStyle="1" w:styleId="228">
    <w:name w:val="xl6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29">
    <w:name w:val="xl6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0"/>
      <w:szCs w:val="20"/>
    </w:rPr>
  </w:style>
  <w:style w:type="paragraph" w:customStyle="1" w:styleId="230">
    <w:name w:val="xl7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231">
    <w:name w:val="xl7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kern w:val="0"/>
      <w:sz w:val="20"/>
      <w:szCs w:val="20"/>
    </w:rPr>
  </w:style>
  <w:style w:type="paragraph" w:customStyle="1" w:styleId="232">
    <w:name w:val="xl72"/>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33">
    <w:name w:val="xl73"/>
    <w:basedOn w:val="1"/>
    <w:qFormat/>
    <w:uiPriority w:val="0"/>
    <w:pPr>
      <w:pBdr>
        <w:top w:val="single" w:color="auto" w:sz="4" w:space="0"/>
        <w:left w:val="single" w:color="auto" w:sz="4" w:space="0"/>
        <w:right w:val="single" w:color="auto" w:sz="4" w:space="0"/>
      </w:pBdr>
      <w:spacing w:before="100" w:beforeAutospacing="1" w:after="100" w:afterAutospacing="1"/>
    </w:pPr>
    <w:rPr>
      <w:rFonts w:ascii="宋体" w:hAnsi="宋体" w:cs="宋体"/>
      <w:color w:val="000000"/>
      <w:kern w:val="0"/>
      <w:sz w:val="20"/>
      <w:szCs w:val="20"/>
    </w:rPr>
  </w:style>
  <w:style w:type="paragraph" w:customStyle="1" w:styleId="234">
    <w:name w:val="xl74"/>
    <w:basedOn w:val="1"/>
    <w:qFormat/>
    <w:uiPriority w:val="0"/>
    <w:pPr>
      <w:pBdr>
        <w:top w:val="single" w:color="auto" w:sz="4" w:space="0"/>
        <w:bottom w:val="single" w:color="auto" w:sz="4" w:space="0"/>
        <w:right w:val="single" w:color="auto" w:sz="4" w:space="0"/>
      </w:pBdr>
      <w:spacing w:before="100" w:beforeAutospacing="1" w:after="100" w:afterAutospacing="1"/>
      <w:jc w:val="right"/>
    </w:pPr>
    <w:rPr>
      <w:rFonts w:ascii="宋体" w:hAnsi="宋体" w:cs="宋体"/>
      <w:color w:val="000000"/>
      <w:kern w:val="0"/>
      <w:sz w:val="20"/>
      <w:szCs w:val="20"/>
    </w:rPr>
  </w:style>
  <w:style w:type="paragraph" w:customStyle="1" w:styleId="235">
    <w:name w:val="xl75"/>
    <w:basedOn w:val="1"/>
    <w:qFormat/>
    <w:uiPriority w:val="0"/>
    <w:pPr>
      <w:pBdr>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36">
    <w:name w:val="xl76"/>
    <w:basedOn w:val="1"/>
    <w:qFormat/>
    <w:uiPriority w:val="0"/>
    <w:pPr>
      <w:pBdr>
        <w:left w:val="single" w:color="auto" w:sz="4" w:space="0"/>
        <w:right w:val="single" w:color="auto" w:sz="4" w:space="0"/>
      </w:pBdr>
      <w:spacing w:before="100" w:beforeAutospacing="1" w:after="100" w:afterAutospacing="1"/>
    </w:pPr>
    <w:rPr>
      <w:rFonts w:ascii="宋体" w:hAnsi="宋体" w:cs="宋体"/>
      <w:kern w:val="0"/>
      <w:sz w:val="20"/>
      <w:szCs w:val="20"/>
    </w:rPr>
  </w:style>
  <w:style w:type="paragraph" w:customStyle="1" w:styleId="237">
    <w:name w:val="xl77"/>
    <w:basedOn w:val="1"/>
    <w:qFormat/>
    <w:uiPriority w:val="0"/>
    <w:pPr>
      <w:pBdr>
        <w:top w:val="single" w:color="auto" w:sz="4" w:space="0"/>
        <w:left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238">
    <w:name w:val="xl78"/>
    <w:basedOn w:val="1"/>
    <w:qFormat/>
    <w:uiPriority w:val="0"/>
    <w:pPr>
      <w:pBdr>
        <w:top w:val="single" w:color="auto" w:sz="4" w:space="0"/>
        <w:left w:val="single" w:color="auto" w:sz="4" w:space="0"/>
        <w:right w:val="single" w:color="auto" w:sz="4" w:space="0"/>
      </w:pBdr>
      <w:spacing w:before="100" w:beforeAutospacing="1" w:after="100" w:afterAutospacing="1"/>
    </w:pPr>
    <w:rPr>
      <w:rFonts w:ascii="宋体" w:hAnsi="宋体" w:cs="宋体"/>
      <w:kern w:val="0"/>
      <w:sz w:val="20"/>
      <w:szCs w:val="20"/>
    </w:rPr>
  </w:style>
  <w:style w:type="paragraph" w:customStyle="1" w:styleId="239">
    <w:name w:val="xl79"/>
    <w:basedOn w:val="1"/>
    <w:qFormat/>
    <w:uiPriority w:val="0"/>
    <w:pPr>
      <w:pBdr>
        <w:left w:val="single" w:color="auto" w:sz="4" w:space="0"/>
        <w:right w:val="single" w:color="auto" w:sz="4" w:space="0"/>
      </w:pBdr>
      <w:spacing w:before="100" w:beforeAutospacing="1" w:after="100" w:afterAutospacing="1"/>
      <w:jc w:val="right"/>
    </w:pPr>
    <w:rPr>
      <w:rFonts w:ascii="宋体" w:hAnsi="宋体" w:cs="宋体"/>
      <w:kern w:val="0"/>
      <w:sz w:val="20"/>
      <w:szCs w:val="20"/>
    </w:rPr>
  </w:style>
  <w:style w:type="paragraph" w:customStyle="1" w:styleId="240">
    <w:name w:val="xl80"/>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241">
    <w:name w:val="xl81"/>
    <w:basedOn w:val="1"/>
    <w:qFormat/>
    <w:uiPriority w:val="0"/>
    <w:pPr>
      <w:pBdr>
        <w:top w:val="single" w:color="auto" w:sz="4" w:space="0"/>
        <w:left w:val="single" w:color="auto" w:sz="4" w:space="0"/>
        <w:right w:val="single" w:color="auto" w:sz="4" w:space="0"/>
      </w:pBdr>
      <w:spacing w:before="100" w:beforeAutospacing="1" w:after="100" w:afterAutospacing="1"/>
      <w:jc w:val="right"/>
    </w:pPr>
    <w:rPr>
      <w:rFonts w:ascii="宋体" w:hAnsi="宋体" w:cs="宋体"/>
      <w:color w:val="000000"/>
      <w:kern w:val="0"/>
      <w:sz w:val="20"/>
      <w:szCs w:val="20"/>
    </w:rPr>
  </w:style>
  <w:style w:type="paragraph" w:customStyle="1" w:styleId="242">
    <w:name w:val="xl82"/>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243">
    <w:name w:val="xl83"/>
    <w:basedOn w:val="1"/>
    <w:qFormat/>
    <w:uiPriority w:val="0"/>
    <w:pPr>
      <w:pBdr>
        <w:left w:val="single" w:color="auto" w:sz="4" w:space="0"/>
        <w:bottom w:val="single" w:color="auto" w:sz="4" w:space="0"/>
        <w:right w:val="single" w:color="auto" w:sz="4" w:space="0"/>
      </w:pBdr>
      <w:spacing w:before="100" w:beforeAutospacing="1" w:after="100" w:afterAutospacing="1"/>
    </w:pPr>
    <w:rPr>
      <w:rFonts w:ascii="宋体" w:hAnsi="宋体" w:cs="宋体"/>
      <w:color w:val="000000"/>
      <w:kern w:val="0"/>
      <w:sz w:val="20"/>
      <w:szCs w:val="20"/>
    </w:rPr>
  </w:style>
  <w:style w:type="paragraph" w:customStyle="1" w:styleId="244">
    <w:name w:val="xl84"/>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ascii="宋体" w:hAnsi="宋体" w:cs="宋体"/>
      <w:color w:val="000000"/>
      <w:kern w:val="0"/>
      <w:sz w:val="20"/>
      <w:szCs w:val="20"/>
    </w:rPr>
  </w:style>
  <w:style w:type="paragraph" w:customStyle="1" w:styleId="245">
    <w:name w:val="xl85"/>
    <w:basedOn w:val="1"/>
    <w:qFormat/>
    <w:uiPriority w:val="0"/>
    <w:pPr>
      <w:spacing w:before="100" w:beforeAutospacing="1" w:after="100" w:afterAutospacing="1"/>
      <w:jc w:val="center"/>
    </w:pPr>
    <w:rPr>
      <w:rFonts w:ascii="宋体" w:hAnsi="宋体" w:cs="宋体"/>
      <w:kern w:val="0"/>
      <w:sz w:val="20"/>
      <w:szCs w:val="20"/>
    </w:rPr>
  </w:style>
  <w:style w:type="paragraph" w:customStyle="1" w:styleId="246">
    <w:name w:val="xl86"/>
    <w:basedOn w:val="1"/>
    <w:qFormat/>
    <w:uiPriority w:val="0"/>
    <w:pPr>
      <w:pBdr>
        <w:left w:val="single" w:color="auto" w:sz="4" w:space="0"/>
        <w:right w:val="single" w:color="auto" w:sz="4" w:space="0"/>
      </w:pBdr>
      <w:spacing w:before="100" w:beforeAutospacing="1" w:after="100" w:afterAutospacing="1"/>
    </w:pPr>
    <w:rPr>
      <w:rFonts w:ascii="宋体" w:hAnsi="宋体" w:cs="宋体"/>
      <w:color w:val="000000"/>
      <w:kern w:val="0"/>
      <w:sz w:val="20"/>
      <w:szCs w:val="20"/>
    </w:rPr>
  </w:style>
  <w:style w:type="paragraph" w:customStyle="1" w:styleId="247">
    <w:name w:val="xl87"/>
    <w:basedOn w:val="1"/>
    <w:qFormat/>
    <w:uiPriority w:val="0"/>
    <w:pPr>
      <w:spacing w:before="100" w:beforeAutospacing="1" w:after="100" w:afterAutospacing="1"/>
      <w:jc w:val="right"/>
    </w:pPr>
    <w:rPr>
      <w:rFonts w:ascii="宋体" w:hAnsi="宋体" w:cs="宋体"/>
      <w:kern w:val="0"/>
      <w:sz w:val="20"/>
      <w:szCs w:val="20"/>
    </w:rPr>
  </w:style>
  <w:style w:type="paragraph" w:customStyle="1" w:styleId="248">
    <w:name w:val="xl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kern w:val="0"/>
      <w:sz w:val="20"/>
      <w:szCs w:val="20"/>
    </w:rPr>
  </w:style>
  <w:style w:type="paragraph" w:customStyle="1" w:styleId="249">
    <w:name w:val="xl8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color w:val="000000"/>
      <w:kern w:val="0"/>
      <w:sz w:val="20"/>
      <w:szCs w:val="20"/>
    </w:rPr>
  </w:style>
  <w:style w:type="paragraph" w:customStyle="1" w:styleId="250">
    <w:name w:val="xl9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251">
    <w:name w:val="xl9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kern w:val="0"/>
      <w:sz w:val="20"/>
      <w:szCs w:val="20"/>
    </w:rPr>
  </w:style>
  <w:style w:type="paragraph" w:customStyle="1" w:styleId="252">
    <w:name w:val="xl9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kern w:val="0"/>
      <w:sz w:val="20"/>
      <w:szCs w:val="20"/>
    </w:rPr>
  </w:style>
  <w:style w:type="paragraph" w:customStyle="1" w:styleId="253">
    <w:name w:val="xl9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kern w:val="0"/>
      <w:sz w:val="20"/>
      <w:szCs w:val="20"/>
    </w:rPr>
  </w:style>
  <w:style w:type="paragraph" w:customStyle="1" w:styleId="254">
    <w:name w:val="xl9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255">
    <w:name w:val="xl9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color w:val="000000"/>
      <w:kern w:val="0"/>
      <w:sz w:val="20"/>
      <w:szCs w:val="20"/>
    </w:rPr>
  </w:style>
  <w:style w:type="character" w:customStyle="1" w:styleId="256">
    <w:name w:val="标题 2 Char1"/>
    <w:qFormat/>
    <w:uiPriority w:val="0"/>
    <w:rPr>
      <w:rFonts w:ascii="Arial" w:hAnsi="Arial" w:eastAsia="黑体" w:cs="Times New Roman"/>
      <w:b/>
      <w:bCs/>
      <w:sz w:val="32"/>
      <w:szCs w:val="32"/>
    </w:rPr>
  </w:style>
  <w:style w:type="character" w:customStyle="1" w:styleId="257">
    <w:name w:val="标题 字符"/>
    <w:qFormat/>
    <w:uiPriority w:val="10"/>
    <w:rPr>
      <w:rFonts w:ascii="等线 Light" w:hAnsi="等线 Light" w:eastAsia="等线 Light" w:cs="Times New Roman"/>
      <w:b/>
      <w:bCs/>
      <w:sz w:val="32"/>
      <w:szCs w:val="32"/>
    </w:rPr>
  </w:style>
  <w:style w:type="character" w:customStyle="1" w:styleId="258">
    <w:name w:val="列出段落 字符"/>
    <w:qFormat/>
    <w:locked/>
    <w:uiPriority w:val="34"/>
    <w:rPr>
      <w:kern w:val="2"/>
      <w:sz w:val="21"/>
      <w:szCs w:val="22"/>
    </w:rPr>
  </w:style>
  <w:style w:type="paragraph" w:customStyle="1" w:styleId="259">
    <w:name w:val="4标题"/>
    <w:basedOn w:val="6"/>
    <w:link w:val="260"/>
    <w:qFormat/>
    <w:uiPriority w:val="0"/>
    <w:pPr>
      <w:adjustRightInd/>
      <w:spacing w:line="376" w:lineRule="auto"/>
      <w:textAlignment w:val="auto"/>
    </w:pPr>
    <w:rPr>
      <w:rFonts w:ascii="Calibri Light" w:hAnsi="Calibri Light" w:eastAsia="宋体"/>
      <w:bCs/>
      <w:kern w:val="2"/>
      <w:szCs w:val="28"/>
    </w:rPr>
  </w:style>
  <w:style w:type="character" w:customStyle="1" w:styleId="260">
    <w:name w:val="4标题 Char"/>
    <w:link w:val="259"/>
    <w:qFormat/>
    <w:uiPriority w:val="0"/>
    <w:rPr>
      <w:rFonts w:ascii="Calibri Light" w:hAnsi="Calibri Light" w:eastAsia="宋体" w:cs="Times New Roman"/>
      <w:b/>
      <w:bCs/>
      <w:sz w:val="28"/>
      <w:szCs w:val="28"/>
    </w:rPr>
  </w:style>
  <w:style w:type="paragraph" w:customStyle="1" w:styleId="261">
    <w:name w:val="xl65"/>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华文细黑" w:hAnsi="华文细黑" w:eastAsia="华文细黑" w:cs="宋体"/>
      <w:kern w:val="0"/>
      <w:sz w:val="24"/>
    </w:rPr>
  </w:style>
  <w:style w:type="paragraph" w:styleId="262">
    <w:name w:val="List Paragraph"/>
    <w:basedOn w:val="1"/>
    <w:link w:val="263"/>
    <w:unhideWhenUsed/>
    <w:qFormat/>
    <w:uiPriority w:val="34"/>
    <w:pPr>
      <w:ind w:firstLine="420" w:firstLineChars="200"/>
    </w:pPr>
  </w:style>
  <w:style w:type="character" w:customStyle="1" w:styleId="263">
    <w:name w:val="列出段落 Char1"/>
    <w:link w:val="262"/>
    <w:qFormat/>
    <w:uiPriority w:val="34"/>
    <w:rPr>
      <w:kern w:val="2"/>
      <w:sz w:val="21"/>
      <w:szCs w:val="24"/>
    </w:rPr>
  </w:style>
  <w:style w:type="paragraph" w:customStyle="1" w:styleId="264">
    <w:name w:val="正文表格"/>
    <w:basedOn w:val="1"/>
    <w:qFormat/>
    <w:uiPriority w:val="0"/>
    <w:pPr>
      <w:widowControl w:val="0"/>
      <w:jc w:val="center"/>
    </w:pPr>
    <w:rPr>
      <w:rFonts w:ascii="宋体" w:hAnsi="宋体" w:cs="宋体"/>
      <w:color w:val="000000"/>
      <w:kern w:val="1"/>
      <w:szCs w:val="21"/>
    </w:rPr>
  </w:style>
  <w:style w:type="paragraph" w:customStyle="1" w:styleId="265">
    <w:name w:val="正文无缩进"/>
    <w:basedOn w:val="264"/>
    <w:qFormat/>
    <w:uiPriority w:val="0"/>
    <w:pPr>
      <w:jc w:val="left"/>
    </w:pPr>
  </w:style>
  <w:style w:type="paragraph" w:customStyle="1" w:styleId="266">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267">
    <w:name w:val="正文文本 3 Char"/>
    <w:basedOn w:val="42"/>
    <w:link w:val="17"/>
    <w:semiHidden/>
    <w:qFormat/>
    <w:uiPriority w:val="99"/>
    <w:rPr>
      <w:kern w:val="2"/>
      <w:sz w:val="16"/>
      <w:szCs w:val="16"/>
    </w:rPr>
  </w:style>
  <w:style w:type="paragraph" w:customStyle="1" w:styleId="268">
    <w:name w:val="正文（首行缩进2字符）"/>
    <w:basedOn w:val="1"/>
    <w:qFormat/>
    <w:uiPriority w:val="0"/>
    <w:pPr>
      <w:widowControl w:val="0"/>
      <w:spacing w:line="360" w:lineRule="auto"/>
      <w:ind w:firstLine="480" w:firstLineChars="200"/>
      <w:jc w:val="both"/>
    </w:pPr>
    <w:rPr>
      <w:sz w:val="24"/>
    </w:rPr>
  </w:style>
  <w:style w:type="character" w:customStyle="1" w:styleId="269">
    <w:name w:val="正文首行缩进 Char Char Char Char"/>
    <w:link w:val="270"/>
    <w:qFormat/>
    <w:uiPriority w:val="0"/>
    <w:rPr>
      <w:kern w:val="1"/>
      <w:sz w:val="24"/>
      <w:szCs w:val="24"/>
    </w:rPr>
  </w:style>
  <w:style w:type="paragraph" w:customStyle="1" w:styleId="270">
    <w:name w:val="正文首行缩进 Char Char"/>
    <w:basedOn w:val="2"/>
    <w:link w:val="269"/>
    <w:qFormat/>
    <w:uiPriority w:val="0"/>
    <w:pPr>
      <w:widowControl w:val="0"/>
      <w:suppressAutoHyphens/>
      <w:spacing w:line="360" w:lineRule="auto"/>
      <w:ind w:firstLine="480"/>
    </w:pPr>
    <w:rPr>
      <w:kern w:val="1"/>
      <w:sz w:val="24"/>
    </w:rPr>
  </w:style>
  <w:style w:type="paragraph" w:customStyle="1" w:styleId="271">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272">
    <w:name w:val="修订3"/>
    <w:hidden/>
    <w:semiHidden/>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4" Type="http://schemas.openxmlformats.org/officeDocument/2006/relationships/fontTable" Target="fontTable.xml"/><Relationship Id="rId33" Type="http://schemas.openxmlformats.org/officeDocument/2006/relationships/customXml" Target="../customXml/item2.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18.png"/><Relationship Id="rId3" Type="http://schemas.openxmlformats.org/officeDocument/2006/relationships/header" Target="header1.xml"/><Relationship Id="rId29" Type="http://schemas.openxmlformats.org/officeDocument/2006/relationships/oleObject" Target="embeddings/oleObject2.bin"/><Relationship Id="rId28" Type="http://schemas.openxmlformats.org/officeDocument/2006/relationships/image" Target="media/image17.png"/><Relationship Id="rId27" Type="http://schemas.openxmlformats.org/officeDocument/2006/relationships/image" Target="media/image16.png"/><Relationship Id="rId26" Type="http://schemas.openxmlformats.org/officeDocument/2006/relationships/image" Target="media/image15.png"/><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jpe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theme" Target="theme/theme1.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oleObject" Target="embeddings/oleObject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DC982D-63CB-413B-84AF-64087127AAD5}">
  <ds:schemaRefs/>
</ds:datastoreItem>
</file>

<file path=docProps/app.xml><?xml version="1.0" encoding="utf-8"?>
<Properties xmlns="http://schemas.openxmlformats.org/officeDocument/2006/extended-properties" xmlns:vt="http://schemas.openxmlformats.org/officeDocument/2006/docPropsVTypes">
  <Template>Normal</Template>
  <Pages>112</Pages>
  <Words>69467</Words>
  <Characters>73069</Characters>
  <Lines>626</Lines>
  <Paragraphs>176</Paragraphs>
  <TotalTime>19</TotalTime>
  <ScaleCrop>false</ScaleCrop>
  <LinksUpToDate>false</LinksUpToDate>
  <CharactersWithSpaces>83790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2022-07-22T02:50:00Z</dcterms:created>
  <dc:creator>97540</dc:creator>
  <cp:lastModifiedBy>017547</cp:lastModifiedBy>
  <cp:lastPrinted>2020-11-12T09:47:00Z</cp:lastPrinted>
  <dcterms:modified xsi:type="dcterms:W3CDTF">2022-07-29T07:33:08Z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6948AEE3553A41FBBD1247AAE1888D78</vt:lpwstr>
  </property>
</Properties>
</file>