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8ADCFE">
      <w:pPr>
        <w:pStyle w:val="2"/>
        <w:tabs>
          <w:tab w:val="left" w:pos="1446"/>
        </w:tabs>
        <w:spacing w:line="360" w:lineRule="auto"/>
        <w:ind w:left="4"/>
        <w:jc w:val="center"/>
        <w:rPr>
          <w:rFonts w:ascii="仿宋" w:hAnsi="仿宋" w:eastAsia="仿宋" w:cs="宋体"/>
          <w:b/>
          <w:bCs/>
          <w:spacing w:val="2"/>
          <w:lang w:eastAsia="zh-CN"/>
        </w:rPr>
      </w:pPr>
      <w:r>
        <w:rPr>
          <w:rFonts w:hint="eastAsia" w:ascii="仿宋" w:hAnsi="仿宋" w:eastAsia="仿宋" w:cs="宋体"/>
          <w:b/>
          <w:bCs/>
          <w:spacing w:val="2"/>
          <w:lang w:eastAsia="zh-CN"/>
        </w:rPr>
        <w:t>技术、服务及其他商务要求</w:t>
      </w:r>
    </w:p>
    <w:p w14:paraId="5D4CB5AB">
      <w:pPr>
        <w:pStyle w:val="3"/>
        <w:keepNext/>
        <w:keepLines/>
        <w:numPr>
          <w:ilvl w:val="1"/>
          <w:numId w:val="0"/>
        </w:numPr>
        <w:spacing w:before="260" w:after="260" w:line="360" w:lineRule="auto"/>
        <w:jc w:val="both"/>
        <w:rPr>
          <w:rFonts w:ascii="仿宋" w:hAnsi="仿宋" w:eastAsia="仿宋" w:cs="宋体"/>
          <w:b/>
          <w:bCs/>
          <w:sz w:val="28"/>
          <w:szCs w:val="28"/>
          <w:lang w:eastAsia="zh-CN"/>
        </w:rPr>
      </w:pPr>
      <w:bookmarkStart w:id="0" w:name="_Toc82510392"/>
      <w:bookmarkStart w:id="1" w:name="_Toc93309862"/>
      <w:bookmarkStart w:id="2" w:name="_Toc477248552"/>
      <w:bookmarkStart w:id="3" w:name="_Toc301782771"/>
      <w:bookmarkStart w:id="4" w:name="_Toc217446094"/>
      <w:bookmarkStart w:id="5" w:name="_Toc303150932"/>
      <w:bookmarkStart w:id="6" w:name="_Toc343513803"/>
      <w:bookmarkStart w:id="7" w:name="_Toc249194650"/>
      <w:bookmarkStart w:id="8" w:name="_Toc308116285"/>
      <w:bookmarkStart w:id="9" w:name="_Toc276718522"/>
      <w:bookmarkStart w:id="10" w:name="_Toc273336187"/>
      <w:bookmarkStart w:id="11" w:name="_Toc301782789"/>
      <w:bookmarkStart w:id="12" w:name="_Toc295392031"/>
      <w:bookmarkStart w:id="13" w:name="_Toc249366050"/>
      <w:r>
        <w:rPr>
          <w:rFonts w:hint="eastAsia" w:ascii="仿宋" w:hAnsi="仿宋" w:eastAsia="仿宋" w:cs="宋体"/>
          <w:b/>
          <w:bCs/>
          <w:sz w:val="28"/>
          <w:szCs w:val="28"/>
          <w:lang w:eastAsia="zh-CN"/>
        </w:rPr>
        <w:t>1</w:t>
      </w:r>
      <w:r>
        <w:rPr>
          <w:rFonts w:hint="eastAsia" w:ascii="仿宋" w:hAnsi="仿宋" w:eastAsia="仿宋" w:cs="宋体"/>
          <w:b/>
          <w:bCs/>
          <w:sz w:val="28"/>
          <w:szCs w:val="28"/>
          <w:lang w:val="en-US" w:eastAsia="zh-CN"/>
        </w:rPr>
        <w:t>.</w:t>
      </w:r>
      <w:r>
        <w:rPr>
          <w:rFonts w:hint="eastAsia" w:ascii="仿宋" w:hAnsi="仿宋" w:eastAsia="仿宋" w:cs="宋体"/>
          <w:b/>
          <w:bCs/>
          <w:sz w:val="28"/>
          <w:szCs w:val="28"/>
          <w:lang w:eastAsia="zh-CN"/>
        </w:rPr>
        <w:t>采购标的</w:t>
      </w:r>
      <w:bookmarkEnd w:id="0"/>
      <w:bookmarkEnd w:id="1"/>
    </w:p>
    <w:tbl>
      <w:tblPr>
        <w:tblStyle w:val="7"/>
        <w:tblW w:w="52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33"/>
        <w:gridCol w:w="913"/>
        <w:gridCol w:w="913"/>
        <w:gridCol w:w="913"/>
        <w:gridCol w:w="913"/>
        <w:gridCol w:w="913"/>
        <w:gridCol w:w="912"/>
      </w:tblGrid>
      <w:tr w14:paraId="3492D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0" w:hRule="atLeast"/>
          <w:jc w:val="center"/>
        </w:trPr>
        <w:tc>
          <w:tcPr>
            <w:tcW w:w="1925" w:type="pct"/>
            <w:vAlign w:val="center"/>
          </w:tcPr>
          <w:p w14:paraId="62E24034">
            <w:pPr>
              <w:jc w:val="center"/>
              <w:rPr>
                <w:rFonts w:ascii="仿宋" w:hAnsi="仿宋" w:eastAsia="仿宋" w:cs="仿宋"/>
                <w:b/>
                <w:sz w:val="24"/>
                <w:szCs w:val="24"/>
                <w:lang w:eastAsia="zh-CN"/>
              </w:rPr>
            </w:pPr>
            <w:r>
              <w:rPr>
                <w:rFonts w:hint="eastAsia" w:ascii="仿宋" w:hAnsi="仿宋" w:eastAsia="仿宋" w:cs="仿宋"/>
                <w:b/>
                <w:sz w:val="24"/>
                <w:szCs w:val="24"/>
                <w:lang w:eastAsia="zh-CN"/>
              </w:rPr>
              <w:t>标的</w:t>
            </w:r>
            <w:r>
              <w:rPr>
                <w:rFonts w:hint="eastAsia" w:ascii="仿宋" w:hAnsi="仿宋" w:eastAsia="仿宋" w:cs="仿宋"/>
                <w:b/>
                <w:sz w:val="24"/>
                <w:szCs w:val="24"/>
              </w:rPr>
              <w:t>名称</w:t>
            </w:r>
          </w:p>
        </w:tc>
        <w:tc>
          <w:tcPr>
            <w:tcW w:w="512" w:type="pct"/>
            <w:vAlign w:val="center"/>
          </w:tcPr>
          <w:p w14:paraId="1CC5F7FD">
            <w:pPr>
              <w:jc w:val="center"/>
              <w:rPr>
                <w:rFonts w:ascii="仿宋" w:hAnsi="仿宋" w:eastAsia="仿宋" w:cs="仿宋"/>
                <w:b/>
                <w:sz w:val="24"/>
                <w:szCs w:val="24"/>
                <w:lang w:eastAsia="zh-CN"/>
              </w:rPr>
            </w:pPr>
            <w:r>
              <w:rPr>
                <w:rFonts w:hint="eastAsia" w:ascii="仿宋" w:hAnsi="仿宋" w:eastAsia="仿宋" w:cs="仿宋"/>
                <w:b/>
                <w:sz w:val="24"/>
                <w:szCs w:val="24"/>
                <w:lang w:eastAsia="zh-CN"/>
              </w:rPr>
              <w:t>数量</w:t>
            </w:r>
          </w:p>
        </w:tc>
        <w:tc>
          <w:tcPr>
            <w:tcW w:w="512" w:type="pct"/>
            <w:vAlign w:val="center"/>
          </w:tcPr>
          <w:p w14:paraId="71C76A5E">
            <w:pPr>
              <w:jc w:val="center"/>
              <w:rPr>
                <w:rFonts w:ascii="仿宋" w:hAnsi="仿宋" w:eastAsia="仿宋" w:cs="仿宋"/>
                <w:b/>
                <w:sz w:val="24"/>
                <w:szCs w:val="24"/>
                <w:lang w:eastAsia="zh-CN"/>
              </w:rPr>
            </w:pPr>
            <w:r>
              <w:rPr>
                <w:rFonts w:hint="eastAsia" w:ascii="仿宋" w:hAnsi="仿宋" w:eastAsia="仿宋" w:cs="仿宋"/>
                <w:b/>
                <w:sz w:val="24"/>
                <w:szCs w:val="24"/>
                <w:lang w:eastAsia="zh-CN"/>
              </w:rPr>
              <w:t>单位</w:t>
            </w:r>
          </w:p>
        </w:tc>
        <w:tc>
          <w:tcPr>
            <w:tcW w:w="512" w:type="pct"/>
            <w:vAlign w:val="center"/>
          </w:tcPr>
          <w:p w14:paraId="0A48809A">
            <w:pPr>
              <w:jc w:val="center"/>
              <w:rPr>
                <w:rFonts w:ascii="仿宋" w:hAnsi="仿宋" w:eastAsia="仿宋" w:cs="仿宋"/>
                <w:b/>
                <w:sz w:val="24"/>
                <w:szCs w:val="24"/>
                <w:lang w:eastAsia="zh-CN"/>
              </w:rPr>
            </w:pPr>
            <w:r>
              <w:rPr>
                <w:rFonts w:hint="eastAsia" w:ascii="仿宋" w:hAnsi="仿宋" w:eastAsia="仿宋" w:cs="仿宋"/>
                <w:b/>
                <w:sz w:val="24"/>
                <w:szCs w:val="24"/>
                <w:lang w:eastAsia="zh-CN"/>
              </w:rPr>
              <w:t>是否强制节能产品</w:t>
            </w:r>
          </w:p>
        </w:tc>
        <w:tc>
          <w:tcPr>
            <w:tcW w:w="512" w:type="pct"/>
            <w:vAlign w:val="center"/>
          </w:tcPr>
          <w:p w14:paraId="1A7A4F84">
            <w:pPr>
              <w:jc w:val="center"/>
              <w:rPr>
                <w:rFonts w:ascii="仿宋" w:hAnsi="仿宋" w:eastAsia="仿宋" w:cs="仿宋"/>
                <w:b/>
                <w:sz w:val="24"/>
                <w:szCs w:val="24"/>
                <w:lang w:eastAsia="zh-CN"/>
              </w:rPr>
            </w:pPr>
            <w:r>
              <w:rPr>
                <w:rFonts w:hint="eastAsia" w:ascii="仿宋" w:hAnsi="仿宋" w:eastAsia="仿宋" w:cs="仿宋"/>
                <w:b/>
                <w:sz w:val="24"/>
                <w:szCs w:val="24"/>
                <w:lang w:eastAsia="zh-CN"/>
              </w:rPr>
              <w:t>是否属于优先采购节能产品</w:t>
            </w:r>
          </w:p>
        </w:tc>
        <w:tc>
          <w:tcPr>
            <w:tcW w:w="512" w:type="pct"/>
            <w:vAlign w:val="center"/>
          </w:tcPr>
          <w:p w14:paraId="61493DF0">
            <w:pPr>
              <w:jc w:val="center"/>
              <w:rPr>
                <w:rFonts w:ascii="仿宋" w:hAnsi="仿宋" w:eastAsia="仿宋" w:cs="仿宋"/>
                <w:b/>
                <w:sz w:val="24"/>
                <w:szCs w:val="24"/>
                <w:lang w:eastAsia="zh-CN"/>
              </w:rPr>
            </w:pPr>
            <w:r>
              <w:rPr>
                <w:rFonts w:hint="eastAsia" w:ascii="仿宋" w:hAnsi="仿宋" w:eastAsia="仿宋" w:cs="仿宋"/>
                <w:b/>
                <w:sz w:val="24"/>
                <w:szCs w:val="24"/>
                <w:lang w:eastAsia="zh-CN"/>
              </w:rPr>
              <w:t>是否属于优先采购环境标志产品</w:t>
            </w:r>
          </w:p>
        </w:tc>
        <w:tc>
          <w:tcPr>
            <w:tcW w:w="512" w:type="pct"/>
            <w:vAlign w:val="center"/>
          </w:tcPr>
          <w:p w14:paraId="51DA08DD">
            <w:pPr>
              <w:jc w:val="center"/>
              <w:rPr>
                <w:rFonts w:ascii="仿宋" w:hAnsi="仿宋" w:eastAsia="仿宋" w:cs="仿宋"/>
                <w:b/>
                <w:sz w:val="24"/>
                <w:szCs w:val="24"/>
                <w:lang w:eastAsia="zh-CN"/>
              </w:rPr>
            </w:pPr>
            <w:r>
              <w:rPr>
                <w:rFonts w:hint="eastAsia" w:ascii="仿宋" w:hAnsi="仿宋" w:eastAsia="仿宋" w:cs="仿宋"/>
                <w:b/>
                <w:sz w:val="24"/>
                <w:szCs w:val="24"/>
                <w:lang w:eastAsia="zh-CN"/>
              </w:rPr>
              <w:t>所属行业</w:t>
            </w:r>
          </w:p>
        </w:tc>
      </w:tr>
      <w:tr w14:paraId="07798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3542" w:type="dxa"/>
            <w:vAlign w:val="center"/>
          </w:tcPr>
          <w:p w14:paraId="003FEDBA">
            <w:pPr>
              <w:jc w:val="center"/>
              <w:rPr>
                <w:rFonts w:ascii="仿宋" w:hAnsi="仿宋" w:eastAsia="仿宋" w:cs="仿宋"/>
                <w:sz w:val="24"/>
                <w:szCs w:val="24"/>
                <w:lang w:eastAsia="zh-CN"/>
              </w:rPr>
            </w:pPr>
            <w:r>
              <w:rPr>
                <w:rFonts w:hint="eastAsia" w:ascii="仿宋" w:hAnsi="仿宋" w:eastAsia="仿宋" w:cs="仿宋"/>
                <w:sz w:val="24"/>
                <w:szCs w:val="24"/>
                <w:lang w:eastAsia="zh-CN"/>
              </w:rPr>
              <w:t>微区电化学扫描显微镜</w:t>
            </w:r>
          </w:p>
        </w:tc>
        <w:tc>
          <w:tcPr>
            <w:tcW w:w="512" w:type="pct"/>
            <w:vAlign w:val="center"/>
          </w:tcPr>
          <w:p w14:paraId="2F8F9DE3">
            <w:pPr>
              <w:jc w:val="center"/>
              <w:rPr>
                <w:rFonts w:ascii="仿宋" w:hAnsi="仿宋" w:eastAsia="仿宋" w:cs="仿宋"/>
                <w:b/>
                <w:sz w:val="24"/>
                <w:szCs w:val="24"/>
                <w:lang w:eastAsia="zh-CN"/>
              </w:rPr>
            </w:pPr>
            <w:r>
              <w:rPr>
                <w:rFonts w:hint="eastAsia" w:ascii="仿宋" w:hAnsi="仿宋" w:eastAsia="仿宋" w:cs="仿宋"/>
                <w:sz w:val="24"/>
                <w:szCs w:val="24"/>
                <w:lang w:eastAsia="zh-CN"/>
              </w:rPr>
              <w:t>1</w:t>
            </w:r>
          </w:p>
        </w:tc>
        <w:tc>
          <w:tcPr>
            <w:tcW w:w="942" w:type="dxa"/>
            <w:vAlign w:val="center"/>
          </w:tcPr>
          <w:p w14:paraId="33A8D27A">
            <w:pPr>
              <w:jc w:val="center"/>
              <w:rPr>
                <w:rFonts w:ascii="仿宋" w:hAnsi="仿宋" w:eastAsia="仿宋" w:cs="仿宋"/>
                <w:sz w:val="24"/>
                <w:szCs w:val="24"/>
                <w:lang w:eastAsia="zh-CN"/>
              </w:rPr>
            </w:pPr>
            <w:r>
              <w:rPr>
                <w:rFonts w:hint="eastAsia" w:ascii="仿宋" w:hAnsi="仿宋" w:eastAsia="仿宋" w:cs="仿宋"/>
                <w:sz w:val="24"/>
                <w:szCs w:val="24"/>
                <w:lang w:eastAsia="zh-CN"/>
              </w:rPr>
              <w:t>套</w:t>
            </w:r>
          </w:p>
        </w:tc>
        <w:tc>
          <w:tcPr>
            <w:tcW w:w="512" w:type="pct"/>
            <w:vAlign w:val="center"/>
          </w:tcPr>
          <w:p w14:paraId="6E9F5F58">
            <w:pPr>
              <w:jc w:val="center"/>
              <w:rPr>
                <w:rFonts w:ascii="仿宋" w:hAnsi="仿宋" w:eastAsia="仿宋" w:cs="仿宋"/>
                <w:b/>
                <w:sz w:val="24"/>
                <w:szCs w:val="24"/>
                <w:lang w:eastAsia="zh-CN"/>
              </w:rPr>
            </w:pPr>
            <w:r>
              <w:rPr>
                <w:rFonts w:hint="eastAsia" w:ascii="仿宋" w:hAnsi="仿宋" w:eastAsia="仿宋" w:cs="仿宋"/>
                <w:b/>
                <w:sz w:val="24"/>
                <w:szCs w:val="24"/>
                <w:lang w:eastAsia="zh-CN"/>
              </w:rPr>
              <w:t>否</w:t>
            </w:r>
          </w:p>
        </w:tc>
        <w:tc>
          <w:tcPr>
            <w:tcW w:w="512" w:type="pct"/>
            <w:vAlign w:val="center"/>
          </w:tcPr>
          <w:p w14:paraId="7319A8AE">
            <w:pPr>
              <w:jc w:val="center"/>
              <w:rPr>
                <w:rFonts w:ascii="仿宋" w:hAnsi="仿宋" w:eastAsia="仿宋" w:cs="仿宋"/>
                <w:b/>
                <w:sz w:val="24"/>
                <w:szCs w:val="24"/>
                <w:lang w:eastAsia="zh-CN"/>
              </w:rPr>
            </w:pPr>
            <w:r>
              <w:rPr>
                <w:rFonts w:hint="eastAsia" w:ascii="仿宋" w:hAnsi="仿宋" w:eastAsia="仿宋" w:cs="仿宋"/>
                <w:b/>
                <w:sz w:val="24"/>
                <w:szCs w:val="24"/>
                <w:lang w:eastAsia="zh-CN"/>
              </w:rPr>
              <w:t>否</w:t>
            </w:r>
          </w:p>
        </w:tc>
        <w:tc>
          <w:tcPr>
            <w:tcW w:w="512" w:type="pct"/>
            <w:vAlign w:val="center"/>
          </w:tcPr>
          <w:p w14:paraId="3A6902D6">
            <w:pPr>
              <w:jc w:val="center"/>
              <w:rPr>
                <w:rFonts w:ascii="仿宋" w:hAnsi="仿宋" w:eastAsia="仿宋" w:cs="仿宋"/>
                <w:b/>
                <w:sz w:val="24"/>
                <w:szCs w:val="24"/>
                <w:lang w:eastAsia="zh-CN"/>
              </w:rPr>
            </w:pPr>
            <w:r>
              <w:rPr>
                <w:rFonts w:hint="eastAsia" w:ascii="仿宋" w:hAnsi="仿宋" w:eastAsia="仿宋" w:cs="仿宋"/>
                <w:b/>
                <w:sz w:val="24"/>
                <w:szCs w:val="24"/>
                <w:lang w:eastAsia="zh-CN"/>
              </w:rPr>
              <w:t>否</w:t>
            </w:r>
          </w:p>
        </w:tc>
        <w:tc>
          <w:tcPr>
            <w:tcW w:w="512" w:type="pct"/>
            <w:vAlign w:val="center"/>
          </w:tcPr>
          <w:p w14:paraId="699EADAC">
            <w:pPr>
              <w:jc w:val="center"/>
              <w:rPr>
                <w:rFonts w:ascii="仿宋" w:hAnsi="仿宋" w:eastAsia="仿宋" w:cs="仿宋"/>
                <w:b/>
                <w:sz w:val="24"/>
                <w:szCs w:val="24"/>
                <w:lang w:eastAsia="zh-CN"/>
              </w:rPr>
            </w:pPr>
            <w:r>
              <w:rPr>
                <w:rFonts w:hint="eastAsia" w:ascii="仿宋" w:hAnsi="仿宋" w:eastAsia="仿宋" w:cs="仿宋"/>
                <w:b/>
                <w:sz w:val="24"/>
                <w:szCs w:val="24"/>
                <w:lang w:eastAsia="zh-CN"/>
              </w:rPr>
              <w:t>工业</w:t>
            </w:r>
          </w:p>
        </w:tc>
      </w:tr>
      <w:tr w14:paraId="145F8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3542" w:type="dxa"/>
            <w:vAlign w:val="center"/>
          </w:tcPr>
          <w:p w14:paraId="5C833C0D">
            <w:pPr>
              <w:jc w:val="center"/>
              <w:rPr>
                <w:rFonts w:ascii="仿宋" w:hAnsi="仿宋" w:eastAsia="仿宋" w:cs="仿宋"/>
                <w:sz w:val="24"/>
                <w:szCs w:val="24"/>
                <w:lang w:eastAsia="zh-CN"/>
              </w:rPr>
            </w:pPr>
            <w:bookmarkStart w:id="14" w:name="_Toc93309863"/>
            <w:bookmarkStart w:id="15" w:name="_Toc82510393"/>
            <w:r>
              <w:rPr>
                <w:rFonts w:hint="eastAsia" w:ascii="仿宋" w:hAnsi="仿宋" w:eastAsia="仿宋" w:cs="仿宋"/>
                <w:sz w:val="24"/>
                <w:szCs w:val="24"/>
                <w:lang w:eastAsia="zh-CN"/>
              </w:rPr>
              <w:t>界面预滑移原子级检测精度测试台</w:t>
            </w:r>
          </w:p>
        </w:tc>
        <w:tc>
          <w:tcPr>
            <w:tcW w:w="512" w:type="pct"/>
            <w:vAlign w:val="center"/>
          </w:tcPr>
          <w:p w14:paraId="31A3B569">
            <w:pPr>
              <w:jc w:val="center"/>
              <w:rPr>
                <w:rFonts w:ascii="仿宋" w:hAnsi="仿宋" w:eastAsia="仿宋" w:cs="仿宋"/>
                <w:sz w:val="24"/>
                <w:szCs w:val="24"/>
                <w:lang w:eastAsia="zh-CN"/>
              </w:rPr>
            </w:pPr>
            <w:r>
              <w:rPr>
                <w:rFonts w:hint="eastAsia" w:ascii="仿宋" w:hAnsi="仿宋" w:eastAsia="仿宋" w:cs="仿宋"/>
                <w:sz w:val="24"/>
                <w:szCs w:val="24"/>
                <w:lang w:eastAsia="zh-CN"/>
              </w:rPr>
              <w:t>1</w:t>
            </w:r>
          </w:p>
        </w:tc>
        <w:tc>
          <w:tcPr>
            <w:tcW w:w="942" w:type="dxa"/>
            <w:vAlign w:val="center"/>
          </w:tcPr>
          <w:p w14:paraId="70734C31">
            <w:pPr>
              <w:jc w:val="center"/>
              <w:rPr>
                <w:rFonts w:ascii="仿宋" w:hAnsi="仿宋" w:eastAsia="仿宋" w:cs="仿宋"/>
                <w:sz w:val="24"/>
                <w:szCs w:val="24"/>
                <w:lang w:eastAsia="zh-CN"/>
              </w:rPr>
            </w:pPr>
            <w:r>
              <w:rPr>
                <w:rFonts w:hint="eastAsia" w:ascii="仿宋" w:hAnsi="仿宋" w:eastAsia="仿宋" w:cs="仿宋"/>
                <w:sz w:val="24"/>
                <w:szCs w:val="24"/>
                <w:lang w:eastAsia="zh-CN"/>
              </w:rPr>
              <w:t>套</w:t>
            </w:r>
          </w:p>
        </w:tc>
        <w:tc>
          <w:tcPr>
            <w:tcW w:w="942" w:type="dxa"/>
            <w:vAlign w:val="center"/>
          </w:tcPr>
          <w:p w14:paraId="123EE5D8">
            <w:pPr>
              <w:jc w:val="center"/>
              <w:rPr>
                <w:rFonts w:ascii="仿宋" w:hAnsi="仿宋" w:eastAsia="仿宋" w:cs="仿宋"/>
                <w:b/>
                <w:sz w:val="24"/>
                <w:szCs w:val="24"/>
                <w:lang w:eastAsia="zh-CN"/>
              </w:rPr>
            </w:pPr>
            <w:r>
              <w:rPr>
                <w:rFonts w:hint="eastAsia" w:ascii="仿宋" w:hAnsi="仿宋" w:eastAsia="仿宋" w:cs="仿宋"/>
                <w:b/>
                <w:sz w:val="24"/>
                <w:szCs w:val="24"/>
                <w:lang w:eastAsia="zh-CN"/>
              </w:rPr>
              <w:t>否</w:t>
            </w:r>
          </w:p>
        </w:tc>
        <w:tc>
          <w:tcPr>
            <w:tcW w:w="942" w:type="dxa"/>
            <w:vAlign w:val="center"/>
          </w:tcPr>
          <w:p w14:paraId="120454A1">
            <w:pPr>
              <w:jc w:val="center"/>
              <w:rPr>
                <w:rFonts w:ascii="仿宋" w:hAnsi="仿宋" w:eastAsia="仿宋" w:cs="仿宋"/>
                <w:b/>
                <w:sz w:val="24"/>
                <w:szCs w:val="24"/>
                <w:lang w:eastAsia="zh-CN"/>
              </w:rPr>
            </w:pPr>
            <w:r>
              <w:rPr>
                <w:rFonts w:hint="eastAsia" w:ascii="仿宋" w:hAnsi="仿宋" w:eastAsia="仿宋" w:cs="仿宋"/>
                <w:b/>
                <w:sz w:val="24"/>
                <w:szCs w:val="24"/>
                <w:lang w:eastAsia="zh-CN"/>
              </w:rPr>
              <w:t>否</w:t>
            </w:r>
          </w:p>
        </w:tc>
        <w:tc>
          <w:tcPr>
            <w:tcW w:w="943" w:type="dxa"/>
            <w:vAlign w:val="center"/>
          </w:tcPr>
          <w:p w14:paraId="4B2F7111">
            <w:pPr>
              <w:jc w:val="center"/>
              <w:rPr>
                <w:rFonts w:ascii="仿宋" w:hAnsi="仿宋" w:eastAsia="仿宋" w:cs="仿宋"/>
                <w:b/>
                <w:sz w:val="24"/>
                <w:szCs w:val="24"/>
                <w:lang w:eastAsia="zh-CN"/>
              </w:rPr>
            </w:pPr>
            <w:r>
              <w:rPr>
                <w:rFonts w:hint="eastAsia" w:ascii="仿宋" w:hAnsi="仿宋" w:eastAsia="仿宋" w:cs="仿宋"/>
                <w:b/>
                <w:sz w:val="24"/>
                <w:szCs w:val="24"/>
                <w:lang w:eastAsia="zh-CN"/>
              </w:rPr>
              <w:t>否</w:t>
            </w:r>
          </w:p>
        </w:tc>
        <w:tc>
          <w:tcPr>
            <w:tcW w:w="512" w:type="pct"/>
            <w:vAlign w:val="center"/>
          </w:tcPr>
          <w:p w14:paraId="76116513">
            <w:pPr>
              <w:jc w:val="center"/>
              <w:rPr>
                <w:rFonts w:ascii="仿宋" w:hAnsi="仿宋" w:eastAsia="仿宋" w:cs="仿宋"/>
                <w:b/>
                <w:sz w:val="24"/>
                <w:szCs w:val="24"/>
                <w:lang w:eastAsia="zh-CN"/>
              </w:rPr>
            </w:pPr>
            <w:r>
              <w:rPr>
                <w:rFonts w:hint="eastAsia" w:ascii="仿宋" w:hAnsi="仿宋" w:eastAsia="仿宋" w:cs="仿宋"/>
                <w:b/>
                <w:sz w:val="24"/>
                <w:szCs w:val="24"/>
                <w:lang w:eastAsia="zh-CN"/>
              </w:rPr>
              <w:t>工业</w:t>
            </w:r>
          </w:p>
        </w:tc>
      </w:tr>
    </w:tbl>
    <w:p w14:paraId="3044DF5A">
      <w:pPr>
        <w:pStyle w:val="3"/>
        <w:keepNext/>
        <w:keepLines/>
        <w:numPr>
          <w:ilvl w:val="1"/>
          <w:numId w:val="0"/>
        </w:numPr>
        <w:spacing w:before="260" w:after="260" w:line="360" w:lineRule="auto"/>
        <w:jc w:val="both"/>
        <w:rPr>
          <w:rFonts w:ascii="仿宋" w:hAnsi="仿宋" w:eastAsia="仿宋" w:cs="宋体"/>
          <w:b/>
          <w:bCs/>
          <w:sz w:val="28"/>
          <w:szCs w:val="28"/>
          <w:lang w:eastAsia="zh-CN"/>
        </w:rPr>
      </w:pPr>
      <w:r>
        <w:rPr>
          <w:rFonts w:hint="eastAsia" w:ascii="仿宋" w:hAnsi="仿宋" w:eastAsia="仿宋" w:cs="宋体"/>
          <w:b/>
          <w:bCs/>
          <w:sz w:val="28"/>
          <w:szCs w:val="28"/>
          <w:lang w:eastAsia="zh-CN"/>
        </w:rPr>
        <w:t>2</w:t>
      </w:r>
      <w:r>
        <w:rPr>
          <w:rFonts w:hint="eastAsia" w:ascii="仿宋" w:hAnsi="仿宋" w:eastAsia="仿宋" w:cs="宋体"/>
          <w:b/>
          <w:bCs/>
          <w:sz w:val="28"/>
          <w:szCs w:val="28"/>
          <w:lang w:val="en-US" w:eastAsia="zh-CN"/>
        </w:rPr>
        <w:t>.</w:t>
      </w:r>
      <w:r>
        <w:rPr>
          <w:rFonts w:hint="eastAsia" w:ascii="仿宋" w:hAnsi="仿宋" w:eastAsia="仿宋" w:cs="宋体"/>
          <w:b/>
          <w:bCs/>
          <w:sz w:val="28"/>
          <w:szCs w:val="28"/>
          <w:lang w:eastAsia="zh-CN"/>
        </w:rPr>
        <w:t>采购标的详细技术指标</w:t>
      </w:r>
      <w:bookmarkEnd w:id="14"/>
      <w:bookmarkEnd w:id="15"/>
      <w:bookmarkStart w:id="16" w:name="_Toc82510395"/>
      <w:bookmarkStart w:id="17" w:name="_Toc93309865"/>
    </w:p>
    <w:tbl>
      <w:tblPr>
        <w:tblStyle w:val="8"/>
        <w:tblW w:w="9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9"/>
        <w:gridCol w:w="1674"/>
        <w:gridCol w:w="6653"/>
      </w:tblGrid>
      <w:tr w14:paraId="64FAE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vAlign w:val="center"/>
          </w:tcPr>
          <w:p w14:paraId="5D3954F6">
            <w:pPr>
              <w:spacing w:line="360" w:lineRule="auto"/>
              <w:ind w:right="44" w:rightChars="20"/>
              <w:jc w:val="center"/>
              <w:rPr>
                <w:rFonts w:ascii="仿宋" w:hAnsi="仿宋" w:eastAsia="仿宋" w:cs="仿宋"/>
                <w:sz w:val="24"/>
                <w:szCs w:val="24"/>
                <w:lang w:eastAsia="zh-CN"/>
              </w:rPr>
            </w:pPr>
            <w:r>
              <w:rPr>
                <w:rFonts w:hint="eastAsia" w:ascii="仿宋" w:hAnsi="仿宋" w:eastAsia="仿宋" w:cs="仿宋"/>
                <w:sz w:val="24"/>
                <w:szCs w:val="24"/>
                <w:lang w:eastAsia="zh-CN"/>
              </w:rPr>
              <w:t>序号</w:t>
            </w:r>
          </w:p>
        </w:tc>
        <w:tc>
          <w:tcPr>
            <w:tcW w:w="1674" w:type="dxa"/>
            <w:vAlign w:val="center"/>
          </w:tcPr>
          <w:p w14:paraId="7B7D5654">
            <w:pPr>
              <w:spacing w:line="360" w:lineRule="auto"/>
              <w:ind w:right="44" w:rightChars="20"/>
              <w:jc w:val="center"/>
              <w:rPr>
                <w:rFonts w:ascii="仿宋" w:hAnsi="仿宋" w:eastAsia="仿宋" w:cs="仿宋"/>
                <w:sz w:val="24"/>
                <w:szCs w:val="24"/>
                <w:lang w:eastAsia="zh-CN"/>
              </w:rPr>
            </w:pPr>
            <w:r>
              <w:rPr>
                <w:rFonts w:hint="eastAsia" w:ascii="仿宋" w:hAnsi="仿宋" w:eastAsia="仿宋" w:cs="仿宋"/>
                <w:sz w:val="24"/>
                <w:szCs w:val="24"/>
                <w:lang w:eastAsia="zh-CN"/>
              </w:rPr>
              <w:t>名称</w:t>
            </w:r>
          </w:p>
        </w:tc>
        <w:tc>
          <w:tcPr>
            <w:tcW w:w="6653" w:type="dxa"/>
            <w:vAlign w:val="center"/>
          </w:tcPr>
          <w:p w14:paraId="1265C31D">
            <w:pPr>
              <w:spacing w:line="360" w:lineRule="auto"/>
              <w:ind w:right="44" w:rightChars="20" w:firstLine="218" w:firstLineChars="91"/>
              <w:jc w:val="center"/>
              <w:rPr>
                <w:rFonts w:ascii="仿宋" w:hAnsi="仿宋" w:eastAsia="仿宋" w:cs="仿宋"/>
                <w:sz w:val="24"/>
                <w:szCs w:val="24"/>
                <w:lang w:eastAsia="zh-CN"/>
              </w:rPr>
            </w:pPr>
            <w:r>
              <w:rPr>
                <w:rFonts w:hint="eastAsia" w:ascii="仿宋" w:hAnsi="仿宋" w:eastAsia="仿宋" w:cs="仿宋"/>
                <w:sz w:val="24"/>
                <w:szCs w:val="24"/>
                <w:lang w:eastAsia="zh-CN"/>
              </w:rPr>
              <w:t>详细技术指标及功能需求</w:t>
            </w:r>
          </w:p>
        </w:tc>
      </w:tr>
      <w:tr w14:paraId="5BE75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729" w:type="dxa"/>
            <w:vAlign w:val="center"/>
          </w:tcPr>
          <w:p w14:paraId="0879350A">
            <w:pPr>
              <w:spacing w:line="360" w:lineRule="auto"/>
              <w:ind w:right="44" w:rightChars="20"/>
              <w:jc w:val="center"/>
              <w:rPr>
                <w:rFonts w:ascii="仿宋" w:hAnsi="仿宋" w:eastAsia="仿宋" w:cs="仿宋"/>
                <w:sz w:val="24"/>
                <w:szCs w:val="24"/>
                <w:lang w:eastAsia="zh-CN"/>
              </w:rPr>
            </w:pPr>
            <w:r>
              <w:rPr>
                <w:rFonts w:hint="eastAsia" w:ascii="仿宋" w:hAnsi="仿宋" w:eastAsia="仿宋" w:cs="仿宋"/>
                <w:sz w:val="24"/>
                <w:szCs w:val="24"/>
                <w:lang w:eastAsia="zh-CN"/>
              </w:rPr>
              <w:t>1</w:t>
            </w:r>
          </w:p>
        </w:tc>
        <w:tc>
          <w:tcPr>
            <w:tcW w:w="1674" w:type="dxa"/>
            <w:vAlign w:val="center"/>
          </w:tcPr>
          <w:p w14:paraId="2CF4838C">
            <w:pPr>
              <w:spacing w:line="360" w:lineRule="auto"/>
              <w:jc w:val="center"/>
              <w:rPr>
                <w:rFonts w:ascii="仿宋" w:hAnsi="仿宋" w:eastAsia="仿宋" w:cs="仿宋"/>
                <w:sz w:val="24"/>
                <w:szCs w:val="24"/>
                <w:lang w:eastAsia="zh-CN"/>
              </w:rPr>
            </w:pPr>
            <w:r>
              <w:rPr>
                <w:rFonts w:hint="eastAsia" w:ascii="仿宋" w:hAnsi="仿宋" w:eastAsia="仿宋" w:cs="仿宋"/>
                <w:sz w:val="24"/>
                <w:szCs w:val="24"/>
                <w:lang w:eastAsia="zh-CN"/>
              </w:rPr>
              <w:t>微区电化学扫描显微镜</w:t>
            </w:r>
          </w:p>
        </w:tc>
        <w:tc>
          <w:tcPr>
            <w:tcW w:w="6653" w:type="dxa"/>
            <w:vAlign w:val="center"/>
          </w:tcPr>
          <w:p w14:paraId="3B674D34">
            <w:pPr>
              <w:spacing w:line="360" w:lineRule="auto"/>
              <w:ind w:firstLine="218" w:firstLineChars="91"/>
              <w:jc w:val="left"/>
              <w:rPr>
                <w:rFonts w:ascii="仿宋" w:hAnsi="仿宋" w:eastAsia="仿宋" w:cs="仿宋"/>
                <w:sz w:val="24"/>
                <w:szCs w:val="24"/>
                <w:lang w:eastAsia="zh-CN"/>
              </w:rPr>
            </w:pPr>
            <w:r>
              <w:rPr>
                <w:rFonts w:hint="eastAsia" w:ascii="仿宋" w:hAnsi="仿宋" w:eastAsia="仿宋" w:cs="仿宋"/>
                <w:sz w:val="24"/>
                <w:szCs w:val="24"/>
                <w:lang w:eastAsia="zh-CN"/>
              </w:rPr>
              <w:t>1、可实现非接触电化学成像及多模式（形貌、电学、机械）微观测量，可研究原子级材料表面制造过程中的局部化学活性和电化学活性；可采用超微电极（探针）在样品表面扫描，通过测量探针与样品之间的电化学电流表征样品微区电化学性质；可开展液、固相界面电化学反应研究，测量界面电位分布，解析界面电荷转移、离子传输过程；</w:t>
            </w:r>
          </w:p>
          <w:p w14:paraId="05099857">
            <w:pPr>
              <w:spacing w:line="360" w:lineRule="auto"/>
              <w:ind w:firstLine="218" w:firstLineChars="91"/>
              <w:jc w:val="left"/>
              <w:rPr>
                <w:rFonts w:ascii="仿宋" w:hAnsi="仿宋" w:eastAsia="仿宋" w:cs="仿宋"/>
                <w:sz w:val="24"/>
                <w:szCs w:val="24"/>
                <w:lang w:eastAsia="zh-CN"/>
              </w:rPr>
            </w:pPr>
            <w:r>
              <w:rPr>
                <w:rFonts w:hint="eastAsia" w:ascii="仿宋" w:hAnsi="仿宋" w:eastAsia="仿宋" w:cs="仿宋"/>
                <w:sz w:val="24"/>
                <w:szCs w:val="24"/>
                <w:lang w:eastAsia="zh-CN"/>
              </w:rPr>
              <w:t>#2、探头类型:悬臂;电隔离尖端;</w:t>
            </w:r>
          </w:p>
          <w:p w14:paraId="5C25E9EA">
            <w:pPr>
              <w:spacing w:line="360" w:lineRule="auto"/>
              <w:ind w:firstLine="218" w:firstLineChars="91"/>
              <w:jc w:val="left"/>
              <w:rPr>
                <w:rFonts w:ascii="仿宋" w:hAnsi="仿宋" w:eastAsia="仿宋" w:cs="仿宋"/>
                <w:sz w:val="24"/>
                <w:szCs w:val="24"/>
                <w:lang w:eastAsia="zh-CN"/>
              </w:rPr>
            </w:pPr>
            <w:r>
              <w:rPr>
                <w:rFonts w:hint="eastAsia" w:ascii="仿宋" w:hAnsi="仿宋" w:eastAsia="仿宋" w:cs="仿宋"/>
                <w:sz w:val="24"/>
                <w:szCs w:val="24"/>
                <w:lang w:eastAsia="zh-CN"/>
              </w:rPr>
              <w:t>★3、扫描范围：100</w:t>
            </w:r>
            <w:r>
              <w:rPr>
                <w:rFonts w:hint="eastAsia" w:ascii="仿宋" w:hAnsi="仿宋" w:eastAsia="仿宋" w:cs="仿宋"/>
                <w:sz w:val="24"/>
                <w:szCs w:val="24"/>
              </w:rPr>
              <w:t>μ</w:t>
            </w:r>
            <w:r>
              <w:rPr>
                <w:rFonts w:hint="eastAsia" w:ascii="仿宋" w:hAnsi="仿宋" w:eastAsia="仿宋" w:cs="仿宋"/>
                <w:sz w:val="24"/>
                <w:szCs w:val="24"/>
                <w:lang w:eastAsia="zh-CN"/>
              </w:rPr>
              <w:t>m×100</w:t>
            </w:r>
            <w:r>
              <w:rPr>
                <w:rFonts w:hint="eastAsia" w:ascii="仿宋" w:hAnsi="仿宋" w:eastAsia="仿宋" w:cs="仿宋"/>
                <w:sz w:val="24"/>
                <w:szCs w:val="24"/>
              </w:rPr>
              <w:t>μ</w:t>
            </w:r>
            <w:r>
              <w:rPr>
                <w:rFonts w:hint="eastAsia" w:ascii="仿宋" w:hAnsi="仿宋" w:eastAsia="仿宋" w:cs="仿宋"/>
                <w:sz w:val="24"/>
                <w:szCs w:val="24"/>
                <w:lang w:eastAsia="zh-CN"/>
              </w:rPr>
              <w:t>m×10</w:t>
            </w:r>
            <w:r>
              <w:rPr>
                <w:rFonts w:hint="eastAsia" w:ascii="仿宋" w:hAnsi="仿宋" w:eastAsia="仿宋" w:cs="仿宋"/>
                <w:sz w:val="24"/>
                <w:szCs w:val="24"/>
              </w:rPr>
              <w:t>μ</w:t>
            </w:r>
            <w:r>
              <w:rPr>
                <w:rFonts w:hint="eastAsia" w:ascii="仿宋" w:hAnsi="仿宋" w:eastAsia="仿宋" w:cs="仿宋"/>
                <w:sz w:val="24"/>
                <w:szCs w:val="24"/>
                <w:lang w:eastAsia="zh-CN"/>
              </w:rPr>
              <w:t>m；</w:t>
            </w:r>
          </w:p>
          <w:p w14:paraId="358BAB92">
            <w:pPr>
              <w:spacing w:line="360" w:lineRule="auto"/>
              <w:ind w:firstLine="218" w:firstLineChars="91"/>
              <w:jc w:val="left"/>
              <w:rPr>
                <w:rFonts w:ascii="仿宋" w:hAnsi="仿宋" w:eastAsia="仿宋" w:cs="仿宋"/>
                <w:sz w:val="24"/>
                <w:szCs w:val="24"/>
              </w:rPr>
            </w:pPr>
            <w:r>
              <w:rPr>
                <w:rFonts w:hint="eastAsia" w:ascii="仿宋" w:hAnsi="仿宋" w:eastAsia="仿宋" w:cs="仿宋"/>
                <w:sz w:val="24"/>
                <w:szCs w:val="24"/>
              </w:rPr>
              <w:t>#4、分辨率：1.6nm X/1.6nm Y/0.1nm Z；20pA；</w:t>
            </w:r>
          </w:p>
          <w:p w14:paraId="4A41D9A7">
            <w:pPr>
              <w:spacing w:line="360" w:lineRule="auto"/>
              <w:ind w:firstLine="218" w:firstLineChars="91"/>
              <w:jc w:val="left"/>
              <w:rPr>
                <w:rFonts w:ascii="仿宋" w:hAnsi="仿宋" w:eastAsia="仿宋" w:cs="仿宋"/>
                <w:sz w:val="24"/>
                <w:szCs w:val="24"/>
                <w:lang w:eastAsia="zh-CN"/>
              </w:rPr>
            </w:pPr>
            <w:r>
              <w:rPr>
                <w:rFonts w:hint="eastAsia" w:ascii="仿宋" w:hAnsi="仿宋" w:eastAsia="仿宋" w:cs="仿宋"/>
                <w:sz w:val="24"/>
                <w:szCs w:val="24"/>
                <w:lang w:eastAsia="zh-CN"/>
              </w:rPr>
              <w:t>#5、扫描速率：≥4800V/s；</w:t>
            </w:r>
          </w:p>
          <w:p w14:paraId="5B47BECC">
            <w:pPr>
              <w:spacing w:line="360" w:lineRule="auto"/>
              <w:ind w:firstLine="218" w:firstLineChars="91"/>
              <w:jc w:val="left"/>
              <w:rPr>
                <w:rFonts w:ascii="仿宋" w:hAnsi="仿宋" w:eastAsia="仿宋" w:cs="仿宋"/>
                <w:sz w:val="24"/>
                <w:szCs w:val="24"/>
                <w:lang w:eastAsia="zh-CN"/>
              </w:rPr>
            </w:pPr>
            <w:r>
              <w:rPr>
                <w:rFonts w:hint="eastAsia" w:ascii="仿宋" w:hAnsi="仿宋" w:eastAsia="仿宋" w:cs="仿宋"/>
                <w:sz w:val="24"/>
                <w:szCs w:val="24"/>
                <w:lang w:eastAsia="zh-CN"/>
              </w:rPr>
              <w:t>△6、电流：±5nA~±2000mA；</w:t>
            </w:r>
          </w:p>
          <w:p w14:paraId="6A6F7DDC">
            <w:pPr>
              <w:spacing w:line="360" w:lineRule="auto"/>
              <w:ind w:firstLine="218" w:firstLineChars="91"/>
              <w:jc w:val="both"/>
              <w:rPr>
                <w:rFonts w:ascii="仿宋" w:hAnsi="仿宋" w:eastAsia="仿宋" w:cs="仿宋"/>
                <w:sz w:val="24"/>
                <w:szCs w:val="24"/>
                <w:lang w:eastAsia="zh-CN"/>
              </w:rPr>
            </w:pPr>
            <w:r>
              <w:rPr>
                <w:rFonts w:hint="eastAsia" w:ascii="仿宋" w:hAnsi="仿宋" w:eastAsia="仿宋" w:cs="仿宋"/>
                <w:sz w:val="24"/>
                <w:szCs w:val="24"/>
                <w:lang w:eastAsia="zh-CN"/>
              </w:rPr>
              <w:t>△7、电压范围：≤±10V；</w:t>
            </w:r>
          </w:p>
          <w:p w14:paraId="523C5463">
            <w:pPr>
              <w:spacing w:line="360" w:lineRule="auto"/>
              <w:ind w:firstLine="218" w:firstLineChars="91"/>
              <w:jc w:val="both"/>
              <w:rPr>
                <w:rFonts w:ascii="仿宋" w:hAnsi="仿宋" w:eastAsia="仿宋" w:cs="仿宋"/>
                <w:sz w:val="24"/>
                <w:szCs w:val="24"/>
                <w:lang w:eastAsia="zh-CN"/>
              </w:rPr>
            </w:pPr>
            <w:r>
              <w:rPr>
                <w:rFonts w:hint="eastAsia" w:ascii="仿宋" w:hAnsi="仿宋" w:eastAsia="仿宋" w:cs="仿宋"/>
                <w:sz w:val="24"/>
                <w:szCs w:val="24"/>
                <w:lang w:eastAsia="zh-CN"/>
              </w:rPr>
              <w:t>#8、针尖尺寸:50~60nm；</w:t>
            </w:r>
          </w:p>
          <w:p w14:paraId="6F7E3048">
            <w:pPr>
              <w:spacing w:line="360" w:lineRule="auto"/>
              <w:ind w:firstLine="218" w:firstLineChars="91"/>
              <w:jc w:val="both"/>
              <w:rPr>
                <w:rFonts w:ascii="仿宋" w:hAnsi="仿宋" w:eastAsia="仿宋" w:cs="仿宋"/>
                <w:sz w:val="24"/>
                <w:szCs w:val="24"/>
                <w:lang w:eastAsia="zh-CN"/>
              </w:rPr>
            </w:pPr>
            <w:r>
              <w:rPr>
                <w:rFonts w:hint="eastAsia" w:ascii="仿宋" w:hAnsi="仿宋" w:eastAsia="仿宋" w:cs="仿宋"/>
                <w:sz w:val="24"/>
                <w:szCs w:val="24"/>
                <w:lang w:eastAsia="zh-CN"/>
              </w:rPr>
              <w:t>#9、暴露头端高度:150~350nm;</w:t>
            </w:r>
          </w:p>
          <w:p w14:paraId="570F1D96">
            <w:pPr>
              <w:spacing w:line="360" w:lineRule="auto"/>
              <w:ind w:firstLine="218" w:firstLineChars="91"/>
              <w:jc w:val="both"/>
              <w:rPr>
                <w:rFonts w:ascii="仿宋" w:hAnsi="仿宋" w:eastAsia="仿宋" w:cs="仿宋"/>
                <w:sz w:val="24"/>
                <w:szCs w:val="24"/>
                <w:lang w:eastAsia="zh-CN"/>
              </w:rPr>
            </w:pPr>
            <w:r>
              <w:rPr>
                <w:rFonts w:hint="eastAsia" w:ascii="仿宋" w:hAnsi="仿宋" w:eastAsia="仿宋" w:cs="仿宋"/>
                <w:sz w:val="24"/>
                <w:szCs w:val="24"/>
                <w:lang w:eastAsia="zh-CN"/>
              </w:rPr>
              <w:t>△10、成像环境温度:-35°C~250 °C;</w:t>
            </w:r>
          </w:p>
          <w:p w14:paraId="79EEDED4">
            <w:pPr>
              <w:spacing w:line="360" w:lineRule="auto"/>
              <w:ind w:firstLine="218" w:firstLineChars="91"/>
              <w:jc w:val="both"/>
              <w:rPr>
                <w:rFonts w:ascii="仿宋" w:hAnsi="仿宋" w:eastAsia="仿宋" w:cs="仿宋"/>
                <w:sz w:val="24"/>
                <w:szCs w:val="24"/>
                <w:lang w:eastAsia="zh-CN"/>
              </w:rPr>
            </w:pPr>
            <w:r>
              <w:rPr>
                <w:rFonts w:hint="eastAsia" w:ascii="仿宋" w:hAnsi="仿宋" w:eastAsia="仿宋" w:cs="仿宋"/>
                <w:sz w:val="24"/>
                <w:szCs w:val="24"/>
                <w:lang w:eastAsia="zh-CN"/>
              </w:rPr>
              <w:t>#11、样品尺寸:≤100mm*100mm*20mm;</w:t>
            </w:r>
          </w:p>
        </w:tc>
      </w:tr>
      <w:tr w14:paraId="5FA33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729" w:type="dxa"/>
            <w:vAlign w:val="center"/>
          </w:tcPr>
          <w:p w14:paraId="54B35B93">
            <w:pPr>
              <w:spacing w:line="360" w:lineRule="auto"/>
              <w:ind w:right="44" w:rightChars="20"/>
              <w:jc w:val="center"/>
              <w:rPr>
                <w:rFonts w:ascii="仿宋" w:hAnsi="仿宋" w:eastAsia="仿宋" w:cs="仿宋"/>
                <w:sz w:val="24"/>
                <w:szCs w:val="24"/>
                <w:lang w:eastAsia="zh-CN"/>
              </w:rPr>
            </w:pPr>
            <w:r>
              <w:rPr>
                <w:rFonts w:hint="eastAsia" w:ascii="仿宋" w:hAnsi="仿宋" w:eastAsia="仿宋" w:cs="仿宋"/>
                <w:sz w:val="24"/>
                <w:szCs w:val="24"/>
                <w:lang w:eastAsia="zh-CN"/>
              </w:rPr>
              <w:t>2</w:t>
            </w:r>
          </w:p>
        </w:tc>
        <w:tc>
          <w:tcPr>
            <w:tcW w:w="1674" w:type="dxa"/>
            <w:vAlign w:val="center"/>
          </w:tcPr>
          <w:p w14:paraId="7FCCFA0E">
            <w:pPr>
              <w:spacing w:line="360" w:lineRule="auto"/>
              <w:jc w:val="center"/>
              <w:rPr>
                <w:rFonts w:ascii="仿宋" w:hAnsi="仿宋" w:eastAsia="仿宋" w:cs="仿宋"/>
                <w:sz w:val="24"/>
                <w:szCs w:val="24"/>
                <w:lang w:eastAsia="zh-CN"/>
              </w:rPr>
            </w:pPr>
            <w:r>
              <w:rPr>
                <w:rFonts w:hint="eastAsia" w:ascii="仿宋" w:hAnsi="仿宋" w:eastAsia="仿宋" w:cs="仿宋"/>
                <w:sz w:val="24"/>
                <w:szCs w:val="24"/>
                <w:lang w:eastAsia="zh-CN"/>
              </w:rPr>
              <w:t>界面预滑移原子级检测精度测试台</w:t>
            </w:r>
          </w:p>
        </w:tc>
        <w:tc>
          <w:tcPr>
            <w:tcW w:w="6653" w:type="dxa"/>
            <w:vAlign w:val="center"/>
          </w:tcPr>
          <w:p w14:paraId="75A1DB40">
            <w:pPr>
              <w:spacing w:line="360" w:lineRule="auto"/>
              <w:ind w:firstLine="218" w:firstLineChars="91"/>
              <w:jc w:val="left"/>
              <w:rPr>
                <w:rFonts w:ascii="仿宋" w:hAnsi="仿宋" w:eastAsia="仿宋" w:cs="仿宋"/>
                <w:sz w:val="24"/>
                <w:szCs w:val="24"/>
                <w:lang w:eastAsia="zh-CN"/>
              </w:rPr>
            </w:pPr>
            <w:r>
              <w:rPr>
                <w:rFonts w:hint="eastAsia" w:ascii="仿宋" w:hAnsi="仿宋" w:eastAsia="仿宋" w:cs="仿宋"/>
                <w:sz w:val="24"/>
                <w:szCs w:val="24"/>
                <w:lang w:eastAsia="zh-CN"/>
              </w:rPr>
              <w:t>1、设备应集成高精度压电驱动模块、激光干涉测量模块及闭环控制系统，具备原子级位移感知与定位性能，可实现原子级制造界面亚纳米滑移、表面相互作用、预滑移过程切向刚度、能量耗散及磨损演化规律测试；</w:t>
            </w:r>
          </w:p>
          <w:p w14:paraId="5D65234E">
            <w:pPr>
              <w:spacing w:line="360" w:lineRule="auto"/>
              <w:ind w:firstLine="218" w:firstLineChars="91"/>
              <w:jc w:val="both"/>
              <w:rPr>
                <w:rFonts w:ascii="仿宋" w:hAnsi="仿宋" w:eastAsia="仿宋" w:cs="仿宋"/>
                <w:sz w:val="24"/>
                <w:szCs w:val="24"/>
                <w:lang w:eastAsia="zh-CN"/>
              </w:rPr>
            </w:pPr>
            <w:r>
              <w:rPr>
                <w:rFonts w:hint="eastAsia" w:ascii="仿宋" w:hAnsi="仿宋" w:eastAsia="仿宋" w:cs="仿宋"/>
                <w:sz w:val="24"/>
                <w:szCs w:val="24"/>
                <w:lang w:eastAsia="zh-CN"/>
              </w:rPr>
              <w:t>#2、支持球-平面和三凸点-平面平行接触实验；</w:t>
            </w:r>
          </w:p>
          <w:p w14:paraId="0C084753">
            <w:pPr>
              <w:spacing w:line="360" w:lineRule="auto"/>
              <w:ind w:firstLine="218" w:firstLineChars="91"/>
              <w:jc w:val="both"/>
              <w:rPr>
                <w:rFonts w:ascii="仿宋" w:hAnsi="仿宋" w:eastAsia="仿宋" w:cs="仿宋"/>
                <w:sz w:val="24"/>
                <w:szCs w:val="24"/>
                <w:lang w:eastAsia="zh-CN"/>
              </w:rPr>
            </w:pPr>
            <w:r>
              <w:rPr>
                <w:rFonts w:hint="eastAsia" w:ascii="仿宋" w:hAnsi="仿宋" w:eastAsia="仿宋" w:cs="仿宋"/>
                <w:sz w:val="24"/>
                <w:szCs w:val="24"/>
                <w:lang w:eastAsia="zh-CN"/>
              </w:rPr>
              <w:t>△3、利用激光干涉单元测量出不同磨损下的预滑动位移;</w:t>
            </w:r>
          </w:p>
          <w:p w14:paraId="34A4E26A">
            <w:pPr>
              <w:spacing w:line="360" w:lineRule="auto"/>
              <w:ind w:firstLine="218" w:firstLineChars="91"/>
              <w:jc w:val="both"/>
              <w:rPr>
                <w:rFonts w:ascii="仿宋" w:hAnsi="仿宋" w:eastAsia="仿宋" w:cs="仿宋"/>
                <w:sz w:val="24"/>
                <w:szCs w:val="24"/>
                <w:lang w:eastAsia="zh-CN"/>
              </w:rPr>
            </w:pPr>
            <w:r>
              <w:rPr>
                <w:rFonts w:hint="eastAsia" w:ascii="仿宋" w:hAnsi="仿宋" w:eastAsia="仿宋" w:cs="仿宋"/>
                <w:sz w:val="24"/>
                <w:szCs w:val="24"/>
                <w:lang w:eastAsia="zh-CN"/>
              </w:rPr>
              <w:t>#4、可测量样品尺寸≥12英寸;</w:t>
            </w:r>
          </w:p>
          <w:p w14:paraId="348EDD3E">
            <w:pPr>
              <w:spacing w:line="360" w:lineRule="auto"/>
              <w:ind w:firstLine="218" w:firstLineChars="91"/>
              <w:jc w:val="both"/>
              <w:rPr>
                <w:rFonts w:ascii="仿宋" w:hAnsi="仿宋" w:eastAsia="仿宋" w:cs="仿宋"/>
                <w:sz w:val="24"/>
                <w:szCs w:val="24"/>
                <w:lang w:eastAsia="zh-CN"/>
              </w:rPr>
            </w:pPr>
            <w:r>
              <w:rPr>
                <w:rFonts w:hint="eastAsia" w:ascii="仿宋" w:hAnsi="仿宋" w:eastAsia="仿宋" w:cs="仿宋"/>
                <w:sz w:val="24"/>
                <w:szCs w:val="24"/>
                <w:lang w:eastAsia="zh-CN"/>
              </w:rPr>
              <w:t>△5、平行弹簧总刚度：≥150N/m;</w:t>
            </w:r>
          </w:p>
          <w:p w14:paraId="67CA5A1B">
            <w:pPr>
              <w:spacing w:line="360" w:lineRule="auto"/>
              <w:ind w:firstLine="218" w:firstLineChars="91"/>
              <w:jc w:val="both"/>
              <w:rPr>
                <w:rFonts w:ascii="仿宋" w:hAnsi="仿宋" w:eastAsia="仿宋" w:cs="仿宋"/>
                <w:sz w:val="24"/>
                <w:szCs w:val="24"/>
                <w:lang w:eastAsia="zh-CN"/>
              </w:rPr>
            </w:pPr>
            <w:r>
              <w:rPr>
                <w:rFonts w:hint="eastAsia" w:ascii="仿宋" w:hAnsi="仿宋" w:eastAsia="仿宋" w:cs="仿宋"/>
                <w:sz w:val="24"/>
                <w:szCs w:val="24"/>
                <w:lang w:eastAsia="zh-CN"/>
              </w:rPr>
              <w:t>#6、切向压电位移平台:行程≤18mm，精度≤1nm;</w:t>
            </w:r>
          </w:p>
          <w:p w14:paraId="58EF9BB1">
            <w:pPr>
              <w:spacing w:line="360" w:lineRule="auto"/>
              <w:ind w:firstLine="218" w:firstLineChars="91"/>
              <w:jc w:val="both"/>
              <w:rPr>
                <w:rFonts w:ascii="仿宋" w:hAnsi="仿宋" w:eastAsia="仿宋" w:cs="仿宋"/>
                <w:sz w:val="24"/>
                <w:szCs w:val="24"/>
                <w:lang w:eastAsia="zh-CN"/>
              </w:rPr>
            </w:pPr>
            <w:r>
              <w:rPr>
                <w:rFonts w:hint="eastAsia" w:ascii="仿宋" w:hAnsi="仿宋" w:eastAsia="仿宋" w:cs="仿宋"/>
                <w:sz w:val="24"/>
                <w:szCs w:val="24"/>
                <w:lang w:eastAsia="zh-CN"/>
              </w:rPr>
              <w:t>#7、法向压电位移平台：行程≤21mm，精度≤1nm；</w:t>
            </w:r>
          </w:p>
          <w:p w14:paraId="7B34C5FD">
            <w:pPr>
              <w:spacing w:line="360" w:lineRule="auto"/>
              <w:ind w:firstLine="218" w:firstLineChars="91"/>
              <w:jc w:val="both"/>
              <w:rPr>
                <w:rFonts w:ascii="仿宋" w:hAnsi="仿宋" w:eastAsia="仿宋" w:cs="仿宋"/>
                <w:sz w:val="24"/>
                <w:szCs w:val="24"/>
                <w:lang w:eastAsia="zh-CN"/>
              </w:rPr>
            </w:pPr>
            <w:r>
              <w:rPr>
                <w:rFonts w:hint="eastAsia" w:ascii="仿宋" w:hAnsi="仿宋" w:eastAsia="仿宋" w:cs="仿宋"/>
                <w:sz w:val="24"/>
                <w:szCs w:val="24"/>
                <w:lang w:eastAsia="zh-CN"/>
              </w:rPr>
              <w:t>★8、激光干涉仪:检测分辨率≤1pm，精度≤0.1nm；</w:t>
            </w:r>
          </w:p>
          <w:p w14:paraId="329C824F">
            <w:pPr>
              <w:spacing w:line="360" w:lineRule="auto"/>
              <w:ind w:firstLine="218" w:firstLineChars="91"/>
              <w:jc w:val="both"/>
              <w:rPr>
                <w:rFonts w:ascii="仿宋" w:hAnsi="仿宋" w:eastAsia="仿宋" w:cs="仿宋"/>
                <w:sz w:val="24"/>
                <w:szCs w:val="24"/>
                <w:lang w:eastAsia="zh-CN"/>
              </w:rPr>
            </w:pPr>
            <w:r>
              <w:rPr>
                <w:rFonts w:hint="eastAsia" w:ascii="仿宋" w:hAnsi="仿宋" w:eastAsia="仿宋" w:cs="仿宋"/>
                <w:sz w:val="24"/>
                <w:szCs w:val="24"/>
                <w:lang w:eastAsia="zh-CN"/>
              </w:rPr>
              <w:t>#9、切向力FT范围=-30~30mN;</w:t>
            </w:r>
          </w:p>
          <w:p w14:paraId="393FCCDE">
            <w:pPr>
              <w:spacing w:line="360" w:lineRule="auto"/>
              <w:ind w:firstLine="218" w:firstLineChars="91"/>
              <w:jc w:val="both"/>
              <w:rPr>
                <w:rFonts w:ascii="仿宋" w:hAnsi="仿宋" w:eastAsia="仿宋" w:cs="仿宋"/>
                <w:sz w:val="24"/>
                <w:szCs w:val="24"/>
                <w:lang w:eastAsia="zh-CN"/>
              </w:rPr>
            </w:pPr>
            <w:r>
              <w:rPr>
                <w:rFonts w:hint="eastAsia" w:ascii="仿宋" w:hAnsi="仿宋" w:eastAsia="仿宋" w:cs="仿宋"/>
                <w:sz w:val="24"/>
                <w:szCs w:val="24"/>
                <w:lang w:eastAsia="zh-CN"/>
              </w:rPr>
              <w:t>#10、法向载荷FN范围=7.5-2000mN。</w:t>
            </w:r>
          </w:p>
        </w:tc>
      </w:tr>
    </w:tbl>
    <w:p w14:paraId="1335C887">
      <w:pPr>
        <w:pStyle w:val="3"/>
        <w:keepNext/>
        <w:keepLines/>
        <w:numPr>
          <w:ilvl w:val="1"/>
          <w:numId w:val="0"/>
        </w:numPr>
        <w:spacing w:before="260" w:after="260" w:line="360" w:lineRule="auto"/>
        <w:jc w:val="both"/>
        <w:rPr>
          <w:rFonts w:ascii="仿宋" w:hAnsi="仿宋" w:eastAsia="仿宋" w:cs="宋体"/>
          <w:b/>
          <w:bCs/>
          <w:sz w:val="28"/>
          <w:szCs w:val="28"/>
          <w:lang w:eastAsia="zh-CN"/>
        </w:rPr>
      </w:pPr>
      <w:r>
        <w:rPr>
          <w:rFonts w:hint="eastAsia" w:ascii="仿宋" w:hAnsi="仿宋" w:eastAsia="仿宋" w:cs="宋体"/>
          <w:b/>
          <w:bCs/>
          <w:sz w:val="28"/>
          <w:szCs w:val="28"/>
          <w:lang w:eastAsia="zh-CN"/>
        </w:rPr>
        <w:t>商务要求：</w:t>
      </w:r>
    </w:p>
    <w:p w14:paraId="115A9001">
      <w:pPr>
        <w:pStyle w:val="3"/>
        <w:keepNext/>
        <w:keepLines/>
        <w:numPr>
          <w:ilvl w:val="1"/>
          <w:numId w:val="0"/>
        </w:numPr>
        <w:spacing w:before="260" w:after="260" w:line="360" w:lineRule="auto"/>
        <w:jc w:val="both"/>
        <w:rPr>
          <w:rFonts w:ascii="仿宋" w:hAnsi="仿宋" w:eastAsia="仿宋" w:cs="宋体"/>
          <w:b/>
          <w:bCs/>
          <w:sz w:val="28"/>
          <w:szCs w:val="28"/>
          <w:lang w:eastAsia="zh-CN"/>
        </w:rPr>
      </w:pPr>
      <w:r>
        <w:rPr>
          <w:rFonts w:hint="eastAsia" w:ascii="仿宋" w:hAnsi="仿宋" w:eastAsia="仿宋" w:cs="宋体"/>
          <w:b/>
          <w:bCs/>
          <w:sz w:val="28"/>
          <w:szCs w:val="28"/>
          <w:lang w:eastAsia="zh-CN"/>
        </w:rPr>
        <w:t>3</w:t>
      </w:r>
      <w:r>
        <w:rPr>
          <w:rFonts w:hint="eastAsia" w:ascii="仿宋" w:hAnsi="仿宋" w:eastAsia="仿宋" w:cs="宋体"/>
          <w:b/>
          <w:bCs/>
          <w:sz w:val="28"/>
          <w:szCs w:val="28"/>
          <w:lang w:val="en-US" w:eastAsia="zh-CN"/>
        </w:rPr>
        <w:t>.</w:t>
      </w:r>
      <w:r>
        <w:rPr>
          <w:rFonts w:hint="eastAsia" w:ascii="仿宋" w:hAnsi="仿宋" w:eastAsia="仿宋" w:cs="宋体"/>
          <w:b/>
          <w:bCs/>
          <w:sz w:val="28"/>
          <w:szCs w:val="28"/>
          <w:lang w:eastAsia="zh-CN"/>
        </w:rPr>
        <w:t>★项目履约时间、地点</w:t>
      </w:r>
      <w:bookmarkEnd w:id="2"/>
      <w:bookmarkEnd w:id="16"/>
      <w:bookmarkEnd w:id="17"/>
    </w:p>
    <w:p w14:paraId="5A53293D">
      <w:pPr>
        <w:spacing w:line="360" w:lineRule="auto"/>
        <w:ind w:firstLine="441" w:firstLineChars="183"/>
        <w:rPr>
          <w:rFonts w:ascii="仿宋" w:hAnsi="仿宋" w:eastAsia="仿宋" w:cs="宋体"/>
          <w:b/>
          <w:sz w:val="24"/>
          <w:szCs w:val="24"/>
          <w:lang w:eastAsia="zh-CN"/>
        </w:rPr>
      </w:pPr>
      <w:bookmarkStart w:id="18" w:name="_Toc417566437"/>
      <w:bookmarkStart w:id="19" w:name="_Toc82510396"/>
      <w:bookmarkStart w:id="20" w:name="_Toc93309866"/>
      <w:bookmarkStart w:id="21" w:name="_Toc477248553"/>
      <w:r>
        <w:rPr>
          <w:rFonts w:hint="eastAsia" w:ascii="仿宋" w:hAnsi="仿宋" w:eastAsia="仿宋" w:cs="宋体"/>
          <w:b/>
          <w:sz w:val="24"/>
          <w:szCs w:val="24"/>
          <w:lang w:eastAsia="zh-CN"/>
        </w:rPr>
        <w:t>履约时间：</w:t>
      </w:r>
    </w:p>
    <w:p w14:paraId="4361EFD0">
      <w:pPr>
        <w:spacing w:line="360" w:lineRule="auto"/>
        <w:ind w:firstLine="439" w:firstLineChars="183"/>
        <w:rPr>
          <w:rFonts w:ascii="仿宋" w:hAnsi="仿宋" w:eastAsia="仿宋" w:cs="宋体"/>
          <w:bCs/>
          <w:sz w:val="24"/>
          <w:szCs w:val="24"/>
          <w:lang w:eastAsia="zh-CN"/>
        </w:rPr>
      </w:pPr>
      <w:r>
        <w:rPr>
          <w:rFonts w:hint="eastAsia" w:ascii="仿宋" w:hAnsi="仿宋" w:eastAsia="仿宋" w:cs="宋体"/>
          <w:bCs/>
          <w:sz w:val="24"/>
          <w:szCs w:val="24"/>
          <w:lang w:eastAsia="zh-CN"/>
        </w:rPr>
        <w:t>国产设备：合同签订之日起60日历天内交货，并完成安装调试。</w:t>
      </w:r>
    </w:p>
    <w:p w14:paraId="1F39D28F">
      <w:pPr>
        <w:spacing w:line="360" w:lineRule="auto"/>
        <w:ind w:firstLine="439" w:firstLineChars="183"/>
        <w:rPr>
          <w:rFonts w:ascii="仿宋" w:hAnsi="仿宋" w:eastAsia="仿宋" w:cs="宋体"/>
          <w:bCs/>
          <w:sz w:val="24"/>
          <w:szCs w:val="24"/>
          <w:lang w:eastAsia="zh-CN"/>
        </w:rPr>
      </w:pPr>
      <w:r>
        <w:rPr>
          <w:rFonts w:hint="eastAsia" w:ascii="仿宋" w:hAnsi="仿宋" w:eastAsia="仿宋" w:cs="宋体"/>
          <w:bCs/>
          <w:sz w:val="24"/>
          <w:szCs w:val="24"/>
          <w:lang w:eastAsia="zh-CN"/>
        </w:rPr>
        <w:t>进口产品：合同签订后120日历天内到达用户指定地点，到货后10日内完成安装调试并具备验收条件。</w:t>
      </w:r>
    </w:p>
    <w:p w14:paraId="084F832E">
      <w:pPr>
        <w:spacing w:line="360" w:lineRule="auto"/>
        <w:ind w:firstLine="441" w:firstLineChars="183"/>
        <w:rPr>
          <w:rFonts w:ascii="仿宋" w:hAnsi="仿宋" w:eastAsia="仿宋" w:cs="宋体"/>
          <w:b/>
          <w:sz w:val="24"/>
          <w:szCs w:val="24"/>
          <w:lang w:eastAsia="zh-CN"/>
        </w:rPr>
      </w:pPr>
      <w:r>
        <w:rPr>
          <w:rFonts w:hint="eastAsia" w:ascii="仿宋" w:hAnsi="仿宋" w:eastAsia="仿宋" w:cs="宋体"/>
          <w:b/>
          <w:sz w:val="24"/>
          <w:szCs w:val="24"/>
          <w:lang w:eastAsia="zh-CN"/>
        </w:rPr>
        <w:t>履约地点：</w:t>
      </w:r>
      <w:r>
        <w:rPr>
          <w:rFonts w:hint="eastAsia" w:ascii="仿宋" w:hAnsi="仿宋" w:eastAsia="仿宋" w:cs="宋体"/>
          <w:bCs/>
          <w:sz w:val="24"/>
          <w:szCs w:val="24"/>
          <w:lang w:eastAsia="zh-CN"/>
        </w:rPr>
        <w:t>西南交通大学九里校区原子级制造中心。</w:t>
      </w:r>
    </w:p>
    <w:p w14:paraId="6D683D45">
      <w:pPr>
        <w:pStyle w:val="3"/>
        <w:keepNext/>
        <w:keepLines/>
        <w:numPr>
          <w:ilvl w:val="1"/>
          <w:numId w:val="0"/>
        </w:numPr>
        <w:spacing w:before="260" w:after="260" w:line="360" w:lineRule="auto"/>
        <w:jc w:val="both"/>
        <w:rPr>
          <w:rFonts w:ascii="仿宋" w:hAnsi="仿宋" w:eastAsia="仿宋" w:cs="宋体"/>
          <w:b/>
          <w:bCs/>
          <w:sz w:val="28"/>
          <w:szCs w:val="28"/>
          <w:lang w:eastAsia="zh-CN"/>
        </w:rPr>
      </w:pPr>
      <w:r>
        <w:rPr>
          <w:rFonts w:hint="eastAsia" w:ascii="仿宋" w:hAnsi="仿宋" w:eastAsia="仿宋" w:cs="宋体"/>
          <w:b/>
          <w:bCs/>
          <w:sz w:val="28"/>
          <w:szCs w:val="28"/>
          <w:lang w:eastAsia="zh-CN"/>
        </w:rPr>
        <w:t>4</w:t>
      </w:r>
      <w:r>
        <w:rPr>
          <w:rFonts w:hint="eastAsia" w:ascii="仿宋" w:hAnsi="仿宋" w:eastAsia="仿宋" w:cs="宋体"/>
          <w:b/>
          <w:bCs/>
          <w:sz w:val="28"/>
          <w:szCs w:val="28"/>
          <w:lang w:val="en-US" w:eastAsia="zh-CN"/>
        </w:rPr>
        <w:t>.</w:t>
      </w:r>
      <w:r>
        <w:rPr>
          <w:rFonts w:hint="eastAsia" w:ascii="仿宋" w:hAnsi="仿宋" w:eastAsia="仿宋" w:cs="宋体"/>
          <w:b/>
          <w:bCs/>
          <w:sz w:val="28"/>
          <w:szCs w:val="28"/>
          <w:lang w:eastAsia="zh-CN"/>
        </w:rPr>
        <w:t>★付款方式</w:t>
      </w:r>
      <w:bookmarkEnd w:id="3"/>
      <w:bookmarkEnd w:id="4"/>
      <w:bookmarkEnd w:id="5"/>
      <w:bookmarkEnd w:id="6"/>
      <w:bookmarkEnd w:id="7"/>
      <w:bookmarkEnd w:id="8"/>
      <w:bookmarkEnd w:id="9"/>
      <w:bookmarkEnd w:id="10"/>
      <w:bookmarkEnd w:id="11"/>
      <w:bookmarkEnd w:id="12"/>
      <w:bookmarkEnd w:id="13"/>
      <w:bookmarkEnd w:id="18"/>
      <w:bookmarkEnd w:id="19"/>
      <w:bookmarkEnd w:id="20"/>
      <w:bookmarkEnd w:id="21"/>
      <w:bookmarkStart w:id="22" w:name="_Toc93309867"/>
      <w:bookmarkStart w:id="23" w:name="_Toc82510399"/>
    </w:p>
    <w:p w14:paraId="53037DCC">
      <w:pPr>
        <w:pStyle w:val="4"/>
        <w:spacing w:line="360" w:lineRule="auto"/>
        <w:rPr>
          <w:rFonts w:ascii="仿宋" w:hAnsi="仿宋" w:eastAsia="仿宋" w:cstheme="minorBidi"/>
          <w:b/>
          <w:bCs/>
          <w:kern w:val="0"/>
          <w:sz w:val="24"/>
          <w:szCs w:val="24"/>
        </w:rPr>
      </w:pPr>
      <w:bookmarkStart w:id="24" w:name="_Toc93309864"/>
      <w:bookmarkStart w:id="25" w:name="_Toc82510394"/>
      <w:r>
        <w:rPr>
          <w:rFonts w:hint="eastAsia" w:ascii="仿宋" w:hAnsi="仿宋" w:eastAsia="仿宋" w:cstheme="minorBidi"/>
          <w:b/>
          <w:bCs/>
          <w:kern w:val="0"/>
          <w:sz w:val="24"/>
          <w:szCs w:val="24"/>
        </w:rPr>
        <w:t>国产设备：</w:t>
      </w:r>
    </w:p>
    <w:p w14:paraId="47FDCD28">
      <w:pPr>
        <w:pStyle w:val="4"/>
        <w:spacing w:line="360" w:lineRule="auto"/>
        <w:rPr>
          <w:rFonts w:ascii="仿宋" w:hAnsi="仿宋" w:eastAsia="仿宋" w:cstheme="minorBidi"/>
          <w:kern w:val="0"/>
          <w:sz w:val="24"/>
          <w:szCs w:val="24"/>
        </w:rPr>
      </w:pPr>
      <w:r>
        <w:rPr>
          <w:rFonts w:hint="eastAsia" w:ascii="仿宋" w:hAnsi="仿宋" w:eastAsia="仿宋" w:cstheme="minorBidi"/>
          <w:kern w:val="0"/>
          <w:sz w:val="24"/>
          <w:szCs w:val="24"/>
        </w:rPr>
        <w:t>1.分期付款</w:t>
      </w:r>
    </w:p>
    <w:p w14:paraId="6EB44D66">
      <w:pPr>
        <w:pStyle w:val="4"/>
        <w:spacing w:line="360" w:lineRule="auto"/>
        <w:rPr>
          <w:rFonts w:ascii="仿宋" w:hAnsi="仿宋" w:eastAsia="仿宋" w:cstheme="minorBidi"/>
          <w:kern w:val="0"/>
          <w:sz w:val="24"/>
          <w:szCs w:val="24"/>
        </w:rPr>
      </w:pPr>
      <w:r>
        <w:rPr>
          <w:rFonts w:hint="eastAsia" w:ascii="仿宋" w:hAnsi="仿宋" w:eastAsia="仿宋" w:cstheme="minorBidi"/>
          <w:kern w:val="0"/>
          <w:sz w:val="24"/>
          <w:szCs w:val="24"/>
        </w:rPr>
        <w:t>第一期：合同生效且供应商提交履约保证金后，预付合同金额的85%；</w:t>
      </w:r>
    </w:p>
    <w:p w14:paraId="160A220A">
      <w:pPr>
        <w:pStyle w:val="4"/>
        <w:spacing w:line="360" w:lineRule="auto"/>
        <w:rPr>
          <w:rFonts w:ascii="仿宋" w:hAnsi="仿宋" w:eastAsia="仿宋" w:cstheme="minorBidi"/>
          <w:kern w:val="0"/>
          <w:sz w:val="24"/>
          <w:szCs w:val="24"/>
        </w:rPr>
      </w:pPr>
      <w:r>
        <w:rPr>
          <w:rFonts w:hint="eastAsia" w:ascii="仿宋" w:hAnsi="仿宋" w:eastAsia="仿宋" w:cstheme="minorBidi"/>
          <w:kern w:val="0"/>
          <w:sz w:val="24"/>
          <w:szCs w:val="24"/>
        </w:rPr>
        <w:t>第二期：项目验收合格后，支付合同金额的15%。</w:t>
      </w:r>
    </w:p>
    <w:p w14:paraId="1DC8A756">
      <w:pPr>
        <w:pStyle w:val="4"/>
        <w:spacing w:line="360" w:lineRule="auto"/>
        <w:rPr>
          <w:rFonts w:ascii="仿宋" w:hAnsi="仿宋" w:eastAsia="仿宋" w:cstheme="minorBidi"/>
          <w:kern w:val="0"/>
          <w:sz w:val="24"/>
          <w:szCs w:val="24"/>
        </w:rPr>
      </w:pPr>
      <w:r>
        <w:rPr>
          <w:rFonts w:hint="eastAsia" w:ascii="仿宋" w:hAnsi="仿宋" w:eastAsia="仿宋" w:cstheme="minorBidi"/>
          <w:kern w:val="0"/>
          <w:sz w:val="24"/>
          <w:szCs w:val="24"/>
        </w:rPr>
        <w:t>2.每次付款前，供应商应出具等额增值税专用发票，发票与合同的银行账户信息应保持一致。</w:t>
      </w:r>
    </w:p>
    <w:p w14:paraId="35C84F95">
      <w:pPr>
        <w:pStyle w:val="4"/>
        <w:spacing w:line="360" w:lineRule="auto"/>
        <w:rPr>
          <w:rFonts w:ascii="仿宋" w:hAnsi="仿宋" w:eastAsia="仿宋" w:cstheme="minorBidi"/>
          <w:b/>
          <w:bCs/>
          <w:kern w:val="0"/>
          <w:sz w:val="24"/>
          <w:szCs w:val="24"/>
        </w:rPr>
      </w:pPr>
      <w:r>
        <w:rPr>
          <w:rFonts w:hint="eastAsia" w:ascii="仿宋" w:hAnsi="仿宋" w:eastAsia="仿宋" w:cstheme="minorBidi"/>
          <w:b/>
          <w:bCs/>
          <w:kern w:val="0"/>
          <w:sz w:val="24"/>
          <w:szCs w:val="24"/>
        </w:rPr>
        <w:t>进口产品：</w:t>
      </w:r>
    </w:p>
    <w:p w14:paraId="60A1C997">
      <w:pPr>
        <w:pStyle w:val="4"/>
        <w:spacing w:line="360" w:lineRule="auto"/>
        <w:rPr>
          <w:rFonts w:ascii="仿宋" w:hAnsi="仿宋" w:eastAsia="仿宋" w:cstheme="minorBidi"/>
          <w:kern w:val="0"/>
          <w:sz w:val="24"/>
          <w:szCs w:val="24"/>
        </w:rPr>
      </w:pPr>
      <w:r>
        <w:rPr>
          <w:rFonts w:hint="eastAsia" w:ascii="仿宋" w:hAnsi="仿宋" w:eastAsia="仿宋" w:cstheme="minorBidi"/>
          <w:kern w:val="0"/>
          <w:sz w:val="24"/>
          <w:szCs w:val="24"/>
        </w:rPr>
        <w:t>1.分两期付款</w:t>
      </w:r>
    </w:p>
    <w:p w14:paraId="39BF841E">
      <w:pPr>
        <w:pStyle w:val="4"/>
        <w:spacing w:line="360" w:lineRule="auto"/>
        <w:rPr>
          <w:rFonts w:ascii="仿宋" w:hAnsi="仿宋" w:eastAsia="仿宋" w:cstheme="minorBidi"/>
          <w:kern w:val="0"/>
          <w:sz w:val="24"/>
          <w:szCs w:val="24"/>
        </w:rPr>
      </w:pPr>
      <w:r>
        <w:rPr>
          <w:rFonts w:hint="eastAsia" w:ascii="仿宋" w:hAnsi="仿宋" w:eastAsia="仿宋" w:cstheme="minorBidi"/>
          <w:kern w:val="0"/>
          <w:sz w:val="24"/>
          <w:szCs w:val="24"/>
        </w:rPr>
        <w:t>第一期在签订外贸合同后15日内，由甲方委托丙方在收到甲方款后对外支付合同总价的60%；</w:t>
      </w:r>
    </w:p>
    <w:p w14:paraId="033C39B6">
      <w:pPr>
        <w:pStyle w:val="4"/>
        <w:spacing w:line="360" w:lineRule="auto"/>
        <w:rPr>
          <w:rFonts w:ascii="仿宋" w:hAnsi="仿宋" w:eastAsia="仿宋" w:cstheme="minorBidi"/>
          <w:kern w:val="0"/>
          <w:sz w:val="24"/>
          <w:szCs w:val="24"/>
        </w:rPr>
      </w:pPr>
      <w:r>
        <w:rPr>
          <w:rFonts w:hint="eastAsia" w:ascii="仿宋" w:hAnsi="仿宋" w:eastAsia="仿宋" w:cstheme="minorBidi"/>
          <w:kern w:val="0"/>
          <w:sz w:val="24"/>
          <w:szCs w:val="24"/>
        </w:rPr>
        <w:t>第二期在甲方验收合格后，甲方委托丙方在收到甲方款以及签字盖章的验收报告后15日内支付合同总价的40%。</w:t>
      </w:r>
    </w:p>
    <w:p w14:paraId="387EA12E">
      <w:pPr>
        <w:pStyle w:val="4"/>
        <w:spacing w:line="360" w:lineRule="auto"/>
        <w:rPr>
          <w:rFonts w:ascii="仿宋" w:hAnsi="仿宋" w:eastAsia="仿宋" w:cstheme="minorBidi"/>
          <w:kern w:val="0"/>
          <w:sz w:val="24"/>
          <w:szCs w:val="24"/>
        </w:rPr>
      </w:pPr>
      <w:r>
        <w:rPr>
          <w:rFonts w:hint="eastAsia" w:ascii="仿宋" w:hAnsi="仿宋" w:eastAsia="仿宋" w:cstheme="minorBidi"/>
          <w:kern w:val="0"/>
          <w:sz w:val="24"/>
          <w:szCs w:val="24"/>
        </w:rPr>
        <w:t>2.每次付款前，丙方应提供相应金额的增值税有效发票，否则甲方有权延期付款直到提供发票为止。</w:t>
      </w:r>
    </w:p>
    <w:p w14:paraId="6CFA460A">
      <w:pPr>
        <w:pStyle w:val="3"/>
        <w:keepNext/>
        <w:keepLines/>
        <w:numPr>
          <w:ilvl w:val="1"/>
          <w:numId w:val="0"/>
        </w:numPr>
        <w:spacing w:before="260" w:after="260" w:line="360" w:lineRule="auto"/>
        <w:jc w:val="both"/>
        <w:rPr>
          <w:rFonts w:ascii="仿宋" w:hAnsi="仿宋" w:eastAsia="仿宋" w:cs="宋体"/>
          <w:b/>
          <w:bCs/>
          <w:sz w:val="28"/>
          <w:szCs w:val="28"/>
          <w:lang w:eastAsia="zh-CN"/>
        </w:rPr>
      </w:pPr>
      <w:r>
        <w:rPr>
          <w:rFonts w:hint="eastAsia" w:ascii="仿宋" w:hAnsi="仿宋" w:eastAsia="仿宋" w:cs="宋体"/>
          <w:b/>
          <w:bCs/>
          <w:sz w:val="28"/>
          <w:szCs w:val="28"/>
          <w:lang w:eastAsia="zh-CN"/>
        </w:rPr>
        <w:t>5.  ★</w:t>
      </w:r>
      <w:r>
        <w:rPr>
          <w:rFonts w:ascii="仿宋" w:hAnsi="仿宋" w:eastAsia="仿宋" w:cs="宋体"/>
          <w:b/>
          <w:bCs/>
          <w:sz w:val="28"/>
          <w:szCs w:val="28"/>
          <w:lang w:eastAsia="zh-CN"/>
        </w:rPr>
        <w:t>非特定美国企业生产产品：</w:t>
      </w:r>
    </w:p>
    <w:p w14:paraId="585DE6CA">
      <w:pPr>
        <w:pStyle w:val="4"/>
        <w:spacing w:line="360" w:lineRule="auto"/>
        <w:rPr>
          <w:rFonts w:ascii="仿宋" w:hAnsi="仿宋" w:eastAsia="仿宋" w:cstheme="minorBidi"/>
          <w:kern w:val="0"/>
          <w:sz w:val="24"/>
          <w:szCs w:val="24"/>
        </w:rPr>
      </w:pPr>
      <w:r>
        <w:rPr>
          <w:rFonts w:ascii="仿宋" w:hAnsi="仿宋" w:eastAsia="仿宋" w:cstheme="minorBidi"/>
          <w:kern w:val="0"/>
          <w:sz w:val="24"/>
          <w:szCs w:val="24"/>
        </w:rPr>
        <w:t>根据《关于在政府采购活动中对有关美国企业采取相关措施的通知》（财库〔2026〕10号）规定，供应商不得提供该通知中所列46家美国企业（不包括在华美资企业）生产的产品</w:t>
      </w:r>
      <w:r>
        <w:rPr>
          <w:rFonts w:hint="eastAsia" w:ascii="仿宋" w:hAnsi="仿宋" w:eastAsia="仿宋" w:cstheme="minorBidi"/>
          <w:kern w:val="0"/>
          <w:sz w:val="24"/>
          <w:szCs w:val="24"/>
        </w:rPr>
        <w:t>。</w:t>
      </w:r>
    </w:p>
    <w:p w14:paraId="256BC8A6">
      <w:pPr>
        <w:pStyle w:val="3"/>
        <w:keepNext/>
        <w:keepLines/>
        <w:numPr>
          <w:ilvl w:val="1"/>
          <w:numId w:val="0"/>
        </w:numPr>
        <w:spacing w:before="260" w:after="260" w:line="360" w:lineRule="auto"/>
        <w:jc w:val="both"/>
        <w:rPr>
          <w:rFonts w:ascii="仿宋" w:hAnsi="仿宋" w:eastAsia="仿宋" w:cs="宋体"/>
          <w:b/>
          <w:bCs/>
          <w:sz w:val="28"/>
          <w:szCs w:val="28"/>
          <w:lang w:eastAsia="zh-CN"/>
        </w:rPr>
      </w:pPr>
      <w:r>
        <w:rPr>
          <w:rFonts w:hint="eastAsia" w:ascii="仿宋" w:hAnsi="仿宋" w:eastAsia="仿宋" w:cs="宋体"/>
          <w:b/>
          <w:bCs/>
          <w:sz w:val="28"/>
          <w:szCs w:val="28"/>
          <w:lang w:eastAsia="zh-CN"/>
        </w:rPr>
        <w:t>6</w:t>
      </w:r>
      <w:r>
        <w:rPr>
          <w:rFonts w:hint="eastAsia" w:ascii="仿宋" w:hAnsi="仿宋" w:eastAsia="仿宋" w:cs="宋体"/>
          <w:b/>
          <w:bCs/>
          <w:sz w:val="28"/>
          <w:szCs w:val="28"/>
          <w:lang w:val="en-US" w:eastAsia="zh-CN"/>
        </w:rPr>
        <w:t>.</w:t>
      </w:r>
      <w:r>
        <w:rPr>
          <w:rFonts w:hint="eastAsia" w:ascii="仿宋" w:hAnsi="仿宋" w:eastAsia="仿宋" w:cs="宋体"/>
          <w:b/>
          <w:bCs/>
          <w:sz w:val="28"/>
          <w:szCs w:val="28"/>
          <w:lang w:eastAsia="zh-CN"/>
        </w:rPr>
        <w:t>服务要求</w:t>
      </w:r>
      <w:bookmarkEnd w:id="24"/>
      <w:bookmarkEnd w:id="25"/>
    </w:p>
    <w:tbl>
      <w:tblPr>
        <w:tblStyle w:val="7"/>
        <w:tblW w:w="9298" w:type="dxa"/>
        <w:jc w:val="center"/>
        <w:tblLayout w:type="fixed"/>
        <w:tblCellMar>
          <w:top w:w="0" w:type="dxa"/>
          <w:left w:w="108" w:type="dxa"/>
          <w:bottom w:w="0" w:type="dxa"/>
          <w:right w:w="108" w:type="dxa"/>
        </w:tblCellMar>
      </w:tblPr>
      <w:tblGrid>
        <w:gridCol w:w="780"/>
        <w:gridCol w:w="1134"/>
        <w:gridCol w:w="1134"/>
        <w:gridCol w:w="6250"/>
      </w:tblGrid>
      <w:tr w14:paraId="4D32D688">
        <w:tblPrEx>
          <w:tblCellMar>
            <w:top w:w="0" w:type="dxa"/>
            <w:left w:w="108" w:type="dxa"/>
            <w:bottom w:w="0" w:type="dxa"/>
            <w:right w:w="108" w:type="dxa"/>
          </w:tblCellMar>
        </w:tblPrEx>
        <w:trPr>
          <w:trHeight w:val="663" w:hRule="atLeast"/>
          <w:jc w:val="center"/>
        </w:trPr>
        <w:tc>
          <w:tcPr>
            <w:tcW w:w="780" w:type="dxa"/>
            <w:tcBorders>
              <w:top w:val="single" w:color="auto" w:sz="4" w:space="0"/>
              <w:left w:val="single" w:color="auto" w:sz="4" w:space="0"/>
              <w:bottom w:val="single" w:color="auto" w:sz="4" w:space="0"/>
              <w:right w:val="single" w:color="auto" w:sz="4" w:space="0"/>
            </w:tcBorders>
            <w:vAlign w:val="center"/>
          </w:tcPr>
          <w:p w14:paraId="32FD460C">
            <w:pPr>
              <w:spacing w:line="360" w:lineRule="auto"/>
              <w:jc w:val="center"/>
              <w:rPr>
                <w:rFonts w:ascii="仿宋" w:hAnsi="仿宋" w:eastAsia="仿宋" w:cs="仿宋"/>
                <w:b/>
                <w:bCs/>
                <w:sz w:val="24"/>
                <w:szCs w:val="24"/>
              </w:rPr>
            </w:pPr>
            <w:bookmarkStart w:id="26" w:name="_Hlk150412871"/>
            <w:r>
              <w:rPr>
                <w:rFonts w:hint="eastAsia" w:ascii="仿宋" w:hAnsi="仿宋" w:eastAsia="仿宋" w:cs="仿宋"/>
                <w:b/>
                <w:sz w:val="24"/>
                <w:szCs w:val="24"/>
              </w:rPr>
              <w:t>序号</w:t>
            </w:r>
          </w:p>
        </w:tc>
        <w:tc>
          <w:tcPr>
            <w:tcW w:w="1134" w:type="dxa"/>
            <w:tcBorders>
              <w:top w:val="single" w:color="auto" w:sz="4" w:space="0"/>
              <w:left w:val="single" w:color="auto" w:sz="4" w:space="0"/>
              <w:bottom w:val="single" w:color="auto" w:sz="4" w:space="0"/>
              <w:right w:val="single" w:color="auto" w:sz="4" w:space="0"/>
            </w:tcBorders>
            <w:vAlign w:val="center"/>
          </w:tcPr>
          <w:p w14:paraId="3975079C">
            <w:pPr>
              <w:spacing w:line="360" w:lineRule="auto"/>
              <w:jc w:val="center"/>
              <w:rPr>
                <w:rFonts w:ascii="仿宋" w:hAnsi="仿宋" w:eastAsia="仿宋" w:cs="仿宋"/>
                <w:b/>
                <w:sz w:val="24"/>
                <w:szCs w:val="24"/>
              </w:rPr>
            </w:pPr>
            <w:r>
              <w:rPr>
                <w:rFonts w:hint="eastAsia" w:ascii="仿宋" w:hAnsi="仿宋" w:eastAsia="仿宋" w:cs="仿宋"/>
                <w:b/>
                <w:sz w:val="24"/>
                <w:szCs w:val="24"/>
              </w:rPr>
              <w:t>服务要求项目</w:t>
            </w:r>
          </w:p>
        </w:tc>
        <w:tc>
          <w:tcPr>
            <w:tcW w:w="1134" w:type="dxa"/>
            <w:tcBorders>
              <w:top w:val="single" w:color="auto" w:sz="4" w:space="0"/>
              <w:left w:val="single" w:color="auto" w:sz="4" w:space="0"/>
              <w:bottom w:val="single" w:color="auto" w:sz="4" w:space="0"/>
              <w:right w:val="single" w:color="auto" w:sz="4" w:space="0"/>
            </w:tcBorders>
            <w:vAlign w:val="center"/>
          </w:tcPr>
          <w:p w14:paraId="59B1CFED">
            <w:pPr>
              <w:spacing w:line="360" w:lineRule="auto"/>
              <w:jc w:val="center"/>
              <w:rPr>
                <w:rFonts w:ascii="仿宋" w:hAnsi="仿宋" w:eastAsia="仿宋" w:cs="仿宋"/>
                <w:b/>
                <w:bCs/>
                <w:sz w:val="24"/>
                <w:szCs w:val="24"/>
              </w:rPr>
            </w:pPr>
            <w:r>
              <w:rPr>
                <w:rFonts w:hint="eastAsia" w:ascii="仿宋" w:hAnsi="仿宋" w:eastAsia="仿宋" w:cs="仿宋"/>
                <w:b/>
                <w:bCs/>
                <w:sz w:val="24"/>
                <w:szCs w:val="24"/>
              </w:rPr>
              <w:t>指标符号</w:t>
            </w:r>
          </w:p>
        </w:tc>
        <w:tc>
          <w:tcPr>
            <w:tcW w:w="6250" w:type="dxa"/>
            <w:tcBorders>
              <w:top w:val="single" w:color="auto" w:sz="4" w:space="0"/>
              <w:left w:val="single" w:color="auto" w:sz="4" w:space="0"/>
              <w:bottom w:val="single" w:color="auto" w:sz="4" w:space="0"/>
              <w:right w:val="single" w:color="auto" w:sz="4" w:space="0"/>
            </w:tcBorders>
            <w:vAlign w:val="center"/>
          </w:tcPr>
          <w:p w14:paraId="1582924A">
            <w:pPr>
              <w:spacing w:line="360" w:lineRule="auto"/>
              <w:ind w:firstLine="219" w:firstLineChars="91"/>
              <w:jc w:val="center"/>
              <w:rPr>
                <w:rFonts w:ascii="仿宋" w:hAnsi="仿宋" w:eastAsia="仿宋" w:cs="仿宋"/>
                <w:b/>
                <w:bCs/>
                <w:sz w:val="24"/>
                <w:szCs w:val="24"/>
              </w:rPr>
            </w:pPr>
            <w:r>
              <w:rPr>
                <w:rFonts w:hint="eastAsia" w:ascii="仿宋" w:hAnsi="仿宋" w:eastAsia="仿宋" w:cs="仿宋"/>
                <w:b/>
                <w:sz w:val="24"/>
                <w:szCs w:val="24"/>
              </w:rPr>
              <w:t>服务要求标准</w:t>
            </w:r>
          </w:p>
        </w:tc>
      </w:tr>
      <w:tr w14:paraId="0F7BB277">
        <w:tblPrEx>
          <w:tblCellMar>
            <w:top w:w="0" w:type="dxa"/>
            <w:left w:w="108" w:type="dxa"/>
            <w:bottom w:w="0" w:type="dxa"/>
            <w:right w:w="108" w:type="dxa"/>
          </w:tblCellMar>
        </w:tblPrEx>
        <w:trPr>
          <w:jc w:val="center"/>
        </w:trPr>
        <w:tc>
          <w:tcPr>
            <w:tcW w:w="780" w:type="dxa"/>
            <w:tcBorders>
              <w:top w:val="single" w:color="auto" w:sz="4" w:space="0"/>
              <w:left w:val="single" w:color="auto" w:sz="4" w:space="0"/>
              <w:bottom w:val="single" w:color="auto" w:sz="4" w:space="0"/>
              <w:right w:val="single" w:color="auto" w:sz="4" w:space="0"/>
            </w:tcBorders>
            <w:vAlign w:val="center"/>
          </w:tcPr>
          <w:p w14:paraId="325CFB58">
            <w:pPr>
              <w:spacing w:line="360" w:lineRule="auto"/>
              <w:jc w:val="center"/>
              <w:rPr>
                <w:rFonts w:ascii="仿宋" w:hAnsi="仿宋" w:eastAsia="仿宋" w:cs="仿宋"/>
                <w:b/>
                <w:bCs/>
                <w:sz w:val="24"/>
                <w:szCs w:val="24"/>
              </w:rPr>
            </w:pPr>
            <w:r>
              <w:rPr>
                <w:rFonts w:hint="eastAsia" w:ascii="仿宋" w:hAnsi="仿宋" w:eastAsia="仿宋" w:cs="仿宋"/>
                <w:sz w:val="24"/>
                <w:szCs w:val="24"/>
              </w:rPr>
              <w:t>1</w:t>
            </w:r>
          </w:p>
        </w:tc>
        <w:tc>
          <w:tcPr>
            <w:tcW w:w="1134" w:type="dxa"/>
            <w:tcBorders>
              <w:top w:val="single" w:color="auto" w:sz="4" w:space="0"/>
              <w:left w:val="single" w:color="auto" w:sz="4" w:space="0"/>
              <w:bottom w:val="single" w:color="auto" w:sz="4" w:space="0"/>
              <w:right w:val="single" w:color="auto" w:sz="4" w:space="0"/>
            </w:tcBorders>
            <w:vAlign w:val="center"/>
          </w:tcPr>
          <w:p w14:paraId="342333F0">
            <w:pPr>
              <w:spacing w:line="360" w:lineRule="auto"/>
              <w:jc w:val="center"/>
              <w:rPr>
                <w:rFonts w:ascii="仿宋" w:hAnsi="仿宋" w:eastAsia="仿宋" w:cs="仿宋"/>
                <w:sz w:val="24"/>
                <w:szCs w:val="24"/>
              </w:rPr>
            </w:pPr>
            <w:r>
              <w:rPr>
                <w:rFonts w:hint="eastAsia" w:ascii="仿宋" w:hAnsi="仿宋" w:eastAsia="仿宋" w:cs="仿宋"/>
                <w:sz w:val="24"/>
                <w:szCs w:val="24"/>
              </w:rPr>
              <w:t>技术文件</w:t>
            </w:r>
          </w:p>
        </w:tc>
        <w:tc>
          <w:tcPr>
            <w:tcW w:w="1134" w:type="dxa"/>
            <w:tcBorders>
              <w:top w:val="single" w:color="auto" w:sz="4" w:space="0"/>
              <w:left w:val="single" w:color="auto" w:sz="4" w:space="0"/>
              <w:bottom w:val="single" w:color="auto" w:sz="4" w:space="0"/>
              <w:right w:val="single" w:color="auto" w:sz="4" w:space="0"/>
            </w:tcBorders>
            <w:vAlign w:val="center"/>
          </w:tcPr>
          <w:p w14:paraId="458C5747">
            <w:pPr>
              <w:spacing w:line="360" w:lineRule="auto"/>
              <w:jc w:val="center"/>
              <w:rPr>
                <w:rFonts w:ascii="仿宋" w:hAnsi="仿宋" w:eastAsia="仿宋" w:cs="仿宋"/>
                <w:sz w:val="24"/>
                <w:szCs w:val="24"/>
              </w:rPr>
            </w:pPr>
            <w:r>
              <w:rPr>
                <w:rFonts w:hint="eastAsia" w:ascii="仿宋" w:hAnsi="仿宋" w:eastAsia="仿宋" w:cs="仿宋"/>
                <w:sz w:val="24"/>
                <w:szCs w:val="24"/>
              </w:rPr>
              <w:t>#</w:t>
            </w:r>
          </w:p>
        </w:tc>
        <w:tc>
          <w:tcPr>
            <w:tcW w:w="6250" w:type="dxa"/>
            <w:tcBorders>
              <w:top w:val="single" w:color="auto" w:sz="4" w:space="0"/>
              <w:left w:val="single" w:color="auto" w:sz="4" w:space="0"/>
              <w:bottom w:val="single" w:color="auto" w:sz="4" w:space="0"/>
              <w:right w:val="single" w:color="auto" w:sz="4" w:space="0"/>
            </w:tcBorders>
            <w:vAlign w:val="center"/>
          </w:tcPr>
          <w:p w14:paraId="33FD1782">
            <w:pPr>
              <w:spacing w:line="360" w:lineRule="auto"/>
              <w:ind w:firstLine="218" w:firstLineChars="91"/>
              <w:rPr>
                <w:rFonts w:ascii="仿宋" w:hAnsi="仿宋" w:eastAsia="仿宋" w:cs="仿宋"/>
                <w:sz w:val="24"/>
                <w:szCs w:val="24"/>
                <w:lang w:eastAsia="zh-CN"/>
              </w:rPr>
            </w:pPr>
            <w:r>
              <w:rPr>
                <w:rFonts w:hint="eastAsia" w:ascii="仿宋" w:hAnsi="仿宋" w:eastAsia="仿宋" w:cs="仿宋"/>
                <w:sz w:val="24"/>
                <w:szCs w:val="24"/>
                <w:lang w:eastAsia="zh-CN"/>
              </w:rPr>
              <w:t>供应商承诺提供全套、完整的书面技术资料，包括仪器说明书、操作手册等。</w:t>
            </w:r>
          </w:p>
        </w:tc>
      </w:tr>
      <w:tr w14:paraId="15620F00">
        <w:tblPrEx>
          <w:tblCellMar>
            <w:top w:w="0" w:type="dxa"/>
            <w:left w:w="108" w:type="dxa"/>
            <w:bottom w:w="0" w:type="dxa"/>
            <w:right w:w="108" w:type="dxa"/>
          </w:tblCellMar>
        </w:tblPrEx>
        <w:trPr>
          <w:jc w:val="center"/>
        </w:trPr>
        <w:tc>
          <w:tcPr>
            <w:tcW w:w="780" w:type="dxa"/>
            <w:tcBorders>
              <w:top w:val="single" w:color="auto" w:sz="4" w:space="0"/>
              <w:left w:val="single" w:color="auto" w:sz="4" w:space="0"/>
              <w:bottom w:val="single" w:color="auto" w:sz="4" w:space="0"/>
              <w:right w:val="single" w:color="auto" w:sz="4" w:space="0"/>
            </w:tcBorders>
            <w:vAlign w:val="center"/>
          </w:tcPr>
          <w:p w14:paraId="177A49B6">
            <w:pPr>
              <w:spacing w:line="360" w:lineRule="auto"/>
              <w:jc w:val="center"/>
              <w:rPr>
                <w:rFonts w:ascii="仿宋" w:hAnsi="仿宋" w:eastAsia="仿宋" w:cs="仿宋"/>
                <w:b/>
                <w:bCs/>
                <w:sz w:val="24"/>
                <w:szCs w:val="24"/>
              </w:rPr>
            </w:pPr>
            <w:r>
              <w:rPr>
                <w:rFonts w:hint="eastAsia" w:ascii="仿宋" w:hAnsi="仿宋" w:eastAsia="仿宋" w:cs="仿宋"/>
                <w:sz w:val="24"/>
                <w:szCs w:val="24"/>
              </w:rPr>
              <w:t>2</w:t>
            </w:r>
          </w:p>
        </w:tc>
        <w:tc>
          <w:tcPr>
            <w:tcW w:w="1134" w:type="dxa"/>
            <w:tcBorders>
              <w:top w:val="single" w:color="auto" w:sz="4" w:space="0"/>
              <w:left w:val="single" w:color="auto" w:sz="4" w:space="0"/>
              <w:bottom w:val="single" w:color="auto" w:sz="4" w:space="0"/>
              <w:right w:val="single" w:color="auto" w:sz="4" w:space="0"/>
            </w:tcBorders>
            <w:vAlign w:val="center"/>
          </w:tcPr>
          <w:p w14:paraId="496A93B9">
            <w:pPr>
              <w:spacing w:line="360" w:lineRule="auto"/>
              <w:jc w:val="center"/>
              <w:rPr>
                <w:rFonts w:ascii="仿宋" w:hAnsi="仿宋" w:eastAsia="仿宋" w:cs="仿宋"/>
                <w:sz w:val="24"/>
                <w:szCs w:val="24"/>
                <w:lang w:eastAsia="zh-CN"/>
              </w:rPr>
            </w:pPr>
            <w:r>
              <w:rPr>
                <w:rFonts w:hint="eastAsia" w:ascii="仿宋" w:hAnsi="仿宋" w:eastAsia="仿宋" w:cs="仿宋"/>
                <w:sz w:val="24"/>
                <w:szCs w:val="24"/>
                <w:lang w:eastAsia="zh-CN"/>
              </w:rPr>
              <w:t>设备安装、调试和验收</w:t>
            </w:r>
          </w:p>
        </w:tc>
        <w:tc>
          <w:tcPr>
            <w:tcW w:w="1134" w:type="dxa"/>
            <w:tcBorders>
              <w:top w:val="single" w:color="auto" w:sz="4" w:space="0"/>
              <w:left w:val="single" w:color="auto" w:sz="4" w:space="0"/>
              <w:bottom w:val="single" w:color="auto" w:sz="4" w:space="0"/>
              <w:right w:val="single" w:color="auto" w:sz="4" w:space="0"/>
            </w:tcBorders>
            <w:vAlign w:val="center"/>
          </w:tcPr>
          <w:p w14:paraId="18B1FA6C">
            <w:pPr>
              <w:spacing w:line="360" w:lineRule="auto"/>
              <w:jc w:val="center"/>
              <w:rPr>
                <w:rFonts w:ascii="仿宋" w:hAnsi="仿宋" w:eastAsia="仿宋" w:cs="仿宋"/>
                <w:sz w:val="24"/>
                <w:szCs w:val="24"/>
              </w:rPr>
            </w:pPr>
            <w:r>
              <w:rPr>
                <w:rFonts w:hint="eastAsia" w:ascii="仿宋" w:hAnsi="仿宋" w:eastAsia="仿宋" w:cs="仿宋"/>
                <w:sz w:val="24"/>
                <w:szCs w:val="24"/>
              </w:rPr>
              <w:t>#</w:t>
            </w:r>
          </w:p>
        </w:tc>
        <w:tc>
          <w:tcPr>
            <w:tcW w:w="6250" w:type="dxa"/>
            <w:tcBorders>
              <w:top w:val="single" w:color="auto" w:sz="4" w:space="0"/>
              <w:left w:val="single" w:color="auto" w:sz="4" w:space="0"/>
              <w:bottom w:val="single" w:color="auto" w:sz="4" w:space="0"/>
              <w:right w:val="single" w:color="auto" w:sz="4" w:space="0"/>
            </w:tcBorders>
            <w:vAlign w:val="center"/>
          </w:tcPr>
          <w:p w14:paraId="7EE0CF62">
            <w:pPr>
              <w:spacing w:line="360" w:lineRule="auto"/>
              <w:ind w:firstLine="218" w:firstLineChars="91"/>
              <w:rPr>
                <w:rFonts w:ascii="仿宋" w:hAnsi="仿宋" w:eastAsia="仿宋" w:cs="仿宋"/>
                <w:sz w:val="24"/>
                <w:szCs w:val="24"/>
                <w:lang w:eastAsia="zh-CN"/>
              </w:rPr>
            </w:pPr>
            <w:r>
              <w:rPr>
                <w:rFonts w:hint="eastAsia" w:ascii="仿宋" w:hAnsi="仿宋" w:eastAsia="仿宋" w:cs="仿宋"/>
                <w:sz w:val="24"/>
                <w:szCs w:val="24"/>
                <w:lang w:eastAsia="zh-CN"/>
              </w:rPr>
              <w:t>供应商承诺在合同生效后向采购人提供详细的安装要求并提供技术咨询；在仪器到达前，供应商应通知用户水、电、气及其他仪器等必备辅助设施的具体要求，从而让采购人提前做好仪器安装准备。仪器到达用户所在地，在接到用户通知后一周内进行安装调试，直至通过验收。</w:t>
            </w:r>
          </w:p>
          <w:p w14:paraId="1180CDC1">
            <w:pPr>
              <w:spacing w:line="360" w:lineRule="auto"/>
              <w:ind w:firstLine="219" w:firstLineChars="91"/>
              <w:rPr>
                <w:rFonts w:ascii="仿宋" w:hAnsi="仿宋" w:eastAsia="仿宋" w:cs="仿宋"/>
                <w:sz w:val="24"/>
                <w:szCs w:val="24"/>
                <w:lang w:eastAsia="zh-CN"/>
              </w:rPr>
            </w:pPr>
            <w:r>
              <w:rPr>
                <w:rFonts w:hint="eastAsia" w:ascii="仿宋" w:hAnsi="仿宋" w:eastAsia="仿宋" w:cs="仿宋"/>
                <w:b/>
                <w:bCs/>
                <w:sz w:val="24"/>
                <w:szCs w:val="24"/>
                <w:lang w:eastAsia="zh-CN"/>
              </w:rPr>
              <w:t>注：提供承诺函并加盖供应商公章，格式自拟。</w:t>
            </w:r>
          </w:p>
        </w:tc>
      </w:tr>
      <w:tr w14:paraId="09C15B6D">
        <w:tblPrEx>
          <w:tblCellMar>
            <w:top w:w="0" w:type="dxa"/>
            <w:left w:w="108" w:type="dxa"/>
            <w:bottom w:w="0" w:type="dxa"/>
            <w:right w:w="108" w:type="dxa"/>
          </w:tblCellMar>
        </w:tblPrEx>
        <w:trPr>
          <w:jc w:val="center"/>
        </w:trPr>
        <w:tc>
          <w:tcPr>
            <w:tcW w:w="780" w:type="dxa"/>
            <w:tcBorders>
              <w:top w:val="single" w:color="auto" w:sz="4" w:space="0"/>
              <w:left w:val="single" w:color="auto" w:sz="4" w:space="0"/>
              <w:bottom w:val="single" w:color="auto" w:sz="4" w:space="0"/>
              <w:right w:val="single" w:color="auto" w:sz="4" w:space="0"/>
            </w:tcBorders>
            <w:vAlign w:val="center"/>
          </w:tcPr>
          <w:p w14:paraId="6DE63B14">
            <w:pPr>
              <w:spacing w:line="360" w:lineRule="auto"/>
              <w:jc w:val="center"/>
              <w:rPr>
                <w:rFonts w:ascii="仿宋" w:hAnsi="仿宋" w:eastAsia="仿宋" w:cs="仿宋"/>
                <w:b/>
                <w:bCs/>
                <w:sz w:val="24"/>
                <w:szCs w:val="24"/>
              </w:rPr>
            </w:pPr>
            <w:r>
              <w:rPr>
                <w:rFonts w:hint="eastAsia" w:ascii="仿宋" w:hAnsi="仿宋" w:eastAsia="仿宋" w:cs="仿宋"/>
                <w:sz w:val="24"/>
                <w:szCs w:val="24"/>
              </w:rPr>
              <w:t>3</w:t>
            </w:r>
          </w:p>
        </w:tc>
        <w:tc>
          <w:tcPr>
            <w:tcW w:w="1134" w:type="dxa"/>
            <w:tcBorders>
              <w:top w:val="single" w:color="auto" w:sz="4" w:space="0"/>
              <w:left w:val="single" w:color="auto" w:sz="4" w:space="0"/>
              <w:bottom w:val="single" w:color="auto" w:sz="4" w:space="0"/>
              <w:right w:val="single" w:color="auto" w:sz="4" w:space="0"/>
            </w:tcBorders>
            <w:vAlign w:val="center"/>
          </w:tcPr>
          <w:p w14:paraId="3475646E">
            <w:pPr>
              <w:spacing w:line="360" w:lineRule="auto"/>
              <w:jc w:val="center"/>
              <w:rPr>
                <w:rFonts w:ascii="仿宋" w:hAnsi="仿宋" w:eastAsia="仿宋" w:cs="仿宋"/>
                <w:sz w:val="24"/>
                <w:szCs w:val="24"/>
              </w:rPr>
            </w:pPr>
            <w:r>
              <w:rPr>
                <w:rFonts w:hint="eastAsia" w:ascii="仿宋" w:hAnsi="仿宋" w:eastAsia="仿宋" w:cs="仿宋"/>
                <w:sz w:val="24"/>
                <w:szCs w:val="24"/>
              </w:rPr>
              <w:t>技术培训</w:t>
            </w:r>
          </w:p>
        </w:tc>
        <w:tc>
          <w:tcPr>
            <w:tcW w:w="1134" w:type="dxa"/>
            <w:tcBorders>
              <w:top w:val="single" w:color="auto" w:sz="4" w:space="0"/>
              <w:left w:val="single" w:color="auto" w:sz="4" w:space="0"/>
              <w:bottom w:val="single" w:color="auto" w:sz="4" w:space="0"/>
              <w:right w:val="single" w:color="auto" w:sz="4" w:space="0"/>
            </w:tcBorders>
            <w:vAlign w:val="center"/>
          </w:tcPr>
          <w:p w14:paraId="169A94AC">
            <w:pPr>
              <w:spacing w:line="360" w:lineRule="auto"/>
              <w:jc w:val="center"/>
              <w:rPr>
                <w:rFonts w:ascii="仿宋" w:hAnsi="仿宋" w:eastAsia="仿宋" w:cs="仿宋"/>
                <w:sz w:val="24"/>
                <w:szCs w:val="24"/>
              </w:rPr>
            </w:pPr>
            <w:r>
              <w:rPr>
                <w:rFonts w:hint="eastAsia" w:ascii="仿宋" w:hAnsi="仿宋" w:eastAsia="仿宋" w:cs="仿宋"/>
                <w:sz w:val="24"/>
                <w:szCs w:val="24"/>
              </w:rPr>
              <w:t>#</w:t>
            </w:r>
          </w:p>
        </w:tc>
        <w:tc>
          <w:tcPr>
            <w:tcW w:w="6250" w:type="dxa"/>
            <w:tcBorders>
              <w:top w:val="single" w:color="auto" w:sz="4" w:space="0"/>
              <w:left w:val="single" w:color="auto" w:sz="4" w:space="0"/>
              <w:bottom w:val="single" w:color="auto" w:sz="4" w:space="0"/>
              <w:right w:val="single" w:color="auto" w:sz="4" w:space="0"/>
            </w:tcBorders>
            <w:vAlign w:val="center"/>
          </w:tcPr>
          <w:p w14:paraId="4346539D">
            <w:pPr>
              <w:spacing w:line="360" w:lineRule="auto"/>
              <w:ind w:firstLine="218" w:firstLineChars="91"/>
              <w:rPr>
                <w:rFonts w:ascii="仿宋" w:hAnsi="仿宋" w:eastAsia="仿宋" w:cs="仿宋"/>
                <w:sz w:val="24"/>
                <w:szCs w:val="24"/>
                <w:lang w:eastAsia="zh-CN"/>
              </w:rPr>
            </w:pPr>
            <w:r>
              <w:rPr>
                <w:rFonts w:hint="eastAsia" w:ascii="仿宋" w:hAnsi="仿宋" w:eastAsia="仿宋" w:cs="仿宋"/>
                <w:sz w:val="24"/>
                <w:szCs w:val="24"/>
                <w:lang w:eastAsia="zh-CN"/>
              </w:rPr>
              <w:t>供应商承诺提供完整的培训，包括内容、人员、时间、地点、频次等。在用户所在地对仪器使用者2-3人进行仪器操作和维护进行培训，使被培训人员达到能够熟练使用。培训内容包括仪器的技术原理、操作、数据处理、基本维护等。场地、交通等与培训相关的费用均由供应商承担。</w:t>
            </w:r>
          </w:p>
          <w:p w14:paraId="7C0292A9">
            <w:pPr>
              <w:spacing w:line="360" w:lineRule="auto"/>
              <w:ind w:firstLine="219" w:firstLineChars="91"/>
              <w:rPr>
                <w:rFonts w:ascii="仿宋" w:hAnsi="仿宋" w:eastAsia="仿宋" w:cs="仿宋"/>
                <w:sz w:val="24"/>
                <w:szCs w:val="24"/>
                <w:lang w:eastAsia="zh-CN"/>
              </w:rPr>
            </w:pPr>
            <w:r>
              <w:rPr>
                <w:rFonts w:hint="eastAsia" w:ascii="仿宋" w:hAnsi="仿宋" w:eastAsia="仿宋" w:cs="仿宋"/>
                <w:b/>
                <w:bCs/>
                <w:sz w:val="24"/>
                <w:szCs w:val="24"/>
                <w:lang w:eastAsia="zh-CN"/>
              </w:rPr>
              <w:t>注：提供承诺函并加盖供应商公章，格式自拟。</w:t>
            </w:r>
          </w:p>
        </w:tc>
      </w:tr>
      <w:tr w14:paraId="15921280">
        <w:tblPrEx>
          <w:tblCellMar>
            <w:top w:w="0" w:type="dxa"/>
            <w:left w:w="108" w:type="dxa"/>
            <w:bottom w:w="0" w:type="dxa"/>
            <w:right w:w="108" w:type="dxa"/>
          </w:tblCellMar>
        </w:tblPrEx>
        <w:trPr>
          <w:jc w:val="center"/>
        </w:trPr>
        <w:tc>
          <w:tcPr>
            <w:tcW w:w="780" w:type="dxa"/>
            <w:tcBorders>
              <w:top w:val="single" w:color="auto" w:sz="4" w:space="0"/>
              <w:left w:val="single" w:color="auto" w:sz="4" w:space="0"/>
              <w:bottom w:val="single" w:color="auto" w:sz="4" w:space="0"/>
              <w:right w:val="single" w:color="auto" w:sz="4" w:space="0"/>
            </w:tcBorders>
            <w:vAlign w:val="center"/>
          </w:tcPr>
          <w:p w14:paraId="59DD2C27">
            <w:pPr>
              <w:spacing w:line="360" w:lineRule="auto"/>
              <w:jc w:val="center"/>
              <w:rPr>
                <w:rFonts w:ascii="仿宋" w:hAnsi="仿宋" w:eastAsia="仿宋" w:cs="仿宋"/>
                <w:b/>
                <w:bCs/>
                <w:sz w:val="24"/>
                <w:szCs w:val="24"/>
              </w:rPr>
            </w:pPr>
            <w:r>
              <w:rPr>
                <w:rFonts w:hint="eastAsia" w:ascii="仿宋" w:hAnsi="仿宋" w:eastAsia="仿宋" w:cs="仿宋"/>
                <w:sz w:val="24"/>
                <w:szCs w:val="24"/>
              </w:rPr>
              <w:t>4</w:t>
            </w:r>
          </w:p>
        </w:tc>
        <w:tc>
          <w:tcPr>
            <w:tcW w:w="1134" w:type="dxa"/>
            <w:tcBorders>
              <w:top w:val="single" w:color="auto" w:sz="4" w:space="0"/>
              <w:left w:val="single" w:color="auto" w:sz="4" w:space="0"/>
              <w:bottom w:val="single" w:color="auto" w:sz="4" w:space="0"/>
              <w:right w:val="single" w:color="auto" w:sz="4" w:space="0"/>
            </w:tcBorders>
            <w:vAlign w:val="center"/>
          </w:tcPr>
          <w:p w14:paraId="14F3BFEB">
            <w:pPr>
              <w:spacing w:line="360" w:lineRule="auto"/>
              <w:jc w:val="center"/>
              <w:rPr>
                <w:rFonts w:ascii="仿宋" w:hAnsi="仿宋" w:eastAsia="仿宋" w:cs="仿宋"/>
                <w:sz w:val="24"/>
                <w:szCs w:val="24"/>
              </w:rPr>
            </w:pPr>
            <w:r>
              <w:rPr>
                <w:rFonts w:hint="eastAsia" w:ascii="仿宋" w:hAnsi="仿宋" w:eastAsia="仿宋" w:cs="仿宋"/>
                <w:sz w:val="24"/>
                <w:szCs w:val="24"/>
              </w:rPr>
              <w:t>售后服务承诺</w:t>
            </w:r>
          </w:p>
        </w:tc>
        <w:tc>
          <w:tcPr>
            <w:tcW w:w="1134" w:type="dxa"/>
            <w:tcBorders>
              <w:top w:val="single" w:color="auto" w:sz="4" w:space="0"/>
              <w:left w:val="single" w:color="auto" w:sz="4" w:space="0"/>
              <w:bottom w:val="single" w:color="auto" w:sz="4" w:space="0"/>
              <w:right w:val="single" w:color="auto" w:sz="4" w:space="0"/>
            </w:tcBorders>
            <w:vAlign w:val="center"/>
          </w:tcPr>
          <w:p w14:paraId="6616557D">
            <w:pPr>
              <w:spacing w:line="360" w:lineRule="auto"/>
              <w:jc w:val="center"/>
              <w:rPr>
                <w:rFonts w:ascii="仿宋" w:hAnsi="仿宋" w:eastAsia="仿宋" w:cs="仿宋"/>
                <w:sz w:val="24"/>
                <w:szCs w:val="24"/>
              </w:rPr>
            </w:pPr>
            <w:r>
              <w:rPr>
                <w:rFonts w:hint="eastAsia" w:ascii="仿宋" w:hAnsi="仿宋" w:eastAsia="仿宋" w:cs="仿宋"/>
                <w:sz w:val="24"/>
                <w:szCs w:val="24"/>
              </w:rPr>
              <w:t>★</w:t>
            </w:r>
          </w:p>
        </w:tc>
        <w:tc>
          <w:tcPr>
            <w:tcW w:w="6250" w:type="dxa"/>
            <w:tcBorders>
              <w:top w:val="single" w:color="auto" w:sz="4" w:space="0"/>
              <w:left w:val="single" w:color="auto" w:sz="4" w:space="0"/>
              <w:bottom w:val="single" w:color="auto" w:sz="4" w:space="0"/>
              <w:right w:val="single" w:color="auto" w:sz="4" w:space="0"/>
            </w:tcBorders>
            <w:vAlign w:val="center"/>
          </w:tcPr>
          <w:p w14:paraId="01DA8251">
            <w:pPr>
              <w:spacing w:line="360" w:lineRule="auto"/>
              <w:ind w:firstLine="218" w:firstLineChars="91"/>
              <w:rPr>
                <w:rFonts w:ascii="仿宋" w:hAnsi="仿宋" w:eastAsia="仿宋" w:cs="仿宋"/>
                <w:sz w:val="24"/>
                <w:szCs w:val="24"/>
                <w:lang w:eastAsia="zh-CN"/>
              </w:rPr>
            </w:pPr>
            <w:r>
              <w:rPr>
                <w:rFonts w:hint="eastAsia" w:ascii="仿宋" w:hAnsi="仿宋" w:eastAsia="仿宋" w:cs="仿宋"/>
                <w:sz w:val="24"/>
                <w:szCs w:val="24"/>
                <w:lang w:eastAsia="zh-CN"/>
              </w:rPr>
              <w:t>1.供应商承诺所有软硬件不少于一年保修，在保修期内，如果软硬件发生故障，在接到采购人通知后须在1小时内提供技术响应。如采购人需要，供应商应在3小时之内安排技术人员到达现场，12小时内排除故障，负责调查故障原因并实施更换、修复等工作直至故障解决。当设备发生故障且12小时内无法修复时，在1天内提供备机服务，直至故障解决。</w:t>
            </w:r>
          </w:p>
          <w:p w14:paraId="36C6121A">
            <w:pPr>
              <w:spacing w:line="360" w:lineRule="auto"/>
              <w:ind w:firstLine="218" w:firstLineChars="91"/>
              <w:rPr>
                <w:rFonts w:ascii="仿宋" w:hAnsi="仿宋" w:eastAsia="仿宋" w:cs="仿宋"/>
                <w:sz w:val="24"/>
                <w:szCs w:val="24"/>
                <w:lang w:eastAsia="zh-CN"/>
              </w:rPr>
            </w:pPr>
            <w:r>
              <w:rPr>
                <w:rFonts w:hint="eastAsia" w:ascii="仿宋" w:hAnsi="仿宋" w:eastAsia="仿宋" w:cs="仿宋"/>
                <w:sz w:val="24"/>
                <w:szCs w:val="24"/>
                <w:lang w:eastAsia="zh-CN"/>
              </w:rPr>
              <w:t>2.供应商承诺所有硬件过一年免费保修期后按制造商统一报价收取维修费、所有软件如有同版本升级，提供免费升级服务。</w:t>
            </w:r>
          </w:p>
          <w:p w14:paraId="67B13D85">
            <w:pPr>
              <w:spacing w:line="360" w:lineRule="auto"/>
              <w:ind w:firstLine="219" w:firstLineChars="91"/>
              <w:rPr>
                <w:rFonts w:ascii="仿宋" w:hAnsi="仿宋" w:eastAsia="仿宋" w:cs="仿宋"/>
                <w:sz w:val="24"/>
                <w:szCs w:val="24"/>
                <w:lang w:eastAsia="zh-CN"/>
              </w:rPr>
            </w:pPr>
            <w:r>
              <w:rPr>
                <w:rFonts w:hint="eastAsia" w:ascii="仿宋" w:hAnsi="仿宋" w:eastAsia="仿宋" w:cs="仿宋"/>
                <w:b/>
                <w:bCs/>
                <w:sz w:val="24"/>
                <w:szCs w:val="24"/>
                <w:lang w:eastAsia="zh-CN"/>
              </w:rPr>
              <w:t>注：提供承诺函并加盖供应商公章，格式自拟。</w:t>
            </w:r>
          </w:p>
        </w:tc>
      </w:tr>
      <w:tr w14:paraId="77DE19F5">
        <w:tblPrEx>
          <w:tblCellMar>
            <w:top w:w="0" w:type="dxa"/>
            <w:left w:w="108" w:type="dxa"/>
            <w:bottom w:w="0" w:type="dxa"/>
            <w:right w:w="108" w:type="dxa"/>
          </w:tblCellMar>
        </w:tblPrEx>
        <w:trPr>
          <w:jc w:val="center"/>
        </w:trPr>
        <w:tc>
          <w:tcPr>
            <w:tcW w:w="780" w:type="dxa"/>
            <w:tcBorders>
              <w:top w:val="single" w:color="auto" w:sz="4" w:space="0"/>
              <w:left w:val="single" w:color="auto" w:sz="4" w:space="0"/>
              <w:bottom w:val="single" w:color="auto" w:sz="4" w:space="0"/>
              <w:right w:val="single" w:color="auto" w:sz="4" w:space="0"/>
            </w:tcBorders>
            <w:vAlign w:val="center"/>
          </w:tcPr>
          <w:p w14:paraId="1FDC83A8">
            <w:pPr>
              <w:spacing w:line="360" w:lineRule="auto"/>
              <w:jc w:val="center"/>
              <w:rPr>
                <w:rFonts w:ascii="仿宋" w:hAnsi="仿宋" w:eastAsia="仿宋" w:cs="仿宋"/>
                <w:sz w:val="24"/>
                <w:szCs w:val="24"/>
              </w:rPr>
            </w:pPr>
            <w:r>
              <w:rPr>
                <w:rFonts w:hint="eastAsia" w:ascii="仿宋" w:hAnsi="仿宋" w:eastAsia="仿宋" w:cs="仿宋"/>
                <w:sz w:val="24"/>
                <w:szCs w:val="24"/>
              </w:rPr>
              <w:t>5</w:t>
            </w:r>
          </w:p>
        </w:tc>
        <w:tc>
          <w:tcPr>
            <w:tcW w:w="1134" w:type="dxa"/>
            <w:tcBorders>
              <w:top w:val="single" w:color="auto" w:sz="4" w:space="0"/>
              <w:left w:val="single" w:color="auto" w:sz="4" w:space="0"/>
              <w:bottom w:val="single" w:color="auto" w:sz="4" w:space="0"/>
              <w:right w:val="single" w:color="auto" w:sz="4" w:space="0"/>
            </w:tcBorders>
            <w:vAlign w:val="center"/>
          </w:tcPr>
          <w:p w14:paraId="69B37E9F">
            <w:pPr>
              <w:spacing w:line="360" w:lineRule="auto"/>
              <w:jc w:val="center"/>
              <w:rPr>
                <w:rFonts w:ascii="仿宋" w:hAnsi="仿宋" w:eastAsia="仿宋" w:cs="仿宋"/>
                <w:sz w:val="24"/>
                <w:szCs w:val="24"/>
              </w:rPr>
            </w:pPr>
            <w:r>
              <w:rPr>
                <w:rFonts w:hint="eastAsia" w:ascii="仿宋" w:hAnsi="仿宋" w:eastAsia="仿宋" w:cs="仿宋"/>
                <w:sz w:val="24"/>
                <w:szCs w:val="24"/>
              </w:rPr>
              <w:t>原厂售后服务承诺</w:t>
            </w:r>
          </w:p>
        </w:tc>
        <w:tc>
          <w:tcPr>
            <w:tcW w:w="1134" w:type="dxa"/>
            <w:tcBorders>
              <w:top w:val="single" w:color="auto" w:sz="4" w:space="0"/>
              <w:left w:val="single" w:color="auto" w:sz="4" w:space="0"/>
              <w:bottom w:val="single" w:color="auto" w:sz="4" w:space="0"/>
              <w:right w:val="single" w:color="auto" w:sz="4" w:space="0"/>
            </w:tcBorders>
            <w:vAlign w:val="center"/>
          </w:tcPr>
          <w:p w14:paraId="260D9B9D">
            <w:pPr>
              <w:spacing w:line="360" w:lineRule="auto"/>
              <w:jc w:val="center"/>
              <w:rPr>
                <w:rFonts w:ascii="仿宋" w:hAnsi="仿宋" w:eastAsia="仿宋" w:cs="仿宋"/>
                <w:sz w:val="24"/>
                <w:szCs w:val="24"/>
              </w:rPr>
            </w:pPr>
            <w:r>
              <w:rPr>
                <w:rFonts w:hint="eastAsia" w:ascii="仿宋" w:hAnsi="仿宋" w:eastAsia="仿宋" w:cs="仿宋"/>
                <w:sz w:val="24"/>
                <w:szCs w:val="24"/>
              </w:rPr>
              <w:t>★</w:t>
            </w:r>
          </w:p>
        </w:tc>
        <w:tc>
          <w:tcPr>
            <w:tcW w:w="6250" w:type="dxa"/>
            <w:tcBorders>
              <w:top w:val="single" w:color="auto" w:sz="4" w:space="0"/>
              <w:left w:val="single" w:color="auto" w:sz="4" w:space="0"/>
              <w:bottom w:val="single" w:color="auto" w:sz="4" w:space="0"/>
              <w:right w:val="single" w:color="auto" w:sz="4" w:space="0"/>
            </w:tcBorders>
            <w:vAlign w:val="center"/>
          </w:tcPr>
          <w:p w14:paraId="7317A78E">
            <w:pPr>
              <w:spacing w:line="360" w:lineRule="auto"/>
              <w:ind w:firstLine="218" w:firstLineChars="91"/>
              <w:rPr>
                <w:rFonts w:ascii="仿宋" w:hAnsi="仿宋" w:eastAsia="仿宋" w:cs="仿宋"/>
                <w:sz w:val="24"/>
                <w:szCs w:val="24"/>
                <w:lang w:eastAsia="zh-CN"/>
              </w:rPr>
            </w:pPr>
            <w:r>
              <w:rPr>
                <w:rFonts w:hint="eastAsia" w:ascii="仿宋" w:hAnsi="仿宋" w:eastAsia="仿宋" w:cs="仿宋"/>
                <w:sz w:val="24"/>
                <w:szCs w:val="24"/>
                <w:lang w:eastAsia="zh-CN"/>
              </w:rPr>
              <w:t>供应商承诺中标后提供生产厂商售后服务承诺函加盖原厂公章，原厂售后服务承诺函包括以下服务内容：不少于一年免费保修、备品备件、原厂工程师技术支持服务。</w:t>
            </w:r>
          </w:p>
          <w:p w14:paraId="6D83E466">
            <w:pPr>
              <w:spacing w:line="360" w:lineRule="auto"/>
              <w:ind w:firstLine="219" w:firstLineChars="91"/>
              <w:rPr>
                <w:rFonts w:ascii="仿宋" w:hAnsi="仿宋" w:eastAsia="仿宋" w:cs="仿宋"/>
                <w:sz w:val="24"/>
                <w:szCs w:val="24"/>
                <w:lang w:eastAsia="zh-CN"/>
              </w:rPr>
            </w:pPr>
            <w:r>
              <w:rPr>
                <w:rFonts w:hint="eastAsia" w:ascii="仿宋" w:hAnsi="仿宋" w:eastAsia="仿宋" w:cs="仿宋"/>
                <w:b/>
                <w:bCs/>
                <w:sz w:val="24"/>
                <w:szCs w:val="24"/>
                <w:lang w:eastAsia="zh-CN"/>
              </w:rPr>
              <w:t>注：提供承诺函并加盖供应商公章，格式自拟。</w:t>
            </w:r>
          </w:p>
        </w:tc>
      </w:tr>
      <w:tr w14:paraId="4B09972B">
        <w:tblPrEx>
          <w:tblCellMar>
            <w:top w:w="0" w:type="dxa"/>
            <w:left w:w="108" w:type="dxa"/>
            <w:bottom w:w="0" w:type="dxa"/>
            <w:right w:w="108" w:type="dxa"/>
          </w:tblCellMar>
        </w:tblPrEx>
        <w:trPr>
          <w:trHeight w:val="529" w:hRule="atLeast"/>
          <w:jc w:val="center"/>
        </w:trPr>
        <w:tc>
          <w:tcPr>
            <w:tcW w:w="780" w:type="dxa"/>
            <w:tcBorders>
              <w:top w:val="single" w:color="auto" w:sz="4" w:space="0"/>
              <w:left w:val="single" w:color="auto" w:sz="4" w:space="0"/>
              <w:bottom w:val="single" w:color="auto" w:sz="4" w:space="0"/>
              <w:right w:val="single" w:color="auto" w:sz="4" w:space="0"/>
            </w:tcBorders>
            <w:vAlign w:val="center"/>
          </w:tcPr>
          <w:p w14:paraId="1E96C46B">
            <w:pPr>
              <w:spacing w:line="360" w:lineRule="auto"/>
              <w:jc w:val="center"/>
              <w:rPr>
                <w:rFonts w:ascii="仿宋" w:hAnsi="仿宋" w:eastAsia="仿宋" w:cs="仿宋"/>
                <w:b/>
                <w:bCs/>
                <w:sz w:val="24"/>
                <w:szCs w:val="24"/>
              </w:rPr>
            </w:pPr>
            <w:r>
              <w:rPr>
                <w:rFonts w:hint="eastAsia" w:ascii="仿宋" w:hAnsi="仿宋" w:eastAsia="仿宋" w:cs="仿宋"/>
                <w:sz w:val="24"/>
                <w:szCs w:val="24"/>
              </w:rPr>
              <w:t>6</w:t>
            </w:r>
          </w:p>
        </w:tc>
        <w:tc>
          <w:tcPr>
            <w:tcW w:w="1134" w:type="dxa"/>
            <w:tcBorders>
              <w:top w:val="single" w:color="auto" w:sz="4" w:space="0"/>
              <w:left w:val="single" w:color="auto" w:sz="4" w:space="0"/>
              <w:bottom w:val="single" w:color="auto" w:sz="4" w:space="0"/>
              <w:right w:val="single" w:color="auto" w:sz="4" w:space="0"/>
            </w:tcBorders>
            <w:vAlign w:val="center"/>
          </w:tcPr>
          <w:p w14:paraId="18F9EC74">
            <w:pPr>
              <w:spacing w:line="360" w:lineRule="auto"/>
              <w:jc w:val="center"/>
              <w:rPr>
                <w:rFonts w:ascii="仿宋" w:hAnsi="仿宋" w:eastAsia="仿宋" w:cs="仿宋"/>
                <w:sz w:val="24"/>
                <w:szCs w:val="24"/>
              </w:rPr>
            </w:pPr>
            <w:r>
              <w:rPr>
                <w:rFonts w:hint="eastAsia" w:ascii="仿宋" w:hAnsi="仿宋" w:eastAsia="仿宋" w:cs="仿宋"/>
                <w:sz w:val="24"/>
                <w:szCs w:val="24"/>
              </w:rPr>
              <w:t>备品备件</w:t>
            </w:r>
          </w:p>
        </w:tc>
        <w:tc>
          <w:tcPr>
            <w:tcW w:w="1134" w:type="dxa"/>
            <w:tcBorders>
              <w:top w:val="single" w:color="auto" w:sz="4" w:space="0"/>
              <w:left w:val="single" w:color="auto" w:sz="4" w:space="0"/>
              <w:bottom w:val="single" w:color="auto" w:sz="4" w:space="0"/>
              <w:right w:val="single" w:color="auto" w:sz="4" w:space="0"/>
            </w:tcBorders>
            <w:vAlign w:val="center"/>
          </w:tcPr>
          <w:p w14:paraId="46F0DEBB">
            <w:pPr>
              <w:spacing w:line="360" w:lineRule="auto"/>
              <w:jc w:val="center"/>
              <w:rPr>
                <w:rFonts w:ascii="仿宋" w:hAnsi="仿宋" w:eastAsia="仿宋" w:cs="仿宋"/>
                <w:sz w:val="24"/>
                <w:szCs w:val="24"/>
              </w:rPr>
            </w:pPr>
            <w:r>
              <w:rPr>
                <w:rFonts w:hint="eastAsia" w:ascii="仿宋" w:hAnsi="仿宋" w:eastAsia="仿宋" w:cs="仿宋"/>
                <w:sz w:val="24"/>
                <w:szCs w:val="24"/>
              </w:rPr>
              <w:t>#</w:t>
            </w:r>
          </w:p>
        </w:tc>
        <w:tc>
          <w:tcPr>
            <w:tcW w:w="6250" w:type="dxa"/>
            <w:tcBorders>
              <w:top w:val="single" w:color="auto" w:sz="4" w:space="0"/>
              <w:left w:val="single" w:color="auto" w:sz="4" w:space="0"/>
              <w:bottom w:val="single" w:color="auto" w:sz="4" w:space="0"/>
              <w:right w:val="single" w:color="auto" w:sz="4" w:space="0"/>
            </w:tcBorders>
            <w:vAlign w:val="center"/>
          </w:tcPr>
          <w:p w14:paraId="219D7571">
            <w:pPr>
              <w:spacing w:line="360" w:lineRule="auto"/>
              <w:ind w:firstLine="218" w:firstLineChars="91"/>
              <w:rPr>
                <w:rFonts w:ascii="仿宋" w:hAnsi="仿宋" w:eastAsia="仿宋" w:cs="仿宋"/>
                <w:sz w:val="24"/>
                <w:szCs w:val="24"/>
                <w:lang w:eastAsia="zh-CN"/>
              </w:rPr>
            </w:pPr>
            <w:r>
              <w:rPr>
                <w:rFonts w:hint="eastAsia" w:ascii="仿宋" w:hAnsi="仿宋" w:eastAsia="仿宋" w:cs="仿宋"/>
                <w:sz w:val="24"/>
                <w:szCs w:val="24"/>
                <w:lang w:eastAsia="zh-CN"/>
              </w:rPr>
              <w:t>供应商承诺项目全部货物的各种部件、备品备件均保证齐备、充足供应，若因产品升级更新等原因不能保障供应造成采购人损失的，供应商承担全部赔偿责任，在交货时需向采购人提供货物常规备品备件。</w:t>
            </w:r>
          </w:p>
          <w:p w14:paraId="30AF2ACC">
            <w:pPr>
              <w:spacing w:line="360" w:lineRule="auto"/>
              <w:ind w:firstLine="219" w:firstLineChars="91"/>
              <w:rPr>
                <w:rFonts w:ascii="仿宋" w:hAnsi="仿宋" w:eastAsia="仿宋" w:cs="仿宋"/>
                <w:sz w:val="24"/>
                <w:szCs w:val="24"/>
                <w:lang w:eastAsia="zh-CN"/>
              </w:rPr>
            </w:pPr>
            <w:r>
              <w:rPr>
                <w:rFonts w:hint="eastAsia" w:ascii="仿宋" w:hAnsi="仿宋" w:eastAsia="仿宋" w:cs="仿宋"/>
                <w:b/>
                <w:bCs/>
                <w:sz w:val="24"/>
                <w:szCs w:val="24"/>
                <w:lang w:eastAsia="zh-CN"/>
              </w:rPr>
              <w:t>注：提供承诺函并加盖供应商公章，格式自拟。</w:t>
            </w:r>
          </w:p>
        </w:tc>
      </w:tr>
      <w:bookmarkEnd w:id="26"/>
    </w:tbl>
    <w:p w14:paraId="49F93C44">
      <w:pPr>
        <w:pStyle w:val="3"/>
        <w:keepNext/>
        <w:keepLines/>
        <w:numPr>
          <w:ilvl w:val="1"/>
          <w:numId w:val="0"/>
        </w:numPr>
        <w:spacing w:before="260" w:after="260" w:line="360" w:lineRule="auto"/>
        <w:jc w:val="both"/>
        <w:rPr>
          <w:rFonts w:ascii="仿宋" w:hAnsi="仿宋" w:eastAsia="仿宋" w:cs="宋体"/>
          <w:b/>
          <w:bCs/>
          <w:sz w:val="28"/>
          <w:szCs w:val="28"/>
          <w:lang w:eastAsia="zh-CN"/>
        </w:rPr>
      </w:pPr>
      <w:r>
        <w:rPr>
          <w:rFonts w:hint="eastAsia" w:ascii="仿宋" w:hAnsi="仿宋" w:eastAsia="仿宋" w:cs="宋体"/>
          <w:b/>
          <w:bCs/>
          <w:sz w:val="28"/>
          <w:szCs w:val="28"/>
          <w:lang w:eastAsia="zh-CN"/>
        </w:rPr>
        <w:t>7</w:t>
      </w:r>
      <w:r>
        <w:rPr>
          <w:rFonts w:hint="eastAsia" w:ascii="仿宋" w:hAnsi="仿宋" w:eastAsia="仿宋" w:cs="宋体"/>
          <w:b/>
          <w:bCs/>
          <w:sz w:val="28"/>
          <w:szCs w:val="28"/>
          <w:lang w:val="en-US" w:eastAsia="zh-CN"/>
        </w:rPr>
        <w:t>.</w:t>
      </w:r>
      <w:bookmarkStart w:id="29" w:name="_GoBack"/>
      <w:bookmarkEnd w:id="29"/>
      <w:r>
        <w:rPr>
          <w:rFonts w:hint="eastAsia" w:ascii="仿宋" w:hAnsi="仿宋" w:eastAsia="仿宋" w:cs="宋体"/>
          <w:b/>
          <w:bCs/>
          <w:sz w:val="28"/>
          <w:szCs w:val="28"/>
          <w:lang w:eastAsia="zh-CN"/>
        </w:rPr>
        <w:t>★验收标准及方法</w:t>
      </w:r>
      <w:bookmarkEnd w:id="22"/>
      <w:bookmarkEnd w:id="23"/>
      <w:bookmarkStart w:id="27" w:name="_bookmark78"/>
      <w:bookmarkEnd w:id="27"/>
      <w:bookmarkStart w:id="28" w:name="第六章__评标办法"/>
      <w:bookmarkEnd w:id="28"/>
    </w:p>
    <w:p w14:paraId="7989C8E7">
      <w:pPr>
        <w:pStyle w:val="6"/>
        <w:spacing w:line="360" w:lineRule="auto"/>
        <w:ind w:left="0" w:firstLine="439" w:firstLineChars="183"/>
        <w:rPr>
          <w:rFonts w:ascii="仿宋" w:hAnsi="仿宋" w:eastAsia="仿宋" w:cs="宋体"/>
          <w:sz w:val="24"/>
          <w:szCs w:val="24"/>
          <w:lang w:eastAsia="zh-CN"/>
        </w:rPr>
      </w:pPr>
      <w:r>
        <w:rPr>
          <w:rFonts w:hint="eastAsia" w:ascii="仿宋" w:hAnsi="仿宋" w:eastAsia="仿宋" w:cs="宋体"/>
          <w:sz w:val="24"/>
          <w:szCs w:val="24"/>
          <w:lang w:eastAsia="zh-CN"/>
        </w:rPr>
        <w:t>1.货物到达现场后，供应商应在采购人在场情况下当面开包，共同清点、检查外观，作出验货记录，双方签字确认后开始安装调试。</w:t>
      </w:r>
    </w:p>
    <w:p w14:paraId="35ED3BB5">
      <w:pPr>
        <w:pStyle w:val="6"/>
        <w:spacing w:line="360" w:lineRule="auto"/>
        <w:ind w:left="0" w:firstLine="439" w:firstLineChars="183"/>
        <w:rPr>
          <w:rFonts w:ascii="仿宋" w:hAnsi="仿宋" w:eastAsia="仿宋" w:cs="宋体"/>
          <w:sz w:val="24"/>
          <w:szCs w:val="24"/>
          <w:lang w:eastAsia="zh-CN"/>
        </w:rPr>
      </w:pPr>
      <w:r>
        <w:rPr>
          <w:rFonts w:hint="eastAsia" w:ascii="仿宋" w:hAnsi="仿宋" w:eastAsia="仿宋" w:cs="宋体"/>
          <w:sz w:val="24"/>
          <w:szCs w:val="24"/>
          <w:lang w:eastAsia="zh-CN"/>
        </w:rPr>
        <w:t>2.中标供应商应保证货物到达采购人所在地完好无损，如有缺漏、损坏，由供应商负责调换、补齐或赔偿。</w:t>
      </w:r>
    </w:p>
    <w:p w14:paraId="691856E8">
      <w:pPr>
        <w:pStyle w:val="6"/>
        <w:spacing w:line="360" w:lineRule="auto"/>
        <w:ind w:left="0" w:firstLine="439" w:firstLineChars="183"/>
        <w:rPr>
          <w:rFonts w:ascii="仿宋" w:hAnsi="仿宋" w:eastAsia="仿宋" w:cs="宋体"/>
          <w:sz w:val="24"/>
          <w:szCs w:val="24"/>
          <w:lang w:eastAsia="zh-CN"/>
        </w:rPr>
      </w:pPr>
      <w:r>
        <w:rPr>
          <w:rFonts w:hint="eastAsia" w:ascii="仿宋" w:hAnsi="仿宋" w:eastAsia="仿宋" w:cs="宋体"/>
          <w:sz w:val="24"/>
          <w:szCs w:val="24"/>
          <w:lang w:eastAsia="zh-CN"/>
        </w:rPr>
        <w:t>3.中标供应商应提供完备的技术资料、装箱单、授权文件或生产厂商提供的原厂正品出货证明材料（非装箱清单组成材料）等，并派遣专业技术人员进行现场部署调试。验收合格条件如下：</w:t>
      </w:r>
    </w:p>
    <w:p w14:paraId="65CAFF69">
      <w:pPr>
        <w:pStyle w:val="6"/>
        <w:spacing w:line="360" w:lineRule="auto"/>
        <w:ind w:left="0" w:firstLine="439" w:firstLineChars="183"/>
        <w:rPr>
          <w:rFonts w:ascii="仿宋" w:hAnsi="仿宋" w:eastAsia="仿宋" w:cs="宋体"/>
          <w:sz w:val="24"/>
          <w:szCs w:val="24"/>
          <w:lang w:eastAsia="zh-CN"/>
        </w:rPr>
      </w:pPr>
      <w:r>
        <w:rPr>
          <w:rFonts w:hint="eastAsia" w:ascii="仿宋" w:hAnsi="仿宋" w:eastAsia="仿宋" w:cs="宋体"/>
          <w:sz w:val="24"/>
          <w:szCs w:val="24"/>
          <w:lang w:eastAsia="zh-CN"/>
        </w:rPr>
        <w:t>（1）产品技术参数与采购合同一致，性能指标达到规定的标准；</w:t>
      </w:r>
    </w:p>
    <w:p w14:paraId="37B54606">
      <w:pPr>
        <w:pStyle w:val="6"/>
        <w:spacing w:line="360" w:lineRule="auto"/>
        <w:ind w:left="0" w:firstLine="439" w:firstLineChars="183"/>
        <w:rPr>
          <w:rFonts w:ascii="仿宋" w:hAnsi="仿宋" w:eastAsia="仿宋" w:cs="宋体"/>
          <w:sz w:val="24"/>
          <w:szCs w:val="24"/>
          <w:lang w:eastAsia="zh-CN"/>
        </w:rPr>
      </w:pPr>
      <w:r>
        <w:rPr>
          <w:rFonts w:hint="eastAsia" w:ascii="仿宋" w:hAnsi="仿宋" w:eastAsia="仿宋" w:cs="宋体"/>
          <w:sz w:val="24"/>
          <w:szCs w:val="24"/>
          <w:lang w:eastAsia="zh-CN"/>
        </w:rPr>
        <w:t>（2）产品技术资料、装箱单、授权文件或生产厂商提供的原厂正品出货证明材料等资料齐全；</w:t>
      </w:r>
    </w:p>
    <w:p w14:paraId="404C16B7">
      <w:pPr>
        <w:pStyle w:val="6"/>
        <w:spacing w:line="360" w:lineRule="auto"/>
        <w:ind w:left="0" w:firstLine="439" w:firstLineChars="183"/>
        <w:rPr>
          <w:rFonts w:ascii="仿宋" w:hAnsi="仿宋" w:eastAsia="仿宋" w:cs="宋体"/>
          <w:sz w:val="24"/>
          <w:szCs w:val="24"/>
          <w:lang w:eastAsia="zh-CN"/>
        </w:rPr>
      </w:pPr>
      <w:r>
        <w:rPr>
          <w:rFonts w:hint="eastAsia" w:ascii="仿宋" w:hAnsi="仿宋" w:eastAsia="仿宋" w:cs="宋体"/>
          <w:sz w:val="24"/>
          <w:szCs w:val="24"/>
          <w:lang w:eastAsia="zh-CN"/>
        </w:rPr>
        <w:t>（3）在产品（系统）试运行期间所出现的问题得到解决，并运行正常；</w:t>
      </w:r>
    </w:p>
    <w:p w14:paraId="42104FB5">
      <w:pPr>
        <w:pStyle w:val="6"/>
        <w:spacing w:line="360" w:lineRule="auto"/>
        <w:ind w:left="0" w:firstLine="439" w:firstLineChars="183"/>
        <w:rPr>
          <w:rFonts w:ascii="仿宋" w:hAnsi="仿宋" w:eastAsia="仿宋" w:cs="宋体"/>
          <w:sz w:val="24"/>
          <w:szCs w:val="24"/>
          <w:lang w:eastAsia="zh-CN"/>
        </w:rPr>
      </w:pPr>
      <w:r>
        <w:rPr>
          <w:rFonts w:hint="eastAsia" w:ascii="仿宋" w:hAnsi="仿宋" w:eastAsia="仿宋" w:cs="宋体"/>
          <w:sz w:val="24"/>
          <w:szCs w:val="24"/>
          <w:lang w:eastAsia="zh-CN"/>
        </w:rPr>
        <w:t>（4）在规定时间内完成交货并验收，并经采购人确认。</w:t>
      </w:r>
    </w:p>
    <w:p w14:paraId="06CEBBCF">
      <w:pPr>
        <w:pStyle w:val="6"/>
        <w:spacing w:line="360" w:lineRule="auto"/>
        <w:ind w:left="0" w:firstLine="439" w:firstLineChars="183"/>
        <w:rPr>
          <w:rFonts w:ascii="仿宋" w:hAnsi="仿宋" w:eastAsia="仿宋" w:cs="宋体"/>
          <w:sz w:val="24"/>
          <w:szCs w:val="24"/>
          <w:lang w:eastAsia="zh-CN"/>
        </w:rPr>
      </w:pPr>
      <w:r>
        <w:rPr>
          <w:rFonts w:hint="eastAsia" w:ascii="仿宋" w:hAnsi="仿宋" w:eastAsia="仿宋" w:cs="宋体"/>
          <w:sz w:val="24"/>
          <w:szCs w:val="24"/>
          <w:lang w:eastAsia="zh-CN"/>
        </w:rPr>
        <w:t>4.产品在部署调试并试运行符合要求后，才作为最终验收。</w:t>
      </w:r>
    </w:p>
    <w:p w14:paraId="44079AA3">
      <w:pPr>
        <w:pStyle w:val="6"/>
        <w:spacing w:line="360" w:lineRule="auto"/>
        <w:ind w:left="0" w:firstLine="439" w:firstLineChars="183"/>
        <w:rPr>
          <w:rFonts w:ascii="仿宋" w:hAnsi="仿宋" w:eastAsia="仿宋" w:cs="宋体"/>
          <w:b/>
          <w:bCs/>
          <w:sz w:val="24"/>
          <w:szCs w:val="24"/>
          <w:lang w:eastAsia="zh-CN"/>
        </w:rPr>
      </w:pPr>
      <w:r>
        <w:rPr>
          <w:rFonts w:hint="eastAsia" w:ascii="仿宋" w:hAnsi="仿宋" w:eastAsia="仿宋" w:cs="宋体"/>
          <w:sz w:val="24"/>
          <w:szCs w:val="24"/>
          <w:lang w:eastAsia="zh-CN"/>
        </w:rPr>
        <w:t>5.采购人对供应商交付的产品（包括质量、技术参数等）进行确认，并出具书面验收意见。</w:t>
      </w:r>
    </w:p>
    <w:p w14:paraId="72C44005">
      <w:pPr>
        <w:pStyle w:val="6"/>
        <w:ind w:left="0" w:firstLine="0" w:firstLineChars="0"/>
        <w:jc w:val="center"/>
        <w:rPr>
          <w:rFonts w:ascii="仿宋" w:hAnsi="仿宋" w:eastAsia="仿宋" w:cs="宋体"/>
          <w:b/>
          <w:bCs/>
          <w:sz w:val="24"/>
          <w:szCs w:val="24"/>
          <w:lang w:eastAsia="zh-CN"/>
        </w:rPr>
      </w:pPr>
      <w:r>
        <w:rPr>
          <w:rFonts w:hint="eastAsia" w:ascii="仿宋" w:hAnsi="仿宋" w:eastAsia="仿宋" w:cs="宋体"/>
          <w:b/>
          <w:bCs/>
          <w:sz w:val="24"/>
          <w:szCs w:val="24"/>
          <w:lang w:eastAsia="zh-CN"/>
        </w:rPr>
        <w:t>注：本章中加★号指标为实质性指标，不满足将导致投标被拒绝。</w:t>
      </w:r>
    </w:p>
    <w:p w14:paraId="6AD70B2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02C0F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Theme="minorHAnsi" w:hAnsiTheme="minorHAnsi" w:eastAsiaTheme="minorEastAsia" w:cstheme="minorBidi"/>
      <w:sz w:val="22"/>
      <w:szCs w:val="22"/>
      <w:lang w:val="en-US" w:eastAsia="en-US" w:bidi="ar-SA"/>
    </w:rPr>
  </w:style>
  <w:style w:type="paragraph" w:styleId="2">
    <w:name w:val="heading 1"/>
    <w:basedOn w:val="1"/>
    <w:next w:val="1"/>
    <w:qFormat/>
    <w:uiPriority w:val="0"/>
    <w:pPr>
      <w:outlineLvl w:val="0"/>
    </w:pPr>
    <w:rPr>
      <w:rFonts w:ascii="Microsoft JhengHei" w:hAnsi="Microsoft JhengHei" w:eastAsia="Microsoft JhengHei"/>
      <w:sz w:val="36"/>
      <w:szCs w:val="36"/>
    </w:rPr>
  </w:style>
  <w:style w:type="paragraph" w:styleId="3">
    <w:name w:val="heading 2"/>
    <w:basedOn w:val="1"/>
    <w:next w:val="1"/>
    <w:qFormat/>
    <w:uiPriority w:val="0"/>
    <w:pPr>
      <w:ind w:left="3579"/>
      <w:outlineLvl w:val="1"/>
    </w:pPr>
    <w:rPr>
      <w:rFonts w:ascii="Microsoft JhengHei" w:hAnsi="Microsoft JhengHei" w:eastAsia="Microsoft JhengHei"/>
      <w:sz w:val="32"/>
      <w:szCs w:val="32"/>
    </w:rPr>
  </w:style>
  <w:style w:type="character" w:default="1" w:styleId="9">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4">
    <w:name w:val="Normal Indent"/>
    <w:basedOn w:val="1"/>
    <w:qFormat/>
    <w:uiPriority w:val="0"/>
    <w:pPr>
      <w:spacing w:after="180" w:line="309" w:lineRule="auto"/>
      <w:ind w:firstLine="420"/>
      <w:jc w:val="both"/>
    </w:pPr>
    <w:rPr>
      <w:rFonts w:ascii="Times New Roman" w:hAnsi="Times New Roman" w:eastAsia="宋体" w:cs="Times New Roman"/>
      <w:kern w:val="2"/>
      <w:sz w:val="21"/>
      <w:szCs w:val="20"/>
      <w:lang w:eastAsia="zh-CN"/>
    </w:rPr>
  </w:style>
  <w:style w:type="paragraph" w:styleId="5">
    <w:name w:val="Body Text"/>
    <w:basedOn w:val="1"/>
    <w:qFormat/>
    <w:uiPriority w:val="1"/>
    <w:pPr>
      <w:ind w:left="118"/>
    </w:pPr>
    <w:rPr>
      <w:rFonts w:ascii="宋体" w:hAnsi="宋体" w:eastAsia="宋体"/>
      <w:sz w:val="24"/>
      <w:szCs w:val="24"/>
    </w:rPr>
  </w:style>
  <w:style w:type="paragraph" w:styleId="6">
    <w:name w:val="Body Text First Indent"/>
    <w:basedOn w:val="5"/>
    <w:qFormat/>
    <w:uiPriority w:val="0"/>
    <w:pPr>
      <w:ind w:firstLine="420" w:firstLineChars="100"/>
    </w:pPr>
    <w:rPr>
      <w:sz w:val="18"/>
      <w:szCs w:val="18"/>
    </w:rPr>
  </w:style>
  <w:style w:type="table" w:styleId="8">
    <w:name w:val="Table Grid"/>
    <w:basedOn w:val="7"/>
    <w:qFormat/>
    <w:uiPriority w:val="5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2026-07-29T06:53:10Z</dcterms:created>
  <dc:creator>zh</dc:creator>
  <cp:lastModifiedBy>中恒德佳</cp:lastModifiedBy>
  <dcterms:modified xsi:type="dcterms:W3CDTF">2026-07-29T06:54:52Z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eyJoZGlkIjoiOTYyYjM2NTVhMmYxYzBiOWRmMjFmODgwMWU2ZGUzMGMiLCJ1c2VySWQiOiIyNzc5MTAxMzAifQ==</vt:lpwstr>
  </property>
  <property fmtid="{D5CDD505-2E9C-101B-9397-08002B2CF9AE}" pid="4" name="ICV">
    <vt:lpwstr>9EACA61D3690456D868BD306EA7E02B6_12</vt:lpwstr>
  </property>
</Properties>
</file>