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adjustRightInd w:val="0"/>
        <w:snapToGrid w:val="0"/>
        <w:spacing w:line="240" w:lineRule="atLeast"/>
        <w:rPr>
          <w:rFonts w:hAnsi="宋体"/>
          <w:color w:val="000000" w:themeColor="text1"/>
          <w:sz w:val="44"/>
          <w14:textFill>
            <w14:solidFill>
              <w14:schemeClr w14:val="tx1"/>
            </w14:solidFill>
          </w14:textFill>
        </w:rPr>
      </w:pPr>
    </w:p>
    <w:p>
      <w:pPr>
        <w:pStyle w:val="26"/>
        <w:adjustRightInd w:val="0"/>
        <w:snapToGrid w:val="0"/>
        <w:spacing w:line="240" w:lineRule="atLeast"/>
        <w:rPr>
          <w:rFonts w:hAnsi="宋体"/>
          <w:color w:val="000000" w:themeColor="text1"/>
          <w:sz w:val="44"/>
          <w14:textFill>
            <w14:solidFill>
              <w14:schemeClr w14:val="tx1"/>
            </w14:solidFill>
          </w14:textFill>
        </w:rPr>
      </w:pPr>
    </w:p>
    <w:p>
      <w:pPr>
        <w:pStyle w:val="26"/>
        <w:adjustRightInd w:val="0"/>
        <w:snapToGrid w:val="0"/>
        <w:spacing w:line="240" w:lineRule="atLeast"/>
        <w:rPr>
          <w:rFonts w:hAnsi="宋体"/>
          <w:color w:val="000000" w:themeColor="text1"/>
          <w:sz w:val="44"/>
          <w14:textFill>
            <w14:solidFill>
              <w14:schemeClr w14:val="tx1"/>
            </w14:solidFill>
          </w14:textFill>
        </w:rPr>
      </w:pPr>
    </w:p>
    <w:p>
      <w:pPr>
        <w:pStyle w:val="26"/>
        <w:adjustRightInd w:val="0"/>
        <w:snapToGrid w:val="0"/>
        <w:spacing w:line="240" w:lineRule="atLeast"/>
        <w:jc w:val="center"/>
        <w:rPr>
          <w:rFonts w:asciiTheme="minorEastAsia" w:hAnsiTheme="minorEastAsia" w:eastAsiaTheme="minorEastAsia" w:cstheme="minorEastAsia"/>
          <w:b/>
          <w:color w:val="000000" w:themeColor="text1"/>
          <w:sz w:val="84"/>
          <w:szCs w:val="84"/>
          <w14:textFill>
            <w14:solidFill>
              <w14:schemeClr w14:val="tx1"/>
            </w14:solidFill>
          </w14:textFill>
        </w:rPr>
      </w:pPr>
      <w:r>
        <w:rPr>
          <w:rFonts w:hint="eastAsia" w:asciiTheme="minorEastAsia" w:hAnsiTheme="minorEastAsia" w:eastAsiaTheme="minorEastAsia" w:cstheme="minorEastAsia"/>
          <w:b/>
          <w:color w:val="000000" w:themeColor="text1"/>
          <w:sz w:val="84"/>
          <w:szCs w:val="84"/>
          <w14:textFill>
            <w14:solidFill>
              <w14:schemeClr w14:val="tx1"/>
            </w14:solidFill>
          </w14:textFill>
        </w:rPr>
        <w:t>政府采购</w:t>
      </w:r>
    </w:p>
    <w:p>
      <w:pPr>
        <w:pStyle w:val="26"/>
        <w:adjustRightInd w:val="0"/>
        <w:snapToGrid w:val="0"/>
        <w:spacing w:line="240" w:lineRule="atLeast"/>
        <w:jc w:val="center"/>
        <w:rPr>
          <w:rFonts w:asciiTheme="minorEastAsia" w:hAnsiTheme="minorEastAsia" w:eastAsiaTheme="minorEastAsia" w:cstheme="minorEastAsia"/>
          <w:b/>
          <w:color w:val="000000" w:themeColor="text1"/>
          <w:sz w:val="84"/>
          <w:szCs w:val="84"/>
          <w14:textFill>
            <w14:solidFill>
              <w14:schemeClr w14:val="tx1"/>
            </w14:solidFill>
          </w14:textFill>
        </w:rPr>
      </w:pPr>
      <w:r>
        <w:rPr>
          <w:rFonts w:hint="eastAsia" w:asciiTheme="minorEastAsia" w:hAnsiTheme="minorEastAsia" w:eastAsiaTheme="minorEastAsia" w:cstheme="minorEastAsia"/>
          <w:b/>
          <w:color w:val="000000" w:themeColor="text1"/>
          <w:sz w:val="84"/>
          <w:szCs w:val="84"/>
          <w14:textFill>
            <w14:solidFill>
              <w14:schemeClr w14:val="tx1"/>
            </w14:solidFill>
          </w14:textFill>
        </w:rPr>
        <w:t>货物项目招标文件</w:t>
      </w:r>
    </w:p>
    <w:p>
      <w:pPr>
        <w:pStyle w:val="26"/>
        <w:adjustRightInd w:val="0"/>
        <w:snapToGrid w:val="0"/>
        <w:spacing w:line="240" w:lineRule="atLeast"/>
        <w:jc w:val="center"/>
        <w:rPr>
          <w:rFonts w:ascii="华文中宋" w:hAnsi="华文中宋" w:eastAsia="华文中宋"/>
          <w:b/>
          <w:bCs/>
          <w:color w:val="000000" w:themeColor="text1"/>
          <w:sz w:val="44"/>
          <w:szCs w:val="44"/>
          <w14:textFill>
            <w14:solidFill>
              <w14:schemeClr w14:val="tx1"/>
            </w14:solidFill>
          </w14:textFill>
        </w:rPr>
      </w:pPr>
    </w:p>
    <w:p>
      <w:pPr>
        <w:pStyle w:val="26"/>
        <w:adjustRightInd w:val="0"/>
        <w:snapToGrid w:val="0"/>
        <w:spacing w:line="240" w:lineRule="atLeast"/>
        <w:jc w:val="center"/>
        <w:rPr>
          <w:rFonts w:ascii="华文中宋" w:hAnsi="华文中宋" w:eastAsia="华文中宋"/>
          <w:b/>
          <w:bCs/>
          <w:color w:val="000000" w:themeColor="text1"/>
          <w:sz w:val="44"/>
          <w:szCs w:val="44"/>
          <w14:textFill>
            <w14:solidFill>
              <w14:schemeClr w14:val="tx1"/>
            </w14:solidFill>
          </w14:textFill>
        </w:rPr>
      </w:pPr>
    </w:p>
    <w:p>
      <w:pPr>
        <w:adjustRightInd w:val="0"/>
        <w:snapToGrid w:val="0"/>
        <w:spacing w:line="360" w:lineRule="auto"/>
        <w:ind w:firstLine="1124" w:firstLineChars="400"/>
        <w:rPr>
          <w:rFonts w:hAnsi="宋体"/>
          <w:b/>
          <w:color w:val="000000" w:themeColor="text1"/>
          <w:sz w:val="28"/>
          <w:szCs w:val="28"/>
          <w14:textFill>
            <w14:solidFill>
              <w14:schemeClr w14:val="tx1"/>
            </w14:solidFill>
          </w14:textFill>
        </w:rPr>
      </w:pPr>
    </w:p>
    <w:p>
      <w:pPr>
        <w:adjustRightInd w:val="0"/>
        <w:snapToGrid w:val="0"/>
        <w:spacing w:line="360" w:lineRule="auto"/>
        <w:ind w:firstLine="1124" w:firstLineChars="400"/>
        <w:rPr>
          <w:rFonts w:hAnsi="宋体"/>
          <w:b/>
          <w:color w:val="000000" w:themeColor="text1"/>
          <w:sz w:val="28"/>
          <w:szCs w:val="28"/>
          <w14:textFill>
            <w14:solidFill>
              <w14:schemeClr w14:val="tx1"/>
            </w14:solidFill>
          </w14:textFill>
        </w:rPr>
      </w:pPr>
    </w:p>
    <w:p>
      <w:pPr>
        <w:adjustRightInd w:val="0"/>
        <w:snapToGrid w:val="0"/>
        <w:spacing w:line="360" w:lineRule="auto"/>
        <w:ind w:left="3521" w:leftChars="300" w:hanging="2891" w:hangingChars="800"/>
        <w:rPr>
          <w:rFonts w:hint="eastAsia" w:ascii="宋体" w:hAnsi="宋体" w:eastAsia="宋体" w:cs="宋体"/>
          <w:b/>
          <w:color w:val="auto"/>
          <w:sz w:val="36"/>
          <w:szCs w:val="36"/>
          <w:lang w:eastAsia="zh-CN"/>
        </w:rPr>
      </w:pPr>
      <w:r>
        <w:rPr>
          <w:rFonts w:hint="eastAsia" w:ascii="宋体" w:hAnsi="宋体" w:cs="宋体"/>
          <w:b/>
          <w:color w:val="auto"/>
          <w:sz w:val="36"/>
          <w:szCs w:val="36"/>
        </w:rPr>
        <w:t>采购项目名称：</w:t>
      </w:r>
      <w:r>
        <w:rPr>
          <w:rFonts w:hint="eastAsia" w:ascii="宋体" w:hAnsi="宋体" w:cs="宋体"/>
          <w:bCs/>
          <w:color w:val="auto"/>
          <w:sz w:val="36"/>
          <w:szCs w:val="36"/>
          <w:u w:val="single"/>
          <w:lang w:eastAsia="zh-CN"/>
        </w:rPr>
        <w:t>长沙市消防救援支队2022装备采购ZT-通信类</w:t>
      </w:r>
    </w:p>
    <w:p>
      <w:pPr>
        <w:adjustRightInd w:val="0"/>
        <w:snapToGrid w:val="0"/>
        <w:spacing w:line="360" w:lineRule="auto"/>
        <w:ind w:firstLine="1084" w:firstLineChars="300"/>
        <w:rPr>
          <w:rFonts w:hint="eastAsia" w:ascii="宋体" w:hAnsi="宋体" w:eastAsia="宋体" w:cs="宋体"/>
          <w:b/>
          <w:color w:val="auto"/>
          <w:sz w:val="36"/>
          <w:szCs w:val="36"/>
          <w:u w:val="single"/>
          <w:lang w:eastAsia="zh-CN"/>
        </w:rPr>
      </w:pPr>
      <w:r>
        <w:rPr>
          <w:rFonts w:hint="eastAsia" w:ascii="宋体" w:hAnsi="宋体" w:cs="宋体"/>
          <w:b/>
          <w:color w:val="auto"/>
          <w:sz w:val="36"/>
          <w:szCs w:val="36"/>
        </w:rPr>
        <w:t>采购代理编号：</w:t>
      </w:r>
      <w:r>
        <w:rPr>
          <w:rFonts w:hint="eastAsia" w:ascii="宋体" w:hAnsi="宋体" w:cs="宋体"/>
          <w:b w:val="0"/>
          <w:bCs/>
          <w:color w:val="auto"/>
          <w:sz w:val="36"/>
          <w:szCs w:val="36"/>
          <w:u w:val="single"/>
          <w:lang w:eastAsia="zh-CN"/>
        </w:rPr>
        <w:t>HNZT-2023ZF123</w:t>
      </w:r>
    </w:p>
    <w:p>
      <w:pPr>
        <w:adjustRightInd w:val="0"/>
        <w:snapToGrid w:val="0"/>
        <w:spacing w:line="360" w:lineRule="auto"/>
        <w:ind w:firstLine="1084" w:firstLineChars="300"/>
        <w:rPr>
          <w:rFonts w:ascii="宋体" w:hAnsi="宋体" w:cs="宋体"/>
          <w:b/>
          <w:color w:val="auto"/>
          <w:sz w:val="36"/>
          <w:szCs w:val="36"/>
        </w:rPr>
      </w:pPr>
      <w:r>
        <w:rPr>
          <w:rFonts w:hint="eastAsia" w:ascii="宋体" w:hAnsi="宋体" w:cs="宋体"/>
          <w:b/>
          <w:color w:val="auto"/>
          <w:sz w:val="36"/>
          <w:szCs w:val="36"/>
        </w:rPr>
        <w:t>采购人：</w:t>
      </w:r>
      <w:r>
        <w:rPr>
          <w:rFonts w:hint="eastAsia" w:ascii="宋体" w:hAnsi="宋体" w:cs="宋体"/>
          <w:bCs/>
          <w:color w:val="auto"/>
          <w:sz w:val="36"/>
          <w:szCs w:val="36"/>
          <w:u w:val="single"/>
        </w:rPr>
        <w:t>长沙市消防救援支队</w:t>
      </w:r>
    </w:p>
    <w:p>
      <w:pPr>
        <w:pStyle w:val="26"/>
        <w:spacing w:line="360" w:lineRule="auto"/>
        <w:ind w:firstLine="1084" w:firstLineChars="300"/>
        <w:rPr>
          <w:rFonts w:hint="default" w:hAnsi="宋体" w:eastAsia="宋体" w:cs="宋体"/>
          <w:bCs/>
          <w:color w:val="auto"/>
          <w:sz w:val="32"/>
          <w:szCs w:val="32"/>
          <w:lang w:val="en-US" w:eastAsia="zh-CN"/>
        </w:rPr>
      </w:pPr>
      <w:r>
        <w:rPr>
          <w:rFonts w:hint="eastAsia" w:hAnsi="宋体" w:cs="宋体"/>
          <w:b/>
          <w:color w:val="auto"/>
          <w:sz w:val="36"/>
          <w:szCs w:val="36"/>
        </w:rPr>
        <w:t>采购代理机构：</w:t>
      </w:r>
      <w:r>
        <w:rPr>
          <w:rFonts w:hint="eastAsia" w:hAnsi="宋体" w:cs="宋体"/>
          <w:bCs/>
          <w:color w:val="auto"/>
          <w:sz w:val="36"/>
          <w:szCs w:val="36"/>
          <w:u w:val="single"/>
          <w:lang w:val="en-US" w:eastAsia="zh-CN"/>
        </w:rPr>
        <w:t>湖南中投项目管理有限公司</w:t>
      </w:r>
    </w:p>
    <w:p>
      <w:pPr>
        <w:pStyle w:val="26"/>
        <w:adjustRightInd w:val="0"/>
        <w:snapToGrid w:val="0"/>
        <w:spacing w:line="240" w:lineRule="atLeast"/>
        <w:rPr>
          <w:rFonts w:hAnsi="宋体"/>
          <w:bCs/>
          <w:color w:val="000000" w:themeColor="text1"/>
          <w:sz w:val="32"/>
          <w:szCs w:val="32"/>
          <w14:textFill>
            <w14:solidFill>
              <w14:schemeClr w14:val="tx1"/>
            </w14:solidFill>
          </w14:textFill>
        </w:rPr>
      </w:pPr>
    </w:p>
    <w:p>
      <w:pPr>
        <w:pStyle w:val="26"/>
        <w:adjustRightInd w:val="0"/>
        <w:snapToGrid w:val="0"/>
        <w:spacing w:line="240" w:lineRule="atLeast"/>
        <w:rPr>
          <w:rFonts w:hAnsi="宋体"/>
          <w:bCs/>
          <w:color w:val="auto"/>
          <w:sz w:val="32"/>
          <w:szCs w:val="32"/>
        </w:rPr>
      </w:pPr>
    </w:p>
    <w:p>
      <w:pPr>
        <w:pStyle w:val="26"/>
        <w:adjustRightInd w:val="0"/>
        <w:snapToGrid w:val="0"/>
        <w:spacing w:line="240" w:lineRule="atLeast"/>
        <w:jc w:val="center"/>
        <w:rPr>
          <w:rFonts w:hAnsi="宋体"/>
          <w:bCs/>
          <w:color w:val="auto"/>
          <w:sz w:val="32"/>
          <w:szCs w:val="32"/>
        </w:rPr>
      </w:pPr>
    </w:p>
    <w:p>
      <w:pPr>
        <w:pStyle w:val="26"/>
        <w:adjustRightInd w:val="0"/>
        <w:snapToGrid w:val="0"/>
        <w:spacing w:line="240" w:lineRule="atLeast"/>
        <w:jc w:val="center"/>
        <w:rPr>
          <w:rFonts w:hAnsi="宋体"/>
          <w:b/>
          <w:bCs/>
          <w:color w:val="auto"/>
          <w:sz w:val="36"/>
          <w:szCs w:val="36"/>
        </w:rPr>
      </w:pPr>
      <w:r>
        <w:rPr>
          <w:rFonts w:hint="eastAsia" w:hAnsi="宋体"/>
          <w:b/>
          <w:color w:val="auto"/>
          <w:sz w:val="36"/>
          <w:szCs w:val="36"/>
        </w:rPr>
        <w:t xml:space="preserve"> 202</w:t>
      </w:r>
      <w:r>
        <w:rPr>
          <w:rFonts w:hint="eastAsia" w:hAnsi="宋体"/>
          <w:b/>
          <w:color w:val="auto"/>
          <w:sz w:val="36"/>
          <w:szCs w:val="36"/>
          <w:lang w:val="en-US" w:eastAsia="zh-CN"/>
        </w:rPr>
        <w:t>3</w:t>
      </w:r>
      <w:r>
        <w:rPr>
          <w:rFonts w:hint="eastAsia" w:hAnsi="宋体"/>
          <w:b/>
          <w:color w:val="auto"/>
          <w:sz w:val="36"/>
          <w:szCs w:val="36"/>
        </w:rPr>
        <w:t>年</w:t>
      </w:r>
      <w:r>
        <w:rPr>
          <w:rFonts w:hint="eastAsia" w:hAnsi="宋体"/>
          <w:b/>
          <w:color w:val="auto"/>
          <w:sz w:val="36"/>
          <w:szCs w:val="36"/>
          <w:lang w:val="en-US" w:eastAsia="zh-CN"/>
        </w:rPr>
        <w:t>10</w:t>
      </w:r>
      <w:r>
        <w:rPr>
          <w:rFonts w:hint="eastAsia" w:hAnsi="宋体"/>
          <w:b/>
          <w:color w:val="auto"/>
          <w:sz w:val="36"/>
          <w:szCs w:val="36"/>
        </w:rPr>
        <w:t>月</w:t>
      </w:r>
    </w:p>
    <w:p>
      <w:pPr>
        <w:pStyle w:val="26"/>
        <w:adjustRightInd w:val="0"/>
        <w:snapToGrid w:val="0"/>
        <w:spacing w:line="240" w:lineRule="atLeast"/>
        <w:jc w:val="center"/>
        <w:rPr>
          <w:rFonts w:hAnsi="宋体"/>
          <w:b/>
          <w:bCs/>
          <w:color w:val="auto"/>
          <w:sz w:val="32"/>
          <w:szCs w:val="32"/>
        </w:rPr>
      </w:pPr>
    </w:p>
    <w:p>
      <w:pPr>
        <w:pStyle w:val="26"/>
        <w:adjustRightInd w:val="0"/>
        <w:snapToGrid w:val="0"/>
        <w:spacing w:line="240" w:lineRule="atLeast"/>
        <w:jc w:val="center"/>
        <w:rPr>
          <w:rFonts w:hAnsi="宋体"/>
          <w:b/>
          <w:bCs/>
          <w:color w:val="auto"/>
          <w:sz w:val="32"/>
          <w:szCs w:val="32"/>
        </w:rPr>
        <w:sectPr>
          <w:headerReference r:id="rId3" w:type="default"/>
          <w:pgSz w:w="11906" w:h="16838"/>
          <w:pgMar w:top="1327" w:right="1327" w:bottom="1327" w:left="1440" w:header="851" w:footer="992" w:gutter="0"/>
          <w:cols w:space="0" w:num="1"/>
          <w:docGrid w:type="lines" w:linePitch="315" w:charSpace="0"/>
        </w:sectPr>
      </w:pPr>
    </w:p>
    <w:p>
      <w:pPr>
        <w:pStyle w:val="26"/>
        <w:adjustRightInd w:val="0"/>
        <w:snapToGrid w:val="0"/>
        <w:spacing w:line="360" w:lineRule="auto"/>
        <w:jc w:val="center"/>
        <w:rPr>
          <w:rFonts w:ascii="华文中宋" w:hAnsi="华文中宋" w:eastAsia="华文中宋"/>
          <w:b/>
          <w:color w:val="auto"/>
          <w:spacing w:val="160"/>
          <w:sz w:val="36"/>
          <w:szCs w:val="36"/>
        </w:rPr>
      </w:pPr>
    </w:p>
    <w:p>
      <w:pPr>
        <w:pStyle w:val="26"/>
        <w:adjustRightInd w:val="0"/>
        <w:snapToGrid w:val="0"/>
        <w:spacing w:before="157" w:beforeLines="50" w:line="360" w:lineRule="auto"/>
        <w:jc w:val="center"/>
        <w:rPr>
          <w:rFonts w:hAnsi="宋体"/>
          <w:b/>
          <w:color w:val="auto"/>
          <w:sz w:val="28"/>
          <w:szCs w:val="28"/>
        </w:rPr>
      </w:pPr>
      <w:r>
        <w:rPr>
          <w:rFonts w:hint="eastAsia" w:ascii="华文中宋" w:hAnsi="华文中宋" w:eastAsia="华文中宋"/>
          <w:b/>
          <w:color w:val="auto"/>
          <w:spacing w:val="160"/>
          <w:sz w:val="36"/>
          <w:szCs w:val="36"/>
        </w:rPr>
        <w:t>目录</w:t>
      </w:r>
    </w:p>
    <w:sdt>
      <w:sdtPr>
        <w:rPr>
          <w:rFonts w:ascii="宋体" w:hAnsi="宋体"/>
          <w:color w:val="auto"/>
        </w:rPr>
        <w:id w:val="147452836"/>
        <w:docPartObj>
          <w:docPartGallery w:val="Table of Contents"/>
          <w:docPartUnique/>
        </w:docPartObj>
      </w:sdtPr>
      <w:sdtEndPr>
        <w:rPr>
          <w:rFonts w:ascii="宋体" w:hAnsi="宋体"/>
          <w:color w:val="auto"/>
        </w:rPr>
      </w:sdtEndPr>
      <w:sdtContent>
        <w:p>
          <w:pPr>
            <w:jc w:val="center"/>
            <w:rPr>
              <w:color w:val="auto"/>
            </w:rPr>
          </w:pPr>
        </w:p>
        <w:p>
          <w:pPr>
            <w:pStyle w:val="151"/>
            <w:tabs>
              <w:tab w:val="right" w:leader="dot" w:pos="8844"/>
            </w:tabs>
            <w:spacing w:line="360" w:lineRule="auto"/>
            <w:rPr>
              <w:color w:val="auto"/>
              <w:sz w:val="24"/>
              <w:szCs w:val="24"/>
            </w:rPr>
          </w:pPr>
          <w:r>
            <w:rPr>
              <w:color w:val="auto"/>
            </w:rPr>
            <w:fldChar w:fldCharType="begin"/>
          </w:r>
          <w:r>
            <w:rPr>
              <w:color w:val="auto"/>
            </w:rPr>
            <w:instrText xml:space="preserve">TOC \o "1-1" \h \u </w:instrText>
          </w:r>
          <w:r>
            <w:rPr>
              <w:color w:val="auto"/>
            </w:rPr>
            <w:fldChar w:fldCharType="separate"/>
          </w:r>
          <w:r>
            <w:rPr>
              <w:color w:val="auto"/>
            </w:rPr>
            <w:fldChar w:fldCharType="begin"/>
          </w:r>
          <w:r>
            <w:rPr>
              <w:color w:val="auto"/>
            </w:rPr>
            <w:instrText xml:space="preserve"> HYPERLINK \l "_Toc1418" </w:instrText>
          </w:r>
          <w:r>
            <w:rPr>
              <w:color w:val="auto"/>
            </w:rPr>
            <w:fldChar w:fldCharType="separate"/>
          </w:r>
          <w:r>
            <w:rPr>
              <w:rFonts w:hint="eastAsia" w:ascii="黑体" w:hAnsi="华文中宋" w:eastAsia="黑体"/>
              <w:color w:val="auto"/>
              <w:sz w:val="24"/>
              <w:szCs w:val="24"/>
            </w:rPr>
            <w:t>第一章 投标邀请（公开招标）</w:t>
          </w:r>
          <w:r>
            <w:rPr>
              <w:color w:val="auto"/>
              <w:sz w:val="24"/>
              <w:szCs w:val="24"/>
            </w:rPr>
            <w:tab/>
          </w:r>
          <w:r>
            <w:rPr>
              <w:color w:val="auto"/>
              <w:sz w:val="24"/>
              <w:szCs w:val="24"/>
            </w:rPr>
            <w:fldChar w:fldCharType="begin"/>
          </w:r>
          <w:r>
            <w:rPr>
              <w:color w:val="auto"/>
              <w:sz w:val="24"/>
              <w:szCs w:val="24"/>
            </w:rPr>
            <w:instrText xml:space="preserve"> PAGEREF _Toc1418 </w:instrText>
          </w:r>
          <w:r>
            <w:rPr>
              <w:color w:val="auto"/>
              <w:sz w:val="24"/>
              <w:szCs w:val="24"/>
            </w:rPr>
            <w:fldChar w:fldCharType="separate"/>
          </w:r>
          <w:r>
            <w:rPr>
              <w:color w:val="auto"/>
              <w:sz w:val="24"/>
              <w:szCs w:val="24"/>
            </w:rPr>
            <w:t>2</w:t>
          </w:r>
          <w:r>
            <w:rPr>
              <w:color w:val="auto"/>
              <w:sz w:val="24"/>
              <w:szCs w:val="24"/>
            </w:rPr>
            <w:fldChar w:fldCharType="end"/>
          </w:r>
          <w:r>
            <w:rPr>
              <w:color w:val="auto"/>
              <w:sz w:val="24"/>
              <w:szCs w:val="24"/>
            </w:rPr>
            <w:fldChar w:fldCharType="end"/>
          </w:r>
        </w:p>
        <w:p>
          <w:pPr>
            <w:pStyle w:val="151"/>
            <w:tabs>
              <w:tab w:val="right" w:leader="dot" w:pos="8844"/>
            </w:tabs>
            <w:spacing w:line="360" w:lineRule="auto"/>
            <w:rPr>
              <w:color w:val="auto"/>
              <w:sz w:val="24"/>
              <w:szCs w:val="24"/>
            </w:rPr>
          </w:pPr>
          <w:r>
            <w:rPr>
              <w:color w:val="auto"/>
            </w:rPr>
            <w:fldChar w:fldCharType="begin"/>
          </w:r>
          <w:r>
            <w:rPr>
              <w:color w:val="auto"/>
            </w:rPr>
            <w:instrText xml:space="preserve"> HYPERLINK \l "_Toc25065" </w:instrText>
          </w:r>
          <w:r>
            <w:rPr>
              <w:color w:val="auto"/>
            </w:rPr>
            <w:fldChar w:fldCharType="separate"/>
          </w:r>
          <w:r>
            <w:rPr>
              <w:rFonts w:hint="eastAsia" w:ascii="黑体" w:hAnsi="华文中宋" w:eastAsia="黑体"/>
              <w:color w:val="auto"/>
              <w:sz w:val="24"/>
              <w:szCs w:val="24"/>
            </w:rPr>
            <w:t>第二章 投标须知</w:t>
          </w:r>
          <w:r>
            <w:rPr>
              <w:color w:val="auto"/>
              <w:sz w:val="24"/>
              <w:szCs w:val="24"/>
            </w:rPr>
            <w:tab/>
          </w:r>
          <w:r>
            <w:rPr>
              <w:color w:val="auto"/>
              <w:sz w:val="24"/>
              <w:szCs w:val="24"/>
            </w:rPr>
            <w:fldChar w:fldCharType="begin"/>
          </w:r>
          <w:r>
            <w:rPr>
              <w:color w:val="auto"/>
              <w:sz w:val="24"/>
              <w:szCs w:val="24"/>
            </w:rPr>
            <w:instrText xml:space="preserve"> PAGEREF _Toc25065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pPr>
            <w:pStyle w:val="151"/>
            <w:tabs>
              <w:tab w:val="right" w:leader="dot" w:pos="8844"/>
            </w:tabs>
            <w:spacing w:line="360" w:lineRule="auto"/>
            <w:rPr>
              <w:color w:val="auto"/>
              <w:sz w:val="24"/>
              <w:szCs w:val="24"/>
            </w:rPr>
          </w:pPr>
          <w:r>
            <w:rPr>
              <w:color w:val="auto"/>
            </w:rPr>
            <w:fldChar w:fldCharType="begin"/>
          </w:r>
          <w:r>
            <w:rPr>
              <w:color w:val="auto"/>
            </w:rPr>
            <w:instrText xml:space="preserve"> HYPERLINK \l "_Toc20582" </w:instrText>
          </w:r>
          <w:r>
            <w:rPr>
              <w:color w:val="auto"/>
            </w:rPr>
            <w:fldChar w:fldCharType="separate"/>
          </w:r>
          <w:r>
            <w:rPr>
              <w:rFonts w:hint="eastAsia" w:ascii="黑体" w:hAnsi="黑体" w:eastAsia="黑体"/>
              <w:color w:val="auto"/>
              <w:sz w:val="24"/>
              <w:szCs w:val="24"/>
            </w:rPr>
            <w:t>第三章 资格审查</w:t>
          </w:r>
          <w:r>
            <w:rPr>
              <w:color w:val="auto"/>
              <w:sz w:val="24"/>
              <w:szCs w:val="24"/>
            </w:rPr>
            <w:tab/>
          </w:r>
          <w:r>
            <w:rPr>
              <w:color w:val="auto"/>
              <w:sz w:val="24"/>
              <w:szCs w:val="24"/>
            </w:rPr>
            <w:fldChar w:fldCharType="begin"/>
          </w:r>
          <w:r>
            <w:rPr>
              <w:color w:val="auto"/>
              <w:sz w:val="24"/>
              <w:szCs w:val="24"/>
            </w:rPr>
            <w:instrText xml:space="preserve"> PAGEREF _Toc20582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pPr>
            <w:pStyle w:val="151"/>
            <w:tabs>
              <w:tab w:val="right" w:leader="dot" w:pos="8844"/>
            </w:tabs>
            <w:spacing w:line="360" w:lineRule="auto"/>
            <w:rPr>
              <w:color w:val="auto"/>
              <w:sz w:val="24"/>
              <w:szCs w:val="24"/>
            </w:rPr>
          </w:pPr>
          <w:r>
            <w:rPr>
              <w:color w:val="auto"/>
            </w:rPr>
            <w:fldChar w:fldCharType="begin"/>
          </w:r>
          <w:r>
            <w:rPr>
              <w:color w:val="auto"/>
            </w:rPr>
            <w:instrText xml:space="preserve"> HYPERLINK \l "_Toc7859" </w:instrText>
          </w:r>
          <w:r>
            <w:rPr>
              <w:color w:val="auto"/>
            </w:rPr>
            <w:fldChar w:fldCharType="separate"/>
          </w:r>
          <w:r>
            <w:rPr>
              <w:rFonts w:hint="eastAsia" w:ascii="黑体" w:hAnsi="华文中宋" w:eastAsia="黑体"/>
              <w:color w:val="auto"/>
              <w:sz w:val="24"/>
              <w:szCs w:val="24"/>
            </w:rPr>
            <w:t>第四章 评标方法及标准（综合评分法）</w:t>
          </w:r>
          <w:r>
            <w:rPr>
              <w:color w:val="auto"/>
              <w:sz w:val="24"/>
              <w:szCs w:val="24"/>
            </w:rPr>
            <w:tab/>
          </w:r>
          <w:r>
            <w:rPr>
              <w:color w:val="auto"/>
              <w:sz w:val="24"/>
              <w:szCs w:val="24"/>
            </w:rPr>
            <w:fldChar w:fldCharType="begin"/>
          </w:r>
          <w:r>
            <w:rPr>
              <w:color w:val="auto"/>
              <w:sz w:val="24"/>
              <w:szCs w:val="24"/>
            </w:rPr>
            <w:instrText xml:space="preserve"> PAGEREF _Toc7859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pPr>
            <w:pStyle w:val="151"/>
            <w:tabs>
              <w:tab w:val="right" w:leader="dot" w:pos="8844"/>
            </w:tabs>
            <w:spacing w:line="360" w:lineRule="auto"/>
            <w:rPr>
              <w:color w:val="auto"/>
              <w:sz w:val="24"/>
              <w:szCs w:val="24"/>
            </w:rPr>
          </w:pPr>
          <w:r>
            <w:rPr>
              <w:color w:val="auto"/>
            </w:rPr>
            <w:fldChar w:fldCharType="begin"/>
          </w:r>
          <w:r>
            <w:rPr>
              <w:color w:val="auto"/>
            </w:rPr>
            <w:instrText xml:space="preserve"> HYPERLINK \l "_Toc941" </w:instrText>
          </w:r>
          <w:r>
            <w:rPr>
              <w:color w:val="auto"/>
            </w:rPr>
            <w:fldChar w:fldCharType="separate"/>
          </w:r>
          <w:r>
            <w:rPr>
              <w:rFonts w:hint="eastAsia" w:ascii="黑体" w:hAnsi="华文中宋" w:eastAsia="黑体"/>
              <w:color w:val="auto"/>
              <w:sz w:val="24"/>
              <w:szCs w:val="24"/>
            </w:rPr>
            <w:t>第五章 采购需求</w:t>
          </w:r>
          <w:r>
            <w:rPr>
              <w:color w:val="auto"/>
              <w:sz w:val="24"/>
              <w:szCs w:val="24"/>
            </w:rPr>
            <w:tab/>
          </w:r>
          <w:r>
            <w:rPr>
              <w:color w:val="auto"/>
              <w:sz w:val="24"/>
              <w:szCs w:val="24"/>
            </w:rPr>
            <w:fldChar w:fldCharType="begin"/>
          </w:r>
          <w:r>
            <w:rPr>
              <w:color w:val="auto"/>
              <w:sz w:val="24"/>
              <w:szCs w:val="24"/>
            </w:rPr>
            <w:instrText xml:space="preserve"> PAGEREF _Toc941 </w:instrText>
          </w:r>
          <w:r>
            <w:rPr>
              <w:color w:val="auto"/>
              <w:sz w:val="24"/>
              <w:szCs w:val="24"/>
            </w:rPr>
            <w:fldChar w:fldCharType="separate"/>
          </w:r>
          <w:r>
            <w:rPr>
              <w:color w:val="auto"/>
              <w:sz w:val="24"/>
              <w:szCs w:val="24"/>
            </w:rPr>
            <w:t>46</w:t>
          </w:r>
          <w:r>
            <w:rPr>
              <w:color w:val="auto"/>
              <w:sz w:val="24"/>
              <w:szCs w:val="24"/>
            </w:rPr>
            <w:fldChar w:fldCharType="end"/>
          </w:r>
          <w:r>
            <w:rPr>
              <w:color w:val="auto"/>
              <w:sz w:val="24"/>
              <w:szCs w:val="24"/>
            </w:rPr>
            <w:fldChar w:fldCharType="end"/>
          </w:r>
        </w:p>
        <w:p>
          <w:pPr>
            <w:pStyle w:val="151"/>
            <w:tabs>
              <w:tab w:val="right" w:leader="dot" w:pos="8844"/>
            </w:tabs>
            <w:spacing w:line="360" w:lineRule="auto"/>
            <w:rPr>
              <w:color w:val="auto"/>
              <w:sz w:val="24"/>
              <w:szCs w:val="24"/>
            </w:rPr>
          </w:pPr>
          <w:r>
            <w:rPr>
              <w:color w:val="auto"/>
            </w:rPr>
            <w:fldChar w:fldCharType="begin"/>
          </w:r>
          <w:r>
            <w:rPr>
              <w:color w:val="auto"/>
            </w:rPr>
            <w:instrText xml:space="preserve"> HYPERLINK \l "_Toc19856" </w:instrText>
          </w:r>
          <w:r>
            <w:rPr>
              <w:color w:val="auto"/>
            </w:rPr>
            <w:fldChar w:fldCharType="separate"/>
          </w:r>
          <w:r>
            <w:rPr>
              <w:rFonts w:hint="eastAsia" w:ascii="黑体" w:hAnsi="华文中宋" w:eastAsia="黑体"/>
              <w:color w:val="auto"/>
              <w:sz w:val="24"/>
              <w:szCs w:val="24"/>
            </w:rPr>
            <w:t>第六章 政府采购合同</w:t>
          </w:r>
          <w:r>
            <w:rPr>
              <w:color w:val="auto"/>
              <w:sz w:val="24"/>
              <w:szCs w:val="24"/>
            </w:rPr>
            <w:tab/>
          </w:r>
          <w:r>
            <w:rPr>
              <w:color w:val="auto"/>
              <w:sz w:val="24"/>
              <w:szCs w:val="24"/>
            </w:rPr>
            <w:fldChar w:fldCharType="begin"/>
          </w:r>
          <w:r>
            <w:rPr>
              <w:color w:val="auto"/>
              <w:sz w:val="24"/>
              <w:szCs w:val="24"/>
            </w:rPr>
            <w:instrText xml:space="preserve"> PAGEREF _Toc19856 </w:instrText>
          </w:r>
          <w:r>
            <w:rPr>
              <w:color w:val="auto"/>
              <w:sz w:val="24"/>
              <w:szCs w:val="24"/>
            </w:rPr>
            <w:fldChar w:fldCharType="separate"/>
          </w:r>
          <w:r>
            <w:rPr>
              <w:color w:val="auto"/>
              <w:sz w:val="24"/>
              <w:szCs w:val="24"/>
            </w:rPr>
            <w:t>53</w:t>
          </w:r>
          <w:r>
            <w:rPr>
              <w:color w:val="auto"/>
              <w:sz w:val="24"/>
              <w:szCs w:val="24"/>
            </w:rPr>
            <w:fldChar w:fldCharType="end"/>
          </w:r>
          <w:r>
            <w:rPr>
              <w:color w:val="auto"/>
              <w:sz w:val="24"/>
              <w:szCs w:val="24"/>
            </w:rPr>
            <w:fldChar w:fldCharType="end"/>
          </w:r>
        </w:p>
        <w:p>
          <w:pPr>
            <w:pStyle w:val="151"/>
            <w:tabs>
              <w:tab w:val="right" w:leader="dot" w:pos="8844"/>
            </w:tabs>
            <w:spacing w:line="360" w:lineRule="auto"/>
            <w:rPr>
              <w:color w:val="auto"/>
              <w:sz w:val="24"/>
              <w:szCs w:val="24"/>
            </w:rPr>
          </w:pPr>
          <w:r>
            <w:rPr>
              <w:color w:val="auto"/>
            </w:rPr>
            <w:fldChar w:fldCharType="begin"/>
          </w:r>
          <w:r>
            <w:rPr>
              <w:color w:val="auto"/>
            </w:rPr>
            <w:instrText xml:space="preserve"> HYPERLINK \l "_Toc3105" </w:instrText>
          </w:r>
          <w:r>
            <w:rPr>
              <w:color w:val="auto"/>
            </w:rPr>
            <w:fldChar w:fldCharType="separate"/>
          </w:r>
          <w:r>
            <w:rPr>
              <w:rFonts w:hint="eastAsia" w:ascii="黑体" w:hAnsi="华文中宋" w:eastAsia="黑体"/>
              <w:color w:val="auto"/>
              <w:sz w:val="24"/>
              <w:szCs w:val="24"/>
            </w:rPr>
            <w:t>第七章 投标文件的组成</w:t>
          </w:r>
          <w:r>
            <w:rPr>
              <w:color w:val="auto"/>
              <w:sz w:val="24"/>
              <w:szCs w:val="24"/>
            </w:rPr>
            <w:tab/>
          </w:r>
          <w:r>
            <w:rPr>
              <w:color w:val="auto"/>
              <w:sz w:val="24"/>
              <w:szCs w:val="24"/>
            </w:rPr>
            <w:fldChar w:fldCharType="begin"/>
          </w:r>
          <w:r>
            <w:rPr>
              <w:color w:val="auto"/>
              <w:sz w:val="24"/>
              <w:szCs w:val="24"/>
            </w:rPr>
            <w:instrText xml:space="preserve"> PAGEREF _Toc3105 </w:instrText>
          </w:r>
          <w:r>
            <w:rPr>
              <w:color w:val="auto"/>
              <w:sz w:val="24"/>
              <w:szCs w:val="24"/>
            </w:rPr>
            <w:fldChar w:fldCharType="separate"/>
          </w:r>
          <w:r>
            <w:rPr>
              <w:color w:val="auto"/>
              <w:sz w:val="24"/>
              <w:szCs w:val="24"/>
            </w:rPr>
            <w:t>62</w:t>
          </w:r>
          <w:r>
            <w:rPr>
              <w:color w:val="auto"/>
              <w:sz w:val="24"/>
              <w:szCs w:val="24"/>
            </w:rPr>
            <w:fldChar w:fldCharType="end"/>
          </w:r>
          <w:r>
            <w:rPr>
              <w:color w:val="auto"/>
              <w:sz w:val="24"/>
              <w:szCs w:val="24"/>
            </w:rPr>
            <w:fldChar w:fldCharType="end"/>
          </w:r>
        </w:p>
        <w:p>
          <w:pPr>
            <w:pStyle w:val="151"/>
            <w:tabs>
              <w:tab w:val="right" w:leader="dot" w:pos="8844"/>
            </w:tabs>
            <w:rPr>
              <w:color w:val="auto"/>
            </w:rPr>
          </w:pPr>
        </w:p>
        <w:p>
          <w:pPr>
            <w:rPr>
              <w:color w:val="auto"/>
            </w:rPr>
          </w:pPr>
          <w:r>
            <w:rPr>
              <w:color w:val="auto"/>
            </w:rPr>
            <w:fldChar w:fldCharType="end"/>
          </w:r>
        </w:p>
      </w:sdtContent>
    </w:sdt>
    <w:p>
      <w:pPr>
        <w:numPr>
          <w:ilvl w:val="0"/>
          <w:numId w:val="1"/>
        </w:numPr>
        <w:adjustRightInd w:val="0"/>
        <w:spacing w:line="500" w:lineRule="exact"/>
        <w:ind w:firstLine="640" w:firstLineChars="200"/>
        <w:jc w:val="center"/>
        <w:outlineLvl w:val="0"/>
        <w:rPr>
          <w:rFonts w:ascii="黑体" w:hAnsi="华文中宋" w:eastAsia="黑体"/>
          <w:color w:val="auto"/>
          <w:sz w:val="32"/>
          <w:szCs w:val="32"/>
        </w:rPr>
        <w:sectPr>
          <w:headerReference r:id="rId6" w:type="first"/>
          <w:footerReference r:id="rId9" w:type="first"/>
          <w:headerReference r:id="rId4" w:type="default"/>
          <w:footerReference r:id="rId7" w:type="default"/>
          <w:headerReference r:id="rId5" w:type="even"/>
          <w:footerReference r:id="rId8" w:type="even"/>
          <w:pgSz w:w="11906" w:h="16838"/>
          <w:pgMar w:top="1327" w:right="1327" w:bottom="1327" w:left="1440" w:header="851" w:footer="992" w:gutter="0"/>
          <w:pgNumType w:start="1"/>
          <w:cols w:space="0" w:num="1"/>
          <w:docGrid w:type="lines" w:linePitch="315" w:charSpace="0"/>
        </w:sectPr>
      </w:pPr>
      <w:bookmarkStart w:id="0" w:name="_Toc1418"/>
      <w:bookmarkStart w:id="1" w:name="_Toc29656"/>
      <w:bookmarkStart w:id="110" w:name="_GoBack"/>
      <w:bookmarkEnd w:id="110"/>
    </w:p>
    <w:p>
      <w:pPr>
        <w:numPr>
          <w:ilvl w:val="0"/>
          <w:numId w:val="1"/>
        </w:numPr>
        <w:adjustRightInd w:val="0"/>
        <w:spacing w:line="500" w:lineRule="exact"/>
        <w:ind w:firstLine="640" w:firstLineChars="200"/>
        <w:jc w:val="center"/>
        <w:outlineLvl w:val="0"/>
        <w:rPr>
          <w:rFonts w:ascii="黑体" w:hAnsi="华文中宋" w:eastAsia="黑体"/>
          <w:color w:val="auto"/>
          <w:sz w:val="32"/>
          <w:szCs w:val="32"/>
        </w:rPr>
      </w:pPr>
      <w:r>
        <w:rPr>
          <w:rFonts w:hint="eastAsia" w:ascii="黑体" w:hAnsi="华文中宋" w:eastAsia="黑体"/>
          <w:color w:val="auto"/>
          <w:sz w:val="32"/>
          <w:szCs w:val="32"/>
        </w:rPr>
        <w:t>投标邀请（公开招标）</w:t>
      </w:r>
      <w:bookmarkEnd w:id="0"/>
      <w:bookmarkEnd w:id="1"/>
    </w:p>
    <w:p>
      <w:pPr>
        <w:adjustRightInd w:val="0"/>
        <w:spacing w:line="400" w:lineRule="exact"/>
        <w:ind w:firstLine="412" w:firstLineChars="200"/>
        <w:rPr>
          <w:rFonts w:ascii="宋体" w:hAnsi="宋体"/>
          <w:color w:val="auto"/>
          <w:spacing w:val="-2"/>
          <w:szCs w:val="21"/>
        </w:rPr>
      </w:pPr>
      <w:r>
        <w:rPr>
          <w:rFonts w:hint="eastAsia" w:ascii="宋体" w:hAnsi="宋体"/>
          <w:iCs/>
          <w:color w:val="auto"/>
          <w:spacing w:val="-2"/>
          <w:szCs w:val="21"/>
        </w:rPr>
        <w:t>受</w:t>
      </w:r>
      <w:r>
        <w:rPr>
          <w:rFonts w:hint="eastAsia" w:ascii="宋体" w:hAnsi="宋体"/>
          <w:color w:val="auto"/>
          <w:spacing w:val="-2"/>
          <w:szCs w:val="21"/>
        </w:rPr>
        <w:t>长沙市消防救援支队</w:t>
      </w:r>
      <w:r>
        <w:rPr>
          <w:rFonts w:hint="eastAsia" w:ascii="宋体" w:hAnsi="宋体"/>
          <w:iCs/>
          <w:color w:val="auto"/>
          <w:spacing w:val="-2"/>
          <w:szCs w:val="21"/>
        </w:rPr>
        <w:t>的委托，本代理机构对其</w:t>
      </w:r>
      <w:r>
        <w:rPr>
          <w:rFonts w:hint="eastAsia" w:ascii="宋体" w:hAnsi="宋体"/>
          <w:iCs/>
          <w:color w:val="auto"/>
          <w:spacing w:val="-2"/>
          <w:szCs w:val="21"/>
          <w:lang w:eastAsia="zh-CN"/>
        </w:rPr>
        <w:t xml:space="preserve">长沙市消防救援支队2023装备采购 </w:t>
      </w:r>
      <w:r>
        <w:rPr>
          <w:rFonts w:hint="eastAsia" w:ascii="宋体" w:hAnsi="宋体"/>
          <w:iCs/>
          <w:color w:val="auto"/>
          <w:spacing w:val="-2"/>
          <w:szCs w:val="21"/>
        </w:rPr>
        <w:t>进行公开招标，现将采购事项公告如下：</w:t>
      </w:r>
    </w:p>
    <w:p>
      <w:pPr>
        <w:adjustRightInd w:val="0"/>
        <w:snapToGrid w:val="0"/>
        <w:spacing w:line="400" w:lineRule="exact"/>
        <w:ind w:firstLine="422" w:firstLineChars="200"/>
        <w:outlineLvl w:val="0"/>
        <w:rPr>
          <w:rFonts w:ascii="宋体" w:hAnsi="宋体"/>
          <w:b/>
          <w:bCs/>
          <w:color w:val="auto"/>
          <w:szCs w:val="21"/>
        </w:rPr>
      </w:pPr>
      <w:bookmarkStart w:id="2" w:name="_Toc12482"/>
      <w:bookmarkStart w:id="3" w:name="_Toc2922"/>
      <w:r>
        <w:rPr>
          <w:rFonts w:hint="eastAsia" w:ascii="宋体" w:hAnsi="宋体"/>
          <w:b/>
          <w:bCs/>
          <w:color w:val="auto"/>
          <w:szCs w:val="21"/>
        </w:rPr>
        <w:t>一、</w:t>
      </w:r>
      <w:r>
        <w:rPr>
          <w:rFonts w:hint="eastAsia" w:ascii="宋体" w:hAnsi="宋体"/>
          <w:b/>
          <w:bCs/>
          <w:iCs/>
          <w:color w:val="auto"/>
          <w:szCs w:val="21"/>
        </w:rPr>
        <w:t>采购</w:t>
      </w:r>
      <w:r>
        <w:rPr>
          <w:rFonts w:hint="eastAsia" w:ascii="宋体" w:hAnsi="宋体"/>
          <w:b/>
          <w:bCs/>
          <w:color w:val="auto"/>
          <w:szCs w:val="21"/>
        </w:rPr>
        <w:t>项目信息</w:t>
      </w:r>
      <w:bookmarkEnd w:id="2"/>
      <w:bookmarkEnd w:id="3"/>
    </w:p>
    <w:p>
      <w:pPr>
        <w:adjustRightInd w:val="0"/>
        <w:snapToGrid w:val="0"/>
        <w:spacing w:line="400" w:lineRule="exact"/>
        <w:ind w:firstLine="422" w:firstLineChars="200"/>
        <w:rPr>
          <w:rFonts w:hint="eastAsia" w:ascii="宋体" w:hAnsi="宋体" w:eastAsia="宋体"/>
          <w:b w:val="0"/>
          <w:bCs w:val="0"/>
          <w:color w:val="auto"/>
          <w:szCs w:val="21"/>
          <w:lang w:eastAsia="zh-CN"/>
        </w:rPr>
      </w:pPr>
      <w:r>
        <w:rPr>
          <w:rFonts w:hint="eastAsia" w:ascii="宋体" w:hAnsi="宋体"/>
          <w:b/>
          <w:bCs/>
          <w:color w:val="auto"/>
          <w:szCs w:val="21"/>
        </w:rPr>
        <w:t>项目名称：</w:t>
      </w:r>
      <w:r>
        <w:rPr>
          <w:rFonts w:hint="eastAsia" w:ascii="宋体" w:hAnsi="宋体"/>
          <w:b w:val="0"/>
          <w:bCs w:val="0"/>
          <w:color w:val="auto"/>
          <w:szCs w:val="21"/>
          <w:u w:val="single"/>
          <w:lang w:eastAsia="zh-CN"/>
        </w:rPr>
        <w:t>长沙市消防救援支队2022装备采购ZT-通信类</w:t>
      </w:r>
    </w:p>
    <w:p>
      <w:pPr>
        <w:adjustRightInd w:val="0"/>
        <w:snapToGrid w:val="0"/>
        <w:spacing w:line="400" w:lineRule="exact"/>
        <w:ind w:firstLine="414" w:firstLineChars="200"/>
        <w:rPr>
          <w:rFonts w:hint="eastAsia" w:ascii="宋体" w:hAnsi="宋体" w:eastAsia="宋体"/>
          <w:b/>
          <w:color w:val="auto"/>
          <w:spacing w:val="-2"/>
          <w:szCs w:val="21"/>
          <w:lang w:val="en-US" w:eastAsia="zh-CN"/>
        </w:rPr>
      </w:pPr>
      <w:r>
        <w:rPr>
          <w:rFonts w:hint="eastAsia" w:ascii="宋体" w:hAnsi="宋体"/>
          <w:b/>
          <w:color w:val="auto"/>
          <w:spacing w:val="-2"/>
          <w:szCs w:val="21"/>
        </w:rPr>
        <w:t>采购项目编号：</w:t>
      </w:r>
      <w:r>
        <w:rPr>
          <w:rFonts w:hint="eastAsia" w:ascii="宋体" w:hAnsi="宋体"/>
          <w:b w:val="0"/>
          <w:bCs/>
          <w:color w:val="auto"/>
          <w:spacing w:val="-2"/>
          <w:szCs w:val="21"/>
          <w:u w:val="single"/>
          <w:lang w:eastAsia="zh-CN"/>
        </w:rPr>
        <w:t>HNZT-2023ZF123</w:t>
      </w:r>
    </w:p>
    <w:p>
      <w:pPr>
        <w:adjustRightInd w:val="0"/>
        <w:snapToGrid w:val="0"/>
        <w:spacing w:line="400" w:lineRule="exact"/>
        <w:ind w:firstLine="414" w:firstLineChars="200"/>
        <w:rPr>
          <w:rFonts w:ascii="宋体" w:hAnsi="宋体"/>
          <w:bCs/>
          <w:color w:val="auto"/>
          <w:spacing w:val="-2"/>
          <w:szCs w:val="21"/>
        </w:rPr>
      </w:pPr>
      <w:r>
        <w:rPr>
          <w:rFonts w:hint="eastAsia" w:ascii="宋体" w:hAnsi="宋体"/>
          <w:b/>
          <w:color w:val="auto"/>
          <w:spacing w:val="-2"/>
          <w:szCs w:val="21"/>
        </w:rPr>
        <w:t>采购方式：</w:t>
      </w:r>
      <w:r>
        <w:rPr>
          <w:rFonts w:hint="eastAsia" w:ascii="宋体" w:hAnsi="宋体"/>
          <w:bCs/>
          <w:color w:val="auto"/>
          <w:spacing w:val="-2"/>
          <w:szCs w:val="21"/>
          <w:u w:val="single"/>
        </w:rPr>
        <w:t>公开招标</w:t>
      </w:r>
    </w:p>
    <w:p>
      <w:pPr>
        <w:adjustRightInd w:val="0"/>
        <w:snapToGrid w:val="0"/>
        <w:spacing w:line="400" w:lineRule="exact"/>
        <w:ind w:firstLine="414" w:firstLineChars="200"/>
        <w:rPr>
          <w:rFonts w:ascii="宋体" w:hAnsi="宋体" w:eastAsiaTheme="minorEastAsia"/>
          <w:bCs/>
          <w:color w:val="auto"/>
          <w:spacing w:val="-2"/>
          <w:szCs w:val="21"/>
        </w:rPr>
      </w:pPr>
      <w:r>
        <w:rPr>
          <w:rFonts w:hint="eastAsia" w:ascii="宋体" w:hAnsi="宋体"/>
          <w:b/>
          <w:color w:val="auto"/>
          <w:spacing w:val="-2"/>
          <w:szCs w:val="21"/>
        </w:rPr>
        <w:t>采购预算：</w:t>
      </w:r>
      <w:r>
        <w:rPr>
          <w:rFonts w:hint="eastAsia" w:ascii="宋体" w:hAnsi="宋体"/>
          <w:bCs/>
          <w:color w:val="auto"/>
          <w:spacing w:val="-2"/>
          <w:szCs w:val="21"/>
          <w:u w:val="single"/>
          <w:lang w:val="en-US" w:eastAsia="zh-CN"/>
        </w:rPr>
        <w:t>1256100.00</w:t>
      </w:r>
      <w:r>
        <w:rPr>
          <w:rFonts w:hint="eastAsia" w:ascii="宋体" w:hAnsi="宋体"/>
          <w:bCs/>
          <w:color w:val="auto"/>
          <w:spacing w:val="-2"/>
          <w:szCs w:val="21"/>
          <w:u w:val="single"/>
        </w:rPr>
        <w:t>元</w:t>
      </w:r>
    </w:p>
    <w:p>
      <w:pPr>
        <w:adjustRightInd w:val="0"/>
        <w:snapToGrid w:val="0"/>
        <w:spacing w:line="400" w:lineRule="exact"/>
        <w:ind w:firstLine="414" w:firstLineChars="200"/>
        <w:rPr>
          <w:rFonts w:ascii="宋体" w:hAnsi="宋体"/>
          <w:bCs/>
          <w:color w:val="auto"/>
          <w:spacing w:val="-2"/>
          <w:szCs w:val="21"/>
        </w:rPr>
      </w:pPr>
      <w:r>
        <w:rPr>
          <w:rFonts w:hint="eastAsia" w:ascii="宋体" w:hAnsi="宋体"/>
          <w:b/>
          <w:color w:val="auto"/>
          <w:spacing w:val="-2"/>
          <w:szCs w:val="21"/>
        </w:rPr>
        <w:t>采购项目内容与数量：</w:t>
      </w:r>
    </w:p>
    <w:tbl>
      <w:tblPr>
        <w:tblStyle w:val="47"/>
        <w:tblW w:w="8937" w:type="dxa"/>
        <w:tblInd w:w="108"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473"/>
        <w:gridCol w:w="2059"/>
        <w:gridCol w:w="1987"/>
        <w:gridCol w:w="761"/>
        <w:gridCol w:w="1822"/>
        <w:gridCol w:w="1835"/>
      </w:tblGrid>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96" w:hRule="atLeast"/>
        </w:trPr>
        <w:tc>
          <w:tcPr>
            <w:tcW w:w="473" w:type="dxa"/>
            <w:tcBorders>
              <w:right w:val="single" w:color="auto" w:sz="4" w:space="0"/>
            </w:tcBorders>
            <w:vAlign w:val="center"/>
          </w:tcPr>
          <w:p>
            <w:pPr>
              <w:widowControl/>
              <w:adjustRightInd w:val="0"/>
              <w:snapToGrid w:val="0"/>
              <w:jc w:val="center"/>
              <w:rPr>
                <w:rFonts w:cs="宋体" w:asciiTheme="minorEastAsia" w:hAnsiTheme="minorEastAsia" w:eastAsiaTheme="minorEastAsia"/>
                <w:color w:val="auto"/>
                <w:kern w:val="0"/>
                <w:sz w:val="18"/>
                <w:szCs w:val="18"/>
              </w:rPr>
            </w:pPr>
            <w:r>
              <w:rPr>
                <w:rFonts w:hint="eastAsia" w:ascii="宋体" w:hAnsi="宋体" w:cs="宋体"/>
                <w:color w:val="auto"/>
                <w:sz w:val="18"/>
                <w:szCs w:val="18"/>
              </w:rPr>
              <w:t>序号</w:t>
            </w:r>
          </w:p>
        </w:tc>
        <w:tc>
          <w:tcPr>
            <w:tcW w:w="2059" w:type="dxa"/>
            <w:tcBorders>
              <w:left w:val="single" w:color="auto" w:sz="4" w:space="0"/>
            </w:tcBorders>
            <w:vAlign w:val="center"/>
          </w:tcPr>
          <w:p>
            <w:pPr>
              <w:widowControl/>
              <w:adjustRightInd w:val="0"/>
              <w:snapToGrid w:val="0"/>
              <w:jc w:val="center"/>
              <w:rPr>
                <w:rFonts w:cs="宋体" w:asciiTheme="minorEastAsia" w:hAnsiTheme="minorEastAsia" w:eastAsiaTheme="minorEastAsia"/>
                <w:color w:val="auto"/>
                <w:kern w:val="0"/>
                <w:sz w:val="18"/>
                <w:szCs w:val="18"/>
              </w:rPr>
            </w:pPr>
            <w:r>
              <w:rPr>
                <w:rFonts w:hint="eastAsia" w:asciiTheme="minorEastAsia" w:hAnsiTheme="minorEastAsia" w:eastAsiaTheme="minorEastAsia"/>
                <w:color w:val="auto"/>
                <w:kern w:val="0"/>
                <w:sz w:val="18"/>
                <w:szCs w:val="18"/>
              </w:rPr>
              <w:t>包名称</w:t>
            </w:r>
          </w:p>
        </w:tc>
        <w:tc>
          <w:tcPr>
            <w:tcW w:w="1987" w:type="dxa"/>
            <w:tcBorders>
              <w:right w:val="single" w:color="auto" w:sz="4" w:space="0"/>
            </w:tcBorders>
            <w:vAlign w:val="center"/>
          </w:tcPr>
          <w:p>
            <w:pPr>
              <w:widowControl/>
              <w:adjustRightInd w:val="0"/>
              <w:snapToGrid w:val="0"/>
              <w:jc w:val="center"/>
              <w:rPr>
                <w:rFonts w:cs="宋体" w:asciiTheme="minorEastAsia" w:hAnsiTheme="minorEastAsia" w:eastAsiaTheme="minorEastAsia"/>
                <w:color w:val="auto"/>
                <w:kern w:val="0"/>
                <w:sz w:val="18"/>
                <w:szCs w:val="18"/>
              </w:rPr>
            </w:pPr>
            <w:r>
              <w:rPr>
                <w:rFonts w:hint="eastAsia" w:cs="宋体" w:asciiTheme="minorEastAsia" w:hAnsiTheme="minorEastAsia" w:eastAsiaTheme="minorEastAsia"/>
                <w:color w:val="auto"/>
                <w:kern w:val="0"/>
                <w:sz w:val="18"/>
                <w:szCs w:val="18"/>
              </w:rPr>
              <w:t>简要技术要求</w:t>
            </w:r>
          </w:p>
        </w:tc>
        <w:tc>
          <w:tcPr>
            <w:tcW w:w="761" w:type="dxa"/>
            <w:tcBorders>
              <w:left w:val="single" w:color="auto" w:sz="4" w:space="0"/>
              <w:right w:val="single" w:color="auto" w:sz="4" w:space="0"/>
            </w:tcBorders>
            <w:vAlign w:val="center"/>
          </w:tcPr>
          <w:p>
            <w:pPr>
              <w:widowControl/>
              <w:adjustRightInd w:val="0"/>
              <w:snapToGrid w:val="0"/>
              <w:jc w:val="center"/>
              <w:rPr>
                <w:rFonts w:cs="宋体" w:asciiTheme="minorEastAsia" w:hAnsiTheme="minorEastAsia" w:eastAsiaTheme="minorEastAsia"/>
                <w:color w:val="auto"/>
                <w:kern w:val="0"/>
                <w:sz w:val="18"/>
                <w:szCs w:val="18"/>
              </w:rPr>
            </w:pPr>
            <w:r>
              <w:rPr>
                <w:rFonts w:hint="eastAsia" w:cs="宋体" w:asciiTheme="minorEastAsia" w:hAnsiTheme="minorEastAsia" w:eastAsiaTheme="minorEastAsia"/>
                <w:color w:val="auto"/>
                <w:kern w:val="0"/>
                <w:sz w:val="18"/>
                <w:szCs w:val="18"/>
              </w:rPr>
              <w:t>数量</w:t>
            </w:r>
          </w:p>
        </w:tc>
        <w:tc>
          <w:tcPr>
            <w:tcW w:w="1822" w:type="dxa"/>
            <w:tcBorders>
              <w:left w:val="single" w:color="auto" w:sz="4" w:space="0"/>
              <w:right w:val="single" w:color="auto" w:sz="4" w:space="0"/>
            </w:tcBorders>
            <w:vAlign w:val="center"/>
          </w:tcPr>
          <w:p>
            <w:pPr>
              <w:widowControl/>
              <w:adjustRightInd w:val="0"/>
              <w:snapToGrid w:val="0"/>
              <w:jc w:val="center"/>
              <w:rPr>
                <w:rFonts w:cs="宋体" w:asciiTheme="minorEastAsia" w:hAnsiTheme="minorEastAsia" w:eastAsiaTheme="minorEastAsia"/>
                <w:color w:val="auto"/>
                <w:kern w:val="0"/>
                <w:sz w:val="18"/>
                <w:szCs w:val="18"/>
              </w:rPr>
            </w:pPr>
            <w:r>
              <w:rPr>
                <w:rFonts w:hint="eastAsia" w:cs="宋体" w:asciiTheme="minorEastAsia" w:hAnsiTheme="minorEastAsia" w:eastAsiaTheme="minorEastAsia"/>
                <w:color w:val="auto"/>
                <w:kern w:val="0"/>
                <w:sz w:val="18"/>
                <w:szCs w:val="18"/>
              </w:rPr>
              <w:t>采购项目预算总价（元人民币）</w:t>
            </w:r>
          </w:p>
        </w:tc>
        <w:tc>
          <w:tcPr>
            <w:tcW w:w="1835" w:type="dxa"/>
            <w:tcBorders>
              <w:left w:val="single" w:color="auto" w:sz="4" w:space="0"/>
            </w:tcBorders>
            <w:vAlign w:val="center"/>
          </w:tcPr>
          <w:p>
            <w:pPr>
              <w:widowControl/>
              <w:adjustRightInd w:val="0"/>
              <w:snapToGrid w:val="0"/>
              <w:jc w:val="center"/>
              <w:rPr>
                <w:rFonts w:cs="宋体" w:asciiTheme="minorEastAsia" w:hAnsiTheme="minorEastAsia" w:eastAsiaTheme="minorEastAsia"/>
                <w:color w:val="auto"/>
                <w:kern w:val="0"/>
                <w:sz w:val="18"/>
                <w:szCs w:val="18"/>
              </w:rPr>
            </w:pPr>
            <w:r>
              <w:rPr>
                <w:rFonts w:hint="eastAsia" w:cs="宋体" w:asciiTheme="minorEastAsia" w:hAnsiTheme="minorEastAsia" w:eastAsiaTheme="minorEastAsia"/>
                <w:color w:val="auto"/>
                <w:kern w:val="0"/>
                <w:sz w:val="18"/>
                <w:szCs w:val="18"/>
              </w:rPr>
              <w:t>采购项目最高限价（元人民币）</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12" w:hRule="atLeast"/>
        </w:trPr>
        <w:tc>
          <w:tcPr>
            <w:tcW w:w="473" w:type="dxa"/>
            <w:tcBorders>
              <w:right w:val="single" w:color="auto" w:sz="4" w:space="0"/>
            </w:tcBorders>
            <w:vAlign w:val="center"/>
          </w:tcPr>
          <w:p>
            <w:pPr>
              <w:pStyle w:val="26"/>
              <w:adjustRightInd w:val="0"/>
              <w:snapToGrid w:val="0"/>
              <w:jc w:val="center"/>
              <w:rPr>
                <w:rFonts w:asciiTheme="minorEastAsia" w:hAnsiTheme="minorEastAsia" w:eastAsiaTheme="minorEastAsia"/>
                <w:color w:val="auto"/>
                <w:kern w:val="0"/>
                <w:sz w:val="18"/>
                <w:szCs w:val="18"/>
              </w:rPr>
            </w:pPr>
            <w:r>
              <w:rPr>
                <w:rFonts w:hint="eastAsia" w:asciiTheme="minorEastAsia" w:hAnsiTheme="minorEastAsia" w:eastAsiaTheme="minorEastAsia"/>
                <w:color w:val="auto"/>
                <w:kern w:val="0"/>
                <w:sz w:val="18"/>
                <w:szCs w:val="18"/>
              </w:rPr>
              <w:t>1</w:t>
            </w:r>
          </w:p>
        </w:tc>
        <w:tc>
          <w:tcPr>
            <w:tcW w:w="2059" w:type="dxa"/>
            <w:tcBorders>
              <w:left w:val="single" w:color="auto" w:sz="4" w:space="0"/>
            </w:tcBorders>
            <w:vAlign w:val="center"/>
          </w:tcPr>
          <w:p>
            <w:pPr>
              <w:pStyle w:val="26"/>
              <w:adjustRightInd w:val="0"/>
              <w:snapToGrid w:val="0"/>
              <w:jc w:val="center"/>
              <w:rPr>
                <w:rFonts w:hint="eastAsia" w:hAnsi="宋体" w:eastAsia="宋体" w:cs="宋体"/>
                <w:color w:val="auto"/>
                <w:kern w:val="0"/>
                <w:sz w:val="18"/>
                <w:szCs w:val="18"/>
                <w:lang w:eastAsia="zh-CN"/>
              </w:rPr>
            </w:pPr>
            <w:r>
              <w:rPr>
                <w:rFonts w:hint="eastAsia" w:hAnsi="宋体" w:cs="宋体"/>
                <w:color w:val="auto"/>
                <w:kern w:val="0"/>
                <w:sz w:val="18"/>
                <w:szCs w:val="18"/>
                <w:lang w:val="en-US" w:eastAsia="zh-CN"/>
              </w:rPr>
              <w:t xml:space="preserve">通信类 </w:t>
            </w:r>
          </w:p>
        </w:tc>
        <w:tc>
          <w:tcPr>
            <w:tcW w:w="1987" w:type="dxa"/>
            <w:tcBorders>
              <w:right w:val="single" w:color="auto" w:sz="4" w:space="0"/>
            </w:tcBorders>
            <w:vAlign w:val="center"/>
          </w:tcPr>
          <w:p>
            <w:pPr>
              <w:pStyle w:val="26"/>
              <w:adjustRightInd w:val="0"/>
              <w:snapToGrid w:val="0"/>
              <w:jc w:val="center"/>
              <w:rPr>
                <w:rFonts w:hAnsi="宋体" w:cs="宋体"/>
                <w:color w:val="auto"/>
                <w:sz w:val="18"/>
                <w:szCs w:val="18"/>
              </w:rPr>
            </w:pPr>
            <w:r>
              <w:rPr>
                <w:rFonts w:hint="eastAsia" w:hAnsi="宋体" w:cs="宋体"/>
                <w:color w:val="auto"/>
                <w:kern w:val="0"/>
                <w:sz w:val="18"/>
                <w:szCs w:val="18"/>
              </w:rPr>
              <w:t>详见招标文件</w:t>
            </w:r>
          </w:p>
        </w:tc>
        <w:tc>
          <w:tcPr>
            <w:tcW w:w="761" w:type="dxa"/>
            <w:tcBorders>
              <w:left w:val="single" w:color="auto" w:sz="4" w:space="0"/>
              <w:right w:val="single" w:color="auto" w:sz="4" w:space="0"/>
            </w:tcBorders>
            <w:vAlign w:val="center"/>
          </w:tcPr>
          <w:p>
            <w:pPr>
              <w:pStyle w:val="26"/>
              <w:adjustRightInd w:val="0"/>
              <w:snapToGrid w:val="0"/>
              <w:jc w:val="center"/>
              <w:rPr>
                <w:rFonts w:hAnsi="宋体" w:cs="宋体"/>
                <w:color w:val="auto"/>
                <w:kern w:val="0"/>
                <w:sz w:val="18"/>
                <w:szCs w:val="18"/>
              </w:rPr>
            </w:pPr>
            <w:r>
              <w:rPr>
                <w:rFonts w:hint="eastAsia" w:hAnsi="宋体" w:cs="宋体"/>
                <w:color w:val="auto"/>
                <w:kern w:val="0"/>
                <w:sz w:val="18"/>
                <w:szCs w:val="18"/>
                <w:lang w:val="en-US" w:eastAsia="zh-CN"/>
              </w:rPr>
              <w:t>1批</w:t>
            </w:r>
          </w:p>
        </w:tc>
        <w:tc>
          <w:tcPr>
            <w:tcW w:w="1822" w:type="dxa"/>
            <w:tcBorders>
              <w:left w:val="single" w:color="auto" w:sz="4" w:space="0"/>
              <w:right w:val="single" w:color="auto" w:sz="4" w:space="0"/>
            </w:tcBorders>
            <w:vAlign w:val="center"/>
          </w:tcPr>
          <w:p>
            <w:pPr>
              <w:widowControl/>
              <w:jc w:val="center"/>
              <w:textAlignment w:val="center"/>
              <w:rPr>
                <w:rFonts w:hint="eastAsia" w:ascii="宋体" w:hAnsi="宋体" w:eastAsia="宋体" w:cs="宋体"/>
                <w:color w:val="auto"/>
                <w:sz w:val="18"/>
                <w:szCs w:val="18"/>
                <w:lang w:eastAsia="zh-CN"/>
              </w:rPr>
            </w:pPr>
            <w:r>
              <w:rPr>
                <w:rFonts w:hint="eastAsia" w:ascii="宋体" w:hAnsi="宋体" w:cs="宋体"/>
                <w:color w:val="auto"/>
                <w:sz w:val="18"/>
                <w:szCs w:val="18"/>
                <w:lang w:eastAsia="zh-CN"/>
              </w:rPr>
              <w:t>125.61万</w:t>
            </w:r>
          </w:p>
        </w:tc>
        <w:tc>
          <w:tcPr>
            <w:tcW w:w="1835" w:type="dxa"/>
            <w:tcBorders>
              <w:left w:val="single" w:color="auto" w:sz="4" w:space="0"/>
            </w:tcBorders>
            <w:vAlign w:val="center"/>
          </w:tcPr>
          <w:p>
            <w:pPr>
              <w:widowControl/>
              <w:jc w:val="center"/>
              <w:textAlignment w:val="center"/>
              <w:rPr>
                <w:rFonts w:hint="eastAsia" w:ascii="宋体" w:hAnsi="宋体" w:eastAsia="宋体" w:cs="宋体"/>
                <w:color w:val="auto"/>
                <w:sz w:val="18"/>
                <w:szCs w:val="18"/>
                <w:lang w:eastAsia="zh-CN"/>
              </w:rPr>
            </w:pPr>
            <w:r>
              <w:rPr>
                <w:rFonts w:hint="eastAsia" w:ascii="宋体" w:hAnsi="宋体" w:cs="宋体"/>
                <w:color w:val="auto"/>
                <w:sz w:val="18"/>
                <w:szCs w:val="18"/>
                <w:lang w:eastAsia="zh-CN"/>
              </w:rPr>
              <w:t>125.61万</w:t>
            </w:r>
          </w:p>
        </w:tc>
      </w:tr>
    </w:tbl>
    <w:p>
      <w:pPr>
        <w:adjustRightInd w:val="0"/>
        <w:snapToGrid w:val="0"/>
        <w:spacing w:line="360" w:lineRule="exact"/>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其他说明：</w:t>
      </w:r>
      <w:r>
        <w:rPr>
          <w:rFonts w:hint="eastAsia" w:ascii="宋体" w:hAnsi="宋体"/>
          <w:bCs/>
          <w:color w:val="000000" w:themeColor="text1"/>
          <w:szCs w:val="21"/>
          <w14:textFill>
            <w14:solidFill>
              <w14:schemeClr w14:val="tx1"/>
            </w14:solidFill>
          </w14:textFill>
        </w:rPr>
        <w:t>无。</w:t>
      </w:r>
    </w:p>
    <w:p>
      <w:pPr>
        <w:adjustRightInd w:val="0"/>
        <w:spacing w:line="400" w:lineRule="exact"/>
        <w:outlineLvl w:val="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   </w:t>
      </w:r>
      <w:bookmarkStart w:id="4" w:name="_Toc24693"/>
      <w:bookmarkStart w:id="5" w:name="_Toc10508"/>
      <w:r>
        <w:rPr>
          <w:rFonts w:hint="eastAsia" w:ascii="宋体" w:hAnsi="宋体"/>
          <w:b/>
          <w:bCs/>
          <w:color w:val="000000" w:themeColor="text1"/>
          <w:szCs w:val="21"/>
          <w14:textFill>
            <w14:solidFill>
              <w14:schemeClr w14:val="tx1"/>
            </w14:solidFill>
          </w14:textFill>
        </w:rPr>
        <w:t>二、</w:t>
      </w:r>
      <w:r>
        <w:rPr>
          <w:rFonts w:hint="eastAsia" w:ascii="宋体" w:hAnsi="宋体"/>
          <w:b/>
          <w:bCs/>
          <w:iCs/>
          <w:color w:val="000000" w:themeColor="text1"/>
          <w:szCs w:val="21"/>
          <w14:textFill>
            <w14:solidFill>
              <w14:schemeClr w14:val="tx1"/>
            </w14:solidFill>
          </w14:textFill>
        </w:rPr>
        <w:t>投标人的</w:t>
      </w:r>
      <w:r>
        <w:rPr>
          <w:rFonts w:hint="eastAsia" w:ascii="宋体" w:hAnsi="宋体"/>
          <w:b/>
          <w:bCs/>
          <w:color w:val="000000" w:themeColor="text1"/>
          <w:szCs w:val="21"/>
          <w14:textFill>
            <w14:solidFill>
              <w14:schemeClr w14:val="tx1"/>
            </w14:solidFill>
          </w14:textFill>
        </w:rPr>
        <w:t>资格要求：</w:t>
      </w:r>
      <w:bookmarkEnd w:id="4"/>
      <w:bookmarkEnd w:id="5"/>
    </w:p>
    <w:p>
      <w:pPr>
        <w:adjustRightInd w:val="0"/>
        <w:spacing w:line="40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2.1  供应商基本资格条件：</w:t>
      </w:r>
    </w:p>
    <w:p>
      <w:pPr>
        <w:adjustRightIn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（1）投标人法人营业执照副本复印件；</w:t>
      </w:r>
    </w:p>
    <w:p>
      <w:pPr>
        <w:adjustRightIn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（2）法定代表人授权委托书原件及双方身份证复印件；</w:t>
      </w:r>
    </w:p>
    <w:p>
      <w:pPr>
        <w:adjustRightIn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（3）投标人税务登记证</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国税或地税</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复印件；</w:t>
      </w:r>
    </w:p>
    <w:p>
      <w:pPr>
        <w:adjustRightIn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（4）投标人社会保险登记证或缴纳社会保险的凭证复印件。</w:t>
      </w:r>
    </w:p>
    <w:p>
      <w:pPr>
        <w:adjustRightIn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（5）投标人参加本次政府采购活动前3年内没有重大违法记录的书面声明。</w:t>
      </w:r>
    </w:p>
    <w:p>
      <w:pPr>
        <w:adjustRightIn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（6）具有良好的商业信誉和健全的财务会计制度</w:t>
      </w:r>
      <w:r>
        <w:rPr>
          <w:rFonts w:hint="eastAsia" w:ascii="宋体" w:hAnsi="宋体"/>
          <w:color w:val="000000" w:themeColor="text1"/>
          <w:szCs w:val="21"/>
          <w:u w:color="FFFFFF" w:themeColor="background1"/>
          <w14:textFill>
            <w14:solidFill>
              <w14:schemeClr w14:val="tx1"/>
            </w14:solidFill>
          </w14:textFill>
        </w:rPr>
        <w:t>。</w:t>
      </w:r>
    </w:p>
    <w:p>
      <w:pPr>
        <w:spacing w:line="400" w:lineRule="exact"/>
        <w:ind w:firstLine="422" w:firstLineChars="200"/>
        <w:rPr>
          <w:b/>
          <w:bCs/>
        </w:rPr>
      </w:pPr>
      <w:r>
        <w:rPr>
          <w:rFonts w:hint="eastAsia"/>
          <w:b/>
          <w:bCs/>
        </w:rPr>
        <w:t>2.2并提交以下资格证明材料：</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2.2.1法人提交企业法人营业执照副本</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或者法人登记证书</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以及组织机构代码证副本复印件；</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2.2.2依法缴纳税收和社会保险费的证明材料</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提供下列材料</w:t>
      </w:r>
      <w:r>
        <w:rPr>
          <w:rFonts w:hint="eastAsia" w:asciiTheme="minorEastAsia" w:hAnsiTheme="minorEastAsia" w:eastAsiaTheme="minorEastAsia" w:cstheme="minorEastAsia"/>
          <w:lang w:eastAsia="zh-CN"/>
        </w:rPr>
        <w:t>：</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①缴纳税收证明资料</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近三个月内任意一个月依法缴纳税收的证明（纳税凭证复印件），或者委托他人缴纳的委托代办协议和近三个月内任意一个月的缴纳证明（收据复印件），或者法定征收机关出具的依法免缴税收的证明复印件。②缴纳社会保险证明资料：近三个月内任意一个月依法缴纳社会保险的证明（缴费凭证复印件），或者委托他人缴纳的委托代办协议和近三个月内任意一个月的缴纳证明（收据复印件），或者法定征收机关出具的依法免缴保险费的证明复印件。</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2.2.3法人提交法定代表人身份证明原件或者法定代表人授权委托书原件以及被授权代表人在投标单位或投标单位依法登记的分支机构近三个月内任意一个月的社保证明并附法定代表人身份证明原件，自然人提交身份证复印件。</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2.2.4提供202</w:t>
      </w:r>
      <w:r>
        <w:rPr>
          <w:rFonts w:hint="eastAsia" w:asciiTheme="minorEastAsia" w:hAnsiTheme="minorEastAsia" w:eastAsiaTheme="minorEastAsia" w:cstheme="minorEastAsia"/>
          <w:lang w:val="en-US" w:eastAsia="zh-CN"/>
        </w:rPr>
        <w:t>2</w:t>
      </w:r>
      <w:r>
        <w:rPr>
          <w:rFonts w:hint="eastAsia" w:asciiTheme="minorEastAsia" w:hAnsiTheme="minorEastAsia" w:eastAsiaTheme="minorEastAsia" w:cstheme="minorEastAsia"/>
        </w:rPr>
        <w:t xml:space="preserve">年度经会计师事务所审计的财务报告复印件全本，或银行出具的完整资信证明（需证明投标人的资金状况和信用状况）。 </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2.2.5其他说明。</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非法人组织参与投标需提供的相关证明材料</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w:t>
      </w:r>
    </w:p>
    <w:p>
      <w:pPr>
        <w:spacing w:line="400" w:lineRule="exact"/>
        <w:ind w:firstLine="42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三、特定资格条件：</w:t>
      </w:r>
      <w:r>
        <w:rPr>
          <w:rFonts w:hint="eastAsia" w:asciiTheme="minorEastAsia" w:hAnsiTheme="minorEastAsia" w:eastAsiaTheme="minorEastAsia" w:cstheme="minorEastAsia"/>
        </w:rPr>
        <w:t>无</w:t>
      </w:r>
    </w:p>
    <w:p>
      <w:pPr>
        <w:spacing w:line="400" w:lineRule="exact"/>
        <w:ind w:firstLine="42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四、关于政府采购促进中小企业发展相关规定：</w:t>
      </w:r>
    </w:p>
    <w:p>
      <w:pPr>
        <w:adjustRightInd w:val="0"/>
        <w:spacing w:line="400" w:lineRule="exact"/>
        <w:ind w:firstLine="420" w:firstLineChars="200"/>
        <w:rPr>
          <w:rFonts w:hint="eastAsia" w:ascii="宋体" w:hAnsi="宋体"/>
          <w:b w:val="0"/>
          <w:bCs w:val="0"/>
          <w:color w:val="000000" w:themeColor="text1"/>
          <w:szCs w:val="21"/>
          <w:lang w:val="en-US" w:eastAsia="zh-CN"/>
          <w14:textFill>
            <w14:solidFill>
              <w14:schemeClr w14:val="tx1"/>
            </w14:solidFill>
          </w14:textFill>
        </w:rPr>
      </w:pPr>
      <w:r>
        <w:rPr>
          <w:rFonts w:hint="eastAsia" w:ascii="宋体" w:hAnsi="宋体"/>
          <w:b w:val="0"/>
          <w:bCs w:val="0"/>
          <w:color w:val="000000" w:themeColor="text1"/>
          <w:szCs w:val="21"/>
          <w:lang w:val="en-US" w:eastAsia="zh-CN"/>
          <w14:textFill>
            <w14:solidFill>
              <w14:schemeClr w14:val="tx1"/>
            </w14:solidFill>
          </w14:textFill>
        </w:rPr>
        <w:t>本项目为非专门面向中小微企业采购项目（本项目所属行业：工业）</w:t>
      </w:r>
    </w:p>
    <w:p>
      <w:pPr>
        <w:spacing w:line="400" w:lineRule="exact"/>
        <w:ind w:firstLine="42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五、说明：</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bookmarkStart w:id="6" w:name="_Toc26104"/>
      <w:bookmarkStart w:id="7" w:name="_Toc11024"/>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.1资格证明文件复印件须加盖投标人公章。</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.2投标人有下列情形之一的，视为无效投标（★）：</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（1）有一项资格证明文件未提交的；</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（2）提供不符合要求或虚假资格证明文件的；</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（3）资格证明文件过了有效期的；</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（4）资格证明文件复印件未加盖投标人公章的。</w:t>
      </w:r>
    </w:p>
    <w:p>
      <w:pPr>
        <w:pStyle w:val="44"/>
        <w:keepNext w:val="0"/>
        <w:keepLines w:val="0"/>
        <w:pageBreakBefore w:val="0"/>
        <w:kinsoku/>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5.3</w:t>
      </w:r>
      <w:r>
        <w:rPr>
          <w:rFonts w:hint="eastAsia" w:ascii="宋体" w:hAnsi="宋体" w:eastAsia="宋体" w:cs="宋体"/>
          <w:color w:val="auto"/>
          <w:spacing w:val="0"/>
          <w:w w:val="100"/>
          <w:position w:val="0"/>
          <w:sz w:val="21"/>
          <w:szCs w:val="21"/>
          <w:highlight w:val="none"/>
        </w:rPr>
        <w:t>被“信用中国”网站列入失信被执行人和重大税收违法案件当事人名单的、被“中国政府采购网”网站列入政府采购严重违法失信行为记录名单（处罚期限尚未届满的），不得参与本项目的政府采购活动。</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lang w:eastAsia="zh-CN"/>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w:t>
      </w:r>
      <w:r>
        <w:rPr>
          <w:rFonts w:hint="eastAsia" w:ascii="宋体" w:hAnsi="宋体" w:eastAsia="宋体" w:cs="宋体"/>
          <w:color w:val="auto"/>
          <w:spacing w:val="0"/>
          <w:w w:val="100"/>
          <w:position w:val="0"/>
          <w:sz w:val="21"/>
          <w:szCs w:val="21"/>
          <w:highlight w:val="none"/>
          <w:lang w:val="en-US" w:eastAsia="zh-CN"/>
        </w:rPr>
        <w:t>4</w:t>
      </w:r>
      <w:r>
        <w:rPr>
          <w:rFonts w:hint="eastAsia" w:ascii="宋体" w:hAnsi="宋体" w:eastAsia="宋体" w:cs="宋体"/>
          <w:color w:val="auto"/>
          <w:spacing w:val="0"/>
          <w:w w:val="100"/>
          <w:position w:val="0"/>
          <w:sz w:val="21"/>
          <w:szCs w:val="21"/>
          <w:highlight w:val="none"/>
        </w:rPr>
        <w:t>近三个月是指：</w:t>
      </w:r>
      <w:r>
        <w:rPr>
          <w:rFonts w:hint="eastAsia" w:ascii="宋体" w:hAnsi="宋体" w:cs="宋体"/>
          <w:color w:val="auto"/>
          <w:spacing w:val="0"/>
          <w:w w:val="100"/>
          <w:position w:val="0"/>
          <w:sz w:val="21"/>
          <w:szCs w:val="21"/>
          <w:highlight w:val="none"/>
          <w:lang w:eastAsia="zh-CN"/>
        </w:rPr>
        <w:t>2023年07月至2023年09月</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w:t>
      </w: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单位负责人为同一人或者存在直接控股、管理关系的不同投标人，不得参加同一合同项下的政府采购活动。</w:t>
      </w:r>
    </w:p>
    <w:p>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w:t>
      </w:r>
      <w:r>
        <w:rPr>
          <w:rFonts w:hint="eastAsia" w:ascii="宋体" w:hAnsi="宋体" w:eastAsia="宋体" w:cs="宋体"/>
          <w:color w:val="auto"/>
          <w:spacing w:val="0"/>
          <w:w w:val="100"/>
          <w:position w:val="0"/>
          <w:sz w:val="21"/>
          <w:szCs w:val="21"/>
          <w:highlight w:val="none"/>
          <w:lang w:val="en-US" w:eastAsia="zh-CN"/>
        </w:rPr>
        <w:t>6</w:t>
      </w:r>
      <w:r>
        <w:rPr>
          <w:rFonts w:hint="eastAsia" w:ascii="宋体" w:hAnsi="宋体" w:eastAsia="宋体" w:cs="宋体"/>
          <w:color w:val="auto"/>
          <w:spacing w:val="0"/>
          <w:w w:val="100"/>
          <w:position w:val="0"/>
          <w:sz w:val="21"/>
          <w:szCs w:val="21"/>
          <w:highlight w:val="none"/>
        </w:rPr>
        <w:t>为本采购项目提供整体设计、规范编制或者项目管理、监理、检测等服务的，不得再参加此项目的其他招标采购活动。</w:t>
      </w:r>
    </w:p>
    <w:p>
      <w:pPr>
        <w:keepNext w:val="0"/>
        <w:keepLines w:val="0"/>
        <w:pageBreakBefore w:val="0"/>
        <w:widowControl/>
        <w:kinsoku/>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bidi="ar"/>
        </w:rPr>
        <w:t>5</w:t>
      </w:r>
      <w:r>
        <w:rPr>
          <w:rFonts w:hint="eastAsia" w:ascii="宋体" w:hAnsi="宋体" w:eastAsia="宋体" w:cs="宋体"/>
          <w:color w:val="auto"/>
          <w:spacing w:val="0"/>
          <w:w w:val="100"/>
          <w:position w:val="0"/>
          <w:sz w:val="21"/>
          <w:szCs w:val="21"/>
          <w:highlight w:val="none"/>
          <w:lang w:bidi="ar"/>
        </w:rPr>
        <w:t>.</w:t>
      </w:r>
      <w:r>
        <w:rPr>
          <w:rFonts w:hint="eastAsia" w:ascii="宋体" w:hAnsi="宋体" w:eastAsia="宋体" w:cs="宋体"/>
          <w:color w:val="auto"/>
          <w:spacing w:val="0"/>
          <w:w w:val="100"/>
          <w:position w:val="0"/>
          <w:sz w:val="21"/>
          <w:szCs w:val="21"/>
          <w:highlight w:val="none"/>
          <w:lang w:val="en-US" w:eastAsia="zh-CN" w:bidi="ar"/>
        </w:rPr>
        <w:t>7</w:t>
      </w:r>
      <w:r>
        <w:rPr>
          <w:rFonts w:hint="eastAsia" w:ascii="宋体" w:hAnsi="宋体" w:eastAsia="宋体" w:cs="宋体"/>
          <w:color w:val="auto"/>
          <w:spacing w:val="0"/>
          <w:w w:val="100"/>
          <w:position w:val="0"/>
          <w:sz w:val="21"/>
          <w:szCs w:val="21"/>
          <w:highlight w:val="none"/>
          <w:lang w:bidi="ar"/>
        </w:rPr>
        <w:t>联合体投标：本次招标</w:t>
      </w:r>
      <w:r>
        <w:rPr>
          <w:rFonts w:hint="eastAsia" w:ascii="宋体" w:hAnsi="宋体" w:eastAsia="宋体" w:cs="宋体"/>
          <w:b/>
          <w:bCs/>
          <w:color w:val="auto"/>
          <w:spacing w:val="0"/>
          <w:w w:val="100"/>
          <w:position w:val="0"/>
          <w:sz w:val="21"/>
          <w:szCs w:val="21"/>
          <w:highlight w:val="none"/>
          <w:u w:val="single"/>
          <w:lang w:val="en-US" w:eastAsia="zh-CN" w:bidi="ar"/>
        </w:rPr>
        <w:t xml:space="preserve"> </w:t>
      </w:r>
      <w:r>
        <w:rPr>
          <w:rFonts w:hint="eastAsia" w:ascii="宋体" w:hAnsi="宋体" w:eastAsia="宋体" w:cs="宋体"/>
          <w:b/>
          <w:bCs/>
          <w:color w:val="auto"/>
          <w:spacing w:val="0"/>
          <w:w w:val="100"/>
          <w:position w:val="0"/>
          <w:sz w:val="21"/>
          <w:szCs w:val="21"/>
          <w:highlight w:val="none"/>
          <w:u w:val="single"/>
          <w:lang w:bidi="ar"/>
        </w:rPr>
        <w:t>不接受</w:t>
      </w:r>
      <w:r>
        <w:rPr>
          <w:rFonts w:hint="eastAsia" w:ascii="宋体" w:hAnsi="宋体" w:eastAsia="宋体" w:cs="宋体"/>
          <w:b/>
          <w:bCs/>
          <w:color w:val="auto"/>
          <w:spacing w:val="0"/>
          <w:w w:val="100"/>
          <w:position w:val="0"/>
          <w:sz w:val="21"/>
          <w:szCs w:val="21"/>
          <w:highlight w:val="none"/>
          <w:u w:val="single"/>
          <w:lang w:val="en-US" w:eastAsia="zh-CN" w:bidi="ar"/>
        </w:rPr>
        <w:t xml:space="preserve"> </w:t>
      </w:r>
      <w:r>
        <w:rPr>
          <w:rFonts w:hint="eastAsia" w:ascii="宋体" w:hAnsi="宋体" w:eastAsia="宋体" w:cs="宋体"/>
          <w:color w:val="auto"/>
          <w:spacing w:val="0"/>
          <w:w w:val="100"/>
          <w:position w:val="0"/>
          <w:sz w:val="21"/>
          <w:szCs w:val="21"/>
          <w:highlight w:val="none"/>
          <w:lang w:bidi="ar"/>
        </w:rPr>
        <w:t>联合体投标。</w:t>
      </w:r>
    </w:p>
    <w:p>
      <w:pPr>
        <w:adjustRightInd w:val="0"/>
        <w:spacing w:line="400" w:lineRule="exact"/>
        <w:ind w:firstLine="422" w:firstLineChars="200"/>
        <w:outlineLvl w:val="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七、获取公开招标文件的时间、地点及方式</w:t>
      </w:r>
      <w:bookmarkEnd w:id="6"/>
      <w:bookmarkEnd w:id="7"/>
    </w:p>
    <w:p>
      <w:pPr>
        <w:adjustRightInd w:val="0"/>
        <w:snapToGrid w:val="0"/>
        <w:spacing w:line="400" w:lineRule="exact"/>
        <w:ind w:firstLine="420" w:firstLineChars="200"/>
        <w:rPr>
          <w:rFonts w:hint="eastAsia" w:ascii="宋体" w:hAnsi="宋体" w:eastAsia="宋体" w:cs="宋体"/>
          <w:snapToGrid w:val="0"/>
          <w:color w:val="auto"/>
          <w:lang w:val="en-US" w:eastAsia="zh-CN"/>
        </w:rPr>
      </w:pPr>
      <w:bookmarkStart w:id="8" w:name="_Hlk70502909"/>
      <w:r>
        <w:rPr>
          <w:rFonts w:hint="eastAsia" w:ascii="宋体" w:hAnsi="宋体"/>
          <w:color w:val="auto"/>
          <w:szCs w:val="21"/>
        </w:rPr>
        <w:t>7</w:t>
      </w:r>
      <w:r>
        <w:rPr>
          <w:rFonts w:ascii="宋体" w:hAnsi="宋体"/>
          <w:color w:val="auto"/>
          <w:szCs w:val="21"/>
        </w:rPr>
        <w:t>.1</w:t>
      </w:r>
      <w:r>
        <w:rPr>
          <w:rFonts w:hint="eastAsia" w:ascii="宋体" w:hAnsi="宋体"/>
          <w:color w:val="auto"/>
          <w:szCs w:val="21"/>
        </w:rPr>
        <w:t>凡</w:t>
      </w:r>
      <w:r>
        <w:rPr>
          <w:color w:val="auto"/>
        </w:rPr>
        <w:t>有意参加投标者，请于</w:t>
      </w:r>
      <w:r>
        <w:rPr>
          <w:rFonts w:hint="eastAsia"/>
          <w:b/>
          <w:bCs/>
          <w:color w:val="auto"/>
          <w:lang w:eastAsia="zh-CN"/>
        </w:rPr>
        <w:t>2023年10月16日起至2023年10月20日</w:t>
      </w:r>
      <w:r>
        <w:rPr>
          <w:color w:val="auto"/>
        </w:rPr>
        <w:t>止，每日上午09</w:t>
      </w:r>
      <w:r>
        <w:rPr>
          <w:rFonts w:hint="eastAsia"/>
          <w:color w:val="auto"/>
        </w:rPr>
        <w:t>：0</w:t>
      </w:r>
      <w:r>
        <w:rPr>
          <w:color w:val="auto"/>
        </w:rPr>
        <w:t>0时到12:00时，下午14:00时到17:00时（北京时间</w:t>
      </w:r>
      <w:r>
        <w:rPr>
          <w:rFonts w:hint="eastAsia"/>
          <w:color w:val="auto"/>
        </w:rPr>
        <w:t>，双休日/节假日除外</w:t>
      </w:r>
      <w:r>
        <w:rPr>
          <w:color w:val="auto"/>
        </w:rPr>
        <w:t>），</w:t>
      </w:r>
      <w:r>
        <w:rPr>
          <w:b/>
          <w:bCs/>
          <w:color w:val="auto"/>
        </w:rPr>
        <w:t>持本人身份证原件、投标人法人授权委托书</w:t>
      </w:r>
      <w:r>
        <w:rPr>
          <w:rFonts w:hint="eastAsia"/>
          <w:b/>
          <w:bCs/>
          <w:color w:val="auto"/>
        </w:rPr>
        <w:t>原件</w:t>
      </w:r>
      <w:r>
        <w:rPr>
          <w:b/>
          <w:bCs/>
          <w:color w:val="auto"/>
        </w:rPr>
        <w:t>（委托购买）、投标人营业执照副本复印件，文件需加盖公章（一式</w:t>
      </w:r>
      <w:r>
        <w:rPr>
          <w:rFonts w:hint="eastAsia"/>
          <w:b/>
          <w:bCs/>
          <w:color w:val="auto"/>
        </w:rPr>
        <w:t>二</w:t>
      </w:r>
      <w:r>
        <w:rPr>
          <w:b/>
          <w:bCs/>
          <w:color w:val="auto"/>
        </w:rPr>
        <w:t>份）购买招标文件</w:t>
      </w:r>
      <w:r>
        <w:rPr>
          <w:color w:val="auto"/>
        </w:rPr>
        <w:t>。</w:t>
      </w:r>
      <w:r>
        <w:rPr>
          <w:rFonts w:hint="eastAsia" w:ascii="宋体" w:hAnsi="宋体" w:cs="宋体"/>
          <w:snapToGrid w:val="0"/>
          <w:color w:val="auto"/>
        </w:rPr>
        <w:t>招标文件售价400元</w:t>
      </w:r>
      <w:r>
        <w:rPr>
          <w:rFonts w:ascii="宋体" w:hAnsi="宋体" w:cs="宋体"/>
          <w:snapToGrid w:val="0"/>
          <w:color w:val="auto"/>
        </w:rPr>
        <w:t>/</w:t>
      </w:r>
      <w:r>
        <w:rPr>
          <w:rFonts w:hint="eastAsia" w:ascii="宋体" w:hAnsi="宋体" w:cs="宋体"/>
          <w:snapToGrid w:val="0"/>
          <w:color w:val="auto"/>
        </w:rPr>
        <w:t>套，现金缴纳，售后不退。地点：</w:t>
      </w:r>
      <w:r>
        <w:rPr>
          <w:rFonts w:hint="eastAsia" w:ascii="宋体" w:hAnsi="宋体"/>
          <w:b/>
          <w:color w:val="auto"/>
          <w:szCs w:val="21"/>
        </w:rPr>
        <w:t>湖南中投项目管理有限公司（长沙市雨花区韶山中路489号万博汇名邸三期2008房）。</w:t>
      </w:r>
      <w:r>
        <w:rPr>
          <w:rFonts w:hint="eastAsia" w:ascii="宋体" w:hAnsi="宋体" w:cs="宋体"/>
          <w:snapToGrid w:val="0"/>
          <w:color w:val="auto"/>
          <w:lang w:val="en-US" w:eastAsia="zh-CN"/>
        </w:rPr>
        <w:t xml:space="preserve"> </w:t>
      </w:r>
    </w:p>
    <w:p>
      <w:pPr>
        <w:wordWrap w:val="0"/>
        <w:adjustRightInd w:val="0"/>
        <w:snapToGrid w:val="0"/>
        <w:spacing w:line="400" w:lineRule="exact"/>
        <w:ind w:firstLine="420" w:firstLineChars="200"/>
        <w:jc w:val="left"/>
        <w:rPr>
          <w:rFonts w:ascii="宋体" w:hAnsi="宋体" w:cs="宋体"/>
          <w:snapToGrid w:val="0"/>
          <w:color w:val="auto"/>
          <w:szCs w:val="22"/>
        </w:rPr>
      </w:pPr>
      <w:r>
        <w:rPr>
          <w:rFonts w:hint="eastAsia" w:ascii="宋体" w:hAnsi="宋体" w:cs="宋体"/>
          <w:snapToGrid w:val="0"/>
          <w:color w:val="000000" w:themeColor="text1"/>
          <w14:textFill>
            <w14:solidFill>
              <w14:schemeClr w14:val="tx1"/>
            </w14:solidFill>
          </w14:textFill>
        </w:rPr>
        <w:t>7</w:t>
      </w:r>
      <w:r>
        <w:rPr>
          <w:rFonts w:ascii="宋体" w:hAnsi="宋体" w:cs="宋体"/>
          <w:snapToGrid w:val="0"/>
          <w:color w:val="000000" w:themeColor="text1"/>
          <w14:textFill>
            <w14:solidFill>
              <w14:schemeClr w14:val="tx1"/>
            </w14:solidFill>
          </w14:textFill>
        </w:rPr>
        <w:t>.2</w:t>
      </w:r>
      <w:r>
        <w:rPr>
          <w:rFonts w:hint="eastAsia" w:ascii="宋体" w:hAnsi="宋体" w:cs="宋体"/>
          <w:snapToGrid w:val="0"/>
          <w:color w:val="auto"/>
        </w:rPr>
        <w:t>招标文件及澄清答疑采用网上发布方式。采购人对招标文件、招标文件的澄清答疑均采用在中国政府采购网（</w:t>
      </w:r>
      <w:r>
        <w:rPr>
          <w:rFonts w:ascii="宋体" w:hAnsi="宋体" w:cs="宋体"/>
          <w:snapToGrid w:val="0"/>
          <w:color w:val="auto"/>
        </w:rPr>
        <w:t>http://www.ccgp.gov.cn/</w:t>
      </w:r>
      <w:r>
        <w:rPr>
          <w:rFonts w:hint="eastAsia" w:ascii="宋体" w:hAnsi="宋体" w:cs="宋体"/>
          <w:snapToGrid w:val="0"/>
          <w:color w:val="auto"/>
        </w:rPr>
        <w:t>）上发布，敬请投标人自行留意，恕不另行通知。</w:t>
      </w:r>
    </w:p>
    <w:p>
      <w:pPr>
        <w:wordWrap w:val="0"/>
        <w:adjustRightInd w:val="0"/>
        <w:snapToGrid w:val="0"/>
        <w:spacing w:line="400" w:lineRule="exact"/>
        <w:ind w:firstLine="420" w:firstLineChars="200"/>
        <w:jc w:val="left"/>
        <w:rPr>
          <w:rFonts w:ascii="宋体" w:hAnsi="宋体" w:cs="宋体"/>
          <w:snapToGrid w:val="0"/>
          <w:color w:val="auto"/>
        </w:rPr>
      </w:pPr>
      <w:r>
        <w:rPr>
          <w:rFonts w:hint="eastAsia" w:ascii="宋体" w:hAnsi="宋体" w:cs="宋体"/>
          <w:snapToGrid w:val="0"/>
          <w:color w:val="auto"/>
          <w:szCs w:val="22"/>
        </w:rPr>
        <w:t>7</w:t>
      </w:r>
      <w:r>
        <w:rPr>
          <w:rFonts w:ascii="宋体" w:hAnsi="宋体" w:cs="宋体"/>
          <w:snapToGrid w:val="0"/>
          <w:color w:val="auto"/>
          <w:szCs w:val="22"/>
        </w:rPr>
        <w:t>.3</w:t>
      </w:r>
      <w:r>
        <w:rPr>
          <w:rFonts w:hint="eastAsia" w:ascii="宋体" w:hAnsi="宋体" w:cs="宋体"/>
          <w:snapToGrid w:val="0"/>
          <w:color w:val="auto"/>
          <w:szCs w:val="22"/>
        </w:rPr>
        <w:t>本项目采购文件公告期限为5个工作日，即</w:t>
      </w:r>
      <w:r>
        <w:rPr>
          <w:rFonts w:hint="eastAsia" w:ascii="宋体" w:hAnsi="宋体" w:cs="宋体"/>
          <w:snapToGrid w:val="0"/>
          <w:color w:val="auto"/>
          <w:szCs w:val="22"/>
          <w:lang w:eastAsia="zh-CN"/>
        </w:rPr>
        <w:t>2023年10月16日至2023年10月20日</w:t>
      </w:r>
      <w:r>
        <w:rPr>
          <w:rFonts w:hint="eastAsia" w:ascii="宋体" w:hAnsi="宋体" w:cs="宋体"/>
          <w:snapToGrid w:val="0"/>
          <w:color w:val="auto"/>
          <w:szCs w:val="22"/>
        </w:rPr>
        <w:t>。</w:t>
      </w:r>
    </w:p>
    <w:bookmarkEnd w:id="8"/>
    <w:p>
      <w:pPr>
        <w:pStyle w:val="41"/>
        <w:widowControl w:val="0"/>
        <w:spacing w:before="0" w:beforeAutospacing="0" w:after="0" w:afterAutospacing="0" w:line="400" w:lineRule="exact"/>
        <w:jc w:val="both"/>
        <w:outlineLvl w:val="0"/>
        <w:rPr>
          <w:color w:val="000000" w:themeColor="text1"/>
          <w:szCs w:val="21"/>
          <w14:textFill>
            <w14:solidFill>
              <w14:schemeClr w14:val="tx1"/>
            </w14:solidFill>
          </w14:textFill>
        </w:rPr>
      </w:pPr>
      <w:bookmarkStart w:id="9" w:name="_Toc6715"/>
      <w:bookmarkStart w:id="10" w:name="_Toc32714"/>
      <w:r>
        <w:rPr>
          <w:rFonts w:hint="eastAsia"/>
          <w:b/>
          <w:bCs/>
          <w:color w:val="000000" w:themeColor="text1"/>
          <w:szCs w:val="21"/>
          <w14:textFill>
            <w14:solidFill>
              <w14:schemeClr w14:val="tx1"/>
            </w14:solidFill>
          </w14:textFill>
        </w:rPr>
        <w:t>八、投标截止时间和开标时间及地点</w:t>
      </w:r>
      <w:bookmarkEnd w:id="9"/>
      <w:bookmarkEnd w:id="10"/>
    </w:p>
    <w:p>
      <w:pPr>
        <w:adjustRightInd w:val="0"/>
        <w:snapToGrid w:val="0"/>
        <w:spacing w:line="400" w:lineRule="exact"/>
        <w:ind w:firstLine="422" w:firstLineChars="200"/>
        <w:rPr>
          <w:rFonts w:ascii="宋体" w:hAnsi="宋体"/>
          <w:b/>
          <w:bCs/>
          <w:color w:val="auto"/>
          <w:szCs w:val="21"/>
        </w:rPr>
      </w:pPr>
      <w:r>
        <w:rPr>
          <w:rFonts w:hint="eastAsia" w:ascii="宋体" w:hAnsi="宋体"/>
          <w:b/>
          <w:bCs/>
          <w:color w:val="auto"/>
          <w:szCs w:val="21"/>
        </w:rPr>
        <w:t>投标截止时间：202</w:t>
      </w:r>
      <w:r>
        <w:rPr>
          <w:rFonts w:hint="eastAsia" w:ascii="宋体" w:hAnsi="宋体"/>
          <w:b/>
          <w:bCs/>
          <w:color w:val="auto"/>
          <w:szCs w:val="21"/>
          <w:lang w:val="en-US" w:eastAsia="zh-CN"/>
        </w:rPr>
        <w:t>3</w:t>
      </w:r>
      <w:r>
        <w:rPr>
          <w:rFonts w:hint="eastAsia" w:ascii="宋体" w:hAnsi="宋体"/>
          <w:b/>
          <w:bCs/>
          <w:color w:val="auto"/>
          <w:szCs w:val="21"/>
        </w:rPr>
        <w:t>年</w:t>
      </w:r>
      <w:r>
        <w:rPr>
          <w:rFonts w:hint="eastAsia" w:ascii="宋体" w:hAnsi="宋体"/>
          <w:b/>
          <w:bCs/>
          <w:color w:val="auto"/>
          <w:szCs w:val="21"/>
          <w:lang w:val="en-US" w:eastAsia="zh-CN"/>
        </w:rPr>
        <w:t>11</w:t>
      </w:r>
      <w:r>
        <w:rPr>
          <w:rFonts w:hint="eastAsia" w:ascii="宋体" w:hAnsi="宋体"/>
          <w:b/>
          <w:bCs/>
          <w:color w:val="auto"/>
          <w:szCs w:val="21"/>
        </w:rPr>
        <w:t>月</w:t>
      </w:r>
      <w:r>
        <w:rPr>
          <w:rFonts w:hint="eastAsia" w:ascii="宋体" w:hAnsi="宋体"/>
          <w:b/>
          <w:bCs/>
          <w:color w:val="auto"/>
          <w:szCs w:val="21"/>
          <w:lang w:val="en-US" w:eastAsia="zh-CN"/>
        </w:rPr>
        <w:t>03</w:t>
      </w:r>
      <w:r>
        <w:rPr>
          <w:rFonts w:hint="eastAsia" w:ascii="宋体" w:hAnsi="宋体"/>
          <w:b/>
          <w:bCs/>
          <w:color w:val="auto"/>
          <w:szCs w:val="21"/>
        </w:rPr>
        <w:t>日</w:t>
      </w:r>
      <w:r>
        <w:rPr>
          <w:rFonts w:hint="eastAsia" w:ascii="宋体" w:hAnsi="宋体"/>
          <w:b/>
          <w:bCs/>
          <w:color w:val="auto"/>
          <w:szCs w:val="21"/>
          <w:lang w:val="en-US" w:eastAsia="zh-CN"/>
        </w:rPr>
        <w:t>14</w:t>
      </w:r>
      <w:r>
        <w:rPr>
          <w:rFonts w:hint="eastAsia" w:ascii="宋体" w:hAnsi="宋体"/>
          <w:b/>
          <w:bCs/>
          <w:color w:val="auto"/>
          <w:szCs w:val="21"/>
        </w:rPr>
        <w:t>:</w:t>
      </w:r>
      <w:r>
        <w:rPr>
          <w:rFonts w:hint="eastAsia" w:ascii="宋体" w:hAnsi="宋体"/>
          <w:b/>
          <w:bCs/>
          <w:color w:val="auto"/>
          <w:szCs w:val="21"/>
          <w:lang w:val="en-US" w:eastAsia="zh-CN"/>
        </w:rPr>
        <w:t>3</w:t>
      </w:r>
      <w:r>
        <w:rPr>
          <w:rFonts w:hint="eastAsia" w:ascii="宋体" w:hAnsi="宋体"/>
          <w:b/>
          <w:bCs/>
          <w:color w:val="auto"/>
          <w:szCs w:val="21"/>
        </w:rPr>
        <w:t>0</w:t>
      </w:r>
      <w:r>
        <w:rPr>
          <w:rFonts w:ascii="宋体" w:hAnsi="宋体"/>
          <w:b/>
          <w:bCs/>
          <w:color w:val="auto"/>
          <w:szCs w:val="21"/>
        </w:rPr>
        <w:t xml:space="preserve"> </w:t>
      </w:r>
      <w:r>
        <w:rPr>
          <w:rFonts w:hint="eastAsia" w:ascii="宋体" w:hAnsi="宋体"/>
          <w:b/>
          <w:bCs/>
          <w:color w:val="auto"/>
          <w:szCs w:val="21"/>
        </w:rPr>
        <w:t>（北京时间）。</w:t>
      </w:r>
    </w:p>
    <w:p>
      <w:pPr>
        <w:adjustRightInd w:val="0"/>
        <w:snapToGrid w:val="0"/>
        <w:spacing w:line="400" w:lineRule="exact"/>
        <w:ind w:firstLine="422" w:firstLineChars="200"/>
        <w:rPr>
          <w:rFonts w:ascii="宋体" w:hAnsi="宋体"/>
          <w:b/>
          <w:bCs/>
          <w:color w:val="auto"/>
          <w:szCs w:val="21"/>
        </w:rPr>
      </w:pPr>
      <w:r>
        <w:rPr>
          <w:rFonts w:hint="eastAsia" w:ascii="宋体" w:hAnsi="宋体"/>
          <w:b/>
          <w:bCs/>
          <w:color w:val="auto"/>
          <w:szCs w:val="21"/>
        </w:rPr>
        <w:t>开标时间：202</w:t>
      </w:r>
      <w:r>
        <w:rPr>
          <w:rFonts w:hint="eastAsia" w:ascii="宋体" w:hAnsi="宋体"/>
          <w:b/>
          <w:bCs/>
          <w:color w:val="auto"/>
          <w:szCs w:val="21"/>
          <w:lang w:val="en-US" w:eastAsia="zh-CN"/>
        </w:rPr>
        <w:t>3</w:t>
      </w:r>
      <w:r>
        <w:rPr>
          <w:rFonts w:hint="eastAsia" w:ascii="宋体" w:hAnsi="宋体"/>
          <w:b/>
          <w:bCs/>
          <w:color w:val="auto"/>
          <w:szCs w:val="21"/>
        </w:rPr>
        <w:t>年</w:t>
      </w:r>
      <w:r>
        <w:rPr>
          <w:rFonts w:hint="eastAsia" w:ascii="宋体" w:hAnsi="宋体"/>
          <w:b/>
          <w:bCs/>
          <w:color w:val="auto"/>
          <w:szCs w:val="21"/>
          <w:lang w:val="en-US" w:eastAsia="zh-CN"/>
        </w:rPr>
        <w:t>11</w:t>
      </w:r>
      <w:r>
        <w:rPr>
          <w:rFonts w:hint="eastAsia" w:ascii="宋体" w:hAnsi="宋体"/>
          <w:b/>
          <w:bCs/>
          <w:color w:val="auto"/>
          <w:szCs w:val="21"/>
        </w:rPr>
        <w:t>月</w:t>
      </w:r>
      <w:r>
        <w:rPr>
          <w:rFonts w:hint="eastAsia" w:ascii="宋体" w:hAnsi="宋体"/>
          <w:b/>
          <w:bCs/>
          <w:color w:val="auto"/>
          <w:szCs w:val="21"/>
          <w:lang w:val="en-US" w:eastAsia="zh-CN"/>
        </w:rPr>
        <w:t>03</w:t>
      </w:r>
      <w:r>
        <w:rPr>
          <w:rFonts w:hint="eastAsia" w:ascii="宋体" w:hAnsi="宋体"/>
          <w:b/>
          <w:bCs/>
          <w:color w:val="auto"/>
          <w:szCs w:val="21"/>
        </w:rPr>
        <w:t>日</w:t>
      </w:r>
      <w:r>
        <w:rPr>
          <w:rFonts w:hint="eastAsia" w:ascii="宋体" w:hAnsi="宋体"/>
          <w:b/>
          <w:bCs/>
          <w:color w:val="auto"/>
          <w:szCs w:val="21"/>
          <w:lang w:val="en-US" w:eastAsia="zh-CN"/>
        </w:rPr>
        <w:t>14</w:t>
      </w:r>
      <w:r>
        <w:rPr>
          <w:rFonts w:hint="eastAsia" w:ascii="宋体" w:hAnsi="宋体"/>
          <w:b/>
          <w:bCs/>
          <w:color w:val="auto"/>
          <w:szCs w:val="21"/>
        </w:rPr>
        <w:t>:</w:t>
      </w:r>
      <w:r>
        <w:rPr>
          <w:rFonts w:hint="eastAsia" w:ascii="宋体" w:hAnsi="宋体"/>
          <w:b/>
          <w:bCs/>
          <w:color w:val="auto"/>
          <w:szCs w:val="21"/>
          <w:lang w:val="en-US" w:eastAsia="zh-CN"/>
        </w:rPr>
        <w:t>3</w:t>
      </w:r>
      <w:r>
        <w:rPr>
          <w:rFonts w:hint="eastAsia" w:ascii="宋体" w:hAnsi="宋体"/>
          <w:b/>
          <w:bCs/>
          <w:color w:val="auto"/>
          <w:szCs w:val="21"/>
        </w:rPr>
        <w:t>0（北京时间）。</w:t>
      </w:r>
    </w:p>
    <w:p>
      <w:pPr>
        <w:adjustRightInd w:val="0"/>
        <w:snapToGrid w:val="0"/>
        <w:spacing w:line="400" w:lineRule="exact"/>
        <w:ind w:firstLine="422" w:firstLineChars="200"/>
        <w:rPr>
          <w:rFonts w:ascii="宋体" w:hAnsi="宋体"/>
          <w:b/>
          <w:color w:val="auto"/>
          <w:szCs w:val="21"/>
        </w:rPr>
      </w:pPr>
      <w:r>
        <w:rPr>
          <w:rFonts w:hint="eastAsia" w:ascii="宋体" w:hAnsi="宋体"/>
          <w:b/>
          <w:color w:val="auto"/>
          <w:szCs w:val="21"/>
        </w:rPr>
        <w:t>开标地点：湖南中投项目管理有限公司（长沙市雨花区韶山中路489号万博汇名邸三期2008房）。</w:t>
      </w:r>
    </w:p>
    <w:p>
      <w:pPr>
        <w:adjustRightInd w:val="0"/>
        <w:snapToGrid w:val="0"/>
        <w:spacing w:line="400" w:lineRule="exact"/>
        <w:ind w:firstLine="422" w:firstLineChars="200"/>
        <w:outlineLvl w:val="0"/>
        <w:rPr>
          <w:rFonts w:ascii="宋体" w:hAnsi="宋体"/>
          <w:color w:val="000000" w:themeColor="text1"/>
          <w:szCs w:val="21"/>
          <w14:textFill>
            <w14:solidFill>
              <w14:schemeClr w14:val="tx1"/>
            </w14:solidFill>
          </w14:textFill>
        </w:rPr>
      </w:pPr>
      <w:bookmarkStart w:id="11" w:name="_Toc6983"/>
      <w:bookmarkStart w:id="12" w:name="_Toc15028"/>
      <w:r>
        <w:rPr>
          <w:rFonts w:hint="eastAsia" w:ascii="宋体" w:hAnsi="宋体"/>
          <w:b/>
          <w:bCs/>
          <w:color w:val="000000" w:themeColor="text1"/>
          <w:szCs w:val="21"/>
          <w14:textFill>
            <w14:solidFill>
              <w14:schemeClr w14:val="tx1"/>
            </w14:solidFill>
          </w14:textFill>
        </w:rPr>
        <w:t>九、质疑和投诉</w:t>
      </w:r>
      <w:bookmarkEnd w:id="11"/>
      <w:bookmarkEnd w:id="12"/>
    </w:p>
    <w:p>
      <w:pPr>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供应商认为采购文件存在歧视性条款的，应在购买采购文件之日起7个工作日内以书面形式向采购人或本代理机构提出。如对质疑答复有异议，可向同级政府采购监督管理部门投诉。</w:t>
      </w:r>
    </w:p>
    <w:p>
      <w:pPr>
        <w:adjustRightInd w:val="0"/>
        <w:spacing w:line="400" w:lineRule="exact"/>
        <w:ind w:firstLine="422" w:firstLineChars="20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采购人：长沙市消防救援支队</w:t>
      </w:r>
    </w:p>
    <w:p>
      <w:pPr>
        <w:adjustRightInd w:val="0"/>
        <w:spacing w:line="400" w:lineRule="exact"/>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地 址：</w:t>
      </w:r>
      <w:r>
        <w:rPr>
          <w:rFonts w:hint="eastAsia" w:ascii="宋体" w:hAnsi="宋体"/>
          <w:color w:val="000000" w:themeColor="text1"/>
          <w:szCs w:val="21"/>
          <w14:textFill>
            <w14:solidFill>
              <w14:schemeClr w14:val="tx1"/>
            </w14:solidFill>
          </w14:textFill>
        </w:rPr>
        <w:t>长沙市开福区四方坪学堂园路156号</w:t>
      </w:r>
    </w:p>
    <w:p>
      <w:pPr>
        <w:adjustRightInd w:val="0"/>
        <w:spacing w:line="400" w:lineRule="exact"/>
        <w:ind w:firstLine="420" w:firstLineChars="200"/>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联系人：</w:t>
      </w:r>
      <w:r>
        <w:rPr>
          <w:rFonts w:hint="eastAsia" w:hAnsi="宋体"/>
          <w:color w:val="000000" w:themeColor="text1"/>
          <w:lang w:eastAsia="zh-CN"/>
          <w14:textFill>
            <w14:solidFill>
              <w14:schemeClr w14:val="tx1"/>
            </w14:solidFill>
          </w14:textFill>
        </w:rPr>
        <w:t>郝辉</w:t>
      </w:r>
    </w:p>
    <w:p>
      <w:pPr>
        <w:adjustRightIn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r>
        <w:rPr>
          <w:rFonts w:ascii="宋体" w:hAnsi="宋体"/>
          <w:color w:val="000000" w:themeColor="text1"/>
          <w:szCs w:val="21"/>
          <w14:textFill>
            <w14:solidFill>
              <w14:schemeClr w14:val="tx1"/>
            </w14:solidFill>
          </w14:textFill>
        </w:rPr>
        <w:t>0731- 82686183</w:t>
      </w:r>
    </w:p>
    <w:p>
      <w:pPr>
        <w:adjustRightInd w:val="0"/>
        <w:snapToGrid w:val="0"/>
        <w:spacing w:line="400" w:lineRule="exact"/>
        <w:ind w:firstLine="422" w:firstLineChars="20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采购代理机构：湖南中投项目管理有限公司</w:t>
      </w:r>
    </w:p>
    <w:p>
      <w:pPr>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址：长沙市雨花区韶山中路489号万博汇名邸三期2008房</w:t>
      </w:r>
    </w:p>
    <w:p>
      <w:pPr>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 系 人：梁昌华、张志鹏</w:t>
      </w:r>
    </w:p>
    <w:p>
      <w:pPr>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联系电话：0731-82255989</w:t>
      </w:r>
      <w:r>
        <w:rPr>
          <w:rFonts w:ascii="宋体" w:hAnsi="宋体"/>
          <w:color w:val="000000" w:themeColor="text1"/>
          <w:szCs w:val="21"/>
          <w14:textFill>
            <w14:solidFill>
              <w14:schemeClr w14:val="tx1"/>
            </w14:solidFill>
          </w14:textFill>
        </w:rPr>
        <w:t>/18627548861</w:t>
      </w:r>
    </w:p>
    <w:p>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p>
    <w:p>
      <w:pPr>
        <w:pStyle w:val="26"/>
        <w:adjustRightInd w:val="0"/>
        <w:snapToGrid w:val="0"/>
        <w:spacing w:line="360" w:lineRule="auto"/>
        <w:jc w:val="center"/>
        <w:rPr>
          <w:rFonts w:ascii="黑体" w:hAnsi="华文中宋" w:eastAsia="黑体"/>
          <w:b/>
          <w:color w:val="000000" w:themeColor="text1"/>
          <w:sz w:val="32"/>
          <w:szCs w:val="32"/>
          <w14:textFill>
            <w14:solidFill>
              <w14:schemeClr w14:val="tx1"/>
            </w14:solidFill>
          </w14:textFill>
        </w:rPr>
      </w:pPr>
      <w:r>
        <w:rPr>
          <w:rFonts w:ascii="黑体" w:hAnsi="华文中宋" w:eastAsia="黑体"/>
          <w:b/>
          <w:color w:val="000000" w:themeColor="text1"/>
          <w:sz w:val="32"/>
          <w:szCs w:val="32"/>
          <w14:textFill>
            <w14:solidFill>
              <w14:schemeClr w14:val="tx1"/>
            </w14:solidFill>
          </w14:textFill>
        </w:rPr>
        <w:br w:type="page"/>
      </w:r>
    </w:p>
    <w:p>
      <w:pPr>
        <w:rPr>
          <w:color w:val="000000" w:themeColor="text1"/>
          <w14:textFill>
            <w14:solidFill>
              <w14:schemeClr w14:val="tx1"/>
            </w14:solidFill>
          </w14:textFill>
        </w:rPr>
      </w:pPr>
    </w:p>
    <w:p>
      <w:pPr>
        <w:widowControl/>
        <w:jc w:val="center"/>
        <w:outlineLvl w:val="0"/>
        <w:rPr>
          <w:rFonts w:ascii="黑体" w:hAnsi="华文中宋" w:eastAsia="黑体"/>
          <w:b/>
          <w:color w:val="000000" w:themeColor="text1"/>
          <w:spacing w:val="100"/>
          <w:sz w:val="32"/>
          <w:szCs w:val="32"/>
          <w14:textFill>
            <w14:solidFill>
              <w14:schemeClr w14:val="tx1"/>
            </w14:solidFill>
          </w14:textFill>
        </w:rPr>
      </w:pPr>
      <w:bookmarkStart w:id="13" w:name="_Toc25065"/>
      <w:bookmarkStart w:id="14" w:name="_Toc6792"/>
      <w:bookmarkStart w:id="15" w:name="_Toc8983707"/>
      <w:r>
        <w:rPr>
          <w:rFonts w:hint="eastAsia" w:ascii="黑体" w:hAnsi="华文中宋" w:eastAsia="黑体"/>
          <w:b/>
          <w:color w:val="000000" w:themeColor="text1"/>
          <w:sz w:val="32"/>
          <w:szCs w:val="32"/>
          <w14:textFill>
            <w14:solidFill>
              <w14:schemeClr w14:val="tx1"/>
            </w14:solidFill>
          </w14:textFill>
        </w:rPr>
        <w:t>第二章 投标须知</w:t>
      </w:r>
      <w:bookmarkEnd w:id="13"/>
      <w:bookmarkEnd w:id="14"/>
      <w:bookmarkEnd w:id="15"/>
    </w:p>
    <w:p>
      <w:pPr>
        <w:pStyle w:val="6"/>
        <w:adjustRightInd w:val="0"/>
        <w:snapToGrid w:val="0"/>
        <w:rPr>
          <w:rFonts w:ascii="黑体" w:hAnsi="华文中宋" w:eastAsia="黑体"/>
          <w:color w:val="000000" w:themeColor="text1"/>
          <w:spacing w:val="100"/>
          <w:sz w:val="28"/>
          <w:szCs w:val="28"/>
          <w14:textFill>
            <w14:solidFill>
              <w14:schemeClr w14:val="tx1"/>
            </w14:solidFill>
          </w14:textFill>
        </w:rPr>
      </w:pPr>
      <w:bookmarkStart w:id="16" w:name="_Toc8983708"/>
      <w:bookmarkStart w:id="17" w:name="_Toc3137"/>
      <w:r>
        <w:rPr>
          <w:rFonts w:hint="eastAsia" w:ascii="黑体" w:hAnsi="华文中宋" w:eastAsia="黑体"/>
          <w:color w:val="000000" w:themeColor="text1"/>
          <w:sz w:val="28"/>
          <w:szCs w:val="28"/>
          <w14:textFill>
            <w14:solidFill>
              <w14:schemeClr w14:val="tx1"/>
            </w14:solidFill>
          </w14:textFill>
        </w:rPr>
        <w:t>投标须知前附表</w:t>
      </w:r>
      <w:bookmarkEnd w:id="16"/>
      <w:bookmarkEnd w:id="17"/>
    </w:p>
    <w:p>
      <w:pPr>
        <w:adjustRightInd w:val="0"/>
        <w:snapToGrid w:val="0"/>
        <w:spacing w:line="360" w:lineRule="auto"/>
        <w:ind w:right="31" w:rightChars="15"/>
        <w:jc w:val="right"/>
        <w:rPr>
          <w:rFonts w:asciiTheme="minorEastAsia" w:hAnsiTheme="minorEastAsia" w:eastAsiaTheme="minorEastAsia"/>
          <w:i/>
          <w:color w:val="000000" w:themeColor="text1"/>
          <w:szCs w:val="21"/>
          <w14:textFill>
            <w14:solidFill>
              <w14:schemeClr w14:val="tx1"/>
            </w14:solidFill>
          </w14:textFill>
        </w:rPr>
      </w:pPr>
      <w:r>
        <w:rPr>
          <w:rFonts w:hint="eastAsia" w:asciiTheme="minorEastAsia" w:hAnsiTheme="minorEastAsia" w:eastAsiaTheme="minorEastAsia"/>
          <w:i/>
          <w:color w:val="000000" w:themeColor="text1"/>
          <w:szCs w:val="21"/>
          <w14:textFill>
            <w14:solidFill>
              <w14:schemeClr w14:val="tx1"/>
            </w14:solidFill>
          </w14:textFill>
        </w:rPr>
        <w:t>注：本项目启用的条款在“编列内容规定”栏内以“■”标注。</w:t>
      </w:r>
    </w:p>
    <w:tbl>
      <w:tblPr>
        <w:tblStyle w:val="46"/>
        <w:tblW w:w="900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00"/>
        <w:gridCol w:w="1621"/>
        <w:gridCol w:w="557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tblHeader/>
        </w:trPr>
        <w:tc>
          <w:tcPr>
            <w:tcW w:w="1800" w:type="dxa"/>
            <w:vAlign w:val="center"/>
          </w:tcPr>
          <w:p>
            <w:pPr>
              <w:adjustRightInd w:val="0"/>
              <w:snapToGrid w:val="0"/>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条款号</w:t>
            </w:r>
          </w:p>
        </w:tc>
        <w:tc>
          <w:tcPr>
            <w:tcW w:w="1621" w:type="dxa"/>
            <w:vAlign w:val="center"/>
          </w:tcPr>
          <w:p>
            <w:pPr>
              <w:adjustRightInd w:val="0"/>
              <w:snapToGrid w:val="0"/>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条款名称</w:t>
            </w:r>
          </w:p>
        </w:tc>
        <w:tc>
          <w:tcPr>
            <w:tcW w:w="5579" w:type="dxa"/>
            <w:vAlign w:val="center"/>
          </w:tcPr>
          <w:p>
            <w:pPr>
              <w:adjustRightInd w:val="0"/>
              <w:snapToGrid w:val="0"/>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9000" w:type="dxa"/>
            <w:gridSpan w:val="3"/>
            <w:vAlign w:val="center"/>
          </w:tcPr>
          <w:p>
            <w:pPr>
              <w:adjustRightInd w:val="0"/>
              <w:snapToGrid w:val="0"/>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第一章 投标须知（前附表）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9000" w:type="dxa"/>
            <w:gridSpan w:val="3"/>
            <w:vAlign w:val="center"/>
          </w:tcPr>
          <w:p>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7" w:hRule="exact"/>
        </w:trPr>
        <w:tc>
          <w:tcPr>
            <w:tcW w:w="1800"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w:t>
            </w:r>
            <w:r>
              <w:rPr>
                <w:rFonts w:hint="eastAsia" w:ascii="宋体" w:hAnsi="宋体" w:cs="宋体"/>
                <w:color w:val="000000" w:themeColor="text1"/>
                <w:kern w:val="0"/>
                <w:szCs w:val="21"/>
                <w:lang w:val="zh-CN"/>
                <w14:textFill>
                  <w14:solidFill>
                    <w14:schemeClr w14:val="tx1"/>
                  </w14:solidFill>
                </w14:textFill>
              </w:rPr>
              <w:t>款</w:t>
            </w:r>
          </w:p>
        </w:tc>
        <w:tc>
          <w:tcPr>
            <w:tcW w:w="162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采购项目名称</w:t>
            </w:r>
          </w:p>
        </w:tc>
        <w:tc>
          <w:tcPr>
            <w:tcW w:w="5579" w:type="dxa"/>
            <w:vAlign w:val="center"/>
          </w:tcPr>
          <w:p>
            <w:pPr>
              <w:adjustRightInd w:val="0"/>
              <w:snapToGrid w:val="0"/>
              <w:spacing w:line="360" w:lineRule="auto"/>
              <w:rPr>
                <w:rFonts w:hint="eastAsia" w:ascii="宋体" w:hAnsi="宋体" w:eastAsia="宋体"/>
                <w:color w:val="auto"/>
                <w:szCs w:val="21"/>
                <w:lang w:eastAsia="zh-CN"/>
              </w:rPr>
            </w:pPr>
            <w:r>
              <w:rPr>
                <w:rFonts w:hint="eastAsia" w:ascii="宋体" w:hAnsi="宋体"/>
                <w:color w:val="auto"/>
                <w:szCs w:val="21"/>
                <w:lang w:eastAsia="zh-CN"/>
              </w:rPr>
              <w:t>长沙市消防救援支队2022装备采购ZT-通信类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46" w:hRule="exact"/>
        </w:trPr>
        <w:tc>
          <w:tcPr>
            <w:tcW w:w="1800" w:type="dxa"/>
            <w:vAlign w:val="center"/>
          </w:tcPr>
          <w:p>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第1.2款</w:t>
            </w:r>
          </w:p>
        </w:tc>
        <w:tc>
          <w:tcPr>
            <w:tcW w:w="1621" w:type="dxa"/>
            <w:vAlign w:val="center"/>
          </w:tcPr>
          <w:p>
            <w:pPr>
              <w:adjustRightInd w:val="0"/>
              <w:snapToGrid w:val="0"/>
              <w:spacing w:line="360" w:lineRule="auto"/>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专门面向小微企业采购</w:t>
            </w:r>
          </w:p>
        </w:tc>
        <w:tc>
          <w:tcPr>
            <w:tcW w:w="5579" w:type="dxa"/>
            <w:vAlign w:val="center"/>
          </w:tcPr>
          <w:p>
            <w:pPr>
              <w:spacing w:line="360" w:lineRule="atLeast"/>
              <w:rPr>
                <w:rFonts w:ascii="宋体" w:hAnsi="宋体" w:cs="宋体"/>
                <w:color w:val="000000" w:themeColor="text1"/>
                <w:kern w:val="0"/>
                <w:szCs w:val="21"/>
                <w14:textFill>
                  <w14:solidFill>
                    <w14:schemeClr w14:val="tx1"/>
                  </w14:solidFill>
                </w14:textFill>
              </w:rPr>
            </w:pPr>
            <w:r>
              <w:rPr>
                <w:rFonts w:hint="eastAsia" w:hAnsi="宋体"/>
                <w:color w:val="000000" w:themeColor="text1"/>
                <w14:textFill>
                  <w14:solidFill>
                    <w14:schemeClr w14:val="tx1"/>
                  </w14:solidFill>
                </w14:textFill>
              </w:rPr>
              <w:t>□</w:t>
            </w:r>
            <w:r>
              <w:rPr>
                <w:rFonts w:hint="eastAsia" w:ascii="宋体" w:hAnsi="宋体"/>
                <w:color w:val="000000" w:themeColor="text1"/>
                <w:szCs w:val="21"/>
                <w14:textFill>
                  <w14:solidFill>
                    <w14:schemeClr w14:val="tx1"/>
                  </w14:solidFill>
                </w14:textFill>
              </w:rPr>
              <w:t>专门面向中小企业采购</w:t>
            </w:r>
            <w:r>
              <w:rPr>
                <w:rFonts w:hint="eastAsia" w:ascii="宋体" w:hAnsi="宋体" w:cs="宋体"/>
                <w:color w:val="000000" w:themeColor="text1"/>
                <w:kern w:val="0"/>
                <w:szCs w:val="21"/>
                <w14:textFill>
                  <w14:solidFill>
                    <w14:schemeClr w14:val="tx1"/>
                  </w14:solidFill>
                </w14:textFill>
              </w:rPr>
              <w:t>。</w:t>
            </w:r>
          </w:p>
          <w:p>
            <w:pPr>
              <w:adjustRightInd w:val="0"/>
              <w:snapToGrid w:val="0"/>
              <w:spacing w:line="360" w:lineRule="exact"/>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非专门面向中小企业采购：</w:t>
            </w:r>
          </w:p>
          <w:p>
            <w:pPr>
              <w:adjustRightInd w:val="0"/>
              <w:snapToGrid w:val="0"/>
              <w:spacing w:line="36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给予小型和微型企业产品的价格6%-10%的扣除，用扣除后的价格参与评审，本项目具体扣除比例为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10</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62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w:t>
            </w:r>
            <w:r>
              <w:rPr>
                <w:rFonts w:hint="eastAsia" w:hAnsi="宋体"/>
                <w:color w:val="000000" w:themeColor="text1"/>
                <w:szCs w:val="21"/>
                <w:lang w:val="en-US" w:eastAsia="zh-CN"/>
                <w14:textFill>
                  <w14:solidFill>
                    <w14:schemeClr w14:val="tx1"/>
                  </w14:solidFill>
                </w14:textFill>
              </w:rPr>
              <w:t>人</w:t>
            </w:r>
          </w:p>
        </w:tc>
        <w:tc>
          <w:tcPr>
            <w:tcW w:w="5579" w:type="dxa"/>
            <w:vAlign w:val="center"/>
          </w:tcPr>
          <w:p>
            <w:pPr>
              <w:pStyle w:val="26"/>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采 购 人：长沙市消防救援支队</w:t>
            </w:r>
          </w:p>
          <w:p>
            <w:pPr>
              <w:pStyle w:val="26"/>
              <w:spacing w:line="360" w:lineRule="auto"/>
              <w:rPr>
                <w:rFonts w:hint="eastAsia" w:hAnsi="宋体"/>
                <w:color w:val="000000" w:themeColor="text1"/>
                <w:lang w:eastAsia="zh-CN"/>
                <w14:textFill>
                  <w14:solidFill>
                    <w14:schemeClr w14:val="tx1"/>
                  </w14:solidFill>
                </w14:textFill>
              </w:rPr>
            </w:pPr>
            <w:r>
              <w:rPr>
                <w:rFonts w:hint="eastAsia" w:hAnsi="宋体"/>
                <w:color w:val="000000" w:themeColor="text1"/>
                <w14:textFill>
                  <w14:solidFill>
                    <w14:schemeClr w14:val="tx1"/>
                  </w14:solidFill>
                </w14:textFill>
              </w:rPr>
              <w:t>联 系 人：</w:t>
            </w:r>
            <w:r>
              <w:rPr>
                <w:rFonts w:hint="eastAsia" w:hAnsi="宋体"/>
                <w:color w:val="000000" w:themeColor="text1"/>
                <w:lang w:eastAsia="zh-CN"/>
                <w14:textFill>
                  <w14:solidFill>
                    <w14:schemeClr w14:val="tx1"/>
                  </w14:solidFill>
                </w14:textFill>
              </w:rPr>
              <w:t>郝辉</w:t>
            </w:r>
          </w:p>
          <w:p>
            <w:pPr>
              <w:pStyle w:val="26"/>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电    话：</w:t>
            </w:r>
            <w:r>
              <w:rPr>
                <w:rFonts w:hAnsi="宋体"/>
                <w:color w:val="000000" w:themeColor="text1"/>
                <w14:textFill>
                  <w14:solidFill>
                    <w14:schemeClr w14:val="tx1"/>
                  </w14:solidFill>
                </w14:textFill>
              </w:rPr>
              <w:t>0731- 82686183</w:t>
            </w:r>
          </w:p>
          <w:p>
            <w:pPr>
              <w:pStyle w:val="26"/>
              <w:spacing w:line="360" w:lineRule="auto"/>
              <w:rPr>
                <w:rFonts w:hint="eastAsia" w:hAnsi="宋体"/>
                <w:color w:val="000000" w:themeColor="text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    址：长沙市开福区四方坪学堂园路156号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s="宋体"/>
                <w:color w:val="000000" w:themeColor="text1"/>
                <w:kern w:val="0"/>
                <w:szCs w:val="21"/>
                <w:lang w:val="zh-CN"/>
                <w14:textFill>
                  <w14:solidFill>
                    <w14:schemeClr w14:val="tx1"/>
                  </w14:solidFill>
                </w14:textFill>
              </w:rPr>
              <w:t>款</w:t>
            </w:r>
          </w:p>
        </w:tc>
        <w:tc>
          <w:tcPr>
            <w:tcW w:w="1621"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采购代理机构</w:t>
            </w:r>
          </w:p>
        </w:tc>
        <w:tc>
          <w:tcPr>
            <w:tcW w:w="5579" w:type="dxa"/>
            <w:vAlign w:val="center"/>
          </w:tcPr>
          <w:p>
            <w:pPr>
              <w:spacing w:line="380" w:lineRule="exact"/>
              <w:rPr>
                <w:rFonts w:hint="eastAsia" w:hAnsi="宋体" w:eastAsia="宋体"/>
                <w:color w:val="auto"/>
                <w:lang w:eastAsia="zh-CN"/>
              </w:rPr>
            </w:pPr>
            <w:r>
              <w:rPr>
                <w:rFonts w:hint="eastAsia" w:hAnsi="宋体" w:eastAsia="宋体"/>
                <w:color w:val="auto"/>
                <w:lang w:eastAsia="zh-CN"/>
              </w:rPr>
              <w:t xml:space="preserve">名称： 湖南中投项目管理有限公司 </w:t>
            </w:r>
          </w:p>
          <w:p>
            <w:pPr>
              <w:spacing w:line="380" w:lineRule="exact"/>
              <w:rPr>
                <w:rFonts w:hint="eastAsia" w:hAnsi="宋体" w:eastAsia="宋体"/>
                <w:color w:val="auto"/>
                <w:lang w:eastAsia="zh-CN"/>
              </w:rPr>
            </w:pPr>
            <w:r>
              <w:rPr>
                <w:rFonts w:hint="eastAsia" w:hAnsi="宋体" w:eastAsia="宋体"/>
                <w:color w:val="auto"/>
                <w:lang w:eastAsia="zh-CN"/>
              </w:rPr>
              <w:t>地址：长沙市雨花区韶山中路489号万博汇名邸三期2008房</w:t>
            </w:r>
          </w:p>
          <w:p>
            <w:pPr>
              <w:spacing w:line="380" w:lineRule="exact"/>
              <w:rPr>
                <w:rFonts w:hint="eastAsia" w:hAnsi="宋体" w:eastAsia="宋体"/>
                <w:color w:val="auto"/>
                <w:lang w:eastAsia="zh-CN"/>
              </w:rPr>
            </w:pPr>
            <w:r>
              <w:rPr>
                <w:rFonts w:hint="eastAsia" w:hAnsi="宋体" w:eastAsia="宋体"/>
                <w:color w:val="auto"/>
                <w:lang w:eastAsia="zh-CN"/>
              </w:rPr>
              <w:t>联 系 人：梁昌华、张志鹏</w:t>
            </w:r>
          </w:p>
          <w:p>
            <w:pPr>
              <w:spacing w:line="380" w:lineRule="exact"/>
              <w:rPr>
                <w:rFonts w:hint="eastAsia" w:hAnsi="宋体" w:eastAsia="宋体"/>
                <w:color w:val="auto"/>
                <w:lang w:eastAsia="zh-CN"/>
              </w:rPr>
            </w:pPr>
            <w:r>
              <w:rPr>
                <w:rFonts w:hint="eastAsia" w:hAnsi="宋体" w:eastAsia="宋体"/>
                <w:color w:val="auto"/>
                <w:lang w:eastAsia="zh-CN"/>
              </w:rPr>
              <w:t>联系电话：0731-82255989/18627548861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1800" w:type="dxa"/>
            <w:vAlign w:val="center"/>
          </w:tcPr>
          <w:p>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w:t>
            </w:r>
            <w:r>
              <w:rPr>
                <w:rFonts w:hint="eastAsia" w:asciiTheme="minorEastAsia" w:hAnsiTheme="minorEastAsia" w:eastAsiaTheme="minorEastAsia"/>
                <w:color w:val="000000" w:themeColor="text1"/>
                <w:szCs w:val="21"/>
                <w:lang w:val="en-US" w:eastAsia="zh-CN"/>
                <w14:textFill>
                  <w14:solidFill>
                    <w14:schemeClr w14:val="tx1"/>
                  </w14:solidFill>
                </w14:textFill>
              </w:rPr>
              <w:t>6</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621"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采购进口产品</w:t>
            </w:r>
          </w:p>
        </w:tc>
        <w:tc>
          <w:tcPr>
            <w:tcW w:w="5579" w:type="dxa"/>
            <w:vAlign w:val="center"/>
          </w:tcPr>
          <w:p>
            <w:pPr>
              <w:rPr>
                <w:color w:val="000000" w:themeColor="text1"/>
                <w14:textFill>
                  <w14:solidFill>
                    <w14:schemeClr w14:val="tx1"/>
                  </w14:solidFill>
                </w14:textFill>
              </w:rPr>
            </w:pPr>
            <w:r>
              <w:rPr>
                <w:color w:val="000000" w:themeColor="text1"/>
                <w14:textFill>
                  <w14:solidFill>
                    <w14:schemeClr w14:val="tx1"/>
                  </w14:solidFill>
                </w14:textFill>
              </w:rPr>
              <w:t>本采购项目</w:t>
            </w:r>
            <w:r>
              <w:rPr>
                <w:rFonts w:hint="eastAsia"/>
                <w:color w:val="000000" w:themeColor="text1"/>
                <w14:textFill>
                  <w14:solidFill>
                    <w14:schemeClr w14:val="tx1"/>
                  </w14:solidFill>
                </w14:textFill>
              </w:rPr>
              <w:t>不允许</w:t>
            </w:r>
            <w:r>
              <w:rPr>
                <w:color w:val="000000" w:themeColor="text1"/>
                <w14:textFill>
                  <w14:solidFill>
                    <w14:schemeClr w14:val="tx1"/>
                  </w14:solidFill>
                </w14:textFill>
              </w:rPr>
              <w:t>进口产品参加投标</w:t>
            </w:r>
            <w:r>
              <w:rPr>
                <w:rFonts w:hint="eastAsia"/>
                <w:color w:val="000000" w:themeColor="text1"/>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6" w:hRule="atLeast"/>
        </w:trPr>
        <w:tc>
          <w:tcPr>
            <w:tcW w:w="1800"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第3.1</w:t>
            </w:r>
            <w:r>
              <w:rPr>
                <w:rFonts w:hint="eastAsia" w:ascii="宋体" w:hAnsi="宋体" w:cs="宋体"/>
                <w:color w:val="000000" w:themeColor="text1"/>
                <w:kern w:val="0"/>
                <w:szCs w:val="21"/>
                <w:lang w:val="zh-CN"/>
                <w14:textFill>
                  <w14:solidFill>
                    <w14:schemeClr w14:val="tx1"/>
                  </w14:solidFill>
                </w14:textFill>
              </w:rPr>
              <w:t>款</w:t>
            </w:r>
          </w:p>
        </w:tc>
        <w:tc>
          <w:tcPr>
            <w:tcW w:w="162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投标人资格条件</w:t>
            </w:r>
          </w:p>
        </w:tc>
        <w:tc>
          <w:tcPr>
            <w:tcW w:w="5579" w:type="dxa"/>
            <w:vAlign w:val="center"/>
          </w:tcPr>
          <w:p>
            <w:pPr>
              <w:pStyle w:val="108"/>
              <w:numPr>
                <w:ilvl w:val="0"/>
                <w:numId w:val="2"/>
              </w:numPr>
              <w:spacing w:line="240" w:lineRule="auto"/>
              <w:ind w:firstLineChars="0"/>
              <w:rPr>
                <w:rFonts w:ascii="宋体" w:hAnsi="宋体"/>
                <w:b/>
                <w:b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投标人的</w:t>
            </w:r>
            <w:r>
              <w:rPr>
                <w:rFonts w:hint="eastAsia" w:ascii="宋体" w:hAnsi="宋体"/>
                <w:b/>
                <w:bCs/>
                <w:color w:val="000000" w:themeColor="text1"/>
                <w:szCs w:val="21"/>
                <w14:textFill>
                  <w14:solidFill>
                    <w14:schemeClr w14:val="tx1"/>
                  </w14:solidFill>
                </w14:textFill>
              </w:rPr>
              <w:t>资格要求：</w:t>
            </w:r>
          </w:p>
          <w:p>
            <w:pPr>
              <w:spacing w:line="240" w:lineRule="auto"/>
              <w:ind w:firstLine="315"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法人提交企业法人营业执照副本(或者法人登记证书)以及组织机构代码证副本复印件；</w:t>
            </w:r>
          </w:p>
          <w:p>
            <w:pPr>
              <w:spacing w:line="24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依法缴纳税收和社会保险费的证明材料,提供下列材料:</w:t>
            </w:r>
          </w:p>
          <w:p>
            <w:pPr>
              <w:spacing w:line="24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①缴纳税收证明资料:近三个月内任意一个月依法缴纳税收的证明（纳税凭证复印件），或者委托他人缴纳的委托代办协议和近三个月内任意一个月的缴纳证明（收据复印件），或者法定征收机关出具的依法免缴税收的证明复印件。②缴纳社会保险证明资料：近三个月内任意一个月依法缴纳社会保险的证明（缴费凭证复印件），或者委托他人缴纳的委托代办协议和近三个月内任意一个月的缴纳证明（收据复印件），或者法定征收机关出具的依法免缴保险费的证明复印件。</w:t>
            </w:r>
          </w:p>
          <w:p>
            <w:pPr>
              <w:spacing w:line="24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人提交法定代表人身份证明原件或者法定代表人授权委托书原件以及被授权代表人在投标单位或投标单位依法登记的分支机构近三个月内任意一个月的社保证明并附法定代表人身份证明原件，自然人提交身份证复印件。</w:t>
            </w:r>
          </w:p>
          <w:p>
            <w:pPr>
              <w:spacing w:line="24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提供202</w:t>
            </w:r>
            <w:r>
              <w:rPr>
                <w:rFonts w:hint="eastAsia" w:asciiTheme="minorEastAsia" w:hAnsiTheme="minorEastAsia" w:eastAsiaTheme="minorEastAsia" w:cstheme="minorEastAsia"/>
                <w:lang w:val="en-US" w:eastAsia="zh-CN"/>
              </w:rPr>
              <w:t>2</w:t>
            </w:r>
            <w:r>
              <w:rPr>
                <w:rFonts w:hint="eastAsia" w:asciiTheme="minorEastAsia" w:hAnsiTheme="minorEastAsia" w:eastAsiaTheme="minorEastAsia" w:cstheme="minorEastAsia"/>
              </w:rPr>
              <w:t xml:space="preserve">年度经会计师事务所审计的财务报告复印件全本，或银行出具的完整资信证明（需证明投标人的资金状况和信用状况）。 </w:t>
            </w:r>
          </w:p>
          <w:p>
            <w:pPr>
              <w:spacing w:line="24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其他说明。(非法人组织参与投标需提供的相关证明材料)。</w:t>
            </w:r>
          </w:p>
          <w:p>
            <w:pPr>
              <w:spacing w:line="240" w:lineRule="auto"/>
              <w:ind w:firstLine="42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二、特定资格条件：</w:t>
            </w:r>
            <w:r>
              <w:rPr>
                <w:rFonts w:hint="eastAsia" w:asciiTheme="minorEastAsia" w:hAnsiTheme="minorEastAsia" w:eastAsiaTheme="minorEastAsia" w:cstheme="minorEastAsia"/>
              </w:rPr>
              <w:t>无</w:t>
            </w:r>
          </w:p>
          <w:p>
            <w:pPr>
              <w:spacing w:line="240" w:lineRule="auto"/>
              <w:ind w:firstLine="42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三、关于政府采购促进中小企业发展相关规定：</w:t>
            </w:r>
          </w:p>
          <w:p>
            <w:pPr>
              <w:spacing w:line="240" w:lineRule="auto"/>
              <w:ind w:firstLine="420" w:firstLineChars="20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3.1本项目为</w:t>
            </w:r>
            <w:r>
              <w:rPr>
                <w:rFonts w:hint="eastAsia" w:asciiTheme="minorEastAsia" w:hAnsiTheme="minorEastAsia" w:eastAsiaTheme="minorEastAsia" w:cstheme="minorEastAsia"/>
                <w:lang w:eastAsia="zh-CN"/>
              </w:rPr>
              <w:t>非</w:t>
            </w:r>
            <w:r>
              <w:rPr>
                <w:rFonts w:hint="eastAsia" w:asciiTheme="minorEastAsia" w:hAnsiTheme="minorEastAsia" w:eastAsiaTheme="minorEastAsia" w:cstheme="minorEastAsia"/>
              </w:rPr>
              <w:t>专门面向中小微企业采购项目</w:t>
            </w:r>
            <w:r>
              <w:rPr>
                <w:rFonts w:hint="eastAsia" w:asciiTheme="minorEastAsia" w:hAnsiTheme="minorEastAsia" w:eastAsiaTheme="minorEastAsia" w:cstheme="minorEastAsia"/>
                <w:lang w:eastAsia="zh-CN"/>
              </w:rPr>
              <w:t>。</w:t>
            </w:r>
          </w:p>
          <w:p>
            <w:pPr>
              <w:spacing w:line="240" w:lineRule="auto"/>
              <w:ind w:firstLine="42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四、说明：</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.1资格证明文件复印件须加盖投标人公章。</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.2投标人有下列情形之一的，视为无效投标（★）：</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（1）有一项资格证明文件未提交的；</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（2）提供不符合要求或虚假资格证明文件的；</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（3）资格证明文件过了有效期的；</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（4）资格证明文件复印件未加盖投标人公章的。</w:t>
            </w:r>
          </w:p>
          <w:p>
            <w:pPr>
              <w:pStyle w:val="44"/>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4.3</w:t>
            </w:r>
            <w:r>
              <w:rPr>
                <w:rFonts w:hint="eastAsia" w:asciiTheme="minorEastAsia" w:hAnsiTheme="minorEastAsia" w:eastAsiaTheme="minorEastAsia" w:cstheme="minorEastAsia"/>
                <w:color w:val="auto"/>
                <w:spacing w:val="0"/>
                <w:w w:val="100"/>
                <w:position w:val="0"/>
                <w:sz w:val="21"/>
                <w:szCs w:val="21"/>
                <w:highlight w:val="none"/>
              </w:rPr>
              <w:t>被“信用中国”网站列入失信被执行人和重大税收违法案件当事人名单的、被“中国政府采购网”网站列入政府采购严重违法失信行为记录名单（处罚期限尚未届满的），不得参与本项目的政府采购活动。</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近三个月是指：</w:t>
            </w:r>
            <w:r>
              <w:rPr>
                <w:rFonts w:hint="eastAsia" w:ascii="宋体" w:hAnsi="宋体" w:cs="宋体"/>
                <w:color w:val="auto"/>
                <w:spacing w:val="0"/>
                <w:w w:val="100"/>
                <w:position w:val="0"/>
                <w:sz w:val="21"/>
                <w:szCs w:val="21"/>
                <w:highlight w:val="none"/>
                <w:lang w:eastAsia="zh-CN"/>
              </w:rPr>
              <w:t>2023年07月至2023年09月</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单位负责人为同一人或者存在直接控股、管理关系的不同投标人，不得参加同一合同项下的政府采购活动。</w:t>
            </w:r>
          </w:p>
          <w:p>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6</w:t>
            </w:r>
            <w:r>
              <w:rPr>
                <w:rFonts w:hint="eastAsia" w:asciiTheme="minorEastAsia" w:hAnsiTheme="minorEastAsia" w:eastAsiaTheme="minorEastAsia" w:cstheme="minorEastAsia"/>
                <w:color w:val="auto"/>
                <w:spacing w:val="0"/>
                <w:w w:val="100"/>
                <w:position w:val="0"/>
                <w:sz w:val="21"/>
                <w:szCs w:val="21"/>
                <w:highlight w:val="none"/>
              </w:rPr>
              <w:t>为本采购项目提供整体设计、规范编制或者项目管理、监理、检测等服务的，不得再参加此项目的其他招标采购活动。</w:t>
            </w:r>
          </w:p>
          <w:p>
            <w:pPr>
              <w:widowControl/>
              <w:adjustRightInd w:val="0"/>
              <w:spacing w:before="152" w:line="240" w:lineRule="auto"/>
              <w:ind w:firstLine="420" w:firstLineChars="200"/>
              <w:jc w:val="left"/>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lang w:val="en-US" w:eastAsia="zh-CN" w:bidi="ar"/>
              </w:rPr>
              <w:t>4</w:t>
            </w:r>
            <w:r>
              <w:rPr>
                <w:rFonts w:hint="eastAsia" w:asciiTheme="minorEastAsia" w:hAnsiTheme="minorEastAsia" w:eastAsiaTheme="minorEastAsia" w:cstheme="minorEastAsia"/>
                <w:color w:val="auto"/>
                <w:spacing w:val="0"/>
                <w:w w:val="100"/>
                <w:position w:val="0"/>
                <w:sz w:val="21"/>
                <w:szCs w:val="21"/>
                <w:highlight w:val="none"/>
                <w:lang w:bidi="ar"/>
              </w:rPr>
              <w:t>.</w:t>
            </w:r>
            <w:r>
              <w:rPr>
                <w:rFonts w:hint="eastAsia" w:asciiTheme="minorEastAsia" w:hAnsiTheme="minorEastAsia" w:eastAsiaTheme="minorEastAsia" w:cstheme="minorEastAsia"/>
                <w:color w:val="auto"/>
                <w:spacing w:val="0"/>
                <w:w w:val="100"/>
                <w:position w:val="0"/>
                <w:sz w:val="21"/>
                <w:szCs w:val="21"/>
                <w:highlight w:val="none"/>
                <w:lang w:val="en-US" w:eastAsia="zh-CN" w:bidi="ar"/>
              </w:rPr>
              <w:t>7</w:t>
            </w:r>
            <w:r>
              <w:rPr>
                <w:rFonts w:hint="eastAsia" w:asciiTheme="minorEastAsia" w:hAnsiTheme="minorEastAsia" w:eastAsiaTheme="minorEastAsia" w:cstheme="minorEastAsia"/>
                <w:color w:val="auto"/>
                <w:spacing w:val="0"/>
                <w:w w:val="100"/>
                <w:position w:val="0"/>
                <w:sz w:val="21"/>
                <w:szCs w:val="21"/>
                <w:highlight w:val="none"/>
                <w:lang w:bidi="ar"/>
              </w:rPr>
              <w:t>联合体投标：本次招标</w:t>
            </w:r>
            <w:r>
              <w:rPr>
                <w:rFonts w:hint="eastAsia" w:asciiTheme="minorEastAsia" w:hAnsiTheme="minorEastAsia" w:eastAsiaTheme="minorEastAsia" w:cstheme="minorEastAsia"/>
                <w:b/>
                <w:bCs/>
                <w:color w:val="auto"/>
                <w:spacing w:val="0"/>
                <w:w w:val="100"/>
                <w:position w:val="0"/>
                <w:sz w:val="21"/>
                <w:szCs w:val="21"/>
                <w:highlight w:val="none"/>
                <w:u w:val="single"/>
                <w:lang w:val="en-US" w:eastAsia="zh-CN" w:bidi="ar"/>
              </w:rPr>
              <w:t xml:space="preserve"> </w:t>
            </w:r>
            <w:r>
              <w:rPr>
                <w:rFonts w:hint="eastAsia" w:asciiTheme="minorEastAsia" w:hAnsiTheme="minorEastAsia" w:eastAsiaTheme="minorEastAsia" w:cstheme="minorEastAsia"/>
                <w:b/>
                <w:bCs/>
                <w:color w:val="auto"/>
                <w:spacing w:val="0"/>
                <w:w w:val="100"/>
                <w:position w:val="0"/>
                <w:sz w:val="21"/>
                <w:szCs w:val="21"/>
                <w:highlight w:val="none"/>
                <w:u w:val="single"/>
                <w:lang w:bidi="ar"/>
              </w:rPr>
              <w:t>不接受</w:t>
            </w:r>
            <w:r>
              <w:rPr>
                <w:rFonts w:hint="eastAsia" w:asciiTheme="minorEastAsia" w:hAnsiTheme="minorEastAsia" w:eastAsiaTheme="minorEastAsia" w:cstheme="minorEastAsia"/>
                <w:b/>
                <w:bCs/>
                <w:color w:val="auto"/>
                <w:spacing w:val="0"/>
                <w:w w:val="100"/>
                <w:position w:val="0"/>
                <w:sz w:val="21"/>
                <w:szCs w:val="21"/>
                <w:highlight w:val="none"/>
                <w:u w:val="single"/>
                <w:lang w:val="en-US" w:eastAsia="zh-CN" w:bidi="ar"/>
              </w:rPr>
              <w:t xml:space="preserve"> </w:t>
            </w:r>
            <w:r>
              <w:rPr>
                <w:rFonts w:hint="eastAsia" w:asciiTheme="minorEastAsia" w:hAnsiTheme="minorEastAsia" w:eastAsiaTheme="minorEastAsia" w:cstheme="minorEastAsia"/>
                <w:color w:val="auto"/>
                <w:spacing w:val="0"/>
                <w:w w:val="100"/>
                <w:position w:val="0"/>
                <w:sz w:val="21"/>
                <w:szCs w:val="21"/>
                <w:highlight w:val="none"/>
                <w:lang w:bidi="ar"/>
              </w:rPr>
              <w:t>联合体投标。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6" w:hRule="atLeast"/>
        </w:trPr>
        <w:tc>
          <w:tcPr>
            <w:tcW w:w="1800" w:type="dxa"/>
            <w:vAlign w:val="center"/>
          </w:tcPr>
          <w:p>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621" w:type="dxa"/>
            <w:vAlign w:val="center"/>
          </w:tcPr>
          <w:p>
            <w:pPr>
              <w:adjustRightInd w:val="0"/>
              <w:snapToGrid w:val="0"/>
              <w:spacing w:line="360" w:lineRule="auto"/>
              <w:jc w:val="left"/>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接受联合体形式投标</w:t>
            </w:r>
          </w:p>
        </w:tc>
        <w:tc>
          <w:tcPr>
            <w:tcW w:w="5579" w:type="dxa"/>
            <w:vAlign w:val="center"/>
          </w:tcPr>
          <w:p>
            <w:pPr>
              <w:adjustRightInd w:val="0"/>
              <w:snapToGrid w:val="0"/>
              <w:spacing w:line="360" w:lineRule="exact"/>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95" w:hRule="exact"/>
        </w:trPr>
        <w:tc>
          <w:tcPr>
            <w:tcW w:w="1800" w:type="dxa"/>
            <w:vAlign w:val="center"/>
          </w:tcPr>
          <w:p>
            <w:pPr>
              <w:adjustRightInd w:val="0"/>
              <w:snapToGrid w:val="0"/>
              <w:spacing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6</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1</w:t>
            </w:r>
            <w:r>
              <w:rPr>
                <w:rFonts w:hint="eastAsia" w:cs="Times New Roman" w:asciiTheme="minorEastAsia" w:hAnsiTheme="minorEastAsia" w:eastAsiaTheme="minorEastAsia"/>
                <w:color w:val="000000" w:themeColor="text1"/>
                <w:szCs w:val="21"/>
                <w:lang w:val="zh-CN"/>
                <w14:textFill>
                  <w14:solidFill>
                    <w14:schemeClr w14:val="tx1"/>
                  </w14:solidFill>
                </w14:textFill>
              </w:rPr>
              <w:t>款</w:t>
            </w:r>
          </w:p>
        </w:tc>
        <w:tc>
          <w:tcPr>
            <w:tcW w:w="1621" w:type="dxa"/>
            <w:vAlign w:val="center"/>
          </w:tcPr>
          <w:p>
            <w:pPr>
              <w:adjustRightInd w:val="0"/>
              <w:snapToGrid w:val="0"/>
              <w:spacing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组织现场考察或者召开答疑会</w:t>
            </w:r>
          </w:p>
        </w:tc>
        <w:tc>
          <w:tcPr>
            <w:tcW w:w="5579" w:type="dxa"/>
            <w:vAlign w:val="center"/>
          </w:tcPr>
          <w:p>
            <w:pPr>
              <w:adjustRightInd w:val="0"/>
              <w:snapToGrid w:val="0"/>
              <w:spacing w:line="360" w:lineRule="auto"/>
              <w:jc w:val="both"/>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1" w:hRule="exact"/>
        </w:trPr>
        <w:tc>
          <w:tcPr>
            <w:tcW w:w="9000" w:type="dxa"/>
            <w:gridSpan w:val="3"/>
            <w:vAlign w:val="center"/>
          </w:tcPr>
          <w:p>
            <w:pPr>
              <w:adjustRightInd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二、招标文件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7</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t>招标文件公告期限</w:t>
            </w:r>
          </w:p>
        </w:tc>
        <w:tc>
          <w:tcPr>
            <w:tcW w:w="5579"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rPr>
                <w:rFonts w:asciiTheme="minorEastAsia" w:hAnsiTheme="minorEastAsia" w:eastAsiaTheme="minorEastAsia"/>
                <w:color w:val="000000" w:themeColor="text1"/>
                <w:u w:val="single"/>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202</w:t>
            </w:r>
            <w:r>
              <w:rPr>
                <w:rFonts w:hint="eastAsia" w:asciiTheme="minorEastAsia" w:hAnsiTheme="minorEastAsia" w:eastAsiaTheme="minorEastAsia" w:cstheme="minorEastAsia"/>
                <w:color w:val="auto"/>
                <w:spacing w:val="0"/>
                <w:w w:val="100"/>
                <w:position w:val="0"/>
                <w:sz w:val="21"/>
                <w:szCs w:val="21"/>
                <w:highlight w:val="none"/>
                <w:lang w:val="en-US" w:eastAsia="zh-CN"/>
              </w:rPr>
              <w:t>3</w:t>
            </w:r>
            <w:r>
              <w:rPr>
                <w:rFonts w:hint="eastAsia" w:asciiTheme="minorEastAsia" w:hAnsiTheme="minorEastAsia" w:eastAsiaTheme="minorEastAsia" w:cstheme="minorEastAsia"/>
                <w:color w:val="auto"/>
                <w:spacing w:val="0"/>
                <w:w w:val="100"/>
                <w:position w:val="0"/>
                <w:sz w:val="21"/>
                <w:szCs w:val="21"/>
                <w:highlight w:val="none"/>
              </w:rPr>
              <w:t>年</w:t>
            </w:r>
            <w:r>
              <w:rPr>
                <w:rFonts w:hint="eastAsia" w:asciiTheme="minorEastAsia" w:hAnsiTheme="minorEastAsia" w:eastAsiaTheme="minorEastAsia" w:cstheme="minorEastAsia"/>
                <w:color w:val="auto"/>
                <w:spacing w:val="0"/>
                <w:w w:val="100"/>
                <w:position w:val="0"/>
                <w:sz w:val="21"/>
                <w:szCs w:val="21"/>
                <w:highlight w:val="none"/>
                <w:lang w:val="en-US" w:eastAsia="zh-CN"/>
              </w:rPr>
              <w:t>10</w:t>
            </w:r>
            <w:r>
              <w:rPr>
                <w:rFonts w:hint="eastAsia" w:asciiTheme="minorEastAsia" w:hAnsiTheme="minorEastAsia" w:eastAsiaTheme="minorEastAsia" w:cstheme="minorEastAsia"/>
                <w:color w:val="auto"/>
                <w:spacing w:val="0"/>
                <w:w w:val="100"/>
                <w:position w:val="0"/>
                <w:sz w:val="21"/>
                <w:szCs w:val="21"/>
                <w:highlight w:val="none"/>
              </w:rPr>
              <w:t>月</w:t>
            </w:r>
            <w:r>
              <w:rPr>
                <w:rFonts w:hint="eastAsia" w:asciiTheme="minorEastAsia" w:hAnsiTheme="minorEastAsia" w:eastAsiaTheme="minorEastAsia" w:cstheme="minorEastAsia"/>
                <w:color w:val="auto"/>
                <w:spacing w:val="0"/>
                <w:w w:val="100"/>
                <w:position w:val="0"/>
                <w:sz w:val="21"/>
                <w:szCs w:val="21"/>
                <w:highlight w:val="none"/>
                <w:lang w:val="en-US" w:eastAsia="zh-CN"/>
              </w:rPr>
              <w:t>16</w:t>
            </w:r>
            <w:r>
              <w:rPr>
                <w:rFonts w:hint="eastAsia" w:asciiTheme="minorEastAsia" w:hAnsiTheme="minorEastAsia" w:eastAsiaTheme="minorEastAsia" w:cstheme="minorEastAsia"/>
                <w:color w:val="auto"/>
                <w:spacing w:val="0"/>
                <w:w w:val="100"/>
                <w:position w:val="0"/>
                <w:sz w:val="21"/>
                <w:szCs w:val="21"/>
                <w:highlight w:val="none"/>
              </w:rPr>
              <w:t>日</w:t>
            </w:r>
            <w:r>
              <w:rPr>
                <w:rFonts w:hint="eastAsia" w:asciiTheme="minorEastAsia" w:hAnsiTheme="minorEastAsia" w:eastAsiaTheme="minorEastAsia" w:cstheme="minorEastAsia"/>
                <w:color w:val="auto"/>
                <w:spacing w:val="0"/>
                <w:w w:val="100"/>
                <w:position w:val="0"/>
                <w:sz w:val="21"/>
                <w:szCs w:val="21"/>
                <w:highlight w:val="none"/>
                <w:lang w:val="en-US" w:eastAsia="zh-CN"/>
              </w:rPr>
              <w:t>17:00</w:t>
            </w:r>
            <w:r>
              <w:rPr>
                <w:rFonts w:hint="eastAsia" w:asciiTheme="minorEastAsia" w:hAnsiTheme="minorEastAsia" w:eastAsiaTheme="minorEastAsia" w:cstheme="minorEastAsia"/>
                <w:color w:val="auto"/>
                <w:spacing w:val="0"/>
                <w:w w:val="100"/>
                <w:position w:val="0"/>
                <w:sz w:val="21"/>
                <w:szCs w:val="21"/>
                <w:highlight w:val="none"/>
              </w:rPr>
              <w:t>至202</w:t>
            </w:r>
            <w:r>
              <w:rPr>
                <w:rFonts w:hint="eastAsia" w:asciiTheme="minorEastAsia" w:hAnsiTheme="minorEastAsia" w:eastAsiaTheme="minorEastAsia" w:cstheme="minorEastAsia"/>
                <w:color w:val="auto"/>
                <w:spacing w:val="0"/>
                <w:w w:val="100"/>
                <w:position w:val="0"/>
                <w:sz w:val="21"/>
                <w:szCs w:val="21"/>
                <w:highlight w:val="none"/>
                <w:lang w:val="en-US" w:eastAsia="zh-CN"/>
              </w:rPr>
              <w:t>3</w:t>
            </w:r>
            <w:r>
              <w:rPr>
                <w:rFonts w:hint="eastAsia" w:asciiTheme="minorEastAsia" w:hAnsiTheme="minorEastAsia" w:eastAsiaTheme="minorEastAsia" w:cstheme="minorEastAsia"/>
                <w:color w:val="auto"/>
                <w:spacing w:val="0"/>
                <w:w w:val="100"/>
                <w:position w:val="0"/>
                <w:sz w:val="21"/>
                <w:szCs w:val="21"/>
                <w:highlight w:val="none"/>
              </w:rPr>
              <w:t>年</w:t>
            </w:r>
            <w:r>
              <w:rPr>
                <w:rFonts w:hint="eastAsia" w:asciiTheme="minorEastAsia" w:hAnsiTheme="minorEastAsia" w:eastAsiaTheme="minorEastAsia" w:cstheme="minorEastAsia"/>
                <w:color w:val="auto"/>
                <w:spacing w:val="0"/>
                <w:w w:val="100"/>
                <w:position w:val="0"/>
                <w:sz w:val="21"/>
                <w:szCs w:val="21"/>
                <w:highlight w:val="none"/>
                <w:lang w:val="en-US" w:eastAsia="zh-CN"/>
              </w:rPr>
              <w:t>10</w:t>
            </w:r>
            <w:r>
              <w:rPr>
                <w:rFonts w:hint="eastAsia" w:asciiTheme="minorEastAsia" w:hAnsiTheme="minorEastAsia" w:eastAsiaTheme="minorEastAsia" w:cstheme="minorEastAsia"/>
                <w:color w:val="auto"/>
                <w:spacing w:val="0"/>
                <w:w w:val="100"/>
                <w:position w:val="0"/>
                <w:sz w:val="21"/>
                <w:szCs w:val="21"/>
                <w:highlight w:val="none"/>
              </w:rPr>
              <w:t>月</w:t>
            </w:r>
            <w:r>
              <w:rPr>
                <w:rFonts w:hint="eastAsia" w:asciiTheme="minorEastAsia" w:hAnsiTheme="minorEastAsia" w:eastAsiaTheme="minorEastAsia" w:cstheme="minorEastAsia"/>
                <w:color w:val="auto"/>
                <w:spacing w:val="0"/>
                <w:w w:val="100"/>
                <w:position w:val="0"/>
                <w:sz w:val="21"/>
                <w:szCs w:val="21"/>
                <w:highlight w:val="none"/>
                <w:lang w:val="en-US" w:eastAsia="zh-CN"/>
              </w:rPr>
              <w:t>220</w:t>
            </w:r>
            <w:r>
              <w:rPr>
                <w:rFonts w:hint="eastAsia" w:asciiTheme="minorEastAsia" w:hAnsiTheme="minorEastAsia" w:eastAsiaTheme="minorEastAsia" w:cstheme="minorEastAsia"/>
                <w:color w:val="auto"/>
                <w:spacing w:val="0"/>
                <w:w w:val="100"/>
                <w:position w:val="0"/>
                <w:sz w:val="21"/>
                <w:szCs w:val="21"/>
                <w:highlight w:val="none"/>
              </w:rPr>
              <w:t>日</w:t>
            </w:r>
            <w:r>
              <w:rPr>
                <w:rFonts w:hint="eastAsia" w:asciiTheme="minorEastAsia" w:hAnsiTheme="minorEastAsia" w:eastAsiaTheme="minorEastAsia" w:cstheme="minorEastAsia"/>
                <w:color w:val="auto"/>
                <w:spacing w:val="0"/>
                <w:w w:val="100"/>
                <w:position w:val="0"/>
                <w:sz w:val="21"/>
                <w:szCs w:val="21"/>
                <w:highlight w:val="none"/>
                <w:lang w:val="en-US" w:eastAsia="zh-CN"/>
              </w:rPr>
              <w:t>17:00</w:t>
            </w:r>
            <w:r>
              <w:rPr>
                <w:rFonts w:hint="eastAsia" w:asciiTheme="minorEastAsia" w:hAnsiTheme="minorEastAsia" w:eastAsiaTheme="minorEastAsia" w:cstheme="minorEastAsia"/>
                <w:color w:val="auto"/>
                <w:spacing w:val="0"/>
                <w:w w:val="100"/>
                <w:position w:val="0"/>
                <w:sz w:val="21"/>
                <w:szCs w:val="21"/>
                <w:highlight w:val="none"/>
              </w:rPr>
              <w:t>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8</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left"/>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非实质性偏离的范围和幅度</w:t>
            </w:r>
          </w:p>
        </w:tc>
        <w:tc>
          <w:tcPr>
            <w:tcW w:w="5579"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一般商务和技术条款偏离项数之和≥</w:t>
            </w:r>
            <w:r>
              <w:rPr>
                <w:rFonts w:hint="eastAsia" w:asciiTheme="minorEastAsia" w:hAnsiTheme="minorEastAsia" w:eastAsiaTheme="minorEastAsia" w:cstheme="minorEastAsia"/>
                <w:b/>
                <w:bCs/>
                <w:color w:val="auto"/>
                <w:spacing w:val="0"/>
                <w:w w:val="100"/>
                <w:position w:val="0"/>
                <w:sz w:val="21"/>
                <w:szCs w:val="21"/>
                <w:highlight w:val="none"/>
                <w:u w:val="single"/>
              </w:rPr>
              <w:t xml:space="preserve"> 10 </w:t>
            </w:r>
            <w:r>
              <w:rPr>
                <w:rFonts w:hint="eastAsia" w:asciiTheme="minorEastAsia" w:hAnsiTheme="minorEastAsia" w:eastAsiaTheme="minorEastAsia" w:cstheme="minorEastAsia"/>
                <w:b/>
                <w:bCs/>
                <w:color w:val="auto"/>
                <w:spacing w:val="0"/>
                <w:w w:val="100"/>
                <w:position w:val="0"/>
                <w:sz w:val="21"/>
                <w:szCs w:val="21"/>
                <w:highlight w:val="none"/>
              </w:rPr>
              <w:t>项</w:t>
            </w:r>
            <w:r>
              <w:rPr>
                <w:rFonts w:hint="eastAsia" w:asciiTheme="minorEastAsia" w:hAnsiTheme="minorEastAsia" w:eastAsiaTheme="minorEastAsia" w:cstheme="minorEastAsia"/>
                <w:color w:val="auto"/>
                <w:spacing w:val="0"/>
                <w:w w:val="100"/>
                <w:position w:val="0"/>
                <w:sz w:val="21"/>
                <w:szCs w:val="21"/>
                <w:highlight w:val="none"/>
              </w:rPr>
              <w:t>将导致无效投标。</w:t>
            </w:r>
          </w:p>
          <w:p>
            <w:pPr>
              <w:pStyle w:val="116"/>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both"/>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原则上按编号的商务和技术条款进行统计，相同内容条款不重复计算项数；对统计项数如有异议，由评标委员会集体评议，出现意见不统一的，则由评委投票表决。</w:t>
            </w:r>
          </w:p>
          <w:p>
            <w:pPr>
              <w:pStyle w:val="116"/>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both"/>
              <w:rPr>
                <w:rFonts w:hint="eastAsia" w:ascii="宋体" w:hAnsi="宋体"/>
                <w:color w:val="000000" w:themeColor="text1"/>
                <w14:textFill>
                  <w14:solidFill>
                    <w14:schemeClr w14:val="tx1"/>
                  </w14:solidFill>
                </w14:textFill>
              </w:rPr>
            </w:pPr>
            <w:r>
              <w:rPr>
                <w:rFonts w:hint="eastAsia" w:asciiTheme="minorEastAsia" w:hAnsiTheme="minorEastAsia" w:eastAsiaTheme="minorEastAsia" w:cstheme="minorEastAsia"/>
                <w:b/>
                <w:bCs/>
                <w:color w:val="auto"/>
                <w:spacing w:val="0"/>
                <w:w w:val="100"/>
                <w:position w:val="0"/>
                <w:sz w:val="21"/>
                <w:szCs w:val="21"/>
                <w:highlight w:val="none"/>
              </w:rPr>
              <w:t>注：</w:t>
            </w:r>
            <w:r>
              <w:rPr>
                <w:rFonts w:hint="eastAsia" w:asciiTheme="minorEastAsia" w:hAnsiTheme="minorEastAsia" w:eastAsiaTheme="minorEastAsia" w:cstheme="minorEastAsia"/>
                <w:color w:val="auto"/>
                <w:spacing w:val="0"/>
                <w:w w:val="100"/>
                <w:position w:val="0"/>
                <w:sz w:val="21"/>
                <w:szCs w:val="21"/>
                <w:highlight w:val="none"/>
              </w:rPr>
              <w:t>招标文件中用“拒绝”、“不接受”、“无效”、“不得”等文字规定或标注“★”符号的条款为实质性要求条款（即重要条款），未用上述文字</w:t>
            </w:r>
            <w:r>
              <w:rPr>
                <w:rFonts w:hint="eastAsia" w:asciiTheme="minorEastAsia" w:hAnsiTheme="minorEastAsia" w:eastAsiaTheme="minorEastAsia" w:cstheme="minorEastAsia"/>
                <w:color w:val="auto"/>
                <w:spacing w:val="0"/>
                <w:w w:val="100"/>
                <w:position w:val="0"/>
                <w:sz w:val="21"/>
                <w:szCs w:val="21"/>
                <w:highlight w:val="none"/>
                <w:lang w:val="en-US" w:eastAsia="zh-CN"/>
              </w:rPr>
              <w:t xml:space="preserve"> </w:t>
            </w:r>
            <w:r>
              <w:rPr>
                <w:rFonts w:hint="eastAsia" w:asciiTheme="minorEastAsia" w:hAnsiTheme="minorEastAsia" w:eastAsiaTheme="minorEastAsia" w:cstheme="minorEastAsia"/>
                <w:color w:val="auto"/>
                <w:spacing w:val="0"/>
                <w:w w:val="100"/>
                <w:position w:val="0"/>
                <w:sz w:val="21"/>
                <w:szCs w:val="21"/>
                <w:highlight w:val="none"/>
              </w:rPr>
              <w:t>规定或符号标注的条款为非实质性要求条款(即一般条款)。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80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leftChars="0" w:right="0" w:rightChars="0" w:firstLine="0" w:firstLineChars="0"/>
              <w:jc w:val="center"/>
              <w:rPr>
                <w:rFonts w:ascii="宋体" w:hAnsi="宋体" w:cs="宋体"/>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10.1</w:t>
            </w:r>
            <w:r>
              <w:rPr>
                <w:rFonts w:hint="eastAsia" w:asciiTheme="minorEastAsia" w:hAnsiTheme="minorEastAsia" w:eastAsiaTheme="minorEastAsia" w:cstheme="minorEastAsia"/>
                <w:color w:val="auto"/>
                <w:spacing w:val="0"/>
                <w:w w:val="100"/>
                <w:position w:val="0"/>
                <w:sz w:val="21"/>
                <w:szCs w:val="21"/>
                <w:highlight w:val="none"/>
                <w:lang w:val="zh-CN"/>
              </w:rPr>
              <w:t>款</w:t>
            </w:r>
          </w:p>
        </w:tc>
        <w:tc>
          <w:tcPr>
            <w:tcW w:w="1621"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leftChars="0" w:right="0" w:rightChars="0" w:firstLine="0" w:firstLineChars="0"/>
              <w:jc w:val="center"/>
              <w:rPr>
                <w:rFonts w:ascii="宋体" w:hAnsi="宋体" w:cs="宋体"/>
              </w:rPr>
            </w:pPr>
            <w:r>
              <w:rPr>
                <w:rFonts w:hint="eastAsia" w:asciiTheme="minorEastAsia" w:hAnsiTheme="minorEastAsia" w:eastAsiaTheme="minorEastAsia" w:cstheme="minorEastAsia"/>
                <w:color w:val="auto"/>
                <w:spacing w:val="0"/>
                <w:w w:val="100"/>
                <w:position w:val="0"/>
                <w:sz w:val="21"/>
                <w:szCs w:val="21"/>
                <w:highlight w:val="none"/>
              </w:rPr>
              <w:t>指定的媒体</w:t>
            </w:r>
          </w:p>
        </w:tc>
        <w:tc>
          <w:tcPr>
            <w:tcW w:w="5579"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leftChars="0" w:right="0" w:rightChars="0" w:firstLine="0" w:firstLineChars="0"/>
              <w:rPr>
                <w:rFonts w:ascii="宋体" w:hAnsi="宋体" w:cs="宋体"/>
              </w:rPr>
            </w:pPr>
            <w:r>
              <w:rPr>
                <w:rFonts w:hint="eastAsia" w:asciiTheme="minorEastAsia" w:hAnsiTheme="minorEastAsia" w:eastAsiaTheme="minorEastAsia" w:cstheme="minorEastAsia"/>
                <w:b/>
                <w:bCs/>
                <w:color w:val="auto"/>
                <w:spacing w:val="0"/>
                <w:w w:val="100"/>
                <w:position w:val="0"/>
                <w:sz w:val="21"/>
                <w:szCs w:val="21"/>
                <w:highlight w:val="none"/>
              </w:rPr>
              <w:t>中国政府采购网（http://www.ccgp.gov.cn/）</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00" w:type="dxa"/>
            <w:gridSpan w:val="3"/>
            <w:vAlign w:val="center"/>
          </w:tcPr>
          <w:p>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三、投标文件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left"/>
              <w:rPr>
                <w:rFonts w:asciiTheme="minorEastAsia" w:hAnsiTheme="minorEastAsia" w:eastAsiaTheme="minorEastAsia"/>
                <w:b/>
                <w:bCs/>
                <w:color w:val="auto"/>
                <w:szCs w:val="21"/>
              </w:rPr>
            </w:pPr>
            <w:r>
              <w:rPr>
                <w:rFonts w:hint="eastAsia" w:asciiTheme="minorEastAsia" w:hAnsiTheme="minorEastAsia" w:eastAsiaTheme="minorEastAsia" w:cstheme="minorEastAsia"/>
                <w:b/>
                <w:bCs/>
                <w:color w:val="auto"/>
                <w:spacing w:val="0"/>
                <w:w w:val="100"/>
                <w:position w:val="0"/>
                <w:sz w:val="21"/>
                <w:szCs w:val="21"/>
                <w:highlight w:val="none"/>
              </w:rPr>
              <w:t>采购预算</w:t>
            </w:r>
          </w:p>
        </w:tc>
        <w:tc>
          <w:tcPr>
            <w:tcW w:w="5579" w:type="dxa"/>
            <w:vAlign w:val="center"/>
          </w:tcPr>
          <w:p>
            <w:pPr>
              <w:adjustRightInd w:val="0"/>
              <w:snapToGrid w:val="0"/>
              <w:spacing w:line="360" w:lineRule="exact"/>
              <w:rPr>
                <w:b/>
                <w:bCs/>
                <w:color w:val="auto"/>
              </w:rPr>
            </w:pPr>
            <w:r>
              <w:rPr>
                <w:rFonts w:hint="eastAsia" w:asciiTheme="minorEastAsia" w:hAnsiTheme="minorEastAsia" w:eastAsiaTheme="minorEastAsia"/>
                <w:b/>
                <w:bCs/>
                <w:color w:val="auto"/>
                <w:szCs w:val="21"/>
              </w:rPr>
              <w:t>采购项目预算单价</w:t>
            </w:r>
            <w:r>
              <w:rPr>
                <w:rFonts w:hint="eastAsia" w:asciiTheme="minorEastAsia" w:hAnsiTheme="minorEastAsia" w:eastAsiaTheme="minorEastAsia"/>
                <w:b/>
                <w:bCs/>
                <w:color w:val="auto"/>
                <w:szCs w:val="21"/>
                <w:lang w:val="en-US" w:eastAsia="zh-CN"/>
              </w:rPr>
              <w:t>详见采购需求</w:t>
            </w:r>
            <w:r>
              <w:rPr>
                <w:rFonts w:hint="eastAsia" w:asciiTheme="minorEastAsia" w:hAnsiTheme="minorEastAsia" w:eastAsiaTheme="minorEastAsia"/>
                <w:b/>
                <w:bCs/>
                <w:color w:val="auto"/>
                <w:szCs w:val="21"/>
              </w:rPr>
              <w:t>，采购项目预算总价</w:t>
            </w:r>
            <w:r>
              <w:rPr>
                <w:rFonts w:hint="eastAsia" w:asciiTheme="minorEastAsia" w:hAnsiTheme="minorEastAsia" w:eastAsiaTheme="minorEastAsia"/>
                <w:b/>
                <w:bCs/>
                <w:color w:val="auto"/>
                <w:szCs w:val="21"/>
                <w:lang w:val="en-US" w:eastAsia="zh-CN"/>
              </w:rPr>
              <w:t xml:space="preserve">    125.61万元</w:t>
            </w:r>
            <w:r>
              <w:rPr>
                <w:rFonts w:hint="eastAsia" w:asciiTheme="minorEastAsia" w:hAnsiTheme="minorEastAsia" w:eastAsiaTheme="minorEastAsia"/>
                <w:b/>
                <w:bCs/>
                <w:color w:val="auto"/>
                <w:szCs w:val="21"/>
              </w:rPr>
              <w:t>，即最高限价</w:t>
            </w:r>
            <w:r>
              <w:rPr>
                <w:rFonts w:hint="eastAsia" w:asciiTheme="minorEastAsia" w:hAnsiTheme="minorEastAsia" w:eastAsiaTheme="minorEastAsia"/>
                <w:b/>
                <w:bCs/>
                <w:color w:val="auto"/>
                <w:szCs w:val="21"/>
                <w:lang w:eastAsia="zh-CN"/>
              </w:rPr>
              <w:t>125.61万</w:t>
            </w:r>
            <w:r>
              <w:rPr>
                <w:rFonts w:hint="eastAsia" w:asciiTheme="minorEastAsia" w:hAnsiTheme="minorEastAsia" w:eastAsiaTheme="minorEastAsia"/>
                <w:b/>
                <w:bCs/>
                <w:color w:val="auto"/>
                <w:szCs w:val="21"/>
                <w:lang w:val="en-US" w:eastAsia="zh-CN"/>
              </w:rPr>
              <w:t>元</w:t>
            </w:r>
            <w:r>
              <w:rPr>
                <w:rFonts w:hint="eastAsia" w:asciiTheme="minorEastAsia" w:hAnsiTheme="minorEastAsia" w:eastAsiaTheme="minorEastAsia"/>
                <w:b/>
                <w:bCs/>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14.2</w:t>
            </w:r>
            <w:r>
              <w:rPr>
                <w:rFonts w:hint="eastAsia" w:asciiTheme="minorEastAsia" w:hAnsiTheme="minorEastAsia" w:eastAsiaTheme="minorEastAsia" w:cstheme="minorEastAsia"/>
                <w:color w:val="auto"/>
                <w:spacing w:val="0"/>
                <w:w w:val="100"/>
                <w:position w:val="0"/>
                <w:sz w:val="21"/>
                <w:szCs w:val="21"/>
                <w:highlight w:val="none"/>
              </w:rPr>
              <w:t>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投标报价的其他要求</w:t>
            </w:r>
          </w:p>
        </w:tc>
        <w:tc>
          <w:tcPr>
            <w:tcW w:w="5579" w:type="dxa"/>
            <w:vAlign w:val="center"/>
          </w:tcPr>
          <w:p>
            <w:pPr>
              <w:adjustRightInd w:val="0"/>
              <w:snapToGrid w:val="0"/>
              <w:spacing w:line="360" w:lineRule="auto"/>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各投标单位的投标报价以人民币报价，且不能超过本项目</w:t>
            </w:r>
            <w:r>
              <w:rPr>
                <w:rFonts w:hint="eastAsia" w:ascii="宋体" w:hAnsi="宋体" w:cs="宋体"/>
                <w:szCs w:val="21"/>
              </w:rPr>
              <w:t>第</w:t>
            </w:r>
            <w:r>
              <w:rPr>
                <w:rFonts w:hint="eastAsia" w:ascii="宋体" w:hAnsi="宋体" w:cs="宋体"/>
                <w:szCs w:val="21"/>
                <w:lang w:val="en-US" w:eastAsia="zh-CN"/>
              </w:rPr>
              <w:t>五</w:t>
            </w:r>
            <w:r>
              <w:rPr>
                <w:rFonts w:hint="eastAsia" w:ascii="宋体" w:hAnsi="宋体" w:cs="宋体"/>
                <w:szCs w:val="21"/>
              </w:rPr>
              <w:t>章清单中的单项报价，否则其报价无效。</w:t>
            </w:r>
            <w:r>
              <w:rPr>
                <w:rFonts w:hint="eastAsia" w:cs="Times New Roman" w:asciiTheme="minorEastAsia" w:hAnsiTheme="minorEastAsia" w:eastAsiaTheme="minorEastAsia"/>
                <w:color w:val="000000" w:themeColor="text1"/>
                <w:szCs w:val="21"/>
                <w14:textFill>
                  <w14:solidFill>
                    <w14:schemeClr w14:val="tx1"/>
                  </w14:solidFill>
                </w14:textFill>
              </w:rPr>
              <w:t>预算单价及最高限价，否则为无效报价，按废标处理。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.1款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rPr>
                <w:rFonts w:asciiTheme="minorEastAsia" w:hAnsiTheme="minorEastAsia" w:eastAsiaTheme="minorEastAsia"/>
                <w:bCs/>
                <w:color w:val="auto"/>
                <w:szCs w:val="21"/>
              </w:rPr>
            </w:pPr>
            <w:r>
              <w:rPr>
                <w:rFonts w:hint="eastAsia" w:asciiTheme="minorEastAsia" w:hAnsiTheme="minorEastAsia" w:eastAsiaTheme="minorEastAsia" w:cstheme="minorEastAsia"/>
                <w:color w:val="auto"/>
                <w:spacing w:val="0"/>
                <w:w w:val="100"/>
                <w:position w:val="0"/>
                <w:sz w:val="21"/>
                <w:szCs w:val="21"/>
                <w:highlight w:val="none"/>
              </w:rPr>
              <w:t>投标人应提供资格审查资料</w:t>
            </w:r>
          </w:p>
        </w:tc>
        <w:tc>
          <w:tcPr>
            <w:tcW w:w="5579" w:type="dxa"/>
            <w:vAlign w:val="center"/>
          </w:tcPr>
          <w:p>
            <w:pPr>
              <w:adjustRightInd w:val="0"/>
              <w:spacing w:line="360" w:lineRule="exact"/>
              <w:rPr>
                <w:rFonts w:ascii="宋体" w:hAnsi="宋体"/>
                <w:color w:val="auto"/>
                <w:szCs w:val="21"/>
              </w:rPr>
            </w:pPr>
            <w:r>
              <w:rPr>
                <w:rFonts w:hint="eastAsia" w:asciiTheme="minorEastAsia" w:hAnsiTheme="minorEastAsia" w:eastAsiaTheme="minorEastAsia"/>
                <w:color w:val="auto"/>
                <w:szCs w:val="21"/>
              </w:rPr>
              <w:t>1、</w:t>
            </w:r>
            <w:r>
              <w:rPr>
                <w:rFonts w:hint="eastAsia" w:ascii="宋体" w:hAnsi="宋体"/>
                <w:color w:val="auto"/>
                <w:szCs w:val="21"/>
              </w:rPr>
              <w:t>供应商基本资格条件：</w:t>
            </w:r>
          </w:p>
          <w:p>
            <w:pPr>
              <w:adjustRightInd w:val="0"/>
              <w:spacing w:line="360" w:lineRule="exact"/>
              <w:rPr>
                <w:rFonts w:ascii="宋体" w:hAnsi="宋体"/>
                <w:color w:val="auto"/>
                <w:szCs w:val="21"/>
              </w:rPr>
            </w:pPr>
            <w:r>
              <w:rPr>
                <w:rFonts w:hint="eastAsia" w:ascii="宋体" w:hAnsi="宋体"/>
                <w:color w:val="auto"/>
                <w:szCs w:val="21"/>
              </w:rPr>
              <w:t>（1）投标人法人营业执照副本复印件；</w:t>
            </w:r>
          </w:p>
          <w:p>
            <w:pPr>
              <w:adjustRightInd w:val="0"/>
              <w:spacing w:line="360" w:lineRule="exact"/>
              <w:rPr>
                <w:rFonts w:ascii="宋体" w:hAnsi="宋体"/>
                <w:color w:val="auto"/>
                <w:szCs w:val="21"/>
              </w:rPr>
            </w:pPr>
            <w:r>
              <w:rPr>
                <w:rFonts w:hint="eastAsia" w:ascii="宋体" w:hAnsi="宋体"/>
                <w:color w:val="auto"/>
                <w:szCs w:val="21"/>
              </w:rPr>
              <w:t>（2）法定代表人授权委托书原件及双方身份证复印件；</w:t>
            </w:r>
          </w:p>
          <w:p>
            <w:pPr>
              <w:adjustRightInd w:val="0"/>
              <w:spacing w:line="360" w:lineRule="exact"/>
              <w:rPr>
                <w:rFonts w:ascii="宋体" w:hAnsi="宋体"/>
                <w:color w:val="auto"/>
                <w:szCs w:val="21"/>
              </w:rPr>
            </w:pPr>
            <w:r>
              <w:rPr>
                <w:rFonts w:hint="eastAsia" w:ascii="宋体" w:hAnsi="宋体"/>
                <w:color w:val="auto"/>
                <w:szCs w:val="21"/>
              </w:rPr>
              <w:t>（3）投标人税务登记证(国税或地税)复印件；</w:t>
            </w:r>
          </w:p>
          <w:p>
            <w:pPr>
              <w:adjustRightInd w:val="0"/>
              <w:spacing w:line="360" w:lineRule="exact"/>
              <w:rPr>
                <w:rFonts w:ascii="宋体" w:hAnsi="宋体"/>
                <w:color w:val="auto"/>
                <w:szCs w:val="21"/>
              </w:rPr>
            </w:pPr>
            <w:r>
              <w:rPr>
                <w:rFonts w:hint="eastAsia" w:ascii="宋体" w:hAnsi="宋体"/>
                <w:color w:val="auto"/>
                <w:szCs w:val="21"/>
              </w:rPr>
              <w:t>（4）投标人社会保险登记证或缴纳社会保险的凭证复印件。</w:t>
            </w:r>
          </w:p>
          <w:p>
            <w:pPr>
              <w:adjustRightInd w:val="0"/>
              <w:spacing w:line="360" w:lineRule="exact"/>
              <w:rPr>
                <w:rFonts w:ascii="宋体" w:hAnsi="宋体"/>
                <w:color w:val="auto"/>
                <w:szCs w:val="21"/>
              </w:rPr>
            </w:pPr>
            <w:r>
              <w:rPr>
                <w:rFonts w:hint="eastAsia" w:ascii="宋体" w:hAnsi="宋体"/>
                <w:color w:val="auto"/>
                <w:szCs w:val="21"/>
              </w:rPr>
              <w:t>（5）投标人参加本次政府采购活动前3年内没有重大违法记录的书面声明。</w:t>
            </w:r>
          </w:p>
          <w:p>
            <w:pPr>
              <w:pStyle w:val="2"/>
              <w:spacing w:line="360" w:lineRule="exact"/>
              <w:ind w:firstLine="0" w:firstLineChars="0"/>
              <w:rPr>
                <w:color w:val="auto"/>
              </w:rPr>
            </w:pPr>
            <w:r>
              <w:rPr>
                <w:rFonts w:hint="eastAsia" w:ascii="宋体" w:hAnsi="宋体"/>
                <w:color w:val="auto"/>
                <w:szCs w:val="21"/>
              </w:rPr>
              <w:t>（6）具有良好的商业信誉和健全的财务会计制度。</w:t>
            </w:r>
          </w:p>
          <w:p>
            <w:pPr>
              <w:spacing w:line="400" w:lineRule="exact"/>
              <w:rPr>
                <w:b/>
                <w:bCs/>
                <w:color w:val="auto"/>
              </w:rPr>
            </w:pPr>
            <w:r>
              <w:rPr>
                <w:rFonts w:hint="eastAsia"/>
                <w:b/>
                <w:bCs/>
                <w:color w:val="auto"/>
              </w:rPr>
              <w:t>并提交以下资格证明材料：</w:t>
            </w:r>
          </w:p>
          <w:p>
            <w:pPr>
              <w:spacing w:line="400" w:lineRule="exact"/>
              <w:ind w:firstLine="315"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法人提交企业法人营业执照副本(或者法人登记证书)以及组织机构代码证副本复印件；</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依法缴纳税收和社会保险费的证明材料,提供下列材料:</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①缴纳税收证明资料:近三个月内任意一个月依法缴纳税收的证明（纳税凭证复印件），或者委托他人缴纳的委托代办协议和近三个月内任意一个月的缴纳证明（收据复印件），或者法定征收机关出具的依法免缴税收的证明复印件。②缴纳社会保险证明资料：近三个月内任意一个月依法缴纳社会保险的证明（缴费凭证复印件），或者委托他人缴纳的委托代办协议和近三个月内任意一个月的缴纳证明（收据复印件），或者法定征收机关出具的依法免缴保险费的证明复印件。</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人提交法定代表人身份证明原件或者法定代表人授权委托书原件以及被授权代表人在投标单位或投标单位依法登记的分支机构近三个月内任意一个月的社保证明并附法定代表人身份证明原件，自然人提交身份证复印件。</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提供202</w:t>
            </w:r>
            <w:r>
              <w:rPr>
                <w:rFonts w:hint="eastAsia" w:asciiTheme="minorEastAsia" w:hAnsiTheme="minorEastAsia" w:eastAsiaTheme="minorEastAsia" w:cstheme="minorEastAsia"/>
                <w:lang w:val="en-US" w:eastAsia="zh-CN"/>
              </w:rPr>
              <w:t>2</w:t>
            </w:r>
            <w:r>
              <w:rPr>
                <w:rFonts w:hint="eastAsia" w:asciiTheme="minorEastAsia" w:hAnsiTheme="minorEastAsia" w:eastAsiaTheme="minorEastAsia" w:cstheme="minorEastAsia"/>
              </w:rPr>
              <w:t xml:space="preserve">年度经会计师事务所审计的财务报告复印件全本，或银行出具的完整资信证明（需证明投标人的资金状况和信用状况）。 </w:t>
            </w:r>
          </w:p>
          <w:p>
            <w:pPr>
              <w:spacing w:line="4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其他说明。(非法人组织参与投标需提供的相关证明材料)。</w:t>
            </w:r>
          </w:p>
          <w:p>
            <w:pPr>
              <w:spacing w:line="400" w:lineRule="exact"/>
              <w:ind w:firstLine="422" w:firstLineChars="200"/>
              <w:rPr>
                <w:rFonts w:hint="eastAsia"/>
                <w:b/>
                <w:bCs/>
                <w:color w:val="auto"/>
              </w:rPr>
            </w:pPr>
            <w:r>
              <w:rPr>
                <w:rFonts w:hint="eastAsia"/>
                <w:b/>
                <w:bCs/>
                <w:color w:val="auto"/>
              </w:rPr>
              <w:t>备注：</w:t>
            </w:r>
          </w:p>
          <w:p>
            <w:pPr>
              <w:spacing w:line="400" w:lineRule="exact"/>
              <w:rPr>
                <w:rFonts w:hint="eastAsia"/>
                <w:color w:val="auto"/>
              </w:rPr>
            </w:pPr>
            <w:r>
              <w:rPr>
                <w:rFonts w:hint="eastAsia"/>
                <w:color w:val="auto"/>
                <w:lang w:val="en-US" w:eastAsia="zh-CN"/>
              </w:rPr>
              <w:t>1、</w:t>
            </w:r>
            <w:r>
              <w:rPr>
                <w:rFonts w:hint="eastAsia"/>
                <w:color w:val="auto"/>
              </w:rPr>
              <w:t>供应商实行了“三证合一”登记制度改革的新证，只需另提供依法缴纳社会保险费的证明，即视同符合基本资格条件的相关条款；实行了“五证合一”登记制度改革的新证，只需提供营业执照副本复印件，即视同符合基本资格条件的相关条款。供应商如是“多证合一”请自行说明。</w:t>
            </w:r>
          </w:p>
          <w:p>
            <w:pPr>
              <w:spacing w:line="40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2、单位负责人为同一人或者存在直接控股、管理关系的不同投标人，不得参加同一合同项下的政府采购活动。</w:t>
            </w:r>
          </w:p>
          <w:p>
            <w:pPr>
              <w:adjustRightInd w:val="0"/>
              <w:snapToGrid w:val="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3、为本采购项目提供整体设计、规范编制或者项目管理、监理、检测等服务的，不得再参加此项目的其他招标采购活动。</w:t>
            </w:r>
          </w:p>
          <w:p>
            <w:pPr>
              <w:adjustRightInd w:val="0"/>
              <w:snapToGrid w:val="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4、列入失信被执行人、重大税收违法案件当事人名单，列入政府采购严重违法失信行为记录名单的，拒绝其参与政府采购活动。</w:t>
            </w:r>
          </w:p>
          <w:p>
            <w:pPr>
              <w:adjustRightInd w:val="0"/>
              <w:snapToGrid w:val="0"/>
              <w:spacing w:line="360" w:lineRule="exac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5、资格证明文件须加盖投标人公章。</w:t>
            </w:r>
          </w:p>
          <w:p>
            <w:pPr>
              <w:adjustRightInd w:val="0"/>
              <w:snapToGrid w:val="0"/>
              <w:spacing w:line="360" w:lineRule="exac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6、投标人有下列情形之一的，视为无效投标：</w:t>
            </w:r>
          </w:p>
          <w:p>
            <w:pPr>
              <w:adjustRightInd w:val="0"/>
              <w:snapToGrid w:val="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（1）有一项资格证明文件未提交的；</w:t>
            </w:r>
          </w:p>
          <w:p>
            <w:pPr>
              <w:adjustRightInd w:val="0"/>
              <w:snapToGrid w:val="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（2）提供不符合要求或虚假资格证明文件的；</w:t>
            </w:r>
          </w:p>
          <w:p>
            <w:pPr>
              <w:adjustRightInd w:val="0"/>
              <w:snapToGrid w:val="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（3）资格证明文件过了有效期的；</w:t>
            </w:r>
          </w:p>
          <w:p>
            <w:pPr>
              <w:adjustRightInd w:val="0"/>
              <w:snapToGrid w:val="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（4）未按有关规定年审合格的；</w:t>
            </w:r>
          </w:p>
          <w:p>
            <w:pPr>
              <w:adjustRightInd w:val="0"/>
              <w:snapToGrid w:val="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（5）资格证明文件未加盖投标人公章的。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.1(3)项</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特定资格条件应提供的资格审查资料</w:t>
            </w:r>
          </w:p>
        </w:tc>
        <w:tc>
          <w:tcPr>
            <w:tcW w:w="5579" w:type="dxa"/>
            <w:vAlign w:val="center"/>
          </w:tcPr>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7</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auto"/>
                <w:spacing w:val="0"/>
                <w:w w:val="100"/>
                <w:position w:val="0"/>
                <w:sz w:val="21"/>
                <w:szCs w:val="21"/>
                <w:highlight w:val="none"/>
              </w:rPr>
              <w:t>投标有效期</w:t>
            </w:r>
          </w:p>
        </w:tc>
        <w:tc>
          <w:tcPr>
            <w:tcW w:w="5579" w:type="dxa"/>
            <w:vAlign w:val="center"/>
          </w:tcPr>
          <w:p>
            <w:pPr>
              <w:adjustRightInd w:val="0"/>
              <w:snapToGrid w:val="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90</w:t>
            </w:r>
            <w:r>
              <w:rPr>
                <w:rFonts w:hint="eastAsia" w:ascii="宋体" w:hAnsi="宋体"/>
                <w:color w:val="000000" w:themeColor="text1"/>
                <w:szCs w:val="21"/>
                <w14:textFill>
                  <w14:solidFill>
                    <w14:schemeClr w14:val="tx1"/>
                  </w14:solidFill>
                </w14:textFill>
              </w:rPr>
              <w:t>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hint="eastAsia" w:ascii="宋体" w:hAnsi="宋体" w:eastAsia="宋体" w:cs="Times New Roman"/>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8</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pStyle w:val="26"/>
              <w:keepNext w:val="0"/>
              <w:keepLines w:val="0"/>
              <w:pageBreakBefore w:val="0"/>
              <w:suppressLineNumbers w:val="0"/>
              <w:kinsoku/>
              <w:wordWrap/>
              <w:overflowPunct/>
              <w:topLinePunct w:val="0"/>
              <w:autoSpaceDE/>
              <w:autoSpaceDN/>
              <w:bidi w:val="0"/>
              <w:spacing w:before="0" w:beforeAutospacing="0" w:after="0" w:afterAutospacing="0" w:line="320" w:lineRule="exact"/>
              <w:ind w:left="0" w:leftChars="0" w:right="0" w:rightChars="0" w:firstLine="0" w:firstLineChars="0"/>
              <w:rPr>
                <w:rFonts w:hint="eastAsia" w:ascii="宋体" w:hAnsi="宋体" w:eastAsia="宋体" w:cs="Times New Roman"/>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投标保证金</w:t>
            </w:r>
          </w:p>
        </w:tc>
        <w:tc>
          <w:tcPr>
            <w:tcW w:w="5579" w:type="dxa"/>
            <w:vAlign w:val="center"/>
          </w:tcPr>
          <w:p>
            <w:pPr>
              <w:pStyle w:val="26"/>
              <w:spacing w:line="40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不要求提供</w:t>
            </w:r>
          </w:p>
          <w:p>
            <w:pPr>
              <w:pStyle w:val="26"/>
              <w:spacing w:line="400" w:lineRule="exact"/>
              <w:rPr>
                <w:rFonts w:hAnsi="宋体"/>
                <w:color w:val="auto"/>
              </w:rPr>
            </w:pPr>
            <w:r>
              <w:rPr>
                <w:rFonts w:hint="eastAsia" w:hAnsi="宋体"/>
                <w:color w:val="auto"/>
              </w:rPr>
              <w:t>■ 要求提供</w:t>
            </w:r>
          </w:p>
          <w:p>
            <w:pPr>
              <w:pStyle w:val="26"/>
              <w:spacing w:line="400" w:lineRule="exact"/>
              <w:rPr>
                <w:rFonts w:hAnsi="宋体"/>
                <w:color w:val="auto"/>
              </w:rPr>
            </w:pPr>
            <w:r>
              <w:rPr>
                <w:rFonts w:hint="eastAsia" w:hAnsi="宋体"/>
                <w:color w:val="auto"/>
              </w:rPr>
              <w:t xml:space="preserve"> </w:t>
            </w:r>
            <w:r>
              <w:rPr>
                <w:rFonts w:hAnsi="宋体"/>
                <w:bCs/>
                <w:color w:val="auto"/>
              </w:rPr>
              <w:t>1、</w:t>
            </w:r>
            <w:r>
              <w:rPr>
                <w:rFonts w:hAnsi="宋体"/>
                <w:color w:val="auto"/>
              </w:rPr>
              <w:t>投标保证金数额金额为：</w:t>
            </w:r>
            <w:r>
              <w:rPr>
                <w:rFonts w:hint="eastAsia" w:hAnsi="宋体"/>
                <w:b/>
                <w:bCs/>
                <w:color w:val="auto"/>
                <w:lang w:val="en-US" w:eastAsia="zh-CN"/>
              </w:rPr>
              <w:t>25000</w:t>
            </w:r>
            <w:r>
              <w:rPr>
                <w:rFonts w:hint="eastAsia" w:hAnsi="宋体"/>
                <w:b/>
                <w:bCs/>
                <w:color w:val="auto"/>
              </w:rPr>
              <w:t>元（</w:t>
            </w:r>
            <w:r>
              <w:rPr>
                <w:rFonts w:hint="eastAsia" w:hAnsi="宋体"/>
                <w:b/>
                <w:bCs/>
                <w:color w:val="auto"/>
                <w:lang w:val="en-US" w:eastAsia="zh-CN"/>
              </w:rPr>
              <w:t>贰万伍仟</w:t>
            </w:r>
            <w:r>
              <w:rPr>
                <w:rFonts w:hint="eastAsia" w:hAnsi="宋体"/>
                <w:b/>
                <w:bCs/>
                <w:color w:val="auto"/>
              </w:rPr>
              <w:t>元整）</w:t>
            </w:r>
          </w:p>
          <w:p>
            <w:pPr>
              <w:spacing w:line="400" w:lineRule="exact"/>
              <w:rPr>
                <w:rFonts w:ascii="宋体" w:hAnsi="宋体"/>
                <w:bCs/>
                <w:color w:val="auto"/>
                <w:szCs w:val="21"/>
              </w:rPr>
            </w:pPr>
            <w:r>
              <w:rPr>
                <w:rFonts w:hint="eastAsia" w:ascii="宋体" w:hAnsi="宋体"/>
                <w:color w:val="auto"/>
                <w:szCs w:val="21"/>
              </w:rPr>
              <w:t>2、</w:t>
            </w:r>
            <w:r>
              <w:rPr>
                <w:rFonts w:hint="eastAsia" w:ascii="宋体" w:hAnsi="宋体"/>
                <w:bCs/>
                <w:color w:val="auto"/>
                <w:szCs w:val="21"/>
              </w:rPr>
              <w:t>缴纳时间：投标截止时间前，以银行到账回单为准。</w:t>
            </w:r>
          </w:p>
          <w:p>
            <w:pPr>
              <w:spacing w:line="400" w:lineRule="exact"/>
              <w:rPr>
                <w:rFonts w:ascii="宋体" w:hAnsi="宋体"/>
                <w:bCs/>
                <w:color w:val="FF0000"/>
                <w:szCs w:val="21"/>
              </w:rPr>
            </w:pPr>
            <w:r>
              <w:rPr>
                <w:rFonts w:hint="eastAsia" w:ascii="宋体" w:hAnsi="宋体"/>
                <w:color w:val="auto"/>
                <w:szCs w:val="21"/>
              </w:rPr>
              <w:t>3、缴纳方式：银行转账、银行电汇或银行汇票，从投标人基本账户一次足额缴入到如下投标保证金托管</w:t>
            </w:r>
            <w:r>
              <w:rPr>
                <w:rFonts w:hint="eastAsia" w:ascii="宋体" w:hAnsi="宋体"/>
                <w:color w:val="auto"/>
                <w:szCs w:val="21"/>
                <w:lang w:val="en-US" w:eastAsia="zh-CN"/>
              </w:rPr>
              <w:t>账户</w:t>
            </w:r>
            <w:r>
              <w:rPr>
                <w:rFonts w:hint="eastAsia" w:ascii="宋体" w:hAnsi="宋体"/>
                <w:color w:val="FF0000"/>
                <w:szCs w:val="21"/>
              </w:rPr>
              <w:t>。</w:t>
            </w:r>
          </w:p>
          <w:p>
            <w:pPr>
              <w:adjustRightInd w:val="0"/>
              <w:snapToGrid w:val="0"/>
              <w:spacing w:line="400" w:lineRule="exact"/>
              <w:ind w:right="23" w:rightChars="11"/>
              <w:rPr>
                <w:rFonts w:ascii="宋体" w:hAnsi="宋体"/>
                <w:b/>
                <w:color w:val="000000" w:themeColor="text1"/>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 xml:space="preserve">户 </w:t>
            </w:r>
            <w:r>
              <w:rPr>
                <w:rFonts w:ascii="宋体" w:hAnsi="宋体" w:cs="宋体"/>
                <w:b/>
                <w:color w:val="000000" w:themeColor="text1"/>
                <w:kern w:val="0"/>
                <w:szCs w:val="21"/>
                <w14:textFill>
                  <w14:solidFill>
                    <w14:schemeClr w14:val="tx1"/>
                  </w14:solidFill>
                </w14:textFill>
              </w:rPr>
              <w:t xml:space="preserve"> </w:t>
            </w:r>
            <w:r>
              <w:rPr>
                <w:rFonts w:hint="eastAsia" w:ascii="宋体" w:hAnsi="宋体" w:cs="宋体"/>
                <w:b/>
                <w:color w:val="000000" w:themeColor="text1"/>
                <w:kern w:val="0"/>
                <w:szCs w:val="21"/>
                <w14:textFill>
                  <w14:solidFill>
                    <w14:schemeClr w14:val="tx1"/>
                  </w14:solidFill>
                </w14:textFill>
              </w:rPr>
              <w:t>名：</w:t>
            </w:r>
            <w:r>
              <w:rPr>
                <w:rFonts w:hint="eastAsia" w:ascii="宋体" w:hAnsi="宋体"/>
                <w:b/>
                <w:color w:val="000000" w:themeColor="text1"/>
                <w:szCs w:val="21"/>
                <w14:textFill>
                  <w14:solidFill>
                    <w14:schemeClr w14:val="tx1"/>
                  </w14:solidFill>
                </w14:textFill>
              </w:rPr>
              <w:t>湖南中投项目管理有限公司</w:t>
            </w:r>
          </w:p>
          <w:p>
            <w:pPr>
              <w:adjustRightInd w:val="0"/>
              <w:snapToGrid w:val="0"/>
              <w:spacing w:line="400" w:lineRule="exact"/>
              <w:ind w:right="23" w:rightChars="11"/>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开户行：交通银行侯家塘支行</w:t>
            </w:r>
          </w:p>
          <w:p>
            <w:pPr>
              <w:spacing w:line="400" w:lineRule="exact"/>
              <w:rPr>
                <w:rFonts w:ascii="宋体" w:hAnsi="宋体"/>
                <w:b/>
                <w:color w:val="FF0000"/>
                <w:szCs w:val="21"/>
                <w:highlight w:val="yellow"/>
              </w:rPr>
            </w:pPr>
            <w:r>
              <w:rPr>
                <w:rFonts w:ascii="宋体" w:hAnsi="宋体"/>
                <w:b/>
                <w:color w:val="000000" w:themeColor="text1"/>
                <w:szCs w:val="21"/>
                <w14:textFill>
                  <w14:solidFill>
                    <w14:schemeClr w14:val="tx1"/>
                  </w14:solidFill>
                </w14:textFill>
              </w:rPr>
              <w:t>账  号：</w:t>
            </w:r>
            <w:r>
              <w:rPr>
                <w:rFonts w:ascii="宋体" w:hAnsi="宋体"/>
                <w:b/>
                <w:bCs/>
                <w:color w:val="000000" w:themeColor="text1"/>
                <w:szCs w:val="21"/>
                <w14:textFill>
                  <w14:solidFill>
                    <w14:schemeClr w14:val="tx1"/>
                  </w14:solidFill>
                </w14:textFill>
              </w:rPr>
              <w:t>431651000018150094668</w:t>
            </w:r>
          </w:p>
          <w:p>
            <w:pPr>
              <w:adjustRightInd w:val="0"/>
              <w:snapToGrid w:val="0"/>
              <w:spacing w:line="400" w:lineRule="exact"/>
              <w:ind w:right="23" w:rightChars="1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递交方式：投标保证金必须是从投标人单位的基本账户转入投标保证金的托管账户管理。招标人不接受以现金方式提交的投标保证金，以现金方式提交的投标保证金无效。</w:t>
            </w:r>
          </w:p>
          <w:p>
            <w:pPr>
              <w:adjustRightInd w:val="0"/>
              <w:snapToGrid w:val="0"/>
              <w:spacing w:line="400" w:lineRule="exact"/>
              <w:ind w:right="23" w:rightChars="1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（1）递交投标保证金时，必须在</w:t>
            </w:r>
            <w:r>
              <w:rPr>
                <w:rFonts w:hint="eastAsia" w:ascii="宋体" w:hAnsi="宋体"/>
                <w:color w:val="000000" w:themeColor="text1"/>
                <w:szCs w:val="21"/>
                <w:lang w:eastAsia="zh-CN"/>
                <w14:textFill>
                  <w14:solidFill>
                    <w14:schemeClr w14:val="tx1"/>
                  </w14:solidFill>
                </w14:textFill>
              </w:rPr>
              <w:t>银行进账单</w:t>
            </w:r>
            <w:r>
              <w:rPr>
                <w:rFonts w:hint="eastAsia" w:ascii="宋体" w:hAnsi="宋体"/>
                <w:color w:val="000000" w:themeColor="text1"/>
                <w:szCs w:val="21"/>
                <w14:textFill>
                  <w14:solidFill>
                    <w14:schemeClr w14:val="tx1"/>
                  </w14:solidFill>
                </w14:textFill>
              </w:rPr>
              <w:t>上注明</w:t>
            </w:r>
            <w:r>
              <w:rPr>
                <w:rFonts w:hint="eastAsia" w:ascii="宋体" w:hAnsi="宋体"/>
                <w:b/>
                <w:bCs/>
                <w:color w:val="000000" w:themeColor="text1"/>
                <w:szCs w:val="21"/>
                <w14:textFill>
                  <w14:solidFill>
                    <w14:schemeClr w14:val="tx1"/>
                  </w14:solidFill>
                </w14:textFill>
              </w:rPr>
              <w:t>“</w:t>
            </w:r>
            <w:r>
              <w:rPr>
                <w:rFonts w:hint="eastAsia" w:ascii="宋体" w:hAnsi="宋体"/>
                <w:b/>
                <w:bCs/>
                <w:color w:val="000000" w:themeColor="text1"/>
                <w:szCs w:val="21"/>
                <w:lang w:eastAsia="zh-CN"/>
                <w14:textFill>
                  <w14:solidFill>
                    <w14:schemeClr w14:val="tx1"/>
                  </w14:solidFill>
                </w14:textFill>
              </w:rPr>
              <w:t>HNZT-2023ZF123</w:t>
            </w:r>
            <w:r>
              <w:rPr>
                <w:rFonts w:hint="eastAsia" w:ascii="宋体" w:hAnsi="宋体"/>
                <w:b/>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的投标保证金，如果没注明是</w:t>
            </w:r>
            <w:r>
              <w:rPr>
                <w:rFonts w:hint="eastAsia" w:ascii="宋体" w:hAnsi="宋体"/>
                <w:b/>
                <w:bCs/>
                <w:color w:val="000000" w:themeColor="text1"/>
                <w:szCs w:val="21"/>
                <w14:textFill>
                  <w14:solidFill>
                    <w14:schemeClr w14:val="tx1"/>
                  </w14:solidFill>
                </w14:textFill>
              </w:rPr>
              <w:t>“</w:t>
            </w:r>
            <w:r>
              <w:rPr>
                <w:rFonts w:hint="eastAsia" w:ascii="宋体" w:hAnsi="宋体"/>
                <w:b/>
                <w:bCs/>
                <w:color w:val="000000" w:themeColor="text1"/>
                <w:szCs w:val="21"/>
                <w:lang w:eastAsia="zh-CN"/>
                <w14:textFill>
                  <w14:solidFill>
                    <w14:schemeClr w14:val="tx1"/>
                  </w14:solidFill>
                </w14:textFill>
              </w:rPr>
              <w:t>HNZT-2023ZF123</w:t>
            </w:r>
            <w:r>
              <w:rPr>
                <w:rFonts w:hint="eastAsia" w:ascii="宋体" w:hAnsi="宋体"/>
                <w:b/>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的投标保证金，由此造成无法查实</w:t>
            </w:r>
            <w:r>
              <w:rPr>
                <w:rFonts w:hint="eastAsia" w:ascii="宋体" w:hAnsi="宋体"/>
                <w:color w:val="000000" w:themeColor="text1"/>
                <w:szCs w:val="21"/>
                <w:lang w:eastAsia="zh-CN"/>
                <w14:textFill>
                  <w14:solidFill>
                    <w14:schemeClr w14:val="tx1"/>
                  </w14:solidFill>
                </w14:textFill>
              </w:rPr>
              <w:t>是否到账</w:t>
            </w:r>
            <w:r>
              <w:rPr>
                <w:rFonts w:hint="eastAsia" w:ascii="宋体" w:hAnsi="宋体"/>
                <w:color w:val="000000" w:themeColor="text1"/>
                <w:szCs w:val="21"/>
                <w14:textFill>
                  <w14:solidFill>
                    <w14:schemeClr w14:val="tx1"/>
                  </w14:solidFill>
                </w14:textFill>
              </w:rPr>
              <w:t>的，后果由投标人自行负责。(注：转账票据摘要处的注明可写简称，但必须表达清楚是本项目的投标保证金)</w:t>
            </w:r>
          </w:p>
          <w:p>
            <w:pPr>
              <w:adjustRightInd w:val="0"/>
              <w:snapToGrid w:val="0"/>
              <w:spacing w:line="400" w:lineRule="exact"/>
              <w:ind w:right="23" w:rightChars="1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（2）请将投标保证金于投标</w:t>
            </w:r>
            <w:r>
              <w:rPr>
                <w:rFonts w:ascii="宋体" w:hAnsi="宋体"/>
                <w:color w:val="000000" w:themeColor="text1"/>
                <w:szCs w:val="21"/>
                <w14:textFill>
                  <w14:solidFill>
                    <w14:schemeClr w14:val="tx1"/>
                  </w14:solidFill>
                </w14:textFill>
              </w:rPr>
              <w:t>截止时间</w:t>
            </w:r>
            <w:r>
              <w:rPr>
                <w:rFonts w:hint="eastAsia" w:ascii="宋体" w:hAnsi="宋体"/>
                <w:color w:val="000000" w:themeColor="text1"/>
                <w:szCs w:val="21"/>
                <w14:textFill>
                  <w14:solidFill>
                    <w14:schemeClr w14:val="tx1"/>
                  </w14:solidFill>
                </w14:textFill>
              </w:rPr>
              <w:t>前转入投标保证金的托管账户管理，</w:t>
            </w:r>
            <w:r>
              <w:rPr>
                <w:rFonts w:hint="eastAsia" w:ascii="宋体" w:hAnsi="宋体"/>
                <w:color w:val="000000" w:themeColor="text1"/>
                <w:szCs w:val="21"/>
                <w:lang w:eastAsia="zh-CN"/>
                <w14:textFill>
                  <w14:solidFill>
                    <w14:schemeClr w14:val="tx1"/>
                  </w14:solidFill>
                </w14:textFill>
              </w:rPr>
              <w:t>以到账为准</w:t>
            </w:r>
            <w:r>
              <w:rPr>
                <w:rFonts w:hint="eastAsia" w:ascii="宋体" w:hAnsi="宋体"/>
                <w:color w:val="000000" w:themeColor="text1"/>
                <w:szCs w:val="21"/>
                <w14:textFill>
                  <w14:solidFill>
                    <w14:schemeClr w14:val="tx1"/>
                  </w14:solidFill>
                </w14:textFill>
              </w:rPr>
              <w:t>。</w:t>
            </w:r>
          </w:p>
          <w:p>
            <w:pPr>
              <w:adjustRightInd w:val="0"/>
              <w:snapToGrid w:val="0"/>
              <w:spacing w:line="400" w:lineRule="exact"/>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（3）</w:t>
            </w:r>
            <w:r>
              <w:rPr>
                <w:rFonts w:hint="eastAsia" w:ascii="宋体" w:hAnsi="宋体"/>
                <w:b/>
                <w:bCs/>
                <w:color w:val="000000" w:themeColor="text1"/>
                <w:szCs w:val="21"/>
                <w14:textFill>
                  <w14:solidFill>
                    <w14:schemeClr w14:val="tx1"/>
                  </w14:solidFill>
                </w14:textFill>
              </w:rPr>
              <w:t>未按上述要求足额缴纳投标保证金的，其投标将被拒绝。</w:t>
            </w:r>
          </w:p>
          <w:p>
            <w:pPr>
              <w:pStyle w:val="26"/>
              <w:spacing w:line="30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（4）未中标人的投标保证金在中标通知书发出后五个工作日内退还给投标人。中标人于合同签订之日起五个工作日内退还。</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9</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left"/>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分包</w:t>
            </w:r>
          </w:p>
        </w:tc>
        <w:tc>
          <w:tcPr>
            <w:tcW w:w="5579"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left"/>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不分包</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8"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20</w:t>
            </w:r>
            <w:r>
              <w:rPr>
                <w:rFonts w:hint="eastAsia" w:asciiTheme="minorEastAsia" w:hAnsiTheme="minorEastAsia" w:eastAsiaTheme="minorEastAsia" w:cstheme="minorEastAsia"/>
                <w:color w:val="auto"/>
                <w:spacing w:val="0"/>
                <w:w w:val="100"/>
                <w:position w:val="0"/>
                <w:sz w:val="21"/>
                <w:szCs w:val="21"/>
                <w:highlight w:val="none"/>
              </w:rPr>
              <w:t>.1款</w:t>
            </w:r>
          </w:p>
        </w:tc>
        <w:tc>
          <w:tcPr>
            <w:tcW w:w="162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left"/>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投标文件份数</w:t>
            </w:r>
          </w:p>
        </w:tc>
        <w:tc>
          <w:tcPr>
            <w:tcW w:w="5579" w:type="dxa"/>
            <w:vAlign w:val="center"/>
          </w:tcPr>
          <w:p>
            <w:pPr>
              <w:adjustRightInd w:val="0"/>
              <w:snapToGrid w:val="0"/>
              <w:spacing w:line="400" w:lineRule="exact"/>
              <w:rPr>
                <w:rFonts w:ascii="宋体" w:hAnsi="宋体"/>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投标文件第一部分资格证明文件：正本一份，副本一份；投标文件第二部分商务和技术文件：正本一份,副本四份；电子版1份（(U盘</w:t>
            </w:r>
            <w:r>
              <w:rPr>
                <w:rFonts w:hint="eastAsia" w:asciiTheme="minorEastAsia" w:hAnsiTheme="minorEastAsia" w:eastAsiaTheme="minorEastAsia"/>
                <w:color w:val="000000" w:themeColor="text1"/>
                <w:szCs w:val="21"/>
                <w:lang w:val="en-US" w:eastAsia="zh-CN"/>
                <w14:textFill>
                  <w14:solidFill>
                    <w14:schemeClr w14:val="tx1"/>
                  </w14:solidFill>
                </w14:textFill>
              </w:rPr>
              <w:t>内含</w:t>
            </w:r>
            <w:r>
              <w:rPr>
                <w:rFonts w:hint="eastAsia" w:asciiTheme="minorEastAsia" w:hAnsiTheme="minorEastAsia" w:eastAsiaTheme="minorEastAsia"/>
                <w:color w:val="000000" w:themeColor="text1"/>
                <w:szCs w:val="21"/>
                <w14:textFill>
                  <w14:solidFill>
                    <w14:schemeClr w14:val="tx1"/>
                  </w14:solidFill>
                </w14:textFill>
              </w:rPr>
              <w:t>可编辑 word 和签字、盖章的PDF文档）。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00" w:type="dxa"/>
            <w:gridSpan w:val="3"/>
            <w:vAlign w:val="center"/>
          </w:tcPr>
          <w:p>
            <w:pPr>
              <w:adjustRightInd w:val="0"/>
              <w:snapToGrid w:val="0"/>
              <w:spacing w:line="360" w:lineRule="auto"/>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19" w:hRule="atLeast"/>
        </w:trPr>
        <w:tc>
          <w:tcPr>
            <w:tcW w:w="1800"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w:t>
            </w:r>
            <w:r>
              <w:rPr>
                <w:rFonts w:hint="eastAsia" w:asciiTheme="minorEastAsia" w:hAnsiTheme="minorEastAsia" w:eastAsiaTheme="minorEastAsia"/>
                <w:color w:val="000000" w:themeColor="text1"/>
                <w:szCs w:val="21"/>
                <w:lang w:val="en-US" w:eastAsia="zh-CN"/>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621" w:type="dxa"/>
            <w:vAlign w:val="center"/>
          </w:tcPr>
          <w:p>
            <w:pPr>
              <w:adjustRightInd w:val="0"/>
              <w:snapToGrid w:val="0"/>
              <w:spacing w:line="360" w:lineRule="exact"/>
              <w:jc w:val="left"/>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投标截止时间及投标地点</w:t>
            </w:r>
          </w:p>
        </w:tc>
        <w:tc>
          <w:tcPr>
            <w:tcW w:w="5579" w:type="dxa"/>
            <w:vAlign w:val="center"/>
          </w:tcPr>
          <w:p>
            <w:pPr>
              <w:adjustRightInd w:val="0"/>
              <w:snapToGrid w:val="0"/>
              <w:spacing w:line="360" w:lineRule="exact"/>
              <w:rPr>
                <w:rFonts w:hint="eastAsia" w:ascii="宋体" w:hAnsi="宋体" w:eastAsia="宋体"/>
                <w:b/>
                <w:color w:val="000000" w:themeColor="text1"/>
                <w:szCs w:val="21"/>
                <w:lang w:eastAsia="zh-CN"/>
                <w14:textFill>
                  <w14:solidFill>
                    <w14:schemeClr w14:val="tx1"/>
                  </w14:solidFill>
                </w14:textFill>
              </w:rPr>
            </w:pPr>
            <w:r>
              <w:rPr>
                <w:rFonts w:hint="eastAsia" w:ascii="宋体" w:hAnsi="宋体"/>
                <w:b/>
                <w:bCs/>
                <w:color w:val="auto"/>
                <w:szCs w:val="21"/>
              </w:rPr>
              <w:t>202</w:t>
            </w:r>
            <w:r>
              <w:rPr>
                <w:rFonts w:hint="eastAsia" w:ascii="宋体" w:hAnsi="宋体"/>
                <w:b/>
                <w:bCs/>
                <w:color w:val="auto"/>
                <w:szCs w:val="21"/>
                <w:lang w:val="en-US" w:eastAsia="zh-CN"/>
              </w:rPr>
              <w:t>3</w:t>
            </w:r>
            <w:r>
              <w:rPr>
                <w:rFonts w:hint="eastAsia" w:ascii="宋体" w:hAnsi="宋体"/>
                <w:b/>
                <w:bCs/>
                <w:color w:val="auto"/>
                <w:szCs w:val="21"/>
              </w:rPr>
              <w:t>年</w:t>
            </w:r>
            <w:r>
              <w:rPr>
                <w:rFonts w:hint="eastAsia" w:ascii="宋体" w:hAnsi="宋体"/>
                <w:b/>
                <w:bCs/>
                <w:color w:val="auto"/>
                <w:szCs w:val="21"/>
                <w:lang w:val="en-US" w:eastAsia="zh-CN"/>
              </w:rPr>
              <w:t>11</w:t>
            </w:r>
            <w:r>
              <w:rPr>
                <w:rFonts w:hint="eastAsia" w:ascii="宋体" w:hAnsi="宋体"/>
                <w:b/>
                <w:bCs/>
                <w:color w:val="auto"/>
                <w:szCs w:val="21"/>
              </w:rPr>
              <w:t>月</w:t>
            </w:r>
            <w:r>
              <w:rPr>
                <w:rFonts w:hint="eastAsia" w:ascii="宋体" w:hAnsi="宋体"/>
                <w:b/>
                <w:bCs/>
                <w:color w:val="auto"/>
                <w:szCs w:val="21"/>
                <w:lang w:val="en-US" w:eastAsia="zh-CN"/>
              </w:rPr>
              <w:t>03</w:t>
            </w:r>
            <w:r>
              <w:rPr>
                <w:rFonts w:hint="eastAsia" w:ascii="宋体" w:hAnsi="宋体"/>
                <w:b/>
                <w:bCs/>
                <w:color w:val="auto"/>
                <w:szCs w:val="21"/>
              </w:rPr>
              <w:t>日</w:t>
            </w:r>
            <w:r>
              <w:rPr>
                <w:rFonts w:hint="eastAsia" w:ascii="宋体" w:hAnsi="宋体"/>
                <w:b/>
                <w:bCs/>
                <w:color w:val="auto"/>
                <w:szCs w:val="21"/>
                <w:lang w:val="en-US" w:eastAsia="zh-CN"/>
              </w:rPr>
              <w:t>14</w:t>
            </w:r>
            <w:r>
              <w:rPr>
                <w:rFonts w:hint="eastAsia" w:ascii="宋体" w:hAnsi="宋体"/>
                <w:b/>
                <w:bCs/>
                <w:color w:val="auto"/>
                <w:szCs w:val="21"/>
              </w:rPr>
              <w:t>:</w:t>
            </w:r>
            <w:r>
              <w:rPr>
                <w:rFonts w:hint="eastAsia" w:ascii="宋体" w:hAnsi="宋体"/>
                <w:b/>
                <w:bCs/>
                <w:color w:val="auto"/>
                <w:szCs w:val="21"/>
                <w:lang w:val="en-US" w:eastAsia="zh-CN"/>
              </w:rPr>
              <w:t>3</w:t>
            </w:r>
            <w:r>
              <w:rPr>
                <w:rFonts w:hint="eastAsia" w:ascii="宋体" w:hAnsi="宋体"/>
                <w:b/>
                <w:bCs/>
                <w:color w:val="auto"/>
                <w:szCs w:val="21"/>
              </w:rPr>
              <w:t>0（北京时间）。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00" w:type="dxa"/>
            <w:gridSpan w:val="3"/>
            <w:vAlign w:val="center"/>
          </w:tcPr>
          <w:p>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五、开标、资格审查和评标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adjustRightInd w:val="0"/>
              <w:snapToGrid w:val="0"/>
              <w:spacing w:line="360" w:lineRule="auto"/>
              <w:jc w:val="both"/>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 xml:space="preserve">开标地点 </w:t>
            </w:r>
          </w:p>
        </w:tc>
        <w:tc>
          <w:tcPr>
            <w:tcW w:w="5579" w:type="dxa"/>
            <w:vAlign w:val="center"/>
          </w:tcPr>
          <w:p>
            <w:pPr>
              <w:adjustRightInd w:val="0"/>
              <w:snapToGrid w:val="0"/>
              <w:rPr>
                <w:rFonts w:hint="eastAsia" w:asciiTheme="minorEastAsia" w:hAnsiTheme="minorEastAsia" w:eastAsiaTheme="minorEastAsia"/>
                <w:b/>
                <w:bCs/>
                <w:color w:val="000000" w:themeColor="text1"/>
                <w:szCs w:val="21"/>
                <w:lang w:eastAsia="zh-CN"/>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湖南中投项目管理有限公司（长沙市雨花区韶山中路489号万博汇名邸三期2008房）</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adjustRightInd w:val="0"/>
              <w:snapToGrid w:val="0"/>
              <w:spacing w:line="360" w:lineRule="auto"/>
              <w:jc w:val="lef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需要宣布的其他内容</w:t>
            </w:r>
          </w:p>
        </w:tc>
        <w:tc>
          <w:tcPr>
            <w:tcW w:w="5579" w:type="dxa"/>
            <w:vAlign w:val="center"/>
          </w:tcPr>
          <w:p>
            <w:pPr>
              <w:adjustRightInd w:val="0"/>
              <w:snapToGrid w:val="0"/>
              <w:spacing w:line="360" w:lineRule="auto"/>
              <w:jc w:val="both"/>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投标单位名称、投标报价、服务期等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00" w:type="dxa"/>
            <w:gridSpan w:val="3"/>
            <w:vAlign w:val="center"/>
          </w:tcPr>
          <w:p>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六、中标信息公布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9</w:t>
            </w:r>
            <w:r>
              <w:rPr>
                <w:rFonts w:hint="eastAsia" w:asciiTheme="minorEastAsia" w:hAnsiTheme="minorEastAsia" w:eastAsiaTheme="minorEastAsia" w:cstheme="minorEastAsia"/>
                <w:color w:val="auto"/>
                <w:spacing w:val="0"/>
                <w:w w:val="100"/>
                <w:position w:val="0"/>
                <w:sz w:val="21"/>
                <w:szCs w:val="21"/>
                <w:highlight w:val="none"/>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中标候选人并列的确定中标人的方式</w:t>
            </w:r>
          </w:p>
        </w:tc>
        <w:tc>
          <w:tcPr>
            <w:tcW w:w="5579" w:type="dxa"/>
            <w:vAlign w:val="center"/>
          </w:tcPr>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采用综合评分法的，评标结果按评审后得分由高到低顺序排列。得分相同的，</w:t>
            </w:r>
            <w:r>
              <w:rPr>
                <w:rFonts w:hint="eastAsia" w:ascii="宋体" w:hAnsi="宋体" w:cs="宋体"/>
                <w:color w:val="000000" w:themeColor="text1"/>
                <w:szCs w:val="21"/>
                <w14:textFill>
                  <w14:solidFill>
                    <w14:schemeClr w14:val="tx1"/>
                  </w14:solidFill>
                </w14:textFill>
              </w:rPr>
              <w:t>按投标报价从低到高确定排序，</w:t>
            </w:r>
            <w:r>
              <w:rPr>
                <w:rFonts w:hint="eastAsia" w:asciiTheme="minorEastAsia" w:hAnsiTheme="minorEastAsia" w:eastAsiaTheme="minorEastAsia"/>
                <w:color w:val="000000" w:themeColor="text1"/>
                <w:szCs w:val="21"/>
                <w14:textFill>
                  <w14:solidFill>
                    <w14:schemeClr w14:val="tx1"/>
                  </w14:solidFill>
                </w14:textFill>
              </w:rPr>
              <w:t>得分且</w:t>
            </w:r>
            <w:r>
              <w:rPr>
                <w:rFonts w:hint="eastAsia" w:ascii="宋体" w:hAnsi="宋体" w:cs="宋体"/>
                <w:color w:val="000000" w:themeColor="text1"/>
                <w:szCs w:val="21"/>
                <w14:textFill>
                  <w14:solidFill>
                    <w14:schemeClr w14:val="tx1"/>
                  </w14:solidFill>
                </w14:textFill>
              </w:rPr>
              <w:t>投标报价相同的按技术总分从高至低确定排序，技术总分相同的由评标组长现场随机抽签确定排序。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30</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接收质疑函的联系部门、联系电话和通讯地址</w:t>
            </w:r>
          </w:p>
        </w:tc>
        <w:tc>
          <w:tcPr>
            <w:tcW w:w="5579" w:type="dxa"/>
            <w:vAlign w:val="center"/>
          </w:tcPr>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采购人：长沙市消防救援支队</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 址：长沙市开福区四方坪学堂园路156号</w:t>
            </w:r>
          </w:p>
          <w:p>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联系人：</w:t>
            </w:r>
            <w:r>
              <w:rPr>
                <w:rFonts w:hint="eastAsia" w:asciiTheme="minorEastAsia" w:hAnsiTheme="minorEastAsia" w:eastAsiaTheme="minorEastAsia"/>
                <w:color w:val="000000" w:themeColor="text1"/>
                <w:szCs w:val="21"/>
                <w:lang w:eastAsia="zh-CN"/>
                <w14:textFill>
                  <w14:solidFill>
                    <w14:schemeClr w14:val="tx1"/>
                  </w14:solidFill>
                </w14:textFill>
              </w:rPr>
              <w:t>郝辉</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联系方式：</w:t>
            </w:r>
            <w:r>
              <w:rPr>
                <w:rFonts w:asciiTheme="minorEastAsia" w:hAnsiTheme="minorEastAsia" w:eastAsiaTheme="minorEastAsia"/>
                <w:color w:val="000000" w:themeColor="text1"/>
                <w:szCs w:val="21"/>
                <w14:textFill>
                  <w14:solidFill>
                    <w14:schemeClr w14:val="tx1"/>
                  </w14:solidFill>
                </w14:textFill>
              </w:rPr>
              <w:t>0731- 82686183</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委托代理公司名称：湖南中投项目管理有限公司</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  址：长沙市雨花区韶山中路489号万博汇名邸三期2008房</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联系人：梁昌华、张志鹏</w:t>
            </w:r>
          </w:p>
          <w:p>
            <w:pPr>
              <w:adjustRightInd w:val="0"/>
              <w:snapToGrid w:val="0"/>
              <w:spacing w:line="360" w:lineRule="auto"/>
              <w:rPr>
                <w:rFonts w:hint="eastAsia" w:ascii="宋体" w:hAnsi="宋体" w:eastAsiaTheme="minorEastAsia"/>
                <w:color w:val="000000" w:themeColor="text1"/>
                <w:szCs w:val="21"/>
                <w:u w:val="single"/>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  话：0731-82255989</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00" w:type="dxa"/>
            <w:gridSpan w:val="3"/>
            <w:vAlign w:val="center"/>
          </w:tcPr>
          <w:p>
            <w:pPr>
              <w:adjustRightInd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七、合同签订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tcBorders>
              <w:right w:val="single" w:color="auto" w:sz="4" w:space="0"/>
            </w:tcBorders>
            <w:vAlign w:val="center"/>
          </w:tcPr>
          <w:p>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第3</w:t>
            </w:r>
            <w:r>
              <w:rPr>
                <w:rFonts w:hint="eastAsia" w:asciiTheme="minorEastAsia" w:hAnsiTheme="minorEastAsia" w:eastAsiaTheme="minorEastAsia" w:cstheme="minorEastAsia"/>
                <w:color w:val="auto"/>
                <w:spacing w:val="0"/>
                <w:w w:val="100"/>
                <w:position w:val="0"/>
                <w:sz w:val="21"/>
                <w:szCs w:val="21"/>
                <w:highlight w:val="none"/>
                <w:lang w:val="en-US" w:eastAsia="zh-CN"/>
              </w:rPr>
              <w:t>2</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tcBorders>
              <w:left w:val="single" w:color="auto" w:sz="4" w:space="0"/>
              <w:right w:val="single" w:color="auto" w:sz="4" w:space="0"/>
            </w:tcBorders>
            <w:vAlign w:val="center"/>
          </w:tcPr>
          <w:p>
            <w:pPr>
              <w:adjustRightInd w:val="0"/>
              <w:snapToGrid w:val="0"/>
              <w:spacing w:line="360" w:lineRule="auto"/>
              <w:jc w:val="lef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履约担保</w:t>
            </w:r>
          </w:p>
        </w:tc>
        <w:tc>
          <w:tcPr>
            <w:tcW w:w="5579" w:type="dxa"/>
            <w:tcBorders>
              <w:left w:val="single" w:color="auto" w:sz="4" w:space="0"/>
            </w:tcBorders>
            <w:vAlign w:val="center"/>
          </w:tcPr>
          <w:p>
            <w:pPr>
              <w:adjustRightInd w:val="0"/>
              <w:snapToGrid w:val="0"/>
              <w:spacing w:line="360" w:lineRule="auto"/>
              <w:jc w:val="lef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不要求提供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2" w:hRule="atLeast"/>
        </w:trPr>
        <w:tc>
          <w:tcPr>
            <w:tcW w:w="9000" w:type="dxa"/>
            <w:gridSpan w:val="3"/>
            <w:vAlign w:val="center"/>
          </w:tcPr>
          <w:p>
            <w:pPr>
              <w:adjustRightInd w:val="0"/>
              <w:snapToGrid w:val="0"/>
              <w:spacing w:line="260" w:lineRule="exact"/>
              <w:rPr>
                <w:rFonts w:ascii="宋体" w:hAnsi="宋体" w:cs="宋体"/>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八、其他规定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800" w:type="dxa"/>
            <w:vAlign w:val="center"/>
          </w:tcPr>
          <w:p>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auto"/>
                <w:spacing w:val="0"/>
                <w:w w:val="100"/>
                <w:position w:val="0"/>
                <w:sz w:val="21"/>
                <w:szCs w:val="21"/>
                <w:highlight w:val="none"/>
              </w:rPr>
              <w:t>第3</w:t>
            </w:r>
            <w:r>
              <w:rPr>
                <w:rFonts w:hint="eastAsia" w:asciiTheme="minorEastAsia" w:hAnsiTheme="minorEastAsia" w:eastAsiaTheme="minorEastAsia" w:cstheme="minorEastAsia"/>
                <w:color w:val="auto"/>
                <w:spacing w:val="0"/>
                <w:w w:val="100"/>
                <w:position w:val="0"/>
                <w:sz w:val="21"/>
                <w:szCs w:val="21"/>
                <w:highlight w:val="none"/>
                <w:lang w:val="en-US" w:eastAsia="zh-CN"/>
              </w:rPr>
              <w:t>6</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21" w:type="dxa"/>
            <w:vAlign w:val="center"/>
          </w:tcPr>
          <w:p>
            <w:pPr>
              <w:adjustRightInd w:val="0"/>
              <w:snapToGrid w:val="0"/>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招标代理服务费</w:t>
            </w:r>
          </w:p>
        </w:tc>
        <w:tc>
          <w:tcPr>
            <w:tcW w:w="5579" w:type="dxa"/>
            <w:vAlign w:val="center"/>
          </w:tcPr>
          <w:p>
            <w:pPr>
              <w:spacing w:line="276" w:lineRule="auto"/>
              <w:rPr>
                <w:rFonts w:ascii="宋体" w:hAnsi="宋体" w:cs="宋体"/>
              </w:rPr>
            </w:pPr>
            <w:r>
              <w:rPr>
                <w:rFonts w:hint="eastAsia" w:ascii="宋体" w:hAnsi="宋体"/>
                <w:szCs w:val="21"/>
              </w:rPr>
              <w:t>代理服务费参照</w:t>
            </w:r>
            <w:r>
              <w:rPr>
                <w:rFonts w:hint="eastAsia" w:ascii="宋体" w:hAnsi="宋体"/>
                <w:szCs w:val="21"/>
                <w:lang w:val="en-US" w:eastAsia="zh-CN"/>
              </w:rPr>
              <w:t>原</w:t>
            </w:r>
            <w:r>
              <w:rPr>
                <w:rFonts w:hint="eastAsia" w:ascii="宋体" w:hAnsi="宋体"/>
                <w:szCs w:val="21"/>
              </w:rPr>
              <w:t>【</w:t>
            </w:r>
            <w:r>
              <w:rPr>
                <w:rFonts w:ascii="宋体" w:hAnsi="宋体"/>
                <w:szCs w:val="21"/>
              </w:rPr>
              <w:t>2002</w:t>
            </w:r>
            <w:r>
              <w:rPr>
                <w:rFonts w:hint="eastAsia" w:ascii="宋体" w:hAnsi="宋体"/>
                <w:szCs w:val="21"/>
              </w:rPr>
              <w:t>】</w:t>
            </w:r>
            <w:r>
              <w:rPr>
                <w:rFonts w:ascii="宋体" w:hAnsi="宋体"/>
                <w:szCs w:val="21"/>
              </w:rPr>
              <w:t>1980</w:t>
            </w:r>
            <w:r>
              <w:rPr>
                <w:rFonts w:hint="eastAsia" w:ascii="宋体" w:hAnsi="宋体"/>
                <w:szCs w:val="21"/>
              </w:rPr>
              <w:t>号文收取，由采购人支付。</w:t>
            </w:r>
          </w:p>
        </w:tc>
      </w:tr>
    </w:tbl>
    <w:p>
      <w:pPr>
        <w:adjustRightInd w:val="0"/>
        <w:snapToGrid w:val="0"/>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br w:type="page"/>
      </w:r>
    </w:p>
    <w:p>
      <w:pPr>
        <w:pStyle w:val="6"/>
        <w:adjustRightInd w:val="0"/>
        <w:snapToGrid w:val="0"/>
        <w:spacing w:before="157" w:beforeLines="50"/>
        <w:rPr>
          <w:rFonts w:ascii="黑体" w:hAnsi="黑体" w:eastAsia="黑体"/>
          <w:color w:val="000000" w:themeColor="text1"/>
          <w:sz w:val="28"/>
          <w:szCs w:val="28"/>
          <w14:textFill>
            <w14:solidFill>
              <w14:schemeClr w14:val="tx1"/>
            </w14:solidFill>
          </w14:textFill>
        </w:rPr>
      </w:pPr>
      <w:bookmarkStart w:id="18" w:name="_Toc8983709"/>
      <w:bookmarkStart w:id="19" w:name="_Toc31402"/>
      <w:r>
        <w:rPr>
          <w:rFonts w:hint="eastAsia" w:ascii="黑体" w:hAnsi="黑体" w:eastAsia="黑体"/>
          <w:color w:val="000000" w:themeColor="text1"/>
          <w:sz w:val="28"/>
          <w:szCs w:val="28"/>
          <w14:textFill>
            <w14:solidFill>
              <w14:schemeClr w14:val="tx1"/>
            </w14:solidFill>
          </w14:textFill>
        </w:rPr>
        <w:t>投标须知正文</w:t>
      </w:r>
      <w:bookmarkEnd w:id="18"/>
      <w:bookmarkEnd w:id="19"/>
    </w:p>
    <w:p>
      <w:pPr>
        <w:pStyle w:val="7"/>
        <w:adjustRightInd w:val="0"/>
        <w:snapToGrid w:val="0"/>
        <w:spacing w:before="157" w:beforeLines="50" w:after="0" w:line="360" w:lineRule="auto"/>
        <w:jc w:val="center"/>
        <w:rPr>
          <w:rFonts w:ascii="黑体" w:hAnsi="黑体" w:eastAsia="黑体"/>
          <w:b w:val="0"/>
          <w:color w:val="000000" w:themeColor="text1"/>
          <w:sz w:val="28"/>
          <w:szCs w:val="28"/>
          <w14:textFill>
            <w14:solidFill>
              <w14:schemeClr w14:val="tx1"/>
            </w14:solidFill>
          </w14:textFill>
        </w:rPr>
      </w:pPr>
      <w:bookmarkStart w:id="20" w:name="_Toc8983710"/>
      <w:bookmarkStart w:id="21" w:name="_Toc16162"/>
      <w:r>
        <w:rPr>
          <w:rFonts w:hint="eastAsia" w:ascii="黑体" w:hAnsi="黑体" w:eastAsia="黑体"/>
          <w:color w:val="000000" w:themeColor="text1"/>
          <w:sz w:val="28"/>
          <w:szCs w:val="28"/>
          <w14:textFill>
            <w14:solidFill>
              <w14:schemeClr w14:val="tx1"/>
            </w14:solidFill>
          </w14:textFill>
        </w:rPr>
        <w:t>一、总则</w:t>
      </w:r>
      <w:bookmarkEnd w:id="20"/>
      <w:bookmarkEnd w:id="21"/>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 适用范围</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1.1本招标文件仅适用于本章“投标须知前附表”（以下简称</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）中所叙述的采购项目。</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 定义</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2.1采购人名称、地址、电话、联系人见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2.2采购代理机构名称、地址、电话、联系人见</w:t>
      </w:r>
      <w:r>
        <w:rPr>
          <w:rFonts w:hint="eastAsia" w:asciiTheme="minorEastAsia" w:hAnsiTheme="minorEastAsia" w:eastAsiaTheme="minorEastAsia"/>
          <w:b/>
          <w:color w:val="000000" w:themeColor="text1"/>
          <w:szCs w:val="21"/>
          <w14:textFill>
            <w14:solidFill>
              <w14:schemeClr w14:val="tx1"/>
            </w14:solidFill>
          </w14:textFill>
        </w:rPr>
        <w:t>【投标须知前附表】。</w:t>
      </w:r>
    </w:p>
    <w:p>
      <w:pPr>
        <w:adjustRightInd w:val="0"/>
        <w:snapToGrid w:val="0"/>
        <w:spacing w:before="157" w:beforeLines="50" w:line="360" w:lineRule="auto"/>
        <w:ind w:firstLine="420" w:firstLineChars="200"/>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2.3投标人系指响应招标、参加投标的法人、其他组织或自然人。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2.4货物是指各种形态和种类的物品，包括原材料、燃料、设备、产品等，见</w:t>
      </w:r>
      <w:r>
        <w:rPr>
          <w:rFonts w:hint="eastAsia" w:asciiTheme="minorEastAsia" w:hAnsiTheme="minorEastAsia" w:eastAsiaTheme="minorEastAsia"/>
          <w:color w:val="000000" w:themeColor="text1"/>
          <w:szCs w:val="21"/>
          <w:lang w:eastAsia="zh-CN"/>
          <w14:textFill>
            <w14:solidFill>
              <w14:schemeClr w14:val="tx1"/>
            </w14:solidFill>
          </w14:textFill>
        </w:rPr>
        <w:t>《关于印发&lt;政府采购品目分类目录&gt;的通知》（财库[2022]31号）</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2.5服务是根据合同规定乙方承担与供货有关的辅助服务，如运输、保</w:t>
      </w:r>
      <w:r>
        <w:rPr>
          <w:rFonts w:hint="eastAsia" w:asciiTheme="minorEastAsia" w:hAnsiTheme="minorEastAsia" w:eastAsiaTheme="minorEastAsia"/>
          <w:color w:val="000000" w:themeColor="text1"/>
          <w:spacing w:val="2"/>
          <w:szCs w:val="21"/>
          <w14:textFill>
            <w14:solidFill>
              <w14:schemeClr w14:val="tx1"/>
            </w14:solidFill>
          </w14:textFill>
        </w:rPr>
        <w:t>险以及其它的伴随服务，例如安装、调试、提供技术</w:t>
      </w:r>
      <w:r>
        <w:rPr>
          <w:rFonts w:hint="eastAsia" w:asciiTheme="minorEastAsia" w:hAnsiTheme="minorEastAsia" w:eastAsiaTheme="minorEastAsia"/>
          <w:color w:val="000000" w:themeColor="text1"/>
          <w:szCs w:val="21"/>
          <w14:textFill>
            <w14:solidFill>
              <w14:schemeClr w14:val="tx1"/>
            </w14:solidFill>
          </w14:textFill>
        </w:rPr>
        <w:t>协</w:t>
      </w:r>
      <w:r>
        <w:rPr>
          <w:rFonts w:hint="eastAsia" w:asciiTheme="minorEastAsia" w:hAnsiTheme="minorEastAsia" w:eastAsiaTheme="minorEastAsia"/>
          <w:color w:val="000000" w:themeColor="text1"/>
          <w:spacing w:val="2"/>
          <w:szCs w:val="21"/>
          <w14:textFill>
            <w14:solidFill>
              <w14:schemeClr w14:val="tx1"/>
            </w14:solidFill>
          </w14:textFill>
        </w:rPr>
        <w:t>助、培训和合同中规定</w:t>
      </w:r>
      <w:r>
        <w:rPr>
          <w:rFonts w:hint="eastAsia" w:asciiTheme="minorEastAsia" w:hAnsiTheme="minorEastAsia" w:eastAsiaTheme="minorEastAsia"/>
          <w:color w:val="000000" w:themeColor="text1"/>
          <w:szCs w:val="21"/>
          <w14:textFill>
            <w14:solidFill>
              <w14:schemeClr w14:val="tx1"/>
            </w14:solidFill>
          </w14:textFill>
        </w:rPr>
        <w:t>乙方应承担的其它义务</w:t>
      </w:r>
    </w:p>
    <w:p>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6</w:t>
      </w:r>
      <w:r>
        <w:rPr>
          <w:rFonts w:hint="eastAsia" w:cs="宋体" w:asciiTheme="minorEastAsia" w:hAnsiTheme="minorEastAsia" w:eastAsiaTheme="minorEastAsia"/>
          <w:color w:val="000000" w:themeColor="text1"/>
          <w:kern w:val="0"/>
          <w:szCs w:val="21"/>
          <w14:textFill>
            <w14:solidFill>
              <w14:schemeClr w14:val="tx1"/>
            </w14:solidFill>
          </w14:textFill>
        </w:rPr>
        <w:t>进口产品是指符合《政府采购进口产品管理办法》（财库〔2007〕119号）和《关于政府采购进口产品管理有关问题的通知》（财办库〔2008〕248号）文件规定的产品。除</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cs="宋体" w:asciiTheme="minorEastAsia" w:hAnsiTheme="minorEastAsia" w:eastAsiaTheme="minorEastAsia"/>
          <w:color w:val="000000" w:themeColor="text1"/>
          <w:kern w:val="0"/>
          <w:szCs w:val="21"/>
          <w14:textFill>
            <w14:solidFill>
              <w14:schemeClr w14:val="tx1"/>
            </w14:solidFill>
          </w14:textFill>
        </w:rPr>
        <w:t>另有规定外，采购项目拒绝进口产品参加投标。本款规定同意购买进口产品的，不得限制满足招标文件要求的国内产品参与投标竞争。</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 投标人的资格要求</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3.1投标人应当符合“投标邀请”规定的投标人资格条件。</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规定接受联合体形式投标的，投标人除应符合本章第3.1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r>
        <w:rPr>
          <w:rFonts w:hint="eastAsia" w:asciiTheme="minorEastAsia" w:hAnsiTheme="minorEastAsia" w:eastAsiaTheme="minorEastAsia"/>
          <w:color w:val="000000" w:themeColor="text1"/>
          <w:szCs w:val="21"/>
          <w14:textFill>
            <w14:solidFill>
              <w14:schemeClr w14:val="tx1"/>
            </w14:solidFill>
          </w14:textFill>
        </w:rPr>
        <w:t xml:space="preserve">规定外，还应遵守以下规定： </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（l）联合体中有同类资质的供应商按照联合体分工承担相同工作的，应当按照资质等级较低的供应商确定资质等级。</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（2）联合体各方应按招标文件提供的格式签订联合体协议书，明确联合体牵头人和各方的权利义务、合同工作量比例；</w:t>
      </w:r>
    </w:p>
    <w:p>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lang w:val="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（3）联合体各方签订联合体协议书后，</w:t>
      </w:r>
      <w:r>
        <w:rPr>
          <w:rFonts w:hint="eastAsia" w:cs="宋体" w:asciiTheme="minorEastAsia" w:hAnsiTheme="minorEastAsia" w:eastAsiaTheme="minorEastAsia"/>
          <w:color w:val="000000" w:themeColor="text1"/>
          <w:kern w:val="0"/>
          <w:szCs w:val="21"/>
          <w:lang w:val="zh-CN"/>
          <w14:textFill>
            <w14:solidFill>
              <w14:schemeClr w14:val="tx1"/>
            </w14:solidFill>
          </w14:textFill>
        </w:rPr>
        <w:t>不得再单独参加或者与其他投标人组成新的联合体参加</w:t>
      </w:r>
      <w:r>
        <w:rPr>
          <w:rFonts w:hint="eastAsia" w:cs="宋体" w:asciiTheme="minorEastAsia" w:hAnsiTheme="minorEastAsia" w:eastAsiaTheme="minorEastAsia"/>
          <w:color w:val="000000" w:themeColor="text1"/>
          <w:kern w:val="0"/>
          <w:szCs w:val="21"/>
          <w14:textFill>
            <w14:solidFill>
              <w14:schemeClr w14:val="tx1"/>
            </w14:solidFill>
          </w14:textFill>
        </w:rPr>
        <w:t>本项目</w:t>
      </w:r>
      <w:r>
        <w:rPr>
          <w:rFonts w:hint="eastAsia" w:cs="宋体" w:asciiTheme="minorEastAsia" w:hAnsiTheme="minorEastAsia" w:eastAsiaTheme="minorEastAsia"/>
          <w:color w:val="000000" w:themeColor="text1"/>
          <w:kern w:val="0"/>
          <w:szCs w:val="21"/>
          <w:lang w:val="zh-CN"/>
          <w14:textFill>
            <w14:solidFill>
              <w14:schemeClr w14:val="tx1"/>
            </w14:solidFill>
          </w14:textFill>
        </w:rPr>
        <w:t>同一合同项下的采购活动。</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4. 投标费用 </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4.1投标人应自行承担所有参与投标的相关费用，不论投标的结果如何，采购人或者采购代理机构均无义务和责任承担这些费用。</w:t>
      </w:r>
    </w:p>
    <w:p>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5. </w:t>
      </w:r>
      <w:r>
        <w:rPr>
          <w:rFonts w:hint="eastAsia" w:asciiTheme="minorEastAsia" w:hAnsiTheme="minorEastAsia" w:eastAsiaTheme="minorEastAsia"/>
          <w:b/>
          <w:color w:val="000000" w:themeColor="text1"/>
          <w:sz w:val="24"/>
          <w14:textFill>
            <w14:solidFill>
              <w14:schemeClr w14:val="tx1"/>
            </w14:solidFill>
          </w14:textFill>
        </w:rPr>
        <w:t>保密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5.1参与招标投标活动的各方应对招标文件和投标文件中的商业和技术等秘密保密，违者应对由此造成的后果承担法律责任。</w:t>
      </w:r>
    </w:p>
    <w:p>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6．组织现场考察或者召开答疑会</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6.1采购人或者采购代理机构可以在</w:t>
      </w:r>
      <w:r>
        <w:rPr>
          <w:rFonts w:hint="eastAsia" w:asciiTheme="minorEastAsia" w:hAnsiTheme="minorEastAsia" w:eastAsiaTheme="minorEastAsia"/>
          <w:color w:val="000000" w:themeColor="text1"/>
          <w:szCs w:val="21"/>
          <w14:textFill>
            <w14:solidFill>
              <w14:schemeClr w14:val="tx1"/>
            </w14:solidFill>
          </w14:textFill>
        </w:rPr>
        <w:t>招标文件提供期限截止后，组织已获取招标文件的潜在投标人现场考察或者召开开标前答疑会。</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6.2获取招标文件的潜在投标人应按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规定参加现场考察或者答疑会；如不参加，其风险由其自行承担。</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6.3潜在投标人现场考察或者参加答疑会的费用由自己承担，现场考察期间所发生的人身伤害及财产损失由自己负责。</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6.4采购人或者采购代理机构不对投标人据此而做出的推论、理解和结论负责。投标人一旦中标，不得以任何借口，提出额外补偿，或延长合同期限的要求。</w:t>
      </w:r>
    </w:p>
    <w:p>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2" w:name="_Toc29518"/>
      <w:bookmarkStart w:id="23" w:name="_Toc8983711"/>
      <w:r>
        <w:rPr>
          <w:rFonts w:hint="eastAsia" w:ascii="黑体" w:hAnsi="黑体" w:eastAsia="黑体"/>
          <w:color w:val="000000" w:themeColor="text1"/>
          <w:sz w:val="28"/>
          <w:szCs w:val="28"/>
          <w14:textFill>
            <w14:solidFill>
              <w14:schemeClr w14:val="tx1"/>
            </w14:solidFill>
          </w14:textFill>
        </w:rPr>
        <w:t>二、招标文件</w:t>
      </w:r>
      <w:bookmarkEnd w:id="22"/>
      <w:bookmarkEnd w:id="23"/>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7. 招标文件的构成</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7.1 招标文件共七章，各章内容如下：</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第一章 投标邀请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第二章 投标须知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第三章 资格审查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第四章 评标方法及标准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第五章 采购需求</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第六章 政府采购合同</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第七章 投标文件的组成</w:t>
      </w:r>
    </w:p>
    <w:p>
      <w:pPr>
        <w:adjustRightInd w:val="0"/>
        <w:snapToGrid w:val="0"/>
        <w:spacing w:before="157" w:beforeLines="50" w:line="360" w:lineRule="auto"/>
        <w:ind w:firstLine="420" w:firstLineChars="200"/>
        <w:jc w:val="left"/>
        <w:rPr>
          <w:rFonts w:cs="宋体"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7.2采购人或者采购代理机构在</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bCs/>
          <w:color w:val="000000" w:themeColor="text1"/>
          <w:szCs w:val="21"/>
          <w14:textFill>
            <w14:solidFill>
              <w14:schemeClr w14:val="tx1"/>
            </w14:solidFill>
          </w14:textFill>
        </w:rPr>
        <w:t>规定的</w:t>
      </w:r>
      <w:r>
        <w:rPr>
          <w:rFonts w:hint="eastAsia" w:asciiTheme="minorEastAsia" w:hAnsiTheme="minorEastAsia" w:eastAsiaTheme="minorEastAsia"/>
          <w:color w:val="000000" w:themeColor="text1"/>
          <w:szCs w:val="21"/>
          <w14:textFill>
            <w14:solidFill>
              <w14:schemeClr w14:val="tx1"/>
            </w14:solidFill>
          </w14:textFill>
        </w:rPr>
        <w:t>提交投标文件截止时间前</w:t>
      </w:r>
      <w:r>
        <w:rPr>
          <w:rFonts w:hint="eastAsia" w:cs="宋体" w:asciiTheme="minorEastAsia" w:hAnsiTheme="minorEastAsia" w:eastAsiaTheme="minorEastAsia"/>
          <w:color w:val="000000" w:themeColor="text1"/>
          <w:szCs w:val="21"/>
          <w14:textFill>
            <w14:solidFill>
              <w14:schemeClr w14:val="tx1"/>
            </w14:solidFill>
          </w14:textFill>
        </w:rPr>
        <w:t>对招标文件所作的澄清或者修改，构成招标文件的组成部分。</w:t>
      </w:r>
    </w:p>
    <w:p>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8．偏离与实质性响应</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8.1投标人应当按照招标文件的要求编制投标文件。投标文件应当对招标文件提出的要求和条件作出明确响应。</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8.2偏离是指投标文件不响应或者不满足招标文件提出的要求和条件，分为实质性偏离和非实质性偏离。</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8.3招标文件中用“★”符号标明的条款为实质性要求和条件，对其中任何一条的偏离，为实质性偏离，其投标无效。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8.4投标</w:t>
      </w:r>
      <w:r>
        <w:rPr>
          <w:rFonts w:hint="eastAsia" w:asciiTheme="minorEastAsia" w:hAnsiTheme="minorEastAsia" w:eastAsiaTheme="minorEastAsia"/>
          <w:color w:val="000000" w:themeColor="text1"/>
          <w:szCs w:val="21"/>
          <w14:textFill>
            <w14:solidFill>
              <w14:schemeClr w14:val="tx1"/>
            </w14:solidFill>
          </w14:textFill>
        </w:rPr>
        <w:t>文件偏离招标文件的非实质性要求和条件，为非实质性偏离。非实质性偏离的范围和幅度超出</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规定的，其</w:t>
      </w:r>
      <w:r>
        <w:rPr>
          <w:rFonts w:hint="eastAsia" w:asciiTheme="minorEastAsia" w:hAnsiTheme="minorEastAsia" w:eastAsiaTheme="minorEastAsia"/>
          <w:color w:val="000000" w:themeColor="text1"/>
          <w14:textFill>
            <w14:solidFill>
              <w14:schemeClr w14:val="tx1"/>
            </w14:solidFill>
          </w14:textFill>
        </w:rPr>
        <w:t>投标无效。</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9. 询问</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9.1潜在投标人应仔细阅读和检查招标文件的全部内容。如有疑问，可以向采购人或者采购代理机构提出询问。</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10. 招标文件的澄清或者修改</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10.1采购人或者采购代理机构对已发出的招标文件进行必要澄清或者修改的，将在</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14:textFill>
            <w14:solidFill>
              <w14:schemeClr w14:val="tx1"/>
            </w14:solidFill>
          </w14:textFill>
        </w:rPr>
        <w:t>指定的媒体上发布澄清或者更正公告。</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10.2澄清或者修改</w:t>
      </w:r>
      <w:r>
        <w:rPr>
          <w:rFonts w:hint="eastAsia" w:asciiTheme="minorEastAsia" w:hAnsiTheme="minorEastAsia" w:eastAsiaTheme="minorEastAsia"/>
          <w:color w:val="000000" w:themeColor="text1"/>
          <w14:textFill>
            <w14:solidFill>
              <w14:schemeClr w14:val="tx1"/>
            </w14:solidFill>
          </w14:textFill>
        </w:rPr>
        <w:t>的</w:t>
      </w:r>
      <w:r>
        <w:rPr>
          <w:rFonts w:hint="eastAsia" w:cs="宋体" w:asciiTheme="minorEastAsia" w:hAnsiTheme="minorEastAsia" w:eastAsiaTheme="minorEastAsia"/>
          <w:color w:val="000000" w:themeColor="text1"/>
          <w:kern w:val="0"/>
          <w:szCs w:val="21"/>
          <w14:textFill>
            <w14:solidFill>
              <w14:schemeClr w14:val="tx1"/>
            </w14:solidFill>
          </w14:textFill>
        </w:rPr>
        <w:t>内容可能影响投标文件编制的，采购人或者采购代理机构</w:t>
      </w:r>
      <w:r>
        <w:rPr>
          <w:rFonts w:hint="eastAsia" w:asciiTheme="minorEastAsia" w:hAnsiTheme="minorEastAsia" w:eastAsiaTheme="minorEastAsia"/>
          <w:color w:val="000000" w:themeColor="text1"/>
          <w14:textFill>
            <w14:solidFill>
              <w14:schemeClr w14:val="tx1"/>
            </w14:solidFill>
          </w14:textFill>
        </w:rPr>
        <w:t>将</w:t>
      </w:r>
      <w:r>
        <w:rPr>
          <w:rFonts w:hint="eastAsia" w:cs="宋体" w:asciiTheme="minorEastAsia" w:hAnsiTheme="minorEastAsia" w:eastAsiaTheme="minorEastAsia"/>
          <w:color w:val="000000" w:themeColor="text1"/>
          <w:kern w:val="0"/>
          <w:szCs w:val="21"/>
          <w14:textFill>
            <w14:solidFill>
              <w14:schemeClr w14:val="tx1"/>
            </w14:solidFill>
          </w14:textFill>
        </w:rPr>
        <w:t>在提交投标文件截止时间15日前，</w:t>
      </w:r>
      <w:r>
        <w:rPr>
          <w:rFonts w:hint="eastAsia" w:asciiTheme="minorEastAsia" w:hAnsiTheme="minorEastAsia" w:eastAsiaTheme="minorEastAsia"/>
          <w:color w:val="000000" w:themeColor="text1"/>
          <w14:textFill>
            <w14:solidFill>
              <w14:schemeClr w14:val="tx1"/>
            </w14:solidFill>
          </w14:textFill>
        </w:rPr>
        <w:t>以书面形式通知所有获取招标文件的潜在投标人；不足15日的，将相应延长提交投标文件的截止时间。</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10.3</w:t>
      </w:r>
      <w:r>
        <w:rPr>
          <w:rFonts w:hint="eastAsia" w:asciiTheme="minorEastAsia" w:hAnsiTheme="minorEastAsia" w:eastAsiaTheme="minorEastAsia"/>
          <w:color w:val="000000" w:themeColor="text1"/>
          <w14:textFill>
            <w14:solidFill>
              <w14:schemeClr w14:val="tx1"/>
            </w14:solidFill>
          </w14:textFill>
        </w:rPr>
        <w:t>招标文件的提供期限届满后，获取招标文件的潜在投标人不足3家的，可以顺延提供期限，并在</w:t>
      </w:r>
      <w:r>
        <w:rPr>
          <w:rFonts w:hint="eastAsia" w:asciiTheme="minorEastAsia" w:hAnsiTheme="minorEastAsia" w:eastAsiaTheme="minorEastAsia"/>
          <w:bCs/>
          <w:color w:val="000000" w:themeColor="text1"/>
          <w:szCs w:val="21"/>
          <w14:textFill>
            <w14:solidFill>
              <w14:schemeClr w14:val="tx1"/>
            </w14:solidFill>
          </w14:textFill>
        </w:rPr>
        <w:t>本章第10.1款</w:t>
      </w:r>
      <w:r>
        <w:rPr>
          <w:rFonts w:hint="eastAsia" w:asciiTheme="minorEastAsia" w:hAnsiTheme="minorEastAsia" w:eastAsiaTheme="minorEastAsia"/>
          <w:bCs/>
          <w:color w:val="000000" w:themeColor="text1"/>
          <w14:textFill>
            <w14:solidFill>
              <w14:schemeClr w14:val="tx1"/>
            </w14:solidFill>
          </w14:textFill>
        </w:rPr>
        <w:t>规</w:t>
      </w:r>
      <w:r>
        <w:rPr>
          <w:rFonts w:hint="eastAsia" w:asciiTheme="minorEastAsia" w:hAnsiTheme="minorEastAsia" w:eastAsiaTheme="minorEastAsia"/>
          <w:color w:val="000000" w:themeColor="text1"/>
          <w14:textFill>
            <w14:solidFill>
              <w14:schemeClr w14:val="tx1"/>
            </w14:solidFill>
          </w14:textFill>
        </w:rPr>
        <w:t>定的媒体上发布更正公告。</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10.4 通过电子招标投标交易平台下载招标文件的，应及时关注</w:t>
      </w:r>
      <w:r>
        <w:rPr>
          <w:rFonts w:hint="eastAsia" w:asciiTheme="minorEastAsia" w:hAnsiTheme="minorEastAsia" w:eastAsiaTheme="minorEastAsia"/>
          <w:bCs/>
          <w:color w:val="000000" w:themeColor="text1"/>
          <w:szCs w:val="21"/>
          <w14:textFill>
            <w14:solidFill>
              <w14:schemeClr w14:val="tx1"/>
            </w14:solidFill>
          </w14:textFill>
        </w:rPr>
        <w:t>本章第10.1款</w:t>
      </w:r>
      <w:r>
        <w:rPr>
          <w:rFonts w:hint="eastAsia" w:asciiTheme="minorEastAsia" w:hAnsiTheme="minorEastAsia" w:eastAsiaTheme="minorEastAsia"/>
          <w:bCs/>
          <w:color w:val="000000" w:themeColor="text1"/>
          <w14:textFill>
            <w14:solidFill>
              <w14:schemeClr w14:val="tx1"/>
            </w14:solidFill>
          </w14:textFill>
        </w:rPr>
        <w:t>规</w:t>
      </w:r>
      <w:r>
        <w:rPr>
          <w:rFonts w:hint="eastAsia" w:asciiTheme="minorEastAsia" w:hAnsiTheme="minorEastAsia" w:eastAsiaTheme="minorEastAsia"/>
          <w:color w:val="000000" w:themeColor="text1"/>
          <w14:textFill>
            <w14:solidFill>
              <w14:schemeClr w14:val="tx1"/>
            </w14:solidFill>
          </w14:textFill>
        </w:rPr>
        <w:t>定的媒体发布的澄清或者修改公告，采购代理机构不再书面通知。</w:t>
      </w:r>
    </w:p>
    <w:p>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4" w:name="_Toc1"/>
      <w:bookmarkStart w:id="25" w:name="_Toc8983712"/>
      <w:r>
        <w:rPr>
          <w:rFonts w:hint="eastAsia" w:ascii="黑体" w:hAnsi="黑体" w:eastAsia="黑体"/>
          <w:color w:val="000000" w:themeColor="text1"/>
          <w:sz w:val="28"/>
          <w:szCs w:val="28"/>
          <w14:textFill>
            <w14:solidFill>
              <w14:schemeClr w14:val="tx1"/>
            </w14:solidFill>
          </w14:textFill>
        </w:rPr>
        <w:t>三、投标文件</w:t>
      </w:r>
      <w:bookmarkEnd w:id="24"/>
      <w:bookmarkEnd w:id="25"/>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11. 投标语言</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11.1除专用术语外，投标人提交的投标文件及投标人与采购代理机构就有关投标的所有来往函电均使用中文。投标人可以提交其它语言的资料，但应附有中文注释，有差异时以中文为准。</w:t>
      </w:r>
    </w:p>
    <w:p>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12. </w:t>
      </w:r>
      <w:r>
        <w:rPr>
          <w:rFonts w:hint="eastAsia" w:asciiTheme="minorEastAsia" w:hAnsiTheme="minorEastAsia" w:eastAsiaTheme="minorEastAsia"/>
          <w:b/>
          <w:color w:val="000000" w:themeColor="text1"/>
          <w:sz w:val="24"/>
          <w14:textFill>
            <w14:solidFill>
              <w14:schemeClr w14:val="tx1"/>
            </w14:solidFill>
          </w14:textFill>
        </w:rPr>
        <w:t>计量单位</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12.1所有计量均采用中华人民共和国法定计量单位。</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13. </w:t>
      </w:r>
      <w:r>
        <w:rPr>
          <w:rFonts w:hint="eastAsia" w:asciiTheme="minorEastAsia" w:hAnsiTheme="minorEastAsia" w:eastAsiaTheme="minorEastAsia"/>
          <w:b/>
          <w:bCs/>
          <w:color w:val="000000" w:themeColor="text1"/>
          <w:sz w:val="24"/>
          <w14:textFill>
            <w14:solidFill>
              <w14:schemeClr w14:val="tx1"/>
            </w14:solidFill>
          </w14:textFill>
        </w:rPr>
        <w:t>投标文件的组成</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13.1投标文件由第一部分资格证明文件和第二部分商务和技术文件组成。投标文件内容如下：</w:t>
      </w:r>
    </w:p>
    <w:p>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第一部分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资格证明文件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一、法人身份证明</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二、法定代表人授权委托书</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三、投标人提供的资格证明文件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四、投标保证金</w:t>
      </w:r>
    </w:p>
    <w:p>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第二部分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商务技术文件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商务部分</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五、投标函</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六、开标一览表、分项报价明细表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七、商务响应/偏离表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八、享受政府采购政策优惠的证明资料和清单表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九、投标人认为需提供的其他资料</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技术部分</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十、货物说明一览表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十一、技术响应/偏离表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十二、投标货物符合招标文件规定的证明文件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十三、投标人认为需提供的其他资料</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13.2</w:t>
      </w:r>
      <w:r>
        <w:rPr>
          <w:rFonts w:hint="eastAsia" w:asciiTheme="minorEastAsia" w:hAnsiTheme="minorEastAsia" w:eastAsiaTheme="minorEastAsia"/>
          <w:b/>
          <w:color w:val="000000" w:themeColor="text1"/>
          <w:szCs w:val="21"/>
          <w14:textFill>
            <w14:solidFill>
              <w14:schemeClr w14:val="tx1"/>
            </w14:solidFill>
          </w14:textFill>
        </w:rPr>
        <w:t>投标文件第一部分资格证明文件应单独装订成册，不得混装在第二部分商务和技术文件中。否则，投标人应承担装订失误所产生任何后果（如“资格证明文件”资料装订在“商务和技术文件”中，将导致资格审查不合格）。</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13.3投标人可以编制资格审查索引表、符合性审查索引表、评审索引表，以方便采购人及采购代理机构、评标委员会在资格审查及评审时查阅。资格审查索引表应置于</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资格证明文件</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的第一页，符合性审查索引表、评审索引表应置于</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商务和技术文件</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的第一、二页。</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13.4根据《政府采购法》第四十二条的规定，投标人无论中标与否，其投标文件不予退还。</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14. 投标报价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14.1投标人应以招标文件规定的供货及服务要求、责任范围和合同条件为基础，按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及第五章采购需求的有关规定进行报价。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14.</w:t>
      </w:r>
      <w:r>
        <w:rPr>
          <w:rFonts w:hint="eastAsia" w:asciiTheme="minorEastAsia" w:hAnsiTheme="minorEastAsia" w:eastAsiaTheme="minorEastAsia"/>
          <w:color w:val="000000" w:themeColor="text1"/>
          <w:szCs w:val="21"/>
          <w14:textFill>
            <w14:solidFill>
              <w14:schemeClr w14:val="tx1"/>
            </w14:solidFill>
          </w14:textFill>
        </w:rPr>
        <w:t>2投标人的投标报价不得超过采购预算，也不得超过最高限价(招标文件设定最高限价的)，否则其投标无效。采购项目采购预算、最高限价(如果设定)见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14.3 投标人应在分项报价明细表中对每项内容给予详细分项</w:t>
      </w:r>
      <w:r>
        <w:rPr>
          <w:rFonts w:hint="eastAsia" w:asciiTheme="minorEastAsia" w:hAnsiTheme="minorEastAsia" w:eastAsiaTheme="minorEastAsia"/>
          <w:color w:val="000000" w:themeColor="text1"/>
          <w14:textFill>
            <w14:solidFill>
              <w14:schemeClr w14:val="tx1"/>
            </w14:solidFill>
          </w14:textFill>
        </w:rPr>
        <w:t>报价。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14.4投标人对采购项目内容只允许有一个投标报价，且不接受赠送及“零”报价，否则其投标无效。投标人提交两个以上投标报价不同的“开标一览表”，且未按本章第23.1款要求标注“修改”或未书面声明哪个有效的，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14.5</w:t>
      </w:r>
      <w:r>
        <w:rPr>
          <w:rFonts w:hint="eastAsia" w:asciiTheme="minorEastAsia" w:hAnsiTheme="minorEastAsia" w:eastAsiaTheme="minorEastAsia"/>
          <w:color w:val="000000" w:themeColor="text1"/>
          <w14:textFill>
            <w14:solidFill>
              <w14:schemeClr w14:val="tx1"/>
            </w14:solidFill>
          </w14:textFill>
        </w:rPr>
        <w:t>投标文件中标明的价格在合同执行过程中是固定不变的，不得以任何理由予以变更。任何包含价格调整要求和条件的投标，其投标无效。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14.6投标人在提交投标文件的截止时间前修改“开标一览表”中的投标总价的，应同时修改投标文件中“分项报价明细表”“政府采购价格评审优惠清单报价表”“政府采购优先采购清单报价表”以及“联合体协议书”（如果影响）</w:t>
      </w:r>
      <w:r>
        <w:rPr>
          <w:rFonts w:hint="eastAsia"/>
          <w:color w:val="000000" w:themeColor="text1"/>
          <w14:textFill>
            <w14:solidFill>
              <w14:schemeClr w14:val="tx1"/>
            </w14:solidFill>
          </w14:textFill>
        </w:rPr>
        <w:t>等</w:t>
      </w:r>
      <w:r>
        <w:rPr>
          <w:rFonts w:hint="eastAsia" w:asciiTheme="minorEastAsia" w:hAnsiTheme="minorEastAsia" w:eastAsiaTheme="minorEastAsia"/>
          <w:color w:val="000000" w:themeColor="text1"/>
          <w14:textFill>
            <w14:solidFill>
              <w14:schemeClr w14:val="tx1"/>
            </w14:solidFill>
          </w14:textFill>
        </w:rPr>
        <w:t>相关内容。若投标人未按此要求修改，影响投标报价评审，其风险和责任由投标人</w:t>
      </w:r>
      <w:r>
        <w:rPr>
          <w:rFonts w:hint="eastAsia" w:asciiTheme="minorEastAsia" w:hAnsiTheme="minorEastAsia" w:eastAsiaTheme="minorEastAsia"/>
          <w:color w:val="000000" w:themeColor="text1"/>
          <w:lang w:eastAsia="zh-CN"/>
          <w14:textFill>
            <w14:solidFill>
              <w14:schemeClr w14:val="tx1"/>
            </w14:solidFill>
          </w14:textFill>
        </w:rPr>
        <w:t>自己</w:t>
      </w:r>
      <w:r>
        <w:rPr>
          <w:rFonts w:hint="eastAsia" w:asciiTheme="minorEastAsia" w:hAnsiTheme="minorEastAsia" w:eastAsiaTheme="minorEastAsia"/>
          <w:color w:val="000000" w:themeColor="text1"/>
          <w14:textFill>
            <w14:solidFill>
              <w14:schemeClr w14:val="tx1"/>
            </w14:solidFill>
          </w14:textFill>
        </w:rPr>
        <w:t>承担。</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15. </w:t>
      </w:r>
      <w:r>
        <w:rPr>
          <w:rFonts w:hint="eastAsia" w:asciiTheme="minorEastAsia" w:hAnsiTheme="minorEastAsia" w:eastAsiaTheme="minorEastAsia"/>
          <w:b/>
          <w:bCs/>
          <w:color w:val="000000" w:themeColor="text1"/>
          <w:sz w:val="24"/>
          <w14:textFill>
            <w14:solidFill>
              <w14:schemeClr w14:val="tx1"/>
            </w14:solidFill>
          </w14:textFill>
        </w:rPr>
        <w:t>投标人的资格证明文件</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15.1</w:t>
      </w:r>
      <w:r>
        <w:rPr>
          <w:rFonts w:hint="eastAsia" w:asciiTheme="minorEastAsia" w:hAnsiTheme="minorEastAsia" w:eastAsiaTheme="minorEastAsia"/>
          <w:color w:val="000000" w:themeColor="text1"/>
          <w:szCs w:val="21"/>
          <w14:textFill>
            <w14:solidFill>
              <w14:schemeClr w14:val="tx1"/>
            </w14:solidFill>
          </w14:textFill>
        </w:rPr>
        <w:t>除</w:t>
      </w:r>
      <w:r>
        <w:rPr>
          <w:rFonts w:hint="eastAsia" w:asciiTheme="minorEastAsia" w:hAnsi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另有规</w:t>
      </w:r>
      <w:r>
        <w:rPr>
          <w:rFonts w:hint="eastAsia" w:asciiTheme="minorEastAsia" w:hAnsiTheme="minorEastAsia" w:eastAsiaTheme="minorEastAsia"/>
          <w:color w:val="000000" w:themeColor="text1"/>
          <w14:textFill>
            <w14:solidFill>
              <w14:schemeClr w14:val="tx1"/>
            </w14:solidFill>
          </w14:textFill>
        </w:rPr>
        <w:t>定外，投标人应按下列规定提供资格证明文件，并按本章第13.2款要求装订在投标文件的第一部分资格证明文件中。</w:t>
      </w:r>
    </w:p>
    <w:p>
      <w:pPr>
        <w:adjustRightInd w:val="0"/>
        <w:snapToGrid w:val="0"/>
        <w:spacing w:before="157" w:beforeLines="50" w:line="360" w:lineRule="auto"/>
        <w:ind w:firstLine="420" w:firstLineChars="200"/>
        <w:rPr>
          <w:rFonts w:asciiTheme="minorEastAsia" w:hAnsiTheme="minorEastAsia"/>
          <w:b/>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w:t>
      </w:r>
      <w:r>
        <w:rPr>
          <w:rFonts w:hint="eastAsia" w:asciiTheme="minorEastAsia" w:hAnsiTheme="minorEastAsia" w:eastAsiaTheme="minorEastAsia"/>
          <w:b/>
          <w:color w:val="000000" w:themeColor="text1"/>
          <w14:textFill>
            <w14:solidFill>
              <w14:schemeClr w14:val="tx1"/>
            </w14:solidFill>
          </w14:textFill>
        </w:rPr>
        <w:t>投标人资格声明(格式)</w:t>
      </w:r>
    </w:p>
    <w:p>
      <w:pPr>
        <w:adjustRightInd w:val="0"/>
        <w:snapToGrid w:val="0"/>
        <w:spacing w:before="157"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w:t>
      </w:r>
      <w:r>
        <w:rPr>
          <w:rFonts w:hint="eastAsia" w:asciiTheme="minorEastAsia" w:hAnsiTheme="minorEastAsia"/>
          <w:b/>
          <w:color w:val="000000" w:themeColor="text1"/>
          <w14:textFill>
            <w14:solidFill>
              <w14:schemeClr w14:val="tx1"/>
            </w14:solidFill>
          </w14:textFill>
        </w:rPr>
        <w:t>法人或者其他组织的营业执照等主体资格证明文件，自然人的身份证明</w:t>
      </w:r>
      <w:r>
        <w:rPr>
          <w:rFonts w:hint="eastAsia" w:asciiTheme="minorEastAsia" w:hAnsiTheme="minorEastAsia"/>
          <w:color w:val="000000" w:themeColor="text1"/>
          <w14:textFill>
            <w14:solidFill>
              <w14:schemeClr w14:val="tx1"/>
            </w14:solidFill>
          </w14:textFill>
        </w:rPr>
        <w:t>：投标人为营利法人的，应提交营业执照的复印件；投标人为依法允许经营的事业单位的，应提交事业单位法人证书复印件；投标人为非法人组织的，应提交依法登记证书复印件；</w:t>
      </w:r>
      <w:r>
        <w:rPr>
          <w:rFonts w:hint="eastAsia" w:asciiTheme="minorEastAsia" w:hAnsiTheme="minorEastAsia"/>
          <w:color w:val="000000" w:themeColor="text1"/>
          <w:szCs w:val="21"/>
          <w14:textFill>
            <w14:solidFill>
              <w14:schemeClr w14:val="tx1"/>
            </w14:solidFill>
          </w14:textFill>
        </w:rPr>
        <w:t>投标人为个体工商户的，应提交个体工商户营业执照复印件；</w:t>
      </w:r>
      <w:r>
        <w:rPr>
          <w:rFonts w:hint="eastAsia" w:asciiTheme="minorEastAsia" w:hAnsiTheme="minorEastAsia"/>
          <w:color w:val="000000" w:themeColor="text1"/>
          <w14:textFill>
            <w14:solidFill>
              <w14:schemeClr w14:val="tx1"/>
            </w14:solidFill>
          </w14:textFill>
        </w:rPr>
        <w:t>投标人为自然人的，应提交自然人的身份证明复印件。</w:t>
      </w:r>
    </w:p>
    <w:p>
      <w:pPr>
        <w:adjustRightInd w:val="0"/>
        <w:snapToGrid w:val="0"/>
        <w:spacing w:before="157" w:beforeLines="50" w:line="360" w:lineRule="auto"/>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w:t>
      </w:r>
      <w:r>
        <w:rPr>
          <w:rFonts w:hint="eastAsia" w:asciiTheme="minorEastAsia" w:hAnsiTheme="minorEastAsia"/>
          <w:b/>
          <w:color w:val="000000" w:themeColor="text1"/>
          <w14:textFill>
            <w14:solidFill>
              <w14:schemeClr w14:val="tx1"/>
            </w14:solidFill>
          </w14:textFill>
        </w:rPr>
        <w:t>符合特定资格条件证明材料复印件或者情况说明原件</w:t>
      </w:r>
      <w:r>
        <w:rPr>
          <w:rFonts w:hint="eastAsia" w:asciiTheme="minorEastAsia" w:hAnsiTheme="minorEastAsia"/>
          <w:color w:val="000000" w:themeColor="text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具体要求见</w:t>
      </w:r>
      <w:r>
        <w:rPr>
          <w:rFonts w:hint="eastAsia" w:asciiTheme="minorEastAsia" w:hAnsiTheme="minorEastAsia"/>
          <w:b/>
          <w:color w:val="000000" w:themeColor="text1"/>
          <w:szCs w:val="21"/>
          <w14:textFill>
            <w14:solidFill>
              <w14:schemeClr w14:val="tx1"/>
            </w14:solidFill>
          </w14:textFill>
        </w:rPr>
        <w:t>【投标须知前附表】</w:t>
      </w:r>
      <w:r>
        <w:rPr>
          <w:rFonts w:hint="eastAsia" w:asciiTheme="minorEastAsia" w:hAnsi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w:t>
      </w:r>
      <w:r>
        <w:rPr>
          <w:rFonts w:hint="eastAsia" w:asciiTheme="minorEastAsia" w:hAnsiTheme="minorEastAsia"/>
          <w:color w:val="000000" w:themeColor="text1"/>
          <w:szCs w:val="21"/>
          <w14:textFill>
            <w14:solidFill>
              <w14:schemeClr w14:val="tx1"/>
            </w14:solidFill>
          </w14:textFill>
        </w:rPr>
        <w:t>单位负责人为同一人或者从在直接控股、管理关系的书面说明。</w:t>
      </w:r>
    </w:p>
    <w:p>
      <w:pPr>
        <w:adjustRightInd w:val="0"/>
        <w:snapToGrid w:val="0"/>
        <w:spacing w:before="157"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15.2投标人以联合体形式投标的，除应提交联合协议(格式)外，参加联合体的各方均应提交上款资格证明材料。</w:t>
      </w:r>
    </w:p>
    <w:p>
      <w:pPr>
        <w:adjustRightInd w:val="0"/>
        <w:snapToGrid w:val="0"/>
        <w:spacing w:before="157"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15.3上述投标人的资格证明文件均应为有效文件并加盖投标人单位章，并按招标文件规定签署。</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16. 投标货物及服务符合招标文件规定的证明文件</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16.1投标人应当提交其拟供的合同项下货物及其服务符合招标文件规定的证明文件,该证明文件作为投标文件的一部分。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16.2上述证明文件可以是文字资料、图表、数据、证书等资料，包括但不限于：</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（1）货物主要技术指标和性能的详细说明。对有具体参数要求的指标，投标人应提供具体参数值；</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（2）货物的品牌型号、制造商及原产地等说明；</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（3）招标文件第五章采购需求要求的其它文件。</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16.3 </w:t>
      </w:r>
      <w:r>
        <w:rPr>
          <w:rFonts w:ascii="宋体" w:hAnsi="宋体"/>
          <w:color w:val="000000" w:themeColor="text1"/>
          <w:szCs w:val="21"/>
          <w14:textFill>
            <w14:solidFill>
              <w14:schemeClr w14:val="tx1"/>
            </w14:solidFill>
          </w14:textFill>
        </w:rPr>
        <w:t>投标人提供的软件及硬件产品要求在中华人民共和国境内拥有合法的使用权和版权，</w:t>
      </w:r>
      <w:r>
        <w:rPr>
          <w:rFonts w:hint="eastAsia" w:ascii="宋体" w:hAnsi="宋体"/>
          <w:color w:val="000000" w:themeColor="text1"/>
          <w:szCs w:val="21"/>
          <w14:textFill>
            <w14:solidFill>
              <w14:schemeClr w14:val="tx1"/>
            </w14:solidFill>
          </w14:textFill>
        </w:rPr>
        <w:t>采购人</w:t>
      </w:r>
      <w:r>
        <w:rPr>
          <w:rFonts w:ascii="宋体" w:hAnsi="宋体"/>
          <w:color w:val="000000" w:themeColor="text1"/>
          <w:szCs w:val="21"/>
          <w14:textFill>
            <w14:solidFill>
              <w14:schemeClr w14:val="tx1"/>
            </w14:solidFill>
          </w14:textFill>
        </w:rPr>
        <w:t>应拥有合法的使用权。</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17. 投标有效期</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17.1投标有效期从提交投标文件的截止之日起计算。投标文件中承诺的投标有效期应当不少于</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中载明的投标有效期。投标有效期不满足要求的，其投标无效。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17.2投标有效期内投标人撤销投标文件的，投标人应承担招标文件和法律规定的责任。</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18. 投标保证金</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18.1招标文件要求投标人提交投标保证金的，</w:t>
      </w:r>
      <w:r>
        <w:rPr>
          <w:rFonts w:hint="eastAsia" w:asciiTheme="minorEastAsia" w:hAnsiTheme="minorEastAsia" w:eastAsiaTheme="minorEastAsia"/>
          <w:bCs/>
          <w:color w:val="000000" w:themeColor="text1"/>
          <w:szCs w:val="21"/>
          <w14:textFill>
            <w14:solidFill>
              <w14:schemeClr w14:val="tx1"/>
            </w14:solidFill>
          </w14:textFill>
        </w:rPr>
        <w:t>投标人</w:t>
      </w:r>
      <w:r>
        <w:rPr>
          <w:rFonts w:hint="eastAsia" w:asciiTheme="minorEastAsia" w:hAnsiTheme="minorEastAsia" w:eastAsiaTheme="minorEastAsia"/>
          <w:color w:val="000000" w:themeColor="text1"/>
          <w:szCs w:val="21"/>
          <w14:textFill>
            <w14:solidFill>
              <w14:schemeClr w14:val="tx1"/>
            </w14:solidFill>
          </w14:textFill>
        </w:rPr>
        <w:t>应按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w:t>
      </w:r>
      <w:r>
        <w:rPr>
          <w:rFonts w:hint="eastAsia" w:asciiTheme="minorEastAsia" w:hAnsiTheme="minorEastAsia" w:eastAsiaTheme="minorEastAsia"/>
          <w:bCs/>
          <w:color w:val="000000" w:themeColor="text1"/>
          <w:szCs w:val="21"/>
          <w14:textFill>
            <w14:solidFill>
              <w14:schemeClr w14:val="tx1"/>
            </w14:solidFill>
          </w14:textFill>
        </w:rPr>
        <w:t>在</w:t>
      </w:r>
      <w:r>
        <w:rPr>
          <w:rFonts w:hint="eastAsia" w:asciiTheme="minorEastAsia" w:hAnsiTheme="minorEastAsia" w:eastAsiaTheme="minorEastAsia"/>
          <w:color w:val="000000" w:themeColor="text1"/>
          <w:szCs w:val="21"/>
          <w14:textFill>
            <w14:solidFill>
              <w14:schemeClr w14:val="tx1"/>
            </w14:solidFill>
          </w14:textFill>
        </w:rPr>
        <w:t>提交投标文件的截止时间</w:t>
      </w:r>
      <w:r>
        <w:rPr>
          <w:rFonts w:hint="eastAsia" w:asciiTheme="minorEastAsia" w:hAnsiTheme="minorEastAsia" w:eastAsiaTheme="minorEastAsia"/>
          <w:bCs/>
          <w:color w:val="000000" w:themeColor="text1"/>
          <w:szCs w:val="21"/>
          <w14:textFill>
            <w14:solidFill>
              <w14:schemeClr w14:val="tx1"/>
            </w14:solidFill>
          </w14:textFill>
        </w:rPr>
        <w:t>前提交投标保证金</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18.2联合体投标的，可以由联合体中的一方或者共同提交投标保证金。以一方名义提交投标保证金的，对联合体各方均具有约束力。</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18.3投标保证金的退还按以下规定办理：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（1）中标投标人的投标保证金，将在政府采购合同签订后5个工作日内退还。</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（2）未中标的投标人的投标保证金，将在中标通知书发出后5个工作日内退还。</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（3）终止招标的。对于已递交投标保证金的，采购代理机构在终止招标公告发布后5个工作日内退还。</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（4）在投标截止日前撤回投标的，对于已递交投标保证金的，采购代理机构在收到投标人书面撤回投标通知之日起5个工作日内退还。</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18.4有以下情形之一的，投标保证金将不予退还，上交国库：</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（1）投标人在招标文件中规定的投标有效期内撤销其投标；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（2）中标人无正当理由不与招标人订立合同，在签订合同时向招标人提出附加条件，或者不按照招标文件要求提交履约保证金。</w:t>
      </w:r>
    </w:p>
    <w:p>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19.分包</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19.1投标人拟在中标后将中</w:t>
      </w:r>
      <w:r>
        <w:rPr>
          <w:rFonts w:hint="eastAsia" w:asciiTheme="minorEastAsia" w:hAnsiTheme="minorEastAsia" w:eastAsiaTheme="minorEastAsia"/>
          <w:color w:val="000000" w:themeColor="text1"/>
          <w:szCs w:val="21"/>
          <w14:textFill>
            <w14:solidFill>
              <w14:schemeClr w14:val="tx1"/>
            </w14:solidFill>
          </w14:textFill>
        </w:rPr>
        <w:t>标项目的非主体、非关键性工作进行分包的，应符合</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规定的分包内容、分包金</w:t>
      </w:r>
      <w:r>
        <w:rPr>
          <w:rFonts w:hint="eastAsia" w:asciiTheme="minorEastAsia" w:hAnsiTheme="minorEastAsia" w:eastAsiaTheme="minorEastAsia"/>
          <w:color w:val="000000" w:themeColor="text1"/>
          <w14:textFill>
            <w14:solidFill>
              <w14:schemeClr w14:val="tx1"/>
            </w14:solidFill>
          </w14:textFill>
        </w:rPr>
        <w:t>额和资质要求等限制性条件，并在投标文件中载明分包承担主体，且分包承担主体不得再次分包。</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19.2中标人应当就分包项目向采购人负责，分包承担主体就分包项目承担连带责任。</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19.3不符合招标文件中有关分包规定的，其投标无效。</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20. 投标文件的签署</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20.1投标文件第一部分资格证明文件：正本一份，副本</w:t>
      </w:r>
      <w:r>
        <w:rPr>
          <w:rFonts w:hint="eastAsia" w:asciiTheme="minorEastAsia" w:hAnsiTheme="minorEastAsia" w:eastAsiaTheme="minorEastAsia"/>
          <w:color w:val="000000" w:themeColor="text1"/>
          <w:szCs w:val="21"/>
          <w:lang w:val="en-US" w:eastAsia="zh-CN"/>
          <w14:textFill>
            <w14:solidFill>
              <w14:schemeClr w14:val="tx1"/>
            </w14:solidFill>
          </w14:textFill>
        </w:rPr>
        <w:t>一</w:t>
      </w:r>
      <w:r>
        <w:rPr>
          <w:rFonts w:hint="eastAsia" w:asciiTheme="minorEastAsia" w:hAnsiTheme="minorEastAsia" w:eastAsiaTheme="minorEastAsia"/>
          <w:color w:val="000000" w:themeColor="text1"/>
          <w:szCs w:val="21"/>
          <w14:textFill>
            <w14:solidFill>
              <w14:schemeClr w14:val="tx1"/>
            </w14:solidFill>
          </w14:textFill>
        </w:rPr>
        <w:t>份；投标文件第二部分商务和技术文件：正本一份,副本份数见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；投标文件电子文档（U盘）：一份</w:t>
      </w:r>
      <w:r>
        <w:rPr>
          <w:rFonts w:hint="eastAsia" w:asciiTheme="minorEastAsia" w:hAnsiTheme="minorEastAsia" w:eastAsiaTheme="minorEastAsia"/>
          <w:b/>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纸质版投标文件须清楚地注明“正本”或“副本”的字样。若正本与副本中存在不符的内容，以正本为准；若纸质版文件与电子文档中存在不符的内容，以纸质版文件为准。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20.2投标文件正本应打印或用不褪色的材料书写，并由投标人和投标人代表按照招标文件规定在投标文件需要签署的位置签署、盖章。投标人代表可为投标人法定代表人；投标人代表不是投标人的法定代表人的，应提供法定代表人授权委托书。投标文件的副本可以是正本文件的复印件。投标文件的正本与副本应分别装订成册，并编制目录。</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20.3投标文件中的任何行间插字、涂改和增删，改动的地方应加盖单位章或由投标人代表签字确认。未按上述要求签署的，其投标无效。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20.4为便于采购文件保存，投标文件电子文档建议为PDF格式，内容与纸质投标文件正本一致。</w:t>
      </w:r>
    </w:p>
    <w:p>
      <w:pPr>
        <w:pStyle w:val="7"/>
        <w:keepNext w:val="0"/>
        <w:keepLines w:val="0"/>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6" w:name="_Toc5234"/>
      <w:bookmarkStart w:id="27" w:name="_Toc8983713"/>
      <w:r>
        <w:rPr>
          <w:rFonts w:hint="eastAsia" w:ascii="黑体" w:hAnsi="黑体" w:eastAsia="黑体"/>
          <w:color w:val="000000" w:themeColor="text1"/>
          <w:sz w:val="28"/>
          <w:szCs w:val="28"/>
          <w14:textFill>
            <w14:solidFill>
              <w14:schemeClr w14:val="tx1"/>
            </w14:solidFill>
          </w14:textFill>
        </w:rPr>
        <w:t>四、投标</w:t>
      </w:r>
      <w:bookmarkEnd w:id="26"/>
      <w:bookmarkEnd w:id="27"/>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21.</w:t>
      </w:r>
      <w:r>
        <w:rPr>
          <w:rFonts w:hint="eastAsia" w:asciiTheme="minorEastAsia" w:hAnsiTheme="minorEastAsia" w:eastAsiaTheme="minorEastAsia"/>
          <w:b/>
          <w:bCs/>
          <w:color w:val="000000" w:themeColor="text1"/>
          <w:sz w:val="24"/>
          <w14:textFill>
            <w14:solidFill>
              <w14:schemeClr w14:val="tx1"/>
            </w14:solidFill>
          </w14:textFill>
        </w:rPr>
        <w:t xml:space="preserve"> 投标文件的密封和标记</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21.1投标人应将投标文件密封包装以保证自己的投标信息在开标前不被透露。投标时，投标人应将投标文件以下列要求进行密封包装：</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b/>
          <w:color w:val="000000" w:themeColor="text1"/>
          <w:szCs w:val="21"/>
          <w14:textFill>
            <w14:solidFill>
              <w14:schemeClr w14:val="tx1"/>
            </w14:solidFill>
          </w14:textFill>
        </w:rPr>
        <w:t>投标文件的第一部分资格证明文件：将其正本和副本装入标记为“投标文件第一部分资格证明文件”的密封袋中进行提交</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b/>
          <w:color w:val="000000" w:themeColor="text1"/>
          <w:szCs w:val="21"/>
          <w14:textFill>
            <w14:solidFill>
              <w14:schemeClr w14:val="tx1"/>
            </w14:solidFill>
          </w14:textFill>
        </w:rPr>
        <w:t>投标文件的第二部分商务和技术文件：将其正本和副本装入标记为“投标文件第二部分商务和技术文件”的密封袋（箱）中进行提交</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文件电子文档：投标文件电子文档可以单独装入标记为“投标文件电子文档”的密封袋中，也可以装入标记为“投标文件第一部分资格证明文件或者“投标文件第二部分商务和技术文件”的密封袋（箱）中进行提交。</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21.2投标文件密封袋（箱）上应标注内容：</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（1）“投标文件第一部分资格证明文件”或者“投标文件第二部分商务及响应文件”或者“投标文件电子文档”或者“</w:t>
      </w:r>
      <w:r>
        <w:rPr>
          <w:rFonts w:hint="eastAsia" w:ascii="宋体" w:hAnsi="宋体" w:cs="宋体"/>
        </w:rPr>
        <w:t>开标一览表”</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（2）采购项目名称和采购代理编号，如果采购项目分包招标的，还应注明投标的包号；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（3）递交至投标邀请中指明的地址；</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（4）“在年月日时分(投标截止时间)前不得开启”字样；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（5）投标人名称地址和联系电话。</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22. 投标截止期</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22.1投标人应在本章第7.2款规定的投标截止时间前将投标文件</w:t>
      </w:r>
      <w:r>
        <w:rPr>
          <w:rFonts w:hint="eastAsia" w:asciiTheme="minorEastAsia" w:hAnsiTheme="minorEastAsia" w:eastAsiaTheme="minorEastAsia"/>
          <w:bCs/>
          <w:color w:val="000000" w:themeColor="text1"/>
          <w:szCs w:val="21"/>
          <w14:textFill>
            <w14:solidFill>
              <w14:schemeClr w14:val="tx1"/>
            </w14:solidFill>
          </w14:textFill>
        </w:rPr>
        <w:t>密封送达</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指定的开标地点。</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22.2逾期送达或者未按照本章第21.1款规定密封的投标文件，以及未通过资格预审的供应商提交的投标文件（实行资格预审的），采购人或者采购代理机构应当拒收。</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22.3采购人或者采购代理机构</w:t>
      </w:r>
      <w:r>
        <w:rPr>
          <w:rFonts w:hint="eastAsia" w:asciiTheme="minorEastAsia" w:hAnsiTheme="minorEastAsia" w:eastAsiaTheme="minorEastAsia"/>
          <w:bCs/>
          <w:color w:val="000000" w:themeColor="text1"/>
          <w:szCs w:val="21"/>
          <w14:textFill>
            <w14:solidFill>
              <w14:schemeClr w14:val="tx1"/>
            </w14:solidFill>
          </w14:textFill>
        </w:rPr>
        <w:t>收到投标文件后，应当如实记载投标文件的送达时间和密封情况，签收保存</w:t>
      </w:r>
      <w:r>
        <w:rPr>
          <w:rFonts w:hint="eastAsia" w:asciiTheme="minorEastAsia" w:hAnsiTheme="minorEastAsia" w:eastAsiaTheme="minorEastAsia"/>
          <w:bCs/>
          <w:color w:val="000000" w:themeColor="text1"/>
          <w:szCs w:val="21"/>
          <w:lang w:eastAsia="zh-CN"/>
          <w14:textFill>
            <w14:solidFill>
              <w14:schemeClr w14:val="tx1"/>
            </w14:solidFill>
          </w14:textFill>
        </w:rPr>
        <w:t>。</w:t>
      </w:r>
      <w:r>
        <w:rPr>
          <w:rFonts w:hint="eastAsia" w:asciiTheme="minorEastAsia" w:hAnsiTheme="minorEastAsia" w:eastAsiaTheme="minorEastAsia"/>
          <w:bCs/>
          <w:color w:val="000000" w:themeColor="text1"/>
          <w:szCs w:val="21"/>
          <w14:textFill>
            <w14:solidFill>
              <w14:schemeClr w14:val="tx1"/>
            </w14:solidFill>
          </w14:textFill>
        </w:rPr>
        <w:t>任何单位和个人不得在开标前开启投标文件。</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23. 投标文件的修改和撤回</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23.1投标人在提交投标文件的截止时间前，可以对所提交的投标文件进行补充、修改或者撤回，并书面通知采购人或者采购代理机构。补充、修改的内容应当按照招标文件规定编制、签署、密封和标记（在密封袋上注明“修改”字样，以及修改的时间），作为投标文件的组成部分，并在提交投标文件的截止时间前递交。</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23.2采购人或者采购代理机构对投标人提交的投标文件补充、修改或者撤回的书面通知，按照本章第21.2款规定如实记载、签收保存，并向投标人出具签收回执。</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23.3投标人在</w:t>
      </w:r>
      <w:r>
        <w:rPr>
          <w:rFonts w:hint="eastAsia" w:asciiTheme="minorEastAsia" w:hAnsiTheme="minorEastAsia" w:eastAsiaTheme="minorEastAsia"/>
          <w:bCs/>
          <w:color w:val="000000" w:themeColor="text1"/>
          <w:szCs w:val="21"/>
          <w14:textFill>
            <w14:solidFill>
              <w14:schemeClr w14:val="tx1"/>
            </w14:solidFill>
          </w14:textFill>
        </w:rPr>
        <w:t>提交投标文件的截止时间</w:t>
      </w:r>
      <w:r>
        <w:rPr>
          <w:rFonts w:hint="eastAsia" w:asciiTheme="minorEastAsia" w:hAnsiTheme="minorEastAsia" w:eastAsiaTheme="minorEastAsia"/>
          <w:color w:val="000000" w:themeColor="text1"/>
          <w:szCs w:val="21"/>
          <w14:textFill>
            <w14:solidFill>
              <w14:schemeClr w14:val="tx1"/>
            </w14:solidFill>
          </w14:textFill>
        </w:rPr>
        <w:t>前撤回已提交的投标文件的，采购人或者采购代理机构应当自收到投标人书面撤回通知之日起5个工作日内，退还已收取的投标保证金，但因投标人自身原因导致无法及时退还的除外。</w:t>
      </w:r>
    </w:p>
    <w:p>
      <w:pPr>
        <w:adjustRightInd w:val="0"/>
        <w:snapToGrid w:val="0"/>
        <w:spacing w:before="157" w:beforeLines="50" w:line="360" w:lineRule="auto"/>
        <w:jc w:val="left"/>
        <w:rPr>
          <w:rFonts w:cs="Arial"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24.</w:t>
      </w:r>
      <w:r>
        <w:rPr>
          <w:rFonts w:hint="eastAsia" w:cs="Arial" w:asciiTheme="minorEastAsia" w:hAnsiTheme="minorEastAsia" w:eastAsiaTheme="minorEastAsia"/>
          <w:b/>
          <w:color w:val="000000" w:themeColor="text1"/>
          <w:sz w:val="24"/>
          <w14:textFill>
            <w14:solidFill>
              <w14:schemeClr w14:val="tx1"/>
            </w14:solidFill>
          </w14:textFill>
        </w:rPr>
        <w:t xml:space="preserve"> 串通</w:t>
      </w:r>
      <w:r>
        <w:rPr>
          <w:rFonts w:hint="eastAsia" w:asciiTheme="minorEastAsia" w:hAnsiTheme="minorEastAsia" w:eastAsiaTheme="minorEastAsia"/>
          <w:b/>
          <w:color w:val="000000" w:themeColor="text1"/>
          <w:sz w:val="24"/>
          <w14:textFill>
            <w14:solidFill>
              <w14:schemeClr w14:val="tx1"/>
            </w14:solidFill>
          </w14:textFill>
        </w:rPr>
        <w:t>投标行为</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24.1有下列情形之一的，属于恶意串通，对投标人依照政府采购法第七十七条第一款的规定追究法律责任：</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（1）投标人直接或者间接从采购人或者采购代理机构处获得其他投标人的相关情况并修改其投标文件；</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（2）投标人按照采购人或者采购代理机构的授意撤换、修改投标文件；</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（3）投标人之间协商报价、技术方案等投标文件的实质性内容；</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（4）属于同一集团、协会、商会等组织成员的投标人按照该组织要求协同参加政府采购活动；</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（5）投标人之间事先约定由某一特定投标人中标；</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（6）投标人之间商定部分投标人放弃参加政府采购活动或者放弃中标；</w:t>
      </w:r>
    </w:p>
    <w:p>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（7）投标人与采购人或者采购代理机构之间、投标人相互之间，为谋求特定投标人中标或者排斥其他投标人的其他串通行为。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24.2有下列情形之一的，视为投标人串通投标，其投标无效：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（1）不同投标人的投标文件由同一单位或者个人编制；</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（2）不同投标人委托同一单位或者个人办理投标事宜；</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（3）不同投标人的投标文件载明的项目管理成员或者联系人员为同一人；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（4）不同投标人的投标文件异常一致或者投标报价呈规律性差异；</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（5）不同投标人的投标文件相互混装；</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（6）不同投标人的投标保证金从同一单位或者个人的账户转出。</w:t>
      </w:r>
    </w:p>
    <w:p>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8" w:name="_Toc8983714"/>
      <w:bookmarkStart w:id="29" w:name="_Toc17652"/>
      <w:r>
        <w:rPr>
          <w:rFonts w:hint="eastAsia" w:ascii="黑体" w:hAnsi="黑体" w:eastAsia="黑体"/>
          <w:color w:val="000000" w:themeColor="text1"/>
          <w:sz w:val="28"/>
          <w:szCs w:val="28"/>
          <w14:textFill>
            <w14:solidFill>
              <w14:schemeClr w14:val="tx1"/>
            </w14:solidFill>
          </w14:textFill>
        </w:rPr>
        <w:t>五、开标，资格审查和评标</w:t>
      </w:r>
      <w:bookmarkEnd w:id="28"/>
      <w:bookmarkEnd w:id="29"/>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25. 开标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25.1采购人或者采购代理机构在招标文件规定的地点组织公开开标，并邀请投标人参加。投标人未参加开标的，视同认可开标结果。</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25.2开标时，由投标人或其推选的代表检查投标文件的密封情况；经确认无误后，由采购人或者采购代理机构当众拆封</w:t>
      </w:r>
      <w:r>
        <w:rPr>
          <w:rFonts w:hint="eastAsia" w:cs="Arial" w:asciiTheme="minorEastAsia" w:hAnsiTheme="minorEastAsia" w:eastAsiaTheme="minorEastAsia"/>
          <w:color w:val="000000" w:themeColor="text1"/>
          <w:szCs w:val="21"/>
          <w14:textFill>
            <w14:solidFill>
              <w14:schemeClr w14:val="tx1"/>
            </w14:solidFill>
          </w14:textFill>
        </w:rPr>
        <w:t>投标文件</w:t>
      </w:r>
      <w:r>
        <w:rPr>
          <w:rFonts w:hint="eastAsia" w:asciiTheme="minorEastAsia" w:hAnsiTheme="minorEastAsia" w:eastAsiaTheme="minorEastAsia"/>
          <w:color w:val="000000" w:themeColor="text1"/>
          <w:szCs w:val="21"/>
          <w14:textFill>
            <w14:solidFill>
              <w14:schemeClr w14:val="tx1"/>
            </w14:solidFill>
          </w14:textFill>
        </w:rPr>
        <w:t>，宣读投标人名称、投标价格和</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规定需要宣布的其他内容。投标人不足3家的，不得开标。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25.3开标过程应当由采购人或者采购代理机构负责记录，由参加开标的各投标人代表和相关工作人员签字确认后随采购文件一并存档。</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25.4投标人代表对开标过程和开标记录有疑义，以及认为采购人或者采购代理机构相关工作人员有《政府采购法实施条例》第九条第一款需要回避的情形的，应当场提出询问或者回避申请。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25.5采购人或者采购代理机构对投标人代表当场提出的询问或者回避申请，按《政府采购法实施条例》有关规定及时处理。</w:t>
      </w:r>
    </w:p>
    <w:p>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Style w:val="49"/>
          <w:rFonts w:hint="eastAsia" w:cs="Arial" w:asciiTheme="minorEastAsia" w:hAnsiTheme="minorEastAsia" w:eastAsiaTheme="minorEastAsia"/>
          <w:color w:val="000000" w:themeColor="text1"/>
          <w:sz w:val="24"/>
          <w14:textFill>
            <w14:solidFill>
              <w14:schemeClr w14:val="tx1"/>
            </w14:solidFill>
          </w14:textFill>
        </w:rPr>
        <w:t>26.</w:t>
      </w:r>
      <w:r>
        <w:rPr>
          <w:rFonts w:hint="eastAsia" w:asciiTheme="minorEastAsia" w:hAnsiTheme="minorEastAsia" w:eastAsiaTheme="minorEastAsia"/>
          <w:b/>
          <w:color w:val="000000" w:themeColor="text1"/>
          <w:sz w:val="24"/>
          <w14:textFill>
            <w14:solidFill>
              <w14:schemeClr w14:val="tx1"/>
            </w14:solidFill>
          </w14:textFill>
        </w:rPr>
        <w:t xml:space="preserve"> 资格审查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26.1开标结束后，采购人或者采购代理机构依法按照第三章资格审查规定组织资格审查。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26.2资格审查结束后，采购人及采购代理机构应将资格审查结果告知评标委员会。资格审查不合格投标人不得进入评标；资格审查合格投标人少于3家的，不得评标。</w:t>
      </w:r>
    </w:p>
    <w:p>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27.</w:t>
      </w:r>
      <w:r>
        <w:rPr>
          <w:rFonts w:hint="eastAsia" w:asciiTheme="minorEastAsia" w:hAnsiTheme="minorEastAsia" w:eastAsiaTheme="minorEastAsia"/>
          <w:b/>
          <w:color w:val="000000" w:themeColor="text1"/>
          <w:sz w:val="24"/>
          <w14:textFill>
            <w14:solidFill>
              <w14:schemeClr w14:val="tx1"/>
            </w14:solidFill>
          </w14:textFill>
        </w:rPr>
        <w:t xml:space="preserve"> 评标委员会</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27.1评标由依法组建的评标委员会负责，评标委员会由采购人代表和评审专家组成。</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27.2评标委员会成员有下列情形之一的，应当回避：</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（1）参加采购活动前三年内,与投标人存在劳动关系,或者担任过投标人的董事、监事,或者是投标人的控股股东或实际控制人；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（2）与投标人的法定代表人或者负责人有夫妻、直系血亲、三代以内旁系血亲或者近姻亲关系；</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（3）与投标人有其他可能影响政府采购活动公平、公正进行的关系。</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27.3评标委员会负责具体评标事务，并独立履行下列职责：</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（1）审查、评价投标文件是否符合招标文件的商务、技术等实质性要求；</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（2）要求投标人对投标文件有关事项作出澄清或者说明；</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（3）对投标文件进行比较和评价；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（4）确定中标候选人名单，以及根据采购人委托直接确定中标人。</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28.</w:t>
      </w:r>
      <w:r>
        <w:rPr>
          <w:rFonts w:hint="eastAsia" w:asciiTheme="minorEastAsia" w:hAnsiTheme="minorEastAsia" w:eastAsiaTheme="minorEastAsia"/>
          <w:b/>
          <w:bCs/>
          <w:color w:val="000000" w:themeColor="text1"/>
          <w:sz w:val="24"/>
          <w14:textFill>
            <w14:solidFill>
              <w14:schemeClr w14:val="tx1"/>
            </w14:solidFill>
          </w14:textFill>
        </w:rPr>
        <w:t xml:space="preserve"> 评标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28.1评标委员会按照</w:t>
      </w:r>
      <w:r>
        <w:rPr>
          <w:rFonts w:hint="eastAsia" w:asciiTheme="minorEastAsia" w:hAnsiTheme="minorEastAsia" w:eastAsiaTheme="minorEastAsia"/>
          <w:bCs/>
          <w:color w:val="000000" w:themeColor="text1"/>
          <w14:textFill>
            <w14:solidFill>
              <w14:schemeClr w14:val="tx1"/>
            </w14:solidFill>
          </w14:textFill>
        </w:rPr>
        <w:t>第四章评标方法及标准</w:t>
      </w:r>
      <w:r>
        <w:rPr>
          <w:rFonts w:hint="eastAsia" w:asciiTheme="minorEastAsia" w:hAnsiTheme="minorEastAsia" w:eastAsiaTheme="minorEastAsia"/>
          <w:color w:val="000000" w:themeColor="text1"/>
          <w14:textFill>
            <w14:solidFill>
              <w14:schemeClr w14:val="tx1"/>
            </w14:solidFill>
          </w14:textFill>
        </w:rPr>
        <w:t>规定的评标方法、评审因素、标准和程序以及有关法律、法规及规章对投标文件进行评审。</w:t>
      </w:r>
    </w:p>
    <w:p>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30" w:name="_Toc8983715"/>
      <w:bookmarkStart w:id="31" w:name="_Toc20891"/>
      <w:r>
        <w:rPr>
          <w:rFonts w:hint="eastAsia" w:ascii="黑体" w:hAnsi="黑体" w:eastAsia="黑体"/>
          <w:color w:val="000000" w:themeColor="text1"/>
          <w:sz w:val="28"/>
          <w:szCs w:val="28"/>
          <w14:textFill>
            <w14:solidFill>
              <w14:schemeClr w14:val="tx1"/>
            </w14:solidFill>
          </w14:textFill>
        </w:rPr>
        <w:t>六、中标信息公布</w:t>
      </w:r>
      <w:bookmarkEnd w:id="30"/>
      <w:bookmarkEnd w:id="31"/>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29.</w:t>
      </w:r>
      <w:r>
        <w:rPr>
          <w:rFonts w:hint="eastAsia" w:asciiTheme="minorEastAsia" w:hAnsiTheme="minorEastAsia" w:eastAsiaTheme="minorEastAsia"/>
          <w:b/>
          <w:bCs/>
          <w:color w:val="000000" w:themeColor="text1"/>
          <w:sz w:val="24"/>
          <w14:textFill>
            <w14:solidFill>
              <w14:schemeClr w14:val="tx1"/>
            </w14:solidFill>
          </w14:textFill>
        </w:rPr>
        <w:t>中标通知书与中标信息公布</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29.1采购代理机构应当在评标结束后2个工作日内将资格审查情况报告和评标报告送采购人。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29.2采购人应当自收到资格审查情况报告和评标报告之日起5个工作日内，在评标报告确定的中标候选人名单中按顺序确定中标人。中标候选人并列的（得分且投标报价相同的），按照</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规定的方式确定中标人。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29.3采购代理机构应当自采购人确定中标供应商之日起2个工作日内，发出中标通知书，并在本章第10.1款规定的媒体公告中标结果，招标文件随中标结果同时公告，中标结果公告期限为1个工作日。</w:t>
      </w:r>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30.</w:t>
      </w:r>
      <w:r>
        <w:rPr>
          <w:rFonts w:hint="eastAsia" w:asciiTheme="minorEastAsia" w:hAnsiTheme="minorEastAsia" w:eastAsiaTheme="minorEastAsia"/>
          <w:b/>
          <w:color w:val="000000" w:themeColor="text1"/>
          <w:sz w:val="24"/>
          <w14:textFill>
            <w14:solidFill>
              <w14:schemeClr w14:val="tx1"/>
            </w14:solidFill>
          </w14:textFill>
        </w:rPr>
        <w:t xml:space="preserve"> 投标人询问及</w:t>
      </w:r>
      <w:r>
        <w:rPr>
          <w:rFonts w:hint="eastAsia" w:asciiTheme="minorEastAsia" w:hAnsiTheme="minorEastAsia" w:eastAsiaTheme="minorEastAsia"/>
          <w:b/>
          <w:bCs/>
          <w:color w:val="000000" w:themeColor="text1"/>
          <w:sz w:val="24"/>
          <w14:textFill>
            <w14:solidFill>
              <w14:schemeClr w14:val="tx1"/>
            </w14:solidFill>
          </w14:textFill>
        </w:rPr>
        <w:t>质疑</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30.1投标人对政府采购活动事项有疑问的，可以向采购人或者采购代理机构提出询问。采购人或者采购代理机构应在3个工作日内作出答复。</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30.2投标人认为招标文件、采购过程和中标结果使自己的权益受到损害的，可以在知道或者应知其权益受到损害之日起7个工作日内，以纸质书面形式向采购人提出质疑。</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30.3本章第30.2款所称投标人应知其权益受到损害之日，是指：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（1）对可以质疑的招标文件提出质疑的，为收到招标文件之日或者招标公告期限届满之日；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（2）对采购过程提出质疑的，为各采购程序环节结束之日；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（3）对中标结果提出质疑的，为中标结果公告期限届满之日。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30.4本章第30.3款所称</w:t>
      </w:r>
      <w:r>
        <w:rPr>
          <w:rFonts w:hint="eastAsia" w:ascii="宋体" w:hAnsi="宋体"/>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收到招标文件之日”，是指：在采购代理机构指定地址购买招标文件的，质疑时效期间的起算日期为供应商收到招标文件之日；</w:t>
      </w:r>
      <w:r>
        <w:rPr>
          <w:rFonts w:hint="eastAsia" w:ascii="宋体" w:hAnsi="宋体"/>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招标公告期限届满</w:t>
      </w:r>
      <w:r>
        <w:rPr>
          <w:rFonts w:hint="eastAsia" w:asciiTheme="minorEastAsia" w:hAnsiTheme="minorEastAsia" w:eastAsiaTheme="minorEastAsia"/>
          <w:color w:val="000000" w:themeColor="text1"/>
          <w:szCs w:val="21"/>
          <w14:textFill>
            <w14:solidFill>
              <w14:schemeClr w14:val="tx1"/>
            </w14:solidFill>
          </w14:textFill>
        </w:rPr>
        <w:t>之日</w:t>
      </w:r>
      <w:r>
        <w:rPr>
          <w:rFonts w:hint="eastAsia" w:asciiTheme="minorEastAsia" w:hAnsiTheme="minorEastAsia" w:eastAsiaTheme="minorEastAsia"/>
          <w:color w:val="000000" w:themeColor="text1"/>
          <w14:textFill>
            <w14:solidFill>
              <w14:schemeClr w14:val="tx1"/>
            </w14:solidFill>
          </w14:textFill>
        </w:rPr>
        <w:t>”，是指：通过电子招标投标交易平台下载招标文件的，质疑时效期间的起算日期为招标公告期限届满之日。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30.5投标人提出质疑的，应提供质疑函</w:t>
      </w:r>
      <w:r>
        <w:rPr>
          <w:rFonts w:hint="eastAsia" w:asciiTheme="minorEastAsia" w:hAnsiTheme="minorEastAsia" w:eastAsiaTheme="minorEastAsia"/>
          <w:color w:val="000000" w:themeColor="text1"/>
          <w:szCs w:val="21"/>
          <w14:textFill>
            <w14:solidFill>
              <w14:schemeClr w14:val="tx1"/>
            </w14:solidFill>
          </w14:textFill>
        </w:rPr>
        <w:t>原件，并应以直接送达（专人送达）或邮寄送达。</w:t>
      </w:r>
      <w:r>
        <w:rPr>
          <w:rFonts w:hint="eastAsia"/>
          <w:color w:val="000000" w:themeColor="text1"/>
          <w:szCs w:val="21"/>
          <w14:textFill>
            <w14:solidFill>
              <w14:schemeClr w14:val="tx1"/>
            </w14:solidFill>
          </w14:textFill>
        </w:rPr>
        <w:t>接收质疑函的联系部门、联系电话和通讯地址见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采购人或者采购代理机构不接受电子送达（传真、电子邮件、微信等）。采购人或者采购代理机构应当向质疑供</w:t>
      </w:r>
      <w:r>
        <w:rPr>
          <w:rFonts w:hint="eastAsia" w:asciiTheme="minorEastAsia" w:hAnsiTheme="minorEastAsia" w:eastAsiaTheme="minorEastAsia"/>
          <w:color w:val="000000" w:themeColor="text1"/>
          <w14:textFill>
            <w14:solidFill>
              <w14:schemeClr w14:val="tx1"/>
            </w14:solidFill>
          </w14:textFill>
        </w:rPr>
        <w:t>应商签收回执。</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30.6以联合体形式参加政府采购活动的，联合体组成后提出的质疑事项应当由组成联合体的所有供应商共同提出。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30.7投标人提出质疑应当提交质疑函和必要的证明材料。质疑函应当包括下列内容：</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（1）投标人的姓名或者名称、地址、邮编、联系人及联系电话；</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（2）质疑项目的名称、编号；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（3）具体、明确的质疑事项和与质疑事项相关的请求；</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（4）事实依据；</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（5）必要的法律依据；</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（6）提出质疑的日期。</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30.8质疑函按中国政府采购网（www.ccgp.gov.cn）“下</w:t>
      </w:r>
      <w:r>
        <w:rPr>
          <w:rFonts w:hint="eastAsia" w:asciiTheme="minorEastAsia" w:hAnsiTheme="minorEastAsia" w:eastAsiaTheme="minorEastAsia"/>
          <w:color w:val="000000" w:themeColor="text1"/>
          <w14:textFill>
            <w14:solidFill>
              <w14:schemeClr w14:val="tx1"/>
            </w14:solidFill>
          </w14:textFill>
        </w:rPr>
        <w:t>载专区”的“政府采购供应质疑函范本”</w:t>
      </w:r>
      <w:r>
        <w:rPr>
          <w:rFonts w:hint="eastAsia"/>
          <w:color w:val="000000" w:themeColor="text1"/>
          <w14:textFill>
            <w14:solidFill>
              <w14:schemeClr w14:val="tx1"/>
            </w14:solidFill>
          </w14:textFill>
        </w:rPr>
        <w:t>和</w:t>
      </w:r>
      <w:r>
        <w:rPr>
          <w:rFonts w:hint="eastAsia" w:ascii="宋体" w:hAnsi="宋体"/>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质疑函制作说明”制作。</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30.9采购人或者采购代理机构将在签收回执之日起7个工作日内作出书面答复，并以书面形式通知质疑投标人和其他有关的投标人。</w:t>
      </w:r>
    </w:p>
    <w:p>
      <w:pPr>
        <w:adjustRightInd w:val="0"/>
        <w:snapToGrid w:val="0"/>
        <w:spacing w:before="157" w:beforeLines="50" w:line="360" w:lineRule="auto"/>
        <w:ind w:firstLine="420" w:firstLineChars="200"/>
        <w:jc w:val="left"/>
        <w:rPr>
          <w:rFonts w:asciiTheme="minorEastAsia" w:hAnsiTheme="minorEastAsia" w:eastAsiaTheme="minorEastAsia"/>
          <w:b/>
          <w:bCs/>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30.</w:t>
      </w:r>
      <w:r>
        <w:rPr>
          <w:rFonts w:hint="eastAsia" w:asciiTheme="minorEastAsia" w:hAnsiTheme="minorEastAsia" w:eastAsiaTheme="minorEastAsia"/>
          <w:color w:val="000000" w:themeColor="text1"/>
          <w:szCs w:val="21"/>
          <w14:textFill>
            <w14:solidFill>
              <w14:schemeClr w14:val="tx1"/>
            </w14:solidFill>
          </w14:textFill>
        </w:rPr>
        <w:t>10质疑人对采购人或者采购代理机构的答复不满意，或采购人或者采购代理机构未在规定的期限作出答复的，可在答复期满后15个工作日内，按政府采购相关法律法规规章的规定及程序，向同级财政部门提出投诉。</w:t>
      </w:r>
    </w:p>
    <w:p>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32" w:name="_Toc23055"/>
      <w:bookmarkStart w:id="33" w:name="_Toc8983716"/>
      <w:r>
        <w:rPr>
          <w:rFonts w:hint="eastAsia" w:ascii="黑体" w:hAnsi="黑体" w:eastAsia="黑体"/>
          <w:color w:val="000000" w:themeColor="text1"/>
          <w:sz w:val="28"/>
          <w:szCs w:val="28"/>
          <w14:textFill>
            <w14:solidFill>
              <w14:schemeClr w14:val="tx1"/>
            </w14:solidFill>
          </w14:textFill>
        </w:rPr>
        <w:t>七、合同签订</w:t>
      </w:r>
      <w:bookmarkEnd w:id="32"/>
      <w:bookmarkEnd w:id="33"/>
    </w:p>
    <w:p>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31. 签订合同</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31.1采购人应自中标通知书发出之日起30日内，按中标通知书指定的时间、地点与中标人签订政府采购合同。所签订的合同不得对招标文件和投标文件作实质性修改。</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31.2招标文件、中标人的投标文件均为签订合同的依据。</w:t>
      </w:r>
    </w:p>
    <w:p>
      <w:pPr>
        <w:adjustRightInd w:val="0"/>
        <w:snapToGrid w:val="0"/>
        <w:spacing w:before="157" w:beforeLines="50" w:line="360" w:lineRule="auto"/>
        <w:ind w:firstLine="420" w:firstLineChars="20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31.3联</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合</w:t>
      </w:r>
      <w:r>
        <w:rPr>
          <w:rFonts w:hint="eastAsia" w:cs="微软雅黑" w:asciiTheme="minorEastAsia" w:hAnsiTheme="minorEastAsia" w:eastAsiaTheme="minorEastAsia"/>
          <w:color w:val="000000" w:themeColor="text1"/>
          <w:kern w:val="0"/>
          <w:szCs w:val="21"/>
          <w14:textFill>
            <w14:solidFill>
              <w14:schemeClr w14:val="tx1"/>
            </w14:solidFill>
          </w14:textFill>
        </w:rPr>
        <w:t>体</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中</w:t>
      </w:r>
      <w:r>
        <w:rPr>
          <w:rFonts w:hint="eastAsia" w:cs="微软雅黑" w:asciiTheme="minorEastAsia" w:hAnsiTheme="minorEastAsia" w:eastAsiaTheme="minorEastAsia"/>
          <w:color w:val="000000" w:themeColor="text1"/>
          <w:kern w:val="0"/>
          <w:szCs w:val="21"/>
          <w14:textFill>
            <w14:solidFill>
              <w14:schemeClr w14:val="tx1"/>
            </w14:solidFill>
          </w14:textFill>
        </w:rPr>
        <w:t>标的</w:t>
      </w:r>
      <w:r>
        <w:rPr>
          <w:rFonts w:hint="eastAsia" w:cs="微软雅黑" w:asciiTheme="minorEastAsia" w:hAnsiTheme="minorEastAsia" w:eastAsiaTheme="minorEastAsia"/>
          <w:color w:val="000000" w:themeColor="text1"/>
          <w:spacing w:val="-14"/>
          <w:kern w:val="0"/>
          <w:szCs w:val="21"/>
          <w14:textFill>
            <w14:solidFill>
              <w14:schemeClr w14:val="tx1"/>
            </w14:solidFill>
          </w14:textFill>
        </w:rPr>
        <w:t>，</w:t>
      </w:r>
      <w:r>
        <w:rPr>
          <w:rFonts w:hint="eastAsia" w:cs="微软雅黑" w:asciiTheme="minorEastAsia" w:hAnsiTheme="minorEastAsia" w:eastAsiaTheme="minorEastAsia"/>
          <w:color w:val="000000" w:themeColor="text1"/>
          <w:kern w:val="0"/>
          <w:szCs w:val="21"/>
          <w14:textFill>
            <w14:solidFill>
              <w14:schemeClr w14:val="tx1"/>
            </w14:solidFill>
          </w14:textFill>
        </w:rPr>
        <w:t>联</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合</w:t>
      </w:r>
      <w:r>
        <w:rPr>
          <w:rFonts w:hint="eastAsia" w:cs="微软雅黑" w:asciiTheme="minorEastAsia" w:hAnsiTheme="minorEastAsia" w:eastAsiaTheme="minorEastAsia"/>
          <w:color w:val="000000" w:themeColor="text1"/>
          <w:kern w:val="0"/>
          <w:szCs w:val="21"/>
          <w14:textFill>
            <w14:solidFill>
              <w14:schemeClr w14:val="tx1"/>
            </w14:solidFill>
          </w14:textFill>
        </w:rPr>
        <w:t>体各</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方</w:t>
      </w:r>
      <w:r>
        <w:rPr>
          <w:rFonts w:hint="eastAsia" w:cs="微软雅黑" w:asciiTheme="minorEastAsia" w:hAnsiTheme="minorEastAsia" w:eastAsiaTheme="minorEastAsia"/>
          <w:color w:val="000000" w:themeColor="text1"/>
          <w:kern w:val="0"/>
          <w:szCs w:val="21"/>
          <w14:textFill>
            <w14:solidFill>
              <w14:schemeClr w14:val="tx1"/>
            </w14:solidFill>
          </w14:textFill>
        </w:rPr>
        <w:t>应</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当</w:t>
      </w:r>
      <w:r>
        <w:rPr>
          <w:rFonts w:hint="eastAsia" w:cs="微软雅黑" w:asciiTheme="minorEastAsia" w:hAnsiTheme="minorEastAsia" w:eastAsiaTheme="minorEastAsia"/>
          <w:color w:val="000000" w:themeColor="text1"/>
          <w:kern w:val="0"/>
          <w:szCs w:val="21"/>
          <w14:textFill>
            <w14:solidFill>
              <w14:schemeClr w14:val="tx1"/>
            </w14:solidFill>
          </w14:textFill>
        </w:rPr>
        <w:t>共</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同</w:t>
      </w:r>
      <w:r>
        <w:rPr>
          <w:rFonts w:hint="eastAsia" w:cs="微软雅黑" w:asciiTheme="minorEastAsia" w:hAnsiTheme="minorEastAsia" w:eastAsiaTheme="minorEastAsia"/>
          <w:color w:val="000000" w:themeColor="text1"/>
          <w:kern w:val="0"/>
          <w:szCs w:val="21"/>
          <w14:textFill>
            <w14:solidFill>
              <w14:schemeClr w14:val="tx1"/>
            </w14:solidFill>
          </w14:textFill>
        </w:rPr>
        <w:t>与</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采购人</w:t>
      </w:r>
      <w:r>
        <w:rPr>
          <w:rFonts w:hint="eastAsia" w:cs="微软雅黑" w:asciiTheme="minorEastAsia" w:hAnsiTheme="minorEastAsia" w:eastAsiaTheme="minorEastAsia"/>
          <w:color w:val="000000" w:themeColor="text1"/>
          <w:kern w:val="0"/>
          <w:szCs w:val="21"/>
          <w14:textFill>
            <w14:solidFill>
              <w14:schemeClr w14:val="tx1"/>
            </w14:solidFill>
          </w14:textFill>
        </w:rPr>
        <w:t>签订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合</w:t>
      </w:r>
      <w:r>
        <w:rPr>
          <w:rFonts w:hint="eastAsia" w:cs="微软雅黑" w:asciiTheme="minorEastAsia" w:hAnsiTheme="minorEastAsia" w:eastAsiaTheme="minorEastAsia"/>
          <w:color w:val="000000" w:themeColor="text1"/>
          <w:kern w:val="0"/>
          <w:szCs w:val="21"/>
          <w14:textFill>
            <w14:solidFill>
              <w14:schemeClr w14:val="tx1"/>
            </w14:solidFill>
          </w14:textFill>
        </w:rPr>
        <w:t>同</w:t>
      </w:r>
      <w:r>
        <w:rPr>
          <w:rFonts w:hint="eastAsia" w:cs="微软雅黑" w:asciiTheme="minorEastAsia" w:hAnsiTheme="minorEastAsia" w:eastAsiaTheme="minorEastAsia"/>
          <w:color w:val="000000" w:themeColor="text1"/>
          <w:spacing w:val="-14"/>
          <w:kern w:val="0"/>
          <w:szCs w:val="21"/>
          <w14:textFill>
            <w14:solidFill>
              <w14:schemeClr w14:val="tx1"/>
            </w14:solidFill>
          </w14:textFill>
        </w:rPr>
        <w:t>，</w:t>
      </w:r>
      <w:r>
        <w:rPr>
          <w:rFonts w:hint="eastAsia" w:cs="微软雅黑" w:asciiTheme="minorEastAsia" w:hAnsiTheme="minorEastAsia" w:eastAsiaTheme="minorEastAsia"/>
          <w:color w:val="000000" w:themeColor="text1"/>
          <w:kern w:val="0"/>
          <w:szCs w:val="21"/>
          <w14:textFill>
            <w14:solidFill>
              <w14:schemeClr w14:val="tx1"/>
            </w14:solidFill>
          </w14:textFill>
        </w:rPr>
        <w:t>就</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中</w:t>
      </w:r>
      <w:r>
        <w:rPr>
          <w:rFonts w:hint="eastAsia" w:cs="微软雅黑" w:asciiTheme="minorEastAsia" w:hAnsiTheme="minorEastAsia" w:eastAsiaTheme="minorEastAsia"/>
          <w:color w:val="000000" w:themeColor="text1"/>
          <w:kern w:val="0"/>
          <w:szCs w:val="21"/>
          <w14:textFill>
            <w14:solidFill>
              <w14:schemeClr w14:val="tx1"/>
            </w14:solidFill>
          </w14:textFill>
        </w:rPr>
        <w:t>标</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项</w:t>
      </w:r>
      <w:r>
        <w:rPr>
          <w:rFonts w:hint="eastAsia" w:cs="微软雅黑" w:asciiTheme="minorEastAsia" w:hAnsiTheme="minorEastAsia" w:eastAsiaTheme="minorEastAsia"/>
          <w:color w:val="000000" w:themeColor="text1"/>
          <w:kern w:val="0"/>
          <w:szCs w:val="21"/>
          <w14:textFill>
            <w14:solidFill>
              <w14:schemeClr w14:val="tx1"/>
            </w14:solidFill>
          </w14:textFill>
        </w:rPr>
        <w:t>目</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向</w:t>
      </w:r>
      <w:r>
        <w:rPr>
          <w:rFonts w:hint="eastAsia" w:cs="微软雅黑" w:asciiTheme="minorEastAsia" w:hAnsiTheme="minorEastAsia" w:eastAsiaTheme="minorEastAsia"/>
          <w:color w:val="000000" w:themeColor="text1"/>
          <w:kern w:val="0"/>
          <w:szCs w:val="21"/>
          <w14:textFill>
            <w14:solidFill>
              <w14:schemeClr w14:val="tx1"/>
            </w14:solidFill>
          </w14:textFill>
        </w:rPr>
        <w:t>采购人承</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担</w:t>
      </w:r>
      <w:r>
        <w:rPr>
          <w:rFonts w:hint="eastAsia" w:cs="微软雅黑" w:asciiTheme="minorEastAsia" w:hAnsiTheme="minorEastAsia" w:eastAsiaTheme="minorEastAsia"/>
          <w:color w:val="000000" w:themeColor="text1"/>
          <w:kern w:val="0"/>
          <w:szCs w:val="21"/>
          <w14:textFill>
            <w14:solidFill>
              <w14:schemeClr w14:val="tx1"/>
            </w14:solidFill>
          </w14:textFill>
        </w:rPr>
        <w:t>连带责</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任</w:t>
      </w:r>
      <w:r>
        <w:rPr>
          <w:rFonts w:hint="eastAsia" w:cs="微软雅黑" w:asciiTheme="minorEastAsia" w:hAnsiTheme="minorEastAsia" w:eastAsiaTheme="minorEastAsia"/>
          <w:color w:val="000000" w:themeColor="text1"/>
          <w:kern w:val="0"/>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31.4</w:t>
      </w:r>
      <w:r>
        <w:rPr>
          <w:rFonts w:hint="eastAsia" w:asciiTheme="minorEastAsia" w:hAnsiTheme="minorEastAsia" w:eastAsiaTheme="minorEastAsia"/>
          <w:color w:val="000000" w:themeColor="text1"/>
          <w:szCs w:val="21"/>
          <w14:textFill>
            <w14:solidFill>
              <w14:schemeClr w14:val="tx1"/>
            </w14:solidFill>
          </w14:textFill>
        </w:rPr>
        <w:t>中标合同将在法定的媒体上公告，但合同中涉及国家秘密、商业秘密的内容除外。</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31.5中标人</w:t>
      </w:r>
      <w:r>
        <w:rPr>
          <w:rFonts w:hint="eastAsia" w:asciiTheme="minorEastAsia" w:hAnsiTheme="minorEastAsia" w:eastAsiaTheme="minorEastAsia"/>
          <w:bCs/>
          <w:color w:val="000000" w:themeColor="text1"/>
          <w:szCs w:val="21"/>
          <w14:textFill>
            <w14:solidFill>
              <w14:schemeClr w14:val="tx1"/>
            </w14:solidFill>
          </w14:textFill>
        </w:rPr>
        <w:t>应当按照合同约定依法履行合同义务。政府采购合同的履行、违约责任和解决争议的方法等适用《中华人民共和国民法典》。</w:t>
      </w:r>
    </w:p>
    <w:p>
      <w:pPr>
        <w:adjustRightInd w:val="0"/>
        <w:snapToGrid w:val="0"/>
        <w:spacing w:before="157" w:beforeLines="50" w:line="360" w:lineRule="auto"/>
        <w:jc w:val="left"/>
        <w:rPr>
          <w:rFonts w:cs="宋体"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32.</w:t>
      </w:r>
      <w:r>
        <w:rPr>
          <w:rFonts w:hint="eastAsia" w:cs="宋体" w:asciiTheme="minorEastAsia" w:hAnsiTheme="minorEastAsia" w:eastAsiaTheme="minorEastAsia"/>
          <w:b/>
          <w:color w:val="000000" w:themeColor="text1"/>
          <w:kern w:val="0"/>
          <w:sz w:val="24"/>
          <w14:textFill>
            <w14:solidFill>
              <w14:schemeClr w14:val="tx1"/>
            </w14:solidFill>
          </w14:textFill>
        </w:rPr>
        <w:t xml:space="preserve"> 履约担保</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32.1</w:t>
      </w:r>
      <w:r>
        <w:rPr>
          <w:rFonts w:hint="eastAsia" w:asciiTheme="minorEastAsia" w:hAnsiTheme="minorEastAsia" w:eastAsiaTheme="minorEastAsia"/>
          <w:color w:val="000000" w:themeColor="text1"/>
          <w:szCs w:val="21"/>
          <w14:textFill>
            <w14:solidFill>
              <w14:schemeClr w14:val="tx1"/>
            </w14:solidFill>
          </w14:textFill>
        </w:rPr>
        <w:t>中标人在收到采购代理机构的《中标通知书》后10日内，</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bCs/>
          <w:color w:val="000000" w:themeColor="text1"/>
          <w:szCs w:val="21"/>
          <w14:textFill>
            <w14:solidFill>
              <w14:schemeClr w14:val="tx1"/>
            </w14:solidFill>
          </w14:textFill>
        </w:rPr>
        <w:t>规定</w:t>
      </w:r>
      <w:r>
        <w:rPr>
          <w:rFonts w:hint="eastAsia" w:asciiTheme="minorEastAsia" w:hAnsiTheme="minorEastAsia" w:eastAsiaTheme="minorEastAsia"/>
          <w:color w:val="000000" w:themeColor="text1"/>
          <w:szCs w:val="21"/>
          <w14:textFill>
            <w14:solidFill>
              <w14:schemeClr w14:val="tx1"/>
            </w14:solidFill>
          </w14:textFill>
        </w:rPr>
        <w:t>需向采购人提交履约担保的，应按照</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的规定提交。联合体中标的，履约担保由联合体各方或联合体中牵头人的名义提交。</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32.2中标人</w:t>
      </w:r>
      <w:r>
        <w:rPr>
          <w:rFonts w:hint="eastAsia" w:asciiTheme="minorEastAsia" w:hAnsiTheme="minorEastAsia" w:eastAsiaTheme="minorEastAsia"/>
          <w:color w:val="000000" w:themeColor="text1"/>
          <w:spacing w:val="4"/>
          <w:szCs w:val="21"/>
          <w14:textFill>
            <w14:solidFill>
              <w14:schemeClr w14:val="tx1"/>
            </w14:solidFill>
          </w14:textFill>
        </w:rPr>
        <w:t>没有按照本章第32.1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r>
        <w:rPr>
          <w:rFonts w:hint="eastAsia" w:asciiTheme="minorEastAsia" w:hAnsiTheme="minorEastAsia" w:eastAsiaTheme="minorEastAsia"/>
          <w:color w:val="000000" w:themeColor="text1"/>
          <w:spacing w:val="4"/>
          <w:szCs w:val="21"/>
          <w14:textFill>
            <w14:solidFill>
              <w14:schemeClr w14:val="tx1"/>
            </w14:solidFill>
          </w14:textFill>
        </w:rPr>
        <w:t>规定</w:t>
      </w:r>
      <w:r>
        <w:rPr>
          <w:rFonts w:hint="eastAsia" w:asciiTheme="minorEastAsia" w:hAnsiTheme="minorEastAsia" w:eastAsiaTheme="minorEastAsia"/>
          <w:color w:val="000000" w:themeColor="text1"/>
          <w:szCs w:val="21"/>
          <w14:textFill>
            <w14:solidFill>
              <w14:schemeClr w14:val="tx1"/>
            </w14:solidFill>
          </w14:textFill>
        </w:rPr>
        <w:t>提交履约担保的</w:t>
      </w:r>
      <w:r>
        <w:rPr>
          <w:rFonts w:hint="eastAsia" w:asciiTheme="minorEastAsia" w:hAnsiTheme="minorEastAsia" w:eastAsiaTheme="minorEastAsia"/>
          <w:color w:val="000000" w:themeColor="text1"/>
          <w:spacing w:val="4"/>
          <w:szCs w:val="21"/>
          <w14:textFill>
            <w14:solidFill>
              <w14:schemeClr w14:val="tx1"/>
            </w14:solidFill>
          </w14:textFill>
        </w:rPr>
        <w:t>，视为放弃中标，</w:t>
      </w:r>
      <w:r>
        <w:rPr>
          <w:rFonts w:hint="eastAsia" w:asciiTheme="minorEastAsia" w:hAnsiTheme="minorEastAsia" w:eastAsiaTheme="minorEastAsia"/>
          <w:color w:val="000000" w:themeColor="text1"/>
          <w:spacing w:val="2"/>
          <w:szCs w:val="21"/>
          <w14:textFill>
            <w14:solidFill>
              <w14:schemeClr w14:val="tx1"/>
            </w14:solidFill>
          </w14:textFill>
        </w:rPr>
        <w:t>其投标保证金不予退还。</w:t>
      </w:r>
    </w:p>
    <w:p>
      <w:pPr>
        <w:adjustRightInd w:val="0"/>
        <w:snapToGrid w:val="0"/>
        <w:spacing w:before="157" w:beforeLines="50" w:line="380" w:lineRule="exact"/>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33.</w:t>
      </w:r>
      <w:r>
        <w:rPr>
          <w:rFonts w:hint="eastAsia" w:asciiTheme="minorEastAsia" w:hAnsiTheme="minorEastAsia" w:eastAsiaTheme="minorEastAsia"/>
          <w:b/>
          <w:color w:val="000000" w:themeColor="text1"/>
          <w:sz w:val="24"/>
          <w14:textFill>
            <w14:solidFill>
              <w14:schemeClr w14:val="tx1"/>
            </w14:solidFill>
          </w14:textFill>
        </w:rPr>
        <w:t xml:space="preserve"> 政府采购合同履行中</w:t>
      </w:r>
      <w:r>
        <w:rPr>
          <w:rFonts w:hint="eastAsia" w:asciiTheme="minorEastAsia" w:hAnsiTheme="minorEastAsia" w:eastAsiaTheme="minorEastAsia"/>
          <w:b/>
          <w:bCs/>
          <w:color w:val="000000" w:themeColor="text1"/>
          <w:sz w:val="24"/>
          <w14:textFill>
            <w14:solidFill>
              <w14:schemeClr w14:val="tx1"/>
            </w14:solidFill>
          </w14:textFill>
        </w:rPr>
        <w:t>数量的变更</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33.1政府采购合同履行中，采购人需追加与合同标的相同的货物服务的，在不改变合同其他条款的前提下，可以与中标人协商签订补充合同，但补充合同的采购金额不得超过原合同采购金额的百分之十。</w:t>
      </w:r>
    </w:p>
    <w:p>
      <w:pPr>
        <w:pStyle w:val="7"/>
        <w:adjustRightInd w:val="0"/>
        <w:snapToGrid w:val="0"/>
        <w:spacing w:before="157" w:beforeLines="50" w:after="0" w:line="380" w:lineRule="exact"/>
        <w:jc w:val="center"/>
        <w:rPr>
          <w:rFonts w:ascii="黑体" w:hAnsi="黑体" w:eastAsia="黑体"/>
          <w:color w:val="000000" w:themeColor="text1"/>
          <w:sz w:val="28"/>
          <w:szCs w:val="28"/>
          <w14:textFill>
            <w14:solidFill>
              <w14:schemeClr w14:val="tx1"/>
            </w14:solidFill>
          </w14:textFill>
        </w:rPr>
      </w:pPr>
      <w:bookmarkStart w:id="34" w:name="_Toc8983717"/>
      <w:bookmarkStart w:id="35" w:name="_Toc23212"/>
      <w:r>
        <w:rPr>
          <w:rFonts w:hint="eastAsia" w:ascii="黑体" w:hAnsi="黑体" w:eastAsia="黑体"/>
          <w:color w:val="000000" w:themeColor="text1"/>
          <w:sz w:val="28"/>
          <w:szCs w:val="28"/>
          <w14:textFill>
            <w14:solidFill>
              <w14:schemeClr w14:val="tx1"/>
            </w14:solidFill>
          </w14:textFill>
        </w:rPr>
        <w:t>八、其他规定</w:t>
      </w:r>
      <w:bookmarkEnd w:id="34"/>
      <w:bookmarkEnd w:id="35"/>
    </w:p>
    <w:p>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34.</w:t>
      </w:r>
      <w:r>
        <w:rPr>
          <w:rFonts w:hint="eastAsia" w:asciiTheme="minorEastAsia" w:hAnsiTheme="minorEastAsia" w:eastAsiaTheme="minorEastAsia"/>
          <w:b/>
          <w:color w:val="000000" w:themeColor="text1"/>
          <w:sz w:val="24"/>
          <w14:textFill>
            <w14:solidFill>
              <w14:schemeClr w14:val="tx1"/>
            </w14:solidFill>
          </w14:textFill>
        </w:rPr>
        <w:t>政府采购政策</w:t>
      </w:r>
    </w:p>
    <w:p>
      <w:pPr>
        <w:adjustRightInd w:val="0"/>
        <w:snapToGrid w:val="0"/>
        <w:spacing w:before="157" w:beforeLines="50" w:line="380" w:lineRule="exact"/>
        <w:ind w:firstLine="420" w:firstLineChars="200"/>
        <w:jc w:val="left"/>
        <w:rPr>
          <w:rFonts w:cs="宋体" w:asciiTheme="minorEastAsia" w:hAnsiTheme="minorEastAsia" w:eastAsiaTheme="minorEastAsia"/>
          <w:color w:val="000000" w:themeColor="text1"/>
          <w:kern w:val="0"/>
          <w14:textFill>
            <w14:solidFill>
              <w14:schemeClr w14:val="tx1"/>
            </w14:solidFill>
          </w14:textFill>
        </w:rPr>
      </w:pPr>
      <w:r>
        <w:rPr>
          <w:rFonts w:hint="eastAsia" w:cs="宋体" w:asciiTheme="minorEastAsia" w:hAnsiTheme="minorEastAsia" w:eastAsiaTheme="minorEastAsia"/>
          <w:color w:val="000000" w:themeColor="text1"/>
          <w:kern w:val="0"/>
          <w14:textFill>
            <w14:solidFill>
              <w14:schemeClr w14:val="tx1"/>
            </w14:solidFill>
          </w14:textFill>
        </w:rPr>
        <w:t>34.1优先采购：</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纳入财政部会同国务院有关部门发布的节能产品、环境标志产品政府采购品目清单，实施政府优先采购的，评审时按相应评标方法给予价格折扣或者加分；</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（2）纳入湖南省财政厅等有关部门发布的湖南省两型产品政府采购目录的，实施政府优先采购，评审时按相应评标方法给予价格折扣或者加分。</w:t>
      </w:r>
    </w:p>
    <w:p>
      <w:pPr>
        <w:adjustRightInd w:val="0"/>
        <w:snapToGrid w:val="0"/>
        <w:spacing w:before="157" w:beforeLines="50" w:line="380" w:lineRule="exact"/>
        <w:ind w:firstLine="420" w:firstLineChars="200"/>
        <w:jc w:val="left"/>
        <w:rPr>
          <w:rFonts w:cs="宋体" w:asciiTheme="minorEastAsia" w:hAnsiTheme="minorEastAsia" w:eastAsiaTheme="minorEastAsia"/>
          <w:color w:val="000000" w:themeColor="text1"/>
          <w:kern w:val="0"/>
          <w14:textFill>
            <w14:solidFill>
              <w14:schemeClr w14:val="tx1"/>
            </w14:solidFill>
          </w14:textFill>
        </w:rPr>
      </w:pPr>
      <w:r>
        <w:rPr>
          <w:rFonts w:hint="eastAsia" w:cs="宋体" w:asciiTheme="minorEastAsia" w:hAnsiTheme="minorEastAsia" w:eastAsiaTheme="minorEastAsia"/>
          <w:color w:val="000000" w:themeColor="text1"/>
          <w:kern w:val="0"/>
          <w14:textFill>
            <w14:solidFill>
              <w14:schemeClr w14:val="tx1"/>
            </w14:solidFill>
          </w14:textFill>
        </w:rPr>
        <w:t>34.2强制采购：</w:t>
      </w:r>
    </w:p>
    <w:p>
      <w:pPr>
        <w:adjustRightInd w:val="0"/>
        <w:snapToGrid w:val="0"/>
        <w:spacing w:before="157" w:beforeLines="50" w:line="380" w:lineRule="exact"/>
        <w:ind w:firstLine="420" w:firstLineChars="200"/>
        <w:jc w:val="left"/>
        <w:rPr>
          <w:rFonts w:cs="宋体" w:asciiTheme="minorEastAsia" w:hAnsiTheme="minorEastAsia" w:eastAsiaTheme="minorEastAsia"/>
          <w:color w:val="000000" w:themeColor="text1"/>
          <w:kern w:val="0"/>
          <w14:textFill>
            <w14:solidFill>
              <w14:schemeClr w14:val="tx1"/>
            </w14:solidFill>
          </w14:textFill>
        </w:rPr>
      </w:pPr>
      <w:r>
        <w:rPr>
          <w:rFonts w:hint="eastAsia" w:cs="宋体" w:asciiTheme="minorEastAsia" w:hAnsiTheme="minorEastAsia" w:eastAsiaTheme="minorEastAsia"/>
          <w:color w:val="000000" w:themeColor="text1"/>
          <w:kern w:val="0"/>
          <w14:textFill>
            <w14:solidFill>
              <w14:schemeClr w14:val="tx1"/>
            </w14:solidFill>
          </w14:textFill>
        </w:rPr>
        <w:t>（1）纳入财政部会同国务院有关部门发布的节能产品政府采购品目清单，实施政府强制采购的（品目清单标注</w:t>
      </w:r>
      <w:r>
        <w:rPr>
          <w:rFonts w:hint="eastAsia" w:cs="宋体" w:asciiTheme="minorEastAsia" w:hAnsiTheme="minorEastAsia" w:eastAsiaTheme="minorEastAsia"/>
          <w:color w:val="000000" w:themeColor="text1"/>
          <w:kern w:val="0"/>
          <w14:textFill>
            <w14:solidFill>
              <w14:schemeClr w14:val="tx1"/>
            </w14:solidFill>
          </w14:textFill>
        </w:rPr>
        <w:sym w:font="Wingdings" w:char="F0AB"/>
      </w:r>
      <w:r>
        <w:rPr>
          <w:rFonts w:hint="eastAsia" w:cs="宋体" w:asciiTheme="minorEastAsia" w:hAnsiTheme="minorEastAsia" w:eastAsiaTheme="minorEastAsia"/>
          <w:color w:val="000000" w:themeColor="text1"/>
          <w:kern w:val="0"/>
          <w14:textFill>
            <w14:solidFill>
              <w14:schemeClr w14:val="tx1"/>
            </w14:solidFill>
          </w14:textFill>
        </w:rPr>
        <w:t>符号产品），投标人投标产品应当取得国家确定的认证机构出具的、处于有效期之内的节能产品认证证书，否则，其</w:t>
      </w:r>
      <w:r>
        <w:rPr>
          <w:rFonts w:hint="eastAsia" w:cs="宋体" w:asciiTheme="minorEastAsia" w:hAnsiTheme="minorEastAsia" w:eastAsiaTheme="minorEastAsia"/>
          <w:color w:val="000000" w:themeColor="text1"/>
          <w:kern w:val="0"/>
          <w:szCs w:val="21"/>
          <w14:textFill>
            <w14:solidFill>
              <w14:schemeClr w14:val="tx1"/>
            </w14:solidFill>
          </w14:textFill>
        </w:rPr>
        <w:t>投标无效</w:t>
      </w:r>
      <w:r>
        <w:rPr>
          <w:rFonts w:hint="eastAsia" w:cs="宋体" w:asciiTheme="minorEastAsia" w:hAnsiTheme="minorEastAsia" w:eastAsiaTheme="minorEastAsia"/>
          <w:color w:val="000000" w:themeColor="text1"/>
          <w:kern w:val="0"/>
          <w14:textFill>
            <w14:solidFill>
              <w14:schemeClr w14:val="tx1"/>
            </w14:solidFill>
          </w14:textFill>
        </w:rPr>
        <w:t>。</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34.3价格评审优惠：</w:t>
      </w:r>
    </w:p>
    <w:p>
      <w:pPr>
        <w:adjustRightInd w:val="0"/>
        <w:snapToGrid w:val="0"/>
        <w:spacing w:before="157" w:beforeLines="50" w:line="380" w:lineRule="exact"/>
        <w:ind w:firstLine="420" w:firstLineChars="200"/>
        <w:jc w:val="left"/>
        <w:rPr>
          <w:rFonts w:hint="eastAsia" w:cs="Times New Roman" w:asciiTheme="minorEastAsia" w:hAnsiTheme="minorEastAsia" w:eastAsiaTheme="minorEastAsia"/>
          <w:color w:val="000000" w:themeColor="text1"/>
          <w14:textFill>
            <w14:solidFill>
              <w14:schemeClr w14:val="tx1"/>
            </w14:solidFill>
          </w14:textFill>
        </w:rPr>
      </w:pPr>
      <w:r>
        <w:rPr>
          <w:rFonts w:hint="eastAsia" w:cs="Times New Roman" w:asciiTheme="minorEastAsia" w:hAnsiTheme="minorEastAsia" w:eastAsiaTheme="minorEastAsia"/>
          <w:color w:val="000000" w:themeColor="text1"/>
          <w14:textFill>
            <w14:solidFill>
              <w14:schemeClr w14:val="tx1"/>
            </w14:solidFill>
          </w14:textFill>
        </w:rPr>
        <w:t>（1）投标人为小型、微型企业，且提供本企业生产的产品或者提供其他小型、微型企业生产的产品，投标价格给予一定的价格折扣，用扣除后的价格参与评审；</w:t>
      </w:r>
    </w:p>
    <w:p>
      <w:pPr>
        <w:adjustRightInd w:val="0"/>
        <w:snapToGrid w:val="0"/>
        <w:spacing w:before="157" w:beforeLines="50" w:line="380" w:lineRule="exact"/>
        <w:ind w:firstLine="420" w:firstLineChars="200"/>
        <w:jc w:val="left"/>
        <w:rPr>
          <w:rFonts w:hint="eastAsia" w:cs="Times New Roman" w:asciiTheme="minorEastAsia" w:hAnsiTheme="minorEastAsia" w:eastAsiaTheme="minorEastAsia"/>
          <w:color w:val="000000" w:themeColor="text1"/>
          <w14:textFill>
            <w14:solidFill>
              <w14:schemeClr w14:val="tx1"/>
            </w14:solidFill>
          </w14:textFill>
        </w:rPr>
      </w:pPr>
      <w:r>
        <w:rPr>
          <w:rFonts w:hint="eastAsia" w:cs="Times New Roman" w:asciiTheme="minorEastAsia" w:hAnsiTheme="minorEastAsia" w:eastAsiaTheme="minorEastAsia"/>
          <w:color w:val="000000" w:themeColor="text1"/>
          <w14:textFill>
            <w14:solidFill>
              <w14:schemeClr w14:val="tx1"/>
            </w14:solidFill>
          </w14:textFill>
        </w:rPr>
        <w:t>（2）监狱企业、残疾人福利性单位视同小型、微型企业，享受评审中价格扣除等促进中小企业发展的政府采购政策。</w:t>
      </w:r>
    </w:p>
    <w:p>
      <w:pPr>
        <w:adjustRightInd w:val="0"/>
        <w:snapToGrid w:val="0"/>
        <w:spacing w:before="157" w:beforeLines="50" w:line="380" w:lineRule="exact"/>
        <w:ind w:firstLine="420" w:firstLineChars="200"/>
        <w:jc w:val="left"/>
        <w:rPr>
          <w:rFonts w:hint="default" w:cs="Times New Roman" w:asciiTheme="minorEastAsia" w:hAnsiTheme="minorEastAsia" w:eastAsiaTheme="minorEastAsia"/>
          <w:color w:val="000000" w:themeColor="text1"/>
          <w:lang w:val="en-US" w:eastAsia="zh-CN"/>
          <w14:textFill>
            <w14:solidFill>
              <w14:schemeClr w14:val="tx1"/>
            </w14:solidFill>
          </w14:textFill>
        </w:rPr>
      </w:pPr>
      <w:r>
        <w:rPr>
          <w:rFonts w:hint="eastAsia" w:cs="Times New Roman" w:asciiTheme="minorEastAsia" w:hAnsiTheme="minorEastAsia" w:eastAsiaTheme="minorEastAsia"/>
          <w:color w:val="000000" w:themeColor="text1"/>
          <w:lang w:val="en-US" w:eastAsia="zh-CN"/>
          <w14:textFill>
            <w14:solidFill>
              <w14:schemeClr w14:val="tx1"/>
            </w14:solidFill>
          </w14:textFill>
        </w:rPr>
        <w:t>（3）在货物采购项目中，供应商提供的货物既有中小企业制造货物，也有大型企业制造货物的，不享受本办法规定的中小企业扶持政策。</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33.4政府采购政策交叉与叠加</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（1）优先采购同时属于“节能产品”、“环境标志产品”及“两型产品”的，评审时只有其中一项产品能享受优先采购优惠（投标人自行选择，并在投标文件中并填报相关信息及数据）；</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（2）监狱企业、残疾人福利性单位同时属于小型、微型企业的，不重复享受价格评审优惠政策；</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（3）小型和微型企业的价格评审优惠可以与同时属于“节能产品”、“环境标志产品”及“两型产品”中的一项优先采购优惠累加计算。</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34.5部分投标产品属于优先采购的，评审时只对该部分产品的报价实行价格扣除及加分。投标人应按本章第34.6款规定提供相关证明资料，并按第六章第三节“投标分项价格表”格式提供相关报价。</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34.6投标人符合本章第34.1款、第34.2款、第34.3款规定的，应提供相关证明资料。</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（1）节能产品、环境标志产品：提供国家确定的认证机构出具的、处于有效期之内的节能产品、环境标志产品认证证书（复印件）。</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（2）两型产品：提供《湖南省两型产品政府采购目录》（最新一期）文件首页和投标产品所在页（截图）。</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lang w:val="en-US" w:eastAsia="zh-CN"/>
          <w14:textFill>
            <w14:solidFill>
              <w14:schemeClr w14:val="tx1"/>
            </w14:solidFill>
          </w14:textFill>
        </w:rPr>
        <w:t>（3）小微企业：按《政府采购促进中小企业发展管理办法》（财库[2020]46号）规定，投标人提供《小型、微型企业声明函》（格式）</w:t>
      </w:r>
      <w:r>
        <w:rPr>
          <w:rFonts w:hint="eastAsia" w:asciiTheme="minorEastAsia" w:hAnsiTheme="minorEastAsia" w:eastAsiaTheme="minorEastAsia"/>
          <w:color w:val="000000" w:themeColor="text1"/>
          <w14:textFill>
            <w14:solidFill>
              <w14:schemeClr w14:val="tx1"/>
            </w14:solidFill>
          </w14:textFill>
        </w:rPr>
        <w:t>。</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（4）监狱企业：按《关于政府采购支持监狱企业发展有关问题的通知》(财库〔2014〕68号)文件规定提供证明文件（复印件）。</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（5）残疾人福利性单位：按《关于促进残疾人就业政府采购政策的通知》(财库〔2017〕141号)文件规定提供《残疾人福利性单位声明函》（格式）。</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34.7投标人有融资、担保需求的，</w:t>
      </w:r>
      <w:r>
        <w:rPr>
          <w:rFonts w:hint="eastAsia" w:asciiTheme="minorEastAsia" w:hAnsiTheme="minorEastAsia" w:eastAsiaTheme="minorEastAsia"/>
          <w:color w:val="000000" w:themeColor="text1"/>
          <w:lang w:eastAsia="zh-CN"/>
          <w14:textFill>
            <w14:solidFill>
              <w14:schemeClr w14:val="tx1"/>
            </w14:solidFill>
          </w14:textFill>
        </w:rPr>
        <w:t>可登录中国</w:t>
      </w:r>
      <w:r>
        <w:rPr>
          <w:rFonts w:hint="eastAsia" w:asciiTheme="minorEastAsia" w:hAnsiTheme="minorEastAsia" w:eastAsiaTheme="minorEastAsia"/>
          <w:color w:val="000000" w:themeColor="text1"/>
          <w14:textFill>
            <w14:solidFill>
              <w14:schemeClr w14:val="tx1"/>
            </w14:solidFill>
          </w14:textFill>
        </w:rPr>
        <w:t>湖南政府采购网查询相关银行、担保机构业务。</w:t>
      </w:r>
    </w:p>
    <w:p>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35.</w:t>
      </w:r>
      <w:r>
        <w:rPr>
          <w:rFonts w:hint="eastAsia" w:asciiTheme="minorEastAsia" w:hAnsiTheme="minorEastAsia" w:eastAsiaTheme="minorEastAsia"/>
          <w:b/>
          <w:color w:val="000000" w:themeColor="text1"/>
          <w:sz w:val="24"/>
          <w14:textFill>
            <w14:solidFill>
              <w14:schemeClr w14:val="tx1"/>
            </w14:solidFill>
          </w14:textFill>
        </w:rPr>
        <w:t>招标不足三家处理</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35.1公开招标数额标准以上的采购项目，投标截止后投标人不足3家或者通过资格审查或符合性审查的投标人不足3家的，除采购任务取消情形外，按照以下方式处理：</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（1）招标文件存在不合理条款或者招标程序不符合规定的，采购人或者采购代理机构改正后依法重新招标；</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（2）招标文件没有不合理条款、招标程序符合规定，需要采用其他采购方式采购的，采购人应当依法报财政部门批准。</w:t>
      </w:r>
    </w:p>
    <w:p>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36.</w:t>
      </w:r>
      <w:r>
        <w:rPr>
          <w:rFonts w:hint="eastAsia" w:asciiTheme="minorEastAsia" w:hAnsiTheme="minorEastAsia" w:eastAsiaTheme="minorEastAsia"/>
          <w:b/>
          <w:color w:val="000000" w:themeColor="text1"/>
          <w:sz w:val="24"/>
          <w14:textFill>
            <w14:solidFill>
              <w14:schemeClr w14:val="tx1"/>
            </w14:solidFill>
          </w14:textFill>
        </w:rPr>
        <w:t xml:space="preserve"> 招标代理服务费</w:t>
      </w:r>
    </w:p>
    <w:p>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36.1招标代理服务费由中标人支付的，投标人应按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规定向采购代理机构交纳招标代理服务费，并在投标文件中提供招标代理服务费承诺书。</w:t>
      </w:r>
    </w:p>
    <w:p>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kern w:val="0"/>
          <w:sz w:val="24"/>
          <w14:textFill>
            <w14:solidFill>
              <w14:schemeClr w14:val="tx1"/>
            </w14:solidFill>
          </w14:textFill>
        </w:rPr>
        <w:t>37.</w:t>
      </w:r>
      <w:r>
        <w:rPr>
          <w:rFonts w:hint="eastAsia" w:asciiTheme="minorEastAsia" w:hAnsiTheme="minorEastAsia" w:eastAsiaTheme="minorEastAsia"/>
          <w:b/>
          <w:color w:val="000000" w:themeColor="text1"/>
          <w:sz w:val="24"/>
          <w14:textFill>
            <w14:solidFill>
              <w14:schemeClr w14:val="tx1"/>
            </w14:solidFill>
          </w14:textFill>
        </w:rPr>
        <w:t xml:space="preserve"> 需要补充的其他内容</w:t>
      </w:r>
    </w:p>
    <w:p>
      <w:pPr>
        <w:adjustRightInd w:val="0"/>
        <w:snapToGrid w:val="0"/>
        <w:spacing w:line="380" w:lineRule="exact"/>
        <w:rPr>
          <w:rFonts w:ascii="宋体" w:hAnsi="宋体" w:cs="宋体"/>
          <w:szCs w:val="21"/>
        </w:rPr>
      </w:pPr>
      <w:r>
        <w:rPr>
          <w:rFonts w:hint="eastAsia" w:asciiTheme="minorEastAsia" w:hAnsiTheme="minorEastAsia" w:eastAsiaTheme="minorEastAsia"/>
          <w:color w:val="000000" w:themeColor="text1"/>
          <w14:textFill>
            <w14:solidFill>
              <w14:schemeClr w14:val="tx1"/>
            </w14:solidFill>
          </w14:textFill>
        </w:rPr>
        <w:t>37.1招标文件需要补充的其</w:t>
      </w:r>
      <w:r>
        <w:rPr>
          <w:rFonts w:hint="eastAsia" w:asciiTheme="minorEastAsia" w:hAnsiTheme="minorEastAsia" w:eastAsiaTheme="minorEastAsia"/>
          <w:color w:val="000000" w:themeColor="text1"/>
          <w:szCs w:val="21"/>
          <w14:textFill>
            <w14:solidFill>
              <w14:schemeClr w14:val="tx1"/>
            </w14:solidFill>
          </w14:textFill>
        </w:rPr>
        <w:t>他内容见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s="宋体"/>
          <w:szCs w:val="21"/>
        </w:rPr>
        <w:br w:type="page"/>
      </w:r>
    </w:p>
    <w:p>
      <w:pPr>
        <w:pStyle w:val="44"/>
        <w:rPr>
          <w:rFonts w:ascii="宋体" w:hAnsi="宋体" w:cs="宋体"/>
          <w:szCs w:val="21"/>
        </w:rPr>
      </w:pPr>
    </w:p>
    <w:p>
      <w:pPr>
        <w:pStyle w:val="5"/>
        <w:rPr>
          <w:rFonts w:ascii="黑体" w:hAnsi="黑体" w:eastAsia="黑体"/>
          <w:color w:val="000000" w:themeColor="text1"/>
          <w:sz w:val="32"/>
          <w:szCs w:val="32"/>
          <w14:textFill>
            <w14:solidFill>
              <w14:schemeClr w14:val="tx1"/>
            </w14:solidFill>
          </w14:textFill>
        </w:rPr>
      </w:pPr>
      <w:bookmarkStart w:id="36" w:name="_Toc20582"/>
      <w:bookmarkStart w:id="37" w:name="_Toc23385"/>
      <w:bookmarkStart w:id="38" w:name="_Toc8983718"/>
      <w:r>
        <w:rPr>
          <w:rFonts w:hint="eastAsia" w:ascii="黑体" w:hAnsi="黑体" w:eastAsia="黑体"/>
          <w:color w:val="000000" w:themeColor="text1"/>
          <w:sz w:val="32"/>
          <w:szCs w:val="32"/>
          <w14:textFill>
            <w14:solidFill>
              <w14:schemeClr w14:val="tx1"/>
            </w14:solidFill>
          </w14:textFill>
        </w:rPr>
        <w:t>第三章 资格审查</w:t>
      </w:r>
      <w:bookmarkEnd w:id="36"/>
      <w:bookmarkEnd w:id="37"/>
      <w:bookmarkEnd w:id="38"/>
    </w:p>
    <w:p>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39" w:name="_Toc8983719"/>
      <w:r>
        <w:rPr>
          <w:rFonts w:hint="eastAsia" w:ascii="黑体" w:hAnsi="黑体" w:eastAsia="黑体"/>
          <w:color w:val="000000" w:themeColor="text1"/>
          <w:sz w:val="24"/>
          <w:szCs w:val="24"/>
          <w14:textFill>
            <w14:solidFill>
              <w14:schemeClr w14:val="tx1"/>
            </w14:solidFill>
          </w14:textFill>
        </w:rPr>
        <w:t>1．资格审查主体</w:t>
      </w:r>
      <w:bookmarkEnd w:id="39"/>
    </w:p>
    <w:p>
      <w:pPr>
        <w:adjustRightInd w:val="0"/>
        <w:snapToGrid w:val="0"/>
        <w:spacing w:before="157" w:beforeLines="50" w:line="360" w:lineRule="auto"/>
        <w:ind w:firstLine="417" w:firstLineChars="199"/>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1.1资格审查主体：采购人及采购代理机构负责资格审查。</w:t>
      </w:r>
    </w:p>
    <w:p>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40" w:name="_Toc8983720"/>
      <w:r>
        <w:rPr>
          <w:rFonts w:hint="eastAsia" w:ascii="黑体" w:hAnsi="黑体" w:eastAsia="黑体"/>
          <w:color w:val="000000" w:themeColor="text1"/>
          <w:sz w:val="24"/>
          <w:szCs w:val="24"/>
          <w14:textFill>
            <w14:solidFill>
              <w14:schemeClr w14:val="tx1"/>
            </w14:solidFill>
          </w14:textFill>
        </w:rPr>
        <w:t>2．资格审查</w:t>
      </w:r>
      <w:bookmarkEnd w:id="40"/>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2.1资格审查依据法律法规和招标文件的规定，对投标文件中的资格证明文件等进行审查，以确定投标人是否符合招标文件规定的资格条件。</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2.2除第二章第15.1款另有规定外，采购人及采购代理机构按附表1所列审查项目及审查标准，对投标人资格进行审查。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2.3在资格审查时，投标人存在下列情况之一的，资格审查不合格，其投标无效：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（1）不具备招标文件中规定的资格要求的，或提交的资格证明文件不符合招标文件要求的；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（2）联合体投标未提交联合体协议书，或未提交联合体各方资格证明文件的；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（3）投标文件的资格证明文件未按照招标文件要求签署、盖章的；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（4）未按照招标文件的规定提交投标保证金的。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（5）投标报价超过招标文件中规定的预算金额或者最高限价的；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（6）法律、法规和招标文件规定的其他投标无效情形的。</w:t>
      </w:r>
    </w:p>
    <w:p>
      <w:pPr>
        <w:adjustRightInd w:val="0"/>
        <w:snapToGrid w:val="0"/>
        <w:spacing w:before="157" w:beforeLines="50" w:line="360" w:lineRule="auto"/>
        <w:ind w:firstLine="420" w:firstLineChars="200"/>
        <w:jc w:val="lef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2.4信用记录。开标结束后</w:t>
      </w:r>
      <w:r>
        <w:rPr>
          <w:rFonts w:hint="eastAsia" w:asciiTheme="minorEastAsia" w:hAnsiTheme="minorEastAsia" w:eastAsiaTheme="minorEastAsia"/>
          <w:color w:val="000000" w:themeColor="text1"/>
          <w:szCs w:val="21"/>
          <w14:textFill>
            <w14:solidFill>
              <w14:schemeClr w14:val="tx1"/>
            </w14:solidFill>
          </w14:textFill>
        </w:rPr>
        <w:t>资格审查时，采购人及采购代理机构将对投标人信用记录进行甄别。</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（1）信用信息查询的查询渠道：  中国政府采购网（www.ccgp.gov.cn）；</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（3）联合体形式投标的，联合体成员存在不良信用记录的，视同联合体存在不良信用记录。</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（4）信用信息查询记录和证据留存具体方式：</w:t>
      </w:r>
      <w:r>
        <w:rPr>
          <w:rFonts w:hint="eastAsia" w:ascii="宋体" w:hAnsi="宋体"/>
          <w:color w:val="000000" w:themeColor="text1"/>
          <w:sz w:val="22"/>
          <w:szCs w:val="22"/>
          <w14:textFill>
            <w14:solidFill>
              <w14:schemeClr w14:val="tx1"/>
            </w14:solidFill>
          </w14:textFill>
        </w:rPr>
        <w:t>采购人及采购代理机构</w:t>
      </w:r>
      <w:r>
        <w:rPr>
          <w:rFonts w:ascii="宋体" w:hAnsi="宋体"/>
          <w:color w:val="000000" w:themeColor="text1"/>
          <w:sz w:val="22"/>
          <w:szCs w:val="22"/>
          <w14:textFill>
            <w14:solidFill>
              <w14:schemeClr w14:val="tx1"/>
            </w14:solidFill>
          </w14:textFill>
        </w:rPr>
        <w:t>经办人将查询网页</w:t>
      </w:r>
      <w:r>
        <w:rPr>
          <w:rFonts w:hint="eastAsia" w:ascii="宋体" w:hAnsi="宋体"/>
          <w:color w:val="000000" w:themeColor="text1"/>
          <w:sz w:val="22"/>
          <w:szCs w:val="22"/>
          <w14:textFill>
            <w14:solidFill>
              <w14:schemeClr w14:val="tx1"/>
            </w14:solidFill>
          </w14:textFill>
        </w:rPr>
        <w:t>截图、</w:t>
      </w:r>
      <w:r>
        <w:rPr>
          <w:rFonts w:ascii="宋体" w:hAnsi="宋体"/>
          <w:color w:val="000000" w:themeColor="text1"/>
          <w:sz w:val="22"/>
          <w:szCs w:val="22"/>
          <w14:textFill>
            <w14:solidFill>
              <w14:schemeClr w14:val="tx1"/>
            </w14:solidFill>
          </w14:textFill>
        </w:rPr>
        <w:t>打印、签字</w:t>
      </w:r>
      <w:r>
        <w:rPr>
          <w:rFonts w:hint="eastAsia" w:ascii="宋体" w:hAnsi="宋体"/>
          <w:color w:val="000000" w:themeColor="text1"/>
          <w:sz w:val="22"/>
          <w:szCs w:val="22"/>
          <w14:textFill>
            <w14:solidFill>
              <w14:schemeClr w14:val="tx1"/>
            </w14:solidFill>
          </w14:textFill>
        </w:rPr>
        <w:t>，作为查询记录和证据，与其他采购文件一并保存。</w:t>
      </w:r>
      <w:r>
        <w:rPr>
          <w:rFonts w:ascii="宋体" w:hAnsi="宋体"/>
          <w:color w:val="000000" w:themeColor="text1"/>
          <w:sz w:val="22"/>
          <w:szCs w:val="22"/>
          <w14:textFill>
            <w14:solidFill>
              <w14:schemeClr w14:val="tx1"/>
            </w14:solidFill>
          </w14:textFill>
        </w:rPr>
        <w:t>投标人不良信用记录以</w:t>
      </w:r>
      <w:r>
        <w:rPr>
          <w:rFonts w:hint="eastAsia" w:ascii="宋体" w:hAnsi="宋体"/>
          <w:color w:val="000000" w:themeColor="text1"/>
          <w:sz w:val="22"/>
          <w:szCs w:val="22"/>
          <w14:textFill>
            <w14:solidFill>
              <w14:schemeClr w14:val="tx1"/>
            </w14:solidFill>
          </w14:textFill>
        </w:rPr>
        <w:t>采购人及采购代理机构</w:t>
      </w:r>
      <w:r>
        <w:rPr>
          <w:rFonts w:ascii="宋体" w:hAnsi="宋体"/>
          <w:color w:val="000000" w:themeColor="text1"/>
          <w:sz w:val="22"/>
          <w:szCs w:val="22"/>
          <w14:textFill>
            <w14:solidFill>
              <w14:schemeClr w14:val="tx1"/>
            </w14:solidFill>
          </w14:textFill>
        </w:rPr>
        <w:t>查询结果为准</w:t>
      </w:r>
      <w:r>
        <w:rPr>
          <w:rFonts w:hint="eastAsia" w:ascii="宋体" w:hAnsi="宋体"/>
          <w:color w:val="000000" w:themeColor="text1"/>
          <w:sz w:val="22"/>
          <w:szCs w:val="22"/>
          <w14:textFill>
            <w14:solidFill>
              <w14:schemeClr w14:val="tx1"/>
            </w14:solidFill>
          </w14:textFill>
        </w:rPr>
        <w:t>。采购人及采购代理机构</w:t>
      </w:r>
      <w:r>
        <w:rPr>
          <w:rFonts w:ascii="宋体" w:hAnsi="宋体"/>
          <w:color w:val="000000" w:themeColor="text1"/>
          <w:sz w:val="22"/>
          <w:szCs w:val="22"/>
          <w14:textFill>
            <w14:solidFill>
              <w14:schemeClr w14:val="tx1"/>
            </w14:solidFill>
          </w14:textFill>
        </w:rPr>
        <w:t>查询之后，</w:t>
      </w:r>
      <w:r>
        <w:rPr>
          <w:rFonts w:hint="eastAsia" w:ascii="宋体" w:hAnsi="宋体"/>
          <w:color w:val="000000" w:themeColor="text1"/>
          <w:sz w:val="22"/>
          <w:szCs w:val="22"/>
          <w14:textFill>
            <w14:solidFill>
              <w14:schemeClr w14:val="tx1"/>
            </w14:solidFill>
          </w14:textFill>
        </w:rPr>
        <w:t>本章指定</w:t>
      </w:r>
      <w:r>
        <w:rPr>
          <w:rFonts w:ascii="宋体" w:hAnsi="宋体"/>
          <w:color w:val="000000" w:themeColor="text1"/>
          <w:sz w:val="22"/>
          <w:szCs w:val="22"/>
          <w14:textFill>
            <w14:solidFill>
              <w14:schemeClr w14:val="tx1"/>
            </w14:solidFill>
          </w14:textFill>
        </w:rPr>
        <w:t>网站信息发生的任何变更均不再作为</w:t>
      </w:r>
      <w:r>
        <w:rPr>
          <w:rFonts w:hint="eastAsia" w:ascii="宋体" w:hAnsi="宋体"/>
          <w:color w:val="000000" w:themeColor="text1"/>
          <w:sz w:val="22"/>
          <w:szCs w:val="22"/>
          <w14:textFill>
            <w14:solidFill>
              <w14:schemeClr w14:val="tx1"/>
            </w14:solidFill>
          </w14:textFill>
        </w:rPr>
        <w:t>资格审查</w:t>
      </w:r>
      <w:r>
        <w:rPr>
          <w:rFonts w:ascii="宋体" w:hAnsi="宋体"/>
          <w:color w:val="000000" w:themeColor="text1"/>
          <w:sz w:val="22"/>
          <w:szCs w:val="22"/>
          <w14:textFill>
            <w14:solidFill>
              <w14:schemeClr w14:val="tx1"/>
            </w14:solidFill>
          </w14:textFill>
        </w:rPr>
        <w:t>依据，投标人自行提供的与</w:t>
      </w:r>
      <w:r>
        <w:rPr>
          <w:rFonts w:hint="eastAsia" w:ascii="宋体" w:hAnsi="宋体"/>
          <w:color w:val="000000" w:themeColor="text1"/>
          <w:sz w:val="22"/>
          <w:szCs w:val="22"/>
          <w14:textFill>
            <w14:solidFill>
              <w14:schemeClr w14:val="tx1"/>
            </w14:solidFill>
          </w14:textFill>
        </w:rPr>
        <w:t>本章指定</w:t>
      </w:r>
      <w:r>
        <w:rPr>
          <w:rFonts w:ascii="宋体" w:hAnsi="宋体"/>
          <w:color w:val="000000" w:themeColor="text1"/>
          <w:sz w:val="22"/>
          <w:szCs w:val="22"/>
          <w14:textFill>
            <w14:solidFill>
              <w14:schemeClr w14:val="tx1"/>
            </w14:solidFill>
          </w14:textFill>
        </w:rPr>
        <w:t>网站信息不一致的其他证明材料亦不作为</w:t>
      </w:r>
      <w:r>
        <w:rPr>
          <w:rFonts w:hint="eastAsia" w:ascii="宋体" w:hAnsi="宋体"/>
          <w:color w:val="000000" w:themeColor="text1"/>
          <w:sz w:val="22"/>
          <w:szCs w:val="22"/>
          <w14:textFill>
            <w14:solidFill>
              <w14:schemeClr w14:val="tx1"/>
            </w14:solidFill>
          </w14:textFill>
        </w:rPr>
        <w:t>资格审查</w:t>
      </w:r>
      <w:r>
        <w:rPr>
          <w:rFonts w:ascii="宋体" w:hAnsi="宋体"/>
          <w:color w:val="000000" w:themeColor="text1"/>
          <w:sz w:val="22"/>
          <w:szCs w:val="22"/>
          <w14:textFill>
            <w14:solidFill>
              <w14:schemeClr w14:val="tx1"/>
            </w14:solidFill>
          </w14:textFill>
        </w:rPr>
        <w:t>依据</w:t>
      </w:r>
      <w:r>
        <w:rPr>
          <w:rFonts w:hint="eastAsia" w:ascii="宋体" w:hAnsi="宋体"/>
          <w:color w:val="000000" w:themeColor="text1"/>
          <w:sz w:val="22"/>
          <w:szCs w:val="22"/>
          <w14:textFill>
            <w14:solidFill>
              <w14:schemeClr w14:val="tx1"/>
            </w14:solidFill>
          </w14:textFill>
        </w:rPr>
        <w:t>。</w:t>
      </w:r>
    </w:p>
    <w:p>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41" w:name="_Toc8983721"/>
      <w:r>
        <w:rPr>
          <w:rFonts w:hint="eastAsia" w:ascii="黑体" w:hAnsi="黑体" w:eastAsia="黑体"/>
          <w:color w:val="000000" w:themeColor="text1"/>
          <w:sz w:val="24"/>
          <w:szCs w:val="24"/>
          <w14:textFill>
            <w14:solidFill>
              <w14:schemeClr w14:val="tx1"/>
            </w14:solidFill>
          </w14:textFill>
        </w:rPr>
        <w:t>3．资格审查结果</w:t>
      </w:r>
      <w:bookmarkEnd w:id="41"/>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3.1未通过资格审查的投标人，采购人及采购代理机构应当告知其未通过的原因。</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3.2资格审查结束后，采购人及采购代理机构应将资格审查结果告知评标委员会。</w:t>
      </w:r>
    </w:p>
    <w:p>
      <w:pPr>
        <w:pStyle w:val="7"/>
        <w:adjustRightInd w:val="0"/>
        <w:snapToGrid w:val="0"/>
        <w:spacing w:before="50" w:after="0" w:line="360" w:lineRule="auto"/>
        <w:rPr>
          <w:rFonts w:ascii="黑体" w:hAnsi="黑体" w:eastAsia="黑体"/>
          <w:color w:val="000000" w:themeColor="text1"/>
          <w:sz w:val="24"/>
          <w:szCs w:val="24"/>
          <w14:textFill>
            <w14:solidFill>
              <w14:schemeClr w14:val="tx1"/>
            </w14:solidFill>
          </w14:textFill>
        </w:rPr>
      </w:pPr>
      <w:bookmarkStart w:id="42" w:name="_Toc8983722"/>
      <w:r>
        <w:rPr>
          <w:rFonts w:hint="eastAsia" w:ascii="黑体" w:hAnsi="黑体" w:eastAsia="黑体"/>
          <w:color w:val="000000" w:themeColor="text1"/>
          <w:sz w:val="24"/>
          <w:szCs w:val="24"/>
          <w14:textFill>
            <w14:solidFill>
              <w14:schemeClr w14:val="tx1"/>
            </w14:solidFill>
          </w14:textFill>
        </w:rPr>
        <w:t>4．其他</w:t>
      </w:r>
      <w:bookmarkEnd w:id="42"/>
    </w:p>
    <w:p>
      <w:pPr>
        <w:adjustRightInd w:val="0"/>
        <w:snapToGrid w:val="0"/>
        <w:spacing w:before="157" w:beforeLines="50" w:line="360" w:lineRule="auto"/>
        <w:ind w:firstLine="420" w:firstLineChars="200"/>
        <w:jc w:val="left"/>
        <w:rPr>
          <w:rFonts w:ascii="华文中宋" w:hAnsi="华文中宋" w:eastAsia="华文中宋"/>
          <w:b/>
          <w:bCs/>
          <w:color w:val="000000" w:themeColor="text1"/>
          <w:sz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实行资格预审的采购项目，开标结束后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r>
        <w:rPr>
          <w:rFonts w:ascii="华文中宋" w:hAnsi="华文中宋" w:eastAsia="华文中宋"/>
          <w:color w:val="000000" w:themeColor="text1"/>
          <w14:textFill>
            <w14:solidFill>
              <w14:schemeClr w14:val="tx1"/>
            </w14:solidFill>
          </w14:textFill>
        </w:rPr>
        <w:br w:type="page"/>
      </w:r>
    </w:p>
    <w:p>
      <w:pPr>
        <w:pStyle w:val="8"/>
        <w:rPr>
          <w:rFonts w:ascii="黑体" w:hAnsi="黑体"/>
          <w:b w:val="0"/>
          <w:color w:val="000000" w:themeColor="text1"/>
          <w:sz w:val="21"/>
          <w:szCs w:val="21"/>
          <w14:textFill>
            <w14:solidFill>
              <w14:schemeClr w14:val="tx1"/>
            </w14:solidFill>
          </w14:textFill>
        </w:rPr>
      </w:pPr>
      <w:bookmarkStart w:id="43" w:name="_Toc8983723"/>
      <w:r>
        <w:rPr>
          <w:rFonts w:hint="eastAsia" w:ascii="黑体" w:hAnsi="黑体"/>
          <w:b w:val="0"/>
          <w:color w:val="000000" w:themeColor="text1"/>
          <w:sz w:val="21"/>
          <w:szCs w:val="21"/>
          <w14:textFill>
            <w14:solidFill>
              <w14:schemeClr w14:val="tx1"/>
            </w14:solidFill>
          </w14:textFill>
        </w:rPr>
        <w:t xml:space="preserve">附表1 </w:t>
      </w:r>
      <w:r>
        <w:rPr>
          <w:rFonts w:ascii="黑体" w:hAnsi="黑体"/>
          <w:b w:val="0"/>
          <w:color w:val="000000" w:themeColor="text1"/>
          <w:sz w:val="21"/>
          <w:szCs w:val="21"/>
          <w14:textFill>
            <w14:solidFill>
              <w14:schemeClr w14:val="tx1"/>
            </w14:solidFill>
          </w14:textFill>
        </w:rPr>
        <w:t>投标人资格审查表</w:t>
      </w:r>
      <w:bookmarkEnd w:id="43"/>
    </w:p>
    <w:p>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ascii="黑体" w:hAnsi="黑体" w:eastAsia="黑体"/>
          <w:b/>
          <w:color w:val="000000" w:themeColor="text1"/>
          <w:sz w:val="28"/>
          <w:szCs w:val="28"/>
          <w14:textFill>
            <w14:solidFill>
              <w14:schemeClr w14:val="tx1"/>
            </w14:solidFill>
          </w14:textFill>
        </w:rPr>
        <w:t>投标人资格审查表</w:t>
      </w:r>
    </w:p>
    <w:p>
      <w:pPr>
        <w:adjustRightInd w:val="0"/>
        <w:snapToGrid w:val="0"/>
        <w:spacing w:line="360" w:lineRule="auto"/>
        <w:rPr>
          <w:rFonts w:ascii="黑体" w:hAnsi="黑体" w:eastAsia="黑体"/>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6"/>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380"/>
        <w:gridCol w:w="299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32" w:hRule="atLeast"/>
        </w:trPr>
        <w:tc>
          <w:tcPr>
            <w:tcW w:w="683" w:type="dxa"/>
            <w:vAlign w:val="center"/>
          </w:tcPr>
          <w:p>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序号</w:t>
            </w:r>
          </w:p>
        </w:tc>
        <w:tc>
          <w:tcPr>
            <w:tcW w:w="5380" w:type="dxa"/>
            <w:vAlign w:val="center"/>
          </w:tcPr>
          <w:p>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审查项目</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8" w:hRule="atLeast"/>
        </w:trPr>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投标人</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w:t>
            </w:r>
            <w:r>
              <w:rPr>
                <w:rFonts w:hint="eastAsia" w:asciiTheme="minorEastAsia" w:hAnsiTheme="minorEastAsia" w:eastAsiaTheme="minorEastAsia"/>
                <w:color w:val="000000" w:themeColor="text1"/>
                <w:szCs w:val="21"/>
                <w14:textFill>
                  <w14:solidFill>
                    <w14:schemeClr w14:val="tx1"/>
                  </w14:solidFill>
                </w14:textFill>
              </w:rPr>
              <w:t>符合《政府采购法》第二十二条第一款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投标文件的装订、签署、盖章</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是否正确</w:t>
            </w:r>
            <w:r>
              <w:rPr>
                <w:rFonts w:hint="eastAsia" w:ascii="宋体" w:hAnsi="宋体" w:cs="宋体"/>
                <w:color w:val="000000" w:themeColor="text1"/>
                <w:kern w:val="0"/>
                <w:sz w:val="22"/>
                <w:szCs w:val="22"/>
                <w14:textFill>
                  <w14:solidFill>
                    <w14:schemeClr w14:val="tx1"/>
                  </w14:solidFill>
                </w14:textFill>
              </w:rPr>
              <w:t>签署、盖章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投标保证金的交纳</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是否缴纳</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法定代表人身份证明或附有法定代表人身份证明的授权委托书</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营业执照</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是否按要求提供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税务登记证或依法缴纳税收证明</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是否按要求提供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7</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社保登记证或依法缴纳社保证明</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是否按要求提供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8</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参加政府采购活动前三年内在经营活动中没有重大违法记录的书面声明</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是否按要求提供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9</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投标人信用信息查询</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是否具有不良行为记录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r>
              <w:rPr>
                <w:rFonts w:asciiTheme="minorEastAsia" w:hAnsiTheme="minorEastAsia" w:eastAsiaTheme="minorEastAsia"/>
                <w:color w:val="000000" w:themeColor="text1"/>
                <w:kern w:val="0"/>
                <w:szCs w:val="21"/>
                <w14:textFill>
                  <w14:solidFill>
                    <w14:schemeClr w14:val="tx1"/>
                  </w14:solidFill>
                </w14:textFill>
              </w:rPr>
              <w:t>10</w:t>
            </w:r>
          </w:p>
        </w:tc>
        <w:tc>
          <w:tcPr>
            <w:tcW w:w="5380"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招标文件规定的其他资格条件</w:t>
            </w:r>
          </w:p>
        </w:tc>
        <w:tc>
          <w:tcPr>
            <w:tcW w:w="2997"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是否符合要求</w:t>
            </w:r>
          </w:p>
        </w:tc>
      </w:tr>
    </w:tbl>
    <w:p>
      <w:pPr>
        <w:widowControl/>
        <w:jc w:val="left"/>
        <w:rPr>
          <w:rFonts w:ascii="黑体" w:hAnsi="黑体" w:eastAsia="黑体"/>
          <w:bCs/>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pPr>
        <w:pStyle w:val="8"/>
        <w:adjustRightInd w:val="0"/>
        <w:snapToGrid w:val="0"/>
        <w:spacing w:before="0" w:after="0" w:line="360" w:lineRule="auto"/>
        <w:rPr>
          <w:rFonts w:ascii="黑体" w:hAnsi="黑体"/>
          <w:b w:val="0"/>
          <w:color w:val="000000" w:themeColor="text1"/>
          <w:sz w:val="21"/>
          <w:szCs w:val="21"/>
          <w14:textFill>
            <w14:solidFill>
              <w14:schemeClr w14:val="tx1"/>
            </w14:solidFill>
          </w14:textFill>
        </w:rPr>
      </w:pPr>
      <w:bookmarkStart w:id="44" w:name="_Toc8983724"/>
      <w:r>
        <w:rPr>
          <w:rFonts w:hint="eastAsia" w:ascii="黑体" w:hAnsi="黑体"/>
          <w:b w:val="0"/>
          <w:color w:val="000000" w:themeColor="text1"/>
          <w:sz w:val="21"/>
          <w:szCs w:val="21"/>
          <w14:textFill>
            <w14:solidFill>
              <w14:schemeClr w14:val="tx1"/>
            </w14:solidFill>
          </w14:textFill>
        </w:rPr>
        <w:t>附表2 资格审查结果一览表</w:t>
      </w:r>
      <w:bookmarkEnd w:id="44"/>
    </w:p>
    <w:p>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资格审查结果一览表</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6"/>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2963"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投标人名称</w:t>
            </w:r>
          </w:p>
        </w:tc>
        <w:tc>
          <w:tcPr>
            <w:tcW w:w="2439"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资格审查结果</w:t>
            </w:r>
          </w:p>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（合格/不合格）</w:t>
            </w:r>
          </w:p>
        </w:tc>
        <w:tc>
          <w:tcPr>
            <w:tcW w:w="2961"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资格审查不合格原因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采购人（签字）：</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采购代理机构（签字）：</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日期：年月日</w:t>
      </w:r>
    </w:p>
    <w:p>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br w:type="page"/>
      </w:r>
    </w:p>
    <w:p>
      <w:pPr>
        <w:pStyle w:val="8"/>
        <w:adjustRightInd w:val="0"/>
        <w:snapToGrid w:val="0"/>
        <w:spacing w:before="0" w:after="0" w:line="360" w:lineRule="auto"/>
        <w:rPr>
          <w:rFonts w:ascii="黑体" w:hAnsi="黑体"/>
          <w:b w:val="0"/>
          <w:color w:val="000000" w:themeColor="text1"/>
          <w:sz w:val="21"/>
          <w:szCs w:val="21"/>
          <w14:textFill>
            <w14:solidFill>
              <w14:schemeClr w14:val="tx1"/>
            </w14:solidFill>
          </w14:textFill>
        </w:rPr>
      </w:pPr>
      <w:bookmarkStart w:id="45" w:name="_Toc8983725"/>
      <w:r>
        <w:rPr>
          <w:rFonts w:hint="eastAsia" w:ascii="黑体" w:hAnsi="黑体"/>
          <w:b w:val="0"/>
          <w:color w:val="000000" w:themeColor="text1"/>
          <w:sz w:val="21"/>
          <w:szCs w:val="21"/>
          <w14:textFill>
            <w14:solidFill>
              <w14:schemeClr w14:val="tx1"/>
            </w14:solidFill>
          </w14:textFill>
        </w:rPr>
        <w:t>附表3 资格审查合格投标人名单</w:t>
      </w:r>
      <w:bookmarkEnd w:id="45"/>
    </w:p>
    <w:p>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资格审查合格投标人名单</w:t>
      </w:r>
    </w:p>
    <w:p>
      <w:pPr>
        <w:adjustRightInd w:val="0"/>
        <w:snapToGrid w:val="0"/>
        <w:spacing w:line="360" w:lineRule="auto"/>
        <w:rPr>
          <w:rFonts w:ascii="华文中宋" w:hAnsi="华文中宋" w:eastAsia="华文中宋"/>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序号</w:t>
            </w:r>
          </w:p>
        </w:tc>
        <w:tc>
          <w:tcPr>
            <w:tcW w:w="7796" w:type="dxa"/>
            <w:vAlign w:val="center"/>
          </w:tcPr>
          <w:p>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采购人（签字）：</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采购代理机构（签字）：</w:t>
      </w:r>
    </w:p>
    <w:p>
      <w:pPr>
        <w:rPr>
          <w:rFonts w:ascii="黑体" w:hAnsi="华文中宋" w:eastAsia="黑体"/>
          <w:b/>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日期：年月日</w:t>
      </w:r>
      <w:r>
        <w:rPr>
          <w:rFonts w:ascii="宋体" w:hAnsi="宋体"/>
          <w:color w:val="000000" w:themeColor="text1"/>
          <w14:textFill>
            <w14:solidFill>
              <w14:schemeClr w14:val="tx1"/>
            </w14:solidFill>
          </w14:textFill>
        </w:rPr>
        <w:br w:type="page"/>
      </w:r>
    </w:p>
    <w:p>
      <w:pPr>
        <w:pStyle w:val="26"/>
        <w:adjustRightInd w:val="0"/>
        <w:snapToGrid w:val="0"/>
        <w:spacing w:line="360" w:lineRule="auto"/>
        <w:jc w:val="center"/>
        <w:outlineLvl w:val="0"/>
        <w:rPr>
          <w:rFonts w:ascii="黑体" w:hAnsi="华文中宋" w:eastAsia="黑体"/>
          <w:b/>
          <w:color w:val="000000" w:themeColor="text1"/>
          <w:sz w:val="28"/>
          <w:szCs w:val="28"/>
          <w14:textFill>
            <w14:solidFill>
              <w14:schemeClr w14:val="tx1"/>
            </w14:solidFill>
          </w14:textFill>
        </w:rPr>
      </w:pPr>
      <w:bookmarkStart w:id="46" w:name="_Toc8983726"/>
      <w:bookmarkStart w:id="47" w:name="_Toc8311"/>
      <w:bookmarkStart w:id="48" w:name="_Toc7859"/>
      <w:r>
        <w:rPr>
          <w:rFonts w:hint="eastAsia" w:ascii="黑体" w:hAnsi="华文中宋" w:eastAsia="黑体"/>
          <w:b/>
          <w:color w:val="000000" w:themeColor="text1"/>
          <w:sz w:val="32"/>
          <w:szCs w:val="32"/>
          <w14:textFill>
            <w14:solidFill>
              <w14:schemeClr w14:val="tx1"/>
            </w14:solidFill>
          </w14:textFill>
        </w:rPr>
        <w:t>第四章 评标方法及标准（综合评分法）</w:t>
      </w:r>
      <w:bookmarkEnd w:id="46"/>
      <w:bookmarkEnd w:id="47"/>
      <w:bookmarkEnd w:id="48"/>
    </w:p>
    <w:p>
      <w:pPr>
        <w:adjustRightInd w:val="0"/>
        <w:snapToGrid w:val="0"/>
        <w:spacing w:line="360" w:lineRule="auto"/>
        <w:jc w:val="center"/>
        <w:rPr>
          <w:rFonts w:asciiTheme="minorEastAsia" w:hAnsiTheme="minorEastAsia" w:eastAsiaTheme="minorEastAsia"/>
          <w:bCs/>
          <w:i/>
          <w:color w:val="000000" w:themeColor="text1"/>
          <w:szCs w:val="21"/>
          <w14:textFill>
            <w14:solidFill>
              <w14:schemeClr w14:val="tx1"/>
            </w14:solidFill>
          </w14:textFill>
        </w:rPr>
      </w:pPr>
      <w:r>
        <w:rPr>
          <w:rFonts w:hint="eastAsia" w:asciiTheme="minorEastAsia" w:hAnsiTheme="minorEastAsia" w:eastAsiaTheme="minorEastAsia"/>
          <w:bCs/>
          <w:i/>
          <w:color w:val="000000" w:themeColor="text1"/>
          <w:szCs w:val="21"/>
          <w14:textFill>
            <w14:solidFill>
              <w14:schemeClr w14:val="tx1"/>
            </w14:solidFill>
          </w14:textFill>
        </w:rPr>
        <w:t>本项目启用的条款在“编列内容规定”栏内以“■”标注。</w:t>
      </w:r>
    </w:p>
    <w:tbl>
      <w:tblPr>
        <w:tblStyle w:val="4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184"/>
        <w:gridCol w:w="1350"/>
        <w:gridCol w:w="455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Pr>
          <w:p>
            <w:pPr>
              <w:adjustRightInd w:val="0"/>
              <w:snapToGrid w:val="0"/>
              <w:spacing w:before="157" w:beforeLines="50" w:line="360" w:lineRule="auto"/>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条款号</w:t>
            </w:r>
          </w:p>
        </w:tc>
        <w:tc>
          <w:tcPr>
            <w:tcW w:w="1184" w:type="dxa"/>
          </w:tcPr>
          <w:p>
            <w:pPr>
              <w:adjustRightInd w:val="0"/>
              <w:snapToGrid w:val="0"/>
              <w:spacing w:before="157" w:beforeLines="50" w:line="360" w:lineRule="auto"/>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条款名称</w:t>
            </w:r>
          </w:p>
        </w:tc>
        <w:tc>
          <w:tcPr>
            <w:tcW w:w="5904" w:type="dxa"/>
            <w:gridSpan w:val="2"/>
          </w:tcPr>
          <w:p>
            <w:pPr>
              <w:adjustRightInd w:val="0"/>
              <w:snapToGrid w:val="0"/>
              <w:spacing w:before="157" w:beforeLines="50" w:line="360" w:lineRule="auto"/>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第1.3</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184"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评标方法</w:t>
            </w:r>
          </w:p>
        </w:tc>
        <w:tc>
          <w:tcPr>
            <w:tcW w:w="5904" w:type="dxa"/>
            <w:gridSpan w:val="2"/>
            <w:vAlign w:val="center"/>
          </w:tcPr>
          <w:p>
            <w:pPr>
              <w:adjustRightInd w:val="0"/>
              <w:snapToGrid w:val="0"/>
              <w:spacing w:before="157"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综合评分法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第3.4</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184" w:type="dxa"/>
            <w:vAlign w:val="center"/>
          </w:tcPr>
          <w:p>
            <w:pPr>
              <w:adjustRightInd w:val="0"/>
              <w:snapToGrid w:val="0"/>
              <w:spacing w:before="157" w:beforeLines="50" w:line="36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非单一产品采购项目的核心产品</w:t>
            </w:r>
          </w:p>
        </w:tc>
        <w:tc>
          <w:tcPr>
            <w:tcW w:w="5904" w:type="dxa"/>
            <w:gridSpan w:val="2"/>
            <w:vAlign w:val="center"/>
          </w:tcPr>
          <w:p>
            <w:pPr>
              <w:adjustRightInd w:val="0"/>
              <w:snapToGrid w:val="0"/>
              <w:spacing w:line="360" w:lineRule="exact"/>
              <w:ind w:right="151" w:rightChars="72"/>
              <w:rPr>
                <w:color w:val="000000" w:themeColor="text1"/>
                <w:szCs w:val="21"/>
                <w14:textFill>
                  <w14:solidFill>
                    <w14:schemeClr w14:val="tx1"/>
                  </w14:solidFill>
                </w14:textFill>
              </w:rPr>
            </w:pPr>
            <w:r>
              <w:rPr>
                <w:color w:val="000000" w:themeColor="text1"/>
                <w:szCs w:val="21"/>
                <w14:textFill>
                  <w14:solidFill>
                    <w14:schemeClr w14:val="tx1"/>
                  </w14:solidFill>
                </w14:textFill>
              </w:rPr>
              <w:t>单一产品采购项目中，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before="157" w:beforeLines="50" w:line="360" w:lineRule="exact"/>
              <w:rPr>
                <w:rFonts w:asciiTheme="minorEastAsia" w:hAnsiTheme="minorEastAsia" w:eastAsia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非单一产品采购项目，采购人应当根据采购项目技术构成、产品价格比重等合理确定核心产品，并在招标文件中载明。多家投标人提供的核心产品品牌相同的，按前两款规定处理。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第4.2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184" w:type="dxa"/>
            <w:vAlign w:val="center"/>
          </w:tcPr>
          <w:p>
            <w:pPr>
              <w:adjustRightInd w:val="0"/>
              <w:snapToGrid w:val="0"/>
              <w:spacing w:before="157" w:beforeLines="50" w:line="36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投标文件报价出现前后不一致的修正</w:t>
            </w:r>
          </w:p>
        </w:tc>
        <w:tc>
          <w:tcPr>
            <w:tcW w:w="5904" w:type="dxa"/>
            <w:gridSpan w:val="2"/>
            <w:vAlign w:val="center"/>
          </w:tcPr>
          <w:p>
            <w:pPr>
              <w:adjustRightInd w:val="0"/>
              <w:snapToGrid w:val="0"/>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除招标文件另有规定外，按照下列规定修正：</w:t>
            </w:r>
          </w:p>
          <w:p>
            <w:pPr>
              <w:adjustRightInd w:val="0"/>
              <w:snapToGrid w:val="0"/>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（一）投标文件中开标一览表（报价表）内容与投标文件中相应内容不一致的，以开标一览表（报价表）为准；</w:t>
            </w:r>
          </w:p>
          <w:p>
            <w:pPr>
              <w:adjustRightInd w:val="0"/>
              <w:snapToGrid w:val="0"/>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（二）大写金额和小写金额不一致的，以大写金额为准；</w:t>
            </w:r>
          </w:p>
          <w:p>
            <w:pPr>
              <w:adjustRightInd w:val="0"/>
              <w:snapToGrid w:val="0"/>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（三）单价金额小数点或者百分比有明显错位的，以开标一览表的总价为准，并修改单价；</w:t>
            </w:r>
          </w:p>
          <w:p>
            <w:pPr>
              <w:adjustRightInd w:val="0"/>
              <w:snapToGrid w:val="0"/>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（四）总价金额与按单价汇总金额不一致的，以单价金额计算结果为准。</w:t>
            </w:r>
          </w:p>
          <w:p>
            <w:pPr>
              <w:adjustRightInd w:val="0"/>
              <w:snapToGrid w:val="0"/>
              <w:spacing w:line="360" w:lineRule="exact"/>
              <w:rPr>
                <w:rFonts w:asciiTheme="minorEastAsia" w:hAnsiTheme="minorEastAsia" w:eastAsiaTheme="minorEastAsia"/>
                <w:color w:val="000000" w:themeColor="text1"/>
                <w14:textFill>
                  <w14:solidFill>
                    <w14:schemeClr w14:val="tx1"/>
                  </w14:solidFill>
                </w14:textFill>
              </w:rPr>
            </w:pPr>
            <w:r>
              <w:rPr>
                <w:rFonts w:hint="eastAsia"/>
                <w:color w:val="000000" w:themeColor="text1"/>
                <w:szCs w:val="21"/>
                <w14:textFill>
                  <w14:solidFill>
                    <w14:schemeClr w14:val="tx1"/>
                  </w14:solidFill>
                </w14:textFill>
              </w:rPr>
              <w:t>同时出现两种以上不一致的，按照前款规定的顺序修正。修正后的报价由投标人代表签字或者加盖单位章确认后产生约束力，投标人不确认的，其投标无效。</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第5.2（2）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1184" w:type="dxa"/>
            <w:vAlign w:val="center"/>
          </w:tcPr>
          <w:p>
            <w:pPr>
              <w:adjustRightInd w:val="0"/>
              <w:snapToGrid w:val="0"/>
              <w:spacing w:before="157" w:beforeLines="50" w:line="36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相同品牌产品评审得分相同的规定</w:t>
            </w:r>
          </w:p>
        </w:tc>
        <w:tc>
          <w:tcPr>
            <w:tcW w:w="5904" w:type="dxa"/>
            <w:gridSpan w:val="2"/>
            <w:vAlign w:val="center"/>
          </w:tcPr>
          <w:p>
            <w:pPr>
              <w:adjustRightInd w:val="0"/>
              <w:snapToGrid w:val="0"/>
              <w:spacing w:line="360" w:lineRule="exact"/>
              <w:rPr>
                <w:rFonts w:asciiTheme="minorEastAsia" w:hAnsiTheme="minorEastAsia" w:eastAsia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w:t>
            </w:r>
            <w:r>
              <w:rPr>
                <w:rFonts w:asciiTheme="minorEastAsia" w:hAnsiTheme="minorEastAsia" w:eastAsiaTheme="minorEastAsia"/>
                <w:color w:val="000000" w:themeColor="text1"/>
                <w:szCs w:val="21"/>
                <w14:textFill>
                  <w14:solidFill>
                    <w14:schemeClr w14:val="tx1"/>
                  </w14:solidFill>
                </w14:textFill>
              </w:rPr>
              <w:t>3</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1184" w:type="dxa"/>
            <w:vAlign w:val="center"/>
          </w:tcPr>
          <w:p>
            <w:pPr>
              <w:adjustRightInd w:val="0"/>
              <w:snapToGrid w:val="0"/>
              <w:spacing w:line="360" w:lineRule="exact"/>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非单一产品采购</w:t>
            </w:r>
          </w:p>
          <w:p>
            <w:pPr>
              <w:adjustRightInd w:val="0"/>
              <w:snapToGrid w:val="0"/>
              <w:spacing w:line="360" w:lineRule="exact"/>
              <w:jc w:val="center"/>
              <w:rPr>
                <w:rFonts w:asciiTheme="minorEastAsia" w:hAnsiTheme="minorEastAsia" w:eastAsiaTheme="minorEastAsia"/>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核心产品</w:t>
            </w:r>
          </w:p>
        </w:tc>
        <w:tc>
          <w:tcPr>
            <w:tcW w:w="5904" w:type="dxa"/>
            <w:gridSpan w:val="2"/>
            <w:vAlign w:val="center"/>
          </w:tcPr>
          <w:p>
            <w:pPr>
              <w:adjustRightInd w:val="0"/>
              <w:snapToGrid w:val="0"/>
              <w:rPr>
                <w:rFonts w:asciiTheme="minorEastAsia" w:hAnsiTheme="minorEastAsia" w:eastAsiaTheme="minorEastAsia"/>
                <w:b/>
                <w:bCs/>
                <w:color w:val="000000" w:themeColor="text1"/>
                <w:szCs w:val="21"/>
                <w14:textFill>
                  <w14:solidFill>
                    <w14:schemeClr w14:val="tx1"/>
                  </w14:solidFill>
                </w14:textFill>
              </w:rPr>
            </w:pPr>
            <w:r>
              <w:rPr>
                <w:rFonts w:ascii="宋体" w:hAnsi="宋体" w:cs="宋体"/>
                <w:b/>
                <w:bCs/>
                <w:color w:val="auto"/>
                <w:szCs w:val="21"/>
              </w:rPr>
              <w:t>本项目</w:t>
            </w:r>
            <w:r>
              <w:rPr>
                <w:rFonts w:hint="eastAsia" w:ascii="宋体" w:hAnsi="宋体" w:cs="宋体"/>
                <w:b/>
                <w:bCs/>
                <w:color w:val="auto"/>
                <w:szCs w:val="21"/>
              </w:rPr>
              <w:t>确定语音自组网基站为核心</w:t>
            </w:r>
            <w:r>
              <w:rPr>
                <w:rFonts w:ascii="宋体" w:hAnsi="宋体" w:cs="宋体"/>
                <w:b/>
                <w:bCs/>
                <w:color w:val="auto"/>
                <w:szCs w:val="21"/>
              </w:rPr>
              <w:t>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0" w:hRule="atLeast"/>
        </w:trPr>
        <w:tc>
          <w:tcPr>
            <w:tcW w:w="1701" w:type="dxa"/>
            <w:vMerge w:val="restart"/>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第5.3（1）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p>
        </w:tc>
        <w:tc>
          <w:tcPr>
            <w:tcW w:w="1184" w:type="dxa"/>
            <w:vMerge w:val="restart"/>
            <w:vAlign w:val="center"/>
          </w:tcPr>
          <w:p>
            <w:pPr>
              <w:adjustRightInd w:val="0"/>
              <w:snapToGrid w:val="0"/>
              <w:spacing w:before="157" w:beforeLines="50" w:line="360" w:lineRule="auto"/>
              <w:jc w:val="center"/>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价格评审优惠</w:t>
            </w:r>
          </w:p>
          <w:p>
            <w:pPr>
              <w:adjustRightInd w:val="0"/>
              <w:snapToGrid w:val="0"/>
              <w:spacing w:line="360" w:lineRule="exact"/>
              <w:jc w:val="center"/>
              <w:rPr>
                <w:rFonts w:ascii="宋体" w:hAnsi="宋体" w:cs="宋体"/>
                <w:color w:val="000000" w:themeColor="text1"/>
                <w:szCs w:val="21"/>
                <w14:textFill>
                  <w14:solidFill>
                    <w14:schemeClr w14:val="tx1"/>
                  </w14:solidFill>
                </w14:textFill>
              </w:rPr>
            </w:pPr>
          </w:p>
        </w:tc>
        <w:tc>
          <w:tcPr>
            <w:tcW w:w="1350" w:type="dxa"/>
            <w:tcBorders>
              <w:bottom w:val="single" w:color="auto" w:sz="4" w:space="0"/>
              <w:right w:val="single" w:color="auto" w:sz="4" w:space="0"/>
            </w:tcBorders>
            <w:vAlign w:val="center"/>
          </w:tcPr>
          <w:p>
            <w:pPr>
              <w:adjustRightInd w:val="0"/>
              <w:snapToGrid w:val="0"/>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w:t>
            </w:r>
            <w:r>
              <w:rPr>
                <w:rFonts w:hint="eastAsia" w:ascii="宋体" w:hAnsi="宋体" w:cs="宋体"/>
                <w:bCs/>
                <w:color w:val="000000" w:themeColor="text1"/>
                <w:kern w:val="0"/>
                <w:szCs w:val="21"/>
                <w14:textFill>
                  <w14:solidFill>
                    <w14:schemeClr w14:val="tx1"/>
                  </w14:solidFill>
                </w14:textFill>
              </w:rPr>
              <w:t>支持</w:t>
            </w:r>
            <w:r>
              <w:rPr>
                <w:rFonts w:hint="eastAsia" w:ascii="宋体" w:hAnsi="宋体"/>
                <w:color w:val="000000" w:themeColor="text1"/>
                <w:szCs w:val="21"/>
                <w14:textFill>
                  <w14:solidFill>
                    <w14:schemeClr w14:val="tx1"/>
                  </w14:solidFill>
                </w14:textFill>
              </w:rPr>
              <w:t>小微企业发展</w:t>
            </w:r>
          </w:p>
        </w:tc>
        <w:tc>
          <w:tcPr>
            <w:tcW w:w="4554" w:type="dxa"/>
            <w:tcBorders>
              <w:left w:val="single" w:color="auto" w:sz="4" w:space="0"/>
              <w:bottom w:val="single" w:color="auto" w:sz="4" w:space="0"/>
            </w:tcBorders>
          </w:tcPr>
          <w:p>
            <w:pPr>
              <w:adjustRightInd w:val="0"/>
              <w:snapToGrid w:val="0"/>
              <w:spacing w:line="360" w:lineRule="exact"/>
              <w:rPr>
                <w:rFonts w:ascii="宋体" w:hAnsi="宋体" w:cs="宋体"/>
                <w:color w:val="000000" w:themeColor="text1"/>
                <w:kern w:val="0"/>
                <w:szCs w:val="21"/>
                <w14:textFill>
                  <w14:solidFill>
                    <w14:schemeClr w14:val="tx1"/>
                  </w14:solidFill>
                </w14:textFill>
              </w:rPr>
            </w:pPr>
            <w:r>
              <w:rPr>
                <w:rFonts w:hint="eastAsia" w:hAnsi="宋体"/>
                <w:color w:val="000000" w:themeColor="text1"/>
                <w14:textFill>
                  <w14:solidFill>
                    <w14:schemeClr w14:val="tx1"/>
                  </w14:solidFill>
                </w14:textFill>
              </w:rPr>
              <w:t>□</w:t>
            </w:r>
            <w:r>
              <w:rPr>
                <w:rFonts w:hint="eastAsia" w:ascii="宋体" w:hAnsi="宋体"/>
                <w:color w:val="000000" w:themeColor="text1"/>
                <w:szCs w:val="21"/>
                <w14:textFill>
                  <w14:solidFill>
                    <w14:schemeClr w14:val="tx1"/>
                  </w14:solidFill>
                </w14:textFill>
              </w:rPr>
              <w:t>专门面向小微企业采购</w:t>
            </w:r>
            <w:r>
              <w:rPr>
                <w:rFonts w:hint="eastAsia" w:ascii="宋体" w:hAnsi="宋体" w:cs="宋体"/>
                <w:color w:val="000000" w:themeColor="text1"/>
                <w:kern w:val="0"/>
                <w:szCs w:val="21"/>
                <w14:textFill>
                  <w14:solidFill>
                    <w14:schemeClr w14:val="tx1"/>
                  </w14:solidFill>
                </w14:textFill>
              </w:rPr>
              <w:t>。</w:t>
            </w:r>
          </w:p>
          <w:p>
            <w:pPr>
              <w:adjustRightInd w:val="0"/>
              <w:snapToGrid w:val="0"/>
              <w:spacing w:line="360" w:lineRule="exact"/>
              <w:rPr>
                <w:rFonts w:ascii="宋体" w:hAnsi="宋体"/>
                <w:color w:val="000000" w:themeColor="text1"/>
                <w:szCs w:val="21"/>
                <w14:textFill>
                  <w14:solidFill>
                    <w14:schemeClr w14:val="tx1"/>
                  </w14:solidFill>
                </w14:textFill>
              </w:rPr>
            </w:pPr>
            <w:r>
              <w:rPr>
                <w:rFonts w:hint="eastAsia" w:hAnsi="宋体"/>
                <w:color w:val="auto"/>
              </w:rPr>
              <w:t>■</w:t>
            </w:r>
            <w:r>
              <w:rPr>
                <w:rFonts w:hint="eastAsia" w:ascii="宋体" w:hAnsi="宋体"/>
                <w:color w:val="auto"/>
                <w:szCs w:val="21"/>
              </w:rPr>
              <w:t xml:space="preserve"> </w:t>
            </w:r>
            <w:r>
              <w:rPr>
                <w:rFonts w:hint="eastAsia" w:ascii="宋体" w:hAnsi="宋体"/>
                <w:color w:val="000000" w:themeColor="text1"/>
                <w:szCs w:val="21"/>
                <w14:textFill>
                  <w14:solidFill>
                    <w14:schemeClr w14:val="tx1"/>
                  </w14:solidFill>
                </w14:textFill>
              </w:rPr>
              <w:t>非专门面向小微企业采购：</w:t>
            </w:r>
          </w:p>
          <w:p>
            <w:pPr>
              <w:adjustRightInd w:val="0"/>
              <w:snapToGrid w:val="0"/>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1、给予小型和微型企业产品的价格</w:t>
            </w:r>
            <w:r>
              <w:rPr>
                <w:rFonts w:hint="eastAsia" w:ascii="宋体" w:hAnsi="宋体"/>
                <w:color w:val="000000" w:themeColor="text1"/>
                <w:szCs w:val="21"/>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0%的扣除，用扣除后的价格参与评审，本项目具体扣除比例为</w:t>
            </w:r>
            <w:r>
              <w:rPr>
                <w:rFonts w:hint="eastAsia" w:ascii="宋体" w:hAnsi="宋体"/>
                <w:color w:val="000000" w:themeColor="text1"/>
                <w:szCs w:val="21"/>
                <w:u w:val="single"/>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w:t>
            </w:r>
          </w:p>
          <w:p>
            <w:pPr>
              <w:adjustRightInd w:val="0"/>
              <w:snapToGrid w:val="0"/>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2、给予联合体</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6</w:t>
            </w:r>
            <w:r>
              <w:rPr>
                <w:rFonts w:hint="eastAsia" w:ascii="宋体" w:hAnsi="宋体"/>
                <w:color w:val="000000" w:themeColor="text1"/>
                <w:szCs w:val="21"/>
                <w14:textFill>
                  <w14:solidFill>
                    <w14:schemeClr w14:val="tx1"/>
                  </w14:solidFill>
                </w14:textFill>
              </w:rPr>
              <w:t xml:space="preserve">%的价格扣除。本项目具体扣除比例为 </w:t>
            </w:r>
            <w:r>
              <w:rPr>
                <w:rFonts w:hint="eastAsia"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18" w:hRule="atLeast"/>
        </w:trPr>
        <w:tc>
          <w:tcPr>
            <w:tcW w:w="1701" w:type="dxa"/>
            <w:vMerge w:val="continue"/>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p>
        </w:tc>
        <w:tc>
          <w:tcPr>
            <w:tcW w:w="1184" w:type="dxa"/>
            <w:vMerge w:val="continue"/>
            <w:vAlign w:val="center"/>
          </w:tcPr>
          <w:p>
            <w:pPr>
              <w:adjustRightInd w:val="0"/>
              <w:snapToGrid w:val="0"/>
              <w:spacing w:line="360" w:lineRule="exact"/>
              <w:jc w:val="center"/>
              <w:rPr>
                <w:rFonts w:ascii="宋体" w:hAnsi="宋体" w:cs="宋体"/>
                <w:color w:val="000000" w:themeColor="text1"/>
                <w:szCs w:val="21"/>
                <w14:textFill>
                  <w14:solidFill>
                    <w14:schemeClr w14:val="tx1"/>
                  </w14:solidFill>
                </w14:textFill>
              </w:rPr>
            </w:pPr>
          </w:p>
        </w:tc>
        <w:tc>
          <w:tcPr>
            <w:tcW w:w="1350" w:type="dxa"/>
            <w:tcBorders>
              <w:top w:val="single" w:color="auto" w:sz="4" w:space="0"/>
              <w:bottom w:val="single" w:color="auto" w:sz="4" w:space="0"/>
              <w:right w:val="single" w:color="auto" w:sz="4" w:space="0"/>
            </w:tcBorders>
            <w:vAlign w:val="center"/>
          </w:tcPr>
          <w:p>
            <w:pPr>
              <w:adjustRightInd w:val="0"/>
              <w:snapToGrid w:val="0"/>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残疾人福利性单位</w:t>
            </w:r>
          </w:p>
        </w:tc>
        <w:tc>
          <w:tcPr>
            <w:tcW w:w="4554" w:type="dxa"/>
            <w:tcBorders>
              <w:top w:val="single" w:color="auto" w:sz="4" w:space="0"/>
              <w:left w:val="single" w:color="auto" w:sz="4" w:space="0"/>
              <w:bottom w:val="single" w:color="auto" w:sz="4" w:space="0"/>
            </w:tcBorders>
            <w:vAlign w:val="center"/>
          </w:tcPr>
          <w:p>
            <w:pPr>
              <w:spacing w:line="360" w:lineRule="atLeast"/>
              <w:rPr>
                <w:rFonts w:ascii="宋体" w:hAnsi="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非专门面向残疾人福利单位采购（投标人如提供残疾人福利性单位生产的产品，投标文件必须按招标文件对残疾人福利性单位所列要求特别标注说明所投残疾人福利性单位生产的产品所在品目、品牌、型号，否则评审时不予以考虑）：</w:t>
            </w:r>
          </w:p>
          <w:p>
            <w:pPr>
              <w:adjustRightInd w:val="0"/>
              <w:snapToGrid w:val="0"/>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残疾人福利性单位生产的产品的价格给予</w:t>
            </w:r>
            <w:r>
              <w:rPr>
                <w:rFonts w:hint="eastAsia" w:ascii="宋体" w:hAnsi="宋体" w:cs="宋体"/>
                <w:color w:val="000000" w:themeColor="text1"/>
                <w:szCs w:val="21"/>
                <w:lang w:val="en-US" w:eastAsia="zh-CN"/>
                <w14:textFill>
                  <w14:solidFill>
                    <w14:schemeClr w14:val="tx1"/>
                  </w14:solidFill>
                </w14:textFill>
              </w:rPr>
              <w:t>10</w:t>
            </w:r>
            <w:r>
              <w:rPr>
                <w:rFonts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2</w:t>
            </w:r>
            <w:r>
              <w:rPr>
                <w:rFonts w:ascii="宋体" w:hAnsi="宋体" w:cs="宋体"/>
                <w:color w:val="000000" w:themeColor="text1"/>
                <w:szCs w:val="21"/>
                <w14:textFill>
                  <w14:solidFill>
                    <w14:schemeClr w14:val="tx1"/>
                  </w14:solidFill>
                </w14:textFill>
              </w:rPr>
              <w:t>0%的扣除，用扣除后的价格参与评审，本项目具体扣除比例为：价格部分</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10</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2" w:hRule="atLeast"/>
        </w:trPr>
        <w:tc>
          <w:tcPr>
            <w:tcW w:w="1701" w:type="dxa"/>
            <w:vMerge w:val="continue"/>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p>
        </w:tc>
        <w:tc>
          <w:tcPr>
            <w:tcW w:w="1184" w:type="dxa"/>
            <w:vMerge w:val="continue"/>
            <w:vAlign w:val="center"/>
          </w:tcPr>
          <w:p>
            <w:pPr>
              <w:adjustRightInd w:val="0"/>
              <w:snapToGrid w:val="0"/>
              <w:spacing w:line="360" w:lineRule="exact"/>
              <w:jc w:val="center"/>
              <w:rPr>
                <w:rFonts w:ascii="宋体" w:hAnsi="宋体" w:cs="宋体"/>
                <w:color w:val="000000" w:themeColor="text1"/>
                <w:szCs w:val="21"/>
                <w14:textFill>
                  <w14:solidFill>
                    <w14:schemeClr w14:val="tx1"/>
                  </w14:solidFill>
                </w14:textFill>
              </w:rPr>
            </w:pPr>
          </w:p>
        </w:tc>
        <w:tc>
          <w:tcPr>
            <w:tcW w:w="1350" w:type="dxa"/>
            <w:tcBorders>
              <w:top w:val="single" w:color="auto" w:sz="4" w:space="0"/>
              <w:bottom w:val="single" w:color="auto" w:sz="4" w:space="0"/>
              <w:right w:val="single" w:color="auto" w:sz="4" w:space="0"/>
            </w:tcBorders>
            <w:vAlign w:val="center"/>
          </w:tcPr>
          <w:p>
            <w:pPr>
              <w:adjustRightInd w:val="0"/>
              <w:snapToGrid w:val="0"/>
              <w:spacing w:line="36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监狱企业</w:t>
            </w:r>
          </w:p>
        </w:tc>
        <w:tc>
          <w:tcPr>
            <w:tcW w:w="4554" w:type="dxa"/>
            <w:tcBorders>
              <w:top w:val="single" w:color="auto" w:sz="4" w:space="0"/>
              <w:left w:val="single" w:color="auto" w:sz="4" w:space="0"/>
              <w:bottom w:val="single" w:color="auto" w:sz="4" w:space="0"/>
            </w:tcBorders>
            <w:vAlign w:val="center"/>
          </w:tcPr>
          <w:p>
            <w:pPr>
              <w:spacing w:line="360" w:lineRule="atLeas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监狱企业视同小型、微型企业</w:t>
            </w:r>
          </w:p>
          <w:p>
            <w:pPr>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监狱企业参加政府采购活动时，应当提供由省级以上监狱管理局、戒毒管理局(含新疆生产建设兵团)出具的属于监狱企业的证明文件。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73" w:hRule="atLeast"/>
        </w:trPr>
        <w:tc>
          <w:tcPr>
            <w:tcW w:w="1701"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第5.</w:t>
            </w:r>
            <w:r>
              <w:rPr>
                <w:rFonts w:asciiTheme="minorEastAsia" w:hAnsiTheme="minorEastAsia" w:eastAsiaTheme="minorEastAsia"/>
                <w:color w:val="000000" w:themeColor="text1"/>
                <w:szCs w:val="21"/>
                <w14:textFill>
                  <w14:solidFill>
                    <w14:schemeClr w14:val="tx1"/>
                  </w14:solidFill>
                </w14:textFill>
              </w:rPr>
              <w:t>4</w:t>
            </w:r>
            <w:r>
              <w:rPr>
                <w:rFonts w:hint="eastAsia" w:asciiTheme="minorEastAsia" w:hAnsiTheme="minorEastAsia" w:eastAsiaTheme="minorEastAsia"/>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1184"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优先采购</w:t>
            </w:r>
          </w:p>
        </w:tc>
        <w:tc>
          <w:tcPr>
            <w:tcW w:w="1350" w:type="dxa"/>
            <w:tcBorders>
              <w:top w:val="single" w:color="auto" w:sz="4" w:space="0"/>
              <w:bottom w:val="single" w:color="auto" w:sz="4" w:space="0"/>
              <w:right w:val="single" w:color="auto" w:sz="4" w:space="0"/>
            </w:tcBorders>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节能产品或环境标志产品或两型产品</w:t>
            </w:r>
          </w:p>
        </w:tc>
        <w:tc>
          <w:tcPr>
            <w:tcW w:w="4554" w:type="dxa"/>
            <w:tcBorders>
              <w:top w:val="single" w:color="auto" w:sz="4" w:space="0"/>
              <w:left w:val="single" w:color="auto" w:sz="4" w:space="0"/>
              <w:bottom w:val="single" w:color="auto" w:sz="4" w:space="0"/>
            </w:tcBorders>
            <w:vAlign w:val="center"/>
          </w:tcPr>
          <w:p>
            <w:pPr>
              <w:adjustRightInd w:val="0"/>
              <w:snapToGrid w:val="0"/>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采购产品为</w:t>
            </w:r>
            <w:r>
              <w:rPr>
                <w:rFonts w:ascii="宋体" w:hAnsi="宋体" w:cs="宋体"/>
                <w:b/>
                <w:color w:val="000000" w:themeColor="text1"/>
                <w:szCs w:val="21"/>
                <w14:textFill>
                  <w14:solidFill>
                    <w14:schemeClr w14:val="tx1"/>
                  </w14:solidFill>
                </w14:textFill>
              </w:rPr>
              <w:t>最新</w:t>
            </w:r>
            <w:r>
              <w:rPr>
                <w:rFonts w:ascii="宋体" w:hAnsi="宋体" w:cs="宋体"/>
                <w:color w:val="000000" w:themeColor="text1"/>
                <w:szCs w:val="21"/>
                <w14:textFill>
                  <w14:solidFill>
                    <w14:schemeClr w14:val="tx1"/>
                  </w14:solidFill>
                </w14:textFill>
              </w:rPr>
              <w:t>《节能产品</w:t>
            </w:r>
            <w:r>
              <w:rPr>
                <w:rFonts w:hint="eastAsia" w:ascii="宋体" w:hAnsi="宋体" w:cs="宋体"/>
                <w:color w:val="000000" w:themeColor="text1"/>
                <w:szCs w:val="21"/>
                <w14:textFill>
                  <w14:solidFill>
                    <w14:schemeClr w14:val="tx1"/>
                  </w14:solidFill>
                </w14:textFill>
              </w:rPr>
              <w:t>品目清单</w:t>
            </w:r>
            <w:r>
              <w:rPr>
                <w:rFonts w:ascii="宋体" w:hAnsi="宋体" w:cs="宋体"/>
                <w:color w:val="000000" w:themeColor="text1"/>
                <w:szCs w:val="21"/>
                <w14:textFill>
                  <w14:solidFill>
                    <w14:schemeClr w14:val="tx1"/>
                  </w14:solidFill>
                </w14:textFill>
              </w:rPr>
              <w:t>清单》或《环境标志产品</w:t>
            </w:r>
            <w:r>
              <w:rPr>
                <w:rFonts w:hint="eastAsia" w:ascii="宋体" w:hAnsi="宋体" w:cs="宋体"/>
                <w:color w:val="000000" w:themeColor="text1"/>
                <w:szCs w:val="21"/>
                <w14:textFill>
                  <w14:solidFill>
                    <w14:schemeClr w14:val="tx1"/>
                  </w14:solidFill>
                </w14:textFill>
              </w:rPr>
              <w:t>品目</w:t>
            </w:r>
            <w:r>
              <w:rPr>
                <w:rFonts w:ascii="宋体" w:hAnsi="宋体" w:cs="宋体"/>
                <w:color w:val="000000" w:themeColor="text1"/>
                <w:szCs w:val="21"/>
                <w14:textFill>
                  <w14:solidFill>
                    <w14:schemeClr w14:val="tx1"/>
                  </w14:solidFill>
                </w14:textFill>
              </w:rPr>
              <w:t>清单》或《湖南省两型产品政府采购目录》的：</w:t>
            </w:r>
          </w:p>
          <w:p>
            <w:pPr>
              <w:adjustRightInd w:val="0"/>
              <w:snapToGrid w:val="0"/>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(1)采用最低评标价法时，应给予5%-10%的价格扣除。本项目具体扣除比例为</w:t>
            </w:r>
            <w:r>
              <w:rPr>
                <w:rFonts w:ascii="宋体" w:hAnsi="宋体" w:cs="宋体"/>
                <w:color w:val="000000" w:themeColor="text1"/>
                <w:szCs w:val="21"/>
                <w:u w:val="single"/>
                <w14:textFill>
                  <w14:solidFill>
                    <w14:schemeClr w14:val="tx1"/>
                  </w14:solidFill>
                </w14:textFill>
              </w:rPr>
              <w:t xml:space="preserve"> / </w:t>
            </w:r>
            <w:r>
              <w:rPr>
                <w:rFonts w:ascii="宋体" w:hAnsi="宋体" w:cs="宋体"/>
                <w:color w:val="000000" w:themeColor="text1"/>
                <w:szCs w:val="21"/>
                <w14:textFill>
                  <w14:solidFill>
                    <w14:schemeClr w14:val="tx1"/>
                  </w14:solidFill>
                </w14:textFill>
              </w:rPr>
              <w:t xml:space="preserve"> ％；</w:t>
            </w:r>
          </w:p>
          <w:p>
            <w:pPr>
              <w:adjustRightInd w:val="0"/>
              <w:snapToGrid w:val="0"/>
              <w:spacing w:line="360" w:lineRule="exact"/>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(2)采用综合评分法时，对于技术和价格分，应分别给予总分值4%-8%的加分。本项目具体加分比例分别为：技术</w:t>
            </w:r>
            <w:r>
              <w:rPr>
                <w:rFonts w:ascii="宋体" w:hAnsi="宋体" w:cs="宋体"/>
                <w:b/>
                <w:color w:val="000000" w:themeColor="text1"/>
                <w:szCs w:val="21"/>
                <w:u w:val="single"/>
                <w14:textFill>
                  <w14:solidFill>
                    <w14:schemeClr w14:val="tx1"/>
                  </w14:solidFill>
                </w14:textFill>
              </w:rPr>
              <w:t xml:space="preserve"> </w:t>
            </w:r>
            <w:r>
              <w:rPr>
                <w:rFonts w:hint="eastAsia" w:ascii="宋体" w:hAnsi="宋体" w:cs="宋体"/>
                <w:b/>
                <w:color w:val="000000" w:themeColor="text1"/>
                <w:szCs w:val="21"/>
                <w:u w:val="single"/>
                <w14:textFill>
                  <w14:solidFill>
                    <w14:schemeClr w14:val="tx1"/>
                  </w14:solidFill>
                </w14:textFill>
              </w:rPr>
              <w:t>4%</w:t>
            </w:r>
            <w:r>
              <w:rPr>
                <w:rFonts w:ascii="宋体" w:hAnsi="宋体" w:cs="宋体"/>
                <w:b/>
                <w:color w:val="000000" w:themeColor="text1"/>
                <w:szCs w:val="21"/>
                <w:u w:val="single"/>
                <w14:textFill>
                  <w14:solidFill>
                    <w14:schemeClr w14:val="tx1"/>
                  </w14:solidFill>
                </w14:textFill>
              </w:rPr>
              <w:t xml:space="preserve"> </w:t>
            </w:r>
            <w:r>
              <w:rPr>
                <w:rFonts w:ascii="宋体" w:hAnsi="宋体" w:cs="宋体"/>
                <w:b/>
                <w:color w:val="000000" w:themeColor="text1"/>
                <w:szCs w:val="21"/>
                <w14:textFill>
                  <w14:solidFill>
                    <w14:schemeClr w14:val="tx1"/>
                  </w14:solidFill>
                </w14:textFill>
              </w:rPr>
              <w:t>分、价格</w:t>
            </w:r>
            <w:r>
              <w:rPr>
                <w:rFonts w:ascii="宋体" w:hAnsi="宋体" w:cs="宋体"/>
                <w:b/>
                <w:color w:val="000000" w:themeColor="text1"/>
                <w:szCs w:val="21"/>
                <w:u w:val="single"/>
                <w14:textFill>
                  <w14:solidFill>
                    <w14:schemeClr w14:val="tx1"/>
                  </w14:solidFill>
                </w14:textFill>
              </w:rPr>
              <w:t xml:space="preserve"> </w:t>
            </w:r>
            <w:r>
              <w:rPr>
                <w:rFonts w:hint="eastAsia" w:ascii="宋体" w:hAnsi="宋体" w:cs="宋体"/>
                <w:b/>
                <w:color w:val="000000" w:themeColor="text1"/>
                <w:szCs w:val="21"/>
                <w:u w:val="single"/>
                <w14:textFill>
                  <w14:solidFill>
                    <w14:schemeClr w14:val="tx1"/>
                  </w14:solidFill>
                </w14:textFill>
              </w:rPr>
              <w:t>4%</w:t>
            </w:r>
            <w:r>
              <w:rPr>
                <w:rFonts w:ascii="宋体" w:hAnsi="宋体" w:cs="宋体"/>
                <w:b/>
                <w:color w:val="000000" w:themeColor="text1"/>
                <w:szCs w:val="21"/>
                <w:u w:val="single"/>
                <w14:textFill>
                  <w14:solidFill>
                    <w14:schemeClr w14:val="tx1"/>
                  </w14:solidFill>
                </w14:textFill>
              </w:rPr>
              <w:t xml:space="preserve"> </w:t>
            </w:r>
            <w:r>
              <w:rPr>
                <w:rFonts w:ascii="宋体" w:hAnsi="宋体" w:cs="宋体"/>
                <w:b/>
                <w:color w:val="000000" w:themeColor="text1"/>
                <w:szCs w:val="21"/>
                <w14:textFill>
                  <w14:solidFill>
                    <w14:schemeClr w14:val="tx1"/>
                  </w14:solidFill>
                </w14:textFill>
              </w:rPr>
              <w:t>分。</w:t>
            </w:r>
          </w:p>
          <w:p>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（3）在商务评审项中，对设有完善售后服务机构和网点的两型产品，应给予商务评审总分值的4％-8％幅度不等的加分。</w:t>
            </w:r>
            <w:r>
              <w:rPr>
                <w:rFonts w:ascii="宋体" w:hAnsi="宋体" w:cs="宋体"/>
                <w:b/>
                <w:bCs/>
                <w:color w:val="000000" w:themeColor="text1"/>
                <w:szCs w:val="21"/>
                <w14:textFill>
                  <w14:solidFill>
                    <w14:schemeClr w14:val="tx1"/>
                  </w14:solidFill>
                </w14:textFill>
              </w:rPr>
              <w:t>本项目具体加分比例为4%。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83" w:hRule="atLeast"/>
        </w:trPr>
        <w:tc>
          <w:tcPr>
            <w:tcW w:w="1701" w:type="dxa"/>
            <w:vAlign w:val="center"/>
          </w:tcPr>
          <w:p>
            <w:pPr>
              <w:adjustRightInd w:val="0"/>
              <w:snapToGrid w:val="0"/>
              <w:spacing w:before="157" w:beforeLines="50"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第6.2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34" w:type="dxa"/>
            <w:gridSpan w:val="2"/>
            <w:tcBorders>
              <w:right w:val="single" w:color="auto" w:sz="4" w:space="0"/>
            </w:tcBorders>
            <w:vAlign w:val="center"/>
          </w:tcPr>
          <w:p>
            <w:pPr>
              <w:adjustRightInd w:val="0"/>
              <w:snapToGrid w:val="0"/>
              <w:spacing w:line="4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中标候选人并列的确定中标人的方式</w:t>
            </w:r>
          </w:p>
        </w:tc>
        <w:tc>
          <w:tcPr>
            <w:tcW w:w="4554" w:type="dxa"/>
            <w:tcBorders>
              <w:top w:val="single" w:color="auto" w:sz="4" w:space="0"/>
              <w:left w:val="single" w:color="auto" w:sz="4" w:space="0"/>
            </w:tcBorders>
            <w:vAlign w:val="center"/>
          </w:tcPr>
          <w:p>
            <w:pPr>
              <w:adjustRightInd w:val="0"/>
              <w:snapToGrid w:val="0"/>
              <w:spacing w:line="420" w:lineRule="exact"/>
              <w:rPr>
                <w:rFonts w:ascii="宋体" w:hAnsi="宋体" w:cs="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按投标报价从低到高确定排序，投标报价相同的按技术总分从高至低确定排序，技术总分相同的由评标组长现场随机抽签确定排序。</w:t>
            </w:r>
          </w:p>
        </w:tc>
      </w:tr>
    </w:tbl>
    <w:p>
      <w:pPr>
        <w:pStyle w:val="6"/>
        <w:adjustRightInd w:val="0"/>
        <w:snapToGrid w:val="0"/>
        <w:spacing w:before="157" w:beforeLines="50"/>
        <w:jc w:val="center"/>
        <w:rPr>
          <w:rFonts w:ascii="黑体" w:hAnsi="华文中宋" w:eastAsia="黑体"/>
          <w:b w:val="0"/>
          <w:color w:val="000000" w:themeColor="text1"/>
          <w:sz w:val="28"/>
          <w:szCs w:val="28"/>
          <w14:textFill>
            <w14:solidFill>
              <w14:schemeClr w14:val="tx1"/>
            </w14:solidFill>
          </w14:textFill>
        </w:rPr>
      </w:pPr>
      <w:bookmarkStart w:id="49" w:name="_Toc20383"/>
      <w:r>
        <w:rPr>
          <w:rFonts w:hint="eastAsia" w:asciiTheme="minorEastAsia" w:hAnsiTheme="minorEastAsia" w:eastAsiaTheme="minorEastAsia"/>
          <w:color w:val="000000" w:themeColor="text1"/>
          <w:szCs w:val="21"/>
          <w14:textFill>
            <w14:solidFill>
              <w14:schemeClr w14:val="tx1"/>
            </w14:solidFill>
          </w14:textFill>
        </w:rPr>
        <w:t>注：优先采购加分的详细计算规则见第二章第</w:t>
      </w:r>
      <w:r>
        <w:rPr>
          <w:rFonts w:asciiTheme="minorEastAsia" w:hAnsiTheme="minorEastAsia" w:eastAsiaTheme="minorEastAsia"/>
          <w:color w:val="000000" w:themeColor="text1"/>
          <w:szCs w:val="21"/>
          <w14:textFill>
            <w14:solidFill>
              <w14:schemeClr w14:val="tx1"/>
            </w14:solidFill>
          </w14:textFill>
        </w:rPr>
        <w:t>3</w:t>
      </w:r>
      <w:r>
        <w:rPr>
          <w:rFonts w:hint="eastAsia" w:asciiTheme="minorEastAsia" w:hAnsiTheme="minorEastAsia" w:eastAsiaTheme="minorEastAsia"/>
          <w:color w:val="000000" w:themeColor="text1"/>
          <w:szCs w:val="21"/>
          <w14:textFill>
            <w14:solidFill>
              <w14:schemeClr w14:val="tx1"/>
            </w14:solidFill>
          </w14:textFill>
        </w:rPr>
        <w:t>4</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5款、第34.6款规定。</w:t>
      </w:r>
      <w:r>
        <w:rPr>
          <w:rFonts w:asciiTheme="minorEastAsia" w:hAnsiTheme="minorEastAsia" w:eastAsiaTheme="minorEastAsia"/>
          <w:color w:val="000000" w:themeColor="text1"/>
          <w14:textFill>
            <w14:solidFill>
              <w14:schemeClr w14:val="tx1"/>
            </w14:solidFill>
          </w14:textFill>
        </w:rPr>
        <w:br w:type="page"/>
      </w:r>
      <w:bookmarkStart w:id="50" w:name="_Toc8983728"/>
      <w:r>
        <w:rPr>
          <w:rFonts w:hint="eastAsia" w:ascii="黑体" w:hAnsi="华文中宋" w:eastAsia="黑体"/>
          <w:color w:val="000000" w:themeColor="text1"/>
          <w:sz w:val="28"/>
          <w:szCs w:val="28"/>
          <w14:textFill>
            <w14:solidFill>
              <w14:schemeClr w14:val="tx1"/>
            </w14:solidFill>
          </w14:textFill>
        </w:rPr>
        <w:t xml:space="preserve">第二节 </w:t>
      </w:r>
      <w:r>
        <w:rPr>
          <w:rFonts w:hint="eastAsia" w:ascii="黑体" w:hAnsi="华文中宋" w:eastAsia="黑体"/>
          <w:b w:val="0"/>
          <w:color w:val="000000" w:themeColor="text1"/>
          <w:sz w:val="28"/>
          <w:szCs w:val="28"/>
          <w14:textFill>
            <w14:solidFill>
              <w14:schemeClr w14:val="tx1"/>
            </w14:solidFill>
          </w14:textFill>
        </w:rPr>
        <w:t>评标方法及标准正文</w:t>
      </w:r>
      <w:bookmarkEnd w:id="49"/>
      <w:bookmarkEnd w:id="50"/>
    </w:p>
    <w:p>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51" w:name="_Toc8983729"/>
      <w:r>
        <w:rPr>
          <w:rFonts w:hint="eastAsia" w:ascii="黑体" w:hAnsi="黑体" w:eastAsia="黑体"/>
          <w:color w:val="000000" w:themeColor="text1"/>
          <w:sz w:val="24"/>
          <w:szCs w:val="24"/>
          <w14:textFill>
            <w14:solidFill>
              <w14:schemeClr w14:val="tx1"/>
            </w14:solidFill>
          </w14:textFill>
        </w:rPr>
        <w:t>1．评标方法</w:t>
      </w:r>
      <w:bookmarkEnd w:id="51"/>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1.1评标方法：综合评分法，指投标文件满足招标文件全部实质性要求，且按照评审因素的量化指标评审得分最高的投标人为中标候选人的评标方法。</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1.2</w:t>
      </w:r>
      <w:r>
        <w:rPr>
          <w:rFonts w:hint="eastAsia" w:asciiTheme="minorEastAsia" w:hAnsiTheme="minorEastAsia" w:eastAsiaTheme="minorEastAsia"/>
          <w:color w:val="000000" w:themeColor="text1"/>
          <w:szCs w:val="21"/>
          <w14:textFill>
            <w14:solidFill>
              <w14:schemeClr w14:val="tx1"/>
            </w14:solidFill>
          </w14:textFill>
        </w:rPr>
        <w:t>评标因素：评审因素的设定应当与投标人所提供货物服务的质量相关，包括投标报价、技术或者服务水平、履约能力、售后服务等，但不包括第</w:t>
      </w:r>
      <w:r>
        <w:rPr>
          <w:rFonts w:hint="eastAsia" w:asciiTheme="minorEastAsia" w:hAnsiTheme="minorEastAsia" w:eastAsiaTheme="minorEastAsia"/>
          <w:b/>
          <w:bCs/>
          <w:color w:val="000000" w:themeColor="text1"/>
          <w:szCs w:val="21"/>
          <w14:textFill>
            <w14:solidFill>
              <w14:schemeClr w14:val="tx1"/>
            </w14:solidFill>
          </w14:textFill>
        </w:rPr>
        <w:t>一</w:t>
      </w:r>
      <w:r>
        <w:rPr>
          <w:rFonts w:hint="eastAsia" w:asciiTheme="minorEastAsia" w:hAnsiTheme="minorEastAsia" w:eastAsiaTheme="minorEastAsia"/>
          <w:color w:val="000000" w:themeColor="text1"/>
          <w:szCs w:val="21"/>
          <w14:textFill>
            <w14:solidFill>
              <w14:schemeClr w14:val="tx1"/>
            </w14:solidFill>
          </w14:textFill>
        </w:rPr>
        <w:t>章投标人的资格要求。</w:t>
      </w:r>
      <w:r>
        <w:rPr>
          <w:rFonts w:hint="eastAsia" w:asciiTheme="minorEastAsia" w:hAnsiTheme="minorEastAsia" w:eastAsiaTheme="minorEastAsia"/>
          <w:bCs/>
          <w:color w:val="000000" w:themeColor="text1"/>
          <w:szCs w:val="21"/>
          <w14:textFill>
            <w14:solidFill>
              <w14:schemeClr w14:val="tx1"/>
            </w14:solidFill>
          </w14:textFill>
        </w:rPr>
        <w:t>本采购项目</w:t>
      </w:r>
      <w:r>
        <w:rPr>
          <w:rFonts w:hint="eastAsia" w:asciiTheme="minorEastAsia" w:hAnsiTheme="minorEastAsia" w:eastAsiaTheme="minorEastAsia"/>
          <w:color w:val="000000" w:themeColor="text1"/>
          <w:szCs w:val="21"/>
          <w14:textFill>
            <w14:solidFill>
              <w14:schemeClr w14:val="tx1"/>
            </w14:solidFill>
          </w14:textFill>
        </w:rPr>
        <w:t>的评标因素和标准见【</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w:t>
      </w:r>
    </w:p>
    <w:p>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2" w:name="_Toc8983730"/>
      <w:r>
        <w:rPr>
          <w:rFonts w:hint="eastAsia" w:ascii="黑体" w:hAnsi="黑体" w:eastAsia="黑体"/>
          <w:bCs w:val="0"/>
          <w:color w:val="000000" w:themeColor="text1"/>
          <w:sz w:val="24"/>
          <w:szCs w:val="24"/>
          <w14:textFill>
            <w14:solidFill>
              <w14:schemeClr w14:val="tx1"/>
            </w14:solidFill>
          </w14:textFill>
        </w:rPr>
        <w:t>2．评标程序</w:t>
      </w:r>
      <w:bookmarkEnd w:id="52"/>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2.1评标程序分为投标文件符合性审查、澄清有关问题、比较和评价、确定中标候选人名单。</w:t>
      </w:r>
    </w:p>
    <w:p>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3" w:name="_Toc8983731"/>
      <w:r>
        <w:rPr>
          <w:rFonts w:hint="eastAsia" w:ascii="黑体" w:hAnsi="黑体" w:eastAsia="黑体"/>
          <w:bCs w:val="0"/>
          <w:color w:val="000000" w:themeColor="text1"/>
          <w:sz w:val="24"/>
          <w:szCs w:val="24"/>
          <w14:textFill>
            <w14:solidFill>
              <w14:schemeClr w14:val="tx1"/>
            </w14:solidFill>
          </w14:textFill>
        </w:rPr>
        <w:t>3．投标文件符合性审查</w:t>
      </w:r>
      <w:bookmarkEnd w:id="53"/>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3.1评标委员会应当对符合资格的投标人的投标文件进行符合性审查，以确定其是否满足招标文件的实质性要求。</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（2）投标人不得通过修正或撤销不合要求的偏离从而使其投标成为实质上响应的投标。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3.2投标人存在下列情况之一的，投标无效：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（1）投标文件中商务技术文件未按照招标文件规定要求签署、盖章的；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（2）投标文件没有对招标文件的实质性要求和条件作出响应，或者对招标文件的偏离超出招标文件规定的偏离</w:t>
      </w:r>
      <w:r>
        <w:rPr>
          <w:rFonts w:hint="eastAsia" w:asciiTheme="minorEastAsia" w:hAnsiTheme="minorEastAsia" w:eastAsiaTheme="minorEastAsia"/>
          <w:color w:val="000000" w:themeColor="text1"/>
          <w14:textFill>
            <w14:solidFill>
              <w14:schemeClr w14:val="tx1"/>
            </w14:solidFill>
          </w14:textFill>
        </w:rPr>
        <w:t>范围和幅度的</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（3）投标有效期不足的；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（4）投标文件含有采购人不能接受的附加条件的；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（5）法律、法规和招标文件规定的其他投标无效情形的。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3.3在评标过程中发现投标人有不遵循公平竞争的原则，恶意串通，妨碍其他投标人的竞争行为，损害采购人或者其他投标人的合法权益的，评标委员会应当认定其投标无效，并书面报告本级财政部门。</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3.4 根据有关法律法规和招标文件的有关规定，如出现下列情况之一的，应予以废标：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（1）符合专业条件的投标人或者对招标文件作实质响应的投标人不足三家的；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（2）出现影响采购公正的违法、违规行为的；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（3）投标人的报价均超过采购人项目采购预算，采购人不能支付的；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（4）因重大变故，采购任务取消的。</w:t>
      </w:r>
    </w:p>
    <w:p>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4" w:name="_Toc8983732"/>
      <w:r>
        <w:rPr>
          <w:rFonts w:hint="eastAsia" w:ascii="黑体" w:hAnsi="黑体" w:eastAsia="黑体"/>
          <w:bCs w:val="0"/>
          <w:color w:val="000000" w:themeColor="text1"/>
          <w:sz w:val="24"/>
          <w:szCs w:val="24"/>
          <w14:textFill>
            <w14:solidFill>
              <w14:schemeClr w14:val="tx1"/>
            </w14:solidFill>
          </w14:textFill>
        </w:rPr>
        <w:t>4．澄清有关问题</w:t>
      </w:r>
      <w:bookmarkEnd w:id="54"/>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4.1对于投标文件中含义不明确、同类问题表述不一致或者有明显文字和计算错误的内容，评标委员会应当以书面形式要求投标人作出必要的澄清、说明或者补正。</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4.2投标文件的投标报价出现前后不一致的，除</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另有规定外，按照下列规定修正：</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（1）投标文件中开标一览表内容与投标文件中相应内容不一致的，以开标一览表为准；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（2）大写金额和小写金额不一致的，以大写金额为准；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（3）单价金额小数点或者百分比有明显错位的，以开标一览表的总价为准，并修改单价；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（4）总价金额与按单价汇总金额不一致的，以单价金额计算结果为准。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4.3投标文件报价同时出现两种以上不一致的，按照前款规定的顺序修正。修正后的报价由投标人代表签字或者加盖单位章确认后产生约束力，投标人不确认的，其投标无效。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4.5有效的书面澄清材料，是投标文件的补充材料，成为投标文件的组成部分。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5" w:name="_Toc8983733"/>
      <w:r>
        <w:rPr>
          <w:rFonts w:hint="eastAsia" w:ascii="黑体" w:hAnsi="黑体" w:eastAsia="黑体"/>
          <w:bCs w:val="0"/>
          <w:color w:val="000000" w:themeColor="text1"/>
          <w:sz w:val="24"/>
          <w:szCs w:val="24"/>
          <w14:textFill>
            <w14:solidFill>
              <w14:schemeClr w14:val="tx1"/>
            </w14:solidFill>
          </w14:textFill>
        </w:rPr>
        <w:t>5．比较与评价</w:t>
      </w:r>
      <w:bookmarkEnd w:id="55"/>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5.1评标委员会应按照招标文件中规定的评标方法、</w:t>
      </w:r>
      <w:r>
        <w:rPr>
          <w:rFonts w:hint="eastAsia" w:asciiTheme="minorEastAsia" w:hAnsiTheme="minorEastAsia" w:eastAsiaTheme="minorEastAsia"/>
          <w:color w:val="000000" w:themeColor="text1"/>
          <w:szCs w:val="21"/>
          <w14:textFill>
            <w14:solidFill>
              <w14:schemeClr w14:val="tx1"/>
            </w14:solidFill>
          </w14:textFill>
        </w:rPr>
        <w:t>标准和评标因素，</w:t>
      </w:r>
      <w:r>
        <w:rPr>
          <w:rFonts w:hint="eastAsia" w:asciiTheme="minorEastAsia" w:hAnsiTheme="minorEastAsia" w:eastAsiaTheme="minorEastAsia"/>
          <w:bCs/>
          <w:color w:val="000000" w:themeColor="text1"/>
          <w:szCs w:val="21"/>
          <w14:textFill>
            <w14:solidFill>
              <w14:schemeClr w14:val="tx1"/>
            </w14:solidFill>
          </w14:textFill>
        </w:rPr>
        <w:t>对</w:t>
      </w:r>
      <w:r>
        <w:rPr>
          <w:rFonts w:hint="eastAsia" w:asciiTheme="minorEastAsia" w:hAnsiTheme="minorEastAsia" w:eastAsiaTheme="minorEastAsia"/>
          <w:color w:val="000000" w:themeColor="text1"/>
          <w:szCs w:val="21"/>
          <w14:textFill>
            <w14:solidFill>
              <w14:schemeClr w14:val="tx1"/>
            </w14:solidFill>
          </w14:textFill>
        </w:rPr>
        <w:t>资格性检查和符合性检查</w:t>
      </w:r>
      <w:r>
        <w:rPr>
          <w:rFonts w:hint="eastAsia" w:asciiTheme="minorEastAsia" w:hAnsiTheme="minorEastAsia" w:eastAsiaTheme="minorEastAsia"/>
          <w:bCs/>
          <w:color w:val="000000" w:themeColor="text1"/>
          <w:szCs w:val="21"/>
          <w14:textFill>
            <w14:solidFill>
              <w14:schemeClr w14:val="tx1"/>
            </w14:solidFill>
          </w14:textFill>
        </w:rPr>
        <w:t>合格的投标文件进行评估，综合比较与评价。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5.2</w:t>
      </w:r>
      <w:r>
        <w:rPr>
          <w:rFonts w:hint="eastAsia" w:asciiTheme="minorEastAsia" w:hAnsiTheme="minorEastAsia" w:eastAsiaTheme="minorEastAsia"/>
          <w:color w:val="000000" w:themeColor="text1"/>
          <w:szCs w:val="21"/>
          <w14:textFill>
            <w14:solidFill>
              <w14:schemeClr w14:val="tx1"/>
            </w14:solidFill>
          </w14:textFill>
        </w:rPr>
        <w:t>投标报价的修正或调整</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（1）如果有算术错误，投标报价将</w:t>
      </w:r>
      <w:r>
        <w:rPr>
          <w:rFonts w:hint="eastAsia" w:asciiTheme="minorEastAsia" w:hAnsiTheme="minorEastAsia" w:eastAsiaTheme="minorEastAsia"/>
          <w:bCs/>
          <w:color w:val="000000" w:themeColor="text1"/>
          <w:szCs w:val="21"/>
          <w14:textFill>
            <w14:solidFill>
              <w14:schemeClr w14:val="tx1"/>
            </w14:solidFill>
          </w14:textFill>
        </w:rPr>
        <w:t>按</w:t>
      </w:r>
      <w:r>
        <w:rPr>
          <w:rFonts w:hint="eastAsia" w:asciiTheme="minorEastAsia" w:hAnsiTheme="minorEastAsia" w:eastAsiaTheme="minorEastAsia"/>
          <w:color w:val="000000" w:themeColor="text1"/>
          <w:szCs w:val="21"/>
          <w14:textFill>
            <w14:solidFill>
              <w14:schemeClr w14:val="tx1"/>
            </w14:solidFill>
          </w14:textFill>
        </w:rPr>
        <w:t>本章第4.2款进行算术修正及修正次序规则修正。</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（2）需落实政府采购政策（价格评审优惠）的，按</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及第二章相关规定进行价格调整的，以调整后的价格计算评标基准价和投标报价。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（3）评标基准价和投标报价按照上述顺序修正或调整。</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5.3投标报价评价：价格分应当采用低价优先法计算，即满足招标文件要求且投标价格最低的投标报价为评标基准价，其价格分为满分（报价权重分）。其他投标人的价格分统一按照下列公式计算：</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hint="eastAsia" w:asciiTheme="minorEastAsia" w:hAnsiTheme="minorEastAsia" w:eastAsiaTheme="minorEastAsia"/>
          <w:color w:val="000000" w:themeColor="text1"/>
          <w:szCs w:val="21"/>
          <w:vertAlign w:val="subscript"/>
          <w14:textFill>
            <w14:solidFill>
              <w14:schemeClr w14:val="tx1"/>
            </w14:solidFill>
          </w14:textFill>
        </w:rPr>
        <w:t>调整</w:t>
      </w:r>
      <w:r>
        <w:rPr>
          <w:rFonts w:hint="eastAsia" w:asciiTheme="minorEastAsia" w:hAnsiTheme="minorEastAsia" w:eastAsiaTheme="minorEastAsia"/>
          <w:color w:val="000000" w:themeColor="text1"/>
          <w:szCs w:val="21"/>
          <w14:textFill>
            <w14:solidFill>
              <w14:schemeClr w14:val="tx1"/>
            </w14:solidFill>
          </w14:textFill>
        </w:rPr>
        <w:t>／投标报价</w:t>
      </w:r>
      <w:r>
        <w:rPr>
          <w:rFonts w:hint="eastAsia" w:asciiTheme="minorEastAsia" w:hAnsiTheme="minorEastAsia" w:eastAsiaTheme="minorEastAsia"/>
          <w:color w:val="000000" w:themeColor="text1"/>
          <w:szCs w:val="21"/>
          <w:vertAlign w:val="subscript"/>
          <w14:textFill>
            <w14:solidFill>
              <w14:schemeClr w14:val="tx1"/>
            </w14:solidFill>
          </w14:textFill>
        </w:rPr>
        <w:t>调整</w:t>
      </w:r>
      <w:r>
        <w:rPr>
          <w:rFonts w:hint="eastAsia" w:asciiTheme="minorEastAsia" w:hAnsiTheme="minorEastAsia" w:eastAsiaTheme="minorEastAsia"/>
          <w:color w:val="000000" w:themeColor="text1"/>
          <w:szCs w:val="21"/>
          <w14:textFill>
            <w14:solidFill>
              <w14:schemeClr w14:val="tx1"/>
            </w14:solidFill>
          </w14:textFill>
        </w:rPr>
        <w:t>） ×报价权重分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5.4技术、商务等评分项响应评价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（1）技术、商务等评分项响应评分。按本章第1.2款规定的评标因素和标准，对技术、商务等评分项计算得分。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（2）需落实政府采购政策（优先采购）的，按</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及第二章相关规定进行技术、价格、商务项得分调整。</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5.5评标总得分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评标总得分＝F</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n</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分别为各项评审因素的得分；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 xml:space="preserve"> 分别为各项评审因素所占的权重（A</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＝1）。</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评标过程中，不得去掉报价中的最高报价和最低报价。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5.6评分分值计算保留小数点后两位，小数点后第三位“四舍五入”。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5.7</w:t>
      </w:r>
      <w:r>
        <w:rPr>
          <w:rFonts w:hint="eastAsia" w:asciiTheme="minorEastAsia" w:hAnsiTheme="minorEastAsia" w:eastAsiaTheme="minorEastAsia"/>
          <w:color w:val="000000" w:themeColor="text1"/>
          <w:szCs w:val="21"/>
          <w14:textFill>
            <w14:solidFill>
              <w14:schemeClr w14:val="tx1"/>
            </w14:solidFill>
          </w14:textFill>
        </w:rPr>
        <w:t>评标时，评标委员会各成员应当独立对每个投标人的</w:t>
      </w:r>
      <w:r>
        <w:rPr>
          <w:rFonts w:hint="eastAsia" w:asciiTheme="minorEastAsia" w:hAnsiTheme="minorEastAsia" w:eastAsiaTheme="minorEastAsia"/>
          <w:bCs/>
          <w:color w:val="000000" w:themeColor="text1"/>
          <w:szCs w:val="21"/>
          <w14:textFill>
            <w14:solidFill>
              <w14:schemeClr w14:val="tx1"/>
            </w14:solidFill>
          </w14:textFill>
        </w:rPr>
        <w:t>投标文件</w:t>
      </w:r>
      <w:r>
        <w:rPr>
          <w:rFonts w:hint="eastAsia" w:asciiTheme="minorEastAsia" w:hAnsiTheme="minorEastAsia" w:eastAsiaTheme="minorEastAsia"/>
          <w:color w:val="000000" w:themeColor="text1"/>
          <w:szCs w:val="21"/>
          <w14:textFill>
            <w14:solidFill>
              <w14:schemeClr w14:val="tx1"/>
            </w14:solidFill>
          </w14:textFill>
        </w:rPr>
        <w:t>进行评价、评分，然后汇总每个投标人每项评分因素的得分。</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5.8</w:t>
      </w:r>
      <w:r>
        <w:rPr>
          <w:rFonts w:hint="eastAsia" w:asciiTheme="minorEastAsia" w:hAnsiTheme="minorEastAsia" w:eastAsiaTheme="minorEastAsia"/>
          <w:bCs/>
          <w:color w:val="000000" w:themeColor="text1"/>
          <w:szCs w:val="21"/>
          <w14:textFill>
            <w14:solidFill>
              <w14:schemeClr w14:val="tx1"/>
            </w14:solidFill>
          </w14:textFill>
        </w:rPr>
        <w:t>提供相同品牌产品且通过资格审查、符合性审查的不同投标人参加同一合同项下投标的，按一家投标人计算。由此导致投标人不足三家的，应予废标：</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（1）评审后得分最高的同品牌投标人获得中标人推荐资格，</w:t>
      </w:r>
      <w:r>
        <w:rPr>
          <w:rFonts w:hint="eastAsia" w:asciiTheme="minorEastAsia" w:hAnsiTheme="minorEastAsia" w:eastAsiaTheme="minorEastAsia"/>
          <w:b/>
          <w:bCs/>
          <w:color w:val="000000" w:themeColor="text1"/>
          <w:szCs w:val="21"/>
          <w14:textFill>
            <w14:solidFill>
              <w14:schemeClr w14:val="tx1"/>
            </w14:solidFill>
          </w14:textFill>
        </w:rPr>
        <w:t>其他同品牌投标人不作为中标候选人</w:t>
      </w:r>
      <w:r>
        <w:rPr>
          <w:rFonts w:hint="eastAsia" w:asciiTheme="minorEastAsia" w:hAnsiTheme="minorEastAsia" w:eastAsiaTheme="minorEastAsia"/>
          <w:bCs/>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（2）评审得分相同的，由采购人或者采购人委托评标委员会按照</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bCs/>
          <w:color w:val="000000" w:themeColor="text1"/>
          <w:szCs w:val="21"/>
          <w14:textFill>
            <w14:solidFill>
              <w14:schemeClr w14:val="tx1"/>
            </w14:solidFill>
          </w14:textFill>
        </w:rPr>
        <w:t>规定的方式确定一个投标人获得中标人推荐资格，招标文件未规定的采取随机抽取方式确定，其他同品牌投标人不作为中标候选人。</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5.9</w:t>
      </w:r>
      <w:r>
        <w:rPr>
          <w:rFonts w:hint="eastAsia" w:asciiTheme="minorEastAsia" w:hAnsiTheme="minorEastAsia" w:eastAsiaTheme="minorEastAsia"/>
          <w:bCs/>
          <w:color w:val="000000" w:themeColor="text1"/>
          <w:szCs w:val="21"/>
          <w14:textFill>
            <w14:solidFill>
              <w14:schemeClr w14:val="tx1"/>
            </w14:solidFill>
          </w14:textFill>
        </w:rPr>
        <w:t>非单一产品采购项目，采购人应当根据采购项目技术构成、产品价格比重等合理确定核心产品，并在</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bCs/>
          <w:color w:val="000000" w:themeColor="text1"/>
          <w:szCs w:val="21"/>
          <w14:textFill>
            <w14:solidFill>
              <w14:schemeClr w14:val="tx1"/>
            </w14:solidFill>
          </w14:textFill>
        </w:rPr>
        <w:t>中载明。多家投标人提供的核心产品品牌相同的，按本章第</w:t>
      </w:r>
      <w:r>
        <w:rPr>
          <w:rFonts w:asciiTheme="minorEastAsia" w:hAnsiTheme="minorEastAsia" w:eastAsiaTheme="minorEastAsia"/>
          <w:bCs/>
          <w:color w:val="000000" w:themeColor="text1"/>
          <w:szCs w:val="21"/>
          <w14:textFill>
            <w14:solidFill>
              <w14:schemeClr w14:val="tx1"/>
            </w14:solidFill>
          </w14:textFill>
        </w:rPr>
        <w:t>5.8</w:t>
      </w:r>
      <w:r>
        <w:rPr>
          <w:rFonts w:hint="eastAsia" w:asciiTheme="minorEastAsia" w:hAnsiTheme="minorEastAsia" w:eastAsiaTheme="minorEastAsia"/>
          <w:bCs/>
          <w:color w:val="000000" w:themeColor="text1"/>
          <w:szCs w:val="21"/>
          <w14:textFill>
            <w14:solidFill>
              <w14:schemeClr w14:val="tx1"/>
            </w14:solidFill>
          </w14:textFill>
        </w:rPr>
        <w:t>款规定处理。</w:t>
      </w:r>
    </w:p>
    <w:p>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56" w:name="_Toc8983734"/>
      <w:r>
        <w:rPr>
          <w:rFonts w:hint="eastAsia" w:ascii="黑体" w:hAnsi="黑体" w:eastAsia="黑体"/>
          <w:bCs w:val="0"/>
          <w:color w:val="000000" w:themeColor="text1"/>
          <w:sz w:val="24"/>
          <w:szCs w:val="24"/>
          <w14:textFill>
            <w14:solidFill>
              <w14:schemeClr w14:val="tx1"/>
            </w14:solidFill>
          </w14:textFill>
        </w:rPr>
        <w:t>6．</w:t>
      </w:r>
      <w:r>
        <w:rPr>
          <w:rFonts w:hint="eastAsia" w:ascii="黑体" w:hAnsi="黑体" w:eastAsia="黑体"/>
          <w:color w:val="000000" w:themeColor="text1"/>
          <w:sz w:val="24"/>
          <w:szCs w:val="24"/>
          <w14:textFill>
            <w14:solidFill>
              <w14:schemeClr w14:val="tx1"/>
            </w14:solidFill>
          </w14:textFill>
        </w:rPr>
        <w:t>确定中标候选人名单</w:t>
      </w:r>
      <w:bookmarkEnd w:id="56"/>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6.1</w:t>
      </w:r>
      <w:r>
        <w:rPr>
          <w:rFonts w:hint="eastAsia" w:asciiTheme="minorEastAsia" w:hAnsiTheme="minorEastAsia" w:eastAsiaTheme="minorEastAsia"/>
          <w:bCs/>
          <w:color w:val="000000" w:themeColor="text1"/>
          <w:szCs w:val="21"/>
          <w14:textFill>
            <w14:solidFill>
              <w14:schemeClr w14:val="tx1"/>
            </w14:solidFill>
          </w14:textFill>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57" w:name="_Toc8983735"/>
      <w:r>
        <w:rPr>
          <w:rFonts w:hint="eastAsia" w:ascii="黑体" w:hAnsi="黑体" w:eastAsia="黑体"/>
          <w:bCs w:val="0"/>
          <w:color w:val="000000" w:themeColor="text1"/>
          <w:sz w:val="24"/>
          <w:szCs w:val="24"/>
          <w14:textFill>
            <w14:solidFill>
              <w14:schemeClr w14:val="tx1"/>
            </w14:solidFill>
          </w14:textFill>
        </w:rPr>
        <w:t>7．</w:t>
      </w:r>
      <w:r>
        <w:rPr>
          <w:rFonts w:hint="eastAsia" w:ascii="黑体" w:hAnsi="黑体" w:eastAsia="黑体"/>
          <w:color w:val="000000" w:themeColor="text1"/>
          <w:sz w:val="24"/>
          <w:szCs w:val="24"/>
          <w14:textFill>
            <w14:solidFill>
              <w14:schemeClr w14:val="tx1"/>
            </w14:solidFill>
          </w14:textFill>
        </w:rPr>
        <w:t>编写评标报告</w:t>
      </w:r>
      <w:bookmarkEnd w:id="57"/>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7.1评标</w:t>
      </w:r>
      <w:r>
        <w:rPr>
          <w:rFonts w:hint="eastAsia" w:asciiTheme="minorEastAsia" w:hAnsiTheme="minorEastAsia" w:eastAsiaTheme="minorEastAsia"/>
          <w:bCs/>
          <w:color w:val="000000" w:themeColor="text1"/>
          <w:szCs w:val="21"/>
          <w14:textFill>
            <w14:solidFill>
              <w14:schemeClr w14:val="tx1"/>
            </w14:solidFill>
          </w14:textFill>
        </w:rPr>
        <w:t>委员会</w:t>
      </w:r>
      <w:r>
        <w:rPr>
          <w:rFonts w:hint="eastAsia" w:asciiTheme="minorEastAsia" w:hAnsiTheme="minorEastAsia" w:eastAsiaTheme="minorEastAsia"/>
          <w:color w:val="000000" w:themeColor="text1"/>
          <w:szCs w:val="21"/>
          <w14:textFill>
            <w14:solidFill>
              <w14:schemeClr w14:val="tx1"/>
            </w14:solidFill>
          </w14:textFill>
        </w:rPr>
        <w:t>根据全体评标成员签字的原始评标记录和评标结果编写评标报告。</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7.2</w:t>
      </w:r>
      <w:r>
        <w:rPr>
          <w:rFonts w:hint="eastAsia" w:asciiTheme="minorEastAsia" w:hAnsiTheme="minorEastAsia" w:eastAsiaTheme="minorEastAsia"/>
          <w:bCs/>
          <w:color w:val="000000" w:themeColor="text1"/>
          <w:szCs w:val="21"/>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8" w:name="_Toc8983736"/>
      <w:r>
        <w:rPr>
          <w:rFonts w:hint="eastAsia" w:ascii="黑体" w:hAnsi="黑体" w:eastAsia="黑体"/>
          <w:bCs w:val="0"/>
          <w:color w:val="000000" w:themeColor="text1"/>
          <w:sz w:val="24"/>
          <w:szCs w:val="24"/>
          <w14:textFill>
            <w14:solidFill>
              <w14:schemeClr w14:val="tx1"/>
            </w14:solidFill>
          </w14:textFill>
        </w:rPr>
        <w:t>8．</w:t>
      </w:r>
      <w:r>
        <w:rPr>
          <w:rFonts w:hint="eastAsia" w:ascii="黑体" w:hAnsi="黑体" w:eastAsia="黑体"/>
          <w:color w:val="000000" w:themeColor="text1"/>
          <w:sz w:val="24"/>
          <w:szCs w:val="24"/>
          <w14:textFill>
            <w14:solidFill>
              <w14:schemeClr w14:val="tx1"/>
            </w14:solidFill>
          </w14:textFill>
        </w:rPr>
        <w:t>评标报告</w:t>
      </w:r>
      <w:r>
        <w:rPr>
          <w:rFonts w:hint="eastAsia" w:ascii="黑体" w:hAnsi="黑体" w:eastAsia="黑体"/>
          <w:bCs w:val="0"/>
          <w:color w:val="000000" w:themeColor="text1"/>
          <w:sz w:val="24"/>
          <w:szCs w:val="24"/>
          <w14:textFill>
            <w14:solidFill>
              <w14:schemeClr w14:val="tx1"/>
            </w14:solidFill>
          </w14:textFill>
        </w:rPr>
        <w:t>复核</w:t>
      </w:r>
      <w:bookmarkEnd w:id="58"/>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8.1汇总完成后，除下列情形外，任何人不得修改评标结果：</w:t>
      </w:r>
    </w:p>
    <w:p>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（1）分值汇总计算错误的；</w:t>
      </w:r>
    </w:p>
    <w:p>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（2）分项评分超出评分标准范围的；</w:t>
      </w:r>
    </w:p>
    <w:p>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（3）评标委员会成员对客观评审因素评分不一致的；</w:t>
      </w:r>
    </w:p>
    <w:p>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（4）经评标委员会认定评分畸高、畸低的。</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8.1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9" w:name="_Toc8983737"/>
      <w:r>
        <w:rPr>
          <w:rFonts w:hint="eastAsia" w:ascii="黑体" w:hAnsi="黑体" w:eastAsia="黑体"/>
          <w:color w:val="000000" w:themeColor="text1"/>
          <w:sz w:val="24"/>
          <w:szCs w:val="24"/>
          <w14:textFill>
            <w14:solidFill>
              <w14:schemeClr w14:val="tx1"/>
            </w14:solidFill>
          </w14:textFill>
        </w:rPr>
        <w:t>9．</w:t>
      </w:r>
      <w:r>
        <w:rPr>
          <w:rFonts w:hint="eastAsia" w:ascii="黑体" w:hAnsi="黑体" w:eastAsia="黑体"/>
          <w:bCs w:val="0"/>
          <w:color w:val="000000" w:themeColor="text1"/>
          <w:sz w:val="24"/>
          <w:szCs w:val="24"/>
          <w14:textFill>
            <w14:solidFill>
              <w14:schemeClr w14:val="tx1"/>
            </w14:solidFill>
          </w14:textFill>
        </w:rPr>
        <w:t>停止评标</w:t>
      </w:r>
      <w:bookmarkEnd w:id="59"/>
    </w:p>
    <w:p>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9.1</w:t>
      </w:r>
      <w:r>
        <w:rPr>
          <w:rFonts w:hint="eastAsia" w:cs="宋体" w:asciiTheme="minorEastAsia" w:hAnsiTheme="minorEastAsia" w:eastAsiaTheme="minorEastAsia"/>
          <w:color w:val="000000" w:themeColor="text1"/>
          <w:kern w:val="0"/>
          <w:szCs w:val="21"/>
          <w14:textFill>
            <w14:solidFill>
              <w14:schemeClr w14:val="tx1"/>
            </w14:solidFill>
          </w14:textFill>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60" w:name="_Toc8983738"/>
      <w:r>
        <w:rPr>
          <w:rFonts w:hint="eastAsia" w:ascii="黑体" w:hAnsi="黑体" w:eastAsia="黑体" w:cs="宋体"/>
          <w:color w:val="000000" w:themeColor="text1"/>
          <w:kern w:val="0"/>
          <w:sz w:val="24"/>
          <w:szCs w:val="24"/>
          <w14:textFill>
            <w14:solidFill>
              <w14:schemeClr w14:val="tx1"/>
            </w14:solidFill>
          </w14:textFill>
        </w:rPr>
        <w:t>10．重新组建评标委员会进行评标</w:t>
      </w:r>
      <w:bookmarkEnd w:id="60"/>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10.1评标委员会或者其成员存在下列情形导致评标结果无效的，采购人或者采购代理机构可以重新组建评标委员会进行评标，并书面报告本级财政部门，但采购合同已经履行的除外：</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（1）评标委员会组成不符合《政府采购货物和服务招标投标管理办法》规定的；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（2）有《政府采购货物和服务招标投标管理办法》第六十二条第一至五项情形的；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（3）评标委员会及其成员独立评标受到非法干预的；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（4）有政府采购法实施条例第七十五条规定的违法行为的。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10.2有违法违规行为的原评标委员会成员不得参加重新组建的评标委员会。</w:t>
      </w:r>
    </w:p>
    <w:p>
      <w:pPr>
        <w:rPr>
          <w:rFonts w:ascii="黑体" w:hAnsi="华文中宋" w:eastAsia="黑体"/>
          <w:color w:val="000000" w:themeColor="text1"/>
          <w:sz w:val="28"/>
          <w:szCs w:val="28"/>
          <w14:textFill>
            <w14:solidFill>
              <w14:schemeClr w14:val="tx1"/>
            </w14:solidFill>
          </w14:textFill>
        </w:rPr>
      </w:pPr>
      <w:bookmarkStart w:id="61" w:name="_Toc20651226"/>
      <w:r>
        <w:rPr>
          <w:rFonts w:hint="eastAsia" w:ascii="黑体" w:hAnsi="华文中宋" w:eastAsia="黑体"/>
          <w:color w:val="000000" w:themeColor="text1"/>
          <w:sz w:val="28"/>
          <w:szCs w:val="28"/>
          <w14:textFill>
            <w14:solidFill>
              <w14:schemeClr w14:val="tx1"/>
            </w14:solidFill>
          </w14:textFill>
        </w:rPr>
        <w:br w:type="page"/>
      </w:r>
    </w:p>
    <w:p>
      <w:pPr>
        <w:pStyle w:val="6"/>
        <w:adjustRightInd w:val="0"/>
        <w:snapToGrid w:val="0"/>
        <w:jc w:val="center"/>
        <w:rPr>
          <w:rFonts w:ascii="黑体" w:hAnsi="华文中宋" w:eastAsia="黑体"/>
          <w:color w:val="000000" w:themeColor="text1"/>
          <w:sz w:val="28"/>
          <w:szCs w:val="28"/>
          <w14:textFill>
            <w14:solidFill>
              <w14:schemeClr w14:val="tx1"/>
            </w14:solidFill>
          </w14:textFill>
        </w:rPr>
      </w:pPr>
      <w:bookmarkStart w:id="62" w:name="_Toc2764"/>
      <w:r>
        <w:rPr>
          <w:rFonts w:hint="eastAsia" w:ascii="黑体" w:hAnsi="华文中宋" w:eastAsia="黑体"/>
          <w:color w:val="000000" w:themeColor="text1"/>
          <w:sz w:val="28"/>
          <w:szCs w:val="28"/>
          <w14:textFill>
            <w14:solidFill>
              <w14:schemeClr w14:val="tx1"/>
            </w14:solidFill>
          </w14:textFill>
        </w:rPr>
        <w:t>第三节 投标文件的符合性审查</w:t>
      </w:r>
      <w:bookmarkEnd w:id="61"/>
      <w:bookmarkEnd w:id="62"/>
    </w:p>
    <w:p>
      <w:pPr>
        <w:adjustRightInd w:val="0"/>
        <w:snapToGrid w:val="0"/>
        <w:spacing w:before="157" w:beforeLines="50" w:line="360" w:lineRule="auto"/>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1.符合性审查</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1.1</w:t>
      </w:r>
      <w:r>
        <w:rPr>
          <w:rFonts w:hint="eastAsia" w:asciiTheme="minorEastAsia" w:hAnsiTheme="minorEastAsia" w:eastAsiaTheme="minorEastAsia"/>
          <w:color w:val="000000" w:themeColor="text1"/>
          <w:szCs w:val="21"/>
          <w14:textFill>
            <w14:solidFill>
              <w14:schemeClr w14:val="tx1"/>
            </w14:solidFill>
          </w14:textFill>
        </w:rPr>
        <w:t>评标委员会应按本章本节附表1“符合性审查表”所列审查项目及审查标准，</w:t>
      </w:r>
      <w:r>
        <w:rPr>
          <w:rFonts w:hint="eastAsia" w:asciiTheme="minorEastAsia" w:hAnsiTheme="minorEastAsia" w:eastAsiaTheme="minorEastAsia"/>
          <w:color w:val="000000" w:themeColor="text1"/>
          <w14:textFill>
            <w14:solidFill>
              <w14:schemeClr w14:val="tx1"/>
            </w14:solidFill>
          </w14:textFill>
        </w:rPr>
        <w:t>对符合资格条件的投标人的投标文件进行符合性审查，以确定其是否满足招标文件的实质性要求。</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（2）投标人不得通过修正或撤销不合要求的偏离从而使其投标成为实质上响应的投标。</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1.2</w:t>
      </w:r>
      <w:r>
        <w:rPr>
          <w:rFonts w:hint="eastAsia" w:asciiTheme="minorEastAsia" w:hAnsiTheme="minorEastAsia" w:eastAsiaTheme="minorEastAsia"/>
          <w:color w:val="000000" w:themeColor="text1"/>
          <w14:textFill>
            <w14:solidFill>
              <w14:schemeClr w14:val="tx1"/>
            </w14:solidFill>
          </w14:textFill>
        </w:rPr>
        <w:t>未通过符合性审查的投标人，其投标将被认定为投标无效，不能进入下一阶段评审。通过符合性审查的投标人数量不足 3 家的，不得作进一步的比较和评价。</w:t>
      </w:r>
    </w:p>
    <w:p>
      <w:pPr>
        <w:adjustRightInd w:val="0"/>
        <w:snapToGrid w:val="0"/>
        <w:spacing w:before="157"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2.投标无效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2.1投标人存在下列情况之一的，符合性审查不合格，投标无效：</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（1）投标文件中商务技术文件未按照招标文件规定要求签署、盖章的；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（2）投标文件没有对招标文件的实质性要求和条件作出响应，或者对招标文件的偏离超出招标文件规定的偏离</w:t>
      </w:r>
      <w:r>
        <w:rPr>
          <w:rFonts w:hint="eastAsia" w:asciiTheme="minorEastAsia" w:hAnsiTheme="minorEastAsia" w:eastAsiaTheme="minorEastAsia"/>
          <w:color w:val="000000" w:themeColor="text1"/>
          <w14:textFill>
            <w14:solidFill>
              <w14:schemeClr w14:val="tx1"/>
            </w14:solidFill>
          </w14:textFill>
        </w:rPr>
        <w:t>范围和幅度</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（3）投标有效期不足的；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（4）投标文件含有采购人不能接受的附加条件的；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（5）不符合本节第1.1款规定符合性审查标准的；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（6）法律、法规和招标文件规定的其他投标无效情形的。</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color w:val="000000" w:themeColor="text1"/>
          <w:kern w:val="0"/>
          <w:szCs w:val="21"/>
          <w14:textFill>
            <w14:solidFill>
              <w14:schemeClr w14:val="tx1"/>
            </w14:solidFill>
          </w14:textFill>
        </w:rPr>
        <w:t>投标无效</w:t>
      </w:r>
      <w:r>
        <w:rPr>
          <w:rFonts w:hint="eastAsia" w:asciiTheme="minorEastAsia" w:hAnsiTheme="minorEastAsia" w:eastAsiaTheme="minorEastAsia"/>
          <w:color w:val="000000" w:themeColor="text1"/>
          <w:kern w:val="0"/>
          <w:szCs w:val="21"/>
          <w14:textFill>
            <w14:solidFill>
              <w14:schemeClr w14:val="tx1"/>
            </w14:solidFill>
          </w14:textFill>
        </w:rPr>
        <w:t>，并书面报告本级财政部门。</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widowControl/>
        <w:jc w:val="left"/>
        <w:rPr>
          <w:rFonts w:ascii="黑体" w:hAnsi="黑体"/>
          <w:b/>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pPr>
        <w:pStyle w:val="7"/>
        <w:adjustRightInd w:val="0"/>
        <w:snapToGrid w:val="0"/>
        <w:spacing w:before="157" w:beforeLines="50" w:after="0" w:line="360" w:lineRule="auto"/>
        <w:rPr>
          <w:color w:val="000000" w:themeColor="text1"/>
          <w:sz w:val="21"/>
          <w:szCs w:val="21"/>
          <w14:textFill>
            <w14:solidFill>
              <w14:schemeClr w14:val="tx1"/>
            </w14:solidFill>
          </w14:textFill>
        </w:rPr>
      </w:pPr>
      <w:bookmarkStart w:id="63" w:name="_Toc20651227"/>
      <w:r>
        <w:rPr>
          <w:rFonts w:hint="eastAsia"/>
          <w:color w:val="000000" w:themeColor="text1"/>
          <w:sz w:val="21"/>
          <w:szCs w:val="21"/>
          <w14:textFill>
            <w14:solidFill>
              <w14:schemeClr w14:val="tx1"/>
            </w14:solidFill>
          </w14:textFill>
        </w:rPr>
        <w:t>附表1 符合性审查表</w:t>
      </w:r>
      <w:bookmarkEnd w:id="63"/>
    </w:p>
    <w:p>
      <w:pPr>
        <w:adjustRightInd w:val="0"/>
        <w:snapToGrid w:val="0"/>
        <w:spacing w:before="157"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符合性审查表</w:t>
      </w:r>
    </w:p>
    <w:p>
      <w:pPr>
        <w:adjustRightInd w:val="0"/>
        <w:snapToGrid w:val="0"/>
        <w:spacing w:before="157"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                                           采购代理编号： </w:t>
      </w:r>
    </w:p>
    <w:tbl>
      <w:tblPr>
        <w:tblStyle w:val="46"/>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686"/>
        <w:gridCol w:w="569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序号</w:t>
            </w:r>
          </w:p>
        </w:tc>
        <w:tc>
          <w:tcPr>
            <w:tcW w:w="2686" w:type="dxa"/>
            <w:vAlign w:val="center"/>
          </w:tcPr>
          <w:p>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审查项目</w:t>
            </w:r>
          </w:p>
        </w:tc>
        <w:tc>
          <w:tcPr>
            <w:tcW w:w="5691" w:type="dxa"/>
            <w:vAlign w:val="center"/>
          </w:tcPr>
          <w:p>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w:t>
            </w:r>
          </w:p>
        </w:tc>
        <w:tc>
          <w:tcPr>
            <w:tcW w:w="2686"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投标文件的组成及格式</w:t>
            </w:r>
          </w:p>
        </w:tc>
        <w:tc>
          <w:tcPr>
            <w:tcW w:w="5691"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w:t>
            </w:r>
          </w:p>
        </w:tc>
        <w:tc>
          <w:tcPr>
            <w:tcW w:w="2686"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投标报价范围</w:t>
            </w:r>
          </w:p>
        </w:tc>
        <w:tc>
          <w:tcPr>
            <w:tcW w:w="5691"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w:t>
            </w:r>
          </w:p>
        </w:tc>
        <w:tc>
          <w:tcPr>
            <w:tcW w:w="2686"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投标有效期</w:t>
            </w:r>
          </w:p>
        </w:tc>
        <w:tc>
          <w:tcPr>
            <w:tcW w:w="5691"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p>
        </w:tc>
        <w:tc>
          <w:tcPr>
            <w:tcW w:w="2686"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投标服务承诺的范围</w:t>
            </w:r>
          </w:p>
        </w:tc>
        <w:tc>
          <w:tcPr>
            <w:tcW w:w="5691"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p>
        </w:tc>
        <w:tc>
          <w:tcPr>
            <w:tcW w:w="2686"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是否含有采购人不能接受的附加条件</w:t>
            </w:r>
          </w:p>
        </w:tc>
        <w:tc>
          <w:tcPr>
            <w:tcW w:w="5691"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w:t>
            </w:r>
          </w:p>
        </w:tc>
        <w:tc>
          <w:tcPr>
            <w:tcW w:w="2686" w:type="dxa"/>
            <w:vAlign w:val="center"/>
          </w:tcPr>
          <w:p>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是否对招标文件所有实质性要求和条件作出响应，且对招标文件的偏差未超出招标文件规定的偏差范围或最高项数</w:t>
            </w:r>
          </w:p>
        </w:tc>
        <w:tc>
          <w:tcPr>
            <w:tcW w:w="5691"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 w:val="20"/>
                <w:szCs w:val="21"/>
                <w14:textFill>
                  <w14:solidFill>
                    <w14:schemeClr w14:val="tx1"/>
                  </w14:solidFill>
                </w14:textFill>
              </w:rPr>
            </w:pPr>
            <w:r>
              <w:rPr>
                <w:rFonts w:hint="eastAsia" w:cs="宋体" w:asciiTheme="minorEastAsia" w:hAnsiTheme="minorEastAsia" w:eastAsiaTheme="minorEastAsia"/>
                <w:color w:val="000000" w:themeColor="text1"/>
                <w:kern w:val="0"/>
                <w:sz w:val="20"/>
                <w:szCs w:val="21"/>
                <w14:textFill>
                  <w14:solidFill>
                    <w14:schemeClr w14:val="tx1"/>
                  </w14:solidFill>
                </w14:textFill>
              </w:rPr>
              <w:t>结论</w:t>
            </w:r>
          </w:p>
        </w:tc>
        <w:tc>
          <w:tcPr>
            <w:tcW w:w="8377" w:type="dxa"/>
            <w:gridSpan w:val="2"/>
            <w:vAlign w:val="center"/>
          </w:tcPr>
          <w:p>
            <w:pPr>
              <w:adjustRightInd w:val="0"/>
              <w:snapToGrid w:val="0"/>
              <w:spacing w:before="157" w:beforeLines="50" w:line="360" w:lineRule="auto"/>
              <w:jc w:val="center"/>
              <w:rPr>
                <w:rFonts w:cs="宋体" w:asciiTheme="minorEastAsia" w:hAnsiTheme="minorEastAsia" w:eastAsiaTheme="minorEastAsia"/>
                <w:color w:val="000000" w:themeColor="text1"/>
                <w:kern w:val="0"/>
                <w:sz w:val="20"/>
                <w:szCs w:val="21"/>
                <w14:textFill>
                  <w14:solidFill>
                    <w14:schemeClr w14:val="tx1"/>
                  </w14:solidFill>
                </w14:textFill>
              </w:rPr>
            </w:pPr>
          </w:p>
        </w:tc>
      </w:tr>
    </w:tbl>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w:t>
      </w:r>
    </w:p>
    <w:p>
      <w:pPr>
        <w:widowControl/>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r>
    </w:p>
    <w:p>
      <w:pPr>
        <w:pStyle w:val="7"/>
        <w:rPr>
          <w:color w:val="000000" w:themeColor="text1"/>
          <w:sz w:val="21"/>
          <w:szCs w:val="21"/>
          <w14:textFill>
            <w14:solidFill>
              <w14:schemeClr w14:val="tx1"/>
            </w14:solidFill>
          </w14:textFill>
        </w:rPr>
      </w:pPr>
      <w:bookmarkStart w:id="64" w:name="_Toc20651228"/>
      <w:r>
        <w:rPr>
          <w:rFonts w:hint="eastAsia"/>
          <w:color w:val="000000" w:themeColor="text1"/>
          <w:sz w:val="21"/>
          <w:szCs w:val="21"/>
          <w14:textFill>
            <w14:solidFill>
              <w14:schemeClr w14:val="tx1"/>
            </w14:solidFill>
          </w14:textFill>
        </w:rPr>
        <w:t>附表1 符合性审查结果一览表</w:t>
      </w:r>
      <w:bookmarkEnd w:id="64"/>
    </w:p>
    <w:p>
      <w:pPr>
        <w:adjustRightInd w:val="0"/>
        <w:snapToGrid w:val="0"/>
        <w:spacing w:before="157"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符合性审查结果一览表</w:t>
      </w:r>
    </w:p>
    <w:p>
      <w:pPr>
        <w:adjustRightInd w:val="0"/>
        <w:snapToGrid w:val="0"/>
        <w:spacing w:before="157"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6"/>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2963"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投标人名称</w:t>
            </w:r>
          </w:p>
        </w:tc>
        <w:tc>
          <w:tcPr>
            <w:tcW w:w="2439"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符合性审查结果</w:t>
            </w:r>
          </w:p>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（合格/不合格）</w:t>
            </w:r>
          </w:p>
        </w:tc>
        <w:tc>
          <w:tcPr>
            <w:tcW w:w="2961" w:type="dxa"/>
            <w:vAlign w:val="center"/>
          </w:tcPr>
          <w:p>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符合性审查不合格原因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pPr>
        <w:widowControl/>
        <w:jc w:val="left"/>
        <w:rPr>
          <w:rFonts w:ascii="黑体" w:hAnsi="黑体" w:eastAsia="黑体"/>
          <w:bCs/>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pPr>
        <w:pStyle w:val="7"/>
        <w:rPr>
          <w:color w:val="000000" w:themeColor="text1"/>
          <w:sz w:val="21"/>
          <w:szCs w:val="21"/>
          <w14:textFill>
            <w14:solidFill>
              <w14:schemeClr w14:val="tx1"/>
            </w14:solidFill>
          </w14:textFill>
        </w:rPr>
      </w:pPr>
      <w:bookmarkStart w:id="65" w:name="_Toc20651229"/>
      <w:r>
        <w:rPr>
          <w:rFonts w:hint="eastAsia"/>
          <w:color w:val="000000" w:themeColor="text1"/>
          <w:sz w:val="21"/>
          <w:szCs w:val="21"/>
          <w14:textFill>
            <w14:solidFill>
              <w14:schemeClr w14:val="tx1"/>
            </w14:solidFill>
          </w14:textFill>
        </w:rPr>
        <w:t>附表2 符合性审查合格投标人名单</w:t>
      </w:r>
      <w:bookmarkEnd w:id="65"/>
    </w:p>
    <w:p>
      <w:pPr>
        <w:adjustRightInd w:val="0"/>
        <w:snapToGrid w:val="0"/>
        <w:spacing w:before="157"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符合性审查合格投标人名单</w:t>
      </w:r>
    </w:p>
    <w:p>
      <w:pPr>
        <w:adjustRightInd w:val="0"/>
        <w:snapToGrid w:val="0"/>
        <w:spacing w:before="157" w:beforeLines="50" w:line="360" w:lineRule="auto"/>
        <w:rPr>
          <w:rFonts w:ascii="华文中宋" w:hAnsi="华文中宋" w:eastAsia="华文中宋"/>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序号</w:t>
            </w:r>
          </w:p>
        </w:tc>
        <w:tc>
          <w:tcPr>
            <w:tcW w:w="7796" w:type="dxa"/>
            <w:vAlign w:val="center"/>
          </w:tcPr>
          <w:p>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pPr>
        <w:rPr>
          <w:color w:val="000000" w:themeColor="text1"/>
          <w:w w:val="90"/>
          <w14:textFill>
            <w14:solidFill>
              <w14:schemeClr w14:val="tx1"/>
            </w14:solidFill>
          </w14:textFill>
        </w:rPr>
      </w:pPr>
    </w:p>
    <w:p>
      <w:pPr>
        <w:rPr>
          <w:rFonts w:ascii="黑体" w:hAnsi="黑体" w:eastAsia="黑体"/>
          <w:b/>
          <w:color w:val="000000" w:themeColor="text1"/>
          <w:sz w:val="32"/>
          <w:szCs w:val="32"/>
          <w14:textFill>
            <w14:solidFill>
              <w14:schemeClr w14:val="tx1"/>
            </w14:solidFill>
          </w14:textFill>
        </w:rPr>
      </w:pPr>
    </w:p>
    <w:p>
      <w:pPr>
        <w:rPr>
          <w:rFonts w:ascii="黑体" w:hAnsi="华文中宋" w:eastAsia="黑体"/>
          <w:color w:val="000000" w:themeColor="text1"/>
          <w:sz w:val="28"/>
          <w:szCs w:val="28"/>
          <w14:textFill>
            <w14:solidFill>
              <w14:schemeClr w14:val="tx1"/>
            </w14:solidFill>
          </w14:textFill>
        </w:rPr>
      </w:pPr>
      <w:bookmarkStart w:id="66" w:name="_Toc20651230"/>
      <w:r>
        <w:rPr>
          <w:rFonts w:hint="eastAsia" w:ascii="黑体" w:hAnsi="华文中宋" w:eastAsia="黑体"/>
          <w:color w:val="000000" w:themeColor="text1"/>
          <w:sz w:val="28"/>
          <w:szCs w:val="28"/>
          <w14:textFill>
            <w14:solidFill>
              <w14:schemeClr w14:val="tx1"/>
            </w14:solidFill>
          </w14:textFill>
        </w:rPr>
        <w:br w:type="page"/>
      </w:r>
    </w:p>
    <w:p>
      <w:pPr>
        <w:pStyle w:val="6"/>
        <w:adjustRightInd w:val="0"/>
        <w:snapToGrid w:val="0"/>
        <w:jc w:val="center"/>
        <w:rPr>
          <w:rFonts w:ascii="黑体" w:hAnsi="华文中宋" w:eastAsia="黑体"/>
          <w:color w:val="000000" w:themeColor="text1"/>
          <w:sz w:val="28"/>
          <w:szCs w:val="28"/>
          <w14:textFill>
            <w14:solidFill>
              <w14:schemeClr w14:val="tx1"/>
            </w14:solidFill>
          </w14:textFill>
        </w:rPr>
      </w:pPr>
      <w:bookmarkStart w:id="67" w:name="_Toc29379"/>
      <w:r>
        <w:rPr>
          <w:rFonts w:hint="eastAsia" w:ascii="黑体" w:hAnsi="华文中宋" w:eastAsia="黑体"/>
          <w:color w:val="000000" w:themeColor="text1"/>
          <w:sz w:val="28"/>
          <w:szCs w:val="28"/>
          <w14:textFill>
            <w14:solidFill>
              <w14:schemeClr w14:val="tx1"/>
            </w14:solidFill>
          </w14:textFill>
        </w:rPr>
        <w:t>第四节 投标文件的比较与评价（综合评分法）</w:t>
      </w:r>
      <w:bookmarkEnd w:id="66"/>
      <w:bookmarkEnd w:id="67"/>
    </w:p>
    <w:p>
      <w:pPr>
        <w:widowControl/>
        <w:adjustRightInd w:val="0"/>
        <w:snapToGrid w:val="0"/>
        <w:spacing w:before="157"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w:t>
      </w:r>
      <w:r>
        <w:rPr>
          <w:rFonts w:hint="eastAsia"/>
          <w:color w:val="000000" w:themeColor="text1"/>
          <w14:textFill>
            <w14:solidFill>
              <w14:schemeClr w14:val="tx1"/>
            </w14:solidFill>
          </w14:textFill>
        </w:rPr>
        <w:t xml:space="preserve"> </w:t>
      </w:r>
      <w:r>
        <w:rPr>
          <w:rFonts w:hint="eastAsia" w:ascii="黑体" w:hAnsi="黑体" w:eastAsia="黑体"/>
          <w:b/>
          <w:color w:val="000000" w:themeColor="text1"/>
          <w:sz w:val="24"/>
          <w14:textFill>
            <w14:solidFill>
              <w14:schemeClr w14:val="tx1"/>
            </w14:solidFill>
          </w14:textFill>
        </w:rPr>
        <w:t>综合评分法</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1.1综合评分法，指投标文件满足招标文件全部实质性要求，且按照评审因素的量化指标评审得分最高的投标人为中标候选人的评标方法。</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1.3未通过符合性审查的投标文件不得进入比较与评价。</w:t>
      </w:r>
    </w:p>
    <w:p>
      <w:pPr>
        <w:adjustRightInd w:val="0"/>
        <w:snapToGrid w:val="0"/>
        <w:spacing w:before="157"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2.</w:t>
      </w:r>
      <w:r>
        <w:rPr>
          <w:rFonts w:hint="eastAsia"/>
          <w:color w:val="000000" w:themeColor="text1"/>
          <w14:textFill>
            <w14:solidFill>
              <w14:schemeClr w14:val="tx1"/>
            </w14:solidFill>
          </w14:textFill>
        </w:rPr>
        <w:t xml:space="preserve"> </w:t>
      </w:r>
      <w:r>
        <w:rPr>
          <w:rFonts w:hint="eastAsia" w:ascii="黑体" w:hAnsi="黑体" w:eastAsia="黑体"/>
          <w:b/>
          <w:bCs/>
          <w:color w:val="000000" w:themeColor="text1"/>
          <w:sz w:val="24"/>
          <w14:textFill>
            <w14:solidFill>
              <w14:schemeClr w14:val="tx1"/>
            </w14:solidFill>
          </w14:textFill>
        </w:rPr>
        <w:t>投标报价的算术修正及政府采购政策调整</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2.1如果有算术错误，投标报价将按本章第二节第4.2款、第4.3款规定进行算术修正。</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2.2需落实政府采购政策（价格评审优惠）的，按第二章“投标须知”及本章第二节第</w:t>
      </w:r>
      <w:r>
        <w:rPr>
          <w:rFonts w:asciiTheme="minorEastAsia" w:hAnsiTheme="minorEastAsia" w:eastAsiaTheme="minorEastAsia"/>
          <w:bCs/>
          <w:color w:val="000000" w:themeColor="text1"/>
          <w:szCs w:val="21"/>
          <w14:textFill>
            <w14:solidFill>
              <w14:schemeClr w14:val="tx1"/>
            </w14:solidFill>
          </w14:textFill>
        </w:rPr>
        <w:t>5.3</w:t>
      </w:r>
      <w:r>
        <w:rPr>
          <w:rFonts w:hint="eastAsia" w:asciiTheme="minorEastAsia" w:hAnsiTheme="minorEastAsia" w:eastAsiaTheme="minorEastAsia"/>
          <w:bCs/>
          <w:color w:val="000000" w:themeColor="text1"/>
          <w:szCs w:val="21"/>
          <w14:textFill>
            <w14:solidFill>
              <w14:schemeClr w14:val="tx1"/>
            </w14:solidFill>
          </w14:textFill>
        </w:rPr>
        <w:t>（1）项的相关规定进行价格调整。</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2.3按本章本节第2.1款、第2.2款规定，以修正或调整后的价格确定投标人的投标报价和评标基准价，用于投标报价评价。</w:t>
      </w:r>
    </w:p>
    <w:p>
      <w:pPr>
        <w:adjustRightInd w:val="0"/>
        <w:snapToGrid w:val="0"/>
        <w:spacing w:before="157"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3.</w:t>
      </w:r>
      <w:r>
        <w:rPr>
          <w:rFonts w:hint="eastAsia"/>
          <w:color w:val="000000" w:themeColor="text1"/>
          <w14:textFill>
            <w14:solidFill>
              <w14:schemeClr w14:val="tx1"/>
            </w14:solidFill>
          </w14:textFill>
        </w:rPr>
        <w:t xml:space="preserve"> </w:t>
      </w:r>
      <w:r>
        <w:rPr>
          <w:rFonts w:hint="eastAsia" w:ascii="黑体" w:hAnsi="黑体" w:eastAsia="黑体"/>
          <w:b/>
          <w:bCs/>
          <w:color w:val="000000" w:themeColor="text1"/>
          <w:sz w:val="24"/>
          <w14:textFill>
            <w14:solidFill>
              <w14:schemeClr w14:val="tx1"/>
            </w14:solidFill>
          </w14:textFill>
        </w:rPr>
        <w:t>投标报价评价</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3.1投标报价评价：价格分应当采用低价优先法计算，即满足招标文件要求且投标价格最低的投标报价为评标基准价，其价格分为满分（报价权重分）。其他投标人的价格分统一按照下列公式计算：</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／投标报价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 × 报价权重分</w:t>
      </w:r>
    </w:p>
    <w:p>
      <w:pPr>
        <w:adjustRightInd w:val="0"/>
        <w:snapToGrid w:val="0"/>
        <w:spacing w:before="157" w:beforeLines="50" w:line="360" w:lineRule="auto"/>
        <w:jc w:val="left"/>
        <w:rPr>
          <w:rFonts w:ascii="黑体" w:hAnsi="黑体" w:eastAsia="黑体"/>
          <w:color w:val="000000" w:themeColor="text1"/>
          <w:sz w:val="24"/>
          <w14:textFill>
            <w14:solidFill>
              <w14:schemeClr w14:val="tx1"/>
            </w14:solidFill>
          </w14:textFill>
        </w:rPr>
      </w:pPr>
      <w:r>
        <w:rPr>
          <w:rFonts w:hint="eastAsia" w:ascii="黑体" w:hAnsi="黑体" w:eastAsia="黑体"/>
          <w:bCs/>
          <w:color w:val="000000" w:themeColor="text1"/>
          <w:sz w:val="24"/>
          <w14:textFill>
            <w14:solidFill>
              <w14:schemeClr w14:val="tx1"/>
            </w14:solidFill>
          </w14:textFill>
        </w:rPr>
        <w:t>4.</w:t>
      </w:r>
      <w:r>
        <w:rPr>
          <w:rFonts w:hint="eastAsia" w:ascii="黑体" w:hAnsi="黑体" w:eastAsia="黑体"/>
          <w:color w:val="000000" w:themeColor="text1"/>
          <w:sz w:val="24"/>
          <w14:textFill>
            <w14:solidFill>
              <w14:schemeClr w14:val="tx1"/>
            </w14:solidFill>
          </w14:textFill>
        </w:rPr>
        <w:t>技术、商务等评分项响应评价及政府采购政策加分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4.1技术、商务等评分项响应评分。按</w:t>
      </w:r>
      <w:r>
        <w:rPr>
          <w:rFonts w:hint="eastAsia" w:asciiTheme="minorEastAsia" w:hAnsiTheme="minorEastAsia" w:eastAsiaTheme="minorEastAsia"/>
          <w:bCs/>
          <w:color w:val="000000" w:themeColor="text1"/>
          <w:szCs w:val="21"/>
          <w14:textFill>
            <w14:solidFill>
              <w14:schemeClr w14:val="tx1"/>
            </w14:solidFill>
          </w14:textFill>
        </w:rPr>
        <w:t>本章</w:t>
      </w:r>
      <w:r>
        <w:rPr>
          <w:rFonts w:hint="eastAsia" w:asciiTheme="minorEastAsia" w:hAnsiTheme="minorEastAsia" w:eastAsiaTheme="minorEastAsia"/>
          <w:color w:val="000000" w:themeColor="text1"/>
          <w:szCs w:val="21"/>
          <w14:textFill>
            <w14:solidFill>
              <w14:schemeClr w14:val="tx1"/>
            </w14:solidFill>
          </w14:textFill>
        </w:rPr>
        <w:t>本节附页1“评标方法及标准表”规定的评标因素和标准，对技术、商务等评分项计算得分。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4.2需落实政府采购政策（优先采购）的，按第二章、本章第二节第5.3（2）项以及本节附页1“评标方法及标准表”的相关规定进行技术、价格、商务项得分(加分)计算。</w:t>
      </w:r>
    </w:p>
    <w:p>
      <w:pPr>
        <w:adjustRightInd w:val="0"/>
        <w:snapToGrid w:val="0"/>
        <w:spacing w:before="157"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5.评标总得分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5.1评标总得分为投标报价、技术、商务等评分项得分(含优先采购政策加分)之和。</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评标总得分＝A</w:t>
      </w:r>
      <w:r>
        <w:rPr>
          <w:rFonts w:hint="eastAsia" w:asciiTheme="minorEastAsia" w:hAnsiTheme="minorEastAsia" w:eastAsiaTheme="minorEastAsia"/>
          <w:color w:val="000000" w:themeColor="text1"/>
          <w:szCs w:val="21"/>
          <w:vertAlign w:val="subscript"/>
          <w14:textFill>
            <w14:solidFill>
              <w14:schemeClr w14:val="tx1"/>
            </w14:solidFill>
          </w14:textFill>
        </w:rPr>
        <w:t>投标报价得分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技术项得分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商务项得分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优先采购加分</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5.2评分分值计算保留小数点后两位，小数点后第三位“四舍五入”。</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5.3</w:t>
      </w:r>
      <w:r>
        <w:rPr>
          <w:rFonts w:hint="eastAsia" w:asciiTheme="minorEastAsia" w:hAnsiTheme="minorEastAsia" w:eastAsiaTheme="minorEastAsia"/>
          <w:color w:val="000000" w:themeColor="text1"/>
          <w:szCs w:val="21"/>
          <w14:textFill>
            <w14:solidFill>
              <w14:schemeClr w14:val="tx1"/>
            </w14:solidFill>
          </w14:textFill>
        </w:rPr>
        <w:t>评标时，评标委员会成员应当独立对满足招标文件全部实质性要求投标人的</w:t>
      </w:r>
      <w:r>
        <w:rPr>
          <w:rFonts w:hint="eastAsia" w:asciiTheme="minorEastAsia" w:hAnsiTheme="minorEastAsia" w:eastAsiaTheme="minorEastAsia"/>
          <w:bCs/>
          <w:color w:val="000000" w:themeColor="text1"/>
          <w:szCs w:val="21"/>
          <w14:textFill>
            <w14:solidFill>
              <w14:schemeClr w14:val="tx1"/>
            </w14:solidFill>
          </w14:textFill>
        </w:rPr>
        <w:t>投标文件</w:t>
      </w:r>
      <w:r>
        <w:rPr>
          <w:rFonts w:hint="eastAsia" w:asciiTheme="minorEastAsia" w:hAnsiTheme="minorEastAsia" w:eastAsiaTheme="minorEastAsia"/>
          <w:color w:val="000000" w:themeColor="text1"/>
          <w:szCs w:val="21"/>
          <w14:textFill>
            <w14:solidFill>
              <w14:schemeClr w14:val="tx1"/>
            </w14:solidFill>
          </w14:textFill>
        </w:rPr>
        <w:t>进行评价、评分，然后汇总每个投标人每项评分因素的得分。每个投标人的最终得分为所有评标委员会成员评分的算术平均值。</w:t>
      </w:r>
    </w:p>
    <w:p>
      <w:pPr>
        <w:adjustRightInd w:val="0"/>
        <w:snapToGrid w:val="0"/>
        <w:spacing w:before="157"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6.中标候选人的推荐方法</w:t>
      </w:r>
    </w:p>
    <w:p>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before="157" w:beforeLines="50" w:line="360" w:lineRule="auto"/>
        <w:ind w:firstLine="420" w:firstLineChars="200"/>
        <w:jc w:val="left"/>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6.2得分且投标报价相同的并列，按本章第二节规定确定中标候选人。</w:t>
      </w:r>
    </w:p>
    <w:p>
      <w:pPr>
        <w:keepNext w:val="0"/>
        <w:keepLines w:val="0"/>
        <w:pageBreakBefore w:val="0"/>
        <w:widowControl w:val="0"/>
        <w:kinsoku/>
        <w:autoSpaceDE/>
        <w:autoSpaceDN/>
        <w:bidi w:val="0"/>
        <w:adjustRightInd/>
        <w:snapToGrid w:val="0"/>
        <w:rPr>
          <w:rFonts w:hint="eastAsia"/>
          <w:color w:val="000000" w:themeColor="text1"/>
          <w:sz w:val="2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br w:type="page"/>
      </w:r>
      <w:r>
        <w:rPr>
          <w:rFonts w:hint="eastAsia"/>
          <w:color w:val="000000" w:themeColor="text1"/>
          <w:sz w:val="21"/>
          <w:szCs w:val="21"/>
          <w14:textFill>
            <w14:solidFill>
              <w14:schemeClr w14:val="tx1"/>
            </w14:solidFill>
          </w14:textFill>
        </w:rPr>
        <w:t>附页1 评标方法及标准表</w:t>
      </w:r>
    </w:p>
    <w:tbl>
      <w:tblPr>
        <w:tblStyle w:val="46"/>
        <w:tblpPr w:leftFromText="180" w:rightFromText="180" w:vertAnchor="text" w:horzAnchor="page" w:tblpX="1633" w:tblpY="1634"/>
        <w:tblOverlap w:val="never"/>
        <w:tblW w:w="883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870"/>
        <w:gridCol w:w="686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06" w:type="dxa"/>
            <w:tcBorders>
              <w:tl2br w:val="nil"/>
              <w:tr2bl w:val="nil"/>
            </w:tcBorders>
            <w:vAlign w:val="center"/>
          </w:tcPr>
          <w:p>
            <w:pPr>
              <w:pStyle w:val="19"/>
              <w:keepNext w:val="0"/>
              <w:keepLines w:val="0"/>
              <w:pageBreakBefore w:val="0"/>
              <w:widowControl w:val="0"/>
              <w:kinsoku/>
              <w:wordWrap w:val="0"/>
              <w:overflowPunct w:val="0"/>
              <w:topLinePunct/>
              <w:autoSpaceDE/>
              <w:autoSpaceDN/>
              <w:bidi w:val="0"/>
              <w:adjustRightInd/>
              <w:snapToGrid w:val="0"/>
              <w:spacing w:after="0" w:line="310" w:lineRule="exact"/>
              <w:jc w:val="center"/>
              <w:textAlignment w:val="top"/>
              <w:rPr>
                <w:rFonts w:hint="eastAsia" w:asciiTheme="minorEastAsia" w:hAnsiTheme="minorEastAsia" w:eastAsiaTheme="minorEastAsia" w:cstheme="minorEastAsia"/>
                <w:b/>
                <w:bCs w:val="0"/>
                <w:color w:val="auto"/>
                <w:kern w:val="21"/>
                <w:sz w:val="21"/>
                <w:szCs w:val="21"/>
                <w:highlight w:val="none"/>
              </w:rPr>
            </w:pPr>
            <w:r>
              <w:rPr>
                <w:rFonts w:hint="eastAsia" w:asciiTheme="minorEastAsia" w:hAnsiTheme="minorEastAsia" w:eastAsiaTheme="minorEastAsia" w:cstheme="minorEastAsia"/>
                <w:b/>
                <w:bCs w:val="0"/>
                <w:color w:val="auto"/>
                <w:kern w:val="21"/>
                <w:sz w:val="21"/>
                <w:szCs w:val="21"/>
                <w:highlight w:val="none"/>
              </w:rPr>
              <w:t>评审因素</w:t>
            </w:r>
          </w:p>
        </w:tc>
        <w:tc>
          <w:tcPr>
            <w:tcW w:w="870" w:type="dxa"/>
            <w:tcBorders>
              <w:tl2br w:val="nil"/>
              <w:tr2bl w:val="nil"/>
            </w:tcBorders>
            <w:vAlign w:val="center"/>
          </w:tcPr>
          <w:p>
            <w:pPr>
              <w:pStyle w:val="19"/>
              <w:keepNext w:val="0"/>
              <w:keepLines w:val="0"/>
              <w:pageBreakBefore w:val="0"/>
              <w:widowControl w:val="0"/>
              <w:kinsoku/>
              <w:wordWrap w:val="0"/>
              <w:overflowPunct w:val="0"/>
              <w:topLinePunct/>
              <w:autoSpaceDE/>
              <w:autoSpaceDN/>
              <w:bidi w:val="0"/>
              <w:adjustRightInd/>
              <w:snapToGrid w:val="0"/>
              <w:spacing w:after="0" w:line="310" w:lineRule="exact"/>
              <w:jc w:val="center"/>
              <w:textAlignment w:val="top"/>
              <w:rPr>
                <w:rFonts w:hint="eastAsia" w:asciiTheme="minorEastAsia" w:hAnsiTheme="minorEastAsia" w:eastAsiaTheme="minorEastAsia" w:cstheme="minorEastAsia"/>
                <w:b/>
                <w:bCs w:val="0"/>
                <w:color w:val="auto"/>
                <w:kern w:val="21"/>
                <w:sz w:val="21"/>
                <w:szCs w:val="21"/>
                <w:highlight w:val="none"/>
              </w:rPr>
            </w:pPr>
            <w:r>
              <w:rPr>
                <w:rFonts w:hint="eastAsia" w:asciiTheme="minorEastAsia" w:hAnsiTheme="minorEastAsia" w:eastAsiaTheme="minorEastAsia" w:cstheme="minorEastAsia"/>
                <w:b/>
                <w:bCs w:val="0"/>
                <w:color w:val="auto"/>
                <w:kern w:val="21"/>
                <w:sz w:val="21"/>
                <w:szCs w:val="21"/>
                <w:highlight w:val="none"/>
              </w:rPr>
              <w:t>权值</w:t>
            </w:r>
          </w:p>
        </w:tc>
        <w:tc>
          <w:tcPr>
            <w:tcW w:w="6862" w:type="dxa"/>
            <w:tcBorders>
              <w:tl2br w:val="nil"/>
              <w:tr2bl w:val="nil"/>
            </w:tcBorders>
            <w:vAlign w:val="center"/>
          </w:tcPr>
          <w:p>
            <w:pPr>
              <w:pStyle w:val="19"/>
              <w:keepNext w:val="0"/>
              <w:keepLines w:val="0"/>
              <w:pageBreakBefore w:val="0"/>
              <w:widowControl w:val="0"/>
              <w:kinsoku/>
              <w:wordWrap w:val="0"/>
              <w:overflowPunct w:val="0"/>
              <w:topLinePunct/>
              <w:autoSpaceDE/>
              <w:autoSpaceDN/>
              <w:bidi w:val="0"/>
              <w:adjustRightInd/>
              <w:snapToGrid w:val="0"/>
              <w:spacing w:after="0" w:line="310" w:lineRule="exact"/>
              <w:jc w:val="center"/>
              <w:textAlignment w:val="top"/>
              <w:rPr>
                <w:rFonts w:hint="eastAsia" w:asciiTheme="minorEastAsia" w:hAnsiTheme="minorEastAsia" w:eastAsiaTheme="minorEastAsia" w:cstheme="minorEastAsia"/>
                <w:b/>
                <w:bCs w:val="0"/>
                <w:color w:val="auto"/>
                <w:kern w:val="21"/>
                <w:sz w:val="21"/>
                <w:szCs w:val="21"/>
                <w:highlight w:val="none"/>
              </w:rPr>
            </w:pPr>
            <w:r>
              <w:rPr>
                <w:rFonts w:hint="eastAsia" w:asciiTheme="minorEastAsia" w:hAnsiTheme="minorEastAsia" w:eastAsiaTheme="minorEastAsia" w:cstheme="minorEastAsia"/>
                <w:b/>
                <w:bCs w:val="0"/>
                <w:color w:val="auto"/>
                <w:kern w:val="21"/>
                <w:sz w:val="21"/>
                <w:szCs w:val="21"/>
                <w:highlight w:val="none"/>
              </w:rPr>
              <w:t>评分标准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22" w:hRule="atLeast"/>
          <w:jc w:val="center"/>
        </w:trPr>
        <w:tc>
          <w:tcPr>
            <w:tcW w:w="1106" w:type="dxa"/>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r>
              <w:rPr>
                <w:rFonts w:hint="eastAsia" w:asciiTheme="minorEastAsia" w:hAnsiTheme="minorEastAsia" w:eastAsiaTheme="minorEastAsia" w:cstheme="minorEastAsia"/>
                <w:bCs/>
                <w:color w:val="auto"/>
                <w:kern w:val="21"/>
                <w:sz w:val="21"/>
                <w:szCs w:val="21"/>
                <w:highlight w:val="none"/>
              </w:rPr>
              <w:t>投标报价</w:t>
            </w:r>
          </w:p>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r>
              <w:rPr>
                <w:rFonts w:hint="eastAsia" w:asciiTheme="minorEastAsia" w:hAnsiTheme="minorEastAsia" w:eastAsiaTheme="minorEastAsia" w:cstheme="minorEastAsia"/>
                <w:bCs/>
                <w:color w:val="auto"/>
                <w:kern w:val="21"/>
                <w:sz w:val="21"/>
                <w:szCs w:val="21"/>
                <w:highlight w:val="none"/>
              </w:rPr>
              <w:t>（30分）</w:t>
            </w:r>
          </w:p>
        </w:tc>
        <w:tc>
          <w:tcPr>
            <w:tcW w:w="870" w:type="dxa"/>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r>
              <w:rPr>
                <w:rFonts w:hint="eastAsia" w:asciiTheme="minorEastAsia" w:hAnsiTheme="minorEastAsia" w:eastAsiaTheme="minorEastAsia" w:cstheme="minorEastAsia"/>
                <w:bCs/>
                <w:color w:val="auto"/>
                <w:kern w:val="21"/>
                <w:sz w:val="21"/>
                <w:szCs w:val="21"/>
                <w:highlight w:val="none"/>
              </w:rPr>
              <w:t>（30分）</w:t>
            </w:r>
          </w:p>
        </w:tc>
        <w:tc>
          <w:tcPr>
            <w:tcW w:w="6862" w:type="dxa"/>
            <w:tcBorders>
              <w:tl2br w:val="nil"/>
              <w:tr2bl w:val="nil"/>
            </w:tcBorders>
            <w:vAlign w:val="center"/>
          </w:tcPr>
          <w:p>
            <w:pPr>
              <w:adjustRightInd w:val="0"/>
              <w:snapToGrid w:val="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1.以经评委会一致认定满足招标文件要求且投标价格最低的投标报价为评标基准价，其价格分为满分30分。其他投标人的价格得分统一按公式计算：</w:t>
            </w:r>
          </w:p>
          <w:p>
            <w:pPr>
              <w:adjustRightInd w:val="0"/>
              <w:snapToGrid w:val="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投标报价得分=（评标基准价／投标报价）×报价权重分（30）</w:t>
            </w:r>
          </w:p>
          <w:p>
            <w:pPr>
              <w:adjustRightInd w:val="0"/>
              <w:snapToGrid w:val="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r>
              <w:rPr>
                <w:rFonts w:hint="eastAsia" w:asciiTheme="minorEastAsia" w:hAnsiTheme="minorEastAsia" w:eastAsiaTheme="minorEastAsia" w:cstheme="minorEastAsia"/>
                <w:color w:val="auto"/>
                <w:kern w:val="0"/>
                <w:sz w:val="21"/>
                <w:szCs w:val="21"/>
                <w:highlight w:val="none"/>
              </w:rPr>
              <w:t>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60" w:hRule="atLeast"/>
          <w:jc w:val="center"/>
        </w:trPr>
        <w:tc>
          <w:tcPr>
            <w:tcW w:w="1106" w:type="dxa"/>
            <w:vMerge w:val="restart"/>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r>
              <w:rPr>
                <w:rFonts w:hint="eastAsia" w:asciiTheme="minorEastAsia" w:hAnsiTheme="minorEastAsia" w:eastAsiaTheme="minorEastAsia" w:cstheme="minorEastAsia"/>
                <w:bCs/>
                <w:color w:val="auto"/>
                <w:kern w:val="21"/>
                <w:sz w:val="21"/>
                <w:szCs w:val="21"/>
                <w:highlight w:val="none"/>
              </w:rPr>
              <w:t>技术部分</w:t>
            </w:r>
          </w:p>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r>
              <w:rPr>
                <w:rFonts w:hint="eastAsia" w:asciiTheme="minorEastAsia" w:hAnsiTheme="minorEastAsia" w:eastAsiaTheme="minorEastAsia" w:cstheme="minorEastAsia"/>
                <w:bCs/>
                <w:color w:val="auto"/>
                <w:kern w:val="21"/>
                <w:sz w:val="21"/>
                <w:szCs w:val="21"/>
                <w:highlight w:val="none"/>
              </w:rPr>
              <w:t>(</w:t>
            </w:r>
            <w:r>
              <w:rPr>
                <w:rFonts w:hint="eastAsia" w:asciiTheme="minorEastAsia" w:hAnsiTheme="minorEastAsia" w:eastAsiaTheme="minorEastAsia" w:cstheme="minorEastAsia"/>
                <w:bCs/>
                <w:color w:val="auto"/>
                <w:kern w:val="21"/>
                <w:sz w:val="21"/>
                <w:szCs w:val="21"/>
                <w:highlight w:val="none"/>
                <w:lang w:val="en-US" w:eastAsia="zh-CN"/>
              </w:rPr>
              <w:t>55</w:t>
            </w:r>
            <w:r>
              <w:rPr>
                <w:rFonts w:hint="eastAsia" w:asciiTheme="minorEastAsia" w:hAnsiTheme="minorEastAsia" w:eastAsiaTheme="minorEastAsia" w:cstheme="minorEastAsia"/>
                <w:bCs/>
                <w:color w:val="auto"/>
                <w:kern w:val="21"/>
                <w:sz w:val="21"/>
                <w:szCs w:val="21"/>
                <w:highlight w:val="none"/>
              </w:rPr>
              <w:t>分)</w:t>
            </w:r>
          </w:p>
        </w:tc>
        <w:tc>
          <w:tcPr>
            <w:tcW w:w="870" w:type="dxa"/>
            <w:tcBorders>
              <w:tl2br w:val="nil"/>
              <w:tr2bl w:val="nil"/>
            </w:tcBorders>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产品配置及技术参数</w:t>
            </w: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分</w:t>
            </w:r>
          </w:p>
        </w:tc>
        <w:tc>
          <w:tcPr>
            <w:tcW w:w="6862" w:type="dxa"/>
            <w:tcBorders>
              <w:tl2br w:val="nil"/>
              <w:tr2bl w:val="nil"/>
            </w:tcBorders>
            <w:vAlign w:val="center"/>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根据投标文件中技术参数响应情况进行评审，投标产品技术性能指标完全</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满足或优于招标文件要求的，计20分。1项重要技术指标（标注“</w:t>
            </w:r>
            <w:r>
              <w:rPr>
                <w:rFonts w:hint="eastAsia" w:ascii="宋体" w:hAnsi="宋体" w:eastAsia="宋体" w:cs="宋体"/>
                <w:i w:val="0"/>
                <w:iCs w:val="0"/>
                <w:color w:val="000000"/>
                <w:kern w:val="0"/>
                <w:sz w:val="16"/>
                <w:szCs w:val="16"/>
                <w:u w:val="none"/>
                <w:lang w:val="en-US" w:eastAsia="zh-CN" w:bidi="ar"/>
              </w:rPr>
              <w:t>▲</w:t>
            </w:r>
            <w:r>
              <w:rPr>
                <w:rFonts w:hint="eastAsia" w:ascii="宋体" w:hAnsi="宋体" w:eastAsia="宋体" w:cs="宋体"/>
                <w:color w:val="000000"/>
                <w:kern w:val="0"/>
                <w:sz w:val="21"/>
                <w:szCs w:val="21"/>
                <w:lang w:val="en-US" w:eastAsia="zh-CN" w:bidi="ar"/>
              </w:rPr>
              <w:t>”号）偏离扣4分；1项一般技术指标（未标注“</w:t>
            </w:r>
            <w:r>
              <w:rPr>
                <w:rFonts w:hint="eastAsia" w:ascii="宋体" w:hAnsi="宋体" w:eastAsia="宋体" w:cs="宋体"/>
                <w:i w:val="0"/>
                <w:iCs w:val="0"/>
                <w:color w:val="000000"/>
                <w:kern w:val="0"/>
                <w:sz w:val="16"/>
                <w:szCs w:val="16"/>
                <w:u w:val="none"/>
                <w:lang w:val="en-US" w:eastAsia="zh-CN" w:bidi="ar"/>
              </w:rPr>
              <w:t>▲</w:t>
            </w:r>
            <w:r>
              <w:rPr>
                <w:rFonts w:hint="eastAsia" w:ascii="宋体" w:hAnsi="宋体" w:eastAsia="宋体" w:cs="宋体"/>
                <w:color w:val="000000"/>
                <w:kern w:val="0"/>
                <w:sz w:val="21"/>
                <w:szCs w:val="21"/>
                <w:lang w:val="en-US" w:eastAsia="zh-CN" w:bidi="ar"/>
              </w:rPr>
              <w:t>”号）偏离扣1分；最多扣完20分为止。</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1.投标文件技术参数全部照抄招标文件原文的，计0分；</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2.没有《货物说明一览表》或《技术偏离表》的，计0分；</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3.《技术偏离表》按照招标文件第五章的技术条款要求逐项对应列出所投产品对应条件和参数，并注明响应或偏离（偏离指不满足招标文件要求）。不按要求列出的，计0分；（注：招标文件中，凡编排有单独的中文序数或阿拉伯数字或英文字母序列号等字符的条款为一条技术参数要求，如：“1./1.1/1.1.1/（1）……”等。）</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注：</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1.一般技术指标以投标人提供的《技术偏离表》为准，若《技术偏离表》与投标文件中提供的检验检测报告等证明材料不一致的，以检验检测报告等证明材料为准（采购需求另有规定除外）；</w:t>
            </w:r>
          </w:p>
          <w:p>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以上检验检测报告要求由</w:t>
            </w:r>
            <w:r>
              <w:rPr>
                <w:rFonts w:hint="eastAsia" w:ascii="宋体" w:hAnsi="宋体" w:cs="宋体"/>
                <w:color w:val="auto"/>
                <w:kern w:val="0"/>
                <w:sz w:val="21"/>
                <w:szCs w:val="21"/>
                <w:highlight w:val="none"/>
                <w:lang w:val="en-US" w:eastAsia="zh-CN" w:bidi="ar"/>
              </w:rPr>
              <w:t>省</w:t>
            </w:r>
            <w:r>
              <w:rPr>
                <w:rFonts w:hint="eastAsia" w:ascii="宋体" w:hAnsi="宋体" w:eastAsia="宋体" w:cs="宋体"/>
                <w:color w:val="auto"/>
                <w:kern w:val="0"/>
                <w:sz w:val="21"/>
                <w:szCs w:val="21"/>
                <w:highlight w:val="none"/>
                <w:lang w:val="en-US" w:eastAsia="zh-CN" w:bidi="ar"/>
              </w:rPr>
              <w:t>级</w:t>
            </w:r>
            <w:r>
              <w:rPr>
                <w:rFonts w:hint="eastAsia" w:ascii="宋体" w:hAnsi="宋体" w:cs="宋体"/>
                <w:color w:val="auto"/>
                <w:kern w:val="0"/>
                <w:sz w:val="21"/>
                <w:szCs w:val="21"/>
                <w:highlight w:val="none"/>
                <w:lang w:val="en-US" w:eastAsia="zh-CN" w:bidi="ar"/>
              </w:rPr>
              <w:t>及以上</w:t>
            </w:r>
            <w:r>
              <w:rPr>
                <w:rFonts w:hint="eastAsia" w:ascii="宋体" w:hAnsi="宋体" w:eastAsia="宋体" w:cs="宋体"/>
                <w:color w:val="auto"/>
                <w:kern w:val="0"/>
                <w:sz w:val="21"/>
                <w:szCs w:val="21"/>
                <w:highlight w:val="none"/>
                <w:lang w:val="en-US" w:eastAsia="zh-CN" w:bidi="ar"/>
              </w:rPr>
              <w:t>检测机构出具，同时检验检测报告复印件或影印件需加盖投标人公章，否则视为未提供。</w:t>
            </w:r>
          </w:p>
          <w:p>
            <w:pPr>
              <w:pStyle w:val="2"/>
              <w:ind w:left="0" w:leftChars="0" w:firstLine="0" w:firstLineChars="0"/>
              <w:rPr>
                <w:rFonts w:hint="eastAsia"/>
              </w:rPr>
            </w:pPr>
            <w:r>
              <w:rPr>
                <w:rFonts w:hint="eastAsia" w:asciiTheme="minorEastAsia" w:hAnsiTheme="minorEastAsia" w:eastAsiaTheme="minorEastAsia" w:cstheme="minorEastAsia"/>
                <w:color w:val="auto"/>
                <w:spacing w:val="0"/>
                <w:w w:val="100"/>
                <w:position w:val="0"/>
                <w:sz w:val="21"/>
                <w:szCs w:val="21"/>
                <w:highlight w:val="none"/>
                <w:lang w:val="en-US" w:eastAsia="zh-CN"/>
              </w:rPr>
              <w:t>3.一</w:t>
            </w:r>
            <w:r>
              <w:rPr>
                <w:rFonts w:hint="eastAsia" w:asciiTheme="minorEastAsia" w:hAnsiTheme="minorEastAsia" w:eastAsiaTheme="minorEastAsia" w:cstheme="minorEastAsia"/>
                <w:color w:val="auto"/>
                <w:spacing w:val="0"/>
                <w:w w:val="100"/>
                <w:position w:val="0"/>
                <w:sz w:val="21"/>
                <w:szCs w:val="21"/>
                <w:highlight w:val="none"/>
              </w:rPr>
              <w:t>般商务和技术条款偏离项数之和≥</w:t>
            </w:r>
            <w:r>
              <w:rPr>
                <w:rFonts w:hint="eastAsia" w:asciiTheme="minorEastAsia" w:hAnsiTheme="minorEastAsia" w:eastAsiaTheme="minorEastAsia" w:cstheme="minorEastAsia"/>
                <w:b/>
                <w:bCs/>
                <w:color w:val="auto"/>
                <w:spacing w:val="0"/>
                <w:w w:val="100"/>
                <w:position w:val="0"/>
                <w:sz w:val="21"/>
                <w:szCs w:val="21"/>
                <w:highlight w:val="none"/>
                <w:u w:val="single"/>
              </w:rPr>
              <w:t xml:space="preserve"> 10 </w:t>
            </w:r>
            <w:r>
              <w:rPr>
                <w:rFonts w:hint="eastAsia" w:asciiTheme="minorEastAsia" w:hAnsiTheme="minorEastAsia" w:eastAsiaTheme="minorEastAsia" w:cstheme="minorEastAsia"/>
                <w:b/>
                <w:bCs/>
                <w:color w:val="auto"/>
                <w:spacing w:val="0"/>
                <w:w w:val="100"/>
                <w:position w:val="0"/>
                <w:sz w:val="21"/>
                <w:szCs w:val="21"/>
                <w:highlight w:val="none"/>
              </w:rPr>
              <w:t>项</w:t>
            </w:r>
            <w:r>
              <w:rPr>
                <w:rFonts w:hint="eastAsia" w:asciiTheme="minorEastAsia" w:hAnsiTheme="minorEastAsia" w:eastAsiaTheme="minorEastAsia" w:cstheme="minorEastAsia"/>
                <w:color w:val="auto"/>
                <w:spacing w:val="0"/>
                <w:w w:val="100"/>
                <w:position w:val="0"/>
                <w:sz w:val="21"/>
                <w:szCs w:val="21"/>
                <w:highlight w:val="none"/>
              </w:rPr>
              <w:t>将导致无效投标。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05" w:hRule="atLeast"/>
          <w:jc w:val="center"/>
        </w:trPr>
        <w:tc>
          <w:tcPr>
            <w:tcW w:w="1106" w:type="dxa"/>
            <w:vMerge w:val="continue"/>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p>
        </w:tc>
        <w:tc>
          <w:tcPr>
            <w:tcW w:w="870" w:type="dxa"/>
            <w:tcBorders>
              <w:tl2br w:val="nil"/>
              <w:tr2bl w:val="nil"/>
            </w:tcBorders>
            <w:vAlign w:val="center"/>
          </w:tcPr>
          <w:p>
            <w:pPr>
              <w:shd w:val="clear"/>
              <w:jc w:val="center"/>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val="en-US" w:eastAsia="zh-CN"/>
              </w:rPr>
              <w:t>产品</w:t>
            </w:r>
          </w:p>
          <w:p>
            <w:pPr>
              <w:shd w:val="clear"/>
              <w:jc w:val="center"/>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color w:val="auto"/>
                <w:sz w:val="21"/>
                <w:szCs w:val="21"/>
                <w:highlight w:val="none"/>
                <w:shd w:val="clear" w:color="auto" w:fill="auto"/>
                <w:lang w:val="en-US" w:eastAsia="zh-CN"/>
              </w:rPr>
              <w:t>性能先进性</w:t>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12</w:t>
            </w:r>
            <w:r>
              <w:rPr>
                <w:rFonts w:hint="eastAsia" w:asciiTheme="minorEastAsia" w:hAnsiTheme="minorEastAsia" w:eastAsiaTheme="minorEastAsia" w:cstheme="minorEastAsia"/>
                <w:color w:val="auto"/>
                <w:sz w:val="21"/>
                <w:szCs w:val="21"/>
                <w:highlight w:val="none"/>
              </w:rPr>
              <w:t>分</w:t>
            </w:r>
          </w:p>
        </w:tc>
        <w:tc>
          <w:tcPr>
            <w:tcW w:w="6862" w:type="dxa"/>
            <w:tcBorders>
              <w:tl2br w:val="nil"/>
              <w:tr2bl w:val="nil"/>
            </w:tcBorders>
            <w:vAlign w:val="top"/>
          </w:tcPr>
          <w:p>
            <w:pPr>
              <w:keepNext w:val="0"/>
              <w:keepLines w:val="0"/>
              <w:widowControl/>
              <w:suppressLineNumbers w:val="0"/>
              <w:jc w:val="left"/>
              <w:rPr>
                <w:color w:val="auto"/>
                <w:highlight w:val="none"/>
              </w:rPr>
            </w:pPr>
            <w:r>
              <w:rPr>
                <w:rFonts w:hint="eastAsia" w:ascii="宋体" w:hAnsi="宋体" w:eastAsia="宋体" w:cs="宋体"/>
                <w:color w:val="000000"/>
                <w:kern w:val="0"/>
                <w:sz w:val="21"/>
                <w:szCs w:val="21"/>
                <w:highlight w:val="none"/>
                <w:lang w:val="en-US" w:eastAsia="zh-CN"/>
              </w:rPr>
              <w:t>结合本项目采购需求及实际应用场景环境等要求，本</w:t>
            </w:r>
            <w:r>
              <w:rPr>
                <w:rFonts w:hint="eastAsia" w:ascii="宋体" w:hAnsi="宋体" w:cs="宋体"/>
                <w:color w:val="000000"/>
                <w:kern w:val="0"/>
                <w:sz w:val="21"/>
                <w:szCs w:val="21"/>
                <w:highlight w:val="none"/>
                <w:lang w:val="en-US" w:eastAsia="zh-CN"/>
              </w:rPr>
              <w:t>项目</w:t>
            </w:r>
            <w:r>
              <w:rPr>
                <w:rFonts w:hint="eastAsia" w:ascii="宋体" w:hAnsi="宋体" w:eastAsia="宋体" w:cs="宋体"/>
                <w:color w:val="000000"/>
                <w:kern w:val="0"/>
                <w:sz w:val="21"/>
                <w:szCs w:val="21"/>
                <w:highlight w:val="none"/>
                <w:lang w:val="en-US" w:eastAsia="zh-CN"/>
              </w:rPr>
              <w:t>采购的</w:t>
            </w:r>
            <w:r>
              <w:rPr>
                <w:rFonts w:hint="eastAsia" w:ascii="宋体" w:hAnsi="宋体" w:eastAsia="宋体" w:cs="宋体"/>
                <w:b/>
                <w:bCs/>
                <w:color w:val="000000"/>
                <w:kern w:val="0"/>
                <w:sz w:val="21"/>
                <w:szCs w:val="21"/>
                <w:highlight w:val="none"/>
                <w:lang w:val="en-US" w:eastAsia="zh-CN"/>
              </w:rPr>
              <w:t>核心产品</w:t>
            </w:r>
            <w:r>
              <w:rPr>
                <w:rFonts w:hint="eastAsia" w:ascii="宋体" w:hAnsi="宋体" w:eastAsia="宋体" w:cs="宋体"/>
                <w:color w:val="000000"/>
                <w:kern w:val="0"/>
                <w:sz w:val="21"/>
                <w:szCs w:val="21"/>
                <w:highlight w:val="none"/>
                <w:lang w:val="en-US" w:eastAsia="zh-CN"/>
              </w:rPr>
              <w:t>是应用在“三断”情况下的</w:t>
            </w:r>
            <w:r>
              <w:rPr>
                <w:rFonts w:hint="eastAsia" w:ascii="宋体" w:hAnsi="宋体" w:cs="宋体"/>
                <w:color w:val="000000"/>
                <w:kern w:val="0"/>
                <w:sz w:val="21"/>
                <w:szCs w:val="21"/>
                <w:highlight w:val="none"/>
                <w:lang w:val="en-US" w:eastAsia="zh-CN"/>
              </w:rPr>
              <w:t>自组网通信</w:t>
            </w:r>
            <w:r>
              <w:rPr>
                <w:rFonts w:hint="eastAsia" w:ascii="宋体" w:hAnsi="宋体" w:eastAsia="宋体" w:cs="宋体"/>
                <w:color w:val="000000"/>
                <w:kern w:val="0"/>
                <w:sz w:val="21"/>
                <w:szCs w:val="21"/>
                <w:highlight w:val="none"/>
                <w:lang w:val="en-US" w:eastAsia="zh-CN"/>
              </w:rPr>
              <w:t>产品，主要作用于断电、断路、断网的情况下窄带自组网的保底指挥通信体系，在森林火灾、洪灾、地震、泥石流、超高层建筑等重大灾害事故情况下能呼得出、听得到。为了保证产品的应用符合三断情况下的通信需求，对质量性能、可靠性和使用便捷性，</w:t>
            </w:r>
            <w:r>
              <w:rPr>
                <w:rFonts w:hint="eastAsia" w:ascii="宋体" w:hAnsi="宋体" w:eastAsia="宋体" w:cs="宋体"/>
                <w:color w:val="auto"/>
                <w:kern w:val="0"/>
                <w:sz w:val="21"/>
                <w:szCs w:val="21"/>
                <w:highlight w:val="none"/>
                <w:lang w:val="en-US" w:eastAsia="zh-CN"/>
              </w:rPr>
              <w:t>根据投标人所投本项目</w:t>
            </w:r>
            <w:r>
              <w:rPr>
                <w:rFonts w:hint="eastAsia" w:ascii="宋体" w:hAnsi="宋体" w:eastAsia="宋体" w:cs="宋体"/>
                <w:b/>
                <w:bCs/>
                <w:color w:val="auto"/>
                <w:kern w:val="0"/>
                <w:sz w:val="21"/>
                <w:szCs w:val="21"/>
                <w:highlight w:val="none"/>
                <w:lang w:val="en-US" w:eastAsia="zh-CN"/>
              </w:rPr>
              <w:t>核心产品</w:t>
            </w:r>
            <w:r>
              <w:rPr>
                <w:rFonts w:hint="eastAsia" w:ascii="宋体" w:hAnsi="宋体" w:eastAsia="宋体" w:cs="宋体"/>
                <w:color w:val="auto"/>
                <w:kern w:val="0"/>
                <w:sz w:val="21"/>
                <w:szCs w:val="21"/>
                <w:highlight w:val="none"/>
                <w:lang w:val="en-US" w:eastAsia="zh-CN"/>
              </w:rPr>
              <w:t>的产品性能先进性进行评审</w:t>
            </w:r>
            <w:r>
              <w:rPr>
                <w:rFonts w:hint="eastAsia" w:ascii="宋体" w:hAnsi="宋体" w:cs="宋体"/>
                <w:color w:val="auto"/>
                <w:kern w:val="0"/>
                <w:sz w:val="21"/>
                <w:szCs w:val="21"/>
                <w:highlight w:val="none"/>
                <w:lang w:val="en-US" w:eastAsia="zh-CN"/>
              </w:rPr>
              <w:t>：</w:t>
            </w:r>
          </w:p>
          <w:p>
            <w:pPr>
              <w:widowControl/>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1、语音自组网基站支持单站单频点</w:t>
            </w:r>
            <w:r>
              <w:rPr>
                <w:rFonts w:hint="eastAsia" w:ascii="宋体" w:hAnsi="宋体" w:cs="宋体"/>
                <w:color w:val="auto"/>
                <w:kern w:val="0"/>
                <w:szCs w:val="21"/>
                <w:highlight w:val="none"/>
                <w:lang w:eastAsia="zh-CN"/>
              </w:rPr>
              <w:t>多</w:t>
            </w:r>
            <w:r>
              <w:rPr>
                <w:rFonts w:hint="eastAsia" w:ascii="宋体" w:hAnsi="宋体" w:cs="宋体"/>
                <w:color w:val="auto"/>
                <w:kern w:val="0"/>
                <w:szCs w:val="21"/>
                <w:highlight w:val="none"/>
              </w:rPr>
              <w:t>信道集群功能，</w:t>
            </w:r>
            <w:r>
              <w:rPr>
                <w:rFonts w:hint="eastAsia" w:ascii="宋体" w:hAnsi="宋体" w:cs="宋体"/>
                <w:color w:val="auto"/>
                <w:kern w:val="0"/>
                <w:szCs w:val="21"/>
                <w:highlight w:val="none"/>
                <w:lang w:eastAsia="zh-CN"/>
              </w:rPr>
              <w:t>根据支持单站单频点</w:t>
            </w:r>
            <w:r>
              <w:rPr>
                <w:rFonts w:hint="eastAsia" w:ascii="宋体" w:hAnsi="宋体" w:cs="宋体"/>
                <w:color w:val="auto"/>
                <w:kern w:val="0"/>
                <w:szCs w:val="21"/>
                <w:highlight w:val="none"/>
                <w:lang w:val="en-US" w:eastAsia="zh-CN"/>
              </w:rPr>
              <w:t>信道数评分，如支持单站单频点1信道记1分，支持单站单频点2信道的记3分，支持单站单频点3信道及以上的记6分，最高</w:t>
            </w:r>
            <w:r>
              <w:rPr>
                <w:rFonts w:hint="eastAsia" w:ascii="宋体" w:hAnsi="宋体" w:cs="宋体"/>
                <w:color w:val="auto"/>
                <w:kern w:val="0"/>
                <w:szCs w:val="21"/>
                <w:highlight w:val="none"/>
              </w:rPr>
              <w:t>记</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提供省级及以上检测机构出具的第三方检测报告</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lang w:eastAsia="zh-CN"/>
              </w:rPr>
              <w:t>；</w:t>
            </w:r>
          </w:p>
          <w:p>
            <w:pPr>
              <w:keepNext w:val="0"/>
              <w:keepLines w:val="0"/>
              <w:widowControl/>
              <w:suppressLineNumbers w:val="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2、</w:t>
            </w:r>
            <w:r>
              <w:rPr>
                <w:rFonts w:hint="default" w:ascii="宋体" w:hAnsi="宋体" w:eastAsia="宋体" w:cs="宋体"/>
                <w:b w:val="0"/>
                <w:bCs w:val="0"/>
                <w:i w:val="0"/>
                <w:iCs w:val="0"/>
                <w:color w:val="auto"/>
                <w:kern w:val="0"/>
                <w:sz w:val="21"/>
                <w:szCs w:val="21"/>
                <w:highlight w:val="none"/>
                <w:vertAlign w:val="baseline"/>
                <w:lang w:val="en-US" w:eastAsia="zh-CN" w:bidi="ar-SA"/>
              </w:rPr>
              <w:t>满足“三断”（断电、断路、断网）情况下现场联合作战的通信要求</w:t>
            </w:r>
            <w:r>
              <w:rPr>
                <w:rFonts w:hint="eastAsia" w:ascii="宋体" w:hAnsi="宋体" w:cs="宋体"/>
                <w:b w:val="0"/>
                <w:bCs w:val="0"/>
                <w:i w:val="0"/>
                <w:iCs w:val="0"/>
                <w:color w:val="auto"/>
                <w:kern w:val="0"/>
                <w:sz w:val="21"/>
                <w:szCs w:val="21"/>
                <w:highlight w:val="none"/>
                <w:vertAlign w:val="baseline"/>
                <w:lang w:val="en-US" w:eastAsia="zh-CN" w:bidi="ar-SA"/>
              </w:rPr>
              <w:t>，</w:t>
            </w:r>
            <w:r>
              <w:rPr>
                <w:rFonts w:hint="default" w:ascii="Times New Roman" w:hAnsi="Times New Roman" w:eastAsia="宋体" w:cs="Times New Roman"/>
                <w:b w:val="0"/>
                <w:bCs w:val="0"/>
                <w:i w:val="0"/>
                <w:iCs w:val="0"/>
                <w:color w:val="auto"/>
                <w:kern w:val="2"/>
                <w:sz w:val="21"/>
                <w:szCs w:val="24"/>
                <w:highlight w:val="none"/>
                <w:vertAlign w:val="baseline"/>
                <w:lang w:val="en-US" w:eastAsia="zh-CN" w:bidi="ar-SA"/>
              </w:rPr>
              <w:t>①</w:t>
            </w:r>
            <w:r>
              <w:rPr>
                <w:rFonts w:hint="eastAsia" w:ascii="宋体" w:hAnsi="宋体" w:cs="宋体"/>
                <w:color w:val="auto"/>
                <w:kern w:val="0"/>
                <w:szCs w:val="21"/>
                <w:highlight w:val="none"/>
                <w:lang w:val="en-US" w:eastAsia="zh-CN"/>
              </w:rPr>
              <w:t>提供语音自组网基站</w:t>
            </w:r>
            <w:r>
              <w:rPr>
                <w:rFonts w:hint="eastAsia" w:ascii="宋体" w:hAnsi="宋体" w:cs="宋体"/>
                <w:color w:val="auto"/>
                <w:kern w:val="0"/>
                <w:szCs w:val="21"/>
                <w:highlight w:val="none"/>
              </w:rPr>
              <w:t>可通过标准无线通信协议接入湖南省消防救援总队融合通信系统</w:t>
            </w:r>
            <w:r>
              <w:rPr>
                <w:rFonts w:hint="eastAsia" w:ascii="宋体" w:hAnsi="宋体" w:cs="宋体"/>
                <w:color w:val="auto"/>
                <w:kern w:val="0"/>
                <w:szCs w:val="21"/>
                <w:highlight w:val="none"/>
                <w:lang w:eastAsia="zh-CN"/>
              </w:rPr>
              <w:t>广域窄带自组网网络，</w:t>
            </w:r>
            <w:r>
              <w:rPr>
                <w:rFonts w:hint="default" w:ascii="Times New Roman" w:hAnsi="Times New Roman" w:eastAsia="宋体" w:cs="Times New Roman"/>
                <w:b w:val="0"/>
                <w:bCs w:val="0"/>
                <w:i w:val="0"/>
                <w:iCs w:val="0"/>
                <w:color w:val="auto"/>
                <w:kern w:val="2"/>
                <w:sz w:val="21"/>
                <w:szCs w:val="24"/>
                <w:highlight w:val="none"/>
                <w:vertAlign w:val="baseline"/>
                <w:lang w:val="en-US" w:eastAsia="zh-CN" w:bidi="ar-SA"/>
              </w:rPr>
              <w:t>②</w:t>
            </w:r>
            <w:r>
              <w:rPr>
                <w:rFonts w:hint="eastAsia" w:ascii="宋体" w:hAnsi="宋体" w:cs="宋体"/>
                <w:color w:val="auto"/>
                <w:kern w:val="0"/>
                <w:szCs w:val="21"/>
                <w:highlight w:val="none"/>
                <w:lang w:eastAsia="zh-CN"/>
              </w:rPr>
              <w:t>并</w:t>
            </w:r>
            <w:r>
              <w:rPr>
                <w:rFonts w:hint="eastAsia" w:ascii="宋体" w:hAnsi="宋体" w:cs="宋体"/>
                <w:color w:val="auto"/>
                <w:kern w:val="0"/>
                <w:szCs w:val="21"/>
                <w:highlight w:val="none"/>
              </w:rPr>
              <w:t>可</w:t>
            </w:r>
            <w:r>
              <w:rPr>
                <w:rFonts w:hint="eastAsia" w:ascii="宋体" w:hAnsi="宋体" w:cs="宋体"/>
                <w:color w:val="auto"/>
                <w:kern w:val="0"/>
                <w:szCs w:val="21"/>
                <w:highlight w:val="none"/>
                <w:lang w:eastAsia="zh-CN"/>
              </w:rPr>
              <w:t>在系统中查看和</w:t>
            </w:r>
            <w:r>
              <w:rPr>
                <w:rFonts w:hint="eastAsia" w:ascii="宋体" w:hAnsi="宋体" w:cs="宋体"/>
                <w:color w:val="auto"/>
                <w:kern w:val="0"/>
                <w:szCs w:val="21"/>
                <w:highlight w:val="none"/>
              </w:rPr>
              <w:t>管理基站运行状</w:t>
            </w:r>
            <w:r>
              <w:rPr>
                <w:rFonts w:hint="eastAsia" w:ascii="宋体" w:hAnsi="宋体" w:cs="宋体"/>
                <w:color w:val="auto"/>
                <w:kern w:val="0"/>
                <w:szCs w:val="21"/>
                <w:highlight w:val="none"/>
                <w:lang w:eastAsia="zh-CN"/>
              </w:rPr>
              <w:t>态的</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2"/>
                <w:sz w:val="21"/>
                <w:szCs w:val="21"/>
                <w:highlight w:val="none"/>
                <w:lang w:val="en-US" w:eastAsia="zh-CN" w:bidi="ar-SA"/>
              </w:rPr>
              <w:t>每满足一项计3分，最多计6分。</w:t>
            </w:r>
            <w:r>
              <w:rPr>
                <w:rFonts w:hint="eastAsia" w:ascii="宋体" w:hAnsi="宋体" w:cs="宋体"/>
                <w:color w:val="auto"/>
                <w:kern w:val="0"/>
                <w:szCs w:val="21"/>
                <w:highlight w:val="none"/>
                <w:lang w:val="en-US" w:eastAsia="zh-CN"/>
              </w:rPr>
              <w:t>（提供相关证明材料，加盖公章）：</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bCs/>
                <w:color w:val="auto"/>
                <w:kern w:val="0"/>
                <w:sz w:val="21"/>
                <w:szCs w:val="21"/>
                <w:highlight w:val="none"/>
                <w:lang w:val="en-US" w:eastAsia="zh-CN"/>
              </w:rPr>
              <w:t>注：未提供产品性能证明材料的，本项计0分。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41" w:hRule="atLeast"/>
          <w:jc w:val="center"/>
        </w:trPr>
        <w:tc>
          <w:tcPr>
            <w:tcW w:w="1106" w:type="dxa"/>
            <w:vMerge w:val="continue"/>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p>
        </w:tc>
        <w:tc>
          <w:tcPr>
            <w:tcW w:w="870" w:type="dxa"/>
            <w:tcBorders>
              <w:tl2br w:val="nil"/>
              <w:tr2bl w:val="nil"/>
            </w:tcBorders>
            <w:vAlign w:val="center"/>
          </w:tcPr>
          <w:p>
            <w:pPr>
              <w:jc w:val="center"/>
              <w:rPr>
                <w:rFonts w:hint="eastAsia"/>
                <w:lang w:val="en-US" w:eastAsia="zh-CN"/>
              </w:rPr>
            </w:pPr>
            <w:r>
              <w:rPr>
                <w:rFonts w:hint="eastAsia"/>
                <w:lang w:val="en-US" w:eastAsia="zh-CN"/>
              </w:rPr>
              <w:t>设计方案及实战效果</w:t>
            </w:r>
          </w:p>
          <w:p>
            <w:pPr>
              <w:pStyle w:val="2"/>
              <w:ind w:left="0" w:leftChars="0" w:firstLine="210" w:firstLineChars="100"/>
              <w:rPr>
                <w:rFonts w:hint="default"/>
                <w:lang w:val="en-US" w:eastAsia="zh-CN"/>
              </w:rPr>
            </w:pPr>
            <w:r>
              <w:rPr>
                <w:rFonts w:hint="eastAsia" w:asciiTheme="minorEastAsia" w:hAnsiTheme="minorEastAsia" w:eastAsiaTheme="minorEastAsia" w:cstheme="minorEastAsia"/>
                <w:color w:val="auto"/>
                <w:sz w:val="21"/>
                <w:szCs w:val="21"/>
                <w:highlight w:val="none"/>
                <w:lang w:val="en-US" w:eastAsia="zh-CN"/>
              </w:rPr>
              <w:t>8分</w:t>
            </w:r>
          </w:p>
        </w:tc>
        <w:tc>
          <w:tcPr>
            <w:tcW w:w="6862" w:type="dxa"/>
            <w:tcBorders>
              <w:tl2br w:val="nil"/>
              <w:tr2bl w:val="nil"/>
            </w:tcBorders>
            <w:vAlign w:val="top"/>
          </w:tcPr>
          <w:p>
            <w:pPr>
              <w:jc w:val="left"/>
              <w:rPr>
                <w:rFonts w:hint="eastAsia"/>
                <w:lang w:val="en-US" w:eastAsia="zh-CN"/>
              </w:rPr>
            </w:pPr>
            <w:r>
              <w:rPr>
                <w:rFonts w:hint="eastAsia" w:ascii="宋体" w:hAnsi="宋体" w:eastAsia="宋体" w:cs="宋体"/>
                <w:color w:val="auto"/>
                <w:kern w:val="2"/>
                <w:sz w:val="21"/>
                <w:szCs w:val="21"/>
                <w:highlight w:val="none"/>
              </w:rPr>
              <w:t>根据投标人提供的材料</w:t>
            </w:r>
            <w:r>
              <w:rPr>
                <w:rFonts w:hint="eastAsia"/>
                <w:lang w:val="en-US" w:eastAsia="zh-CN"/>
              </w:rPr>
              <w:t>对本项目采购产品的设计方案及实战效果</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包含但不限于</w:t>
            </w:r>
            <w:r>
              <w:rPr>
                <w:rFonts w:hint="eastAsia"/>
                <w:lang w:val="en-US" w:eastAsia="zh-CN"/>
              </w:rPr>
              <w:t>①整体选型及适配性、结构设计、功能设计、综合性能等内容进行综合评审</w:t>
            </w:r>
            <w:r>
              <w:rPr>
                <w:rFonts w:hint="eastAsia" w:ascii="宋体" w:hAnsi="宋体" w:eastAsia="宋体" w:cs="宋体"/>
                <w:b/>
                <w:bCs/>
                <w:color w:val="auto"/>
                <w:sz w:val="21"/>
                <w:szCs w:val="21"/>
                <w:highlight w:val="none"/>
              </w:rPr>
              <w:t>〈</w:t>
            </w:r>
            <w:r>
              <w:rPr>
                <w:rFonts w:hint="eastAsia"/>
                <w:lang w:val="en-US" w:eastAsia="zh-CN"/>
              </w:rPr>
              <w:t>提供设计说明、产品技术规格书、产品设计图纸等相关证明材料</w:t>
            </w:r>
            <w:r>
              <w:rPr>
                <w:rFonts w:hint="eastAsia" w:ascii="宋体" w:hAnsi="宋体" w:eastAsia="宋体" w:cs="宋体"/>
                <w:b/>
                <w:bCs/>
                <w:color w:val="auto"/>
                <w:sz w:val="21"/>
                <w:szCs w:val="21"/>
                <w:highlight w:val="none"/>
              </w:rPr>
              <w:t>〉</w:t>
            </w:r>
            <w:r>
              <w:rPr>
                <w:rFonts w:hint="eastAsia"/>
                <w:lang w:val="en-US" w:eastAsia="zh-CN"/>
              </w:rPr>
              <w:t>②包括但不限森林火灾、洪灾、高层建筑火灾、地铁、隧道救援等案例进行实战应用效果及战法进行综合评审</w:t>
            </w:r>
            <w:r>
              <w:rPr>
                <w:rFonts w:hint="eastAsia" w:ascii="宋体" w:hAnsi="宋体" w:eastAsia="宋体" w:cs="宋体"/>
                <w:b/>
                <w:bCs/>
                <w:color w:val="auto"/>
                <w:sz w:val="21"/>
                <w:szCs w:val="21"/>
                <w:highlight w:val="none"/>
              </w:rPr>
              <w:t>〈</w:t>
            </w:r>
            <w:r>
              <w:rPr>
                <w:rFonts w:hint="eastAsia"/>
                <w:lang w:val="en-US" w:eastAsia="zh-CN"/>
              </w:rPr>
              <w:t>提供相关照片、用户反馈信息等相关证明材料</w:t>
            </w:r>
            <w:r>
              <w:rPr>
                <w:rFonts w:hint="eastAsia" w:ascii="宋体" w:hAnsi="宋体" w:eastAsia="宋体" w:cs="宋体"/>
                <w:b/>
                <w:bCs/>
                <w:color w:val="auto"/>
                <w:sz w:val="21"/>
                <w:szCs w:val="21"/>
                <w:highlight w:val="none"/>
              </w:rPr>
              <w:t>〉</w:t>
            </w:r>
            <w:r>
              <w:rPr>
                <w:rFonts w:hint="eastAsia"/>
                <w:lang w:val="en-US" w:eastAsia="zh-CN"/>
              </w:rPr>
              <w:t>）</w:t>
            </w:r>
            <w:r>
              <w:rPr>
                <w:rFonts w:hint="eastAsia" w:ascii="宋体" w:hAnsi="宋体" w:eastAsia="宋体" w:cs="宋体"/>
                <w:color w:val="auto"/>
                <w:kern w:val="2"/>
                <w:sz w:val="21"/>
                <w:szCs w:val="21"/>
                <w:highlight w:val="none"/>
              </w:rPr>
              <w:t>进行评审</w:t>
            </w:r>
            <w:r>
              <w:rPr>
                <w:rFonts w:hint="eastAsia"/>
                <w:lang w:val="en-US" w:eastAsia="zh-CN"/>
              </w:rPr>
              <w:t>：</w:t>
            </w:r>
          </w:p>
          <w:p>
            <w:pPr>
              <w:jc w:val="left"/>
              <w:rPr>
                <w:rFonts w:hint="eastAsia"/>
                <w:lang w:val="en-US" w:eastAsia="zh-CN"/>
              </w:rPr>
            </w:pPr>
            <w:r>
              <w:rPr>
                <w:rFonts w:hint="eastAsia"/>
                <w:lang w:val="en-US" w:eastAsia="zh-CN"/>
              </w:rPr>
              <w:t>评标委员会认为产品性能满足招标文件项目需求、证明材料完整合理、针对性强的，前述2小项每项计4分，最多计8分；证明材料不齐，或与项目需求不相符或产品选型、设计、功能、性能、实战效果、战法等方面欠合理或欠完善的，每处扣2分，扣完为止。</w:t>
            </w:r>
          </w:p>
          <w:p>
            <w:pPr>
              <w:pStyle w:val="2"/>
              <w:ind w:left="0" w:leftChars="0" w:firstLine="0" w:firstLineChars="0"/>
              <w:rPr>
                <w:rFonts w:hint="eastAsia"/>
                <w:lang w:val="en-US" w:eastAsia="zh-CN"/>
              </w:rPr>
            </w:pPr>
            <w:r>
              <w:rPr>
                <w:rFonts w:hint="eastAsia" w:ascii="宋体" w:hAnsi="宋体" w:eastAsia="宋体" w:cs="宋体"/>
                <w:b/>
                <w:bCs/>
                <w:color w:val="auto"/>
                <w:sz w:val="21"/>
                <w:szCs w:val="21"/>
                <w:highlight w:val="none"/>
                <w:lang w:val="en-US" w:eastAsia="zh-CN"/>
              </w:rPr>
              <w:t>注：未提供设计方案及实战效果的，本项计0分。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95" w:hRule="atLeast"/>
          <w:jc w:val="center"/>
        </w:trPr>
        <w:tc>
          <w:tcPr>
            <w:tcW w:w="1106" w:type="dxa"/>
            <w:vMerge w:val="continue"/>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p>
        </w:tc>
        <w:tc>
          <w:tcPr>
            <w:tcW w:w="870" w:type="dxa"/>
            <w:tcBorders>
              <w:tl2br w:val="nil"/>
              <w:tr2bl w:val="nil"/>
            </w:tcBorders>
            <w:vAlign w:val="center"/>
          </w:tcPr>
          <w:p>
            <w:pPr>
              <w:keepNext w:val="0"/>
              <w:keepLines w:val="0"/>
              <w:widowControl/>
              <w:suppressLineNumbers w:val="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专业</w:t>
            </w:r>
          </w:p>
          <w:p>
            <w:pPr>
              <w:keepNext w:val="0"/>
              <w:keepLines w:val="0"/>
              <w:widowControl/>
              <w:suppressLineNumbers w:val="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技术</w:t>
            </w:r>
          </w:p>
          <w:p>
            <w:pPr>
              <w:keepNext w:val="0"/>
              <w:keepLines w:val="0"/>
              <w:widowControl/>
              <w:suppressLineNumbers w:val="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生产</w:t>
            </w:r>
          </w:p>
          <w:p>
            <w:pPr>
              <w:keepNext w:val="0"/>
              <w:keepLines w:val="0"/>
              <w:widowControl/>
              <w:suppressLineNumbers w:val="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能力</w:t>
            </w:r>
          </w:p>
          <w:p>
            <w:pPr>
              <w:spacing w:before="63" w:beforeLines="20" w:after="63" w:afterLines="20"/>
              <w:jc w:val="center"/>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15分</w:t>
            </w:r>
          </w:p>
        </w:tc>
        <w:tc>
          <w:tcPr>
            <w:tcW w:w="6862" w:type="dxa"/>
            <w:tcBorders>
              <w:tl2br w:val="nil"/>
              <w:tr2bl w:val="nil"/>
            </w:tcBorders>
            <w:vAlign w:val="top"/>
          </w:tcPr>
          <w:p>
            <w:pPr>
              <w:keepNext w:val="0"/>
              <w:keepLines w:val="0"/>
              <w:widowControl/>
              <w:suppressLineNumbers w:val="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根据投标人提供的材料对</w:t>
            </w:r>
            <w:r>
              <w:rPr>
                <w:rFonts w:hint="eastAsia"/>
                <w:lang w:val="en-US" w:eastAsia="zh-CN"/>
              </w:rPr>
              <w:t>本项目采购产品的</w:t>
            </w:r>
            <w:r>
              <w:rPr>
                <w:rFonts w:hint="eastAsia" w:ascii="宋体" w:hAnsi="宋体" w:eastAsia="宋体" w:cs="宋体"/>
                <w:color w:val="auto"/>
                <w:kern w:val="0"/>
                <w:sz w:val="21"/>
                <w:szCs w:val="21"/>
                <w:highlight w:val="none"/>
                <w:lang w:val="en-US" w:eastAsia="zh-CN"/>
              </w:rPr>
              <w:t>专业技术生产能力</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包含但不限于①生产工艺流程，主要包括工艺流程图</w:t>
            </w:r>
            <w:r>
              <w:rPr>
                <w:rFonts w:hint="eastAsia" w:ascii="宋体" w:hAnsi="宋体" w:eastAsia="宋体" w:cs="宋体"/>
                <w:b/>
                <w:bCs/>
                <w:color w:val="auto"/>
                <w:sz w:val="21"/>
                <w:szCs w:val="21"/>
                <w:highlight w:val="none"/>
              </w:rPr>
              <w:t>〈</w:t>
            </w:r>
            <w:r>
              <w:rPr>
                <w:rFonts w:hint="eastAsia" w:ascii="宋体" w:hAnsi="宋体" w:eastAsia="宋体" w:cs="宋体"/>
                <w:color w:val="auto"/>
                <w:kern w:val="2"/>
                <w:sz w:val="21"/>
                <w:szCs w:val="21"/>
                <w:highlight w:val="none"/>
              </w:rPr>
              <w:t>含图片和文字说明等</w:t>
            </w:r>
            <w:r>
              <w:rPr>
                <w:rFonts w:hint="eastAsia" w:ascii="宋体" w:hAnsi="宋体" w:eastAsia="宋体" w:cs="宋体"/>
                <w:b/>
                <w:bCs/>
                <w:color w:val="auto"/>
                <w:sz w:val="21"/>
                <w:szCs w:val="21"/>
                <w:highlight w:val="none"/>
              </w:rPr>
              <w:t>〉</w:t>
            </w:r>
            <w:r>
              <w:rPr>
                <w:rFonts w:hint="eastAsia" w:ascii="宋体" w:hAnsi="宋体" w:eastAsia="宋体" w:cs="宋体"/>
                <w:color w:val="auto"/>
                <w:kern w:val="2"/>
                <w:sz w:val="21"/>
                <w:szCs w:val="21"/>
                <w:highlight w:val="none"/>
              </w:rPr>
              <w:t>、生产步骤等相关情况描述；②产品检验流程，主要包括检验设备、检验步骤等相关情况描述；③人员配备：各原材料采购、生产、检验、仓储、运输等环节的人员配备情况</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进行评审</w:t>
            </w:r>
            <w:r>
              <w:rPr>
                <w:rFonts w:hint="eastAsia" w:ascii="宋体" w:hAnsi="宋体" w:eastAsia="宋体" w:cs="宋体"/>
                <w:color w:val="auto"/>
                <w:kern w:val="2"/>
                <w:sz w:val="21"/>
                <w:szCs w:val="21"/>
                <w:highlight w:val="none"/>
                <w:lang w:eastAsia="zh-CN"/>
              </w:rPr>
              <w:t>：</w:t>
            </w:r>
          </w:p>
          <w:p>
            <w:pPr>
              <w:pStyle w:val="153"/>
              <w:spacing w:line="24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证明材料齐全</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生产工艺科学先进，</w:t>
            </w:r>
            <w:r>
              <w:rPr>
                <w:rFonts w:hint="eastAsia" w:ascii="宋体" w:hAnsi="宋体" w:eastAsia="宋体" w:cs="宋体"/>
                <w:color w:val="auto"/>
                <w:kern w:val="2"/>
                <w:sz w:val="21"/>
                <w:szCs w:val="21"/>
                <w:highlight w:val="none"/>
                <w:lang w:eastAsia="zh-CN"/>
              </w:rPr>
              <w:t>生产</w:t>
            </w:r>
            <w:r>
              <w:rPr>
                <w:rFonts w:hint="eastAsia" w:ascii="宋体" w:hAnsi="宋体" w:eastAsia="宋体" w:cs="宋体"/>
                <w:color w:val="auto"/>
                <w:kern w:val="2"/>
                <w:sz w:val="21"/>
                <w:szCs w:val="21"/>
                <w:highlight w:val="none"/>
              </w:rPr>
              <w:t>步骤</w:t>
            </w:r>
            <w:r>
              <w:rPr>
                <w:rFonts w:hint="eastAsia" w:ascii="宋体" w:hAnsi="宋体" w:eastAsia="宋体" w:cs="宋体"/>
                <w:color w:val="auto"/>
                <w:kern w:val="2"/>
                <w:sz w:val="21"/>
                <w:szCs w:val="21"/>
                <w:highlight w:val="none"/>
                <w:lang w:eastAsia="zh-CN"/>
              </w:rPr>
              <w:t>及产品</w:t>
            </w:r>
            <w:r>
              <w:rPr>
                <w:rFonts w:hint="eastAsia" w:ascii="宋体" w:hAnsi="宋体" w:eastAsia="宋体" w:cs="宋体"/>
                <w:color w:val="auto"/>
                <w:kern w:val="2"/>
                <w:sz w:val="21"/>
                <w:szCs w:val="21"/>
                <w:highlight w:val="none"/>
              </w:rPr>
              <w:t>检验严密无纰漏</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人员配备规范合理的</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前述3小项每项计</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分，最多计</w:t>
            </w:r>
            <w:r>
              <w:rPr>
                <w:rFonts w:hint="eastAsia" w:ascii="宋体" w:hAnsi="宋体" w:eastAsia="宋体" w:cs="宋体"/>
                <w:color w:val="auto"/>
                <w:kern w:val="2"/>
                <w:sz w:val="21"/>
                <w:szCs w:val="21"/>
                <w:highlight w:val="none"/>
                <w:lang w:val="en-US" w:eastAsia="zh-CN"/>
              </w:rPr>
              <w:t>15</w:t>
            </w:r>
            <w:r>
              <w:rPr>
                <w:rFonts w:hint="eastAsia" w:ascii="宋体" w:hAnsi="宋体" w:eastAsia="宋体" w:cs="宋体"/>
                <w:color w:val="auto"/>
                <w:kern w:val="2"/>
                <w:sz w:val="21"/>
                <w:szCs w:val="21"/>
                <w:highlight w:val="none"/>
              </w:rPr>
              <w:t>分；证明材料</w:t>
            </w:r>
            <w:r>
              <w:rPr>
                <w:rFonts w:hint="eastAsia" w:ascii="宋体" w:hAnsi="宋体" w:eastAsia="宋体" w:cs="宋体"/>
                <w:color w:val="auto"/>
                <w:kern w:val="2"/>
                <w:sz w:val="21"/>
                <w:szCs w:val="21"/>
                <w:highlight w:val="none"/>
                <w:lang w:eastAsia="zh-CN"/>
              </w:rPr>
              <w:t>不齐</w:t>
            </w:r>
            <w:r>
              <w:rPr>
                <w:rFonts w:hint="eastAsia" w:ascii="宋体" w:hAnsi="宋体" w:eastAsia="宋体" w:cs="宋体"/>
                <w:color w:val="auto"/>
                <w:kern w:val="2"/>
                <w:sz w:val="21"/>
                <w:szCs w:val="21"/>
                <w:highlight w:val="none"/>
              </w:rPr>
              <w:t>，或生产工艺</w:t>
            </w:r>
            <w:r>
              <w:rPr>
                <w:rFonts w:hint="eastAsia" w:ascii="宋体" w:hAnsi="宋体" w:eastAsia="宋体" w:cs="宋体"/>
                <w:color w:val="auto"/>
                <w:kern w:val="2"/>
                <w:sz w:val="21"/>
                <w:szCs w:val="21"/>
                <w:highlight w:val="none"/>
                <w:lang w:eastAsia="zh-CN"/>
              </w:rPr>
              <w:t>及</w:t>
            </w:r>
            <w:r>
              <w:rPr>
                <w:rFonts w:hint="eastAsia" w:ascii="宋体" w:hAnsi="宋体" w:eastAsia="宋体" w:cs="宋体"/>
                <w:color w:val="auto"/>
                <w:kern w:val="2"/>
                <w:sz w:val="21"/>
                <w:szCs w:val="21"/>
                <w:highlight w:val="none"/>
              </w:rPr>
              <w:t>生产步骤、产品检验</w:t>
            </w:r>
            <w:r>
              <w:rPr>
                <w:rFonts w:hint="eastAsia" w:ascii="宋体" w:hAnsi="宋体" w:eastAsia="宋体" w:cs="宋体"/>
                <w:color w:val="auto"/>
                <w:kern w:val="2"/>
                <w:sz w:val="21"/>
                <w:szCs w:val="21"/>
                <w:highlight w:val="none"/>
                <w:lang w:eastAsia="zh-CN"/>
              </w:rPr>
              <w:t>、人员配备</w:t>
            </w:r>
            <w:r>
              <w:rPr>
                <w:rFonts w:hint="eastAsia" w:ascii="宋体" w:hAnsi="宋体" w:eastAsia="宋体" w:cs="宋体"/>
                <w:color w:val="auto"/>
                <w:kern w:val="2"/>
                <w:sz w:val="21"/>
                <w:szCs w:val="21"/>
                <w:highlight w:val="none"/>
              </w:rPr>
              <w:t>等方面</w:t>
            </w:r>
            <w:r>
              <w:rPr>
                <w:rFonts w:hint="eastAsia" w:ascii="宋体" w:hAnsi="宋体" w:eastAsia="宋体" w:cs="宋体"/>
                <w:color w:val="auto"/>
                <w:kern w:val="2"/>
                <w:sz w:val="21"/>
                <w:szCs w:val="21"/>
                <w:highlight w:val="none"/>
                <w:lang w:val="en-US" w:eastAsia="zh-CN"/>
              </w:rPr>
              <w:t>欠</w:t>
            </w:r>
            <w:r>
              <w:rPr>
                <w:rFonts w:hint="eastAsia" w:ascii="宋体" w:hAnsi="宋体" w:eastAsia="宋体" w:cs="宋体"/>
                <w:color w:val="auto"/>
                <w:kern w:val="2"/>
                <w:sz w:val="21"/>
                <w:szCs w:val="21"/>
                <w:highlight w:val="none"/>
              </w:rPr>
              <w:t>合理</w:t>
            </w:r>
            <w:r>
              <w:rPr>
                <w:rFonts w:hint="eastAsia" w:ascii="宋体" w:hAnsi="宋体" w:eastAsia="宋体" w:cs="宋体"/>
                <w:color w:val="auto"/>
                <w:kern w:val="2"/>
                <w:sz w:val="21"/>
                <w:szCs w:val="21"/>
                <w:highlight w:val="none"/>
                <w:lang w:eastAsia="zh-CN"/>
              </w:rPr>
              <w:t>或欠完善</w:t>
            </w:r>
            <w:r>
              <w:rPr>
                <w:rFonts w:hint="eastAsia" w:ascii="宋体" w:hAnsi="宋体" w:eastAsia="宋体" w:cs="宋体"/>
                <w:color w:val="auto"/>
                <w:kern w:val="2"/>
                <w:sz w:val="21"/>
                <w:szCs w:val="21"/>
                <w:highlight w:val="none"/>
              </w:rPr>
              <w:t>的，</w:t>
            </w:r>
            <w:r>
              <w:rPr>
                <w:rFonts w:hint="eastAsia" w:ascii="宋体" w:hAnsi="宋体" w:eastAsia="宋体" w:cs="宋体"/>
                <w:color w:val="auto"/>
                <w:kern w:val="2"/>
                <w:sz w:val="21"/>
                <w:szCs w:val="21"/>
                <w:highlight w:val="none"/>
                <w:lang w:eastAsia="zh-CN"/>
              </w:rPr>
              <w:t>每处扣</w:t>
            </w:r>
            <w:r>
              <w:rPr>
                <w:rFonts w:hint="eastAsia" w:ascii="宋体" w:hAnsi="宋体" w:eastAsia="宋体" w:cs="宋体"/>
                <w:color w:val="auto"/>
                <w:kern w:val="2"/>
                <w:sz w:val="21"/>
                <w:szCs w:val="21"/>
                <w:highlight w:val="none"/>
                <w:lang w:val="en-US" w:eastAsia="zh-CN"/>
              </w:rPr>
              <w:t>2.5分，扣完为止</w:t>
            </w:r>
            <w:r>
              <w:rPr>
                <w:rFonts w:hint="eastAsia" w:ascii="宋体" w:hAnsi="宋体" w:eastAsia="宋体" w:cs="宋体"/>
                <w:color w:val="auto"/>
                <w:kern w:val="2"/>
                <w:sz w:val="21"/>
                <w:szCs w:val="21"/>
                <w:highlight w:val="none"/>
              </w:rPr>
              <w:t>。</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bCs/>
                <w:color w:val="auto"/>
                <w:kern w:val="0"/>
                <w:sz w:val="21"/>
                <w:szCs w:val="21"/>
                <w:highlight w:val="none"/>
                <w:lang w:val="en-US" w:eastAsia="zh-CN"/>
              </w:rPr>
              <w:t>注：未提供所投</w:t>
            </w:r>
            <w:r>
              <w:rPr>
                <w:rFonts w:hint="eastAsia" w:ascii="宋体" w:hAnsi="宋体" w:eastAsia="宋体" w:cs="宋体"/>
                <w:b/>
                <w:bCs/>
                <w:color w:val="auto"/>
                <w:kern w:val="2"/>
                <w:sz w:val="21"/>
                <w:szCs w:val="21"/>
                <w:highlight w:val="none"/>
                <w:lang w:eastAsia="zh-CN"/>
              </w:rPr>
              <w:t>核心</w:t>
            </w:r>
            <w:r>
              <w:rPr>
                <w:rFonts w:hint="eastAsia" w:ascii="宋体" w:hAnsi="宋体" w:eastAsia="宋体" w:cs="宋体"/>
                <w:b/>
                <w:bCs/>
                <w:color w:val="auto"/>
                <w:kern w:val="0"/>
                <w:sz w:val="21"/>
                <w:szCs w:val="21"/>
                <w:highlight w:val="none"/>
                <w:lang w:val="en-US" w:eastAsia="zh-CN"/>
              </w:rPr>
              <w:t>产品制造商专业技术生产能力证明材料，本项计0分</w:t>
            </w:r>
            <w:r>
              <w:rPr>
                <w:rFonts w:hint="eastAsia" w:ascii="宋体" w:hAnsi="宋体" w:eastAsia="宋体" w:cs="宋体"/>
                <w:color w:val="auto"/>
                <w:kern w:val="0"/>
                <w:sz w:val="21"/>
                <w:szCs w:val="21"/>
                <w:highlight w:val="none"/>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30" w:hRule="atLeast"/>
          <w:jc w:val="center"/>
        </w:trPr>
        <w:tc>
          <w:tcPr>
            <w:tcW w:w="1106" w:type="dxa"/>
            <w:vMerge w:val="restart"/>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r>
              <w:rPr>
                <w:rFonts w:hint="eastAsia" w:asciiTheme="minorEastAsia" w:hAnsiTheme="minorEastAsia" w:eastAsiaTheme="minorEastAsia" w:cstheme="minorEastAsia"/>
                <w:bCs/>
                <w:color w:val="auto"/>
                <w:kern w:val="21"/>
                <w:sz w:val="21"/>
                <w:szCs w:val="21"/>
                <w:highlight w:val="none"/>
              </w:rPr>
              <w:t>商务部分</w:t>
            </w:r>
          </w:p>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r>
              <w:rPr>
                <w:rFonts w:hint="eastAsia" w:asciiTheme="minorEastAsia" w:hAnsiTheme="minorEastAsia" w:eastAsiaTheme="minorEastAsia" w:cstheme="minorEastAsia"/>
                <w:bCs/>
                <w:color w:val="auto"/>
                <w:kern w:val="21"/>
                <w:sz w:val="21"/>
                <w:szCs w:val="21"/>
                <w:highlight w:val="none"/>
              </w:rPr>
              <w:t>(</w:t>
            </w:r>
            <w:r>
              <w:rPr>
                <w:rFonts w:hint="eastAsia" w:asciiTheme="minorEastAsia" w:hAnsiTheme="minorEastAsia" w:eastAsiaTheme="minorEastAsia" w:cstheme="minorEastAsia"/>
                <w:bCs/>
                <w:color w:val="auto"/>
                <w:kern w:val="21"/>
                <w:sz w:val="21"/>
                <w:szCs w:val="21"/>
                <w:highlight w:val="none"/>
                <w:lang w:val="en-US" w:eastAsia="zh-CN"/>
              </w:rPr>
              <w:t>15</w:t>
            </w:r>
            <w:r>
              <w:rPr>
                <w:rFonts w:hint="eastAsia" w:asciiTheme="minorEastAsia" w:hAnsiTheme="minorEastAsia" w:eastAsiaTheme="minorEastAsia" w:cstheme="minorEastAsia"/>
                <w:bCs/>
                <w:color w:val="auto"/>
                <w:kern w:val="21"/>
                <w:sz w:val="21"/>
                <w:szCs w:val="21"/>
                <w:highlight w:val="none"/>
              </w:rPr>
              <w:t>分)</w:t>
            </w:r>
          </w:p>
        </w:tc>
        <w:tc>
          <w:tcPr>
            <w:tcW w:w="870" w:type="dxa"/>
            <w:tcBorders>
              <w:bottom w:val="single" w:color="auto" w:sz="4" w:space="0"/>
              <w:tl2br w:val="nil"/>
              <w:tr2bl w:val="nil"/>
            </w:tcBorders>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经营业绩</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分</w:t>
            </w:r>
          </w:p>
        </w:tc>
        <w:tc>
          <w:tcPr>
            <w:tcW w:w="6862" w:type="dxa"/>
            <w:tcBorders>
              <w:tl2br w:val="nil"/>
              <w:tr2bl w:val="nil"/>
            </w:tcBorders>
          </w:tcPr>
          <w:p>
            <w:pPr>
              <w:keepNext w:val="0"/>
              <w:keepLines w:val="0"/>
              <w:widowControl/>
              <w:suppressLineNumbers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投标人或</w:t>
            </w:r>
            <w:r>
              <w:rPr>
                <w:rFonts w:hint="eastAsia" w:ascii="宋体" w:hAnsi="宋体" w:cs="宋体"/>
                <w:color w:val="auto"/>
                <w:sz w:val="21"/>
                <w:szCs w:val="21"/>
                <w:highlight w:val="none"/>
                <w:lang w:eastAsia="zh-CN"/>
              </w:rPr>
              <w:t>所投核心产品制造商</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月以来至本项目</w:t>
            </w:r>
            <w:r>
              <w:rPr>
                <w:rFonts w:hint="eastAsia" w:ascii="宋体" w:hAnsi="宋体" w:eastAsia="宋体" w:cs="宋体"/>
                <w:color w:val="auto"/>
                <w:sz w:val="21"/>
                <w:szCs w:val="21"/>
                <w:highlight w:val="none"/>
                <w:lang w:eastAsia="zh-CN"/>
              </w:rPr>
              <w:t>投标截止时间止</w:t>
            </w:r>
            <w:r>
              <w:rPr>
                <w:rFonts w:hint="eastAsia" w:ascii="宋体" w:hAnsi="宋体" w:eastAsia="宋体" w:cs="宋体"/>
                <w:color w:val="auto"/>
                <w:sz w:val="21"/>
                <w:szCs w:val="21"/>
                <w:highlight w:val="none"/>
              </w:rPr>
              <w:t>（以合同签订时间为准）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具有同类</w:t>
            </w:r>
            <w:r>
              <w:rPr>
                <w:rFonts w:hint="eastAsia" w:ascii="宋体" w:hAnsi="宋体" w:eastAsia="宋体" w:cs="宋体"/>
                <w:b/>
                <w:bCs/>
                <w:color w:val="auto"/>
                <w:sz w:val="21"/>
                <w:szCs w:val="21"/>
                <w:highlight w:val="none"/>
                <w:lang w:val="en-US" w:eastAsia="zh-CN"/>
              </w:rPr>
              <w:t>核心产品</w:t>
            </w:r>
            <w:r>
              <w:rPr>
                <w:rFonts w:hint="eastAsia" w:ascii="宋体" w:hAnsi="宋体" w:eastAsia="宋体" w:cs="宋体"/>
                <w:color w:val="auto"/>
                <w:sz w:val="21"/>
                <w:szCs w:val="21"/>
                <w:highlight w:val="none"/>
                <w:lang w:val="en-US" w:eastAsia="zh-CN"/>
              </w:rPr>
              <w:t>经营业绩的每个计1分，最多计4分。</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lang w:val="ru-RU" w:eastAsia="ru-RU"/>
              </w:rPr>
            </w:pPr>
            <w:r>
              <w:rPr>
                <w:rFonts w:hint="eastAsia" w:ascii="宋体" w:hAnsi="宋体" w:eastAsia="宋体" w:cs="宋体"/>
                <w:color w:val="auto"/>
                <w:sz w:val="21"/>
                <w:szCs w:val="21"/>
                <w:highlight w:val="none"/>
                <w:lang w:val="en-US" w:eastAsia="zh-CN"/>
              </w:rPr>
              <w:t>（1）同类</w:t>
            </w:r>
            <w:r>
              <w:rPr>
                <w:rFonts w:hint="eastAsia" w:ascii="宋体" w:hAnsi="宋体" w:eastAsia="宋体" w:cs="宋体"/>
                <w:b/>
                <w:bCs/>
                <w:color w:val="auto"/>
                <w:sz w:val="21"/>
                <w:szCs w:val="21"/>
                <w:highlight w:val="none"/>
                <w:lang w:val="en-US" w:eastAsia="zh-CN"/>
              </w:rPr>
              <w:t>核心产品</w:t>
            </w:r>
            <w:r>
              <w:rPr>
                <w:rFonts w:hint="eastAsia" w:ascii="宋体" w:hAnsi="宋体" w:eastAsia="宋体" w:cs="宋体"/>
                <w:color w:val="auto"/>
                <w:sz w:val="21"/>
                <w:szCs w:val="21"/>
                <w:highlight w:val="none"/>
                <w:lang w:val="en-US" w:eastAsia="zh-CN"/>
              </w:rPr>
              <w:t>详见每包采购清单，如有多个核心产品的，提供其中一个或多个核心产品的经营合同业绩均予以认可；（2）提供经营业绩的合同复印件（包括合同首页、金额页〈含产品名称、型号、数量〉和盖章页），并标记同类产品，盖投标人公章。否则，不计分。（3）提供非单一产品销售合同的，产品中包含</w:t>
            </w:r>
            <w:r>
              <w:rPr>
                <w:rFonts w:hint="eastAsia" w:ascii="宋体" w:hAnsi="宋体" w:eastAsia="宋体" w:cs="宋体"/>
                <w:b w:val="0"/>
                <w:bCs w:val="0"/>
                <w:color w:val="auto"/>
                <w:sz w:val="21"/>
                <w:szCs w:val="21"/>
                <w:highlight w:val="none"/>
                <w:lang w:val="en-US" w:eastAsia="zh-CN"/>
              </w:rPr>
              <w:t>核心产品</w:t>
            </w:r>
            <w:r>
              <w:rPr>
                <w:rFonts w:hint="eastAsia" w:ascii="宋体" w:hAnsi="宋体" w:eastAsia="宋体" w:cs="宋体"/>
                <w:color w:val="auto"/>
                <w:sz w:val="21"/>
                <w:szCs w:val="21"/>
                <w:highlight w:val="none"/>
                <w:lang w:val="en-US" w:eastAsia="zh-CN"/>
              </w:rPr>
              <w:t>即可。（4）提供与合同相对应的验收合格的资料（如验收书、付款凭证等；未验收项目提供情况说明，并加盖投标人公章，格式自拟）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30" w:hRule="atLeast"/>
          <w:jc w:val="center"/>
        </w:trPr>
        <w:tc>
          <w:tcPr>
            <w:tcW w:w="1106" w:type="dxa"/>
            <w:vMerge w:val="continue"/>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p>
        </w:tc>
        <w:tc>
          <w:tcPr>
            <w:tcW w:w="870" w:type="dxa"/>
            <w:tcBorders>
              <w:bottom w:val="single" w:color="auto" w:sz="4" w:space="0"/>
              <w:tl2br w:val="nil"/>
              <w:tr2bl w:val="nil"/>
            </w:tcBorders>
            <w:vAlign w:val="center"/>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体系</w:t>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认证</w:t>
            </w:r>
          </w:p>
          <w:p>
            <w:pPr>
              <w:pStyle w:val="19"/>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3分</w:t>
            </w:r>
          </w:p>
        </w:tc>
        <w:tc>
          <w:tcPr>
            <w:tcW w:w="6862" w:type="dxa"/>
            <w:tcBorders>
              <w:tl2br w:val="nil"/>
              <w:tr2bl w:val="nil"/>
            </w:tcBorders>
          </w:tcPr>
          <w:p>
            <w:pPr>
              <w:pStyle w:val="178"/>
              <w:shd w:val="clear"/>
              <w:spacing w:line="240" w:lineRule="auto"/>
              <w:jc w:val="both"/>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投标人或所投核心产品制造商具有有效的质量管理体系、环境管理体系、职业健康安全管理体系认证的（包含无线通信设备的相关认证范围），每个计1分，最多计3分。</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kern w:val="2"/>
                <w:sz w:val="21"/>
                <w:szCs w:val="21"/>
                <w:highlight w:val="none"/>
              </w:rPr>
              <w:t>注：以上证书均能在全国认证认可信息公共服务平台（http：//cx.cnca.cn/CertECloud/index/index/page）上查询，提供以上网站截图及相应证书复印件，并加盖投标人公章。否则，不予计分。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37" w:hRule="atLeast"/>
          <w:jc w:val="center"/>
        </w:trPr>
        <w:tc>
          <w:tcPr>
            <w:tcW w:w="1106" w:type="dxa"/>
            <w:vMerge w:val="continue"/>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p>
        </w:tc>
        <w:tc>
          <w:tcPr>
            <w:tcW w:w="870" w:type="dxa"/>
            <w:tcBorders>
              <w:top w:val="single" w:color="auto" w:sz="4" w:space="0"/>
              <w:bottom w:val="single" w:color="auto" w:sz="4" w:space="0"/>
              <w:tl2br w:val="nil"/>
              <w:tr2bl w:val="nil"/>
            </w:tcBorders>
            <w:vAlign w:val="center"/>
          </w:tcPr>
          <w:p>
            <w:pPr>
              <w:jc w:val="center"/>
              <w:rPr>
                <w:rFonts w:hint="eastAsia" w:asciiTheme="minorEastAsia" w:hAnsiTheme="minorEastAsia" w:eastAsiaTheme="minorEastAsia" w:cstheme="minorEastAsia"/>
                <w:color w:val="auto"/>
                <w:sz w:val="21"/>
                <w:szCs w:val="21"/>
                <w:highlight w:val="none"/>
                <w:lang w:val="ru-RU" w:eastAsia="ru-RU"/>
              </w:rPr>
            </w:pPr>
            <w:r>
              <w:rPr>
                <w:rFonts w:hint="eastAsia" w:asciiTheme="minorEastAsia" w:hAnsiTheme="minorEastAsia" w:eastAsiaTheme="minorEastAsia" w:cstheme="minorEastAsia"/>
                <w:color w:val="auto"/>
                <w:sz w:val="21"/>
                <w:szCs w:val="21"/>
                <w:highlight w:val="none"/>
              </w:rPr>
              <w:t>人员培训4分</w:t>
            </w:r>
          </w:p>
        </w:tc>
        <w:tc>
          <w:tcPr>
            <w:tcW w:w="6862" w:type="dxa"/>
            <w:tcBorders>
              <w:tl2br w:val="nil"/>
              <w:tr2bl w:val="nil"/>
            </w:tcBorders>
            <w:vAlign w:val="center"/>
          </w:tcPr>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根据投标人培训服务方案（包含但不限于①培训计划和时间；②培训技术人员安排；③培训内容；④培训质量保证措施等）进行综合评分：培训方案全面详实、产品技术培训师资力量雄厚、培训及时、培训内容全面、培训计划科学合理、质量保证措施完善、实际操作性强的，计4分，</w:t>
            </w:r>
            <w:r>
              <w:rPr>
                <w:rFonts w:hint="eastAsia" w:ascii="宋体" w:hAnsi="宋体" w:eastAsia="宋体" w:cs="宋体"/>
                <w:i w:val="0"/>
                <w:iCs w:val="0"/>
                <w:color w:val="auto"/>
                <w:kern w:val="0"/>
                <w:sz w:val="21"/>
                <w:szCs w:val="21"/>
                <w:highlight w:val="none"/>
                <w:u w:val="none"/>
                <w:lang w:val="en-US" w:eastAsia="zh-CN" w:bidi="ar"/>
              </w:rPr>
              <w:t>缺漏项的每项扣1分，欠合理或欠完善的每处扣0.5分，扣完为止</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注：未提供培训服务方案的，本项计0分。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106" w:type="dxa"/>
            <w:vMerge w:val="continue"/>
            <w:tcBorders>
              <w:tl2br w:val="nil"/>
              <w:tr2bl w:val="nil"/>
            </w:tcBorders>
            <w:vAlign w:val="center"/>
          </w:tcPr>
          <w:p>
            <w:pPr>
              <w:pStyle w:val="19"/>
              <w:wordWrap w:val="0"/>
              <w:overflowPunct w:val="0"/>
              <w:topLinePunct/>
              <w:spacing w:after="0" w:line="310" w:lineRule="exact"/>
              <w:jc w:val="center"/>
              <w:textAlignment w:val="top"/>
              <w:rPr>
                <w:rFonts w:hint="eastAsia" w:asciiTheme="minorEastAsia" w:hAnsiTheme="minorEastAsia" w:eastAsiaTheme="minorEastAsia" w:cstheme="minorEastAsia"/>
                <w:bCs/>
                <w:color w:val="auto"/>
                <w:kern w:val="21"/>
                <w:sz w:val="21"/>
                <w:szCs w:val="21"/>
                <w:highlight w:val="none"/>
              </w:rPr>
            </w:pPr>
          </w:p>
        </w:tc>
        <w:tc>
          <w:tcPr>
            <w:tcW w:w="870" w:type="dxa"/>
            <w:tcBorders>
              <w:top w:val="single" w:color="auto" w:sz="4" w:space="0"/>
              <w:bottom w:val="single" w:color="auto" w:sz="4" w:space="0"/>
              <w:tl2br w:val="nil"/>
              <w:tr2bl w:val="nil"/>
            </w:tcBorders>
            <w:vAlign w:val="center"/>
          </w:tcPr>
          <w:p>
            <w:pPr>
              <w:pStyle w:val="108"/>
              <w:adjustRightInd w:val="0"/>
              <w:snapToGrid w:val="0"/>
              <w:ind w:firstLine="0" w:firstLineChars="0"/>
              <w:jc w:val="center"/>
              <w:rPr>
                <w:rFonts w:hint="eastAsia" w:asciiTheme="minorEastAsia" w:hAnsiTheme="minorEastAsia" w:eastAsiaTheme="minorEastAsia" w:cstheme="minorEastAsia"/>
                <w:color w:val="auto"/>
                <w:sz w:val="21"/>
                <w:szCs w:val="21"/>
                <w:highlight w:val="none"/>
                <w:lang w:val="ru-RU" w:eastAsia="ru-RU"/>
              </w:rPr>
            </w:pPr>
            <w:r>
              <w:rPr>
                <w:rFonts w:hint="eastAsia" w:asciiTheme="minorEastAsia" w:hAnsiTheme="minorEastAsia" w:eastAsiaTheme="minorEastAsia" w:cstheme="minorEastAsia"/>
                <w:color w:val="auto"/>
                <w:sz w:val="21"/>
                <w:szCs w:val="21"/>
                <w:highlight w:val="none"/>
              </w:rPr>
              <w:t>售后服务</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分</w:t>
            </w:r>
          </w:p>
        </w:tc>
        <w:tc>
          <w:tcPr>
            <w:tcW w:w="6862" w:type="dxa"/>
            <w:tcBorders>
              <w:tl2br w:val="nil"/>
              <w:tr2bl w:val="nil"/>
            </w:tcBorders>
            <w:vAlign w:val="center"/>
          </w:tcPr>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投标人售后服务方案（包含但不限于：①组织架构及人员配置；②明确的售后响应时间；③零配件供应周期及售后涉及的工具、备品备件售后服务方案价格清单；④存在缺陷或出现难以解决的问题时的补救赔偿措施）进行综合评分：方案内容全面详实、服务机构完善、人员配备齐全、服务响应及时、制度规范严谨、常用备品备件价格清单完整、补救赔偿措施完善的，计4分，</w:t>
            </w:r>
            <w:r>
              <w:rPr>
                <w:rFonts w:hint="eastAsia" w:ascii="宋体" w:hAnsi="宋体" w:eastAsia="宋体" w:cs="宋体"/>
                <w:i w:val="0"/>
                <w:iCs w:val="0"/>
                <w:color w:val="auto"/>
                <w:kern w:val="0"/>
                <w:sz w:val="21"/>
                <w:szCs w:val="21"/>
                <w:highlight w:val="none"/>
                <w:u w:val="none"/>
                <w:lang w:val="en-US" w:eastAsia="zh-CN" w:bidi="ar"/>
              </w:rPr>
              <w:t>缺漏项的每项扣1分，欠合理或欠完善的每处扣0.5分，扣完为止</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注：未提供售后服务方案的，本项计0分。</w:t>
            </w:r>
          </w:p>
        </w:tc>
      </w:tr>
    </w:tbl>
    <w:p>
      <w:pPr>
        <w:pStyle w:val="44"/>
        <w:ind w:left="0" w:leftChars="0" w:firstLine="0" w:firstLineChars="0"/>
      </w:pPr>
    </w:p>
    <w:p>
      <w:pPr>
        <w:rPr>
          <w:color w:val="000000" w:themeColor="text1"/>
          <w:szCs w:val="21"/>
          <w14:textFill>
            <w14:solidFill>
              <w14:schemeClr w14:val="tx1"/>
            </w14:solidFill>
          </w14:textFill>
        </w:rPr>
      </w:pPr>
      <w:bookmarkStart w:id="68" w:name="_Toc20651231"/>
      <w:r>
        <w:rPr>
          <w:rFonts w:hint="eastAsia"/>
          <w:color w:val="000000" w:themeColor="text1"/>
          <w:szCs w:val="21"/>
          <w14:textFill>
            <w14:solidFill>
              <w14:schemeClr w14:val="tx1"/>
            </w14:solidFill>
          </w14:textFill>
        </w:rPr>
        <w:br w:type="page"/>
      </w:r>
    </w:p>
    <w:bookmarkEnd w:id="68"/>
    <w:p>
      <w:pPr>
        <w:pStyle w:val="26"/>
        <w:adjustRightInd w:val="0"/>
        <w:snapToGrid w:val="0"/>
        <w:spacing w:line="360" w:lineRule="auto"/>
        <w:jc w:val="center"/>
        <w:outlineLvl w:val="0"/>
        <w:rPr>
          <w:rFonts w:ascii="黑体" w:hAnsi="华文中宋" w:eastAsia="黑体"/>
          <w:color w:val="000000" w:themeColor="text1"/>
          <w:sz w:val="32"/>
          <w:szCs w:val="32"/>
          <w14:textFill>
            <w14:solidFill>
              <w14:schemeClr w14:val="tx1"/>
            </w14:solidFill>
          </w14:textFill>
        </w:rPr>
      </w:pPr>
      <w:bookmarkStart w:id="69" w:name="_Toc941"/>
      <w:bookmarkStart w:id="70" w:name="_Toc8983751"/>
      <w:bookmarkStart w:id="71" w:name="_Toc21526"/>
      <w:r>
        <w:rPr>
          <w:rFonts w:hint="eastAsia" w:ascii="黑体" w:hAnsi="华文中宋" w:eastAsia="黑体"/>
          <w:color w:val="000000" w:themeColor="text1"/>
          <w:sz w:val="32"/>
          <w:szCs w:val="32"/>
          <w14:textFill>
            <w14:solidFill>
              <w14:schemeClr w14:val="tx1"/>
            </w14:solidFill>
          </w14:textFill>
        </w:rPr>
        <w:t>第五章 采购需求</w:t>
      </w:r>
      <w:bookmarkEnd w:id="69"/>
      <w:bookmarkEnd w:id="70"/>
      <w:bookmarkEnd w:id="71"/>
    </w:p>
    <w:p>
      <w:pPr>
        <w:widowControl/>
        <w:jc w:val="center"/>
        <w:rPr>
          <w:rFonts w:ascii="黑体" w:hAnsi="黑体" w:eastAsia="黑体"/>
          <w:sz w:val="28"/>
          <w:szCs w:val="28"/>
        </w:rPr>
      </w:pPr>
      <w:bookmarkStart w:id="72" w:name="_Toc18227"/>
      <w:r>
        <w:rPr>
          <w:rFonts w:hint="eastAsia" w:ascii="黑体" w:hAnsi="黑体" w:eastAsia="黑体"/>
          <w:sz w:val="28"/>
          <w:szCs w:val="28"/>
        </w:rPr>
        <w:t>第一节采购清单一览表</w:t>
      </w:r>
    </w:p>
    <w:p>
      <w:pPr>
        <w:pStyle w:val="155"/>
        <w:adjustRightInd w:val="0"/>
        <w:snapToGrid w:val="0"/>
        <w:spacing w:before="156" w:line="360" w:lineRule="auto"/>
        <w:rPr>
          <w:rFonts w:hint="eastAsia" w:ascii="宋体" w:eastAsia="宋体"/>
          <w:sz w:val="18"/>
          <w:szCs w:val="18"/>
          <w:lang w:eastAsia="zh-CN"/>
        </w:rPr>
      </w:pPr>
    </w:p>
    <w:tbl>
      <w:tblPr>
        <w:tblStyle w:val="46"/>
        <w:tblpPr w:leftFromText="180" w:rightFromText="180" w:vertAnchor="text" w:horzAnchor="page" w:tblpXSpec="center" w:tblpY="-117"/>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591"/>
        <w:gridCol w:w="641"/>
        <w:gridCol w:w="559"/>
        <w:gridCol w:w="1561"/>
        <w:gridCol w:w="1735"/>
        <w:gridCol w:w="1734"/>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613"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品目</w:t>
            </w:r>
          </w:p>
          <w:p>
            <w:pPr>
              <w:pStyle w:val="155"/>
              <w:widowControl/>
              <w:jc w:val="center"/>
              <w:rPr>
                <w:rFonts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序号</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标的名称</w:t>
            </w:r>
          </w:p>
        </w:tc>
        <w:tc>
          <w:tcPr>
            <w:tcW w:w="641" w:type="dxa"/>
            <w:shd w:val="clear" w:color="auto" w:fill="auto"/>
            <w:vAlign w:val="center"/>
          </w:tcPr>
          <w:p>
            <w:pPr>
              <w:pStyle w:val="155"/>
              <w:widowControl/>
              <w:jc w:val="center"/>
              <w:rPr>
                <w:rFonts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单位</w:t>
            </w:r>
          </w:p>
        </w:tc>
        <w:tc>
          <w:tcPr>
            <w:tcW w:w="559" w:type="dxa"/>
            <w:shd w:val="clear" w:color="auto" w:fill="auto"/>
            <w:vAlign w:val="center"/>
          </w:tcPr>
          <w:p>
            <w:pPr>
              <w:pStyle w:val="155"/>
              <w:widowControl/>
              <w:jc w:val="center"/>
              <w:rPr>
                <w:rFonts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总数</w:t>
            </w:r>
          </w:p>
        </w:tc>
        <w:tc>
          <w:tcPr>
            <w:tcW w:w="1561" w:type="dxa"/>
            <w:shd w:val="clear" w:color="auto" w:fill="auto"/>
            <w:vAlign w:val="center"/>
          </w:tcPr>
          <w:p>
            <w:pPr>
              <w:pStyle w:val="155"/>
              <w:widowControl/>
              <w:jc w:val="center"/>
              <w:rPr>
                <w:rFonts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预算单价（元）</w:t>
            </w:r>
          </w:p>
        </w:tc>
        <w:tc>
          <w:tcPr>
            <w:tcW w:w="1735" w:type="dxa"/>
            <w:shd w:val="clear" w:color="auto" w:fill="auto"/>
            <w:vAlign w:val="center"/>
          </w:tcPr>
          <w:p>
            <w:pPr>
              <w:pStyle w:val="155"/>
              <w:widowControl/>
              <w:jc w:val="center"/>
              <w:rPr>
                <w:rFonts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品目最高限价（元）</w:t>
            </w:r>
          </w:p>
        </w:tc>
        <w:tc>
          <w:tcPr>
            <w:tcW w:w="1734" w:type="dxa"/>
            <w:shd w:val="clear" w:color="auto" w:fill="auto"/>
            <w:vAlign w:val="center"/>
          </w:tcPr>
          <w:p>
            <w:pPr>
              <w:pStyle w:val="155"/>
              <w:widowControl/>
              <w:jc w:val="center"/>
              <w:rPr>
                <w:rFonts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合计最高限价（元）</w:t>
            </w:r>
          </w:p>
        </w:tc>
        <w:tc>
          <w:tcPr>
            <w:tcW w:w="882"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是否</w:t>
            </w:r>
          </w:p>
          <w:p>
            <w:pPr>
              <w:pStyle w:val="155"/>
              <w:widowControl/>
              <w:jc w:val="center"/>
              <w:rPr>
                <w:rFonts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13"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1</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rPr>
              <w:t>图像自组网基站</w:t>
            </w:r>
          </w:p>
        </w:tc>
        <w:tc>
          <w:tcPr>
            <w:tcW w:w="641"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套</w:t>
            </w:r>
          </w:p>
        </w:tc>
        <w:tc>
          <w:tcPr>
            <w:tcW w:w="559"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2</w:t>
            </w:r>
          </w:p>
        </w:tc>
        <w:tc>
          <w:tcPr>
            <w:tcW w:w="1561"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250000.00 </w:t>
            </w:r>
          </w:p>
        </w:tc>
        <w:tc>
          <w:tcPr>
            <w:tcW w:w="1735"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500000.00 </w:t>
            </w:r>
          </w:p>
        </w:tc>
        <w:tc>
          <w:tcPr>
            <w:tcW w:w="1734"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500000.00 </w:t>
            </w:r>
          </w:p>
        </w:tc>
        <w:tc>
          <w:tcPr>
            <w:tcW w:w="882"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13"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2</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rPr>
              <w:t>语音自组网基站</w:t>
            </w:r>
          </w:p>
        </w:tc>
        <w:tc>
          <w:tcPr>
            <w:tcW w:w="641"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套</w:t>
            </w:r>
          </w:p>
        </w:tc>
        <w:tc>
          <w:tcPr>
            <w:tcW w:w="559"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3</w:t>
            </w:r>
          </w:p>
        </w:tc>
        <w:tc>
          <w:tcPr>
            <w:tcW w:w="1561"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100000.00 </w:t>
            </w:r>
          </w:p>
        </w:tc>
        <w:tc>
          <w:tcPr>
            <w:tcW w:w="1735"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300000.00 </w:t>
            </w:r>
          </w:p>
        </w:tc>
        <w:tc>
          <w:tcPr>
            <w:tcW w:w="1734"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300000.00 </w:t>
            </w:r>
          </w:p>
        </w:tc>
        <w:tc>
          <w:tcPr>
            <w:tcW w:w="882"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613"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3</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rPr>
              <w:t>语音综合调度台</w:t>
            </w:r>
          </w:p>
        </w:tc>
        <w:tc>
          <w:tcPr>
            <w:tcW w:w="641"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套</w:t>
            </w:r>
          </w:p>
        </w:tc>
        <w:tc>
          <w:tcPr>
            <w:tcW w:w="559"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1</w:t>
            </w:r>
          </w:p>
        </w:tc>
        <w:tc>
          <w:tcPr>
            <w:tcW w:w="1561"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200000.00 </w:t>
            </w:r>
          </w:p>
        </w:tc>
        <w:tc>
          <w:tcPr>
            <w:tcW w:w="1735"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200000.00 </w:t>
            </w:r>
          </w:p>
        </w:tc>
        <w:tc>
          <w:tcPr>
            <w:tcW w:w="1734"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200000.00 </w:t>
            </w:r>
          </w:p>
        </w:tc>
        <w:tc>
          <w:tcPr>
            <w:tcW w:w="882"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13"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4</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rPr>
              <w:t>便携天线塔</w:t>
            </w:r>
          </w:p>
        </w:tc>
        <w:tc>
          <w:tcPr>
            <w:tcW w:w="641"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套</w:t>
            </w:r>
          </w:p>
        </w:tc>
        <w:tc>
          <w:tcPr>
            <w:tcW w:w="559"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1</w:t>
            </w:r>
          </w:p>
        </w:tc>
        <w:tc>
          <w:tcPr>
            <w:tcW w:w="1561"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90000.00 </w:t>
            </w:r>
          </w:p>
        </w:tc>
        <w:tc>
          <w:tcPr>
            <w:tcW w:w="1735"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90000.00 </w:t>
            </w:r>
          </w:p>
        </w:tc>
        <w:tc>
          <w:tcPr>
            <w:tcW w:w="1734"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90000.00 </w:t>
            </w:r>
          </w:p>
        </w:tc>
        <w:tc>
          <w:tcPr>
            <w:tcW w:w="882"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613"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5</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rPr>
              <w:t>便携对讲机充电电源箱</w:t>
            </w:r>
          </w:p>
        </w:tc>
        <w:tc>
          <w:tcPr>
            <w:tcW w:w="641"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套</w:t>
            </w:r>
          </w:p>
        </w:tc>
        <w:tc>
          <w:tcPr>
            <w:tcW w:w="559"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2</w:t>
            </w:r>
          </w:p>
        </w:tc>
        <w:tc>
          <w:tcPr>
            <w:tcW w:w="1561"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15000.00 </w:t>
            </w:r>
          </w:p>
        </w:tc>
        <w:tc>
          <w:tcPr>
            <w:tcW w:w="1735"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30000.00 </w:t>
            </w:r>
          </w:p>
        </w:tc>
        <w:tc>
          <w:tcPr>
            <w:tcW w:w="1734"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30000.00 </w:t>
            </w:r>
          </w:p>
        </w:tc>
        <w:tc>
          <w:tcPr>
            <w:tcW w:w="882" w:type="dxa"/>
            <w:shd w:val="clear" w:color="auto" w:fill="auto"/>
            <w:noWrap/>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13"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6</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无人机侦查</w:t>
            </w:r>
          </w:p>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rPr>
              <w:t>挂载1</w:t>
            </w:r>
          </w:p>
        </w:tc>
        <w:tc>
          <w:tcPr>
            <w:tcW w:w="641"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套</w:t>
            </w:r>
          </w:p>
        </w:tc>
        <w:tc>
          <w:tcPr>
            <w:tcW w:w="559"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1</w:t>
            </w:r>
          </w:p>
        </w:tc>
        <w:tc>
          <w:tcPr>
            <w:tcW w:w="1561"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52500.00 </w:t>
            </w:r>
          </w:p>
        </w:tc>
        <w:tc>
          <w:tcPr>
            <w:tcW w:w="1735"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52500.00 </w:t>
            </w:r>
          </w:p>
        </w:tc>
        <w:tc>
          <w:tcPr>
            <w:tcW w:w="1734"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52500.00 </w:t>
            </w:r>
          </w:p>
        </w:tc>
        <w:tc>
          <w:tcPr>
            <w:tcW w:w="882"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613" w:type="dxa"/>
            <w:shd w:val="clear" w:color="auto" w:fill="auto"/>
            <w:vAlign w:val="center"/>
          </w:tcPr>
          <w:p>
            <w:pPr>
              <w:pStyle w:val="155"/>
              <w:widowControl/>
              <w:jc w:val="center"/>
              <w:rPr>
                <w:rFonts w:hint="default"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7</w:t>
            </w:r>
          </w:p>
        </w:tc>
        <w:tc>
          <w:tcPr>
            <w:tcW w:w="159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无人机侦查</w:t>
            </w:r>
          </w:p>
          <w:p>
            <w:pPr>
              <w:pStyle w:val="155"/>
              <w:widowControl/>
              <w:jc w:val="center"/>
              <w:rPr>
                <w:rFonts w:hint="eastAsia" w:cs="宋体" w:asciiTheme="minorEastAsia" w:hAnsiTheme="minorEastAsia" w:eastAsiaTheme="minorEastAsia"/>
                <w:b w:val="0"/>
                <w:bCs w:val="0"/>
                <w:color w:val="auto"/>
                <w:kern w:val="0"/>
                <w:sz w:val="16"/>
                <w:szCs w:val="16"/>
              </w:rPr>
            </w:pPr>
            <w:r>
              <w:rPr>
                <w:rFonts w:hint="eastAsia" w:cs="宋体" w:asciiTheme="minorEastAsia" w:hAnsiTheme="minorEastAsia" w:eastAsiaTheme="minorEastAsia"/>
                <w:b w:val="0"/>
                <w:bCs w:val="0"/>
                <w:color w:val="auto"/>
                <w:kern w:val="0"/>
                <w:sz w:val="16"/>
                <w:szCs w:val="16"/>
              </w:rPr>
              <w:t>挂载2</w:t>
            </w:r>
          </w:p>
        </w:tc>
        <w:tc>
          <w:tcPr>
            <w:tcW w:w="641"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套</w:t>
            </w:r>
          </w:p>
        </w:tc>
        <w:tc>
          <w:tcPr>
            <w:tcW w:w="559" w:type="dxa"/>
            <w:shd w:val="clear" w:color="auto" w:fill="auto"/>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1</w:t>
            </w:r>
          </w:p>
        </w:tc>
        <w:tc>
          <w:tcPr>
            <w:tcW w:w="1561"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83600.00 </w:t>
            </w:r>
          </w:p>
        </w:tc>
        <w:tc>
          <w:tcPr>
            <w:tcW w:w="1735"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83600.00 </w:t>
            </w:r>
          </w:p>
        </w:tc>
        <w:tc>
          <w:tcPr>
            <w:tcW w:w="1734"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 xml:space="preserve">83600.00 </w:t>
            </w:r>
          </w:p>
        </w:tc>
        <w:tc>
          <w:tcPr>
            <w:tcW w:w="882" w:type="dxa"/>
            <w:shd w:val="clear" w:color="auto" w:fill="auto"/>
            <w:noWrap/>
            <w:vAlign w:val="center"/>
          </w:tcPr>
          <w:p>
            <w:pPr>
              <w:pStyle w:val="155"/>
              <w:widowControl/>
              <w:jc w:val="center"/>
              <w:rPr>
                <w:rFonts w:hint="eastAsia" w:cs="宋体" w:asciiTheme="minorEastAsia" w:hAnsiTheme="minorEastAsia" w:eastAsiaTheme="minorEastAsia"/>
                <w:b w:val="0"/>
                <w:bCs w:val="0"/>
                <w:color w:val="auto"/>
                <w:kern w:val="0"/>
                <w:sz w:val="16"/>
                <w:szCs w:val="16"/>
                <w:lang w:val="en-US" w:eastAsia="zh-CN"/>
              </w:rPr>
            </w:pPr>
            <w:r>
              <w:rPr>
                <w:rFonts w:hint="eastAsia" w:cs="宋体" w:asciiTheme="minorEastAsia" w:hAnsiTheme="minorEastAsia" w:eastAsiaTheme="minorEastAsia"/>
                <w:b w:val="0"/>
                <w:bCs w:val="0"/>
                <w:color w:val="auto"/>
                <w:kern w:val="0"/>
                <w:sz w:val="16"/>
                <w:szCs w:val="16"/>
                <w:lang w:val="en-US" w:eastAsia="zh-CN"/>
              </w:rPr>
              <w:t>否</w:t>
            </w:r>
          </w:p>
        </w:tc>
      </w:tr>
    </w:tbl>
    <w:p>
      <w:pPr>
        <w:pStyle w:val="155"/>
        <w:adjustRightInd w:val="0"/>
        <w:snapToGrid w:val="0"/>
        <w:spacing w:before="156" w:line="360" w:lineRule="auto"/>
        <w:rPr>
          <w:rFonts w:hint="eastAsia" w:ascii="宋体" w:eastAsia="宋体"/>
          <w:sz w:val="18"/>
          <w:szCs w:val="18"/>
          <w:lang w:eastAsia="zh-CN"/>
        </w:rPr>
      </w:pPr>
      <w:r>
        <w:rPr>
          <w:rFonts w:hint="eastAsia" w:ascii="宋体"/>
          <w:sz w:val="18"/>
          <w:szCs w:val="18"/>
        </w:rPr>
        <w:t>注</w:t>
      </w:r>
      <w:r>
        <w:rPr>
          <w:rFonts w:hint="eastAsia" w:ascii="宋体"/>
          <w:sz w:val="18"/>
          <w:szCs w:val="18"/>
          <w:lang w:eastAsia="zh-CN"/>
        </w:rPr>
        <w:t>：</w:t>
      </w:r>
    </w:p>
    <w:p>
      <w:pPr>
        <w:pStyle w:val="155"/>
        <w:adjustRightInd w:val="0"/>
        <w:snapToGrid w:val="0"/>
        <w:spacing w:before="156" w:line="360" w:lineRule="auto"/>
        <w:ind w:firstLine="360" w:firstLineChars="200"/>
        <w:rPr>
          <w:rFonts w:ascii="宋体" w:cs="宋体"/>
          <w:kern w:val="0"/>
          <w:sz w:val="18"/>
          <w:szCs w:val="18"/>
        </w:rPr>
      </w:pPr>
      <w:r>
        <w:rPr>
          <w:rFonts w:hint="eastAsia" w:ascii="宋体"/>
          <w:sz w:val="18"/>
          <w:szCs w:val="18"/>
        </w:rPr>
        <w:t>1、货物的主要技术参数或规格：</w:t>
      </w:r>
      <w:r>
        <w:rPr>
          <w:rFonts w:hint="eastAsia" w:ascii="宋体" w:cs="宋体"/>
          <w:kern w:val="0"/>
          <w:sz w:val="18"/>
          <w:szCs w:val="18"/>
        </w:rPr>
        <w:t>详见“技术要求”中的具体技术参数。</w:t>
      </w:r>
    </w:p>
    <w:p>
      <w:pPr>
        <w:pStyle w:val="155"/>
        <w:adjustRightInd w:val="0"/>
        <w:snapToGrid w:val="0"/>
        <w:spacing w:before="156" w:line="360" w:lineRule="auto"/>
        <w:ind w:firstLine="360" w:firstLineChars="200"/>
        <w:rPr>
          <w:rFonts w:ascii="宋体" w:cs="宋体"/>
          <w:kern w:val="0"/>
          <w:sz w:val="18"/>
          <w:szCs w:val="18"/>
        </w:rPr>
      </w:pPr>
      <w:r>
        <w:rPr>
          <w:rFonts w:hint="eastAsia" w:ascii="宋体" w:cs="宋体"/>
          <w:bCs/>
          <w:kern w:val="0"/>
          <w:sz w:val="18"/>
          <w:szCs w:val="18"/>
          <w:lang w:val="en-US" w:eastAsia="zh-CN"/>
        </w:rPr>
        <w:t>2</w:t>
      </w:r>
      <w:r>
        <w:rPr>
          <w:rFonts w:hint="eastAsia" w:ascii="宋体" w:cs="宋体"/>
          <w:bCs/>
          <w:kern w:val="0"/>
          <w:sz w:val="18"/>
          <w:szCs w:val="18"/>
        </w:rPr>
        <w:t>、投标人应</w:t>
      </w:r>
      <w:r>
        <w:rPr>
          <w:rFonts w:hint="eastAsia" w:ascii="宋体" w:cs="宋体"/>
          <w:kern w:val="0"/>
          <w:sz w:val="18"/>
          <w:szCs w:val="18"/>
        </w:rPr>
        <w:t>在投标文件《分项报价明细表》中按</w:t>
      </w:r>
      <w:r>
        <w:rPr>
          <w:rFonts w:hint="eastAsia" w:ascii="宋体"/>
          <w:sz w:val="18"/>
          <w:szCs w:val="18"/>
        </w:rPr>
        <w:t>分项项目名称（包括</w:t>
      </w:r>
      <w:r>
        <w:rPr>
          <w:rFonts w:hint="eastAsia" w:ascii="宋体" w:cs="宋体"/>
          <w:kern w:val="0"/>
          <w:sz w:val="18"/>
          <w:szCs w:val="18"/>
        </w:rPr>
        <w:t>条目号/品目名称）顺序逐项填写，且每个品目中的条目均需按招标文件规定报价。如有缺项、漏项，其</w:t>
      </w:r>
      <w:r>
        <w:rPr>
          <w:rFonts w:hint="eastAsia" w:ascii="宋体" w:cs="宋体"/>
          <w:b/>
          <w:kern w:val="0"/>
          <w:sz w:val="18"/>
          <w:szCs w:val="18"/>
        </w:rPr>
        <w:t>投标无效</w:t>
      </w:r>
      <w:r>
        <w:rPr>
          <w:rFonts w:hint="eastAsia" w:ascii="宋体" w:cs="宋体"/>
          <w:kern w:val="0"/>
          <w:sz w:val="18"/>
          <w:szCs w:val="18"/>
        </w:rPr>
        <w:t>。</w:t>
      </w:r>
    </w:p>
    <w:p>
      <w:pPr>
        <w:jc w:val="center"/>
        <w:rPr>
          <w:rFonts w:hint="eastAsia" w:ascii="黑体" w:hAnsi="黑体" w:eastAsia="黑体"/>
          <w:sz w:val="28"/>
          <w:szCs w:val="28"/>
        </w:rPr>
      </w:pPr>
    </w:p>
    <w:p>
      <w:pPr>
        <w:jc w:val="center"/>
        <w:rPr>
          <w:rFonts w:hint="eastAsia" w:ascii="黑体" w:hAnsi="黑体" w:eastAsia="黑体"/>
          <w:sz w:val="28"/>
          <w:szCs w:val="28"/>
        </w:rPr>
      </w:pPr>
    </w:p>
    <w:p>
      <w:pPr>
        <w:jc w:val="center"/>
        <w:rPr>
          <w:rFonts w:hint="eastAsia" w:ascii="黑体" w:hAnsi="黑体" w:eastAsia="黑体"/>
          <w:sz w:val="28"/>
          <w:szCs w:val="28"/>
        </w:rPr>
      </w:pPr>
    </w:p>
    <w:p>
      <w:pPr>
        <w:jc w:val="center"/>
        <w:rPr>
          <w:rFonts w:hint="eastAsia" w:ascii="黑体" w:hAnsi="黑体" w:eastAsia="黑体"/>
          <w:sz w:val="28"/>
          <w:szCs w:val="28"/>
        </w:rPr>
      </w:pPr>
    </w:p>
    <w:p>
      <w:pPr>
        <w:jc w:val="center"/>
        <w:rPr>
          <w:rFonts w:hint="eastAsia" w:ascii="黑体" w:hAnsi="黑体" w:eastAsia="黑体"/>
          <w:sz w:val="28"/>
          <w:szCs w:val="28"/>
        </w:rPr>
      </w:pPr>
    </w:p>
    <w:p>
      <w:pPr>
        <w:jc w:val="center"/>
        <w:rPr>
          <w:rFonts w:hint="eastAsia" w:ascii="黑体" w:hAnsi="黑体" w:eastAsia="黑体"/>
          <w:sz w:val="28"/>
          <w:szCs w:val="28"/>
        </w:rPr>
      </w:pPr>
    </w:p>
    <w:p>
      <w:pPr>
        <w:jc w:val="center"/>
        <w:rPr>
          <w:rFonts w:hint="eastAsia" w:ascii="黑体" w:hAnsi="黑体" w:eastAsia="黑体"/>
          <w:sz w:val="28"/>
          <w:szCs w:val="28"/>
        </w:rPr>
      </w:pPr>
    </w:p>
    <w:p>
      <w:pPr>
        <w:jc w:val="center"/>
        <w:rPr>
          <w:rFonts w:hint="eastAsia" w:ascii="黑体" w:hAnsi="黑体" w:eastAsia="黑体"/>
          <w:sz w:val="28"/>
          <w:szCs w:val="28"/>
        </w:rPr>
      </w:pPr>
    </w:p>
    <w:p>
      <w:pPr>
        <w:keepNext w:val="0"/>
        <w:keepLines w:val="0"/>
        <w:pageBreakBefore w:val="0"/>
        <w:kinsoku/>
        <w:wordWrap/>
        <w:overflowPunct/>
        <w:topLinePunct w:val="0"/>
        <w:autoSpaceDE/>
        <w:autoSpaceDN/>
        <w:bidi w:val="0"/>
        <w:adjustRightInd/>
        <w:snapToGrid w:val="0"/>
        <w:jc w:val="center"/>
        <w:rPr>
          <w:rFonts w:hint="eastAsia" w:ascii="黑体" w:hAnsi="黑体" w:eastAsia="黑体"/>
          <w:sz w:val="28"/>
          <w:szCs w:val="28"/>
        </w:rPr>
      </w:pPr>
    </w:p>
    <w:p>
      <w:pPr>
        <w:rPr>
          <w:rFonts w:hint="eastAsia" w:ascii="黑体" w:hAnsi="黑体" w:eastAsia="黑体"/>
          <w:sz w:val="28"/>
          <w:szCs w:val="28"/>
        </w:rPr>
      </w:pPr>
      <w:r>
        <w:rPr>
          <w:rFonts w:hint="eastAsia" w:ascii="黑体" w:hAnsi="黑体" w:eastAsia="黑体"/>
          <w:sz w:val="28"/>
          <w:szCs w:val="28"/>
        </w:rPr>
        <w:br w:type="page"/>
      </w:r>
    </w:p>
    <w:p>
      <w:pPr>
        <w:keepNext w:val="0"/>
        <w:keepLines w:val="0"/>
        <w:pageBreakBefore w:val="0"/>
        <w:kinsoku/>
        <w:wordWrap/>
        <w:overflowPunct/>
        <w:topLinePunct w:val="0"/>
        <w:autoSpaceDE/>
        <w:autoSpaceDN/>
        <w:bidi w:val="0"/>
        <w:adjustRightInd/>
        <w:snapToGrid w:val="0"/>
        <w:jc w:val="center"/>
        <w:rPr>
          <w:rFonts w:hint="eastAsia" w:ascii="黑体" w:hAnsi="黑体" w:eastAsia="黑体"/>
          <w:sz w:val="28"/>
          <w:szCs w:val="28"/>
        </w:rPr>
      </w:pPr>
      <w:r>
        <w:rPr>
          <w:rFonts w:hint="eastAsia" w:ascii="黑体" w:hAnsi="黑体" w:eastAsia="黑体"/>
          <w:sz w:val="28"/>
          <w:szCs w:val="28"/>
        </w:rPr>
        <w:t>第二节技术要求</w:t>
      </w:r>
    </w:p>
    <w:bookmarkEnd w:id="72"/>
    <w:tbl>
      <w:tblPr>
        <w:tblStyle w:val="46"/>
        <w:tblpPr w:leftFromText="180" w:rightFromText="180" w:vertAnchor="text" w:horzAnchor="page" w:tblpX="1391" w:tblpY="330"/>
        <w:tblOverlap w:val="never"/>
        <w:tblW w:w="9398" w:type="dxa"/>
        <w:tblInd w:w="0" w:type="dxa"/>
        <w:tblLayout w:type="fixed"/>
        <w:tblCellMar>
          <w:top w:w="0" w:type="dxa"/>
          <w:left w:w="108" w:type="dxa"/>
          <w:bottom w:w="0" w:type="dxa"/>
          <w:right w:w="108" w:type="dxa"/>
        </w:tblCellMar>
      </w:tblPr>
      <w:tblGrid>
        <w:gridCol w:w="804"/>
        <w:gridCol w:w="1312"/>
        <w:gridCol w:w="714"/>
        <w:gridCol w:w="824"/>
        <w:gridCol w:w="5744"/>
      </w:tblGrid>
      <w:tr>
        <w:tblPrEx>
          <w:tblCellMar>
            <w:top w:w="0" w:type="dxa"/>
            <w:left w:w="108" w:type="dxa"/>
            <w:bottom w:w="0" w:type="dxa"/>
            <w:right w:w="108" w:type="dxa"/>
          </w:tblCellMar>
        </w:tblPrEx>
        <w:trPr>
          <w:trHeight w:val="373" w:hRule="atLeast"/>
        </w:trPr>
        <w:tc>
          <w:tcPr>
            <w:tcW w:w="8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序 号</w:t>
            </w:r>
          </w:p>
        </w:tc>
        <w:tc>
          <w:tcPr>
            <w:tcW w:w="131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品 名</w:t>
            </w: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单 位</w:t>
            </w:r>
          </w:p>
        </w:tc>
        <w:tc>
          <w:tcPr>
            <w:tcW w:w="82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数 量</w:t>
            </w:r>
          </w:p>
        </w:tc>
        <w:tc>
          <w:tcPr>
            <w:tcW w:w="57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产品性能参数</w:t>
            </w:r>
          </w:p>
        </w:tc>
      </w:tr>
      <w:tr>
        <w:tblPrEx>
          <w:tblCellMar>
            <w:top w:w="0" w:type="dxa"/>
            <w:left w:w="108" w:type="dxa"/>
            <w:bottom w:w="0" w:type="dxa"/>
            <w:right w:w="108" w:type="dxa"/>
          </w:tblCellMar>
        </w:tblPrEx>
        <w:trPr>
          <w:trHeight w:val="2835"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图像自组网</w:t>
            </w:r>
          </w:p>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基站</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2</w:t>
            </w:r>
          </w:p>
        </w:tc>
        <w:tc>
          <w:tcPr>
            <w:tcW w:w="57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整体要求：每套包含：图像自组网一台，背负式自组网单兵图传两台，视频采集终端2台，三轴防抖仪2台，多模智能单兵1台。具体参数如下：</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一、图像自组网基站（1台）：</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1.1、</w:t>
            </w:r>
            <w:r>
              <w:rPr>
                <w:rFonts w:hint="eastAsia"/>
                <w:sz w:val="16"/>
                <w:szCs w:val="16"/>
                <w:lang w:val="en-US" w:eastAsia="zh-CN"/>
              </w:rPr>
              <w:t>▲</w:t>
            </w:r>
            <w:r>
              <w:rPr>
                <w:rFonts w:hint="eastAsia" w:ascii="宋体" w:hAnsi="宋体" w:eastAsia="宋体" w:cs="宋体"/>
                <w:b w:val="0"/>
                <w:bCs w:val="0"/>
                <w:i w:val="0"/>
                <w:iCs w:val="0"/>
                <w:color w:val="000000"/>
                <w:kern w:val="0"/>
                <w:sz w:val="16"/>
                <w:szCs w:val="16"/>
                <w:u w:val="none"/>
                <w:lang w:val="en-US" w:eastAsia="zh-CN" w:bidi="ar"/>
              </w:rPr>
              <w:t>操作便捷、支持一键式开机、随地架设；</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1.2、</w:t>
            </w:r>
            <w:r>
              <w:rPr>
                <w:rFonts w:hint="eastAsia"/>
                <w:sz w:val="16"/>
                <w:szCs w:val="16"/>
                <w:lang w:val="en-US" w:eastAsia="zh-CN"/>
              </w:rPr>
              <w:t>▲</w:t>
            </w:r>
            <w:r>
              <w:rPr>
                <w:rFonts w:hint="eastAsia" w:ascii="宋体" w:hAnsi="宋体" w:eastAsia="宋体" w:cs="宋体"/>
                <w:b w:val="0"/>
                <w:bCs w:val="0"/>
                <w:i w:val="0"/>
                <w:iCs w:val="0"/>
                <w:color w:val="000000"/>
                <w:kern w:val="0"/>
                <w:sz w:val="16"/>
                <w:szCs w:val="16"/>
                <w:u w:val="none"/>
                <w:lang w:val="en-US" w:eastAsia="zh-CN" w:bidi="ar"/>
              </w:rPr>
              <w:t>单跳无线传输速率≥80Mbps，级联6跳之后最末带宽≥8M；</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1.3、支持512-582MHz或1420-1520MHz工作频段。中心频点可调，10MHz和20MHz频宽可调，支持频段内自动跳频选择干净频点；</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1.4、发射功率：10~20W，支持双发双收；</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1.5、可接入1.4GHz或500MHz单兵终端，且数据吞吐量≥80Mbps；</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1.6、接口要求：光口≥2个，网口≥1个，支持WiFi和4G/5G公网；</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1.7、支持有线（光口、网口）与无线混合组网：基站间可通过有线互联，且终端可在基站间平滑切换，业务不中断；</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1.8、基站具备显示屏幕，可以查看设备状态、链路状态、与相邻基站或终端的直线距离等，支持通过屏幕按钮快速配置；</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1.9、防护等级：≥IP67；</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1.10、重量：≤6kg；</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1.11、工作温度：-30℃~+65℃；</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1.12、工作时长：≥12小时，待机时长≥24小时；</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1.13、支持GPS和北斗定位；</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1.14、提供移动端APP和PC端WEB管理工具，支持拓扑呈现、设备和链路状态监测、数据配置等功能。</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二、背负式自组网单兵图传（2台）：</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2.1、</w:t>
            </w:r>
            <w:r>
              <w:rPr>
                <w:rFonts w:hint="eastAsia"/>
                <w:sz w:val="16"/>
                <w:szCs w:val="16"/>
                <w:lang w:val="en-US" w:eastAsia="zh-CN"/>
              </w:rPr>
              <w:t>▲</w:t>
            </w:r>
            <w:r>
              <w:rPr>
                <w:rFonts w:hint="eastAsia" w:ascii="宋体" w:hAnsi="宋体" w:eastAsia="宋体" w:cs="宋体"/>
                <w:b w:val="0"/>
                <w:bCs w:val="0"/>
                <w:i w:val="0"/>
                <w:iCs w:val="0"/>
                <w:color w:val="000000"/>
                <w:kern w:val="0"/>
                <w:sz w:val="16"/>
                <w:szCs w:val="16"/>
                <w:u w:val="none"/>
                <w:lang w:val="en-US" w:eastAsia="zh-CN" w:bidi="ar"/>
              </w:rPr>
              <w:t>操作便捷、支持一键式开机、随地架设；</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2.2、</w:t>
            </w:r>
            <w:r>
              <w:rPr>
                <w:rFonts w:hint="eastAsia"/>
                <w:sz w:val="16"/>
                <w:szCs w:val="16"/>
                <w:lang w:val="en-US" w:eastAsia="zh-CN"/>
              </w:rPr>
              <w:t>▲</w:t>
            </w:r>
            <w:r>
              <w:rPr>
                <w:rFonts w:hint="eastAsia" w:ascii="宋体" w:hAnsi="宋体" w:eastAsia="宋体" w:cs="宋体"/>
                <w:b w:val="0"/>
                <w:bCs w:val="0"/>
                <w:i w:val="0"/>
                <w:iCs w:val="0"/>
                <w:color w:val="000000"/>
                <w:kern w:val="0"/>
                <w:sz w:val="16"/>
                <w:szCs w:val="16"/>
                <w:u w:val="none"/>
                <w:lang w:val="en-US" w:eastAsia="zh-CN" w:bidi="ar"/>
              </w:rPr>
              <w:t>配置全向天线情况下,视距场景与图像自组网基站间传输距离≥4km，且无线传输速率≥4Mbps；</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2.3、支持512-582MHz或1420-1520MHz工作频段。中心频点可调，10MHz和20MHz频宽可调，频点可自动与图像自组网基站保持同步；</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2.4、发射功率：1~2W，支持双发双收；</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2.5、接口要求：提供HDMI视频和3.5mm音频接口，提供网口，支持WiFi、蓝牙接入，支持接入4G/5G公网；</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2.6、防护等级：≥IP67；</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2.7、重量：≤1.2kg；</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2.8、工作温度：满足-30℃~+65℃；</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2.9、工作时长：≥6小时，待机时长≥12小时；</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2.10、支持GPS和北斗定位；</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2.11、提供移动端APP和PC端WEB管理工具，支持拓扑呈现、设备和链路状态监测、数据配置等功能。</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三、视频采集终端（2台）：</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3.1、分辨率：≥800万像素；</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3.2、传感器：1/2.5英寸CMOS传感器；</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3.3、滤镜直径：≥55mm；</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3.4、清晰度：≥4K；</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3.5、机身内存：≥64GB；</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3.6、重量：≤600g；</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3.7、防抖效果：5轴防抖</w:t>
            </w:r>
          </w:p>
          <w:p>
            <w:pPr>
              <w:pStyle w:val="2"/>
              <w:ind w:left="0" w:leftChars="0" w:firstLine="0" w:firstLineChars="0"/>
              <w:rPr>
                <w:rFonts w:hint="default"/>
                <w:highlight w:val="none"/>
                <w:lang w:val="en-US" w:eastAsia="zh-CN"/>
              </w:rPr>
            </w:pPr>
            <w:r>
              <w:rPr>
                <w:rFonts w:hint="eastAsia" w:ascii="宋体" w:hAnsi="宋体" w:cs="宋体"/>
                <w:b w:val="0"/>
                <w:bCs w:val="0"/>
                <w:i w:val="0"/>
                <w:iCs w:val="0"/>
                <w:color w:val="000000"/>
                <w:kern w:val="0"/>
                <w:sz w:val="16"/>
                <w:szCs w:val="16"/>
                <w:highlight w:val="none"/>
                <w:u w:val="none"/>
                <w:lang w:val="en-US" w:eastAsia="zh-CN" w:bidi="ar"/>
              </w:rPr>
              <w:t>3.8、含三脚架一副，不小于64G存储卡2张。</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四、三轴防抖仪（2台）：</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4.1、可折叠式机身设计，配合视频采集单兵使用；</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4.2、快拆快装：支持快拆快装功能；</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4.3、电池：≥3400mAh，支持快充；</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4.4、蓝牙：支持蓝牙5.0；</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4.5、机身重量：≤1.3kg；</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4.6、负载重量：≥3.0kg</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4.6、待机时长：≥14小时；</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五、多模智能单兵（1台）：</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5.1、支持 GB/T28181标准，支持H.265、H.264视频协议，支持G711A、G711U音频协议。</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5.2、支持对讲功能，可实现群组对讲，临时群组，图文消息，视频通话，语音通话，视频回传，定位信息上报、位置预览等功能；</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5.3、支持视频会议功能，可接入消防融合通信系统；（提供接入承诺函）；</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5.4、主屏要求：≥4.5英寸，分辨率≥1300*750，IPS高清硬屏；触摸屏：电容屏，支持手套，手势和雨水操作；</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5.5、摄像头：前置≥500万像素，后置≥1000万像素，可支持1080P，30帧；</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5.6、至少提供1路HDMI高清输入接口；</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5.7、网络类型：支持移动、联通、电信4G/5G公网网络，支持双卡双待；</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5.8、数据功能：支持WiFi802.11b/g/n，USB2.0，蓝牙BT4.0；</w:t>
            </w:r>
          </w:p>
          <w:p>
            <w:pPr>
              <w:widowControl/>
              <w:spacing w:line="240" w:lineRule="exact"/>
              <w:textAlignment w:val="center"/>
              <w:rPr>
                <w:rFonts w:hint="eastAsia" w:ascii="宋体" w:hAnsi="宋体" w:eastAsia="宋体" w:cs="宋体"/>
                <w:b w:val="0"/>
                <w:bCs w:val="0"/>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5.9、USB 接口：支持13Pin标准磁吸接口，支持2A充电，数据下载，耳机输出，OTG等功能；</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b w:val="0"/>
                <w:bCs w:val="0"/>
                <w:i w:val="0"/>
                <w:iCs w:val="0"/>
                <w:color w:val="000000"/>
                <w:kern w:val="0"/>
                <w:sz w:val="16"/>
                <w:szCs w:val="16"/>
                <w:u w:val="none"/>
                <w:lang w:val="en-US" w:eastAsia="zh-CN" w:bidi="ar"/>
              </w:rPr>
              <w:t>5.10、防护功能：≥IP67级；工作环境温度：至少支持-10℃至55℃；</w:t>
            </w:r>
          </w:p>
        </w:tc>
      </w:tr>
      <w:tr>
        <w:tblPrEx>
          <w:tblCellMar>
            <w:top w:w="0" w:type="dxa"/>
            <w:left w:w="108" w:type="dxa"/>
            <w:bottom w:w="0" w:type="dxa"/>
            <w:right w:w="108" w:type="dxa"/>
          </w:tblCellMar>
        </w:tblPrEx>
        <w:trPr>
          <w:trHeight w:val="610"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语音自组网</w:t>
            </w:r>
          </w:p>
          <w:p>
            <w:pPr>
              <w:keepNext w:val="0"/>
              <w:keepLines w:val="0"/>
              <w:pageBreakBefore w:val="0"/>
              <w:widowControl/>
              <w:kinsoku/>
              <w:wordWrap/>
              <w:overflowPunct/>
              <w:topLinePunct w:val="0"/>
              <w:autoSpaceDE/>
              <w:autoSpaceDN/>
              <w:bidi w:val="0"/>
              <w:adjustRightInd/>
              <w:snapToGrid w:val="0"/>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基站</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hint="eastAsia" w:ascii="宋体" w:hAnsi="宋体" w:eastAsia="宋体" w:cs="宋体"/>
                <w:color w:val="000000"/>
                <w:sz w:val="16"/>
                <w:szCs w:val="16"/>
              </w:rPr>
            </w:pPr>
            <w:r>
              <w:rPr>
                <w:rFonts w:hint="eastAsia" w:ascii="宋体" w:hAnsi="宋体" w:eastAsia="宋体" w:cs="宋体"/>
                <w:b w:val="0"/>
                <w:bCs w:val="0"/>
                <w:color w:val="auto"/>
                <w:kern w:val="0"/>
                <w:sz w:val="16"/>
                <w:szCs w:val="16"/>
                <w:lang w:val="en-US" w:eastAsia="zh-CN"/>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3</w:t>
            </w:r>
          </w:p>
        </w:tc>
        <w:tc>
          <w:tcPr>
            <w:tcW w:w="57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w:t>
            </w:r>
            <w:r>
              <w:rPr>
                <w:rFonts w:hint="eastAsia"/>
                <w:sz w:val="16"/>
                <w:szCs w:val="16"/>
                <w:lang w:val="en-US" w:eastAsia="zh-CN"/>
              </w:rPr>
              <w:t>▲</w:t>
            </w:r>
            <w:r>
              <w:rPr>
                <w:rFonts w:hint="eastAsia" w:ascii="宋体" w:hAnsi="宋体" w:eastAsia="宋体" w:cs="宋体"/>
                <w:i w:val="0"/>
                <w:iCs w:val="0"/>
                <w:color w:val="000000"/>
                <w:kern w:val="0"/>
                <w:sz w:val="16"/>
                <w:szCs w:val="16"/>
                <w:u w:val="none"/>
                <w:lang w:val="en-US" w:eastAsia="zh-CN" w:bidi="ar"/>
              </w:rPr>
              <w:t>级联要求：级联 4 跳之后延时≤0.5s；</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w:t>
            </w:r>
            <w:r>
              <w:rPr>
                <w:rFonts w:hint="eastAsia"/>
                <w:sz w:val="16"/>
                <w:szCs w:val="16"/>
                <w:lang w:val="en-US" w:eastAsia="zh-CN"/>
              </w:rPr>
              <w:t>▲</w:t>
            </w:r>
            <w:r>
              <w:rPr>
                <w:rFonts w:hint="eastAsia" w:ascii="宋体" w:hAnsi="宋体" w:eastAsia="宋体" w:cs="宋体"/>
                <w:i w:val="0"/>
                <w:iCs w:val="0"/>
                <w:color w:val="000000"/>
                <w:kern w:val="0"/>
                <w:sz w:val="16"/>
                <w:szCs w:val="16"/>
                <w:u w:val="none"/>
                <w:lang w:val="en-US" w:eastAsia="zh-CN" w:bidi="ar"/>
              </w:rPr>
              <w:t>操作便捷、支持一键式开机、随地架设、预设频率；</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w:t>
            </w:r>
            <w:r>
              <w:rPr>
                <w:rFonts w:hint="eastAsia"/>
                <w:sz w:val="16"/>
                <w:szCs w:val="16"/>
                <w:lang w:val="en-US" w:eastAsia="zh-CN"/>
              </w:rPr>
              <w:t>▲</w:t>
            </w:r>
            <w:r>
              <w:rPr>
                <w:rFonts w:hint="eastAsia" w:ascii="宋体" w:hAnsi="宋体" w:eastAsia="宋体" w:cs="宋体"/>
                <w:i w:val="0"/>
                <w:iCs w:val="0"/>
                <w:color w:val="000000"/>
                <w:kern w:val="0"/>
                <w:sz w:val="16"/>
                <w:szCs w:val="16"/>
                <w:u w:val="none"/>
                <w:lang w:val="en-US" w:eastAsia="zh-CN" w:bidi="ar"/>
              </w:rPr>
              <w:t>兼容性：支持标准 PDT 对讲机接入；</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4.</w:t>
            </w:r>
            <w:r>
              <w:rPr>
                <w:rFonts w:hint="eastAsia"/>
                <w:sz w:val="16"/>
                <w:szCs w:val="16"/>
                <w:lang w:val="en-US" w:eastAsia="zh-CN"/>
              </w:rPr>
              <w:t>▲</w:t>
            </w:r>
            <w:r>
              <w:rPr>
                <w:rFonts w:hint="eastAsia" w:ascii="宋体" w:hAnsi="宋体" w:eastAsia="宋体" w:cs="宋体"/>
                <w:i w:val="0"/>
                <w:iCs w:val="0"/>
                <w:color w:val="000000"/>
                <w:kern w:val="0"/>
                <w:sz w:val="16"/>
                <w:szCs w:val="16"/>
                <w:u w:val="none"/>
                <w:lang w:val="en-US" w:eastAsia="zh-CN" w:bidi="ar"/>
              </w:rPr>
              <w:t>频率范围：350-400MHz；</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5.组网要求：支持有线、无线联网以及有、无线混合组网；</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6.发射功率：10W/25W/45W 功率可调；</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7.防护等级：≥IP67，提供省级及以上检测机构出具的第三方检测报告；</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8.定位：支持北斗和 GPS 定位；</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 xml:space="preserve">9.支持低电量告警提示，电池支持快捷更换，支持电池单独充电,电池自带智能电量显示； </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10.重量：≤3.5kg；</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11.显示屏：≥1.0 寸；</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12.工作时间：≥20 小时。</w:t>
            </w:r>
          </w:p>
        </w:tc>
      </w:tr>
      <w:tr>
        <w:tblPrEx>
          <w:tblCellMar>
            <w:top w:w="0" w:type="dxa"/>
            <w:left w:w="108" w:type="dxa"/>
            <w:bottom w:w="0" w:type="dxa"/>
            <w:right w:w="108" w:type="dxa"/>
          </w:tblCellMar>
        </w:tblPrEx>
        <w:trPr>
          <w:trHeight w:val="371"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16"/>
                <w:szCs w:val="16"/>
                <w:lang w:bidi="ar"/>
              </w:rPr>
            </w:pPr>
            <w:r>
              <w:rPr>
                <w:rFonts w:hint="eastAsia" w:ascii="宋体" w:hAnsi="宋体" w:eastAsia="宋体" w:cs="宋体"/>
                <w:color w:val="000000"/>
                <w:kern w:val="0"/>
                <w:sz w:val="16"/>
                <w:szCs w:val="16"/>
                <w:lang w:bidi="ar"/>
              </w:rPr>
              <w:t>语音综合</w:t>
            </w:r>
          </w:p>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调度台</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hint="eastAsia" w:ascii="宋体" w:hAnsi="宋体" w:eastAsia="宋体" w:cs="宋体"/>
                <w:color w:val="000000"/>
                <w:sz w:val="16"/>
                <w:szCs w:val="16"/>
              </w:rPr>
            </w:pPr>
            <w:r>
              <w:rPr>
                <w:rFonts w:hint="eastAsia" w:ascii="宋体" w:hAnsi="宋体" w:eastAsia="宋体" w:cs="宋体"/>
                <w:b w:val="0"/>
                <w:bCs w:val="0"/>
                <w:color w:val="auto"/>
                <w:kern w:val="0"/>
                <w:sz w:val="16"/>
                <w:szCs w:val="16"/>
                <w:lang w:val="en-US" w:eastAsia="zh-CN"/>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1</w:t>
            </w:r>
          </w:p>
        </w:tc>
        <w:tc>
          <w:tcPr>
            <w:tcW w:w="57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textAlignment w:val="center"/>
              <w:rPr>
                <w:rFonts w:hint="eastAsia"/>
                <w:sz w:val="16"/>
                <w:szCs w:val="16"/>
                <w:lang w:val="en-US" w:eastAsia="zh-CN"/>
              </w:rPr>
            </w:pPr>
            <w:r>
              <w:rPr>
                <w:rFonts w:hint="eastAsia"/>
                <w:sz w:val="16"/>
                <w:szCs w:val="16"/>
                <w:lang w:val="en-US" w:eastAsia="zh-CN"/>
              </w:rPr>
              <w:t>1.采用便携一体化设计，配备支持软件定义的操作面板，主要功能须包括：呼叫、接听、监听、会议、保持、集群／常规对讲、录音等；</w:t>
            </w:r>
          </w:p>
          <w:p>
            <w:pPr>
              <w:widowControl/>
              <w:spacing w:line="240" w:lineRule="exact"/>
              <w:textAlignment w:val="center"/>
              <w:rPr>
                <w:rFonts w:hint="eastAsia"/>
                <w:sz w:val="16"/>
                <w:szCs w:val="16"/>
                <w:lang w:val="en-US" w:eastAsia="zh-CN"/>
              </w:rPr>
            </w:pPr>
            <w:r>
              <w:rPr>
                <w:rFonts w:hint="eastAsia"/>
                <w:sz w:val="16"/>
                <w:szCs w:val="16"/>
                <w:lang w:val="en-US" w:eastAsia="zh-CN"/>
              </w:rPr>
              <w:t>2.▲多制式接入：支持接入350M、370M、400M频段的PDT/DMR/模拟终端，支持接入MPT、Tetra、模拟对讲机、有线电话、PoC、公网手机等终端；</w:t>
            </w:r>
          </w:p>
          <w:p>
            <w:pPr>
              <w:widowControl/>
              <w:spacing w:line="240" w:lineRule="exact"/>
              <w:textAlignment w:val="center"/>
              <w:rPr>
                <w:rFonts w:hint="eastAsia"/>
                <w:sz w:val="16"/>
                <w:szCs w:val="16"/>
                <w:lang w:val="en-US" w:eastAsia="zh-CN"/>
              </w:rPr>
            </w:pPr>
            <w:r>
              <w:rPr>
                <w:rFonts w:hint="eastAsia"/>
                <w:sz w:val="16"/>
                <w:szCs w:val="16"/>
                <w:lang w:val="en-US" w:eastAsia="zh-CN"/>
              </w:rPr>
              <w:t>3.操作简单、快捷，支持预案设定，支持单呼、组呼、强插和多方会议，并全程录音；</w:t>
            </w:r>
          </w:p>
          <w:p>
            <w:pPr>
              <w:widowControl/>
              <w:spacing w:line="240" w:lineRule="exact"/>
              <w:textAlignment w:val="center"/>
              <w:rPr>
                <w:rFonts w:hint="eastAsia"/>
                <w:sz w:val="16"/>
                <w:szCs w:val="16"/>
                <w:lang w:val="en-US" w:eastAsia="zh-CN"/>
              </w:rPr>
            </w:pPr>
            <w:r>
              <w:rPr>
                <w:rFonts w:hint="eastAsia"/>
                <w:sz w:val="16"/>
                <w:szCs w:val="16"/>
                <w:lang w:val="en-US" w:eastAsia="zh-CN"/>
              </w:rPr>
              <w:t>4.双通道：配备调度及监听双路声音通道，可在调度的同时，监听其他通话；</w:t>
            </w:r>
          </w:p>
          <w:p>
            <w:pPr>
              <w:pStyle w:val="2"/>
              <w:ind w:left="0" w:leftChars="0" w:firstLine="0" w:firstLineChars="0"/>
              <w:rPr>
                <w:rFonts w:hint="eastAsia"/>
                <w:lang w:val="en-US" w:eastAsia="zh-CN"/>
              </w:rPr>
            </w:pPr>
            <w:r>
              <w:rPr>
                <w:rFonts w:hint="eastAsia"/>
                <w:sz w:val="16"/>
                <w:szCs w:val="16"/>
                <w:lang w:val="en-US" w:eastAsia="zh-CN"/>
              </w:rPr>
              <w:t>5.语音中继功能：支持现场语音中继功能，实现无线信号的延伸覆盖；提供省级及以上检测机构出具的第三方检测报告。</w:t>
            </w:r>
          </w:p>
        </w:tc>
      </w:tr>
      <w:tr>
        <w:tblPrEx>
          <w:tblCellMar>
            <w:top w:w="0" w:type="dxa"/>
            <w:left w:w="108" w:type="dxa"/>
            <w:bottom w:w="0" w:type="dxa"/>
            <w:right w:w="108" w:type="dxa"/>
          </w:tblCellMar>
        </w:tblPrEx>
        <w:trPr>
          <w:trHeight w:val="90"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便携天线塔</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hint="eastAsia" w:ascii="宋体" w:hAnsi="宋体" w:eastAsia="宋体" w:cs="宋体"/>
                <w:color w:val="000000"/>
                <w:sz w:val="16"/>
                <w:szCs w:val="16"/>
              </w:rPr>
            </w:pPr>
            <w:r>
              <w:rPr>
                <w:rFonts w:hint="eastAsia" w:ascii="宋体" w:hAnsi="宋体" w:eastAsia="宋体" w:cs="宋体"/>
                <w:b w:val="0"/>
                <w:bCs w:val="0"/>
                <w:color w:val="auto"/>
                <w:kern w:val="0"/>
                <w:sz w:val="16"/>
                <w:szCs w:val="16"/>
                <w:lang w:val="en-US" w:eastAsia="zh-CN"/>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1</w:t>
            </w:r>
          </w:p>
        </w:tc>
        <w:tc>
          <w:tcPr>
            <w:tcW w:w="57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1.▲功能要求：用于应急现场通信设备天线、监控架高，可快速固定，支持自立固定，适用于城市硬质路面和野外软质地面架设；</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2.▲兼容性要求：支持鞕状或棒状天线、云台摄像机、传感器、照明灯、高音号角等应急设备的升高架设；</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3.折叠、收缩后可收纳于≤25×400mm(直径×高）的背包内，适合单人背负；</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4.高度：≥5m；</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5.抗风等级：≥10级；</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6.工作温度：-20℃~+60℃；</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7.重量：总重量≤10kg（含背包、固定附件等）；</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8.收纳展开：配备收纳背包1个，背包根据人体背部运动结构设计，适合长时间背负，2人可在10分钟内完成展开和架设。</w:t>
            </w:r>
          </w:p>
        </w:tc>
      </w:tr>
      <w:tr>
        <w:tblPrEx>
          <w:tblCellMar>
            <w:top w:w="0" w:type="dxa"/>
            <w:left w:w="108" w:type="dxa"/>
            <w:bottom w:w="0" w:type="dxa"/>
            <w:right w:w="108" w:type="dxa"/>
          </w:tblCellMar>
        </w:tblPrEx>
        <w:trPr>
          <w:trHeight w:val="651"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16"/>
                <w:szCs w:val="16"/>
                <w:lang w:bidi="ar"/>
              </w:rPr>
            </w:pPr>
            <w:r>
              <w:rPr>
                <w:rFonts w:hint="eastAsia" w:ascii="宋体" w:hAnsi="宋体" w:eastAsia="宋体" w:cs="宋体"/>
                <w:color w:val="000000"/>
                <w:kern w:val="0"/>
                <w:sz w:val="16"/>
                <w:szCs w:val="16"/>
                <w:lang w:bidi="ar"/>
              </w:rPr>
              <w:t>便携对讲机</w:t>
            </w:r>
          </w:p>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充电电源箱</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hint="eastAsia" w:ascii="宋体" w:hAnsi="宋体" w:eastAsia="宋体" w:cs="宋体"/>
                <w:color w:val="000000"/>
                <w:sz w:val="16"/>
                <w:szCs w:val="16"/>
              </w:rPr>
            </w:pPr>
            <w:r>
              <w:rPr>
                <w:rFonts w:hint="eastAsia" w:ascii="宋体" w:hAnsi="宋体" w:eastAsia="宋体" w:cs="宋体"/>
                <w:b w:val="0"/>
                <w:bCs w:val="0"/>
                <w:color w:val="auto"/>
                <w:kern w:val="0"/>
                <w:sz w:val="16"/>
                <w:szCs w:val="16"/>
                <w:lang w:val="en-US" w:eastAsia="zh-CN"/>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2</w:t>
            </w:r>
          </w:p>
        </w:tc>
        <w:tc>
          <w:tcPr>
            <w:tcW w:w="57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w:t>
            </w:r>
            <w:r>
              <w:rPr>
                <w:rFonts w:hint="eastAsia"/>
                <w:sz w:val="16"/>
                <w:szCs w:val="16"/>
                <w:lang w:val="en-US" w:eastAsia="zh-CN"/>
              </w:rPr>
              <w:t>▲</w:t>
            </w:r>
            <w:r>
              <w:rPr>
                <w:rFonts w:hint="eastAsia" w:ascii="宋体" w:hAnsi="宋体" w:cs="宋体"/>
                <w:i w:val="0"/>
                <w:iCs w:val="0"/>
                <w:color w:val="000000"/>
                <w:kern w:val="0"/>
                <w:sz w:val="16"/>
                <w:szCs w:val="16"/>
                <w:u w:val="none"/>
                <w:lang w:val="en-US" w:eastAsia="zh-CN" w:bidi="ar"/>
              </w:rPr>
              <w:t>出</w:t>
            </w:r>
            <w:r>
              <w:rPr>
                <w:rFonts w:hint="eastAsia" w:ascii="宋体" w:hAnsi="宋体" w:eastAsia="宋体" w:cs="宋体"/>
                <w:i w:val="0"/>
                <w:iCs w:val="0"/>
                <w:color w:val="000000"/>
                <w:kern w:val="0"/>
                <w:sz w:val="16"/>
                <w:szCs w:val="16"/>
                <w:u w:val="none"/>
                <w:lang w:val="en-US" w:eastAsia="zh-CN" w:bidi="ar"/>
              </w:rPr>
              <w:t>满足同时对8台对讲机或8块电池进行快速充电（兼容厚薄电池），总体充电能力≥20台次；</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2.可根据电池状态，选择相应的充电流程；</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3.对充电过程进行电压、电流、温度等信息智能监控；</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4.具备充电极片短路、充电过程限压、限流、温度检测等多级安全保护功能。</w:t>
            </w:r>
          </w:p>
        </w:tc>
      </w:tr>
      <w:tr>
        <w:tblPrEx>
          <w:tblCellMar>
            <w:top w:w="0" w:type="dxa"/>
            <w:left w:w="108" w:type="dxa"/>
            <w:bottom w:w="0" w:type="dxa"/>
            <w:right w:w="108" w:type="dxa"/>
          </w:tblCellMar>
        </w:tblPrEx>
        <w:trPr>
          <w:trHeight w:val="1568"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16"/>
                <w:szCs w:val="16"/>
                <w:lang w:bidi="ar"/>
              </w:rPr>
            </w:pPr>
            <w:r>
              <w:rPr>
                <w:rFonts w:hint="eastAsia" w:ascii="宋体" w:hAnsi="宋体" w:eastAsia="宋体" w:cs="宋体"/>
                <w:color w:val="000000"/>
                <w:kern w:val="0"/>
                <w:sz w:val="16"/>
                <w:szCs w:val="16"/>
                <w:lang w:bidi="ar"/>
              </w:rPr>
              <w:t>无人机侦查</w:t>
            </w:r>
          </w:p>
          <w:p>
            <w:pPr>
              <w:widowControl/>
              <w:jc w:val="center"/>
              <w:textAlignment w:val="center"/>
              <w:rPr>
                <w:rFonts w:hint="eastAsia" w:ascii="宋体" w:hAnsi="宋体" w:eastAsia="宋体" w:cs="宋体"/>
                <w:color w:val="000000"/>
                <w:sz w:val="16"/>
                <w:szCs w:val="16"/>
              </w:rPr>
            </w:pPr>
            <w:r>
              <w:rPr>
                <w:rFonts w:hint="eastAsia" w:ascii="宋体" w:hAnsi="宋体" w:cs="宋体"/>
                <w:color w:val="000000"/>
                <w:kern w:val="0"/>
                <w:sz w:val="16"/>
                <w:szCs w:val="16"/>
                <w:lang w:val="en-US" w:eastAsia="zh-CN" w:bidi="ar"/>
              </w:rPr>
              <w:t>云台</w:t>
            </w:r>
            <w:r>
              <w:rPr>
                <w:rStyle w:val="161"/>
                <w:rFonts w:hint="eastAsia" w:ascii="宋体" w:hAnsi="宋体" w:eastAsia="宋体" w:cs="宋体"/>
                <w:sz w:val="16"/>
                <w:szCs w:val="16"/>
                <w:lang w:bidi="ar"/>
              </w:rPr>
              <w:t>1</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hint="eastAsia" w:ascii="宋体" w:hAnsi="宋体" w:eastAsia="宋体" w:cs="宋体"/>
                <w:color w:val="000000"/>
                <w:sz w:val="16"/>
                <w:szCs w:val="16"/>
              </w:rPr>
            </w:pPr>
            <w:r>
              <w:rPr>
                <w:rFonts w:hint="eastAsia" w:ascii="宋体" w:hAnsi="宋体" w:eastAsia="宋体" w:cs="宋体"/>
                <w:b w:val="0"/>
                <w:bCs w:val="0"/>
                <w:color w:val="auto"/>
                <w:kern w:val="0"/>
                <w:sz w:val="16"/>
                <w:szCs w:val="16"/>
                <w:lang w:val="en-US" w:eastAsia="zh-CN"/>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16"/>
                <w:szCs w:val="16"/>
              </w:rPr>
            </w:pPr>
            <w:r>
              <w:rPr>
                <w:rFonts w:hint="eastAsia" w:ascii="宋体" w:hAnsi="宋体" w:eastAsia="宋体" w:cs="宋体"/>
                <w:color w:val="000000"/>
                <w:kern w:val="0"/>
                <w:sz w:val="16"/>
                <w:szCs w:val="16"/>
                <w:lang w:bidi="ar"/>
              </w:rPr>
              <w:t>1</w:t>
            </w:r>
          </w:p>
        </w:tc>
        <w:tc>
          <w:tcPr>
            <w:tcW w:w="57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1、负载重量≤800g</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2、工作温度区间-20°C至 50°C</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3、具备三轴增稳云台，角度抖动量不超过±0.01°</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4、云台可控转动范围应达到俯仰：-120°至+30°；平移：±320°</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5、负载具备快拆结构，可在30s内完成拆卸/安装</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6、具备机械快门，快门速度可达到1/2000s</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7、具备全画幅传感器</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8、有效像素≥4500万</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9、像元尺寸≥4um</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10、支持间隔拍照的时间间隔≤0.7s</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11、云台相机的镜头可更换，提供多个焦段可选</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12、二维和三维建模成果可达到平面精度优于5cm，高程精度优于10cm</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13、正射飞行时支持边飞边摆动云台角度采集三维倾斜数据</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14、支持PPK数据存储</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15、支持仿地飞行</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16、曝光时刻的相机中心的位置信息能够自动记录在照片文件中用于模型重建</w:t>
            </w:r>
          </w:p>
          <w:p>
            <w:pPr>
              <w:widowControl/>
              <w:spacing w:line="240" w:lineRule="exac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color w:val="000000"/>
                <w:kern w:val="0"/>
                <w:sz w:val="16"/>
                <w:szCs w:val="16"/>
                <w:lang w:bidi="ar"/>
              </w:rPr>
              <w:t>17、含1年无限次维修保险</w:t>
            </w:r>
          </w:p>
        </w:tc>
      </w:tr>
      <w:tr>
        <w:tblPrEx>
          <w:tblCellMar>
            <w:top w:w="0" w:type="dxa"/>
            <w:left w:w="108" w:type="dxa"/>
            <w:bottom w:w="0" w:type="dxa"/>
            <w:right w:w="108" w:type="dxa"/>
          </w:tblCellMar>
        </w:tblPrEx>
        <w:trPr>
          <w:trHeight w:val="1043"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000000"/>
                <w:sz w:val="16"/>
                <w:szCs w:val="16"/>
                <w:lang w:val="en-US" w:eastAsia="zh-CN"/>
              </w:rPr>
            </w:pPr>
            <w:r>
              <w:rPr>
                <w:rFonts w:hint="eastAsia" w:ascii="宋体" w:hAnsi="宋体" w:cs="宋体"/>
                <w:color w:val="000000"/>
                <w:sz w:val="16"/>
                <w:szCs w:val="16"/>
                <w:lang w:val="en-US" w:eastAsia="zh-CN"/>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16"/>
                <w:szCs w:val="16"/>
                <w:lang w:bidi="ar"/>
              </w:rPr>
            </w:pPr>
            <w:r>
              <w:rPr>
                <w:rFonts w:hint="eastAsia" w:ascii="宋体" w:hAnsi="宋体" w:eastAsia="宋体" w:cs="宋体"/>
                <w:color w:val="000000"/>
                <w:kern w:val="0"/>
                <w:sz w:val="16"/>
                <w:szCs w:val="16"/>
                <w:lang w:bidi="ar"/>
              </w:rPr>
              <w:t>无人机侦查</w:t>
            </w:r>
          </w:p>
          <w:p>
            <w:pPr>
              <w:widowControl/>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cs="宋体"/>
                <w:color w:val="000000"/>
                <w:kern w:val="0"/>
                <w:sz w:val="16"/>
                <w:szCs w:val="16"/>
                <w:lang w:val="en-US" w:eastAsia="zh-CN" w:bidi="ar"/>
              </w:rPr>
              <w:t>云台</w:t>
            </w:r>
            <w:r>
              <w:rPr>
                <w:rStyle w:val="161"/>
                <w:rFonts w:hint="eastAsia" w:ascii="宋体" w:hAnsi="宋体" w:eastAsia="宋体" w:cs="宋体"/>
                <w:sz w:val="16"/>
                <w:szCs w:val="16"/>
                <w:lang w:bidi="ar"/>
              </w:rPr>
              <w:t>2</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hint="eastAsia" w:ascii="宋体" w:hAnsi="宋体" w:eastAsia="宋体" w:cs="宋体"/>
                <w:b w:val="0"/>
                <w:bCs w:val="0"/>
                <w:color w:val="auto"/>
                <w:kern w:val="0"/>
                <w:sz w:val="16"/>
                <w:szCs w:val="16"/>
                <w:lang w:val="en-US" w:eastAsia="zh-CN"/>
              </w:rPr>
            </w:pPr>
            <w:r>
              <w:rPr>
                <w:rFonts w:hint="eastAsia" w:ascii="宋体" w:hAnsi="宋体" w:eastAsia="宋体" w:cs="宋体"/>
                <w:b w:val="0"/>
                <w:bCs w:val="0"/>
                <w:color w:val="auto"/>
                <w:kern w:val="0"/>
                <w:sz w:val="16"/>
                <w:szCs w:val="16"/>
                <w:lang w:val="en-US" w:eastAsia="zh-CN"/>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cs="宋体"/>
                <w:color w:val="000000"/>
                <w:kern w:val="0"/>
                <w:sz w:val="16"/>
                <w:szCs w:val="16"/>
                <w:lang w:val="en-US" w:eastAsia="zh-CN" w:bidi="ar"/>
              </w:rPr>
              <w:t>1</w:t>
            </w:r>
          </w:p>
        </w:tc>
        <w:tc>
          <w:tcPr>
            <w:tcW w:w="57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1、工作温度区间-20°C至 50°C,存储温度区间不小于-20°C至 60°C,云台角度抖动量≤±0.01°,支持云台自动校准,支持云台微调,支持一键日志导出至SD卡；</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2、最大支持128GB容量，传输速度达到UHS-I Speed Grade 3评级的Micro SD卡；</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3、支持选择各镜头模块的图像类型单独储存或多选储存；</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4、录像过程中若异常断电，可自动保存已录制的视频，防护等级不低于IP44，混合光学变焦≥23倍，支持一键各镜头模块同时拍照或录像，可快速将兴趣点移动到画面中心位置；</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5、支持快速拍摄大面积的兴趣目标的高清图像，支持夜景模式，支持手动创建文件夹存储照片及视频，并可自定义文件夹名，支持同时显示可见光和红外画面，支持自定义水印功能；</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6、照片属性信息包含高度、经纬度、相对高度、云台三轴角度、飞机三轴角度、RTK标志、激光测距信息，有效像素≥2000万，等效焦距段覆盖范围包含30mm-550mm，最大变焦倍数≥200倍；</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7、镜头DFOV包含66°-4°，对焦模式支持MF/AF-C/AF-S，照片尺寸≥5184 x 3888，视频分辨率≥1920x1080@30fps，有效像素≥1200万，镜头DFOV≥80°；</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8、照片尺寸≥4056 x 3040，视频分辨率≥1920x1080@30fps，测量范围＞1km，测量精度1公里内偏差＜2m，支持点测温、区域测温，支持8倍数字变焦，分辨率≥640*512，视频帧率≥30HZ；</w:t>
            </w:r>
          </w:p>
          <w:p>
            <w:pPr>
              <w:widowControl/>
              <w:spacing w:line="240" w:lineRule="exact"/>
              <w:textAlignment w:val="center"/>
              <w:rPr>
                <w:rFonts w:hint="eastAsia" w:ascii="宋体" w:hAnsi="宋体" w:eastAsia="宋体" w:cs="宋体"/>
                <w:color w:val="000000"/>
                <w:kern w:val="0"/>
                <w:sz w:val="16"/>
                <w:szCs w:val="16"/>
                <w:lang w:eastAsia="zh-CN" w:bidi="ar"/>
              </w:rPr>
            </w:pPr>
            <w:r>
              <w:rPr>
                <w:rFonts w:hint="eastAsia" w:ascii="宋体" w:hAnsi="宋体" w:eastAsia="宋体" w:cs="宋体"/>
                <w:color w:val="000000"/>
                <w:kern w:val="0"/>
                <w:sz w:val="16"/>
                <w:szCs w:val="16"/>
                <w:lang w:bidi="ar"/>
              </w:rPr>
              <w:t>9、支持拍摄带有红外信息的照片，用软件进行后处理测温，具备调色板功能，灵敏度≤50 mK @ f/1.0，支持高温警报功能，支持定时拍照功能，支持等温线功能；</w:t>
            </w:r>
          </w:p>
          <w:p>
            <w:pPr>
              <w:widowControl/>
              <w:spacing w:line="240" w:lineRule="exact"/>
              <w:textAlignment w:val="center"/>
              <w:rPr>
                <w:rFonts w:hint="eastAsia" w:ascii="宋体" w:hAnsi="宋体" w:eastAsia="宋体" w:cs="宋体"/>
                <w:color w:val="000000"/>
                <w:kern w:val="0"/>
                <w:sz w:val="16"/>
                <w:szCs w:val="16"/>
                <w:lang w:bidi="ar"/>
              </w:rPr>
            </w:pPr>
            <w:r>
              <w:rPr>
                <w:rFonts w:hint="eastAsia" w:ascii="宋体" w:hAnsi="宋体" w:eastAsia="宋体" w:cs="宋体"/>
                <w:color w:val="000000"/>
                <w:kern w:val="0"/>
                <w:sz w:val="16"/>
                <w:szCs w:val="16"/>
                <w:lang w:bidi="ar"/>
              </w:rPr>
              <w:t>10、具备红外传感器灼伤保护功能，支持高低增益模式，含1年无限次维修保险。</w:t>
            </w:r>
          </w:p>
        </w:tc>
      </w:tr>
    </w:tbl>
    <w:p>
      <w:pPr>
        <w:pStyle w:val="41"/>
        <w:keepNext w:val="0"/>
        <w:keepLines w:val="0"/>
        <w:pageBreakBefore w:val="0"/>
        <w:widowControl w:val="0"/>
        <w:kinsoku/>
        <w:wordWrap/>
        <w:overflowPunct/>
        <w:topLinePunct w:val="0"/>
        <w:autoSpaceDE/>
        <w:autoSpaceDN/>
        <w:bidi w:val="0"/>
        <w:spacing w:before="0" w:beforeAutospacing="0" w:after="0" w:afterAutospacing="0" w:line="360" w:lineRule="auto"/>
        <w:ind w:left="0"/>
        <w:textAlignment w:val="auto"/>
        <w:rPr>
          <w:rFonts w:hint="eastAsia" w:ascii="宋体" w:hAnsi="宋体" w:eastAsia="宋体" w:cs="宋体"/>
          <w:b/>
          <w:sz w:val="21"/>
          <w:szCs w:val="21"/>
        </w:rPr>
      </w:pPr>
      <w:r>
        <w:rPr>
          <w:rFonts w:hint="eastAsia" w:ascii="宋体" w:hAnsi="宋体" w:eastAsia="宋体" w:cs="宋体"/>
          <w:b/>
          <w:kern w:val="2"/>
          <w:sz w:val="21"/>
          <w:szCs w:val="21"/>
          <w:lang w:bidi="ar"/>
        </w:rPr>
        <w:t>一、供货范围：</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 xml:space="preserve">    招标文件项目清单中的货物及货物的运输、安装、调试等。</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hanging="620" w:hangingChars="294"/>
        <w:jc w:val="both"/>
        <w:textAlignment w:val="auto"/>
        <w:rPr>
          <w:rFonts w:hint="eastAsia" w:ascii="宋体" w:hAnsi="宋体" w:eastAsia="宋体" w:cs="宋体"/>
          <w:b/>
          <w:sz w:val="21"/>
          <w:szCs w:val="21"/>
        </w:rPr>
      </w:pPr>
      <w:r>
        <w:rPr>
          <w:rFonts w:hint="eastAsia" w:ascii="宋体" w:hAnsi="宋体" w:eastAsia="宋体" w:cs="宋体"/>
          <w:b/>
          <w:kern w:val="2"/>
          <w:sz w:val="21"/>
          <w:szCs w:val="21"/>
          <w:lang w:bidi="ar"/>
        </w:rPr>
        <w:t>二、附件及零配件（包括专用工具）、备品备件的要求：</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 xml:space="preserve">    保证产品能正常使用的附件、备品备件及项目清单中要求提供的零配件和备品备件等。</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jc w:val="both"/>
        <w:textAlignment w:val="auto"/>
        <w:rPr>
          <w:rFonts w:hint="eastAsia" w:ascii="宋体" w:hAnsi="宋体" w:eastAsia="宋体" w:cs="宋体"/>
          <w:b/>
          <w:bCs/>
          <w:sz w:val="21"/>
          <w:szCs w:val="21"/>
        </w:rPr>
      </w:pPr>
      <w:r>
        <w:rPr>
          <w:rFonts w:hint="eastAsia" w:ascii="宋体" w:hAnsi="宋体" w:eastAsia="宋体" w:cs="宋体"/>
          <w:b/>
          <w:bCs/>
          <w:kern w:val="2"/>
          <w:sz w:val="21"/>
          <w:szCs w:val="21"/>
          <w:lang w:bidi="ar"/>
        </w:rPr>
        <w:t>三、项目建设要求及说明</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kern w:val="2"/>
          <w:sz w:val="21"/>
          <w:szCs w:val="21"/>
          <w:lang w:bidi="ar"/>
        </w:rPr>
        <w:t>1．产品运输、保险及保管</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1.1.中标人负责产品全部运输，包括装卸及现场搬运及保管，直至项目验收合格；</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1.2中标人负责其派出的工作人员的人身意外保险。</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kern w:val="2"/>
          <w:sz w:val="21"/>
          <w:szCs w:val="21"/>
          <w:lang w:bidi="ar"/>
        </w:rPr>
        <w:t>2．验收条件</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kern w:val="2"/>
          <w:sz w:val="21"/>
          <w:szCs w:val="21"/>
          <w:lang w:bidi="ar"/>
        </w:rPr>
      </w:pPr>
      <w:r>
        <w:rPr>
          <w:rFonts w:hint="eastAsia" w:ascii="宋体" w:hAnsi="宋体" w:eastAsia="宋体" w:cs="宋体"/>
          <w:kern w:val="2"/>
          <w:sz w:val="21"/>
          <w:szCs w:val="21"/>
          <w:lang w:bidi="ar"/>
        </w:rPr>
        <w:t>产品交付验收前，必须达到下列基本条件，否则不予验收。</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2.1采用一般程序验收</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2.2必须提供完整准确的操作使用中文说明书,电子版一份、纸质版二份。纸质版的必须印制精美,装订成册；电子版必须复制保存到U盘；</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bidi="ar"/>
        </w:rPr>
      </w:pPr>
      <w:r>
        <w:rPr>
          <w:rFonts w:hint="eastAsia" w:ascii="宋体" w:hAnsi="宋体" w:eastAsia="宋体" w:cs="宋体"/>
          <w:color w:val="auto"/>
          <w:kern w:val="2"/>
          <w:sz w:val="21"/>
          <w:szCs w:val="21"/>
          <w:lang w:bidi="ar"/>
        </w:rPr>
        <w:t>2.3所有产品外包装箱、单个产品包装盒及装备上必须具有下列基本信息：产品生产厂家、生产日期、有效期、生产厂家联系人、联系电话；代理厂商联系人、联系电话、售后联系人、联系方式。</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b/>
          <w:bCs/>
          <w:color w:val="auto"/>
          <w:kern w:val="2"/>
          <w:sz w:val="21"/>
          <w:szCs w:val="21"/>
          <w:lang w:val="en-US" w:eastAsia="zh-CN" w:bidi="ar"/>
        </w:rPr>
      </w:pPr>
      <w:r>
        <w:rPr>
          <w:rFonts w:hint="eastAsia" w:ascii="宋体" w:hAnsi="宋体" w:eastAsia="宋体" w:cs="宋体"/>
          <w:color w:val="auto"/>
          <w:kern w:val="2"/>
          <w:sz w:val="21"/>
          <w:szCs w:val="21"/>
          <w:lang w:val="en-US" w:eastAsia="zh-CN" w:bidi="ar"/>
        </w:rPr>
        <w:t>2.4</w:t>
      </w:r>
      <w:r>
        <w:rPr>
          <w:rFonts w:hint="eastAsia" w:ascii="宋体" w:hAnsi="宋体" w:eastAsia="宋体" w:cs="宋体"/>
          <w:b/>
          <w:bCs/>
          <w:color w:val="auto"/>
          <w:kern w:val="2"/>
          <w:sz w:val="21"/>
          <w:szCs w:val="21"/>
          <w:lang w:val="en-US" w:eastAsia="zh-CN" w:bidi="ar"/>
        </w:rPr>
        <w:t>验收时需</w:t>
      </w:r>
      <w:r>
        <w:rPr>
          <w:rFonts w:hint="eastAsia" w:cs="宋体"/>
          <w:b/>
          <w:bCs/>
          <w:color w:val="auto"/>
          <w:kern w:val="2"/>
          <w:sz w:val="21"/>
          <w:szCs w:val="21"/>
          <w:lang w:val="en-US" w:eastAsia="zh-CN" w:bidi="ar"/>
        </w:rPr>
        <w:t>提供省级及以上</w:t>
      </w:r>
      <w:r>
        <w:rPr>
          <w:rFonts w:hint="eastAsia" w:ascii="宋体" w:hAnsi="宋体" w:eastAsia="宋体" w:cs="宋体"/>
          <w:b/>
          <w:bCs/>
          <w:color w:val="auto"/>
          <w:kern w:val="2"/>
          <w:sz w:val="21"/>
          <w:szCs w:val="21"/>
          <w:lang w:val="en-US" w:eastAsia="zh-CN" w:bidi="ar"/>
        </w:rPr>
        <w:t>检测机构出具的检测报告。</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kern w:val="2"/>
          <w:sz w:val="21"/>
          <w:szCs w:val="21"/>
          <w:lang w:bidi="ar"/>
        </w:rPr>
        <w:t>3．测试验收</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color w:val="auto"/>
          <w:kern w:val="2"/>
          <w:sz w:val="21"/>
          <w:szCs w:val="21"/>
          <w:lang w:bidi="ar"/>
        </w:rPr>
        <w:t>3.1项目验收国家有强制性规定的，按国家规定执行，验收费用由中标</w:t>
      </w:r>
      <w:r>
        <w:rPr>
          <w:rFonts w:hint="eastAsia" w:ascii="宋体" w:hAnsi="宋体" w:eastAsia="宋体" w:cs="宋体"/>
          <w:kern w:val="2"/>
          <w:sz w:val="21"/>
          <w:szCs w:val="21"/>
          <w:lang w:bidi="ar"/>
        </w:rPr>
        <w:t>供应商承担，验收报告作为申请付款的凭证之一；</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3.2</w:t>
      </w:r>
      <w:r>
        <w:rPr>
          <w:rFonts w:hint="eastAsia" w:ascii="宋体" w:hAnsi="宋体" w:eastAsia="宋体" w:cs="宋体"/>
          <w:kern w:val="2"/>
          <w:sz w:val="21"/>
          <w:szCs w:val="21"/>
          <w:lang w:eastAsia="zh-CN" w:bidi="ar"/>
        </w:rPr>
        <w:t>验收过程中产生纠纷的，采购人认为需要由质量技术监督部门认定的检验机构进行检验的。如为中标人原因造成的,由中标人承担检测费用；否则,由采购人承担。</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kern w:val="2"/>
          <w:sz w:val="21"/>
          <w:szCs w:val="21"/>
          <w:lang w:bidi="ar"/>
        </w:rPr>
      </w:pPr>
      <w:r>
        <w:rPr>
          <w:rFonts w:hint="eastAsia" w:ascii="宋体" w:hAnsi="宋体" w:eastAsia="宋体" w:cs="宋体"/>
          <w:kern w:val="2"/>
          <w:sz w:val="21"/>
          <w:szCs w:val="21"/>
          <w:lang w:bidi="ar"/>
        </w:rPr>
        <w:t>3.3项目验收不合格，由中标人返工直至合格，有关返工、再行验收，以及给采购人造成的损失等费用由中标人承担。连续两次项目验收不合格的，采购人可终止合同，另行按规定选择其他供应商采购，由此带来的一切损失由中标人承担。</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default" w:ascii="宋体" w:hAnsi="宋体" w:eastAsia="宋体" w:cs="宋体"/>
          <w:kern w:val="2"/>
          <w:sz w:val="21"/>
          <w:szCs w:val="21"/>
          <w:lang w:val="en-US" w:eastAsia="zh-CN" w:bidi="ar"/>
        </w:rPr>
      </w:pPr>
      <w:r>
        <w:rPr>
          <w:rFonts w:hint="eastAsia" w:cs="宋体"/>
          <w:kern w:val="2"/>
          <w:sz w:val="21"/>
          <w:szCs w:val="21"/>
          <w:lang w:val="en-US" w:eastAsia="zh-CN" w:bidi="ar"/>
        </w:rPr>
        <w:t>3.4按照采购合同的约定和现行国家标准、行业标准、企业标准以及国家消防局检验要求，对每一项技术、服务、安全标准的履约情况进行确认。采购人有权根据需要设置出厂检验、到货检验、安装调试检验、配套服冬检验等多重验收环节。</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kern w:val="2"/>
          <w:sz w:val="21"/>
          <w:szCs w:val="21"/>
          <w:lang w:bidi="ar"/>
        </w:rPr>
        <w:t>4．质量保证</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4.1 所投产品所有部件的质量保证及售后服务均由中标人负责，所有部件的质保期为</w:t>
      </w:r>
      <w:r>
        <w:rPr>
          <w:rFonts w:hint="eastAsia" w:cs="宋体"/>
          <w:kern w:val="2"/>
          <w:sz w:val="21"/>
          <w:szCs w:val="21"/>
          <w:lang w:val="en-US" w:eastAsia="zh-CN" w:bidi="ar"/>
        </w:rPr>
        <w:t>三</w:t>
      </w:r>
      <w:r>
        <w:rPr>
          <w:rFonts w:hint="eastAsia" w:ascii="宋体" w:hAnsi="宋体" w:eastAsia="宋体" w:cs="宋体"/>
          <w:kern w:val="2"/>
          <w:sz w:val="21"/>
          <w:szCs w:val="21"/>
          <w:lang w:bidi="ar"/>
        </w:rPr>
        <w:t>年；</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kern w:val="2"/>
          <w:sz w:val="21"/>
          <w:szCs w:val="21"/>
          <w:lang w:bidi="ar"/>
        </w:rPr>
        <w:t>4.2中标人提供的产品应是原装正品，符合国家质量检验标准，具有出厂合格证或国家鉴定合格证，能提供全套原产地证明、产品合格证；</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kern w:val="2"/>
          <w:sz w:val="21"/>
          <w:szCs w:val="21"/>
          <w:lang w:bidi="ar"/>
        </w:rPr>
        <w:t>4.3 其他方面必须符合应急管理部消防救援局检验合格标准</w:t>
      </w:r>
      <w:r>
        <w:rPr>
          <w:rFonts w:hint="eastAsia" w:ascii="宋体" w:hAnsi="宋体" w:eastAsia="宋体" w:cs="宋体"/>
          <w:color w:val="auto"/>
          <w:kern w:val="2"/>
          <w:sz w:val="21"/>
          <w:szCs w:val="21"/>
          <w:lang w:eastAsia="zh-CN" w:bidi="ar"/>
        </w:rPr>
        <w:t>，</w:t>
      </w:r>
      <w:r>
        <w:rPr>
          <w:rFonts w:hint="eastAsia" w:ascii="宋体" w:hAnsi="宋体" w:eastAsia="宋体" w:cs="宋体"/>
          <w:color w:val="auto"/>
          <w:kern w:val="2"/>
          <w:sz w:val="21"/>
          <w:szCs w:val="21"/>
          <w:lang w:val="en-US" w:eastAsia="zh-CN" w:bidi="ar"/>
        </w:rPr>
        <w:t>甲方在验收时有权要求进行抽样送检。</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kern w:val="2"/>
          <w:sz w:val="21"/>
          <w:szCs w:val="21"/>
          <w:lang w:bidi="ar"/>
        </w:rPr>
        <w:t>5、质保期：项目整体质保期限为</w:t>
      </w:r>
      <w:r>
        <w:rPr>
          <w:rFonts w:hint="eastAsia" w:cs="宋体"/>
          <w:b/>
          <w:bCs/>
          <w:color w:val="auto"/>
          <w:kern w:val="2"/>
          <w:sz w:val="21"/>
          <w:szCs w:val="21"/>
          <w:lang w:val="en-US" w:eastAsia="zh-CN" w:bidi="ar"/>
        </w:rPr>
        <w:t>三</w:t>
      </w:r>
      <w:r>
        <w:rPr>
          <w:rFonts w:hint="eastAsia" w:ascii="宋体" w:hAnsi="宋体" w:eastAsia="宋体" w:cs="宋体"/>
          <w:b/>
          <w:bCs/>
          <w:color w:val="auto"/>
          <w:kern w:val="2"/>
          <w:sz w:val="21"/>
          <w:szCs w:val="21"/>
          <w:lang w:bidi="ar"/>
        </w:rPr>
        <w:t>年，参数有具体要求的以参数为准，从货物验收合格交付后开始计算。</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kern w:val="2"/>
          <w:sz w:val="21"/>
          <w:szCs w:val="21"/>
          <w:lang w:bidi="ar"/>
        </w:rPr>
        <w:t>6．售后服务</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kern w:val="2"/>
          <w:sz w:val="21"/>
          <w:szCs w:val="21"/>
          <w:lang w:bidi="ar"/>
        </w:rPr>
        <w:t>6.1提供</w:t>
      </w:r>
      <w:r>
        <w:rPr>
          <w:rFonts w:hint="eastAsia" w:ascii="宋体" w:hAnsi="宋体" w:eastAsia="宋体" w:cs="宋体"/>
          <w:color w:val="auto"/>
          <w:kern w:val="2"/>
          <w:sz w:val="21"/>
          <w:szCs w:val="21"/>
          <w:lang w:val="en-US" w:eastAsia="zh-CN" w:bidi="ar"/>
        </w:rPr>
        <w:t>全天</w:t>
      </w:r>
      <w:r>
        <w:rPr>
          <w:rFonts w:hint="eastAsia" w:ascii="宋体" w:hAnsi="宋体" w:eastAsia="宋体" w:cs="宋体"/>
          <w:color w:val="auto"/>
          <w:kern w:val="2"/>
          <w:sz w:val="21"/>
          <w:szCs w:val="21"/>
          <w:lang w:bidi="ar"/>
        </w:rPr>
        <w:t>24小时的技术咨询服务。</w:t>
      </w:r>
      <w:r>
        <w:rPr>
          <w:rFonts w:hint="eastAsia" w:ascii="宋体" w:hAnsi="宋体" w:eastAsia="宋体" w:cs="宋体"/>
          <w:color w:val="auto"/>
          <w:kern w:val="2"/>
          <w:sz w:val="21"/>
          <w:szCs w:val="21"/>
          <w:lang w:eastAsia="zh-CN" w:bidi="ar"/>
        </w:rPr>
        <w:t>（</w:t>
      </w:r>
      <w:r>
        <w:rPr>
          <w:rFonts w:hint="eastAsia" w:ascii="宋体" w:hAnsi="宋体" w:eastAsia="宋体" w:cs="宋体"/>
          <w:color w:val="auto"/>
          <w:kern w:val="2"/>
          <w:sz w:val="21"/>
          <w:szCs w:val="21"/>
          <w:lang w:val="en-US" w:eastAsia="zh-CN" w:bidi="ar"/>
        </w:rPr>
        <w:t>含节假日</w:t>
      </w:r>
      <w:r>
        <w:rPr>
          <w:rFonts w:hint="eastAsia" w:ascii="宋体" w:hAnsi="宋体" w:eastAsia="宋体" w:cs="宋体"/>
          <w:color w:val="auto"/>
          <w:kern w:val="2"/>
          <w:sz w:val="21"/>
          <w:szCs w:val="21"/>
          <w:lang w:eastAsia="zh-CN" w:bidi="ar"/>
        </w:rPr>
        <w:t>）</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bidi="ar"/>
        </w:rPr>
        <w:t>6.2在质保期内，如有制造质量问题或技术缺陷造成设备故障或损坏，中标人在24小时内无法修复或需要返厂进行维修的，中标人必须予以免费整体更换相应设备，以保证采购人最终用户单位工作正常开展；在采购人最终用户单位使用的前三个月，同一设备出现第二次质量问题，中标人必须予以免费整体更换该设备。</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bidi="ar"/>
        </w:rPr>
        <w:t>6.3培训：中标人应按采购人要求免费提供安装前技术指导和系统调试时的现场指导，按采购人要求进行调试和验收。且免费培训2名操作管理及维护人员，达到熟练掌握产品性能，能及时排除一般故障的程度，并提供其他一切</w:t>
      </w:r>
      <w:r>
        <w:rPr>
          <w:rFonts w:hint="eastAsia" w:cs="宋体"/>
          <w:color w:val="auto"/>
          <w:kern w:val="2"/>
          <w:sz w:val="21"/>
          <w:szCs w:val="21"/>
          <w:lang w:eastAsia="zh-CN" w:bidi="ar"/>
        </w:rPr>
        <w:t>所必需的</w:t>
      </w:r>
      <w:r>
        <w:rPr>
          <w:rFonts w:hint="eastAsia" w:ascii="宋体" w:hAnsi="宋体" w:eastAsia="宋体" w:cs="宋体"/>
          <w:color w:val="auto"/>
          <w:kern w:val="2"/>
          <w:sz w:val="21"/>
          <w:szCs w:val="21"/>
          <w:lang w:bidi="ar"/>
        </w:rPr>
        <w:t>技术支持。</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bidi="ar"/>
        </w:rPr>
        <w:t>6.4定期巡检：产品交付使用后，中标人负责每半年要深入产品使用单位进行一次巡检服务，巡检服务情况要经</w:t>
      </w:r>
      <w:r>
        <w:rPr>
          <w:rFonts w:hint="eastAsia" w:ascii="宋体" w:hAnsi="宋体" w:eastAsia="宋体" w:cs="宋体"/>
          <w:color w:val="auto"/>
          <w:kern w:val="2"/>
          <w:sz w:val="21"/>
          <w:szCs w:val="21"/>
          <w:lang w:val="en-US" w:eastAsia="zh-CN" w:bidi="ar"/>
        </w:rPr>
        <w:t>使用</w:t>
      </w:r>
      <w:r>
        <w:rPr>
          <w:rFonts w:hint="eastAsia" w:ascii="宋体" w:hAnsi="宋体" w:eastAsia="宋体" w:cs="宋体"/>
          <w:color w:val="auto"/>
          <w:kern w:val="2"/>
          <w:sz w:val="21"/>
          <w:szCs w:val="21"/>
          <w:lang w:bidi="ar"/>
        </w:rPr>
        <w:t>单位装备管理部门签署意见后报</w:t>
      </w:r>
      <w:r>
        <w:rPr>
          <w:rFonts w:hint="eastAsia" w:ascii="宋体" w:hAnsi="宋体" w:eastAsia="宋体" w:cs="宋体"/>
          <w:color w:val="auto"/>
          <w:kern w:val="2"/>
          <w:sz w:val="21"/>
          <w:szCs w:val="21"/>
          <w:lang w:val="en-US" w:eastAsia="zh-CN" w:bidi="ar"/>
        </w:rPr>
        <w:t>支队</w:t>
      </w:r>
      <w:r>
        <w:rPr>
          <w:rFonts w:hint="eastAsia" w:ascii="宋体" w:hAnsi="宋体" w:eastAsia="宋体" w:cs="宋体"/>
          <w:color w:val="auto"/>
          <w:kern w:val="2"/>
          <w:sz w:val="21"/>
          <w:szCs w:val="21"/>
          <w:lang w:bidi="ar"/>
        </w:rPr>
        <w:t>装备管理部门备查。</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kern w:val="2"/>
          <w:sz w:val="21"/>
          <w:szCs w:val="21"/>
          <w:lang w:bidi="ar"/>
        </w:rPr>
        <w:t>7.1．交货时间及地点</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bidi="ar"/>
        </w:rPr>
        <w:t>7.1交货时间：</w:t>
      </w:r>
      <w:r>
        <w:rPr>
          <w:rFonts w:hint="eastAsia" w:ascii="宋体" w:hAnsi="宋体" w:eastAsia="宋体" w:cs="宋体"/>
          <w:b/>
          <w:bCs/>
          <w:color w:val="auto"/>
          <w:kern w:val="2"/>
          <w:sz w:val="21"/>
          <w:szCs w:val="21"/>
          <w:lang w:eastAsia="zh-CN" w:bidi="ar"/>
        </w:rPr>
        <w:t>合同签订后</w:t>
      </w:r>
      <w:r>
        <w:rPr>
          <w:rFonts w:hint="eastAsia" w:cs="宋体"/>
          <w:b/>
          <w:bCs/>
          <w:color w:val="auto"/>
          <w:kern w:val="2"/>
          <w:sz w:val="21"/>
          <w:szCs w:val="21"/>
          <w:lang w:val="en-US" w:eastAsia="zh-CN" w:bidi="ar"/>
        </w:rPr>
        <w:t>两</w:t>
      </w:r>
      <w:r>
        <w:rPr>
          <w:rFonts w:hint="eastAsia" w:ascii="宋体" w:hAnsi="宋体" w:eastAsia="宋体" w:cs="宋体"/>
          <w:b/>
          <w:bCs/>
          <w:color w:val="auto"/>
          <w:kern w:val="2"/>
          <w:sz w:val="21"/>
          <w:szCs w:val="21"/>
          <w:lang w:eastAsia="zh-CN" w:bidi="ar"/>
        </w:rPr>
        <w:t>个月内</w:t>
      </w:r>
      <w:r>
        <w:rPr>
          <w:rFonts w:hint="eastAsia" w:ascii="宋体" w:hAnsi="宋体" w:eastAsia="宋体" w:cs="宋体"/>
          <w:color w:val="auto"/>
          <w:kern w:val="2"/>
          <w:sz w:val="21"/>
          <w:szCs w:val="21"/>
          <w:lang w:bidi="ar"/>
        </w:rPr>
        <w:t>。</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bidi="ar"/>
        </w:rPr>
        <w:t>7.2 交货地点：送达至长沙市消防救援支队</w:t>
      </w:r>
      <w:r>
        <w:rPr>
          <w:rFonts w:hint="eastAsia" w:cs="宋体"/>
          <w:color w:val="auto"/>
          <w:kern w:val="2"/>
          <w:sz w:val="21"/>
          <w:szCs w:val="21"/>
          <w:lang w:val="en-US" w:eastAsia="zh-CN" w:bidi="ar"/>
        </w:rPr>
        <w:t>指定地点</w:t>
      </w:r>
      <w:r>
        <w:rPr>
          <w:rFonts w:hint="eastAsia" w:ascii="宋体" w:hAnsi="宋体" w:eastAsia="宋体" w:cs="宋体"/>
          <w:color w:val="auto"/>
          <w:kern w:val="2"/>
          <w:sz w:val="21"/>
          <w:szCs w:val="21"/>
          <w:lang w:bidi="ar"/>
        </w:rPr>
        <w:t>进行验收。</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bidi="ar"/>
        </w:rPr>
        <w:t>7.3 交货方式：中标人负责货物的运输、保管、安装调试直至验收合格，并承担验收前的一切风险、责任和费用。</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color w:val="auto"/>
          <w:sz w:val="21"/>
          <w:szCs w:val="21"/>
        </w:rPr>
      </w:pPr>
      <w:r>
        <w:rPr>
          <w:rFonts w:hint="eastAsia" w:ascii="宋体" w:hAnsi="宋体" w:eastAsia="宋体" w:cs="宋体"/>
          <w:b/>
          <w:bCs/>
          <w:color w:val="auto"/>
          <w:kern w:val="2"/>
          <w:sz w:val="21"/>
          <w:szCs w:val="21"/>
          <w:lang w:bidi="ar"/>
        </w:rPr>
        <w:t>8．结算方法</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bidi="ar"/>
        </w:rPr>
        <w:t>8.1付款人：</w:t>
      </w:r>
      <w:r>
        <w:rPr>
          <w:rFonts w:hint="eastAsia" w:ascii="宋体" w:hAnsi="宋体" w:eastAsia="宋体" w:cs="宋体"/>
          <w:bCs/>
          <w:color w:val="auto"/>
          <w:sz w:val="21"/>
          <w:szCs w:val="21"/>
          <w:lang w:bidi="ar"/>
        </w:rPr>
        <w:t>长沙市消防救援支队</w:t>
      </w:r>
      <w:r>
        <w:rPr>
          <w:rFonts w:hint="eastAsia" w:ascii="宋体" w:hAnsi="宋体" w:eastAsia="宋体" w:cs="宋体"/>
          <w:bCs/>
          <w:color w:val="auto"/>
          <w:sz w:val="21"/>
          <w:szCs w:val="21"/>
          <w:lang w:val="en-US" w:eastAsia="zh-CN" w:bidi="ar"/>
        </w:rPr>
        <w:t>及下属单位</w:t>
      </w:r>
      <w:r>
        <w:rPr>
          <w:rFonts w:hint="eastAsia" w:ascii="宋体" w:hAnsi="宋体" w:eastAsia="宋体" w:cs="宋体"/>
          <w:color w:val="auto"/>
          <w:kern w:val="2"/>
          <w:sz w:val="21"/>
          <w:szCs w:val="21"/>
          <w:lang w:bidi="ar"/>
        </w:rPr>
        <w:t>。</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b/>
          <w:bCs/>
          <w:color w:val="auto"/>
          <w:kern w:val="2"/>
          <w:sz w:val="21"/>
          <w:szCs w:val="21"/>
          <w:lang w:val="en-US" w:eastAsia="zh-CN" w:bidi="ar"/>
        </w:rPr>
      </w:pPr>
      <w:r>
        <w:rPr>
          <w:rFonts w:hint="eastAsia" w:ascii="宋体" w:hAnsi="宋体" w:eastAsia="宋体" w:cs="宋体"/>
          <w:color w:val="auto"/>
          <w:kern w:val="2"/>
          <w:sz w:val="21"/>
          <w:szCs w:val="21"/>
          <w:lang w:bidi="ar"/>
        </w:rPr>
        <w:t>8.2 付款方式：</w:t>
      </w:r>
      <w:r>
        <w:rPr>
          <w:rFonts w:hint="eastAsia" w:ascii="宋体" w:hAnsi="宋体" w:eastAsia="宋体" w:cs="宋体"/>
          <w:b/>
          <w:bCs w:val="0"/>
          <w:color w:val="auto"/>
          <w:sz w:val="21"/>
          <w:szCs w:val="21"/>
        </w:rPr>
        <w:t>装备交付验收合格并结算审计后，</w:t>
      </w:r>
      <w:r>
        <w:rPr>
          <w:rFonts w:hint="eastAsia" w:cs="宋体"/>
          <w:b/>
          <w:bCs w:val="0"/>
          <w:color w:val="auto"/>
          <w:sz w:val="21"/>
          <w:szCs w:val="21"/>
          <w:lang w:eastAsia="zh-CN"/>
        </w:rPr>
        <w:t>中标人</w:t>
      </w:r>
      <w:r>
        <w:rPr>
          <w:rFonts w:hint="eastAsia" w:ascii="宋体" w:hAnsi="宋体" w:eastAsia="宋体" w:cs="宋体"/>
          <w:b/>
          <w:bCs w:val="0"/>
          <w:color w:val="auto"/>
          <w:sz w:val="21"/>
          <w:szCs w:val="21"/>
        </w:rPr>
        <w:t>提供正规税务发票和合同金额5%的银行保函，</w:t>
      </w:r>
      <w:r>
        <w:rPr>
          <w:rFonts w:hint="eastAsia" w:cs="宋体"/>
          <w:b/>
          <w:bCs w:val="0"/>
          <w:color w:val="auto"/>
          <w:sz w:val="21"/>
          <w:szCs w:val="21"/>
          <w:lang w:eastAsia="zh-CN"/>
        </w:rPr>
        <w:t>采购人</w:t>
      </w:r>
      <w:r>
        <w:rPr>
          <w:rFonts w:hint="eastAsia" w:ascii="宋体" w:hAnsi="宋体" w:eastAsia="宋体" w:cs="宋体"/>
          <w:b/>
          <w:bCs w:val="0"/>
          <w:color w:val="auto"/>
          <w:sz w:val="21"/>
          <w:szCs w:val="21"/>
        </w:rPr>
        <w:t>按结算审计金额一次性支付（保函期限不少于</w:t>
      </w:r>
      <w:r>
        <w:rPr>
          <w:rFonts w:hint="eastAsia" w:ascii="宋体" w:hAnsi="宋体" w:eastAsia="宋体" w:cs="宋体"/>
          <w:b/>
          <w:bCs w:val="0"/>
          <w:color w:val="auto"/>
          <w:sz w:val="21"/>
          <w:szCs w:val="21"/>
          <w:lang w:val="en-US" w:eastAsia="zh-CN"/>
        </w:rPr>
        <w:t>3</w:t>
      </w:r>
      <w:r>
        <w:rPr>
          <w:rFonts w:hint="eastAsia" w:ascii="宋体" w:hAnsi="宋体" w:eastAsia="宋体" w:cs="宋体"/>
          <w:b/>
          <w:bCs w:val="0"/>
          <w:color w:val="auto"/>
          <w:sz w:val="21"/>
          <w:szCs w:val="21"/>
        </w:rPr>
        <w:t>年，</w:t>
      </w:r>
      <w:r>
        <w:rPr>
          <w:rFonts w:hint="eastAsia" w:ascii="宋体" w:hAnsi="宋体" w:eastAsia="宋体" w:cs="宋体"/>
          <w:b/>
          <w:bCs w:val="0"/>
          <w:color w:val="auto"/>
          <w:sz w:val="21"/>
          <w:szCs w:val="21"/>
          <w:lang w:val="en-US" w:eastAsia="zh-CN"/>
        </w:rPr>
        <w:t>3</w:t>
      </w:r>
      <w:r>
        <w:rPr>
          <w:rFonts w:hint="eastAsia" w:ascii="宋体" w:hAnsi="宋体" w:eastAsia="宋体" w:cs="宋体"/>
          <w:b/>
          <w:bCs w:val="0"/>
          <w:color w:val="auto"/>
          <w:sz w:val="21"/>
          <w:szCs w:val="21"/>
        </w:rPr>
        <w:t>年后无质量、售后及其他经济法律纠纷等问题可申请退回保函）</w:t>
      </w:r>
      <w:r>
        <w:rPr>
          <w:rFonts w:hint="eastAsia" w:ascii="宋体" w:hAnsi="宋体" w:eastAsia="宋体" w:cs="宋体"/>
          <w:bCs/>
          <w:color w:val="auto"/>
          <w:sz w:val="21"/>
          <w:szCs w:val="21"/>
        </w:rPr>
        <w:t>。</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eastAsia" w:ascii="宋体" w:hAnsi="宋体" w:eastAsia="宋体" w:cs="宋体"/>
          <w:b/>
          <w:bCs/>
          <w:color w:val="auto"/>
          <w:kern w:val="2"/>
          <w:sz w:val="21"/>
          <w:szCs w:val="21"/>
          <w:lang w:val="en-US" w:eastAsia="zh-CN" w:bidi="ar"/>
        </w:rPr>
      </w:pPr>
      <w:r>
        <w:rPr>
          <w:rFonts w:hint="eastAsia" w:ascii="宋体" w:hAnsi="宋体" w:eastAsia="宋体" w:cs="宋体"/>
          <w:b/>
          <w:bCs/>
          <w:color w:val="auto"/>
          <w:kern w:val="2"/>
          <w:sz w:val="21"/>
          <w:szCs w:val="21"/>
          <w:lang w:val="en-US" w:eastAsia="zh-CN" w:bidi="ar"/>
        </w:rPr>
        <w:t>9．项目其他要求</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9.1提供产品配件清单（配件、品牌、生产单位、价格）。</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b/>
          <w:bCs/>
          <w:color w:val="auto"/>
          <w:kern w:val="2"/>
          <w:sz w:val="21"/>
          <w:szCs w:val="21"/>
          <w:lang w:val="en-US" w:eastAsia="zh-CN" w:bidi="ar"/>
        </w:rPr>
      </w:pPr>
      <w:r>
        <w:rPr>
          <w:rFonts w:hint="eastAsia" w:ascii="宋体" w:hAnsi="宋体" w:eastAsia="宋体" w:cs="宋体"/>
          <w:color w:val="auto"/>
          <w:kern w:val="2"/>
          <w:sz w:val="21"/>
          <w:szCs w:val="21"/>
          <w:lang w:val="en-US" w:eastAsia="zh-CN" w:bidi="ar"/>
        </w:rPr>
        <w:t>9.2本项目采用费用包干方式建设，投标人应根据项目要求和现场情况，</w:t>
      </w:r>
      <w:r>
        <w:rPr>
          <w:rFonts w:hint="eastAsia" w:ascii="宋体" w:hAnsi="宋体" w:eastAsia="宋体" w:cs="Times New Roman"/>
          <w:b/>
          <w:bCs/>
          <w:color w:val="auto"/>
          <w:kern w:val="2"/>
          <w:sz w:val="21"/>
          <w:szCs w:val="21"/>
          <w:lang w:val="en-US" w:eastAsia="zh-CN"/>
        </w:rPr>
        <w:t>详细列明项目所需的设备及材料购置，以及产品运输保险保管、项目安装调试、试运行测试通过验收、培训、质保期免费保修维护等所有人工、管理、财务等所有费用</w:t>
      </w:r>
      <w:r>
        <w:rPr>
          <w:rFonts w:hint="eastAsia" w:ascii="宋体" w:hAnsi="宋体" w:eastAsia="宋体" w:cs="Times New Roman"/>
          <w:b w:val="0"/>
          <w:bCs w:val="0"/>
          <w:color w:val="auto"/>
          <w:kern w:val="2"/>
          <w:sz w:val="21"/>
          <w:szCs w:val="21"/>
          <w:lang w:val="en-US" w:eastAsia="zh-CN"/>
        </w:rPr>
        <w:t>，如一旦中标，在项目实施中出现任何遗漏</w:t>
      </w:r>
      <w:r>
        <w:rPr>
          <w:rFonts w:hint="eastAsia" w:ascii="宋体" w:hAnsi="宋体" w:eastAsia="宋体" w:cs="宋体"/>
          <w:b w:val="0"/>
          <w:bCs w:val="0"/>
          <w:color w:val="auto"/>
          <w:kern w:val="2"/>
          <w:sz w:val="21"/>
          <w:szCs w:val="21"/>
          <w:lang w:val="en-US" w:eastAsia="zh-CN" w:bidi="ar"/>
        </w:rPr>
        <w:t>，均由中标人免费提供，采购人不再支付任何费用。</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2" w:firstLineChars="200"/>
        <w:jc w:val="both"/>
        <w:textAlignment w:val="auto"/>
        <w:rPr>
          <w:rFonts w:hint="default" w:ascii="宋体" w:hAnsi="宋体" w:eastAsia="宋体" w:cs="宋体"/>
          <w:b/>
          <w:bCs/>
          <w:color w:val="auto"/>
          <w:kern w:val="2"/>
          <w:sz w:val="21"/>
          <w:szCs w:val="21"/>
          <w:lang w:val="en-US" w:eastAsia="zh-CN" w:bidi="ar"/>
        </w:rPr>
      </w:pPr>
      <w:r>
        <w:rPr>
          <w:rFonts w:hint="eastAsia" w:ascii="宋体" w:hAnsi="宋体" w:eastAsia="宋体" w:cs="宋体"/>
          <w:b/>
          <w:bCs/>
          <w:color w:val="auto"/>
          <w:kern w:val="2"/>
          <w:sz w:val="21"/>
          <w:szCs w:val="21"/>
          <w:lang w:val="en-US" w:eastAsia="zh-CN" w:bidi="ar"/>
        </w:rPr>
        <w:t>10、违约责任</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outlineLvl w:val="0"/>
        <w:rPr>
          <w:rFonts w:hint="eastAsia" w:ascii="宋体" w:hAnsi="宋体" w:eastAsia="宋体" w:cs="宋体"/>
          <w:color w:val="auto"/>
          <w:kern w:val="2"/>
          <w:sz w:val="21"/>
          <w:szCs w:val="21"/>
          <w:lang w:val="en-US" w:eastAsia="zh-CN" w:bidi="ar"/>
        </w:rPr>
      </w:pPr>
      <w:bookmarkStart w:id="73" w:name="_Toc10136"/>
      <w:r>
        <w:rPr>
          <w:rFonts w:hint="eastAsia" w:ascii="宋体" w:hAnsi="宋体" w:eastAsia="宋体" w:cs="宋体"/>
          <w:color w:val="auto"/>
          <w:kern w:val="2"/>
          <w:sz w:val="21"/>
          <w:szCs w:val="21"/>
          <w:lang w:val="en-US" w:eastAsia="zh-CN" w:bidi="ar"/>
        </w:rPr>
        <w:t>★10.1质量违约责任</w:t>
      </w:r>
      <w:bookmarkEnd w:id="73"/>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10.1.1</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标的物第一次验收不合格，经整改后复验合格，</w:t>
      </w:r>
      <w:r>
        <w:rPr>
          <w:rFonts w:hint="eastAsia" w:cs="宋体"/>
          <w:color w:val="auto"/>
          <w:kern w:val="2"/>
          <w:sz w:val="21"/>
          <w:szCs w:val="21"/>
          <w:lang w:val="en-US" w:eastAsia="zh-CN" w:bidi="ar"/>
        </w:rPr>
        <w:t>质量验收结论以长沙市消防救援支队组织的验收结论为最终认定，</w:t>
      </w:r>
      <w:r>
        <w:rPr>
          <w:rFonts w:hint="eastAsia" w:ascii="宋体" w:hAnsi="宋体" w:eastAsia="宋体" w:cs="宋体"/>
          <w:color w:val="auto"/>
          <w:kern w:val="2"/>
          <w:sz w:val="21"/>
          <w:szCs w:val="21"/>
          <w:lang w:val="en-US" w:eastAsia="zh-CN" w:bidi="ar"/>
        </w:rPr>
        <w:t>但申请复验时间已超过合同约定交货期的(由长沙市消防救援支队组织验收期间的时间不计算在交货期限内，申请延迟交货的以延迟交货时间计算），</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支付该部分总金额的3%作为违约金（违约金由</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直接在待付货款中扣除）。</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10.1.2</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标的物第一次验收不合格且整改后复验仍不合格，</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部分或全部解除合同的，</w:t>
      </w:r>
      <w:r>
        <w:rPr>
          <w:rFonts w:hint="eastAsia" w:cs="宋体"/>
          <w:color w:val="auto"/>
          <w:kern w:val="2"/>
          <w:sz w:val="21"/>
          <w:szCs w:val="21"/>
          <w:lang w:val="en-US" w:eastAsia="zh-CN" w:bidi="ar"/>
        </w:rPr>
        <w:t>质量验收结论以长沙市消防救援支队组织的验收结论为最终认定，中标人</w:t>
      </w:r>
      <w:r>
        <w:rPr>
          <w:rFonts w:hint="eastAsia" w:ascii="宋体" w:hAnsi="宋体" w:eastAsia="宋体" w:cs="宋体"/>
          <w:color w:val="auto"/>
          <w:kern w:val="2"/>
          <w:sz w:val="21"/>
          <w:szCs w:val="21"/>
          <w:lang w:val="en-US" w:eastAsia="zh-CN" w:bidi="ar"/>
        </w:rPr>
        <w:t>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支付复验不合格标的物总金额的5%作为违约金（预付款应按中国人民银行同期同类存款利率计息，并将本息退还至</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账户）。</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★10.2逾期交货违约责任</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10.2.1</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申请验收时间超过合同约定交货期，或整改完毕申请复验时间超过合同约定交货期的(由长沙市消防救援支队组织验收期间的时间不计算在交货期限内，申请延迟交货的以延迟交货时间计算），每逾期一天</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支付逾期交货标的物总金额的0.05%作为违约金（违约金由</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直接在待付货款中扣除）。</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10.2.2</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未在验收情况告知函规定的整改期限内（不超过合同约定交货期30个日历日，且由长沙市消防救援支队组织验收期间的时间不计算在交货期限内，申请延迟交货的以延迟交货时间计算）整改完毕并申请复验，</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部分或全部解除合同的，</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支付未申请复验标的物总金额的5%作为违约金（预付款的应按中国人民银行同期同类存款利率计息，并将本息退还至</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账户）。</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★10.3其他违约</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10.3.1</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申请交货验收时，未一次性将全部标的物送至长沙市消防救援支队指定地点的，</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支付未送达至指定地点标的物总金额的1%作为违约金（违约金由</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直接在待付货款中扣除）。</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10.3.2</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超过合同约定交货期30个日历日(由长沙市消防救援支队组织验收期间的时间不计算在交货期限内，申请延迟交货的以延迟交货时间计算）未向长沙市消防救援支队提交验收申请（含整改后复验），</w:t>
      </w:r>
      <w:r>
        <w:rPr>
          <w:rFonts w:hint="eastAsia" w:cs="宋体"/>
          <w:color w:val="auto"/>
          <w:kern w:val="2"/>
          <w:sz w:val="21"/>
          <w:szCs w:val="21"/>
          <w:lang w:val="en-US" w:eastAsia="zh-CN" w:bidi="ar"/>
        </w:rPr>
        <w:t>导致</w:t>
      </w:r>
      <w:r>
        <w:rPr>
          <w:rFonts w:hint="eastAsia" w:ascii="宋体" w:hAnsi="宋体" w:eastAsia="宋体" w:cs="宋体"/>
          <w:color w:val="auto"/>
          <w:kern w:val="2"/>
          <w:sz w:val="21"/>
          <w:szCs w:val="21"/>
          <w:lang w:val="en-US" w:eastAsia="zh-CN" w:bidi="ar"/>
        </w:rPr>
        <w:t>双方解除合同的，</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支付合同总金额5%的违约金（预付款的应按中国人民银行同期同类存款利率计息，并将本息退还至</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账户）。</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10.3.3</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应依据合同规定，按时向</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支付货款。非因</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自身原因（包括但不限于财政资金未到位、</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结算资料不齐全）不能按约付款，</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不承担责任。</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10.3.4</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单方面要求解除本合同，应向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支付合同金额10%的违约金（预付款的应按中国人民银行同期同类存款利率计息，并将本息退还至</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账户）。</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10.3.5非因</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原因致合同不能继续履行的，</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应承担违约责任。</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有权解除本合同，</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应向</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支付合同金额10%的违约金（预付款的应按中国人民银行同期同类存款利率计息，并将本息退还至</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账户）。</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10.3.6</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擅自转包、分包的，</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有权单方解除合同，并要求</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支付合同金额10%的违约金（预付款的应按中国人民银行同期同类存款利率计息，并将本息退还至</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账户）。</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10.3.7在履行合同过程中，</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发现</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在采购过程中存在以虚假材料谋取中标、串通投标等违法行为时，</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有权单方面解除合同，</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应退还</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已支付的费用（已支付的费用按中国人民银行同期同类存款利率计息，并将本息退还至</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账户），同时</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赔偿合同总价20%的违约金给</w:t>
      </w:r>
      <w:r>
        <w:rPr>
          <w:rFonts w:hint="eastAsia" w:cs="宋体"/>
          <w:color w:val="auto"/>
          <w:kern w:val="2"/>
          <w:sz w:val="21"/>
          <w:szCs w:val="21"/>
          <w:lang w:val="en-US" w:eastAsia="zh-CN" w:bidi="ar"/>
        </w:rPr>
        <w:t>采购人</w:t>
      </w:r>
      <w:r>
        <w:rPr>
          <w:rFonts w:hint="eastAsia" w:ascii="宋体" w:hAnsi="宋体" w:eastAsia="宋体" w:cs="宋体"/>
          <w:color w:val="auto"/>
          <w:kern w:val="2"/>
          <w:sz w:val="21"/>
          <w:szCs w:val="21"/>
          <w:lang w:val="en-US" w:eastAsia="zh-CN" w:bidi="ar"/>
        </w:rPr>
        <w:t>。</w:t>
      </w:r>
    </w:p>
    <w:p>
      <w:pPr>
        <w:pStyle w:val="4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10.3.8</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未能按照投标文件中承诺的售后服务计划落实的：第一次，约谈</w:t>
      </w:r>
      <w:r>
        <w:rPr>
          <w:rFonts w:hint="eastAsia" w:cs="宋体"/>
          <w:color w:val="auto"/>
          <w:kern w:val="2"/>
          <w:sz w:val="21"/>
          <w:szCs w:val="21"/>
          <w:lang w:val="en-US" w:eastAsia="zh-CN" w:bidi="ar"/>
        </w:rPr>
        <w:t>中标人</w:t>
      </w:r>
      <w:r>
        <w:rPr>
          <w:rFonts w:hint="eastAsia" w:ascii="宋体" w:hAnsi="宋体" w:eastAsia="宋体" w:cs="宋体"/>
          <w:color w:val="auto"/>
          <w:kern w:val="2"/>
          <w:sz w:val="21"/>
          <w:szCs w:val="21"/>
          <w:lang w:val="en-US" w:eastAsia="zh-CN" w:bidi="ar"/>
        </w:rPr>
        <w:t>负责人；两次及以上列入长沙市消防救援支队不良供应商名单，并视情形上报财政、市场监管等有关部门。</w:t>
      </w:r>
    </w:p>
    <w:p>
      <w:pPr>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11、对于上述项目要求，投标人应在投标文件中作出响应，并予以承诺及说明。</w:t>
      </w:r>
    </w:p>
    <w:p>
      <w:pPr>
        <w:adjustRightInd w:val="0"/>
        <w:snapToGrid w:val="0"/>
        <w:spacing w:line="360" w:lineRule="auto"/>
        <w:jc w:val="center"/>
        <w:rPr>
          <w:rFonts w:ascii="黑体" w:hAnsi="华文中宋" w:eastAsia="黑体"/>
          <w:b/>
          <w:bCs/>
          <w:color w:val="000000" w:themeColor="text1"/>
          <w:szCs w:val="21"/>
          <w14:textFill>
            <w14:solidFill>
              <w14:schemeClr w14:val="tx1"/>
            </w14:solidFill>
          </w14:textFill>
        </w:rPr>
      </w:pPr>
      <w:r>
        <w:rPr>
          <w:rFonts w:ascii="黑体" w:hAnsi="华文中宋" w:eastAsia="黑体"/>
          <w:b/>
          <w:bCs/>
          <w:color w:val="000000" w:themeColor="text1"/>
          <w:szCs w:val="21"/>
          <w14:textFill>
            <w14:solidFill>
              <w14:schemeClr w14:val="tx1"/>
            </w14:solidFill>
          </w14:textFill>
        </w:rPr>
        <w:br w:type="page"/>
      </w:r>
    </w:p>
    <w:p>
      <w:pPr>
        <w:pStyle w:val="26"/>
        <w:adjustRightInd w:val="0"/>
        <w:snapToGrid w:val="0"/>
        <w:spacing w:line="360" w:lineRule="auto"/>
        <w:jc w:val="center"/>
        <w:outlineLvl w:val="0"/>
        <w:rPr>
          <w:rFonts w:ascii="黑体" w:hAnsi="华文中宋" w:eastAsia="黑体"/>
          <w:b/>
          <w:color w:val="000000" w:themeColor="text1"/>
          <w:sz w:val="32"/>
          <w:szCs w:val="32"/>
          <w14:textFill>
            <w14:solidFill>
              <w14:schemeClr w14:val="tx1"/>
            </w14:solidFill>
          </w14:textFill>
        </w:rPr>
      </w:pPr>
      <w:bookmarkStart w:id="74" w:name="_Toc8983754"/>
      <w:bookmarkStart w:id="75" w:name="_Toc15115"/>
      <w:bookmarkStart w:id="76" w:name="_Toc19856"/>
      <w:r>
        <w:rPr>
          <w:rFonts w:hint="eastAsia" w:ascii="黑体" w:hAnsi="华文中宋" w:eastAsia="黑体"/>
          <w:b/>
          <w:color w:val="000000" w:themeColor="text1"/>
          <w:sz w:val="32"/>
          <w:szCs w:val="32"/>
          <w14:textFill>
            <w14:solidFill>
              <w14:schemeClr w14:val="tx1"/>
            </w14:solidFill>
          </w14:textFill>
        </w:rPr>
        <w:t>第六章 政府采购合同</w:t>
      </w:r>
      <w:bookmarkEnd w:id="74"/>
      <w:bookmarkEnd w:id="75"/>
      <w:bookmarkEnd w:id="76"/>
    </w:p>
    <w:p>
      <w:pPr>
        <w:rPr>
          <w:rFonts w:ascii="黑体" w:hAnsi="华文中宋" w:eastAsia="黑体"/>
          <w:b/>
          <w:color w:val="000000" w:themeColor="text1"/>
          <w:sz w:val="28"/>
          <w:szCs w:val="28"/>
          <w14:textFill>
            <w14:solidFill>
              <w14:schemeClr w14:val="tx1"/>
            </w14:solidFill>
          </w14:textFill>
        </w:rPr>
      </w:pPr>
    </w:p>
    <w:p>
      <w:pPr>
        <w:pStyle w:val="6"/>
        <w:adjustRightInd w:val="0"/>
        <w:snapToGrid w:val="0"/>
        <w:jc w:val="center"/>
        <w:rPr>
          <w:rFonts w:ascii="黑体" w:hAnsi="华文中宋" w:eastAsia="黑体"/>
          <w:color w:val="000000" w:themeColor="text1"/>
          <w:sz w:val="28"/>
          <w:szCs w:val="28"/>
          <w14:textFill>
            <w14:solidFill>
              <w14:schemeClr w14:val="tx1"/>
            </w14:solidFill>
          </w14:textFill>
        </w:rPr>
      </w:pPr>
      <w:bookmarkStart w:id="77" w:name="_Toc4609"/>
      <w:bookmarkStart w:id="78" w:name="_Toc8983755"/>
      <w:r>
        <w:rPr>
          <w:rFonts w:hint="eastAsia" w:ascii="黑体" w:hAnsi="华文中宋" w:eastAsia="黑体"/>
          <w:color w:val="000000" w:themeColor="text1"/>
          <w:sz w:val="28"/>
          <w:szCs w:val="28"/>
          <w14:textFill>
            <w14:solidFill>
              <w14:schemeClr w14:val="tx1"/>
            </w14:solidFill>
          </w14:textFill>
        </w:rPr>
        <w:t>第一节 政府采购合同协议书</w:t>
      </w:r>
      <w:bookmarkEnd w:id="77"/>
      <w:bookmarkEnd w:id="78"/>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pPr>
        <w:adjustRightInd w:val="0"/>
        <w:snapToGrid w:val="0"/>
        <w:spacing w:line="360" w:lineRule="auto"/>
        <w:ind w:firstLine="5460" w:firstLineChars="26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采购合同编号：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（甲方）</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（乙方）</w:t>
      </w:r>
    </w:p>
    <w:p>
      <w:pPr>
        <w:pStyle w:val="22"/>
        <w:adjustRightInd w:val="0"/>
        <w:snapToGrid w:val="0"/>
        <w:spacing w:after="0" w:line="360" w:lineRule="auto"/>
        <w:ind w:left="0" w:leftChars="0" w:firstLine="420" w:firstLineChars="200"/>
        <w:rPr>
          <w:rFonts w:ascii="宋体" w:hAnsi="宋体"/>
          <w:color w:val="000000" w:themeColor="text1"/>
          <w:szCs w:val="21"/>
          <w14:textFill>
            <w14:solidFill>
              <w14:schemeClr w14:val="tx1"/>
            </w14:solidFill>
          </w14:textFill>
        </w:rPr>
      </w:pPr>
    </w:p>
    <w:p>
      <w:pPr>
        <w:pStyle w:val="22"/>
        <w:adjustRightInd w:val="0"/>
        <w:snapToGrid w:val="0"/>
        <w:spacing w:after="0" w:line="360" w:lineRule="auto"/>
        <w:ind w:left="0" w:leftChars="0"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为了保护甲、乙双方合法权益，根据《中华人民共和国民法典》、《中华人民共和国政府采购法》及其他有关法律、法规、规章，双方签订本合同协议书。</w:t>
      </w:r>
    </w:p>
    <w:p>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1.项目信息</w:t>
      </w:r>
    </w:p>
    <w:p>
      <w:pPr>
        <w:pStyle w:val="22"/>
        <w:adjustRightInd w:val="0"/>
        <w:snapToGrid w:val="0"/>
        <w:spacing w:after="0" w:line="360" w:lineRule="auto"/>
        <w:ind w:left="0" w:leftChars="0"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（1）采购项目名称：</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pPr>
        <w:pStyle w:val="22"/>
        <w:adjustRightInd w:val="0"/>
        <w:snapToGrid w:val="0"/>
        <w:spacing w:after="0" w:line="360" w:lineRule="auto"/>
        <w:ind w:left="0" w:leftChars="0"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（3）项目内容：</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2.合同金额</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（1）合同总金额大写：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小写：</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（2）具体标的见附件。</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（3）合同价格形式：</w:t>
      </w:r>
    </w:p>
    <w:p>
      <w:pPr>
        <w:adjustRightInd w:val="0"/>
        <w:snapToGrid w:val="0"/>
        <w:spacing w:line="360" w:lineRule="auto"/>
        <w:ind w:firstLine="422" w:firstLineChars="200"/>
        <w:rPr>
          <w:rFonts w:ascii="宋体" w:hAnsi="宋体"/>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3.履行合同的时间、地点及方式</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第一年度起始日期：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日，完成日期：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日；总日历天数：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天。</w:t>
      </w:r>
    </w:p>
    <w:p>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地点</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方式：</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4.付款：</w:t>
      </w:r>
    </w:p>
    <w:p>
      <w:pPr>
        <w:adjustRightInd w:val="0"/>
        <w:snapToGrid w:val="0"/>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pPr>
        <w:adjustRightInd w:val="0"/>
        <w:snapToGrid w:val="0"/>
        <w:spacing w:line="360" w:lineRule="auto"/>
        <w:ind w:firstLine="420" w:firstLineChars="200"/>
        <w:rPr>
          <w:rFonts w:hint="eastAsia" w:ascii="宋体" w:hAnsi="宋体" w:eastAsia="宋体"/>
          <w:color w:val="000000" w:themeColor="text1"/>
          <w:szCs w:val="21"/>
          <w:lang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2、</w:t>
      </w:r>
      <w:r>
        <w:rPr>
          <w:rFonts w:hint="eastAsia" w:ascii="宋体" w:hAnsi="宋体"/>
          <w:bCs/>
          <w:color w:val="000000" w:themeColor="text1"/>
          <w:szCs w:val="21"/>
          <w:lang w:val="en-US" w:eastAsia="zh-CN"/>
          <w14:textFill>
            <w14:solidFill>
              <w14:schemeClr w14:val="tx1"/>
            </w14:solidFill>
          </w14:textFill>
        </w:rPr>
        <w:t xml:space="preserve"> </w:t>
      </w:r>
    </w:p>
    <w:p>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5.解决合同纠纷方式</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首先通过双方协商解决，协商解决不成，则通过以下途径之一解决纠纷：</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提请仲裁；       </w:t>
      </w:r>
      <w:r>
        <w:rPr>
          <w:rFonts w:hint="eastAsia" w:ascii="宋体" w:hAnsi="宋体"/>
          <w:color w:val="000000" w:themeColor="text1"/>
          <w:szCs w:val="21"/>
          <w14:textFill>
            <w14:solidFill>
              <w14:schemeClr w14:val="tx1"/>
            </w14:solidFill>
          </w14:textFill>
        </w:rPr>
        <w:sym w:font="Wingdings 2" w:char="0052"/>
      </w:r>
      <w:r>
        <w:rPr>
          <w:rFonts w:hint="eastAsia" w:ascii="宋体" w:hAnsi="宋体"/>
          <w:color w:val="000000" w:themeColor="text1"/>
          <w:szCs w:val="21"/>
          <w14:textFill>
            <w14:solidFill>
              <w14:schemeClr w14:val="tx1"/>
            </w14:solidFill>
          </w14:textFill>
        </w:rPr>
        <w:t xml:space="preserve"> 向项目所在地人民法院提起诉讼。</w:t>
      </w:r>
    </w:p>
    <w:p>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6.组成合同的文件</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本协议书与下列文件一起构成合同文件，如下述文件之间有任何抵触、矛盾或歧义，应按以下顺序解释：</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（1）在招标或合同履行过程中乙方作出的承诺以及双方协商达成的变更或补充协议；</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（2）中标通知书；</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（3）投标文件；</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（4）政府采购合同格式条款及其附件；</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（5）专用合同条款；</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（6）通用合同条款（如果有）；</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（7）标准、规范及有关技术文件，图纸；</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（8）其他合同文件。</w:t>
      </w:r>
    </w:p>
    <w:p>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7.合同生效</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生效。</w:t>
      </w:r>
    </w:p>
    <w:p>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8.合同份数</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份，采购人执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份，供应商执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份，监督管理部门执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份，代理机构执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份，均具有同等法律效力。</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合同订立地点：</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      方：（公章）                     乙      方：（公章）</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法定代表人：</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委托代理人：</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电      话：</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传      真：</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开 户 银 行：</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firstLine="420" w:firstLineChars="200"/>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帐       号：</w:t>
      </w:r>
      <w:r>
        <w:rPr>
          <w:rFonts w:hint="eastAsia" w:ascii="宋体" w:hAnsi="宋体"/>
          <w:color w:val="000000" w:themeColor="text1"/>
          <w:szCs w:val="21"/>
          <w:u w:val="single"/>
          <w14:textFill>
            <w14:solidFill>
              <w14:schemeClr w14:val="tx1"/>
            </w14:solidFill>
          </w14:textFill>
        </w:rPr>
        <w:t xml:space="preserve">                 </w:t>
      </w:r>
    </w:p>
    <w:p>
      <w:pPr>
        <w:pStyle w:val="6"/>
        <w:adjustRightInd w:val="0"/>
        <w:snapToGrid w:val="0"/>
        <w:spacing w:before="157" w:beforeLines="50"/>
        <w:jc w:val="center"/>
        <w:rPr>
          <w:rFonts w:asciiTheme="minorEastAsia" w:hAnsiTheme="minorEastAsia" w:eastAsiaTheme="minorEastAsia"/>
          <w:color w:val="000000" w:themeColor="text1"/>
          <w:sz w:val="21"/>
          <w:szCs w:val="21"/>
          <w:u w:val="single"/>
          <w14:textFill>
            <w14:solidFill>
              <w14:schemeClr w14:val="tx1"/>
            </w14:solidFill>
          </w14:textFill>
        </w:rPr>
      </w:pPr>
      <w:r>
        <w:rPr>
          <w:rFonts w:asciiTheme="minorEastAsia" w:hAnsiTheme="minorEastAsia" w:eastAsiaTheme="minorEastAsia"/>
          <w:color w:val="000000" w:themeColor="text1"/>
          <w:sz w:val="21"/>
          <w:szCs w:val="21"/>
          <w:u w:val="single"/>
          <w14:textFill>
            <w14:solidFill>
              <w14:schemeClr w14:val="tx1"/>
            </w14:solidFill>
          </w14:textFill>
        </w:rPr>
        <w:br w:type="page"/>
      </w:r>
      <w:bookmarkStart w:id="79" w:name="_Toc8983756"/>
      <w:bookmarkStart w:id="80" w:name="_Toc2001"/>
    </w:p>
    <w:bookmarkEnd w:id="79"/>
    <w:bookmarkEnd w:id="80"/>
    <w:p>
      <w:pPr>
        <w:pStyle w:val="6"/>
        <w:adjustRightInd w:val="0"/>
        <w:snapToGrid w:val="0"/>
        <w:spacing w:before="157" w:beforeLines="50"/>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第二节 政府采购合同通用条款</w:t>
      </w:r>
    </w:p>
    <w:p>
      <w:pPr>
        <w:tabs>
          <w:tab w:val="left" w:pos="8820"/>
          <w:tab w:val="left" w:pos="9345"/>
          <w:tab w:val="left" w:pos="9765"/>
        </w:tabs>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1.</w:t>
      </w:r>
      <w:r>
        <w:rPr>
          <w:rFonts w:hint="eastAsia" w:asciiTheme="minorEastAsia" w:hAnsiTheme="minorEastAsia" w:eastAsiaTheme="minorEastAsia"/>
          <w:b/>
          <w:bCs/>
          <w:color w:val="000000" w:themeColor="text1"/>
          <w:sz w:val="24"/>
          <w14:textFill>
            <w14:solidFill>
              <w14:schemeClr w14:val="tx1"/>
            </w14:solidFill>
          </w14:textFill>
        </w:rPr>
        <w:t>定义</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1.1合同当事人</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（1）采购人（以下称甲方）是指使用财政性资金，通过政府采购程序向供应商购买货物、服务的国家机关、事业单位、团体组织。本次采购的甲方名称、地址见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（2）供应商（以下称乙方）是指参加政府采购活动而取得中标结果，并向采购人提供货物、服务的法人、其他组织或者自然人。</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1.2本合同下列术语应解释为：</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（1）“合同”系指甲乙双方签署的、政府采购合同协议书中载明的甲乙双方所达成的协议，包括所有的附件、附录和上述文件所提到的构成合同的所有文件。</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（2）“合同价”系指根据本合同规定乙方在正确地完全履行合同义务后甲方应支付给乙方的价款。</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（3）“货物”系指乙方根据本合同规定须向甲方提供的各种形态和种类的物品，包括原材料、设备、产品（包括软件）及相关的其备品备件、工具、手册及其它技术资料和材料。</w:t>
      </w:r>
    </w:p>
    <w:p>
      <w:pPr>
        <w:tabs>
          <w:tab w:val="left" w:pos="570"/>
          <w:tab w:val="left" w:pos="8880"/>
          <w:tab w:val="left" w:pos="9555"/>
        </w:tabs>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（4）“伴随服务”系指根据本合同规定乙方承担与供货有关的辅助服务，如运输、保</w:t>
      </w:r>
      <w:r>
        <w:rPr>
          <w:rFonts w:hint="eastAsia" w:asciiTheme="minorEastAsia" w:hAnsiTheme="minorEastAsia" w:eastAsiaTheme="minorEastAsia"/>
          <w:color w:val="000000" w:themeColor="text1"/>
          <w:spacing w:val="2"/>
          <w:szCs w:val="21"/>
          <w14:textFill>
            <w14:solidFill>
              <w14:schemeClr w14:val="tx1"/>
            </w14:solidFill>
          </w14:textFill>
        </w:rPr>
        <w:t>险以及其它的伴随服务，例如安装、调试、提供技术</w:t>
      </w:r>
      <w:r>
        <w:rPr>
          <w:rFonts w:hint="eastAsia" w:asciiTheme="minorEastAsia" w:hAnsiTheme="minorEastAsia" w:eastAsiaTheme="minorEastAsia"/>
          <w:color w:val="000000" w:themeColor="text1"/>
          <w:szCs w:val="21"/>
          <w14:textFill>
            <w14:solidFill>
              <w14:schemeClr w14:val="tx1"/>
            </w14:solidFill>
          </w14:textFill>
        </w:rPr>
        <w:t>协</w:t>
      </w:r>
      <w:r>
        <w:rPr>
          <w:rFonts w:hint="eastAsia" w:asciiTheme="minorEastAsia" w:hAnsiTheme="minorEastAsia" w:eastAsiaTheme="minorEastAsia"/>
          <w:color w:val="000000" w:themeColor="text1"/>
          <w:spacing w:val="2"/>
          <w:szCs w:val="21"/>
          <w14:textFill>
            <w14:solidFill>
              <w14:schemeClr w14:val="tx1"/>
            </w14:solidFill>
          </w14:textFill>
        </w:rPr>
        <w:t>助、培训和合同中规定</w:t>
      </w:r>
      <w:r>
        <w:rPr>
          <w:rFonts w:hint="eastAsia" w:asciiTheme="minorEastAsia" w:hAnsiTheme="minorEastAsia" w:eastAsiaTheme="minorEastAsia"/>
          <w:color w:val="000000" w:themeColor="text1"/>
          <w:szCs w:val="21"/>
          <w14:textFill>
            <w14:solidFill>
              <w14:schemeClr w14:val="tx1"/>
            </w14:solidFill>
          </w14:textFill>
        </w:rPr>
        <w:t>乙方应承担的其它义务。</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（5）“合同条款”系指本合同条款。</w:t>
      </w:r>
    </w:p>
    <w:p>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（6）“项目现场”系指本合同项下货物安装、运行的现场，其名称见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w:t>
      </w:r>
    </w:p>
    <w:p>
      <w:pPr>
        <w:autoSpaceDE w:val="0"/>
        <w:autoSpaceDN w:val="0"/>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2.合同的适用范围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 本合同条款适用于没有被本合同其他部分的条款所取代的范围。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 合同内容根据招标文件、投标文件而确定。</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w:t>
      </w:r>
      <w:r>
        <w:rPr>
          <w:rFonts w:hint="eastAsia" w:asciiTheme="minorEastAsia" w:hAnsiTheme="minorEastAsia" w:eastAsiaTheme="minorEastAsia"/>
          <w:b/>
          <w:color w:val="000000" w:themeColor="text1"/>
          <w:sz w:val="24"/>
          <w14:textFill>
            <w14:solidFill>
              <w14:schemeClr w14:val="tx1"/>
            </w14:solidFill>
          </w14:textFill>
        </w:rPr>
        <w:t>合同标的及金额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 合同标的及金额应与中标结果一致。</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4.</w:t>
      </w:r>
      <w:r>
        <w:rPr>
          <w:rFonts w:hint="eastAsia" w:asciiTheme="minorEastAsia" w:hAnsiTheme="minorEastAsia" w:eastAsiaTheme="minorEastAsia"/>
          <w:b/>
          <w:color w:val="000000" w:themeColor="text1"/>
          <w:sz w:val="24"/>
          <w14:textFill>
            <w14:solidFill>
              <w14:schemeClr w14:val="tx1"/>
            </w14:solidFill>
          </w14:textFill>
        </w:rPr>
        <w:t>合同价款</w:t>
      </w:r>
    </w:p>
    <w:p>
      <w:pPr>
        <w:adjustRightInd w:val="0"/>
        <w:snapToGrid w:val="0"/>
        <w:spacing w:before="50" w:line="360" w:lineRule="auto"/>
        <w:ind w:firstLine="420" w:firstLineChars="200"/>
        <w:jc w:val="left"/>
        <w:rPr>
          <w:rFonts w:asciiTheme="minorEastAsia" w:hAnsiTheme="minorEastAsia" w:eastAsiaTheme="minorEastAsia"/>
          <w:b/>
          <w:bCs/>
          <w:i/>
          <w:i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4.1具体合同价款见本合同第3.1条。乙方为履行本合同而发生的所有费用均应包含在合同价款中，甲方不再另行支付其它任何费用。</w:t>
      </w:r>
    </w:p>
    <w:p>
      <w:pPr>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5.履行合同的时间、地点和方式</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5.1 乙方应当在甲方确定的时间、指定的地点履行合同，具体的交货时间、地点和方式见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5.2 乙方提供服务的应当在甲方指定的地点完成服务项目。</w:t>
      </w:r>
    </w:p>
    <w:p>
      <w:pPr>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6.</w:t>
      </w:r>
      <w:r>
        <w:rPr>
          <w:rFonts w:hint="eastAsia" w:asciiTheme="minorEastAsia" w:hAnsiTheme="minorEastAsia" w:eastAsiaTheme="minorEastAsia"/>
          <w:b/>
          <w:color w:val="000000" w:themeColor="text1"/>
          <w:sz w:val="24"/>
          <w14:textFill>
            <w14:solidFill>
              <w14:schemeClr w14:val="tx1"/>
            </w14:solidFill>
          </w14:textFill>
        </w:rPr>
        <w:t>货物的验收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6.1 甲方在收到乙方交付的货物后应当及时组织验收。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6.2 货物的表面瑕疵，甲方应在验收时当面提出；对质量问题有异议的应在安装调试后十个工作日内提出。</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6.3 在验收过程中发现数量不足或有质量、技术等问题，乙方应负责按照甲方的要求采取补足、更换或退货等处理措施，并承担由此发生的一切费用和损失。</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6.4 甲方在乙方按合同规定交货或安装、调试后，无正当理由而拖延接收、验收或拒绝接收、验收的，应承担因此给乙方造成的直接损失。</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6.5 甲方对货物进行检查验收合格后，应当收取发票并在《交货验收单》上签署验收意见及加盖单位印章。</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6.6 大型或者复杂的货物采购项目，甲方可以邀请国家认可的质量检测机构参加验收工作，并由其出具验收报告单。</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6.7 乙方提供的进口产品，乙方应出示中华人民共和国进出口商品检验部门出具的检验证书（招标文件第五章采购需求另有约定的除外）。</w:t>
      </w:r>
    </w:p>
    <w:p>
      <w:pPr>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7.货物包装要求</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7.2 每一个包装箱内应附一份详细装箱单、质量证书和保修保养证书。</w:t>
      </w:r>
    </w:p>
    <w:p>
      <w:pPr>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8.运输和保险</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8.1乙方负责办理将货物运抵本合同第5.1条规定的交货地点的一切运输事项，相关费用应包括在合同总价中。</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8.2乙方应向保险公司投保以甲方为受益人的发运合同货物发票金额的110％运输一切险。</w:t>
      </w:r>
    </w:p>
    <w:p>
      <w:pPr>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9.质量标准和保证</w:t>
      </w:r>
    </w:p>
    <w:p>
      <w:pPr>
        <w:pStyle w:val="26"/>
        <w:adjustRightInd w:val="0"/>
        <w:snapToGrid w:val="0"/>
        <w:spacing w:before="50" w:line="360" w:lineRule="auto"/>
        <w:ind w:firstLine="420" w:firstLineChars="200"/>
        <w:jc w:val="left"/>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9.1 质量标准</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（1）本合同下交付的货物应符合招标文件第四章“技术规格、参数与要求”所述的标准。如果没有提及适用标准，则应符合中华人民共和国有关机构发布的最新版本的标准。</w:t>
      </w:r>
    </w:p>
    <w:p>
      <w:pPr>
        <w:pStyle w:val="26"/>
        <w:adjustRightInd w:val="0"/>
        <w:snapToGrid w:val="0"/>
        <w:spacing w:before="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（2）采用中华人民共和国法定计量单位。</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（3）乙方所出售的货物还应符合国家有关安全、环保、卫生之规定。</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9.2 保证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规定或乙方承诺（两者以较长的为准）的质量保证期内，本保证保持有效。</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（2）在质量保证期内所发现的缺陷，甲方应尽快以书面形式通知乙方。</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（3）乙方收到通知后应在</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规定的响应时间内以合理的速度免费维修或更换有缺陷的货物或部件。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（4）在质量保证期内，如果货物的质量或规格与合同不符，或证实货物是有缺陷的，包括潜在的缺陷或使用不符合要求的材料等，甲方可以根据本合同第15.1条规定以书面形式向乙方提出补救措施或索赔。</w:t>
      </w:r>
    </w:p>
    <w:p>
      <w:pPr>
        <w:adjustRightInd w:val="0"/>
        <w:snapToGrid w:val="0"/>
        <w:spacing w:before="50" w:line="360" w:lineRule="auto"/>
        <w:ind w:firstLine="420" w:firstLineChars="200"/>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（5）乙方在约定的时间内未能弥补缺陷，甲方可采取必要的补救措施，但其风险和费用将由乙方承担，甲方根据合同规定对乙方行使的其他权利不受影响。</w:t>
      </w:r>
    </w:p>
    <w:p>
      <w:pPr>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10.权利瑕疵担保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10.1 乙方保证对其出售的货物享有合法的权利。</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10.2 乙方保证在其出售的货物上不存在任何未曾向甲方透露的担保物权，如抵押权、质押权、留置权等。</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10.3 如甲方使用该货物构成上述侵权的，则由乙方承担全部责任。</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11.知识产权保护</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11.1 乙方对其所销售的货物应当享有知识产权或经权利人合法授权，保证没有侵犯任何第三人的知识产权和商业秘密等权利。</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11.2 甲方使用乙方提供的货物对第三人构成侵权的，应当由乙方承担全部法律责任，给甲方造成损害的，乙方应当承担赔偿责任。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11.3 甲方委托乙方开发的产品，甲方享有知识产权，未经甲方许可不得转让任何第三人。</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12.保密义务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12.1 甲、乙双方在采购和履行合同过程中所获悉的对方属于保密的内容，双方均有保密义务。</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13.合同价款支付</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13.1验收合格后，乙方出具正规发票给甲方，凭甲方开具的《政府采购合同验收报告单》办理合同价</w:t>
      </w:r>
      <w:r>
        <w:rPr>
          <w:rFonts w:hint="eastAsia" w:asciiTheme="minorEastAsia" w:hAnsiTheme="minorEastAsia" w:eastAsiaTheme="minorEastAsia"/>
          <w:bCs/>
          <w:color w:val="000000" w:themeColor="text1"/>
          <w:szCs w:val="21"/>
          <w14:textFill>
            <w14:solidFill>
              <w14:schemeClr w14:val="tx1"/>
            </w14:solidFill>
          </w14:textFill>
        </w:rPr>
        <w:t>款</w:t>
      </w:r>
      <w:r>
        <w:rPr>
          <w:rFonts w:hint="eastAsia" w:asciiTheme="minorEastAsia" w:hAnsiTheme="minorEastAsia" w:eastAsiaTheme="minorEastAsia"/>
          <w:color w:val="000000" w:themeColor="text1"/>
          <w:szCs w:val="21"/>
          <w14:textFill>
            <w14:solidFill>
              <w14:schemeClr w14:val="tx1"/>
            </w14:solidFill>
          </w14:textFill>
        </w:rPr>
        <w:t>结算手续。</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13.2 合同价款构成中应当由财政支付的部分，甲方应当在货物验收合格后的十五个工作日内向国库管理部门申请支付，经国库管理部门审核后直接支付给乙方。</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13.3 合同价款构成中应当由甲方自行支付的部分，甲方应当在货物验收合格后十五个</w:t>
      </w:r>
      <w:r>
        <w:rPr>
          <w:rFonts w:hint="eastAsia" w:asciiTheme="minorEastAsia" w:hAnsiTheme="minorEastAsia" w:eastAsiaTheme="minorEastAsia"/>
          <w:color w:val="000000" w:themeColor="text1"/>
          <w:szCs w:val="21"/>
          <w:lang w:eastAsia="zh-CN"/>
          <w14:textFill>
            <w14:solidFill>
              <w14:schemeClr w14:val="tx1"/>
            </w14:solidFill>
          </w14:textFill>
        </w:rPr>
        <w:t>工作日内</w:t>
      </w:r>
      <w:r>
        <w:rPr>
          <w:rFonts w:hint="eastAsia" w:asciiTheme="minorEastAsia" w:hAnsiTheme="minorEastAsia" w:eastAsiaTheme="minorEastAsia"/>
          <w:color w:val="000000" w:themeColor="text1"/>
          <w:szCs w:val="21"/>
          <w14:textFill>
            <w14:solidFill>
              <w14:schemeClr w14:val="tx1"/>
            </w14:solidFill>
          </w14:textFill>
        </w:rPr>
        <w:t>支付。</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13.4支付合同价</w:t>
      </w:r>
      <w:r>
        <w:rPr>
          <w:rFonts w:hint="eastAsia" w:asciiTheme="minorEastAsia" w:hAnsiTheme="minorEastAsia" w:eastAsiaTheme="minorEastAsia"/>
          <w:bCs/>
          <w:color w:val="000000" w:themeColor="text1"/>
          <w:szCs w:val="21"/>
          <w14:textFill>
            <w14:solidFill>
              <w14:schemeClr w14:val="tx1"/>
            </w14:solidFill>
          </w14:textFill>
        </w:rPr>
        <w:t>款</w:t>
      </w:r>
      <w:r>
        <w:rPr>
          <w:rFonts w:hint="eastAsia" w:asciiTheme="minorEastAsia" w:hAnsiTheme="minorEastAsia" w:eastAsiaTheme="minorEastAsia"/>
          <w:color w:val="000000" w:themeColor="text1"/>
          <w:szCs w:val="21"/>
          <w14:textFill>
            <w14:solidFill>
              <w14:schemeClr w14:val="tx1"/>
            </w14:solidFill>
          </w14:textFill>
        </w:rPr>
        <w:t>时，一律不向乙方以外的任何第三方办理付款手续。开户行和账号以签订的政府采购合同为准，如果乙方要求变更，则乙方必须提供加盖了财务专用章、法定代表人签字的证明文件，报经甲方审查同意。</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13.5 合同价款支付方式</w:t>
      </w:r>
      <w:r>
        <w:rPr>
          <w:rFonts w:hint="eastAsia" w:asciiTheme="minorEastAsia" w:hAnsiTheme="minorEastAsia" w:eastAsiaTheme="minorEastAsia"/>
          <w:bCs/>
          <w:color w:val="000000" w:themeColor="text1"/>
          <w:szCs w:val="21"/>
          <w14:textFill>
            <w14:solidFill>
              <w14:schemeClr w14:val="tx1"/>
            </w14:solidFill>
          </w14:textFill>
        </w:rPr>
        <w:t>和条件在</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中另有规定。</w:t>
      </w:r>
    </w:p>
    <w:p>
      <w:pPr>
        <w:autoSpaceDE w:val="0"/>
        <w:autoSpaceDN w:val="0"/>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14.</w:t>
      </w:r>
      <w:r>
        <w:rPr>
          <w:rFonts w:hint="eastAsia" w:asciiTheme="minorEastAsia" w:hAnsiTheme="minorEastAsia" w:eastAsiaTheme="minorEastAsia"/>
          <w:b/>
          <w:color w:val="000000" w:themeColor="text1"/>
          <w:sz w:val="24"/>
          <w14:textFill>
            <w14:solidFill>
              <w14:schemeClr w14:val="tx1"/>
            </w14:solidFill>
          </w14:textFill>
        </w:rPr>
        <w:t>伴随服务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14.1 乙方应向甲方提交所提供货物的技术文件，包括相应的中文技术文件，如：产品目录、图纸、操作手册、使用说明、维护手册或服务指南。这些文件应包装好随同货物一起发运。</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14.2 乙方还应提供下列服务：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（1）货物的现场移动、安装、调试、启动监督及技术支持；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（2）提供货物组装和维修所需的专用工具和辅助材料；</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（3）在合同各方商定的一定期限内对所有的货物实施运行监督、维修，但前提条件是该服务并不能免除乙方在质量保证期内所承担的义务；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（4）在制造商或项目现场就货物的安装、启动、运营、维护对甲方操作人员进行培训；</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与招标文件第五章采购需求规定的其他伴随服务。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14.3 乙方提供的伴随服务的费用应包含在合同价款中，甲方不再另行支付。</w:t>
      </w:r>
    </w:p>
    <w:p>
      <w:pPr>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15.违约责任</w:t>
      </w:r>
    </w:p>
    <w:p>
      <w:pPr>
        <w:adjustRightInd w:val="0"/>
        <w:snapToGrid w:val="0"/>
        <w:spacing w:before="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15.1质量瑕疵的补救措施和索赔</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①乙方同意退货并将货款退还给甲方，由此发生的一切费用和损失由乙方承担。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②根据货物的质量状况以及甲方所遭受的损失，经过甲乙双方商定降低货物的价格。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15.2 迟延交货的违约责任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（2）除本合同</w:t>
      </w:r>
      <w:r>
        <w:rPr>
          <w:rFonts w:hint="eastAsia" w:asciiTheme="minorEastAsia" w:hAnsiTheme="minorEastAsia" w:eastAsiaTheme="minorEastAsia"/>
          <w:bCs/>
          <w:color w:val="000000" w:themeColor="text1"/>
          <w:szCs w:val="21"/>
          <w14:textFill>
            <w14:solidFill>
              <w14:schemeClr w14:val="tx1"/>
            </w14:solidFill>
          </w14:textFill>
        </w:rPr>
        <w:t>第20条</w:t>
      </w:r>
      <w:r>
        <w:rPr>
          <w:rFonts w:hint="eastAsia" w:asciiTheme="minorEastAsia" w:hAnsiTheme="minorEastAsia" w:eastAsiaTheme="minorEastAsia"/>
          <w:color w:val="000000" w:themeColor="text1"/>
          <w:szCs w:val="21"/>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如果乙方迟延交货，甲方有权终止全部或部分合同，并依其认为适当的条件和方法购买与未交货物类似的货物，乙方应对购买类似货物所超出的那部分费用负责。但是，乙方应继续执行合同中未终止的部分。</w:t>
      </w:r>
    </w:p>
    <w:p>
      <w:pPr>
        <w:autoSpaceDE w:val="0"/>
        <w:autoSpaceDN w:val="0"/>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16.合同的变更</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16.1 在合同履行过程中，甲、乙双方可就合同履行的时间、地点和方式等协商进行变更。协商一致后，双方应签订书面的补充协议。</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16.2 在不改变合同其他条款的前提下，甲方有权在合同价款百分之十的范围内追加与合同标的相同的货物或服务，并就此与乙方签订补充合同，乙方不得拒绝。</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16.3 除双方签署书面协议，并成为合同不可分割的一部分外，本合同条件不得有任何变更。</w:t>
      </w:r>
    </w:p>
    <w:p>
      <w:pPr>
        <w:autoSpaceDE w:val="0"/>
        <w:autoSpaceDN w:val="0"/>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17.合同中止与终止</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17.1合同的中止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（1）合同在履行过程中，因采购计划调整，甲方可以要求中止履行，待计划确定后继续履行；</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（2）合同履行过程中因供应商就采购过程或结果提起投诉的，甲方认为有必要或财政部门责令中止的，应当中止合同的履行。</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17.2合同的终止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（1）合同因有效期限届满而终止；</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（2）乙方未能依照本合同约定条件履行合同，已构成根本性违约的，甲方有权终止本合同，并追究乙方的违约责任。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（3）如果乙方丧失履约能力或被宣告破产，甲方可在任何时候以书面形式通知乙方终止合同而不给乙方补偿。</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（4）如果乙方在履行合同过程中有不正当竞争行为，甲方有权解除合同，并按《中华人民共和国反不正当竞争法》规定由有关部门追究其法律责任。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（5）如果合同的履行将损害国家利益或社会公共利益，甲方有权终止合同的履行，给乙方造成损失的予以相应补偿。</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18.合同转让和分包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18.1 乙方不得以任何形式将合同转包。</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18.2 乙方未在投标文件中说明，不得将</w:t>
      </w:r>
      <w:r>
        <w:rPr>
          <w:rFonts w:hint="eastAsia" w:asciiTheme="minorEastAsia" w:hAnsiTheme="minorEastAsia" w:eastAsiaTheme="minorEastAsia"/>
          <w:bCs/>
          <w:color w:val="000000" w:themeColor="text1"/>
          <w:szCs w:val="21"/>
          <w14:textFill>
            <w14:solidFill>
              <w14:schemeClr w14:val="tx1"/>
            </w14:solidFill>
          </w14:textFill>
        </w:rPr>
        <w:t>合同</w:t>
      </w:r>
      <w:r>
        <w:rPr>
          <w:rFonts w:hint="eastAsia" w:asciiTheme="minorEastAsia" w:hAnsiTheme="minorEastAsia" w:eastAsiaTheme="minorEastAsia"/>
          <w:color w:val="000000" w:themeColor="text1"/>
          <w:szCs w:val="21"/>
          <w14:textFill>
            <w14:solidFill>
              <w14:schemeClr w14:val="tx1"/>
            </w14:solidFill>
          </w14:textFill>
        </w:rPr>
        <w:t>的非主体、非关键性工作分包给他人。</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19.不可抗力</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19.1 不可抗力是指合同双方不可预见、不可避免、不可克服的自然灾害和社会事件。</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19.2 任何一方对由于不可抗力造成的部分或全部不能履行合同不承担违约责任。但迟延履行后发生不可抗力的，不能免除责任。</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19.3 遇有不可抗力的一方，应在三日内将事件的情况以书面形式通知另一方，并在事件发生后十日内，向另一方提交合同不能履行或部分不能履行或需要延期履行理由的报告。</w:t>
      </w:r>
    </w:p>
    <w:p>
      <w:pPr>
        <w:autoSpaceDE w:val="0"/>
        <w:autoSpaceDN w:val="0"/>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20.解决争议的方法</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20.1 合同各方应通过友好协商，解决在执行合同过程中所发生的或与合同有关的一切争端。如从协商开始后十日内仍不能解决，可以向财政部门提请调解。</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20.2 调解不成可以按</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r>
        <w:rPr>
          <w:rFonts w:hint="eastAsia" w:asciiTheme="minorEastAsia" w:hAnsiTheme="minorEastAsia" w:eastAsiaTheme="minorEastAsia"/>
          <w:color w:val="000000" w:themeColor="text1"/>
          <w:szCs w:val="21"/>
          <w14:textFill>
            <w14:solidFill>
              <w14:schemeClr w14:val="tx1"/>
            </w14:solidFill>
          </w14:textFill>
        </w:rPr>
        <w:t>中约定中规定下列方式之一提起仲裁或诉讼：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（1）向甲方所在地仲裁机构提起仲裁；</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（2）向甲方所在地人民法院提起诉讼。</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20.3 如仲裁或诉讼事项不影响合同其它部分的履行，则在仲裁或诉讼期间，除正在进行仲裁或诉讼的部分外，合同的其它部分应继续执行。</w:t>
      </w:r>
    </w:p>
    <w:p>
      <w:pPr>
        <w:autoSpaceDE w:val="0"/>
        <w:autoSpaceDN w:val="0"/>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21.法律适用</w:t>
      </w:r>
    </w:p>
    <w:p>
      <w:pPr>
        <w:autoSpaceDE w:val="0"/>
        <w:autoSpaceDN w:val="0"/>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21.1 本合同适用中华人民共和国现行法律、行政法规和规章，如合同条款与法律、行政法规和规章不一致的，按照法律、行政法规和规章修改本合同。</w:t>
      </w:r>
    </w:p>
    <w:p>
      <w:pPr>
        <w:autoSpaceDE w:val="0"/>
        <w:autoSpaceDN w:val="0"/>
        <w:adjustRightInd w:val="0"/>
        <w:snapToGrid w:val="0"/>
        <w:spacing w:before="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22.</w:t>
      </w:r>
      <w:r>
        <w:rPr>
          <w:rFonts w:hint="eastAsia" w:asciiTheme="minorEastAsia" w:hAnsiTheme="minorEastAsia" w:eastAsiaTheme="minorEastAsia"/>
          <w:b/>
          <w:color w:val="000000" w:themeColor="text1"/>
          <w:sz w:val="24"/>
          <w14:textFill>
            <w14:solidFill>
              <w14:schemeClr w14:val="tx1"/>
            </w14:solidFill>
          </w14:textFill>
        </w:rPr>
        <w:t>通知</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22.1本合同一方给另一方的通知均应采用书面形式，传真或快递送到本合同中规定的对方的地址和办理签收手续，</w:t>
      </w:r>
    </w:p>
    <w:p>
      <w:pPr>
        <w:adjustRightInd w:val="0"/>
        <w:snapToGrid w:val="0"/>
        <w:spacing w:before="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22.2通知以送到之日或通知书中规定的生效之日起生效，两者中以较迟之日为准。</w:t>
      </w:r>
    </w:p>
    <w:p>
      <w:pPr>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23. 合同未尽事项</w:t>
      </w:r>
    </w:p>
    <w:p>
      <w:pPr>
        <w:adjustRightInd w:val="0"/>
        <w:snapToGrid w:val="0"/>
        <w:spacing w:before="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23.1合同未尽事项见</w:t>
      </w:r>
      <w:r>
        <w:rPr>
          <w:rFonts w:hint="eastAsia" w:asciiTheme="minorEastAsia" w:hAnsiTheme="minorEastAsia" w:eastAsiaTheme="minorEastAsia"/>
          <w:b/>
          <w:color w:val="000000" w:themeColor="text1"/>
          <w:szCs w:val="21"/>
          <w14:textFill>
            <w14:solidFill>
              <w14:schemeClr w14:val="tx1"/>
            </w14:solidFill>
          </w14:textFill>
        </w:rPr>
        <w:t>【政府采购合同专用条款】。</w:t>
      </w:r>
    </w:p>
    <w:p>
      <w:pPr>
        <w:adjustRightInd w:val="0"/>
        <w:snapToGrid w:val="0"/>
        <w:spacing w:before="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24.合同生效</w:t>
      </w:r>
    </w:p>
    <w:p>
      <w:pPr>
        <w:autoSpaceDE w:val="0"/>
        <w:autoSpaceDN w:val="0"/>
        <w:adjustRightInd w:val="0"/>
        <w:snapToGrid w:val="0"/>
        <w:spacing w:before="50" w:line="360" w:lineRule="auto"/>
        <w:ind w:firstLine="420" w:firstLineChars="200"/>
        <w:jc w:val="left"/>
        <w:rPr>
          <w:rFonts w:ascii="黑体" w:hAnsi="黑体" w:eastAsia="黑体"/>
          <w:b/>
          <w:bCs/>
          <w:color w:val="000000" w:themeColor="text1"/>
          <w:sz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24.1 本合同在合同双方签字盖章后生效。</w:t>
      </w:r>
      <w:r>
        <w:rPr>
          <w:rFonts w:ascii="黑体" w:hAnsi="黑体" w:eastAsia="黑体"/>
          <w:b/>
          <w:bCs/>
          <w:color w:val="000000" w:themeColor="text1"/>
          <w:sz w:val="32"/>
          <w14:textFill>
            <w14:solidFill>
              <w14:schemeClr w14:val="tx1"/>
            </w14:solidFill>
          </w14:textFill>
        </w:rPr>
        <w:br w:type="page"/>
      </w:r>
    </w:p>
    <w:p>
      <w:pPr>
        <w:pStyle w:val="6"/>
        <w:adjustRightInd w:val="0"/>
        <w:snapToGrid w:val="0"/>
        <w:jc w:val="center"/>
        <w:rPr>
          <w:rFonts w:ascii="宋体" w:hAnsi="宋体"/>
          <w:color w:val="000000" w:themeColor="text1"/>
          <w14:textFill>
            <w14:solidFill>
              <w14:schemeClr w14:val="tx1"/>
            </w14:solidFill>
          </w14:textFill>
        </w:rPr>
      </w:pPr>
      <w:bookmarkStart w:id="81" w:name="_Toc8983757"/>
      <w:bookmarkStart w:id="82" w:name="_Toc16310"/>
      <w:r>
        <w:rPr>
          <w:rFonts w:hint="eastAsia" w:ascii="黑体" w:hAnsi="华文中宋" w:eastAsia="黑体"/>
          <w:color w:val="000000" w:themeColor="text1"/>
          <w:sz w:val="28"/>
          <w:szCs w:val="28"/>
          <w14:textFill>
            <w14:solidFill>
              <w14:schemeClr w14:val="tx1"/>
            </w14:solidFill>
          </w14:textFill>
        </w:rPr>
        <w:t>第三节 政府采购合同专用条款</w:t>
      </w:r>
      <w:bookmarkEnd w:id="81"/>
      <w:bookmarkEnd w:id="82"/>
    </w:p>
    <w:tbl>
      <w:tblPr>
        <w:tblStyle w:val="46"/>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第1.1款</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甲方名称、地址 </w:t>
            </w:r>
          </w:p>
        </w:tc>
        <w:tc>
          <w:tcPr>
            <w:tcW w:w="5464" w:type="dxa"/>
            <w:vAlign w:val="center"/>
          </w:tcPr>
          <w:p>
            <w:pPr>
              <w:pStyle w:val="26"/>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textAlignment w:val="auto"/>
              <w:rPr>
                <w:rFonts w:hint="default" w:hAnsi="宋体"/>
                <w:color w:val="auto"/>
                <w:spacing w:val="0"/>
                <w:w w:val="100"/>
                <w:position w:val="0"/>
                <w:sz w:val="21"/>
                <w:szCs w:val="21"/>
                <w:highlight w:val="none"/>
              </w:rPr>
            </w:pPr>
            <w:r>
              <w:rPr>
                <w:rFonts w:hint="eastAsia" w:hAnsi="宋体"/>
                <w:color w:val="auto"/>
                <w:spacing w:val="0"/>
                <w:w w:val="100"/>
                <w:position w:val="0"/>
                <w:sz w:val="21"/>
                <w:szCs w:val="21"/>
                <w:highlight w:val="none"/>
              </w:rPr>
              <w:t>采 购 人：</w:t>
            </w:r>
            <w:r>
              <w:rPr>
                <w:rFonts w:hint="eastAsia" w:hAnsi="宋体" w:cs="宋体"/>
                <w:color w:val="auto"/>
                <w:spacing w:val="0"/>
                <w:w w:val="100"/>
                <w:position w:val="0"/>
                <w:sz w:val="21"/>
                <w:szCs w:val="21"/>
                <w:highlight w:val="none"/>
              </w:rPr>
              <w:t>长沙市消防救援支队</w:t>
            </w:r>
          </w:p>
          <w:p>
            <w:pPr>
              <w:pStyle w:val="26"/>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leftChars="0" w:right="0" w:rightChars="0"/>
              <w:textAlignment w:val="auto"/>
              <w:rPr>
                <w:rFonts w:hAnsi="宋体"/>
                <w:color w:val="000000" w:themeColor="text1"/>
                <w14:textFill>
                  <w14:solidFill>
                    <w14:schemeClr w14:val="tx1"/>
                  </w14:solidFill>
                </w14:textFill>
              </w:rPr>
            </w:pPr>
            <w:r>
              <w:rPr>
                <w:rFonts w:hint="eastAsia" w:hAnsi="宋体"/>
                <w:color w:val="auto"/>
                <w:spacing w:val="0"/>
                <w:w w:val="100"/>
                <w:position w:val="0"/>
                <w:sz w:val="21"/>
                <w:szCs w:val="21"/>
                <w:highlight w:val="none"/>
              </w:rPr>
              <w:t>地    址：长沙市开福区四方坪学堂园路156号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第1.2（6）项</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项目现场</w:t>
            </w:r>
          </w:p>
        </w:tc>
        <w:tc>
          <w:tcPr>
            <w:tcW w:w="5464"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default" w:ascii="宋体" w:hAnsi="宋体" w:eastAsia="宋体" w:cs="Times New Roman"/>
                <w:color w:val="000000" w:themeColor="text1"/>
                <w:szCs w:val="21"/>
                <w14:textFill>
                  <w14:solidFill>
                    <w14:schemeClr w14:val="tx1"/>
                  </w14:solidFill>
                </w14:textFill>
              </w:rPr>
              <w:t>甲方指定地点。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第5.1款</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履行合同的时间、地点及方式</w:t>
            </w:r>
          </w:p>
        </w:tc>
        <w:tc>
          <w:tcPr>
            <w:tcW w:w="5464"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pacing w:val="0"/>
                <w:w w:val="100"/>
                <w:position w:val="0"/>
                <w:sz w:val="21"/>
                <w:szCs w:val="21"/>
                <w:highlight w:val="none"/>
                <w:lang w:eastAsia="zh-CN"/>
              </w:rPr>
            </w:pPr>
            <w:r>
              <w:rPr>
                <w:rFonts w:hint="eastAsia" w:ascii="宋体" w:hAnsi="宋体" w:cs="宋体"/>
                <w:color w:val="auto"/>
                <w:spacing w:val="0"/>
                <w:w w:val="100"/>
                <w:position w:val="0"/>
                <w:sz w:val="21"/>
                <w:szCs w:val="21"/>
                <w:highlight w:val="none"/>
              </w:rPr>
              <w:t>交货时间：</w:t>
            </w:r>
            <w:r>
              <w:rPr>
                <w:rFonts w:hint="eastAsia" w:ascii="宋体" w:hAnsi="宋体" w:eastAsia="宋体" w:cs="宋体"/>
                <w:b/>
                <w:bCs/>
                <w:color w:val="auto"/>
                <w:kern w:val="2"/>
                <w:sz w:val="21"/>
                <w:szCs w:val="21"/>
                <w:highlight w:val="none"/>
                <w:lang w:eastAsia="zh-CN" w:bidi="ar"/>
              </w:rPr>
              <w:t>合同签订后</w:t>
            </w:r>
            <w:r>
              <w:rPr>
                <w:rFonts w:hint="eastAsia" w:cs="宋体"/>
                <w:b/>
                <w:bCs/>
                <w:color w:val="auto"/>
                <w:kern w:val="2"/>
                <w:sz w:val="21"/>
                <w:szCs w:val="21"/>
                <w:highlight w:val="none"/>
                <w:lang w:val="en-US" w:eastAsia="zh-CN" w:bidi="ar"/>
              </w:rPr>
              <w:t>两</w:t>
            </w:r>
            <w:r>
              <w:rPr>
                <w:rFonts w:hint="eastAsia" w:ascii="宋体" w:hAnsi="宋体" w:eastAsia="宋体" w:cs="宋体"/>
                <w:b/>
                <w:bCs/>
                <w:color w:val="auto"/>
                <w:kern w:val="2"/>
                <w:sz w:val="21"/>
                <w:szCs w:val="21"/>
                <w:highlight w:val="none"/>
                <w:lang w:eastAsia="zh-CN" w:bidi="ar"/>
              </w:rPr>
              <w:t>个月内</w:t>
            </w:r>
            <w:r>
              <w:rPr>
                <w:rFonts w:hint="eastAsia" w:ascii="宋体" w:hAnsi="宋体" w:cs="宋体"/>
                <w:color w:val="auto"/>
                <w:spacing w:val="0"/>
                <w:w w:val="100"/>
                <w:position w:val="0"/>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default" w:ascii="宋体" w:hAnsi="宋体"/>
                <w:color w:val="auto"/>
                <w:spacing w:val="0"/>
                <w:w w:val="100"/>
                <w:position w:val="0"/>
                <w:sz w:val="21"/>
                <w:szCs w:val="21"/>
                <w:highlight w:val="none"/>
              </w:rPr>
            </w:pPr>
            <w:r>
              <w:rPr>
                <w:rFonts w:hint="eastAsia" w:ascii="宋体" w:hAnsi="宋体" w:cs="宋体"/>
                <w:color w:val="auto"/>
                <w:spacing w:val="0"/>
                <w:w w:val="100"/>
                <w:position w:val="0"/>
                <w:sz w:val="21"/>
                <w:szCs w:val="21"/>
                <w:highlight w:val="none"/>
              </w:rPr>
              <w:t>交货地点：</w:t>
            </w:r>
            <w:r>
              <w:rPr>
                <w:rFonts w:hint="eastAsia" w:ascii="宋体" w:hAnsi="宋体" w:eastAsia="宋体" w:cs="宋体"/>
                <w:color w:val="auto"/>
                <w:kern w:val="2"/>
                <w:sz w:val="21"/>
                <w:szCs w:val="21"/>
                <w:highlight w:val="none"/>
                <w:lang w:bidi="ar"/>
              </w:rPr>
              <w:t>送达至长沙市消防救援支队</w:t>
            </w:r>
            <w:r>
              <w:rPr>
                <w:rFonts w:hint="eastAsia" w:cs="宋体"/>
                <w:color w:val="auto"/>
                <w:kern w:val="2"/>
                <w:sz w:val="21"/>
                <w:szCs w:val="21"/>
                <w:highlight w:val="none"/>
                <w:lang w:val="en-US" w:eastAsia="zh-CN" w:bidi="ar"/>
              </w:rPr>
              <w:t>指定地点</w:t>
            </w:r>
            <w:r>
              <w:rPr>
                <w:rFonts w:hint="eastAsia" w:ascii="宋体" w:hAnsi="宋体" w:eastAsia="宋体" w:cs="宋体"/>
                <w:color w:val="auto"/>
                <w:kern w:val="2"/>
                <w:sz w:val="21"/>
                <w:szCs w:val="21"/>
                <w:highlight w:val="none"/>
                <w:lang w:bidi="ar"/>
              </w:rPr>
              <w:t>进行验收</w:t>
            </w:r>
            <w:r>
              <w:rPr>
                <w:rFonts w:hint="default"/>
                <w:color w:val="auto"/>
                <w:spacing w:val="0"/>
                <w:w w:val="100"/>
                <w:position w:val="0"/>
                <w:sz w:val="21"/>
                <w:szCs w:val="21"/>
                <w:highlight w:val="none"/>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left"/>
              <w:textAlignment w:val="auto"/>
              <w:rPr>
                <w:rFonts w:ascii="宋体" w:hAnsi="宋体"/>
                <w:color w:val="000000" w:themeColor="text1"/>
                <w:szCs w:val="21"/>
                <w14:textFill>
                  <w14:solidFill>
                    <w14:schemeClr w14:val="tx1"/>
                  </w14:solidFill>
                </w14:textFill>
              </w:rPr>
            </w:pPr>
            <w:r>
              <w:rPr>
                <w:rFonts w:hint="eastAsia" w:ascii="宋体" w:hAnsi="宋体" w:cs="宋体"/>
                <w:color w:val="auto"/>
                <w:spacing w:val="0"/>
                <w:w w:val="100"/>
                <w:position w:val="0"/>
                <w:sz w:val="21"/>
                <w:szCs w:val="21"/>
                <w:highlight w:val="none"/>
              </w:rPr>
              <w:t>交货方式：</w:t>
            </w:r>
            <w:r>
              <w:rPr>
                <w:rFonts w:hint="eastAsia" w:ascii="宋体" w:hAnsi="宋体" w:eastAsia="宋体" w:cs="宋体"/>
                <w:color w:val="auto"/>
                <w:kern w:val="2"/>
                <w:sz w:val="21"/>
                <w:szCs w:val="21"/>
                <w:highlight w:val="none"/>
                <w:lang w:bidi="ar"/>
              </w:rPr>
              <w:t>中标人负责货物的运输、保管、安装调试直至验收合格，并承担验收前的一切风险、责任和费用</w:t>
            </w:r>
            <w:r>
              <w:rPr>
                <w:rFonts w:hint="eastAsia" w:ascii="宋体" w:hAnsi="宋体" w:cs="宋体"/>
                <w:color w:val="auto"/>
                <w:spacing w:val="0"/>
                <w:w w:val="100"/>
                <w:position w:val="0"/>
                <w:sz w:val="21"/>
                <w:szCs w:val="21"/>
                <w:highlight w:val="none"/>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第9.2（1）项</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质量保证期</w:t>
            </w:r>
          </w:p>
        </w:tc>
        <w:tc>
          <w:tcPr>
            <w:tcW w:w="5464" w:type="dxa"/>
            <w:vAlign w:val="center"/>
          </w:tcPr>
          <w:p>
            <w:pPr>
              <w:pStyle w:val="41"/>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right="0" w:firstLine="0" w:firstLineChars="0"/>
              <w:jc w:val="both"/>
              <w:textAlignment w:val="auto"/>
              <w:rPr>
                <w:rFonts w:hint="eastAsia" w:ascii="宋体" w:hAnsi="宋体" w:eastAsia="宋体" w:cs="宋体"/>
                <w:b/>
                <w:bCs/>
                <w:color w:val="auto"/>
                <w:sz w:val="21"/>
                <w:szCs w:val="21"/>
                <w:highlight w:val="none"/>
              </w:rPr>
            </w:pPr>
            <w:r>
              <w:rPr>
                <w:rFonts w:hint="eastAsia" w:cs="宋体"/>
                <w:b/>
                <w:bCs/>
                <w:color w:val="auto"/>
                <w:kern w:val="2"/>
                <w:sz w:val="21"/>
                <w:szCs w:val="21"/>
                <w:highlight w:val="none"/>
                <w:lang w:val="en-US" w:eastAsia="zh-CN" w:bidi="ar"/>
              </w:rPr>
              <w:t>1</w:t>
            </w:r>
            <w:r>
              <w:rPr>
                <w:rFonts w:hint="eastAsia" w:ascii="宋体" w:hAnsi="宋体" w:eastAsia="宋体" w:cs="宋体"/>
                <w:b/>
                <w:bCs/>
                <w:color w:val="auto"/>
                <w:kern w:val="2"/>
                <w:sz w:val="21"/>
                <w:szCs w:val="21"/>
                <w:highlight w:val="none"/>
                <w:lang w:bidi="ar"/>
              </w:rPr>
              <w:t>．质量保证</w:t>
            </w:r>
          </w:p>
          <w:p>
            <w:pPr>
              <w:pStyle w:val="41"/>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bidi="ar"/>
              </w:rPr>
              <w:t>.1 所投产品所有部件的质量保证及售后服务均由中标人负责，所有部件的质保期为</w:t>
            </w:r>
            <w:r>
              <w:rPr>
                <w:rFonts w:hint="eastAsia" w:cs="宋体"/>
                <w:color w:val="auto"/>
                <w:kern w:val="2"/>
                <w:sz w:val="21"/>
                <w:szCs w:val="21"/>
                <w:highlight w:val="none"/>
                <w:lang w:val="en-US" w:eastAsia="zh-CN" w:bidi="ar"/>
              </w:rPr>
              <w:t>三</w:t>
            </w:r>
            <w:r>
              <w:rPr>
                <w:rFonts w:hint="eastAsia" w:ascii="宋体" w:hAnsi="宋体" w:eastAsia="宋体" w:cs="宋体"/>
                <w:color w:val="auto"/>
                <w:kern w:val="2"/>
                <w:sz w:val="21"/>
                <w:szCs w:val="21"/>
                <w:highlight w:val="none"/>
                <w:lang w:bidi="ar"/>
              </w:rPr>
              <w:t>年；</w:t>
            </w:r>
          </w:p>
          <w:p>
            <w:pPr>
              <w:pStyle w:val="41"/>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bidi="ar"/>
              </w:rPr>
              <w:t>.2中标人提供的产品应是原装正品，符合国家质量检验标准，具有出厂合格证或国家鉴定合格证，能提供全套原产地证明、产品合格证；</w:t>
            </w:r>
          </w:p>
          <w:p>
            <w:pPr>
              <w:pStyle w:val="41"/>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right="0" w:firstLine="0" w:firstLineChars="0"/>
              <w:jc w:val="both"/>
              <w:textAlignment w:val="auto"/>
              <w:rPr>
                <w:rFonts w:hint="default" w:ascii="宋体" w:hAnsi="宋体" w:eastAsia="宋体" w:cs="宋体"/>
                <w:color w:val="auto"/>
                <w:sz w:val="21"/>
                <w:szCs w:val="21"/>
                <w:highlight w:val="none"/>
                <w:lang w:val="en-US" w:eastAsia="zh-CN"/>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bidi="ar"/>
              </w:rPr>
              <w:t>.3 其他方面必须符合应急管理部消防救援局检验合格标准</w:t>
            </w:r>
            <w:r>
              <w:rPr>
                <w:rFonts w:hint="eastAsia" w:ascii="宋体" w:hAnsi="宋体" w:eastAsia="宋体" w:cs="宋体"/>
                <w:color w:val="auto"/>
                <w:kern w:val="2"/>
                <w:sz w:val="21"/>
                <w:szCs w:val="21"/>
                <w:highlight w:val="none"/>
                <w:lang w:eastAsia="zh-CN" w:bidi="ar"/>
              </w:rPr>
              <w:t>，</w:t>
            </w:r>
            <w:r>
              <w:rPr>
                <w:rFonts w:hint="eastAsia" w:ascii="宋体" w:hAnsi="宋体" w:eastAsia="宋体" w:cs="宋体"/>
                <w:color w:val="auto"/>
                <w:kern w:val="2"/>
                <w:sz w:val="21"/>
                <w:szCs w:val="21"/>
                <w:highlight w:val="none"/>
                <w:lang w:val="en-US" w:eastAsia="zh-CN" w:bidi="ar"/>
              </w:rPr>
              <w:t>甲方在验收时有权要求进行抽样送检。</w:t>
            </w:r>
          </w:p>
          <w:p>
            <w:pPr>
              <w:pStyle w:val="41"/>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80" w:lineRule="exact"/>
              <w:ind w:left="0" w:leftChars="0" w:right="0" w:rightChars="0" w:firstLine="0" w:firstLineChars="0"/>
              <w:jc w:val="both"/>
              <w:textAlignment w:val="auto"/>
              <w:rPr>
                <w:rFonts w:ascii="宋体" w:hAnsi="宋体"/>
                <w:color w:val="000000" w:themeColor="text1"/>
                <w:szCs w:val="21"/>
                <w14:textFill>
                  <w14:solidFill>
                    <w14:schemeClr w14:val="tx1"/>
                  </w14:solidFill>
                </w14:textFill>
              </w:rPr>
            </w:pPr>
            <w:r>
              <w:rPr>
                <w:rFonts w:hint="eastAsia" w:cs="宋体"/>
                <w:b/>
                <w:bCs/>
                <w:color w:val="auto"/>
                <w:kern w:val="2"/>
                <w:sz w:val="21"/>
                <w:szCs w:val="21"/>
                <w:highlight w:val="none"/>
                <w:lang w:val="en-US" w:eastAsia="zh-CN" w:bidi="ar"/>
              </w:rPr>
              <w:t>2</w:t>
            </w:r>
            <w:r>
              <w:rPr>
                <w:rFonts w:hint="eastAsia" w:ascii="宋体" w:hAnsi="宋体" w:eastAsia="宋体" w:cs="宋体"/>
                <w:b/>
                <w:bCs/>
                <w:color w:val="auto"/>
                <w:kern w:val="2"/>
                <w:sz w:val="21"/>
                <w:szCs w:val="21"/>
                <w:highlight w:val="none"/>
                <w:lang w:bidi="ar"/>
              </w:rPr>
              <w:t>、质保期：项目整体质保期限为</w:t>
            </w:r>
            <w:r>
              <w:rPr>
                <w:rFonts w:hint="eastAsia" w:cs="宋体"/>
                <w:b/>
                <w:bCs/>
                <w:color w:val="auto"/>
                <w:kern w:val="2"/>
                <w:sz w:val="21"/>
                <w:szCs w:val="21"/>
                <w:highlight w:val="none"/>
                <w:lang w:val="en-US" w:eastAsia="zh-CN" w:bidi="ar"/>
              </w:rPr>
              <w:t>三</w:t>
            </w:r>
            <w:r>
              <w:rPr>
                <w:rFonts w:hint="eastAsia" w:ascii="宋体" w:hAnsi="宋体" w:eastAsia="宋体" w:cs="宋体"/>
                <w:b/>
                <w:bCs/>
                <w:color w:val="auto"/>
                <w:kern w:val="2"/>
                <w:sz w:val="21"/>
                <w:szCs w:val="21"/>
                <w:highlight w:val="none"/>
                <w:lang w:bidi="ar"/>
              </w:rPr>
              <w:t>年，参数有具体要求的以参数为准，从货物验收合格交付后开始计算。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第9.2（3）项</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响应时间</w:t>
            </w:r>
          </w:p>
        </w:tc>
        <w:tc>
          <w:tcPr>
            <w:tcW w:w="5464"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Cs w:val="21"/>
                <w:lang w:eastAsia="zh-CN"/>
                <w14:textFill>
                  <w14:solidFill>
                    <w14:schemeClr w14:val="tx1"/>
                  </w14:solidFill>
                </w14:textFill>
              </w:rPr>
              <w:t>详见第五章采购需求</w:t>
            </w:r>
            <w:r>
              <w:rPr>
                <w:rFonts w:hint="eastAsia" w:ascii="宋体" w:hAnsi="宋体" w:eastAsia="宋体" w:cs="Times New Roman"/>
                <w:color w:val="000000" w:themeColor="text1"/>
                <w:szCs w:val="21"/>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第13.5款</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合同价款支付方式</w:t>
            </w:r>
            <w:r>
              <w:rPr>
                <w:rFonts w:hint="eastAsia" w:ascii="宋体" w:hAnsi="宋体"/>
                <w:bCs/>
                <w:color w:val="000000" w:themeColor="text1"/>
                <w:szCs w:val="21"/>
                <w14:textFill>
                  <w14:solidFill>
                    <w14:schemeClr w14:val="tx1"/>
                  </w14:solidFill>
                </w14:textFill>
              </w:rPr>
              <w:t>和条件</w:t>
            </w:r>
          </w:p>
        </w:tc>
        <w:tc>
          <w:tcPr>
            <w:tcW w:w="5464"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left"/>
              <w:textAlignment w:val="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eastAsia="宋体" w:cs="宋体"/>
                <w:b/>
                <w:bCs w:val="0"/>
                <w:color w:val="auto"/>
                <w:sz w:val="21"/>
                <w:szCs w:val="21"/>
                <w:highlight w:val="none"/>
              </w:rPr>
              <w:t>装备交付验收合格并结算审计后，乙方提供正规税务发票和合同金额5%的银行保函，甲方按结算审计金额一次性支付（保函期限不少于</w:t>
            </w:r>
            <w:r>
              <w:rPr>
                <w:rFonts w:hint="eastAsia" w:ascii="宋体" w:hAnsi="宋体" w:eastAsia="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年，</w:t>
            </w:r>
            <w:r>
              <w:rPr>
                <w:rFonts w:hint="eastAsia" w:ascii="宋体" w:hAnsi="宋体" w:eastAsia="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年后无质量、售后及其他经济法律纠纷等问题可申请退回保函）</w:t>
            </w:r>
            <w:r>
              <w:rPr>
                <w:rFonts w:hint="eastAsia" w:ascii="宋体" w:hAnsi="宋体" w:cs="宋体"/>
                <w:b/>
                <w:bCs w:val="0"/>
                <w:color w:val="auto"/>
                <w:sz w:val="21"/>
                <w:szCs w:val="21"/>
                <w:highlight w:val="none"/>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trPr>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第14.2（5）项</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乙方提供的其他服务</w:t>
            </w:r>
          </w:p>
        </w:tc>
        <w:tc>
          <w:tcPr>
            <w:tcW w:w="5464"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或第五章采购需求。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第20.2款</w:t>
            </w:r>
          </w:p>
        </w:tc>
        <w:tc>
          <w:tcPr>
            <w:tcW w:w="1843" w:type="dxa"/>
            <w:vAlign w:val="center"/>
          </w:tcPr>
          <w:p>
            <w:pPr>
              <w:adjustRightInd w:val="0"/>
              <w:snapToGrid w:val="0"/>
              <w:spacing w:line="360" w:lineRule="auto"/>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解决争议的方式</w:t>
            </w:r>
          </w:p>
        </w:tc>
        <w:tc>
          <w:tcPr>
            <w:tcW w:w="5464"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sym w:font="Wingdings 2" w:char="0052"/>
            </w:r>
            <w:r>
              <w:rPr>
                <w:rFonts w:hint="eastAsia" w:ascii="宋体" w:hAnsi="宋体"/>
                <w:color w:val="000000" w:themeColor="text1"/>
                <w:szCs w:val="21"/>
                <w14:textFill>
                  <w14:solidFill>
                    <w14:schemeClr w14:val="tx1"/>
                  </w14:solidFill>
                </w14:textFill>
              </w:rPr>
              <w:t xml:space="preserve"> 诉讼</w:t>
            </w:r>
          </w:p>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仲裁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第五章第二节</w:t>
            </w:r>
          </w:p>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第23.1款</w:t>
            </w:r>
          </w:p>
        </w:tc>
        <w:tc>
          <w:tcPr>
            <w:tcW w:w="1843"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合同未尽事项</w:t>
            </w:r>
          </w:p>
        </w:tc>
        <w:tc>
          <w:tcPr>
            <w:tcW w:w="5464" w:type="dxa"/>
            <w:vAlign w:val="center"/>
          </w:tcPr>
          <w:p>
            <w:pPr>
              <w:adjustRightInd w:val="0"/>
              <w:snapToGrid w:val="0"/>
              <w:spacing w:line="360" w:lineRule="auto"/>
              <w:jc w:val="left"/>
              <w:rPr>
                <w:rFonts w:ascii="宋体" w:hAnsi="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协商解决。</w:t>
            </w:r>
          </w:p>
        </w:tc>
      </w:tr>
    </w:tbl>
    <w:p>
      <w:pPr>
        <w:pStyle w:val="26"/>
        <w:adjustRightInd w:val="0"/>
        <w:snapToGrid w:val="0"/>
        <w:spacing w:line="360" w:lineRule="auto"/>
        <w:jc w:val="center"/>
        <w:outlineLvl w:val="0"/>
        <w:rPr>
          <w:rFonts w:ascii="黑体" w:hAnsi="华文中宋" w:eastAsia="黑体"/>
          <w:b/>
          <w:color w:val="000000" w:themeColor="text1"/>
          <w:sz w:val="32"/>
          <w:szCs w:val="32"/>
          <w14:textFill>
            <w14:solidFill>
              <w14:schemeClr w14:val="tx1"/>
            </w14:solidFill>
          </w14:textFill>
        </w:rPr>
      </w:pPr>
      <w:r>
        <w:rPr>
          <w:rFonts w:hAnsi="宋体"/>
          <w:b/>
          <w:bCs/>
          <w:color w:val="000000" w:themeColor="text1"/>
          <w:sz w:val="52"/>
          <w:szCs w:val="30"/>
          <w14:textFill>
            <w14:solidFill>
              <w14:schemeClr w14:val="tx1"/>
            </w14:solidFill>
          </w14:textFill>
        </w:rPr>
        <w:br w:type="page"/>
      </w:r>
      <w:bookmarkStart w:id="83" w:name="_Toc3105"/>
      <w:bookmarkStart w:id="84" w:name="_Toc8983758"/>
      <w:bookmarkStart w:id="85" w:name="_Toc28600"/>
      <w:r>
        <w:rPr>
          <w:rFonts w:hint="eastAsia" w:ascii="黑体" w:hAnsi="华文中宋" w:eastAsia="黑体"/>
          <w:b/>
          <w:color w:val="000000" w:themeColor="text1"/>
          <w:sz w:val="32"/>
          <w:szCs w:val="32"/>
          <w14:textFill>
            <w14:solidFill>
              <w14:schemeClr w14:val="tx1"/>
            </w14:solidFill>
          </w14:textFill>
        </w:rPr>
        <w:t>第七章 投标文件的组成</w:t>
      </w:r>
      <w:bookmarkEnd w:id="83"/>
      <w:bookmarkEnd w:id="84"/>
      <w:bookmarkEnd w:id="85"/>
    </w:p>
    <w:p>
      <w:pPr>
        <w:adjustRightInd w:val="0"/>
        <w:snapToGrid w:val="0"/>
        <w:spacing w:line="360" w:lineRule="auto"/>
        <w:ind w:left="-88" w:leftChars="-42"/>
        <w:jc w:val="center"/>
        <w:rPr>
          <w:b/>
          <w:bCs/>
          <w:color w:val="000000" w:themeColor="text1"/>
          <w:sz w:val="32"/>
          <w14:textFill>
            <w14:solidFill>
              <w14:schemeClr w14:val="tx1"/>
            </w14:solidFill>
          </w14:textFill>
        </w:rPr>
      </w:pPr>
    </w:p>
    <w:p>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第一部分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资格证明文件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一、法人身份证明</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二、法定代表人授权委托书</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三、投标人提供的资格证明文件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四、投标保证金</w:t>
      </w:r>
    </w:p>
    <w:p>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第二部分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商务技术文件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商务部分</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五、投标函</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六、开标一览表、分项报价明细表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七、商务响应/偏离表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八、享受政府采购政策优惠的证明资料和清单表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九、投标人认为需提供的其他资料</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技术部分</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十、货物说明一览表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十一、技术响应/偏离表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十二、投标货物符合招标文件规定的证明文件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十三、投标人认为需提供的其他资料</w:t>
      </w:r>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注：投标人可编制索引表，并</w:t>
      </w:r>
      <w:r>
        <w:rPr>
          <w:rFonts w:hint="eastAsia" w:asciiTheme="minorEastAsia" w:hAnsiTheme="minorEastAsia" w:eastAsiaTheme="minorEastAsia"/>
          <w:b/>
          <w:color w:val="000000" w:themeColor="text1"/>
          <w:szCs w:val="21"/>
          <w14:textFill>
            <w14:solidFill>
              <w14:schemeClr w14:val="tx1"/>
            </w14:solidFill>
          </w14:textFill>
        </w:rPr>
        <w:t>将符合性审查索引表、评审索引表置于“商务技术文件”的第一、二页</w:t>
      </w:r>
      <w:r>
        <w:rPr>
          <w:rFonts w:hint="eastAsia" w:asciiTheme="minorEastAsia" w:hAnsiTheme="minorEastAsia" w:eastAsiaTheme="minorEastAsia"/>
          <w:color w:val="000000" w:themeColor="text1"/>
          <w:szCs w:val="21"/>
          <w14:textFill>
            <w14:solidFill>
              <w14:schemeClr w14:val="tx1"/>
            </w14:solidFill>
          </w14:textFill>
        </w:rPr>
        <w:t>，以便采购人及采购代理机构资格审查和评标委员会评审。</w:t>
      </w:r>
    </w:p>
    <w:p>
      <w:pPr>
        <w:adjustRightInd w:val="0"/>
        <w:snapToGrid w:val="0"/>
        <w:spacing w:line="360" w:lineRule="auto"/>
        <w:jc w:val="center"/>
        <w:rPr>
          <w:rFonts w:ascii="仿宋_GB2312" w:hAnsi="宋体" w:eastAsia="仿宋_GB2312"/>
          <w:color w:val="000000" w:themeColor="text1"/>
          <w:szCs w:val="21"/>
          <w14:textFill>
            <w14:solidFill>
              <w14:schemeClr w14:val="tx1"/>
            </w14:solidFill>
          </w14:textFill>
        </w:rPr>
      </w:pPr>
    </w:p>
    <w:p>
      <w:pPr>
        <w:adjustRightInd w:val="0"/>
        <w:snapToGrid w:val="0"/>
        <w:spacing w:line="360" w:lineRule="auto"/>
        <w:jc w:val="center"/>
        <w:rPr>
          <w:rFonts w:ascii="黑体" w:eastAsia="黑体"/>
          <w:color w:val="000000" w:themeColor="text1"/>
          <w:sz w:val="32"/>
          <w:szCs w:val="32"/>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br w:type="page"/>
      </w:r>
    </w:p>
    <w:p>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pPr>
        <w:pStyle w:val="26"/>
        <w:adjustRightInd w:val="0"/>
        <w:snapToGrid w:val="0"/>
        <w:spacing w:line="360" w:lineRule="auto"/>
        <w:jc w:val="center"/>
        <w:outlineLvl w:val="0"/>
        <w:rPr>
          <w:rFonts w:asciiTheme="minorEastAsia" w:hAnsiTheme="minorEastAsia" w:eastAsiaTheme="minorEastAsia"/>
          <w:b/>
          <w:bCs/>
          <w:color w:val="000000" w:themeColor="text1"/>
          <w:sz w:val="72"/>
          <w:szCs w:val="72"/>
          <w14:textFill>
            <w14:solidFill>
              <w14:schemeClr w14:val="tx1"/>
            </w14:solidFill>
          </w14:textFill>
        </w:rPr>
      </w:pPr>
      <w:bookmarkStart w:id="86" w:name="_Toc88584118"/>
      <w:r>
        <w:rPr>
          <w:rFonts w:hint="eastAsia" w:asciiTheme="minorEastAsia" w:hAnsiTheme="minorEastAsia" w:eastAsiaTheme="minorEastAsia"/>
          <w:b/>
          <w:bCs/>
          <w:color w:val="000000" w:themeColor="text1"/>
          <w:sz w:val="72"/>
          <w:szCs w:val="72"/>
          <w14:textFill>
            <w14:solidFill>
              <w14:schemeClr w14:val="tx1"/>
            </w14:solidFill>
          </w14:textFill>
        </w:rPr>
        <w:t>政府采购</w:t>
      </w:r>
      <w:bookmarkEnd w:id="86"/>
    </w:p>
    <w:p>
      <w:pPr>
        <w:adjustRightInd w:val="0"/>
        <w:snapToGrid w:val="0"/>
        <w:spacing w:line="360" w:lineRule="auto"/>
        <w:jc w:val="center"/>
        <w:outlineLvl w:val="0"/>
        <w:rPr>
          <w:rFonts w:asciiTheme="minorEastAsia" w:hAnsiTheme="minorEastAsia" w:eastAsiaTheme="minorEastAsia"/>
          <w:b/>
          <w:bCs/>
          <w:color w:val="000000" w:themeColor="text1"/>
          <w:sz w:val="84"/>
          <w:szCs w:val="84"/>
          <w14:textFill>
            <w14:solidFill>
              <w14:schemeClr w14:val="tx1"/>
            </w14:solidFill>
          </w14:textFill>
        </w:rPr>
      </w:pPr>
      <w:bookmarkStart w:id="87" w:name="_Toc88584119"/>
      <w:r>
        <w:rPr>
          <w:rFonts w:hint="eastAsia" w:asciiTheme="minorEastAsia" w:hAnsiTheme="minorEastAsia" w:eastAsiaTheme="minorEastAsia"/>
          <w:b/>
          <w:bCs/>
          <w:color w:val="000000" w:themeColor="text1"/>
          <w:sz w:val="84"/>
          <w:szCs w:val="84"/>
          <w14:textFill>
            <w14:solidFill>
              <w14:schemeClr w14:val="tx1"/>
            </w14:solidFill>
          </w14:textFill>
        </w:rPr>
        <w:t>投</w:t>
      </w:r>
      <w:r>
        <w:rPr>
          <w:rFonts w:asciiTheme="minorEastAsia" w:hAnsiTheme="minorEastAsia" w:eastAsiaTheme="minorEastAsia"/>
          <w:b/>
          <w:bCs/>
          <w:color w:val="000000" w:themeColor="text1"/>
          <w:sz w:val="84"/>
          <w:szCs w:val="84"/>
          <w14:textFill>
            <w14:solidFill>
              <w14:schemeClr w14:val="tx1"/>
            </w14:solidFill>
          </w14:textFill>
        </w:rPr>
        <w:t xml:space="preserve"> </w:t>
      </w:r>
      <w:r>
        <w:rPr>
          <w:rFonts w:hint="eastAsia" w:asciiTheme="minorEastAsia" w:hAnsiTheme="minorEastAsia" w:eastAsiaTheme="minorEastAsia"/>
          <w:b/>
          <w:bCs/>
          <w:color w:val="000000" w:themeColor="text1"/>
          <w:sz w:val="84"/>
          <w:szCs w:val="84"/>
          <w14:textFill>
            <w14:solidFill>
              <w14:schemeClr w14:val="tx1"/>
            </w14:solidFill>
          </w14:textFill>
        </w:rPr>
        <w:t>标</w:t>
      </w:r>
      <w:r>
        <w:rPr>
          <w:rFonts w:asciiTheme="minorEastAsia" w:hAnsiTheme="minorEastAsia" w:eastAsiaTheme="minorEastAsia"/>
          <w:b/>
          <w:bCs/>
          <w:color w:val="000000" w:themeColor="text1"/>
          <w:sz w:val="84"/>
          <w:szCs w:val="84"/>
          <w14:textFill>
            <w14:solidFill>
              <w14:schemeClr w14:val="tx1"/>
            </w14:solidFill>
          </w14:textFill>
        </w:rPr>
        <w:t xml:space="preserve"> </w:t>
      </w:r>
      <w:r>
        <w:rPr>
          <w:rFonts w:hint="eastAsia" w:asciiTheme="minorEastAsia" w:hAnsiTheme="minorEastAsia" w:eastAsiaTheme="minorEastAsia"/>
          <w:b/>
          <w:bCs/>
          <w:color w:val="000000" w:themeColor="text1"/>
          <w:sz w:val="84"/>
          <w:szCs w:val="84"/>
          <w14:textFill>
            <w14:solidFill>
              <w14:schemeClr w14:val="tx1"/>
            </w14:solidFill>
          </w14:textFill>
        </w:rPr>
        <w:t>文</w:t>
      </w:r>
      <w:r>
        <w:rPr>
          <w:rFonts w:asciiTheme="minorEastAsia" w:hAnsiTheme="minorEastAsia" w:eastAsiaTheme="minorEastAsia"/>
          <w:b/>
          <w:bCs/>
          <w:color w:val="000000" w:themeColor="text1"/>
          <w:sz w:val="84"/>
          <w:szCs w:val="84"/>
          <w14:textFill>
            <w14:solidFill>
              <w14:schemeClr w14:val="tx1"/>
            </w14:solidFill>
          </w14:textFill>
        </w:rPr>
        <w:t xml:space="preserve"> </w:t>
      </w:r>
      <w:r>
        <w:rPr>
          <w:rFonts w:hint="eastAsia" w:asciiTheme="minorEastAsia" w:hAnsiTheme="minorEastAsia" w:eastAsiaTheme="minorEastAsia"/>
          <w:b/>
          <w:bCs/>
          <w:color w:val="000000" w:themeColor="text1"/>
          <w:sz w:val="84"/>
          <w:szCs w:val="84"/>
          <w14:textFill>
            <w14:solidFill>
              <w14:schemeClr w14:val="tx1"/>
            </w14:solidFill>
          </w14:textFill>
        </w:rPr>
        <w:t>件</w:t>
      </w:r>
      <w:bookmarkEnd w:id="87"/>
    </w:p>
    <w:p>
      <w:pPr>
        <w:pStyle w:val="6"/>
        <w:adjustRightInd w:val="0"/>
        <w:snapToGrid w:val="0"/>
        <w:jc w:val="center"/>
        <w:rPr>
          <w:rFonts w:ascii="黑体" w:hAnsi="黑体" w:eastAsia="黑体"/>
          <w:color w:val="000000" w:themeColor="text1"/>
          <w:sz w:val="44"/>
          <w:szCs w:val="44"/>
          <w14:textFill>
            <w14:solidFill>
              <w14:schemeClr w14:val="tx1"/>
            </w14:solidFill>
          </w14:textFill>
        </w:rPr>
      </w:pPr>
      <w:r>
        <w:rPr>
          <w:rFonts w:hint="eastAsia" w:ascii="黑体" w:hAnsi="黑体" w:eastAsia="黑体"/>
          <w:color w:val="000000" w:themeColor="text1"/>
          <w:sz w:val="44"/>
          <w:szCs w:val="44"/>
          <w14:textFill>
            <w14:solidFill>
              <w14:schemeClr w14:val="tx1"/>
            </w14:solidFill>
          </w14:textFill>
        </w:rPr>
        <w:t>第一部分</w:t>
      </w:r>
      <w:r>
        <w:rPr>
          <w:rFonts w:ascii="黑体" w:hAnsi="黑体" w:eastAsia="黑体"/>
          <w:color w:val="000000" w:themeColor="text1"/>
          <w:sz w:val="44"/>
          <w:szCs w:val="44"/>
          <w14:textFill>
            <w14:solidFill>
              <w14:schemeClr w14:val="tx1"/>
            </w14:solidFill>
          </w14:textFill>
        </w:rPr>
        <w:t xml:space="preserve"> </w:t>
      </w:r>
      <w:r>
        <w:rPr>
          <w:rFonts w:hint="eastAsia" w:ascii="黑体" w:hAnsi="黑体" w:eastAsia="黑体"/>
          <w:color w:val="000000" w:themeColor="text1"/>
          <w:sz w:val="44"/>
          <w:szCs w:val="44"/>
          <w14:textFill>
            <w14:solidFill>
              <w14:schemeClr w14:val="tx1"/>
            </w14:solidFill>
          </w14:textFill>
        </w:rPr>
        <w:t>资格证明文件</w:t>
      </w:r>
    </w:p>
    <w:p>
      <w:pPr>
        <w:adjustRightInd w:val="0"/>
        <w:snapToGrid w:val="0"/>
        <w:spacing w:line="360" w:lineRule="auto"/>
        <w:rPr>
          <w:rFonts w:ascii="黑体" w:hAnsi="黑体" w:eastAsia="黑体"/>
          <w:b/>
          <w:color w:val="000000" w:themeColor="text1"/>
          <w:sz w:val="32"/>
          <w:szCs w:val="32"/>
          <w14:textFill>
            <w14:solidFill>
              <w14:schemeClr w14:val="tx1"/>
            </w14:solidFill>
          </w14:textFill>
        </w:rPr>
      </w:pPr>
    </w:p>
    <w:p>
      <w:pPr>
        <w:adjustRightInd w:val="0"/>
        <w:snapToGrid w:val="0"/>
        <w:spacing w:line="360" w:lineRule="auto"/>
        <w:rPr>
          <w:rFonts w:asciiTheme="minorEastAsia" w:hAnsiTheme="minorEastAsia" w:eastAsiaTheme="minorEastAsia"/>
          <w:b/>
          <w:color w:val="000000" w:themeColor="text1"/>
          <w:sz w:val="30"/>
          <w:szCs w:val="30"/>
          <w14:textFill>
            <w14:solidFill>
              <w14:schemeClr w14:val="tx1"/>
            </w14:solidFill>
          </w14:textFill>
        </w:rPr>
      </w:pPr>
    </w:p>
    <w:p>
      <w:pPr>
        <w:pStyle w:val="26"/>
        <w:adjustRightInd w:val="0"/>
        <w:snapToGrid w:val="0"/>
        <w:spacing w:line="360" w:lineRule="auto"/>
        <w:ind w:firstLine="1988" w:firstLineChars="660"/>
        <w:rPr>
          <w:rFonts w:hint="eastAsia"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采购项目名称:</w:t>
      </w:r>
    </w:p>
    <w:p>
      <w:pPr>
        <w:pStyle w:val="26"/>
        <w:adjustRightInd w:val="0"/>
        <w:snapToGrid w:val="0"/>
        <w:spacing w:line="360" w:lineRule="auto"/>
        <w:ind w:firstLine="1988" w:firstLineChars="660"/>
        <w:rPr>
          <w:rFonts w:hint="eastAsia"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   购   人：</w:t>
      </w:r>
    </w:p>
    <w:p>
      <w:pPr>
        <w:pStyle w:val="26"/>
        <w:adjustRightInd w:val="0"/>
        <w:snapToGrid w:val="0"/>
        <w:spacing w:line="360" w:lineRule="auto"/>
        <w:ind w:firstLine="1988" w:firstLineChars="660"/>
        <w:rPr>
          <w:rFonts w:hint="eastAsia"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lang w:eastAsia="zh-CN"/>
          <w14:textFill>
            <w14:solidFill>
              <w14:schemeClr w14:val="tx1"/>
            </w14:solidFill>
          </w14:textFill>
        </w:rPr>
        <w:t>采购代理编号</w:t>
      </w:r>
      <w:r>
        <w:rPr>
          <w:rFonts w:hint="eastAsia" w:asciiTheme="minorEastAsia" w:hAnsiTheme="minorEastAsia" w:eastAsiaTheme="minorEastAsia"/>
          <w:b/>
          <w:bCs/>
          <w:color w:val="000000" w:themeColor="text1"/>
          <w:sz w:val="30"/>
          <w:szCs w:val="30"/>
          <w14:textFill>
            <w14:solidFill>
              <w14:schemeClr w14:val="tx1"/>
            </w14:solidFill>
          </w14:textFill>
        </w:rPr>
        <w:t>:</w:t>
      </w:r>
    </w:p>
    <w:p>
      <w:pPr>
        <w:pStyle w:val="26"/>
        <w:adjustRightInd w:val="0"/>
        <w:snapToGrid w:val="0"/>
        <w:spacing w:line="360" w:lineRule="auto"/>
        <w:ind w:firstLine="1988" w:firstLineChars="660"/>
        <w:rPr>
          <w:rFonts w:hint="eastAsia"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采购代理机构：</w:t>
      </w:r>
    </w:p>
    <w:p>
      <w:pPr>
        <w:pStyle w:val="26"/>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p>
    <w:p>
      <w:pPr>
        <w:adjustRightInd w:val="0"/>
        <w:snapToGrid w:val="0"/>
        <w:spacing w:line="360" w:lineRule="auto"/>
        <w:rPr>
          <w:rFonts w:ascii="黑体" w:hAnsi="黑体" w:eastAsia="黑体"/>
          <w:color w:val="000000" w:themeColor="text1"/>
          <w:sz w:val="30"/>
          <w:szCs w:val="30"/>
          <w14:textFill>
            <w14:solidFill>
              <w14:schemeClr w14:val="tx1"/>
            </w14:solidFill>
          </w14:textFill>
        </w:rPr>
      </w:pPr>
    </w:p>
    <w:p>
      <w:pPr>
        <w:adjustRightInd w:val="0"/>
        <w:snapToGrid w:val="0"/>
        <w:rPr>
          <w:rFonts w:ascii="黑体" w:hAnsi="宋体" w:eastAsia="黑体"/>
          <w:color w:val="000000" w:themeColor="text1"/>
          <w:sz w:val="30"/>
          <w:szCs w:val="30"/>
          <w14:textFill>
            <w14:solidFill>
              <w14:schemeClr w14:val="tx1"/>
            </w14:solidFill>
          </w14:textFill>
        </w:rPr>
      </w:pPr>
    </w:p>
    <w:p>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pPr>
        <w:adjustRightInd w:val="0"/>
        <w:snapToGrid w:val="0"/>
        <w:spacing w:line="360" w:lineRule="auto"/>
        <w:ind w:firstLine="1984" w:firstLineChars="620"/>
        <w:rPr>
          <w:rFonts w:ascii="黑体" w:hAnsi="宋体" w:eastAsia="黑体"/>
          <w:color w:val="000000" w:themeColor="text1"/>
          <w:sz w:val="32"/>
          <w:szCs w:val="32"/>
          <w:u w:val="single"/>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投标人</w:t>
      </w:r>
    </w:p>
    <w:p>
      <w:pPr>
        <w:adjustRightInd w:val="0"/>
        <w:snapToGrid w:val="0"/>
        <w:spacing w:line="360" w:lineRule="auto"/>
        <w:jc w:val="center"/>
        <w:outlineLvl w:val="0"/>
        <w:rPr>
          <w:rFonts w:ascii="黑体" w:eastAsia="黑体"/>
          <w:color w:val="000000" w:themeColor="text1"/>
          <w:sz w:val="28"/>
          <w:szCs w:val="28"/>
          <w14:textFill>
            <w14:solidFill>
              <w14:schemeClr w14:val="tx1"/>
            </w14:solidFill>
          </w14:textFill>
        </w:rPr>
      </w:pPr>
      <w:bookmarkStart w:id="88" w:name="_Toc88584120"/>
      <w:bookmarkStart w:id="89" w:name="_Toc30438"/>
      <w:r>
        <w:rPr>
          <w:rFonts w:hint="eastAsia" w:ascii="黑体" w:hAnsi="宋体" w:eastAsia="黑体"/>
          <w:color w:val="000000" w:themeColor="text1"/>
          <w:sz w:val="32"/>
          <w:szCs w:val="32"/>
          <w14:textFill>
            <w14:solidFill>
              <w14:schemeClr w14:val="tx1"/>
            </w14:solidFill>
          </w14:textFill>
        </w:rPr>
        <w:t>年</w:t>
      </w:r>
      <w:r>
        <w:rPr>
          <w:rFonts w:ascii="黑体" w:hAnsi="宋体" w:eastAsia="黑体"/>
          <w:color w:val="000000" w:themeColor="text1"/>
          <w:sz w:val="32"/>
          <w:szCs w:val="32"/>
          <w14:textFill>
            <w14:solidFill>
              <w14:schemeClr w14:val="tx1"/>
            </w14:solidFill>
          </w14:textFill>
        </w:rPr>
        <w:t xml:space="preserve">  </w:t>
      </w:r>
      <w:r>
        <w:rPr>
          <w:rFonts w:hint="eastAsia" w:ascii="黑体" w:hAnsi="宋体" w:eastAsia="黑体"/>
          <w:color w:val="000000" w:themeColor="text1"/>
          <w:sz w:val="32"/>
          <w:szCs w:val="32"/>
          <w14:textFill>
            <w14:solidFill>
              <w14:schemeClr w14:val="tx1"/>
            </w14:solidFill>
          </w14:textFill>
        </w:rPr>
        <w:t>月</w:t>
      </w:r>
      <w:r>
        <w:rPr>
          <w:rFonts w:ascii="黑体" w:hAnsi="宋体" w:eastAsia="黑体"/>
          <w:color w:val="000000" w:themeColor="text1"/>
          <w:sz w:val="32"/>
          <w:szCs w:val="32"/>
          <w14:textFill>
            <w14:solidFill>
              <w14:schemeClr w14:val="tx1"/>
            </w14:solidFill>
          </w14:textFill>
        </w:rPr>
        <w:t xml:space="preserve">  </w:t>
      </w:r>
      <w:r>
        <w:rPr>
          <w:rFonts w:hint="eastAsia" w:ascii="黑体" w:hAnsi="宋体" w:eastAsia="黑体"/>
          <w:color w:val="000000" w:themeColor="text1"/>
          <w:sz w:val="32"/>
          <w:szCs w:val="32"/>
          <w14:textFill>
            <w14:solidFill>
              <w14:schemeClr w14:val="tx1"/>
            </w14:solidFill>
          </w14:textFill>
        </w:rPr>
        <w:t>日</w:t>
      </w:r>
      <w:bookmarkEnd w:id="88"/>
      <w:r>
        <w:rPr>
          <w:rFonts w:ascii="黑体" w:eastAsia="黑体"/>
          <w:color w:val="000000" w:themeColor="text1"/>
          <w:sz w:val="28"/>
          <w:szCs w:val="28"/>
          <w14:textFill>
            <w14:solidFill>
              <w14:schemeClr w14:val="tx1"/>
            </w14:solidFill>
          </w14:textFill>
        </w:rPr>
        <w:br w:type="page"/>
      </w:r>
      <w:bookmarkEnd w:id="89"/>
    </w:p>
    <w:p>
      <w:pPr>
        <w:pStyle w:val="7"/>
        <w:adjustRightInd w:val="0"/>
        <w:snapToGrid w:val="0"/>
        <w:spacing w:before="0" w:after="0" w:line="360" w:lineRule="auto"/>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一、法定代表人身份证明</w:t>
      </w:r>
    </w:p>
    <w:p>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4"/>
          <w:szCs w:val="21"/>
          <w14:textFill>
            <w14:solidFill>
              <w14:schemeClr w14:val="tx1"/>
            </w14:solidFill>
          </w14:textFill>
        </w:rPr>
      </w:pPr>
    </w:p>
    <w:p>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投标</w:t>
      </w:r>
      <w:r>
        <w:rPr>
          <w:rFonts w:hint="eastAsia" w:cs="微软雅黑" w:asciiTheme="minorEastAsia" w:hAnsiTheme="minorEastAsia" w:eastAsiaTheme="minorEastAsia"/>
          <w:color w:val="000000" w:themeColor="text1"/>
          <w:spacing w:val="-2"/>
          <w:kern w:val="0"/>
          <w:position w:val="-4"/>
          <w:szCs w:val="21"/>
          <w14:textFill>
            <w14:solidFill>
              <w14:schemeClr w14:val="tx1"/>
            </w14:solidFill>
          </w14:textFill>
        </w:rPr>
        <w:t>人</w:t>
      </w: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名</w:t>
      </w:r>
      <w:r>
        <w:rPr>
          <w:rFonts w:hint="eastAsia" w:cs="微软雅黑" w:asciiTheme="minorEastAsia" w:hAnsiTheme="minorEastAsia" w:eastAsiaTheme="minorEastAsia"/>
          <w:color w:val="000000" w:themeColor="text1"/>
          <w:spacing w:val="-2"/>
          <w:kern w:val="0"/>
          <w:position w:val="-4"/>
          <w:szCs w:val="21"/>
          <w14:textFill>
            <w14:solidFill>
              <w14:schemeClr w14:val="tx1"/>
            </w14:solidFill>
          </w14:textFill>
        </w:rPr>
        <w:t>称</w:t>
      </w: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统一社会信用代码：</w:t>
      </w:r>
      <w:r>
        <w:rPr>
          <w:rFonts w:hint="eastAsia" w:ascii="宋体" w:hAnsi="宋体"/>
          <w:color w:val="000000" w:themeColor="text1"/>
          <w:szCs w:val="21"/>
          <w:u w:val="single"/>
          <w14:textFill>
            <w14:solidFill>
              <w14:schemeClr w14:val="tx1"/>
            </w14:solidFill>
          </w14:textFill>
        </w:rPr>
        <w:t xml:space="preserve">                 </w:t>
      </w:r>
    </w:p>
    <w:p>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注册地址：</w:t>
      </w:r>
      <w:r>
        <w:rPr>
          <w:rFonts w:hint="eastAsia" w:ascii="宋体" w:hAnsi="宋体"/>
          <w:color w:val="000000" w:themeColor="text1"/>
          <w:szCs w:val="21"/>
          <w:u w:val="single"/>
          <w14:textFill>
            <w14:solidFill>
              <w14:schemeClr w14:val="tx1"/>
            </w14:solidFill>
          </w14:textFill>
        </w:rPr>
        <w:t xml:space="preserve">                 </w:t>
      </w:r>
    </w:p>
    <w:p>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姓名</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性别</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年</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龄</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职</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务</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系</w:t>
      </w:r>
      <w:r>
        <w:rPr>
          <w:rFonts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投</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标</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人</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名</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称</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的</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法定</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代表</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人</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单</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负</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责</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人</w:t>
      </w:r>
      <w:r>
        <w:rPr>
          <w:rFonts w:hint="eastAsia" w:cs="微软雅黑" w:asciiTheme="minorEastAsia" w:hAnsiTheme="minorEastAsia" w:eastAsiaTheme="minorEastAsia"/>
          <w:color w:val="000000" w:themeColor="text1"/>
          <w:spacing w:val="-106"/>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p>
    <w:p>
      <w:pPr>
        <w:autoSpaceDE w:val="0"/>
        <w:autoSpaceDN w:val="0"/>
        <w:adjustRightInd w:val="0"/>
        <w:snapToGrid w:val="0"/>
        <w:spacing w:line="360" w:lineRule="auto"/>
        <w:ind w:left="520" w:right="-2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特此</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证</w:t>
      </w:r>
      <w:r>
        <w:rPr>
          <w:rFonts w:hint="eastAsia" w:cs="微软雅黑" w:asciiTheme="minorEastAsia" w:hAnsiTheme="minorEastAsia" w:eastAsiaTheme="minorEastAsia"/>
          <w:color w:val="000000" w:themeColor="text1"/>
          <w:kern w:val="0"/>
          <w:szCs w:val="21"/>
          <w14:textFill>
            <w14:solidFill>
              <w14:schemeClr w14:val="tx1"/>
            </w14:solidFill>
          </w14:textFill>
        </w:rPr>
        <w:t>明。</w:t>
      </w:r>
    </w:p>
    <w:p>
      <w:pPr>
        <w:autoSpaceDE w:val="0"/>
        <w:autoSpaceDN w:val="0"/>
        <w:adjustRightInd w:val="0"/>
        <w:snapToGrid w:val="0"/>
        <w:spacing w:line="360" w:lineRule="auto"/>
        <w:ind w:left="100" w:right="4231"/>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附：</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cs="微软雅黑" w:asciiTheme="minorEastAsia" w:hAnsiTheme="minorEastAsia" w:eastAsiaTheme="minorEastAsia"/>
          <w:color w:val="000000" w:themeColor="text1"/>
          <w:kern w:val="0"/>
          <w:szCs w:val="21"/>
          <w14:textFill>
            <w14:solidFill>
              <w14:schemeClr w14:val="tx1"/>
            </w14:solidFill>
          </w14:textFill>
        </w:rPr>
        <w:t>身</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份</w:t>
      </w:r>
      <w:r>
        <w:rPr>
          <w:rFonts w:hint="eastAsia" w:cs="微软雅黑" w:asciiTheme="minorEastAsia" w:hAnsiTheme="minorEastAsia" w:eastAsiaTheme="minorEastAsia"/>
          <w:color w:val="000000" w:themeColor="text1"/>
          <w:kern w:val="0"/>
          <w:szCs w:val="21"/>
          <w14:textFill>
            <w14:solidFill>
              <w14:schemeClr w14:val="tx1"/>
            </w14:solidFill>
          </w14:textFill>
        </w:rPr>
        <w:t>证</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r>
        <w:rPr>
          <w:rFonts w:hint="eastAsia" w:cs="微软雅黑" w:asciiTheme="minorEastAsia" w:hAnsiTheme="minorEastAsia" w:eastAsiaTheme="minorEastAsia"/>
          <w:color w:val="000000" w:themeColor="text1"/>
          <w:kern w:val="0"/>
          <w:szCs w:val="21"/>
          <w14:textFill>
            <w14:solidFill>
              <w14:schemeClr w14:val="tx1"/>
            </w14:solidFill>
          </w14:textFill>
        </w:rPr>
        <w:t>。</w:t>
      </w:r>
    </w:p>
    <w:tbl>
      <w:tblPr>
        <w:tblStyle w:val="46"/>
        <w:tblW w:w="0" w:type="auto"/>
        <w:tblInd w:w="675" w:type="dxa"/>
        <w:tblLayout w:type="autofit"/>
        <w:tblCellMar>
          <w:top w:w="0" w:type="dxa"/>
          <w:left w:w="108" w:type="dxa"/>
          <w:bottom w:w="0" w:type="dxa"/>
          <w:right w:w="108" w:type="dxa"/>
        </w:tblCellMar>
      </w:tblPr>
      <w:tblGrid>
        <w:gridCol w:w="3898"/>
        <w:gridCol w:w="3899"/>
      </w:tblGrid>
      <w:tr>
        <w:tblPrEx>
          <w:tblCellMar>
            <w:top w:w="0" w:type="dxa"/>
            <w:left w:w="108" w:type="dxa"/>
            <w:bottom w:w="0" w:type="dxa"/>
            <w:right w:w="108" w:type="dxa"/>
          </w:tblCellMar>
        </w:tblPrEx>
        <w:trPr>
          <w:trHeight w:val="1265" w:hRule="atLeast"/>
        </w:trPr>
        <w:tc>
          <w:tcPr>
            <w:tcW w:w="3898"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身份证（正面）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c>
          <w:tcPr>
            <w:tcW w:w="3899"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身份证（反面）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r>
    </w:tbl>
    <w:p>
      <w:pPr>
        <w:adjustRightInd w:val="0"/>
        <w:snapToGrid w:val="0"/>
        <w:spacing w:line="360" w:lineRule="auto"/>
        <w:rPr>
          <w:rFonts w:ascii="宋体" w:hAnsi="宋体"/>
          <w:color w:val="000000" w:themeColor="text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注：投标人代表为法定代表人的提供。自然人投标的无需提供。</w:t>
      </w:r>
    </w:p>
    <w:p>
      <w:pPr>
        <w:adjustRightInd w:val="0"/>
        <w:snapToGrid w:val="0"/>
        <w:spacing w:line="360" w:lineRule="auto"/>
        <w:rPr>
          <w:rFonts w:ascii="宋体" w:hAnsi="宋体"/>
          <w:color w:val="000000" w:themeColor="text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日期：</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widowControl/>
        <w:topLinePunct/>
        <w:spacing w:line="440" w:lineRule="atLeast"/>
        <w:jc w:val="left"/>
        <w:rPr>
          <w:b/>
          <w:color w:val="000000" w:themeColor="text1"/>
          <w:kern w:val="0"/>
          <w14:textFill>
            <w14:solidFill>
              <w14:schemeClr w14:val="tx1"/>
            </w14:solidFill>
          </w14:textFill>
        </w:rPr>
      </w:pPr>
      <w:r>
        <w:rPr>
          <w:rFonts w:hint="eastAsia"/>
          <w:b/>
          <w:color w:val="000000" w:themeColor="text1"/>
          <w:kern w:val="0"/>
          <w14:textFill>
            <w14:solidFill>
              <w14:schemeClr w14:val="tx1"/>
            </w14:solidFill>
          </w14:textFill>
        </w:rPr>
        <w:t>注：请另准备本授权委托书原件一份，开标会时单独提交。</w:t>
      </w:r>
    </w:p>
    <w:p>
      <w:pPr>
        <w:adjustRightInd w:val="0"/>
        <w:snapToGrid w:val="0"/>
        <w:spacing w:line="360" w:lineRule="auto"/>
        <w:rPr>
          <w:color w:val="000000" w:themeColor="text1"/>
          <w14:textFill>
            <w14:solidFill>
              <w14:schemeClr w14:val="tx1"/>
            </w14:solidFill>
          </w14:textFill>
        </w:rPr>
      </w:pPr>
    </w:p>
    <w:p>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t>二 、授权委托书</w:t>
      </w:r>
    </w:p>
    <w:p>
      <w:pPr>
        <w:autoSpaceDE w:val="0"/>
        <w:autoSpaceDN w:val="0"/>
        <w:adjustRightInd w:val="0"/>
        <w:snapToGrid w:val="0"/>
        <w:spacing w:line="360" w:lineRule="auto"/>
        <w:ind w:firstLine="446" w:firstLineChars="200"/>
        <w:jc w:val="left"/>
        <w:rPr>
          <w:rFonts w:ascii="宋体" w:hAnsi="宋体"/>
          <w:b/>
          <w:color w:val="000000" w:themeColor="text1"/>
          <w:spacing w:val="6"/>
          <w:szCs w:val="21"/>
          <w14:textFill>
            <w14:solidFill>
              <w14:schemeClr w14:val="tx1"/>
            </w14:solidFill>
          </w14:textFill>
        </w:rPr>
      </w:pP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本人</w:t>
      </w:r>
      <w:r>
        <w:rPr>
          <w:rFonts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（姓名、职务）系</w:t>
      </w:r>
      <w:r>
        <w:rPr>
          <w:rFonts w:ascii="宋体" w:hAnsi="宋体" w:cs="宋体"/>
          <w:color w:val="000000" w:themeColor="text1"/>
          <w:kern w:val="0"/>
          <w:szCs w:val="21"/>
          <w:u w:val="single"/>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w:t>
      </w:r>
      <w:r>
        <w:rPr>
          <w:rFonts w:hint="eastAsia" w:ascii="宋体" w:hAnsi="宋体" w:cs="宋体"/>
          <w:color w:val="000000" w:themeColor="text1"/>
          <w:kern w:val="0"/>
          <w:szCs w:val="21"/>
          <w14:textFill>
            <w14:solidFill>
              <w14:schemeClr w14:val="tx1"/>
            </w14:solidFill>
          </w14:textFill>
        </w:rPr>
        <w:t>名称）的法定代表人</w:t>
      </w:r>
      <w:r>
        <w:rPr>
          <w:rFonts w:hint="eastAsia" w:cs="微软雅黑" w:asciiTheme="minorEastAsia" w:hAnsiTheme="minorEastAsia" w:eastAsiaTheme="minorEastAsia"/>
          <w:color w:val="000000" w:themeColor="text1"/>
          <w:kern w:val="0"/>
          <w:szCs w:val="21"/>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单</w:t>
      </w:r>
      <w:r>
        <w:rPr>
          <w:rFonts w:hint="eastAsia" w:cs="微软雅黑" w:asciiTheme="minorEastAsia" w:hAnsiTheme="minorEastAsia" w:eastAsiaTheme="minorEastAsia"/>
          <w:color w:val="000000" w:themeColor="text1"/>
          <w:kern w:val="0"/>
          <w:szCs w:val="21"/>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负</w:t>
      </w:r>
      <w:r>
        <w:rPr>
          <w:rFonts w:hint="eastAsia" w:cs="微软雅黑" w:asciiTheme="minorEastAsia" w:hAnsiTheme="minorEastAsia" w:eastAsiaTheme="minorEastAsia"/>
          <w:color w:val="000000" w:themeColor="text1"/>
          <w:kern w:val="0"/>
          <w:szCs w:val="21"/>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，现授权</w:t>
      </w:r>
      <w:r>
        <w:rPr>
          <w:rFonts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（姓名、职务）为我方代理人。代理人根据授权，以我方名义签署、澄清、说明、补正、递交、撤回、修改</w:t>
      </w:r>
      <w:r>
        <w:rPr>
          <w:rFonts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（项目名称）（</w:t>
      </w:r>
      <w:r>
        <w:rPr>
          <w:rFonts w:hint="eastAsia" w:asciiTheme="minorEastAsia" w:hAnsiTheme="minorEastAsia" w:eastAsiaTheme="minorEastAsia"/>
          <w:color w:val="000000" w:themeColor="text1"/>
          <w:szCs w:val="21"/>
          <w:lang w:eastAsia="zh-CN"/>
          <w14:textFill>
            <w14:solidFill>
              <w14:schemeClr w14:val="tx1"/>
            </w14:solidFill>
          </w14:textFill>
        </w:rPr>
        <w:t>采购代理编号</w:t>
      </w:r>
      <w:r>
        <w:rPr>
          <w:rFonts w:hint="eastAsia" w:ascii="宋体" w:hAnsi="宋体" w:cs="宋体"/>
          <w:color w:val="000000" w:themeColor="text1"/>
          <w:kern w:val="0"/>
          <w:szCs w:val="21"/>
          <w14:textFill>
            <w14:solidFill>
              <w14:schemeClr w14:val="tx1"/>
            </w14:solidFill>
          </w14:textFill>
        </w:rPr>
        <w:t>：</w:t>
      </w:r>
      <w:r>
        <w:rPr>
          <w:rFonts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）投标文件、签订合同和处理有关事宜，其法律后果由我方承担。</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委托期限：</w:t>
      </w:r>
      <w:r>
        <w:rPr>
          <w:rFonts w:ascii="宋体" w:hAnsi="宋体" w:cs="宋体"/>
          <w:color w:val="000000" w:themeColor="text1"/>
          <w:kern w:val="0"/>
          <w:szCs w:val="21"/>
          <w:u w:val="single"/>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adjustRightInd w:val="0"/>
        <w:snapToGrid w:val="0"/>
        <w:spacing w:line="360" w:lineRule="auto"/>
        <w:ind w:firstLine="435"/>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代理人无转委托权。</w:t>
      </w:r>
    </w:p>
    <w:p>
      <w:pPr>
        <w:adjustRightInd w:val="0"/>
        <w:snapToGrid w:val="0"/>
        <w:spacing w:line="360" w:lineRule="auto"/>
        <w:ind w:firstLine="435"/>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本授权书于</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日签字生效，特此声明。</w:t>
      </w:r>
    </w:p>
    <w:tbl>
      <w:tblPr>
        <w:tblStyle w:val="46"/>
        <w:tblW w:w="0" w:type="auto"/>
        <w:tblInd w:w="675" w:type="dxa"/>
        <w:tblLayout w:type="autofit"/>
        <w:tblCellMar>
          <w:top w:w="0" w:type="dxa"/>
          <w:left w:w="108" w:type="dxa"/>
          <w:bottom w:w="0" w:type="dxa"/>
          <w:right w:w="108" w:type="dxa"/>
        </w:tblCellMar>
      </w:tblPr>
      <w:tblGrid>
        <w:gridCol w:w="3898"/>
        <w:gridCol w:w="3899"/>
      </w:tblGrid>
      <w:tr>
        <w:tblPrEx>
          <w:tblCellMar>
            <w:top w:w="0" w:type="dxa"/>
            <w:left w:w="108" w:type="dxa"/>
            <w:bottom w:w="0" w:type="dxa"/>
            <w:right w:w="108" w:type="dxa"/>
          </w:tblCellMar>
        </w:tblPrEx>
        <w:trPr>
          <w:trHeight w:val="1265" w:hRule="atLeast"/>
        </w:trPr>
        <w:tc>
          <w:tcPr>
            <w:tcW w:w="3898"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身份证（正面）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c>
          <w:tcPr>
            <w:tcW w:w="3899" w:type="dxa"/>
            <w:vAlign w:val="center"/>
          </w:tcPr>
          <w:p>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身份证（反面）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p>
        </w:tc>
      </w:tr>
    </w:tbl>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注：投标人代表不是投标人的法定代表人的提供。自然人投标的无需提供。</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法</w:t>
      </w:r>
      <w:r>
        <w:rPr>
          <w:rFonts w:hint="eastAsia" w:cs="微软雅黑" w:asciiTheme="minorEastAsia" w:hAnsiTheme="minorEastAsia" w:eastAsiaTheme="minorEastAsia"/>
          <w:color w:val="000000" w:themeColor="text1"/>
          <w:kern w:val="0"/>
          <w:szCs w:val="21"/>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代</w:t>
      </w:r>
      <w:r>
        <w:rPr>
          <w:rFonts w:hint="eastAsia" w:cs="微软雅黑" w:asciiTheme="minorEastAsia" w:hAnsiTheme="minorEastAsia" w:eastAsiaTheme="minorEastAsia"/>
          <w:color w:val="000000" w:themeColor="text1"/>
          <w:kern w:val="0"/>
          <w:szCs w:val="21"/>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人</w:t>
      </w:r>
      <w:r>
        <w:rPr>
          <w:rFonts w:hint="eastAsia" w:ascii="宋体" w:hAnsi="宋体"/>
          <w:color w:val="000000" w:themeColor="text1"/>
          <w:szCs w:val="21"/>
          <w14:textFill>
            <w14:solidFill>
              <w14:schemeClr w14:val="tx1"/>
            </w14:solidFill>
          </w14:textFill>
        </w:rPr>
        <w:t>（签字或印章）：</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委托代理人（签字或印章）：</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日期：</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widowControl/>
        <w:topLinePunct/>
        <w:spacing w:line="440" w:lineRule="atLeast"/>
        <w:jc w:val="left"/>
        <w:rPr>
          <w:b/>
          <w:color w:val="000000" w:themeColor="text1"/>
          <w:kern w:val="0"/>
          <w14:textFill>
            <w14:solidFill>
              <w14:schemeClr w14:val="tx1"/>
            </w14:solidFill>
          </w14:textFill>
        </w:rPr>
      </w:pPr>
      <w:r>
        <w:rPr>
          <w:rFonts w:hint="eastAsia"/>
          <w:b/>
          <w:color w:val="000000" w:themeColor="text1"/>
          <w:kern w:val="0"/>
          <w14:textFill>
            <w14:solidFill>
              <w14:schemeClr w14:val="tx1"/>
            </w14:solidFill>
          </w14:textFill>
        </w:rPr>
        <w:t>注：请另准备本授权委托书原件一份，开标会时单独提交。</w:t>
      </w:r>
    </w:p>
    <w:p>
      <w:pPr>
        <w:adjustRightInd w:val="0"/>
        <w:snapToGrid w:val="0"/>
        <w:spacing w:line="360" w:lineRule="auto"/>
        <w:jc w:val="left"/>
        <w:rPr>
          <w:rFonts w:ascii="黑体" w:hAnsi="黑体" w:eastAsia="黑体"/>
          <w:bCs/>
          <w:color w:val="000000" w:themeColor="text1"/>
          <w:sz w:val="28"/>
          <w:szCs w:val="28"/>
          <w14:textFill>
            <w14:solidFill>
              <w14:schemeClr w14:val="tx1"/>
            </w14:solidFill>
          </w14:textFill>
        </w:rPr>
      </w:pPr>
      <w:r>
        <w:rPr>
          <w:rFonts w:ascii="黑体" w:hAnsi="黑体" w:eastAsia="黑体"/>
          <w:bCs/>
          <w:color w:val="000000" w:themeColor="text1"/>
          <w:sz w:val="28"/>
          <w:szCs w:val="28"/>
          <w14:textFill>
            <w14:solidFill>
              <w14:schemeClr w14:val="tx1"/>
            </w14:solidFill>
          </w14:textFill>
        </w:rPr>
        <w:br w:type="page"/>
      </w: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90" w:name="_Toc294206743"/>
      <w:bookmarkStart w:id="91" w:name="_Toc294186060"/>
      <w:r>
        <w:rPr>
          <w:rFonts w:hint="eastAsia" w:ascii="黑体" w:hAnsi="宋体" w:eastAsia="黑体"/>
          <w:color w:val="000000" w:themeColor="text1"/>
          <w:sz w:val="28"/>
          <w:szCs w:val="28"/>
          <w14:textFill>
            <w14:solidFill>
              <w14:schemeClr w14:val="tx1"/>
            </w14:solidFill>
          </w14:textFill>
        </w:rPr>
        <w:t>三、投标人提供的资格证明文件</w:t>
      </w:r>
    </w:p>
    <w:p>
      <w:pPr>
        <w:pStyle w:val="26"/>
        <w:adjustRightInd w:val="0"/>
        <w:snapToGrid w:val="0"/>
        <w:spacing w:line="360" w:lineRule="auto"/>
        <w:jc w:val="center"/>
        <w:rPr>
          <w:rFonts w:hAnsi="宋体" w:cs="Times New Roman"/>
          <w:b/>
          <w:bCs/>
          <w:color w:val="000000" w:themeColor="text1"/>
          <w:sz w:val="24"/>
          <w:szCs w:val="24"/>
          <w14:textFill>
            <w14:solidFill>
              <w14:schemeClr w14:val="tx1"/>
            </w14:solidFill>
          </w14:textFill>
        </w:rPr>
      </w:pPr>
    </w:p>
    <w:p>
      <w:pPr>
        <w:pStyle w:val="26"/>
        <w:adjustRightInd w:val="0"/>
        <w:snapToGrid w:val="0"/>
        <w:spacing w:line="360" w:lineRule="auto"/>
        <w:jc w:val="center"/>
        <w:rPr>
          <w:rFonts w:ascii="黑体" w:hAnsi="黑体" w:eastAsia="黑体" w:cs="Times New Roman"/>
          <w:b/>
          <w:bCs/>
          <w:color w:val="000000" w:themeColor="text1"/>
          <w:sz w:val="28"/>
          <w:szCs w:val="28"/>
          <w14:textFill>
            <w14:solidFill>
              <w14:schemeClr w14:val="tx1"/>
            </w14:solidFill>
          </w14:textFill>
        </w:rPr>
      </w:pPr>
      <w:r>
        <w:rPr>
          <w:rFonts w:hint="eastAsia" w:ascii="黑体" w:hAnsi="黑体" w:eastAsia="黑体" w:cs="Times New Roman"/>
          <w:b/>
          <w:bCs/>
          <w:color w:val="000000" w:themeColor="text1"/>
          <w:sz w:val="28"/>
          <w:szCs w:val="28"/>
          <w14:textFill>
            <w14:solidFill>
              <w14:schemeClr w14:val="tx1"/>
            </w14:solidFill>
          </w14:textFill>
        </w:rPr>
        <w:t>须</w:t>
      </w:r>
      <w:r>
        <w:rPr>
          <w:rFonts w:ascii="黑体" w:hAnsi="黑体" w:eastAsia="黑体" w:cs="Times New Roman"/>
          <w:b/>
          <w:bCs/>
          <w:color w:val="000000" w:themeColor="text1"/>
          <w:sz w:val="28"/>
          <w:szCs w:val="28"/>
          <w14:textFill>
            <w14:solidFill>
              <w14:schemeClr w14:val="tx1"/>
            </w14:solidFill>
          </w14:textFill>
        </w:rPr>
        <w:t xml:space="preserve">  </w:t>
      </w:r>
      <w:r>
        <w:rPr>
          <w:rFonts w:hint="eastAsia" w:ascii="黑体" w:hAnsi="黑体" w:eastAsia="黑体" w:cs="Times New Roman"/>
          <w:b/>
          <w:bCs/>
          <w:color w:val="000000" w:themeColor="text1"/>
          <w:sz w:val="28"/>
          <w:szCs w:val="28"/>
          <w14:textFill>
            <w14:solidFill>
              <w14:schemeClr w14:val="tx1"/>
            </w14:solidFill>
          </w14:textFill>
        </w:rPr>
        <w:t>知</w:t>
      </w:r>
    </w:p>
    <w:p>
      <w:pPr>
        <w:tabs>
          <w:tab w:val="left" w:pos="4725"/>
        </w:tabs>
        <w:adjustRightInd w:val="0"/>
        <w:snapToGrid w:val="0"/>
        <w:spacing w:line="360" w:lineRule="auto"/>
        <w:ind w:firstLine="480" w:firstLineChars="200"/>
        <w:rPr>
          <w:rFonts w:ascii="宋体" w:hAnsi="宋体"/>
          <w:sz w:val="24"/>
          <w:szCs w:val="21"/>
        </w:rPr>
      </w:pPr>
      <w:r>
        <w:rPr>
          <w:rFonts w:hint="eastAsia" w:ascii="宋体" w:hAnsi="宋体"/>
          <w:sz w:val="24"/>
          <w:szCs w:val="21"/>
        </w:rPr>
        <w:t>附页3</w:t>
      </w:r>
      <w:r>
        <w:rPr>
          <w:rFonts w:ascii="宋体" w:hAnsi="宋体"/>
          <w:sz w:val="24"/>
          <w:szCs w:val="21"/>
        </w:rPr>
        <w:t xml:space="preserve">-1 </w:t>
      </w:r>
      <w:r>
        <w:rPr>
          <w:rFonts w:hint="eastAsia" w:ascii="宋体" w:hAnsi="宋体"/>
          <w:sz w:val="24"/>
          <w:szCs w:val="21"/>
        </w:rPr>
        <w:t>投标人资格声明（含参加采购活动前三年内在经营活动中没有重大违法记录的书面声明）</w:t>
      </w:r>
    </w:p>
    <w:p>
      <w:pPr>
        <w:tabs>
          <w:tab w:val="left" w:pos="4725"/>
        </w:tabs>
        <w:adjustRightInd w:val="0"/>
        <w:snapToGrid w:val="0"/>
        <w:spacing w:line="360" w:lineRule="auto"/>
        <w:ind w:firstLine="480" w:firstLineChars="200"/>
        <w:rPr>
          <w:rFonts w:ascii="宋体" w:hAnsi="宋体"/>
          <w:sz w:val="24"/>
          <w:szCs w:val="21"/>
        </w:rPr>
      </w:pPr>
      <w:r>
        <w:rPr>
          <w:rFonts w:hint="eastAsia" w:ascii="宋体" w:hAnsi="宋体"/>
          <w:sz w:val="24"/>
          <w:szCs w:val="21"/>
        </w:rPr>
        <w:t>附页3</w:t>
      </w:r>
      <w:r>
        <w:rPr>
          <w:rFonts w:ascii="宋体" w:hAnsi="宋体"/>
          <w:sz w:val="24"/>
          <w:szCs w:val="21"/>
        </w:rPr>
        <w:t xml:space="preserve">-2 </w:t>
      </w:r>
      <w:r>
        <w:rPr>
          <w:rFonts w:hint="eastAsia" w:ascii="宋体" w:hAnsi="宋体"/>
          <w:sz w:val="24"/>
          <w:szCs w:val="21"/>
        </w:rPr>
        <w:t>投标人基本资格条件的证明材料（法人、或者其他组织的营业执照等主体资格证明文件，自然人的身份证明，财务状况报告、依法缴纳税收和社会保险费的相关证明）</w:t>
      </w:r>
    </w:p>
    <w:p>
      <w:pPr>
        <w:tabs>
          <w:tab w:val="left" w:pos="4725"/>
        </w:tabs>
        <w:adjustRightInd w:val="0"/>
        <w:snapToGrid w:val="0"/>
        <w:spacing w:line="360" w:lineRule="auto"/>
        <w:ind w:firstLine="480" w:firstLineChars="200"/>
        <w:rPr>
          <w:rFonts w:ascii="宋体" w:hAnsi="宋体"/>
          <w:sz w:val="24"/>
          <w:szCs w:val="21"/>
        </w:rPr>
      </w:pPr>
      <w:r>
        <w:rPr>
          <w:rFonts w:hint="eastAsia" w:ascii="宋体" w:hAnsi="宋体"/>
          <w:sz w:val="24"/>
          <w:szCs w:val="21"/>
        </w:rPr>
        <w:t>附页3</w:t>
      </w:r>
      <w:r>
        <w:rPr>
          <w:rFonts w:ascii="宋体" w:hAnsi="宋体"/>
          <w:sz w:val="24"/>
          <w:szCs w:val="21"/>
        </w:rPr>
        <w:t xml:space="preserve">-3 </w:t>
      </w:r>
      <w:r>
        <w:rPr>
          <w:rFonts w:hint="eastAsia" w:ascii="宋体" w:hAnsi="宋体"/>
          <w:sz w:val="24"/>
          <w:szCs w:val="21"/>
        </w:rPr>
        <w:t>投标人特定资格条件的证明材料</w:t>
      </w:r>
    </w:p>
    <w:p>
      <w:pPr>
        <w:tabs>
          <w:tab w:val="left" w:pos="4725"/>
        </w:tabs>
        <w:adjustRightInd w:val="0"/>
        <w:snapToGrid w:val="0"/>
        <w:spacing w:line="360" w:lineRule="auto"/>
        <w:ind w:firstLine="480" w:firstLineChars="200"/>
        <w:rPr>
          <w:rFonts w:ascii="宋体" w:hAnsi="宋体"/>
          <w:sz w:val="24"/>
          <w:szCs w:val="21"/>
        </w:rPr>
      </w:pPr>
      <w:r>
        <w:rPr>
          <w:rFonts w:hint="eastAsia" w:ascii="宋体" w:hAnsi="宋体"/>
          <w:sz w:val="24"/>
          <w:szCs w:val="21"/>
        </w:rPr>
        <w:t>附页3</w:t>
      </w:r>
      <w:r>
        <w:rPr>
          <w:rFonts w:ascii="宋体" w:hAnsi="宋体"/>
          <w:sz w:val="24"/>
          <w:szCs w:val="21"/>
        </w:rPr>
        <w:t xml:space="preserve">-4 </w:t>
      </w:r>
      <w:r>
        <w:rPr>
          <w:rFonts w:hint="eastAsia" w:ascii="宋体" w:hAnsi="宋体"/>
          <w:sz w:val="24"/>
          <w:szCs w:val="21"/>
        </w:rPr>
        <w:t>联合体协议书（格式）</w:t>
      </w:r>
    </w:p>
    <w:p>
      <w:pPr>
        <w:tabs>
          <w:tab w:val="left" w:pos="4725"/>
        </w:tabs>
        <w:adjustRightInd w:val="0"/>
        <w:snapToGrid w:val="0"/>
        <w:spacing w:line="360" w:lineRule="auto"/>
        <w:ind w:firstLine="480" w:firstLineChars="200"/>
        <w:rPr>
          <w:rFonts w:ascii="宋体" w:hAnsi="宋体"/>
          <w:sz w:val="24"/>
          <w:szCs w:val="21"/>
        </w:rPr>
      </w:pPr>
      <w:r>
        <w:rPr>
          <w:rFonts w:hint="eastAsia" w:ascii="宋体" w:hAnsi="宋体"/>
          <w:sz w:val="24"/>
          <w:szCs w:val="21"/>
        </w:rPr>
        <w:t>附页3</w:t>
      </w:r>
      <w:r>
        <w:rPr>
          <w:rFonts w:ascii="宋体" w:hAnsi="宋体"/>
          <w:sz w:val="24"/>
          <w:szCs w:val="21"/>
        </w:rPr>
        <w:t xml:space="preserve">-5 </w:t>
      </w:r>
      <w:r>
        <w:rPr>
          <w:rFonts w:hint="eastAsia" w:ascii="宋体" w:hAnsi="宋体"/>
          <w:sz w:val="24"/>
          <w:szCs w:val="21"/>
        </w:rPr>
        <w:t>其他说明</w:t>
      </w:r>
    </w:p>
    <w:p>
      <w:pPr>
        <w:tabs>
          <w:tab w:val="left" w:pos="4725"/>
        </w:tabs>
        <w:adjustRightInd w:val="0"/>
        <w:snapToGrid w:val="0"/>
        <w:spacing w:line="360" w:lineRule="auto"/>
        <w:ind w:firstLine="480" w:firstLineChars="200"/>
        <w:rPr>
          <w:rFonts w:ascii="宋体" w:hAnsi="宋体"/>
          <w:sz w:val="24"/>
          <w:szCs w:val="21"/>
        </w:rPr>
      </w:pPr>
      <w:r>
        <w:rPr>
          <w:rFonts w:hint="eastAsia" w:ascii="宋体" w:hAnsi="宋体"/>
          <w:sz w:val="24"/>
          <w:szCs w:val="21"/>
        </w:rPr>
        <w:t>附页</w:t>
      </w:r>
      <w:r>
        <w:rPr>
          <w:rFonts w:ascii="宋体" w:hAnsi="宋体"/>
          <w:sz w:val="24"/>
          <w:szCs w:val="21"/>
        </w:rPr>
        <w:t xml:space="preserve"> </w:t>
      </w:r>
      <w:r>
        <w:rPr>
          <w:rFonts w:hint="eastAsia" w:ascii="宋体" w:hAnsi="宋体"/>
          <w:sz w:val="24"/>
          <w:szCs w:val="21"/>
        </w:rPr>
        <w:t>3</w:t>
      </w:r>
      <w:r>
        <w:rPr>
          <w:rFonts w:ascii="宋体" w:hAnsi="宋体"/>
          <w:sz w:val="24"/>
          <w:szCs w:val="21"/>
        </w:rPr>
        <w:t xml:space="preserve">-6 </w:t>
      </w:r>
      <w:r>
        <w:rPr>
          <w:rFonts w:hint="eastAsia" w:ascii="宋体" w:hAnsi="宋体"/>
          <w:sz w:val="24"/>
          <w:szCs w:val="21"/>
        </w:rPr>
        <w:t>具有履行本项目采购合同</w:t>
      </w:r>
      <w:r>
        <w:rPr>
          <w:rFonts w:hint="eastAsia" w:ascii="宋体" w:hAnsi="宋体"/>
          <w:sz w:val="24"/>
          <w:szCs w:val="21"/>
          <w:lang w:eastAsia="zh-CN"/>
        </w:rPr>
        <w:t>所必需的</w:t>
      </w:r>
      <w:r>
        <w:rPr>
          <w:rFonts w:hint="eastAsia" w:ascii="宋体" w:hAnsi="宋体"/>
          <w:sz w:val="24"/>
          <w:szCs w:val="21"/>
        </w:rPr>
        <w:t>设备和专业技术能力证明材料</w:t>
      </w:r>
    </w:p>
    <w:p>
      <w:pPr>
        <w:tabs>
          <w:tab w:val="left" w:pos="4725"/>
        </w:tabs>
        <w:adjustRightInd w:val="0"/>
        <w:snapToGrid w:val="0"/>
        <w:spacing w:line="360" w:lineRule="auto"/>
        <w:ind w:firstLine="480" w:firstLineChars="200"/>
        <w:rPr>
          <w:rFonts w:ascii="宋体" w:hAnsi="宋体"/>
          <w:sz w:val="24"/>
          <w:szCs w:val="21"/>
        </w:rPr>
      </w:pPr>
      <w:r>
        <w:rPr>
          <w:rFonts w:hint="eastAsia" w:ascii="宋体" w:hAnsi="宋体"/>
          <w:sz w:val="24"/>
          <w:szCs w:val="21"/>
        </w:rPr>
        <w:t>附页3</w:t>
      </w:r>
      <w:r>
        <w:rPr>
          <w:rFonts w:ascii="宋体" w:hAnsi="宋体"/>
          <w:sz w:val="24"/>
          <w:szCs w:val="21"/>
        </w:rPr>
        <w:t>-7</w:t>
      </w:r>
      <w:r>
        <w:rPr>
          <w:rFonts w:hint="eastAsia" w:ascii="宋体" w:hAnsi="宋体"/>
          <w:sz w:val="24"/>
          <w:szCs w:val="21"/>
        </w:rPr>
        <w:t>中小企业声明函</w:t>
      </w:r>
    </w:p>
    <w:p>
      <w:pPr>
        <w:widowControl/>
        <w:adjustRightInd w:val="0"/>
        <w:snapToGrid w:val="0"/>
        <w:spacing w:line="360" w:lineRule="auto"/>
        <w:jc w:val="left"/>
        <w:rPr>
          <w:rFonts w:ascii="黑体" w:hAnsi="仿宋" w:eastAsia="黑体" w:cs="宋体"/>
          <w:color w:val="000000" w:themeColor="text1"/>
          <w:szCs w:val="21"/>
          <w14:textFill>
            <w14:solidFill>
              <w14:schemeClr w14:val="tx1"/>
            </w14:solidFill>
          </w14:textFill>
        </w:rPr>
      </w:pPr>
      <w:r>
        <w:rPr>
          <w:rFonts w:ascii="黑体" w:hAnsi="仿宋" w:eastAsia="黑体" w:cs="宋体"/>
          <w:color w:val="000000" w:themeColor="text1"/>
          <w:szCs w:val="21"/>
          <w14:textFill>
            <w14:solidFill>
              <w14:schemeClr w14:val="tx1"/>
            </w14:solidFill>
          </w14:textFill>
        </w:rPr>
        <w:br w:type="page"/>
      </w:r>
    </w:p>
    <w:p>
      <w:pPr>
        <w:pStyle w:val="8"/>
        <w:adjustRightInd w:val="0"/>
        <w:snapToGrid w:val="0"/>
        <w:spacing w:before="157" w:beforeLines="50" w:after="0" w:line="360" w:lineRule="auto"/>
        <w:rPr>
          <w:rFonts w:ascii="黑体" w:hAnsi="仿宋" w:cs="宋体"/>
          <w:b w:val="0"/>
          <w:color w:val="000000" w:themeColor="text1"/>
          <w:sz w:val="21"/>
          <w:szCs w:val="21"/>
          <w14:textFill>
            <w14:solidFill>
              <w14:schemeClr w14:val="tx1"/>
            </w14:solidFill>
          </w14:textFill>
        </w:rPr>
      </w:pPr>
      <w:r>
        <w:rPr>
          <w:rFonts w:hint="eastAsia" w:ascii="黑体" w:hAnsi="仿宋" w:cs="宋体"/>
          <w:b w:val="0"/>
          <w:color w:val="000000" w:themeColor="text1"/>
          <w:sz w:val="21"/>
          <w:szCs w:val="21"/>
          <w14:textFill>
            <w14:solidFill>
              <w14:schemeClr w14:val="tx1"/>
            </w14:solidFill>
          </w14:textFill>
        </w:rPr>
        <w:t>附件3</w:t>
      </w:r>
      <w:r>
        <w:rPr>
          <w:rFonts w:ascii="黑体" w:hAnsi="仿宋" w:cs="宋体"/>
          <w:b w:val="0"/>
          <w:color w:val="000000" w:themeColor="text1"/>
          <w:sz w:val="21"/>
          <w:szCs w:val="21"/>
          <w14:textFill>
            <w14:solidFill>
              <w14:schemeClr w14:val="tx1"/>
            </w14:solidFill>
          </w14:textFill>
        </w:rPr>
        <w:t>-1</w:t>
      </w:r>
      <w:r>
        <w:rPr>
          <w:rFonts w:hint="eastAsia" w:ascii="黑体" w:hAnsi="仿宋" w:cs="宋体"/>
          <w:b w:val="0"/>
          <w:color w:val="000000" w:themeColor="text1"/>
          <w:sz w:val="21"/>
          <w:szCs w:val="21"/>
          <w14:textFill>
            <w14:solidFill>
              <w14:schemeClr w14:val="tx1"/>
            </w14:solidFill>
          </w14:textFill>
        </w:rPr>
        <w:t>投标人资格声明</w:t>
      </w:r>
      <w:r>
        <w:rPr>
          <w:rFonts w:ascii="黑体" w:hAnsi="仿宋" w:cs="宋体"/>
          <w:b w:val="0"/>
          <w:color w:val="000000" w:themeColor="text1"/>
          <w:sz w:val="21"/>
          <w:szCs w:val="21"/>
          <w14:textFill>
            <w14:solidFill>
              <w14:schemeClr w14:val="tx1"/>
            </w14:solidFill>
          </w14:textFill>
        </w:rPr>
        <w:t>(</w:t>
      </w:r>
      <w:r>
        <w:rPr>
          <w:rFonts w:hint="eastAsia" w:ascii="黑体" w:hAnsi="仿宋" w:cs="宋体"/>
          <w:b w:val="0"/>
          <w:color w:val="000000" w:themeColor="text1"/>
          <w:sz w:val="21"/>
          <w:szCs w:val="21"/>
          <w14:textFill>
            <w14:solidFill>
              <w14:schemeClr w14:val="tx1"/>
            </w14:solidFill>
          </w14:textFill>
        </w:rPr>
        <w:t>格式</w:t>
      </w:r>
      <w:r>
        <w:rPr>
          <w:rFonts w:ascii="黑体" w:hAnsi="仿宋" w:cs="宋体"/>
          <w:b w:val="0"/>
          <w:color w:val="000000" w:themeColor="text1"/>
          <w:sz w:val="21"/>
          <w:szCs w:val="21"/>
          <w14:textFill>
            <w14:solidFill>
              <w14:schemeClr w14:val="tx1"/>
            </w14:solidFill>
          </w14:textFill>
        </w:rPr>
        <w:t>)</w:t>
      </w:r>
    </w:p>
    <w:p>
      <w:pPr>
        <w:widowControl/>
        <w:adjustRightInd w:val="0"/>
        <w:snapToGrid w:val="0"/>
        <w:spacing w:before="157" w:beforeLines="50" w:line="360" w:lineRule="auto"/>
        <w:jc w:val="center"/>
        <w:rPr>
          <w:rFonts w:cs="宋体" w:asciiTheme="minorEastAsia" w:hAnsiTheme="minorEastAsia" w:eastAsiaTheme="minorEastAsia"/>
          <w:color w:val="000000" w:themeColor="text1"/>
          <w:szCs w:val="21"/>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投标人资格声明</w:t>
      </w:r>
      <w:r>
        <w:rPr>
          <w:rFonts w:ascii="黑体" w:hAnsi="仿宋" w:eastAsia="黑体" w:cs="宋体"/>
          <w:b/>
          <w:color w:val="000000" w:themeColor="text1"/>
          <w:sz w:val="28"/>
          <w:szCs w:val="28"/>
          <w14:textFill>
            <w14:solidFill>
              <w14:schemeClr w14:val="tx1"/>
            </w14:solidFill>
          </w14:textFill>
        </w:rPr>
        <w:t>(</w:t>
      </w:r>
      <w:r>
        <w:rPr>
          <w:rFonts w:hint="eastAsia" w:ascii="黑体" w:hAnsi="仿宋" w:eastAsia="黑体" w:cs="宋体"/>
          <w:b/>
          <w:color w:val="000000" w:themeColor="text1"/>
          <w:sz w:val="28"/>
          <w:szCs w:val="28"/>
          <w14:textFill>
            <w14:solidFill>
              <w14:schemeClr w14:val="tx1"/>
            </w14:solidFill>
          </w14:textFill>
        </w:rPr>
        <w:t>格式</w:t>
      </w:r>
      <w:r>
        <w:rPr>
          <w:rFonts w:ascii="黑体" w:hAnsi="仿宋" w:eastAsia="黑体" w:cs="宋体"/>
          <w:b/>
          <w:color w:val="000000" w:themeColor="text1"/>
          <w:sz w:val="28"/>
          <w:szCs w:val="28"/>
          <w14:textFill>
            <w14:solidFill>
              <w14:schemeClr w14:val="tx1"/>
            </w14:solidFill>
          </w14:textFill>
        </w:rPr>
        <w:t>)</w:t>
      </w:r>
    </w:p>
    <w:p>
      <w:pPr>
        <w:widowControl/>
        <w:adjustRightInd w:val="0"/>
        <w:snapToGrid w:val="0"/>
        <w:spacing w:line="360" w:lineRule="auto"/>
        <w:jc w:val="left"/>
        <w:rPr>
          <w:rFonts w:ascii="宋体" w:hAnsi="宋体" w:cs="宋体"/>
          <w:kern w:val="0"/>
          <w:szCs w:val="21"/>
        </w:rPr>
      </w:pPr>
      <w:bookmarkStart w:id="92" w:name="_Toc8983767"/>
    </w:p>
    <w:p>
      <w:pPr>
        <w:widowControl/>
        <w:adjustRightInd w:val="0"/>
        <w:snapToGrid w:val="0"/>
        <w:spacing w:line="360" w:lineRule="auto"/>
        <w:jc w:val="left"/>
        <w:rPr>
          <w:rFonts w:ascii="宋体" w:hAnsi="宋体" w:cs="宋体"/>
          <w:kern w:val="0"/>
          <w:szCs w:val="21"/>
        </w:rPr>
      </w:pPr>
      <w:r>
        <w:rPr>
          <w:rFonts w:hint="eastAsia" w:ascii="宋体" w:hAnsi="宋体" w:cs="宋体"/>
          <w:szCs w:val="21"/>
        </w:rPr>
        <w:t>致（采购人或采购代理机构）：</w:t>
      </w:r>
    </w:p>
    <w:p>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szCs w:val="21"/>
        </w:rPr>
        <w:t>按照《政府采购法》第二十二条和招标文件的规定，我单位郑重声明如下：</w:t>
      </w:r>
    </w:p>
    <w:p>
      <w:pPr>
        <w:widowControl/>
        <w:adjustRightInd w:val="0"/>
        <w:snapToGrid w:val="0"/>
        <w:spacing w:line="360" w:lineRule="auto"/>
        <w:ind w:firstLine="420" w:firstLineChars="200"/>
        <w:jc w:val="left"/>
        <w:rPr>
          <w:rFonts w:ascii="宋体" w:hAnsi="宋体" w:cs="宋体"/>
          <w:kern w:val="0"/>
          <w:szCs w:val="21"/>
        </w:rPr>
      </w:pPr>
      <w:r>
        <w:rPr>
          <w:rFonts w:ascii="宋体" w:hAnsi="宋体" w:cs="宋体"/>
          <w:szCs w:val="21"/>
        </w:rPr>
        <w:t>1</w:t>
      </w:r>
      <w:r>
        <w:rPr>
          <w:rFonts w:hint="eastAsia" w:ascii="宋体" w:hAnsi="宋体" w:cs="宋体"/>
          <w:szCs w:val="21"/>
        </w:rPr>
        <w:t>、我单位是按照中华人民共和国法律规定登记注册的，全称为</w:t>
      </w:r>
      <w:r>
        <w:rPr>
          <w:rFonts w:ascii="宋体" w:hAnsi="宋体" w:cs="宋体"/>
          <w:szCs w:val="21"/>
          <w:u w:val="single"/>
        </w:rPr>
        <w:t xml:space="preserve">               </w:t>
      </w:r>
      <w:r>
        <w:rPr>
          <w:rFonts w:hint="eastAsia" w:ascii="宋体" w:hAnsi="宋体" w:cs="宋体"/>
          <w:szCs w:val="21"/>
        </w:rPr>
        <w:t>，注册地点为</w:t>
      </w:r>
      <w:r>
        <w:rPr>
          <w:rFonts w:ascii="宋体" w:hAnsi="宋体" w:cs="宋体"/>
          <w:szCs w:val="21"/>
          <w:u w:val="single"/>
        </w:rPr>
        <w:t xml:space="preserve">            </w:t>
      </w:r>
      <w:r>
        <w:rPr>
          <w:rFonts w:hint="eastAsia" w:ascii="宋体" w:hAnsi="宋体" w:cs="宋体"/>
          <w:szCs w:val="21"/>
        </w:rPr>
        <w:t>，统一社会信用代码或注册号为</w:t>
      </w:r>
      <w:r>
        <w:rPr>
          <w:rFonts w:ascii="宋体" w:hAnsi="宋体" w:cs="宋体"/>
          <w:szCs w:val="21"/>
          <w:u w:val="single"/>
        </w:rPr>
        <w:t xml:space="preserve">             </w:t>
      </w:r>
      <w:r>
        <w:rPr>
          <w:rFonts w:hint="eastAsia" w:ascii="宋体" w:hAnsi="宋体" w:cs="宋体"/>
          <w:szCs w:val="21"/>
        </w:rPr>
        <w:t>，法定代表人为</w:t>
      </w:r>
      <w:r>
        <w:rPr>
          <w:rFonts w:ascii="宋体" w:hAnsi="宋体" w:cs="宋体"/>
          <w:szCs w:val="21"/>
          <w:u w:val="single"/>
        </w:rPr>
        <w:t xml:space="preserve">         </w:t>
      </w:r>
      <w:r>
        <w:rPr>
          <w:rFonts w:hint="eastAsia" w:ascii="宋体" w:hAnsi="宋体" w:cs="宋体"/>
          <w:szCs w:val="21"/>
        </w:rPr>
        <w:t>，具有独立承担民事责任的能力。</w:t>
      </w:r>
    </w:p>
    <w:p>
      <w:pPr>
        <w:widowControl/>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、我单位具有良好的商业信誉和健全的财务会计制度。</w:t>
      </w:r>
    </w:p>
    <w:p>
      <w:pPr>
        <w:widowControl/>
        <w:adjustRightInd w:val="0"/>
        <w:snapToGrid w:val="0"/>
        <w:spacing w:line="360" w:lineRule="auto"/>
        <w:ind w:firstLine="420" w:firstLineChars="200"/>
        <w:jc w:val="left"/>
        <w:rPr>
          <w:rFonts w:ascii="宋体" w:hAnsi="宋体" w:cs="宋体"/>
          <w:szCs w:val="21"/>
        </w:rPr>
      </w:pPr>
      <w:r>
        <w:rPr>
          <w:rFonts w:ascii="宋体" w:hAnsi="宋体" w:cs="宋体"/>
          <w:szCs w:val="21"/>
        </w:rPr>
        <w:t>3</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ascii="宋体" w:hAnsi="宋体" w:cs="宋体"/>
          <w:szCs w:val="21"/>
        </w:rPr>
      </w:pPr>
      <w:r>
        <w:rPr>
          <w:rFonts w:ascii="宋体" w:hAnsi="宋体" w:cs="宋体"/>
          <w:szCs w:val="21"/>
        </w:rPr>
        <w:t>4</w:t>
      </w:r>
      <w:r>
        <w:rPr>
          <w:rFonts w:hint="eastAsia" w:ascii="宋体" w:hAnsi="宋体" w:cs="宋体"/>
          <w:szCs w:val="21"/>
        </w:rPr>
        <w:t>、我单位具有依法缴纳税收和社会保障资金的良好记录。</w:t>
      </w:r>
    </w:p>
    <w:p>
      <w:pPr>
        <w:widowControl/>
        <w:adjustRightInd w:val="0"/>
        <w:snapToGrid w:val="0"/>
        <w:spacing w:line="360" w:lineRule="auto"/>
        <w:ind w:firstLine="420" w:firstLineChars="200"/>
        <w:jc w:val="left"/>
        <w:rPr>
          <w:rFonts w:ascii="宋体" w:hAnsi="宋体" w:cs="宋体"/>
          <w:szCs w:val="21"/>
        </w:rPr>
      </w:pPr>
      <w:r>
        <w:rPr>
          <w:rFonts w:ascii="宋体" w:hAnsi="宋体" w:cs="宋体"/>
          <w:szCs w:val="21"/>
        </w:rPr>
        <w:t>5</w:t>
      </w:r>
      <w:r>
        <w:rPr>
          <w:rFonts w:hint="eastAsia" w:ascii="宋体" w:hAnsi="宋体" w:cs="宋体"/>
          <w:szCs w:val="21"/>
        </w:rPr>
        <w:t>、我单位在参加采购项目政府采购活动前三年内，未因违法经营受到刑事处罚或者责令停产停业、吊销许可证或者执照、受到法律法规规定的较大数额罚款等行政处罚。</w:t>
      </w:r>
    </w:p>
    <w:p>
      <w:pPr>
        <w:widowControl/>
        <w:adjustRightInd w:val="0"/>
        <w:snapToGrid w:val="0"/>
        <w:spacing w:line="360" w:lineRule="auto"/>
        <w:ind w:firstLine="420" w:firstLineChars="200"/>
        <w:jc w:val="left"/>
        <w:rPr>
          <w:rFonts w:ascii="宋体" w:hAnsi="宋体" w:cs="宋体"/>
          <w:szCs w:val="21"/>
        </w:rPr>
      </w:pPr>
      <w:r>
        <w:rPr>
          <w:rFonts w:ascii="宋体" w:hAnsi="宋体" w:cs="宋体"/>
          <w:szCs w:val="21"/>
        </w:rPr>
        <w:t>6</w:t>
      </w:r>
      <w:r>
        <w:rPr>
          <w:rFonts w:hint="eastAsia" w:ascii="宋体" w:hAnsi="宋体" w:cs="宋体"/>
          <w:szCs w:val="21"/>
        </w:rPr>
        <w:t xml:space="preserve">、我单位不存在下列情形之一： </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）与采购人、采购代理机构不存在隶属关系或者其他利害关系；</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w:t>
      </w:r>
      <w:r>
        <w:rPr>
          <w:rFonts w:ascii="宋体" w:hAnsi="宋体" w:cs="宋体"/>
          <w:szCs w:val="21"/>
        </w:rPr>
        <w:t>2</w:t>
      </w:r>
      <w:r>
        <w:rPr>
          <w:rFonts w:hint="eastAsia" w:ascii="宋体" w:hAnsi="宋体" w:cs="宋体"/>
          <w:szCs w:val="21"/>
        </w:rPr>
        <w:t>）与参加采购项目的其他投标人不存在直接控股、管理关系，或者与其他投标人法定代表人（或者负责人）为同一人；</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w:t>
      </w:r>
      <w:r>
        <w:rPr>
          <w:rFonts w:ascii="宋体" w:hAnsi="宋体" w:cs="宋体"/>
          <w:szCs w:val="21"/>
        </w:rPr>
        <w:t>3</w:t>
      </w:r>
      <w:r>
        <w:rPr>
          <w:rFonts w:hint="eastAsia" w:ascii="宋体" w:hAnsi="宋体" w:cs="宋体"/>
          <w:szCs w:val="21"/>
        </w:rPr>
        <w:t>）已为采购项目提供整体设计、规范编制或者项目管理、监理、检测等服务；</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w:t>
      </w:r>
      <w:r>
        <w:rPr>
          <w:rFonts w:ascii="宋体" w:hAnsi="宋体" w:cs="宋体"/>
          <w:szCs w:val="21"/>
        </w:rPr>
        <w:t>4</w:t>
      </w:r>
      <w:r>
        <w:rPr>
          <w:rFonts w:hint="eastAsia" w:ascii="宋体" w:hAnsi="宋体" w:cs="宋体"/>
          <w:szCs w:val="21"/>
        </w:rPr>
        <w:t>）列入失信被执行人、重大税收违法案件当事人名单、政府采购严重违法失信行为记录名单及其他不符合《政府采购法》第二十二条规定条件。</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我单位保证上述声明的事项都是真实的，如有虚假，我单位愿意承担相应的法律责任，并承担因此所造成的一切损失。</w:t>
      </w:r>
    </w:p>
    <w:p>
      <w:pPr>
        <w:widowControl/>
        <w:adjustRightInd w:val="0"/>
        <w:snapToGrid w:val="0"/>
        <w:spacing w:line="360" w:lineRule="auto"/>
        <w:ind w:firstLine="420" w:firstLineChars="200"/>
        <w:jc w:val="left"/>
        <w:rPr>
          <w:rFonts w:ascii="宋体" w:hAnsi="宋体" w:cs="宋体"/>
          <w:szCs w:val="21"/>
        </w:rPr>
      </w:pPr>
    </w:p>
    <w:p>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szCs w:val="21"/>
        </w:rPr>
        <w:t xml:space="preserve"> </w:t>
      </w:r>
    </w:p>
    <w:p>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szCs w:val="21"/>
        </w:rPr>
        <w:t xml:space="preserve"> </w:t>
      </w:r>
    </w:p>
    <w:p>
      <w:pPr>
        <w:widowControl/>
        <w:adjustRightInd w:val="0"/>
        <w:snapToGrid w:val="0"/>
        <w:spacing w:line="360" w:lineRule="auto"/>
        <w:jc w:val="left"/>
        <w:rPr>
          <w:rFonts w:ascii="宋体" w:hAnsi="宋体" w:cs="宋体"/>
          <w:kern w:val="0"/>
          <w:szCs w:val="21"/>
        </w:rPr>
      </w:pPr>
      <w:r>
        <w:rPr>
          <w:rFonts w:hint="eastAsia" w:ascii="宋体" w:hAnsi="宋体" w:cs="宋体"/>
          <w:szCs w:val="21"/>
        </w:rPr>
        <w:t>投标人名称（盖单位章）：</w:t>
      </w:r>
    </w:p>
    <w:p>
      <w:pPr>
        <w:widowControl/>
        <w:adjustRightInd w:val="0"/>
        <w:snapToGrid w:val="0"/>
        <w:spacing w:line="360" w:lineRule="auto"/>
        <w:jc w:val="left"/>
        <w:rPr>
          <w:rFonts w:ascii="宋体" w:hAnsi="宋体" w:cs="宋体"/>
          <w:kern w:val="0"/>
          <w:szCs w:val="21"/>
        </w:rPr>
      </w:pPr>
      <w:r>
        <w:rPr>
          <w:rFonts w:hint="eastAsia" w:ascii="宋体" w:hAnsi="宋体" w:cs="宋体"/>
          <w:szCs w:val="21"/>
        </w:rPr>
        <w:t>法定代表人或者授权代理人（签字）：</w:t>
      </w:r>
    </w:p>
    <w:p>
      <w:pPr>
        <w:adjustRightInd w:val="0"/>
        <w:snapToGrid w:val="0"/>
        <w:spacing w:line="360" w:lineRule="auto"/>
        <w:rPr>
          <w:rFonts w:ascii="黑体" w:hAnsi="黑体" w:eastAsia="黑体"/>
          <w:bCs/>
          <w:sz w:val="28"/>
          <w:szCs w:val="28"/>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ascii="宋体" w:hAnsi="宋体" w:cs="宋体"/>
          <w:szCs w:val="21"/>
        </w:rPr>
        <w:t>日</w:t>
      </w:r>
    </w:p>
    <w:p>
      <w:pPr>
        <w:adjustRightInd w:val="0"/>
        <w:snapToGrid w:val="0"/>
        <w:spacing w:line="360" w:lineRule="auto"/>
        <w:jc w:val="left"/>
        <w:rPr>
          <w:rFonts w:ascii="黑体" w:hAnsi="黑体" w:eastAsia="黑体"/>
          <w:szCs w:val="21"/>
        </w:rPr>
      </w:pPr>
      <w:r>
        <w:rPr>
          <w:rFonts w:ascii="黑体" w:hAnsi="黑体" w:eastAsia="黑体"/>
          <w:bCs/>
          <w:sz w:val="28"/>
          <w:szCs w:val="28"/>
        </w:rPr>
        <w:br w:type="page"/>
      </w:r>
      <w:r>
        <w:rPr>
          <w:rFonts w:hint="eastAsia" w:ascii="宋体" w:hAnsi="宋体" w:cs="宋体"/>
          <w:bCs/>
          <w:szCs w:val="21"/>
        </w:rPr>
        <w:t>附页</w:t>
      </w:r>
      <w:r>
        <w:rPr>
          <w:rFonts w:hint="eastAsia" w:ascii="黑体" w:hAnsi="黑体"/>
          <w:szCs w:val="21"/>
        </w:rPr>
        <w:t>3</w:t>
      </w:r>
      <w:r>
        <w:rPr>
          <w:rFonts w:ascii="黑体" w:hAnsi="黑体"/>
          <w:szCs w:val="21"/>
        </w:rPr>
        <w:t>-2</w:t>
      </w:r>
      <w:r>
        <w:rPr>
          <w:rFonts w:hint="eastAsia" w:ascii="黑体" w:hAnsi="黑体" w:eastAsia="黑体"/>
          <w:szCs w:val="21"/>
        </w:rPr>
        <w:t xml:space="preserve">  </w:t>
      </w:r>
    </w:p>
    <w:p>
      <w:pPr>
        <w:jc w:val="center"/>
        <w:rPr>
          <w:rFonts w:ascii="黑体" w:hAnsi="宋体" w:eastAsia="黑体"/>
          <w:sz w:val="28"/>
          <w:szCs w:val="28"/>
        </w:rPr>
      </w:pPr>
      <w:r>
        <w:rPr>
          <w:rFonts w:hint="eastAsia" w:ascii="宋体" w:hAnsi="宋体" w:cs="宋体"/>
          <w:sz w:val="28"/>
          <w:szCs w:val="28"/>
        </w:rPr>
        <w:t>投标人基本资格条件的证明材料</w:t>
      </w:r>
    </w:p>
    <w:p>
      <w:pPr>
        <w:adjustRightInd w:val="0"/>
        <w:snapToGrid w:val="0"/>
        <w:spacing w:line="360" w:lineRule="auto"/>
        <w:ind w:firstLine="643" w:firstLineChars="200"/>
        <w:jc w:val="left"/>
        <w:rPr>
          <w:rFonts w:ascii="黑体" w:hAnsi="华文中宋" w:eastAsia="黑体"/>
          <w:b/>
          <w:sz w:val="32"/>
          <w:szCs w:val="32"/>
        </w:rPr>
      </w:pPr>
    </w:p>
    <w:p>
      <w:pPr>
        <w:adjustRightInd w:val="0"/>
        <w:snapToGrid w:val="0"/>
        <w:spacing w:line="360" w:lineRule="auto"/>
        <w:ind w:firstLine="482" w:firstLineChars="200"/>
        <w:jc w:val="left"/>
        <w:rPr>
          <w:rFonts w:ascii="宋体" w:hAnsi="宋体"/>
          <w:b/>
          <w:sz w:val="24"/>
          <w:szCs w:val="21"/>
        </w:rPr>
      </w:pPr>
      <w:r>
        <w:rPr>
          <w:rFonts w:hint="eastAsia" w:ascii="宋体" w:hAnsi="宋体"/>
          <w:b/>
          <w:sz w:val="24"/>
          <w:szCs w:val="21"/>
        </w:rPr>
        <w:t>投标人应按招标文件要求提供：</w:t>
      </w:r>
    </w:p>
    <w:p>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1.法人提交企业法人营业执照副本(或者法人登记证书)以及组织机构代码证副本复印件；</w:t>
      </w:r>
    </w:p>
    <w:p>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2.依法缴纳税收和社会保险费的证明材料,提供下列材料:</w:t>
      </w:r>
    </w:p>
    <w:p>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①缴纳税收证明资料:近三个月内任意一个月依法缴纳税收的证明（纳税凭证复印件），或者委托他人缴纳的委托代办协议和近三个月内任意一个月的缴纳证明（收据复印件），或者法定征收机关出具的依法免缴税收的证明复印件。②缴纳社会保险证明资料：近三个月内任意一个月依法缴纳社会保险的证明（缴费凭证复印件），或者委托他人缴纳的委托代办协议和近三个月内任意一个月的缴纳证明（收据复印件），或者法定征收机关出具的依法免缴保险费的证明复印件。</w:t>
      </w:r>
    </w:p>
    <w:p>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法人提交法定代表人身份证明原件或者法定代表人授权委托书原件以及被授权代表人在投标单位或投标单位依法登记的分支机构近三个月内任意一个月的社保证明并附法定代表人身份证明原件，自然人提交身份证复印件。</w:t>
      </w:r>
    </w:p>
    <w:p>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4.提供202</w:t>
      </w:r>
      <w:r>
        <w:rPr>
          <w:rFonts w:hint="eastAsia" w:ascii="宋体" w:hAnsi="宋体" w:cs="宋体"/>
          <w:szCs w:val="21"/>
          <w:lang w:val="en-US" w:eastAsia="zh-CN"/>
        </w:rPr>
        <w:t>2</w:t>
      </w:r>
      <w:r>
        <w:rPr>
          <w:rFonts w:hint="eastAsia" w:ascii="宋体" w:hAnsi="宋体" w:cs="宋体"/>
          <w:szCs w:val="21"/>
        </w:rPr>
        <w:t>年度经会计师事务所审计的财务报告复印件全本，或银行出具的完整资信证明（需证明投标人的资金状况和信用状况）。</w:t>
      </w:r>
    </w:p>
    <w:p>
      <w:pPr>
        <w:spacing w:line="400" w:lineRule="exact"/>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近三个月是指：202</w:t>
      </w:r>
      <w:r>
        <w:rPr>
          <w:rFonts w:hint="eastAsia" w:asciiTheme="minorEastAsia" w:hAnsiTheme="minorEastAsia" w:eastAsiaTheme="minorEastAsia" w:cstheme="minorEastAsia"/>
          <w:color w:val="auto"/>
          <w:lang w:val="en-US" w:eastAsia="zh-CN"/>
        </w:rPr>
        <w:t>3</w:t>
      </w:r>
      <w:r>
        <w:rPr>
          <w:rFonts w:hint="eastAsia" w:asciiTheme="minorEastAsia" w:hAnsiTheme="minorEastAsia" w:eastAsiaTheme="minorEastAsia" w:cstheme="minorEastAsia"/>
          <w:color w:val="auto"/>
        </w:rPr>
        <w:t>年</w:t>
      </w:r>
      <w:r>
        <w:rPr>
          <w:rFonts w:hint="eastAsia" w:asciiTheme="minorEastAsia" w:hAnsiTheme="minorEastAsia" w:eastAsiaTheme="minorEastAsia" w:cstheme="minorEastAsia"/>
          <w:color w:val="auto"/>
          <w:lang w:val="en-US" w:eastAsia="zh-CN"/>
        </w:rPr>
        <w:t>07</w:t>
      </w:r>
      <w:r>
        <w:rPr>
          <w:rFonts w:hint="eastAsia" w:asciiTheme="minorEastAsia" w:hAnsiTheme="minorEastAsia" w:eastAsiaTheme="minorEastAsia" w:cstheme="minorEastAsia"/>
          <w:color w:val="auto"/>
        </w:rPr>
        <w:t>月至202</w:t>
      </w:r>
      <w:r>
        <w:rPr>
          <w:rFonts w:hint="eastAsia" w:asciiTheme="minorEastAsia" w:hAnsiTheme="minorEastAsia" w:eastAsiaTheme="minorEastAsia" w:cstheme="minorEastAsia"/>
          <w:color w:val="auto"/>
          <w:lang w:val="en-US" w:eastAsia="zh-CN"/>
        </w:rPr>
        <w:t>3</w:t>
      </w:r>
      <w:r>
        <w:rPr>
          <w:rFonts w:hint="eastAsia" w:asciiTheme="minorEastAsia" w:hAnsiTheme="minorEastAsia" w:eastAsiaTheme="minorEastAsia" w:cstheme="minorEastAsia"/>
          <w:color w:val="auto"/>
        </w:rPr>
        <w:t>年</w:t>
      </w:r>
      <w:r>
        <w:rPr>
          <w:rFonts w:hint="eastAsia" w:asciiTheme="minorEastAsia" w:hAnsiTheme="minorEastAsia" w:eastAsiaTheme="minorEastAsia" w:cstheme="minorEastAsia"/>
          <w:color w:val="auto"/>
          <w:lang w:val="en-US" w:eastAsia="zh-CN"/>
        </w:rPr>
        <w:t>09</w:t>
      </w:r>
      <w:r>
        <w:rPr>
          <w:rFonts w:hint="eastAsia" w:asciiTheme="minorEastAsia" w:hAnsiTheme="minorEastAsia" w:eastAsiaTheme="minorEastAsia" w:cstheme="minorEastAsia"/>
          <w:color w:val="auto"/>
        </w:rPr>
        <w:t>月</w:t>
      </w:r>
    </w:p>
    <w:p>
      <w:pPr>
        <w:pStyle w:val="44"/>
      </w:pPr>
    </w:p>
    <w:p>
      <w:pPr>
        <w:rPr>
          <w:rFonts w:ascii="宋体" w:hAnsi="宋体" w:cs="宋体"/>
          <w:szCs w:val="21"/>
        </w:rPr>
      </w:pPr>
      <w:r>
        <w:rPr>
          <w:rFonts w:hint="eastAsia" w:ascii="宋体" w:hAnsi="宋体" w:cs="宋体"/>
          <w:szCs w:val="21"/>
        </w:rPr>
        <w:br w:type="page"/>
      </w:r>
    </w:p>
    <w:p>
      <w:pPr>
        <w:adjustRightInd w:val="0"/>
        <w:snapToGrid w:val="0"/>
        <w:spacing w:line="360" w:lineRule="auto"/>
        <w:ind w:firstLine="420" w:firstLineChars="200"/>
        <w:jc w:val="left"/>
        <w:rPr>
          <w:rFonts w:ascii="黑体" w:hAnsi="黑体" w:eastAsia="黑体"/>
          <w:szCs w:val="21"/>
        </w:rPr>
      </w:pPr>
      <w:r>
        <w:rPr>
          <w:rFonts w:hint="eastAsia" w:ascii="宋体" w:hAnsi="宋体" w:cs="宋体"/>
          <w:szCs w:val="21"/>
        </w:rPr>
        <w:t xml:space="preserve"> 附页</w:t>
      </w:r>
      <w:r>
        <w:rPr>
          <w:rFonts w:hint="eastAsia" w:ascii="黑体" w:hAnsi="黑体"/>
          <w:szCs w:val="21"/>
        </w:rPr>
        <w:t>3</w:t>
      </w:r>
      <w:r>
        <w:rPr>
          <w:rFonts w:ascii="黑体" w:hAnsi="黑体"/>
          <w:szCs w:val="21"/>
        </w:rPr>
        <w:t>-3</w:t>
      </w:r>
      <w:r>
        <w:rPr>
          <w:rFonts w:hint="eastAsia" w:ascii="黑体" w:hAnsi="黑体" w:eastAsia="黑体"/>
          <w:szCs w:val="21"/>
        </w:rPr>
        <w:t xml:space="preserve">  </w:t>
      </w:r>
    </w:p>
    <w:p>
      <w:pPr>
        <w:ind w:firstLine="280" w:firstLineChars="100"/>
        <w:jc w:val="center"/>
        <w:rPr>
          <w:rFonts w:ascii="黑体" w:hAnsi="黑体" w:eastAsia="黑体" w:cs="宋体"/>
          <w:sz w:val="28"/>
          <w:szCs w:val="28"/>
        </w:rPr>
      </w:pPr>
      <w:r>
        <w:rPr>
          <w:rFonts w:hint="eastAsia" w:ascii="宋体" w:hAnsi="宋体" w:cs="宋体"/>
          <w:sz w:val="28"/>
          <w:szCs w:val="28"/>
        </w:rPr>
        <w:t>投标人特定资格条件的证明材料</w:t>
      </w:r>
    </w:p>
    <w:p>
      <w:pPr>
        <w:rPr>
          <w:rFonts w:ascii="黑体" w:hAnsi="黑体" w:eastAsia="黑体"/>
          <w:sz w:val="28"/>
          <w:szCs w:val="28"/>
        </w:rPr>
      </w:pPr>
    </w:p>
    <w:p>
      <w:pPr>
        <w:rPr>
          <w:rFonts w:ascii="宋体" w:hAnsi="宋体"/>
          <w:szCs w:val="21"/>
        </w:rPr>
      </w:pPr>
      <w:r>
        <w:rPr>
          <w:rFonts w:hint="eastAsia" w:ascii="宋体" w:hAnsi="宋体"/>
          <w:szCs w:val="21"/>
        </w:rPr>
        <w:t>备注：提供投标人特定资格条件证明资料的原件扫描件。</w:t>
      </w:r>
    </w:p>
    <w:p>
      <w:pPr>
        <w:tabs>
          <w:tab w:val="left" w:pos="4725"/>
        </w:tabs>
        <w:adjustRightInd w:val="0"/>
        <w:snapToGrid w:val="0"/>
        <w:spacing w:line="360" w:lineRule="auto"/>
        <w:rPr>
          <w:rFonts w:ascii="黑体" w:hAnsi="黑体" w:eastAsia="黑体"/>
          <w:szCs w:val="21"/>
        </w:rPr>
      </w:pPr>
      <w:r>
        <w:rPr>
          <w:rFonts w:ascii="黑体" w:hAnsi="黑体" w:eastAsia="黑体"/>
          <w:szCs w:val="21"/>
        </w:rPr>
        <w:br w:type="page"/>
      </w:r>
      <w:r>
        <w:rPr>
          <w:rFonts w:hint="eastAsia" w:ascii="宋体" w:hAnsi="宋体" w:cs="宋体"/>
          <w:szCs w:val="21"/>
        </w:rPr>
        <w:t>附页</w:t>
      </w:r>
      <w:r>
        <w:rPr>
          <w:rFonts w:hint="eastAsia" w:ascii="黑体" w:hAnsi="黑体"/>
          <w:szCs w:val="21"/>
        </w:rPr>
        <w:t>3</w:t>
      </w:r>
      <w:r>
        <w:rPr>
          <w:rFonts w:ascii="黑体" w:hAnsi="黑体"/>
          <w:szCs w:val="21"/>
        </w:rPr>
        <w:t>-4</w:t>
      </w:r>
      <w:r>
        <w:rPr>
          <w:rFonts w:hint="eastAsia" w:ascii="黑体" w:hAnsi="黑体" w:eastAsia="黑体"/>
          <w:szCs w:val="21"/>
        </w:rPr>
        <w:t xml:space="preserve">  </w:t>
      </w:r>
    </w:p>
    <w:p>
      <w:pPr>
        <w:tabs>
          <w:tab w:val="left" w:pos="4725"/>
        </w:tabs>
        <w:adjustRightInd w:val="0"/>
        <w:snapToGrid w:val="0"/>
        <w:spacing w:line="360" w:lineRule="auto"/>
        <w:jc w:val="center"/>
        <w:rPr>
          <w:rFonts w:ascii="黑体" w:hAnsi="黑体" w:eastAsia="黑体"/>
          <w:sz w:val="28"/>
          <w:szCs w:val="28"/>
        </w:rPr>
      </w:pPr>
      <w:r>
        <w:rPr>
          <w:rFonts w:hint="eastAsia" w:ascii="宋体" w:hAnsi="宋体" w:cs="宋体"/>
          <w:sz w:val="28"/>
          <w:szCs w:val="28"/>
        </w:rPr>
        <w:t>联合体协议书（格式）</w:t>
      </w: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r>
        <w:rPr>
          <w:rFonts w:hint="eastAsia" w:ascii="宋体" w:hAnsi="宋体"/>
          <w:szCs w:val="21"/>
        </w:rPr>
        <w:t>致</w:t>
      </w:r>
      <w:r>
        <w:rPr>
          <w:rFonts w:ascii="宋体" w:hAnsi="宋体"/>
          <w:szCs w:val="21"/>
          <w:u w:val="single"/>
        </w:rPr>
        <w:t xml:space="preserve">                   </w:t>
      </w:r>
      <w:r>
        <w:rPr>
          <w:rFonts w:hint="eastAsia" w:ascii="宋体" w:hAnsi="宋体"/>
          <w:szCs w:val="21"/>
          <w:u w:val="single"/>
        </w:rPr>
        <w:t>（</w:t>
      </w:r>
      <w:r>
        <w:rPr>
          <w:rFonts w:hint="eastAsia" w:ascii="宋体" w:hAnsi="宋体"/>
          <w:szCs w:val="21"/>
        </w:rPr>
        <w:t>采购代理机构）：</w:t>
      </w:r>
    </w:p>
    <w:p>
      <w:pPr>
        <w:adjustRightInd w:val="0"/>
        <w:snapToGrid w:val="0"/>
        <w:spacing w:line="360" w:lineRule="auto"/>
        <w:ind w:firstLine="420" w:firstLineChars="200"/>
        <w:rPr>
          <w:rFonts w:ascii="宋体" w:hAnsi="宋体"/>
          <w:szCs w:val="21"/>
        </w:rPr>
      </w:pPr>
      <w:r>
        <w:rPr>
          <w:rFonts w:hint="eastAsia" w:ascii="宋体" w:hAnsi="宋体"/>
          <w:szCs w:val="21"/>
        </w:rPr>
        <w:t>经研究，我们决定自愿组成联合体共同参加</w:t>
      </w:r>
      <w:r>
        <w:rPr>
          <w:rFonts w:ascii="宋体" w:hAnsi="宋体"/>
          <w:szCs w:val="21"/>
          <w:u w:val="single"/>
        </w:rPr>
        <w:t xml:space="preserve">                    </w:t>
      </w:r>
      <w:r>
        <w:rPr>
          <w:rFonts w:hint="eastAsia" w:ascii="宋体" w:hAnsi="宋体"/>
          <w:szCs w:val="21"/>
        </w:rPr>
        <w:t>（项目名称）项目的投标。现就联合体投标事宜订立如下协议：</w:t>
      </w:r>
    </w:p>
    <w:p>
      <w:pPr>
        <w:adjustRightInd w:val="0"/>
        <w:snapToGrid w:val="0"/>
        <w:spacing w:line="360" w:lineRule="auto"/>
        <w:ind w:firstLine="420" w:firstLineChars="200"/>
        <w:rPr>
          <w:rFonts w:ascii="宋体" w:hAnsi="宋体"/>
          <w:szCs w:val="21"/>
          <w:u w:val="single"/>
        </w:rPr>
      </w:pPr>
      <w:r>
        <w:rPr>
          <w:rFonts w:hint="eastAsia" w:ascii="宋体" w:hAnsi="宋体"/>
          <w:szCs w:val="21"/>
        </w:rPr>
        <w:t>一、联合体基本信息：</w:t>
      </w:r>
      <w:r>
        <w:rPr>
          <w:rFonts w:ascii="宋体" w:hAnsi="宋体"/>
          <w:szCs w:val="21"/>
          <w:u w:val="single"/>
        </w:rPr>
        <w:t xml:space="preserve">                </w:t>
      </w:r>
      <w:r>
        <w:rPr>
          <w:rFonts w:hint="eastAsia" w:ascii="宋体" w:hAnsi="宋体"/>
          <w:szCs w:val="21"/>
        </w:rPr>
        <w:t>（各方公司名称、地址、注册资金、营业执照、法定代表人姓名）</w:t>
      </w:r>
    </w:p>
    <w:p>
      <w:pPr>
        <w:adjustRightInd w:val="0"/>
        <w:snapToGrid w:val="0"/>
        <w:spacing w:line="360" w:lineRule="auto"/>
        <w:ind w:firstLine="420" w:firstLineChars="200"/>
        <w:rPr>
          <w:rFonts w:ascii="宋体" w:hAnsi="宋体"/>
          <w:szCs w:val="21"/>
        </w:rPr>
      </w:pPr>
      <w:r>
        <w:rPr>
          <w:rFonts w:hint="eastAsia" w:ascii="宋体" w:hAnsi="宋体"/>
          <w:szCs w:val="21"/>
        </w:rPr>
        <w:t>二、</w:t>
      </w:r>
      <w:r>
        <w:rPr>
          <w:rFonts w:ascii="宋体" w:hAnsi="宋体"/>
          <w:szCs w:val="21"/>
          <w:u w:val="single"/>
        </w:rPr>
        <w:t xml:space="preserve">       </w:t>
      </w:r>
      <w:r>
        <w:rPr>
          <w:rFonts w:hint="eastAsia" w:ascii="宋体" w:hAnsi="宋体"/>
          <w:szCs w:val="21"/>
        </w:rPr>
        <w:t>（某成员单位名称）为</w:t>
      </w:r>
      <w:r>
        <w:rPr>
          <w:rFonts w:ascii="宋体" w:hAnsi="宋体"/>
          <w:szCs w:val="21"/>
          <w:u w:val="single"/>
        </w:rPr>
        <w:t xml:space="preserve">        </w:t>
      </w:r>
      <w:r>
        <w:rPr>
          <w:rFonts w:hint="eastAsia" w:ascii="宋体" w:hAnsi="宋体"/>
          <w:szCs w:val="21"/>
        </w:rPr>
        <w:t>（联合体名称）牵头人。</w:t>
      </w:r>
    </w:p>
    <w:p>
      <w:pPr>
        <w:adjustRightInd w:val="0"/>
        <w:snapToGrid w:val="0"/>
        <w:spacing w:line="360" w:lineRule="auto"/>
        <w:ind w:firstLine="420" w:firstLineChars="200"/>
        <w:rPr>
          <w:rFonts w:ascii="宋体" w:hAnsi="宋体"/>
          <w:szCs w:val="21"/>
        </w:rPr>
      </w:pPr>
      <w:r>
        <w:rPr>
          <w:rFonts w:hint="eastAsia" w:ascii="宋体" w:hAnsi="宋体"/>
          <w:szCs w:val="21"/>
        </w:rPr>
        <w:t>三、联合体牵头人合法代表联合体各成员负责本项目投标文件编制活动，代表联合体提交和接收相关的资料、信息及指示，并处理与投标或成交有关的一切事务；联合体中标或成交后，联合体牵头人负责合同订立和合同实施阶段的主办、组织和协调工作。</w:t>
      </w:r>
    </w:p>
    <w:p>
      <w:pPr>
        <w:adjustRightInd w:val="0"/>
        <w:snapToGrid w:val="0"/>
        <w:spacing w:line="360" w:lineRule="auto"/>
        <w:ind w:firstLine="420" w:firstLineChars="200"/>
        <w:rPr>
          <w:rFonts w:ascii="宋体" w:hAnsi="宋体"/>
          <w:szCs w:val="21"/>
        </w:rPr>
      </w:pPr>
      <w:r>
        <w:rPr>
          <w:rFonts w:hint="eastAsia" w:ascii="宋体" w:hAnsi="宋体"/>
          <w:szCs w:val="21"/>
        </w:rPr>
        <w:t>四．联合体将严格按照招标文件的各项要求，递交投标文件，参加投标，履行中标或成交义务和中标或成交后的合同，并向采购人承担连带责任。</w:t>
      </w:r>
    </w:p>
    <w:p>
      <w:pPr>
        <w:adjustRightInd w:val="0"/>
        <w:snapToGrid w:val="0"/>
        <w:spacing w:line="360" w:lineRule="auto"/>
        <w:ind w:firstLine="420" w:firstLineChars="200"/>
        <w:rPr>
          <w:rFonts w:ascii="宋体" w:hAnsi="宋体"/>
          <w:szCs w:val="21"/>
          <w:u w:val="single"/>
        </w:rPr>
      </w:pPr>
      <w:r>
        <w:rPr>
          <w:rFonts w:hint="eastAsia" w:ascii="宋体" w:hAnsi="宋体"/>
          <w:szCs w:val="21"/>
        </w:rPr>
        <w:t>五、联合体各成员单位内部的职责分工如下：</w:t>
      </w:r>
      <w:r>
        <w:rPr>
          <w:rFonts w:ascii="宋体" w:hAnsi="宋体"/>
          <w:szCs w:val="21"/>
          <w:u w:val="single"/>
        </w:rPr>
        <w:t xml:space="preserve">             </w:t>
      </w:r>
      <w:r>
        <w:rPr>
          <w:rFonts w:hint="eastAsia" w:ascii="宋体" w:hAnsi="宋体"/>
          <w:szCs w:val="21"/>
        </w:rPr>
        <w:t>。按照本条上述分工，联合体成员单位各自所承担的合同工作量比例如下：</w:t>
      </w:r>
      <w:r>
        <w:rPr>
          <w:rFonts w:ascii="宋体" w:hAnsi="宋体"/>
          <w:szCs w:val="21"/>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六、本协议书自签署之日起生效，合同履行完毕后自动失效。</w:t>
      </w:r>
    </w:p>
    <w:p>
      <w:pPr>
        <w:adjustRightInd w:val="0"/>
        <w:snapToGrid w:val="0"/>
        <w:spacing w:line="360" w:lineRule="auto"/>
        <w:ind w:firstLine="420" w:firstLineChars="200"/>
        <w:rPr>
          <w:rFonts w:ascii="宋体" w:hAnsi="宋体"/>
          <w:szCs w:val="21"/>
        </w:rPr>
      </w:pPr>
      <w:r>
        <w:rPr>
          <w:rFonts w:hint="eastAsia" w:ascii="宋体" w:hAnsi="宋体"/>
          <w:szCs w:val="21"/>
        </w:rPr>
        <w:t>七、本协议书一式</w:t>
      </w:r>
      <w:r>
        <w:rPr>
          <w:rFonts w:ascii="宋体" w:hAnsi="宋体"/>
          <w:szCs w:val="21"/>
          <w:u w:val="single"/>
        </w:rPr>
        <w:t xml:space="preserve">    </w:t>
      </w:r>
      <w:r>
        <w:rPr>
          <w:rFonts w:hint="eastAsia" w:ascii="宋体" w:hAnsi="宋体"/>
          <w:szCs w:val="21"/>
        </w:rPr>
        <w:t>份，联合体成员和采购人各执一份。</w:t>
      </w:r>
    </w:p>
    <w:p>
      <w:pPr>
        <w:adjustRightInd w:val="0"/>
        <w:snapToGrid w:val="0"/>
        <w:spacing w:line="360" w:lineRule="auto"/>
        <w:rPr>
          <w:rFonts w:ascii="宋体" w:hAnsi="宋体"/>
          <w:szCs w:val="21"/>
        </w:rPr>
      </w:pPr>
      <w:r>
        <w:rPr>
          <w:rFonts w:hint="eastAsia" w:ascii="宋体" w:hAnsi="宋体"/>
          <w:szCs w:val="21"/>
        </w:rPr>
        <w:t>牵头人名称（盖单位章）：</w:t>
      </w:r>
    </w:p>
    <w:p>
      <w:pPr>
        <w:spacing w:line="360" w:lineRule="auto"/>
        <w:rPr>
          <w:rFonts w:ascii="宋体" w:hAnsi="宋体"/>
          <w:szCs w:val="21"/>
        </w:rPr>
      </w:pPr>
    </w:p>
    <w:p>
      <w:pPr>
        <w:spacing w:line="360" w:lineRule="auto"/>
        <w:rPr>
          <w:rFonts w:ascii="宋体" w:hAnsi="宋体"/>
          <w:szCs w:val="21"/>
        </w:rPr>
      </w:pPr>
      <w:r>
        <w:rPr>
          <w:rFonts w:hint="eastAsia" w:ascii="宋体" w:hAnsi="宋体"/>
          <w:szCs w:val="21"/>
        </w:rPr>
        <w:t>成员名称（盖单位章）：</w:t>
      </w:r>
    </w:p>
    <w:p>
      <w:pPr>
        <w:spacing w:line="360" w:lineRule="auto"/>
        <w:rPr>
          <w:rFonts w:ascii="宋体" w:hAnsi="宋体"/>
          <w:szCs w:val="21"/>
          <w:u w:val="single"/>
        </w:rPr>
      </w:pPr>
    </w:p>
    <w:p>
      <w:pPr>
        <w:spacing w:line="360" w:lineRule="auto"/>
        <w:rPr>
          <w:rFonts w:ascii="宋体" w:hAnsi="宋体"/>
          <w:szCs w:val="21"/>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 xml:space="preserve">日  </w:t>
      </w:r>
    </w:p>
    <w:p>
      <w:pPr>
        <w:spacing w:line="360" w:lineRule="auto"/>
        <w:rPr>
          <w:rFonts w:ascii="宋体" w:hAnsi="宋体"/>
          <w:szCs w:val="21"/>
        </w:rPr>
      </w:pPr>
      <w:r>
        <w:rPr>
          <w:rFonts w:hint="eastAsia" w:ascii="宋体" w:hAnsi="宋体" w:cs="宋体"/>
          <w:b/>
          <w:szCs w:val="21"/>
        </w:rPr>
        <w:t>备注</w:t>
      </w:r>
      <w:r>
        <w:rPr>
          <w:rFonts w:hint="eastAsia" w:ascii="宋体" w:hAnsi="宋体"/>
          <w:szCs w:val="21"/>
        </w:rPr>
        <w:t>：本协议书由委托代理人签字的，应附法定代表人签字的授权委托书。</w:t>
      </w:r>
    </w:p>
    <w:p>
      <w:pPr>
        <w:tabs>
          <w:tab w:val="left" w:pos="4725"/>
        </w:tabs>
        <w:adjustRightInd w:val="0"/>
        <w:snapToGrid w:val="0"/>
        <w:spacing w:line="360" w:lineRule="auto"/>
        <w:jc w:val="left"/>
        <w:rPr>
          <w:rFonts w:ascii="黑体" w:hAnsi="黑体" w:eastAsia="黑体"/>
          <w:szCs w:val="21"/>
        </w:rPr>
      </w:pPr>
      <w:r>
        <w:rPr>
          <w:rFonts w:ascii="宋体" w:hAnsi="宋体"/>
          <w:szCs w:val="21"/>
        </w:rPr>
        <w:br w:type="page"/>
      </w:r>
      <w:r>
        <w:rPr>
          <w:rFonts w:hint="eastAsia" w:ascii="宋体" w:hAnsi="宋体" w:cs="宋体"/>
          <w:szCs w:val="21"/>
        </w:rPr>
        <w:t>附页</w:t>
      </w:r>
      <w:r>
        <w:rPr>
          <w:rFonts w:hint="eastAsia" w:ascii="黑体" w:hAnsi="黑体"/>
          <w:szCs w:val="21"/>
        </w:rPr>
        <w:t>3</w:t>
      </w:r>
      <w:r>
        <w:rPr>
          <w:rFonts w:ascii="黑体" w:hAnsi="黑体"/>
          <w:szCs w:val="21"/>
        </w:rPr>
        <w:t>-5</w:t>
      </w:r>
      <w:r>
        <w:rPr>
          <w:rFonts w:hint="eastAsia" w:ascii="黑体" w:hAnsi="黑体" w:eastAsia="黑体"/>
          <w:szCs w:val="21"/>
        </w:rPr>
        <w:t xml:space="preserve">  </w:t>
      </w:r>
    </w:p>
    <w:p>
      <w:pPr>
        <w:tabs>
          <w:tab w:val="left" w:pos="4725"/>
        </w:tabs>
        <w:adjustRightInd w:val="0"/>
        <w:snapToGrid w:val="0"/>
        <w:spacing w:line="360" w:lineRule="auto"/>
        <w:jc w:val="center"/>
        <w:rPr>
          <w:rFonts w:ascii="黑体" w:hAnsi="黑体" w:eastAsia="黑体"/>
          <w:sz w:val="28"/>
          <w:szCs w:val="28"/>
        </w:rPr>
      </w:pPr>
      <w:r>
        <w:rPr>
          <w:rFonts w:hint="eastAsia" w:ascii="宋体" w:hAnsi="宋体" w:cs="宋体"/>
          <w:sz w:val="28"/>
          <w:szCs w:val="28"/>
        </w:rPr>
        <w:t>其他说明</w:t>
      </w:r>
    </w:p>
    <w:p>
      <w:pPr>
        <w:rPr>
          <w:rFonts w:ascii="黑体" w:hAnsi="黑体" w:eastAsia="黑体"/>
          <w:szCs w:val="21"/>
        </w:rPr>
      </w:pPr>
      <w:r>
        <w:br w:type="page"/>
      </w:r>
      <w:r>
        <w:rPr>
          <w:rFonts w:hint="eastAsia" w:ascii="宋体" w:hAnsi="宋体" w:cs="宋体"/>
          <w:szCs w:val="21"/>
        </w:rPr>
        <w:t>附页</w:t>
      </w:r>
      <w:r>
        <w:rPr>
          <w:rFonts w:hint="eastAsia" w:ascii="黑体" w:hAnsi="黑体"/>
          <w:szCs w:val="21"/>
        </w:rPr>
        <w:t>3</w:t>
      </w:r>
      <w:r>
        <w:rPr>
          <w:rFonts w:ascii="黑体" w:hAnsi="黑体"/>
          <w:szCs w:val="21"/>
        </w:rPr>
        <w:t>-6</w:t>
      </w:r>
    </w:p>
    <w:p>
      <w:pPr>
        <w:widowControl/>
        <w:spacing w:after="200" w:line="220" w:lineRule="atLeast"/>
        <w:jc w:val="left"/>
        <w:rPr>
          <w:rFonts w:ascii="黑体" w:hAnsi="黑体" w:eastAsia="黑体"/>
          <w:sz w:val="28"/>
          <w:szCs w:val="28"/>
        </w:rPr>
      </w:pPr>
      <w:r>
        <w:rPr>
          <w:rFonts w:hint="eastAsia" w:ascii="宋体" w:hAnsi="宋体" w:cs="宋体"/>
          <w:sz w:val="28"/>
          <w:szCs w:val="28"/>
        </w:rPr>
        <w:t>具有履行本项目采购合同</w:t>
      </w:r>
      <w:r>
        <w:rPr>
          <w:rFonts w:hint="eastAsia" w:ascii="宋体" w:hAnsi="宋体" w:cs="宋体"/>
          <w:sz w:val="28"/>
          <w:szCs w:val="28"/>
          <w:lang w:eastAsia="zh-CN"/>
        </w:rPr>
        <w:t>所必需的</w:t>
      </w:r>
      <w:r>
        <w:rPr>
          <w:rFonts w:hint="eastAsia" w:ascii="宋体" w:hAnsi="宋体" w:cs="宋体"/>
          <w:sz w:val="28"/>
          <w:szCs w:val="28"/>
        </w:rPr>
        <w:t>设备和专业技术能力证明材料</w:t>
      </w:r>
      <w:r>
        <w:rPr>
          <w:rFonts w:ascii="黑体" w:hAnsi="黑体" w:eastAsia="黑体"/>
          <w:sz w:val="28"/>
          <w:szCs w:val="28"/>
        </w:rPr>
        <w:br w:type="page"/>
      </w:r>
    </w:p>
    <w:p>
      <w:pPr>
        <w:spacing w:before="440" w:after="440" w:line="440" w:lineRule="exact"/>
        <w:jc w:val="left"/>
        <w:rPr>
          <w:rFonts w:ascii="黑体" w:hAnsi="黑体" w:cs="黑体"/>
          <w:sz w:val="44"/>
          <w:szCs w:val="44"/>
        </w:rPr>
      </w:pPr>
      <w:r>
        <w:rPr>
          <w:rFonts w:hint="eastAsia" w:ascii="宋体" w:hAnsi="宋体" w:cs="宋体"/>
          <w:szCs w:val="21"/>
        </w:rPr>
        <w:t>附页</w:t>
      </w:r>
      <w:r>
        <w:rPr>
          <w:rFonts w:hint="eastAsia" w:ascii="黑体" w:hAnsi="黑体"/>
          <w:szCs w:val="21"/>
        </w:rPr>
        <w:t>3</w:t>
      </w:r>
      <w:r>
        <w:rPr>
          <w:rFonts w:ascii="黑体" w:hAnsi="黑体"/>
          <w:szCs w:val="21"/>
        </w:rPr>
        <w:t>-</w:t>
      </w:r>
      <w:r>
        <w:rPr>
          <w:rFonts w:hint="eastAsia" w:ascii="黑体" w:hAnsi="黑体"/>
          <w:szCs w:val="21"/>
        </w:rPr>
        <w:t>7</w:t>
      </w:r>
    </w:p>
    <w:p>
      <w:pPr>
        <w:tabs>
          <w:tab w:val="left" w:pos="4725"/>
        </w:tabs>
        <w:adjustRightInd w:val="0"/>
        <w:snapToGrid w:val="0"/>
        <w:spacing w:line="360" w:lineRule="auto"/>
        <w:jc w:val="center"/>
        <w:rPr>
          <w:rFonts w:ascii="宋体" w:hAnsi="宋体" w:cs="宋体"/>
          <w:sz w:val="28"/>
          <w:szCs w:val="28"/>
        </w:rPr>
      </w:pPr>
      <w:r>
        <w:rPr>
          <w:rFonts w:hint="eastAsia" w:ascii="宋体" w:hAnsi="宋体" w:cs="宋体"/>
          <w:sz w:val="28"/>
          <w:szCs w:val="28"/>
        </w:rPr>
        <w:t>中小企业声明函（货物</w:t>
      </w:r>
      <w:r>
        <w:rPr>
          <w:rFonts w:ascii="宋体" w:hAnsi="宋体" w:cs="宋体"/>
          <w:sz w:val="28"/>
          <w:szCs w:val="28"/>
        </w:rPr>
        <w:t>)</w:t>
      </w:r>
    </w:p>
    <w:p>
      <w:pPr>
        <w:spacing w:line="440" w:lineRule="exact"/>
        <w:ind w:firstLine="420" w:firstLineChars="200"/>
        <w:rPr>
          <w:rFonts w:cs="宋体" w:asciiTheme="minorEastAsia" w:hAnsiTheme="minorEastAsia" w:eastAsiaTheme="minorEastAsia"/>
          <w:szCs w:val="21"/>
        </w:rPr>
      </w:pP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本公司(联合体）郑重声明，根据《政府采购促进中小企业发展管理办法》(财库〔 2020 ) 46号）的规定，本公司(联合体）参加</w:t>
      </w:r>
      <w:r>
        <w:rPr>
          <w:rFonts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u w:val="single"/>
        </w:rPr>
        <w:t>单位名称）</w:t>
      </w:r>
      <w:r>
        <w:rPr>
          <w:rFonts w:cs="宋体" w:asciiTheme="minorEastAsia" w:hAnsiTheme="minorEastAsia" w:eastAsiaTheme="minorEastAsia"/>
          <w:szCs w:val="21"/>
        </w:rPr>
        <w:t>的</w:t>
      </w:r>
      <w:r>
        <w:rPr>
          <w:rFonts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u w:val="single"/>
        </w:rPr>
        <w:t>项目名称）</w:t>
      </w:r>
      <w:r>
        <w:rPr>
          <w:rFonts w:cs="宋体" w:asciiTheme="minorEastAsia" w:hAnsiTheme="minorEastAsia" w:eastAsiaTheme="minorEastAsia"/>
          <w:iCs/>
          <w:szCs w:val="21"/>
          <w:u w:val="single"/>
        </w:rPr>
        <w:t xml:space="preserve"> </w:t>
      </w:r>
      <w:r>
        <w:rPr>
          <w:rFonts w:cs="宋体" w:asciiTheme="minorEastAsia" w:hAnsiTheme="minorEastAsia" w:eastAsiaTheme="minorEastAsia"/>
          <w:szCs w:val="21"/>
        </w:rPr>
        <w:t>采购活动，提供的货物全部由符合政策要求的中小企业制造。相关企业(含联合体中的中小企业、签订分包意向协议的中小企业)的具体情况如下:</w:t>
      </w:r>
    </w:p>
    <w:p>
      <w:pPr>
        <w:widowControl/>
        <w:numPr>
          <w:ilvl w:val="0"/>
          <w:numId w:val="3"/>
        </w:numPr>
        <w:adjustRightInd w:val="0"/>
        <w:snapToGrid w:val="0"/>
        <w:spacing w:after="200" w:line="440" w:lineRule="exact"/>
        <w:ind w:firstLine="420" w:firstLineChars="200"/>
        <w:jc w:val="left"/>
        <w:rPr>
          <w:rFonts w:cs="宋体" w:asciiTheme="minorEastAsia" w:hAnsiTheme="minorEastAsia" w:eastAsiaTheme="minorEastAsia"/>
          <w:szCs w:val="21"/>
        </w:rPr>
      </w:pP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标的名称）</w:t>
      </w:r>
      <w:r>
        <w:rPr>
          <w:rFonts w:cs="宋体" w:asciiTheme="minorEastAsia" w:hAnsiTheme="minorEastAsia" w:eastAsiaTheme="minorEastAsia"/>
          <w:iCs/>
          <w:szCs w:val="21"/>
          <w:u w:val="single"/>
        </w:rPr>
        <w:t xml:space="preserve"> </w:t>
      </w:r>
      <w:r>
        <w:rPr>
          <w:rFonts w:cs="宋体" w:asciiTheme="minorEastAsia" w:hAnsiTheme="minorEastAsia" w:eastAsiaTheme="minorEastAsia"/>
          <w:szCs w:val="21"/>
        </w:rPr>
        <w:t>，属于</w:t>
      </w:r>
      <w:r>
        <w:rPr>
          <w:rFonts w:hint="eastAsia" w:cs="宋体" w:asciiTheme="minorEastAsia" w:hAnsiTheme="minorEastAsia" w:eastAsiaTheme="minorEastAsia"/>
          <w:iCs/>
          <w:szCs w:val="21"/>
          <w:u w:val="single"/>
        </w:rPr>
        <w:t>（采购文件中明确的所属行业</w:t>
      </w: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行业</w:t>
      </w:r>
      <w:r>
        <w:rPr>
          <w:rFonts w:cs="宋体" w:asciiTheme="minorEastAsia" w:hAnsiTheme="minorEastAsia" w:eastAsiaTheme="minorEastAsia"/>
          <w:szCs w:val="21"/>
        </w:rPr>
        <w:t>;制造商为</w:t>
      </w:r>
      <w:r>
        <w:rPr>
          <w:rFonts w:cs="宋体" w:asciiTheme="minorEastAsia" w:hAnsiTheme="minorEastAsia" w:eastAsiaTheme="minorEastAsia"/>
          <w:iCs/>
          <w:szCs w:val="21"/>
          <w:u w:val="single"/>
        </w:rPr>
        <w:t>_(</w:t>
      </w:r>
      <w:r>
        <w:rPr>
          <w:rFonts w:hint="eastAsia" w:cs="宋体" w:asciiTheme="minorEastAsia" w:hAnsiTheme="minorEastAsia" w:eastAsiaTheme="minorEastAsia"/>
          <w:iCs/>
          <w:szCs w:val="21"/>
          <w:u w:val="single"/>
        </w:rPr>
        <w:t>企业名称</w:t>
      </w:r>
      <w:r>
        <w:rPr>
          <w:rFonts w:cs="宋体" w:asciiTheme="minorEastAsia" w:hAnsiTheme="minorEastAsia" w:eastAsiaTheme="minorEastAsia"/>
          <w:iCs/>
          <w:szCs w:val="21"/>
          <w:u w:val="single"/>
        </w:rPr>
        <w:t>)</w:t>
      </w:r>
      <w:r>
        <w:rPr>
          <w:rFonts w:cs="宋体" w:asciiTheme="minorEastAsia" w:hAnsiTheme="minorEastAsia" w:eastAsiaTheme="minorEastAsia"/>
          <w:szCs w:val="21"/>
        </w:rPr>
        <w:t>，从业人员__人，营业收入为__万元，资产总额为___万元，属于</w:t>
      </w:r>
      <w:r>
        <w:rPr>
          <w:rFonts w:hint="eastAsia" w:cs="宋体" w:asciiTheme="minorEastAsia" w:hAnsiTheme="minorEastAsia" w:eastAsiaTheme="minorEastAsia"/>
          <w:iCs/>
          <w:szCs w:val="21"/>
          <w:u w:val="single"/>
        </w:rPr>
        <w:t>（中型企业、小型企业、微型企业</w:t>
      </w:r>
      <w:r>
        <w:rPr>
          <w:rFonts w:cs="宋体" w:asciiTheme="minorEastAsia" w:hAnsiTheme="minorEastAsia" w:eastAsiaTheme="minorEastAsia"/>
          <w:iCs/>
          <w:szCs w:val="21"/>
          <w:u w:val="single"/>
        </w:rPr>
        <w:t>)</w:t>
      </w:r>
      <w:r>
        <w:rPr>
          <w:rFonts w:cs="宋体" w:asciiTheme="minorEastAsia" w:hAnsiTheme="minorEastAsia" w:eastAsiaTheme="minorEastAsia"/>
          <w:szCs w:val="21"/>
        </w:rPr>
        <w:t>;</w:t>
      </w:r>
    </w:p>
    <w:p>
      <w:pPr>
        <w:widowControl/>
        <w:numPr>
          <w:ilvl w:val="0"/>
          <w:numId w:val="4"/>
        </w:numPr>
        <w:adjustRightInd w:val="0"/>
        <w:snapToGrid w:val="0"/>
        <w:spacing w:after="200" w:line="440" w:lineRule="exact"/>
        <w:ind w:firstLine="420" w:firstLineChars="200"/>
        <w:jc w:val="left"/>
        <w:rPr>
          <w:rFonts w:cs="宋体" w:asciiTheme="minorEastAsia" w:hAnsiTheme="minorEastAsia" w:eastAsiaTheme="minorEastAsia"/>
          <w:szCs w:val="21"/>
        </w:rPr>
      </w:pP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标的名称</w:t>
      </w:r>
      <w:r>
        <w:rPr>
          <w:rFonts w:cs="宋体" w:asciiTheme="minorEastAsia" w:hAnsiTheme="minorEastAsia" w:eastAsiaTheme="minorEastAsia"/>
          <w:iCs/>
          <w:szCs w:val="21"/>
          <w:u w:val="single"/>
        </w:rPr>
        <w:t>)</w:t>
      </w:r>
      <w:r>
        <w:rPr>
          <w:rFonts w:cs="宋体" w:asciiTheme="minorEastAsia" w:hAnsiTheme="minorEastAsia" w:eastAsiaTheme="minorEastAsia"/>
          <w:szCs w:val="21"/>
        </w:rPr>
        <w:t>，属于</w:t>
      </w:r>
      <w:r>
        <w:rPr>
          <w:rFonts w:hint="eastAsia" w:cs="宋体" w:asciiTheme="minorEastAsia" w:hAnsiTheme="minorEastAsia" w:eastAsiaTheme="minorEastAsia"/>
          <w:iCs/>
          <w:szCs w:val="21"/>
          <w:u w:val="single"/>
        </w:rPr>
        <w:t>（采购文件中明确的所属行业）行业</w:t>
      </w:r>
      <w:r>
        <w:rPr>
          <w:rFonts w:cs="宋体" w:asciiTheme="minorEastAsia" w:hAnsiTheme="minorEastAsia" w:eastAsiaTheme="minorEastAsia"/>
          <w:szCs w:val="21"/>
        </w:rPr>
        <w:t xml:space="preserve">;制造商为 </w:t>
      </w: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企业名称</w:t>
      </w:r>
      <w:r>
        <w:rPr>
          <w:rFonts w:cs="宋体" w:asciiTheme="minorEastAsia" w:hAnsiTheme="minorEastAsia" w:eastAsiaTheme="minorEastAsia"/>
          <w:iCs/>
          <w:szCs w:val="21"/>
          <w:u w:val="single"/>
        </w:rPr>
        <w:t>)</w:t>
      </w:r>
      <w:r>
        <w:rPr>
          <w:rFonts w:cs="宋体" w:asciiTheme="minorEastAsia" w:hAnsiTheme="minorEastAsia" w:eastAsiaTheme="minorEastAsia"/>
          <w:szCs w:val="21"/>
        </w:rPr>
        <w:t>，从业人员___人，营业收入为__万元，资产总额为__万元，属于</w:t>
      </w:r>
      <w:r>
        <w:rPr>
          <w:rFonts w:hint="eastAsia" w:cs="宋体" w:asciiTheme="minorEastAsia" w:hAnsiTheme="minorEastAsia" w:eastAsiaTheme="minorEastAsia"/>
          <w:iCs/>
          <w:szCs w:val="21"/>
          <w:u w:val="single"/>
        </w:rPr>
        <w:t>（中型企业、小型企业、微型企业</w:t>
      </w:r>
      <w:r>
        <w:rPr>
          <w:rFonts w:cs="宋体" w:asciiTheme="minorEastAsia" w:hAnsiTheme="minorEastAsia" w:eastAsiaTheme="minorEastAsia"/>
          <w:iCs/>
          <w:szCs w:val="21"/>
          <w:u w:val="single"/>
        </w:rPr>
        <w:t>)</w:t>
      </w:r>
      <w:r>
        <w:rPr>
          <w:rFonts w:cs="宋体" w:asciiTheme="minorEastAsia" w:hAnsiTheme="minorEastAsia" w:eastAsiaTheme="minorEastAsia"/>
          <w:szCs w:val="21"/>
        </w:rPr>
        <w:t>;</w:t>
      </w: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w:t>
      </w: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以上企业，不属于大企业的分支机构，不存在控股股东为大企业的情形，也不存在与大企业的负责人为同一人的情形。</w:t>
      </w: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本企业对上述声明内容的真实性负责。如有虚假，将依法承担相应责任。</w:t>
      </w:r>
    </w:p>
    <w:p>
      <w:pPr>
        <w:spacing w:line="440" w:lineRule="exact"/>
        <w:ind w:right="960" w:firstLine="4410" w:firstLineChars="2100"/>
        <w:rPr>
          <w:rFonts w:cs="宋体" w:asciiTheme="minorEastAsia" w:hAnsiTheme="minorEastAsia" w:eastAsiaTheme="minorEastAsia"/>
          <w:szCs w:val="21"/>
        </w:rPr>
      </w:pPr>
      <w:r>
        <w:rPr>
          <w:rFonts w:cs="宋体" w:asciiTheme="minorEastAsia" w:hAnsiTheme="minorEastAsia" w:eastAsiaTheme="minorEastAsia"/>
          <w:szCs w:val="21"/>
        </w:rPr>
        <w:t>企业名称（盖章):</w:t>
      </w:r>
    </w:p>
    <w:p>
      <w:pPr>
        <w:spacing w:line="440" w:lineRule="exact"/>
        <w:ind w:right="960" w:firstLine="420" w:firstLineChars="200"/>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                        日期:</w:t>
      </w:r>
    </w:p>
    <w:p>
      <w:pPr>
        <w:widowControl/>
        <w:jc w:val="left"/>
        <w:rPr>
          <w:rFonts w:cs="宋体" w:asciiTheme="minorEastAsia" w:hAnsiTheme="minorEastAsia" w:eastAsiaTheme="minorEastAsia"/>
          <w:bCs/>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93" w:name="_Toc8983762"/>
      <w:bookmarkStart w:id="94" w:name="_Toc1164"/>
      <w:r>
        <w:rPr>
          <w:rFonts w:hint="eastAsia" w:ascii="黑体" w:hAnsi="宋体" w:eastAsia="黑体"/>
          <w:color w:val="000000" w:themeColor="text1"/>
          <w:sz w:val="28"/>
          <w:szCs w:val="28"/>
          <w14:textFill>
            <w14:solidFill>
              <w14:schemeClr w14:val="tx1"/>
            </w14:solidFill>
          </w14:textFill>
        </w:rPr>
        <w:t>四、投标保证金</w:t>
      </w:r>
      <w:bookmarkEnd w:id="93"/>
      <w:bookmarkEnd w:id="94"/>
    </w:p>
    <w:p>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p>
    <w:p>
      <w:pPr>
        <w:numPr>
          <w:ilvl w:val="0"/>
          <w:numId w:val="0"/>
        </w:numPr>
        <w:adjustRightInd w:val="0"/>
        <w:snapToGrid w:val="0"/>
        <w:spacing w:line="360" w:lineRule="auto"/>
        <w:ind w:left="780" w:leftChars="0" w:hanging="360" w:firstLineChars="0"/>
        <w:rPr>
          <w:rFonts w:ascii="宋体" w:hAnsi="宋体" w:cs="宋体"/>
          <w:b/>
          <w:bCs/>
          <w:sz w:val="28"/>
          <w:szCs w:val="28"/>
        </w:rPr>
      </w:pPr>
      <w:r>
        <w:rPr>
          <w:rFonts w:hint="eastAsia" w:ascii="宋体" w:hAnsi="宋体" w:cs="宋体"/>
          <w:b w:val="0"/>
          <w:bCs w:val="0"/>
          <w:kern w:val="2"/>
          <w:sz w:val="24"/>
          <w:szCs w:val="24"/>
          <w:lang w:val="en-US" w:eastAsia="zh-CN" w:bidi="ar-SA"/>
        </w:rPr>
        <w:t>1、</w:t>
      </w:r>
      <w:r>
        <w:rPr>
          <w:rFonts w:hint="eastAsia" w:ascii="宋体" w:hAnsi="宋体" w:cs="宋体"/>
        </w:rPr>
        <w:t>提供付款凭证复印件。</w:t>
      </w:r>
    </w:p>
    <w:p>
      <w:pPr>
        <w:spacing w:line="480" w:lineRule="exact"/>
        <w:jc w:val="center"/>
        <w:rPr>
          <w:rFonts w:ascii="宋体" w:hAnsi="宋体" w:cs="宋体"/>
          <w:b/>
          <w:bCs/>
          <w:sz w:val="28"/>
          <w:szCs w:val="28"/>
        </w:rPr>
      </w:pPr>
      <w:r>
        <w:rPr>
          <w:rFonts w:hint="eastAsia" w:ascii="宋体" w:hAnsi="宋体" w:cs="宋体"/>
          <w:b/>
          <w:bCs/>
          <w:sz w:val="28"/>
          <w:szCs w:val="28"/>
        </w:rPr>
        <w:t>保证金退还申请书</w:t>
      </w:r>
    </w:p>
    <w:p>
      <w:pPr>
        <w:spacing w:line="480" w:lineRule="exact"/>
        <w:jc w:val="center"/>
        <w:rPr>
          <w:rFonts w:ascii="宋体" w:hAnsi="宋体" w:cs="宋体"/>
          <w:b/>
          <w:bCs/>
          <w:sz w:val="28"/>
          <w:szCs w:val="28"/>
        </w:rPr>
      </w:pPr>
    </w:p>
    <w:p>
      <w:pPr>
        <w:adjustRightInd w:val="0"/>
        <w:snapToGrid w:val="0"/>
        <w:spacing w:before="157" w:beforeLines="50" w:line="360" w:lineRule="auto"/>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 xml:space="preserve"> (招标代理机构)： </w:t>
      </w:r>
    </w:p>
    <w:p>
      <w:pPr>
        <w:adjustRightInd w:val="0"/>
        <w:snapToGrid w:val="0"/>
        <w:spacing w:before="157" w:beforeLines="50" w:line="360" w:lineRule="auto"/>
        <w:ind w:firstLine="420" w:firstLineChars="200"/>
        <w:rPr>
          <w:rFonts w:ascii="宋体" w:hAnsi="宋体" w:cs="宋体"/>
          <w:szCs w:val="21"/>
        </w:rPr>
      </w:pPr>
      <w:r>
        <w:rPr>
          <w:rFonts w:hint="eastAsia" w:ascii="宋体" w:hAnsi="宋体" w:cs="宋体"/>
          <w:szCs w:val="21"/>
        </w:rPr>
        <w:t>我系参加</w:t>
      </w:r>
      <w:r>
        <w:rPr>
          <w:rFonts w:hint="eastAsia" w:ascii="宋体" w:hAnsi="宋体" w:cs="宋体"/>
          <w:szCs w:val="21"/>
          <w:u w:val="single"/>
        </w:rPr>
        <w:t xml:space="preserve">                          </w:t>
      </w:r>
      <w:r>
        <w:rPr>
          <w:rFonts w:hint="eastAsia" w:ascii="宋体" w:hAnsi="宋体" w:cs="宋体"/>
          <w:szCs w:val="21"/>
        </w:rPr>
        <w:t>（项目名称、采购代理编号：</w:t>
      </w:r>
      <w:r>
        <w:rPr>
          <w:rFonts w:hint="eastAsia" w:ascii="宋体" w:hAnsi="宋体" w:cs="宋体"/>
          <w:szCs w:val="21"/>
          <w:u w:val="single"/>
        </w:rPr>
        <w:t xml:space="preserve">            </w:t>
      </w:r>
      <w:r>
        <w:rPr>
          <w:rFonts w:hint="eastAsia" w:ascii="宋体" w:hAnsi="宋体" w:cs="宋体"/>
          <w:szCs w:val="21"/>
        </w:rPr>
        <w:t xml:space="preserve"> ）的投标人，现申请按该项目招标文件规定，退返保证金人民币</w:t>
      </w:r>
      <w:r>
        <w:rPr>
          <w:rFonts w:hint="eastAsia" w:ascii="宋体" w:hAnsi="宋体" w:cs="宋体"/>
          <w:szCs w:val="21"/>
          <w:u w:val="single"/>
        </w:rPr>
        <w:t xml:space="preserve">         </w:t>
      </w: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(小写），保证金请退还到以下原缴纳账户：</w:t>
      </w:r>
    </w:p>
    <w:p>
      <w:pPr>
        <w:adjustRightInd w:val="0"/>
        <w:snapToGrid w:val="0"/>
        <w:spacing w:before="50" w:line="360" w:lineRule="auto"/>
        <w:ind w:firstLine="420" w:firstLineChars="200"/>
        <w:rPr>
          <w:rFonts w:ascii="宋体" w:hAnsi="宋体" w:cs="宋体"/>
          <w:szCs w:val="21"/>
          <w:u w:val="single"/>
        </w:rPr>
      </w:pPr>
      <w:r>
        <w:rPr>
          <w:rFonts w:hint="eastAsia" w:ascii="宋体" w:hAnsi="宋体" w:cs="宋体"/>
          <w:szCs w:val="21"/>
        </w:rPr>
        <w:t>户名：</w:t>
      </w:r>
      <w:r>
        <w:rPr>
          <w:rFonts w:hint="eastAsia" w:ascii="宋体" w:hAnsi="宋体" w:cs="宋体"/>
          <w:szCs w:val="21"/>
          <w:u w:val="single"/>
        </w:rPr>
        <w:t xml:space="preserve">                                 </w:t>
      </w:r>
    </w:p>
    <w:p>
      <w:pPr>
        <w:adjustRightInd w:val="0"/>
        <w:snapToGrid w:val="0"/>
        <w:spacing w:before="50" w:line="360" w:lineRule="auto"/>
        <w:ind w:firstLine="420" w:firstLineChars="200"/>
        <w:rPr>
          <w:rFonts w:ascii="宋体" w:hAnsi="宋体" w:cs="宋体"/>
          <w:szCs w:val="21"/>
          <w:u w:val="single"/>
        </w:rPr>
      </w:pPr>
      <w:r>
        <w:rPr>
          <w:rFonts w:hint="eastAsia" w:ascii="宋体" w:hAnsi="宋体" w:cs="宋体"/>
          <w:szCs w:val="21"/>
        </w:rPr>
        <w:t>账号：</w:t>
      </w:r>
      <w:r>
        <w:rPr>
          <w:rFonts w:hint="eastAsia" w:ascii="宋体" w:hAnsi="宋体" w:cs="宋体"/>
          <w:szCs w:val="21"/>
          <w:u w:val="single"/>
        </w:rPr>
        <w:t xml:space="preserve">                                 </w:t>
      </w:r>
    </w:p>
    <w:p>
      <w:pPr>
        <w:adjustRightInd w:val="0"/>
        <w:snapToGrid w:val="0"/>
        <w:spacing w:before="50" w:line="360" w:lineRule="auto"/>
        <w:ind w:firstLine="420" w:firstLineChars="200"/>
        <w:rPr>
          <w:rFonts w:ascii="宋体" w:hAnsi="宋体" w:cs="宋体"/>
          <w:szCs w:val="21"/>
          <w:u w:val="single"/>
        </w:rPr>
      </w:pPr>
      <w:r>
        <w:rPr>
          <w:rFonts w:hint="eastAsia" w:ascii="宋体" w:hAnsi="宋体" w:cs="宋体"/>
          <w:szCs w:val="21"/>
        </w:rPr>
        <w:t>开户行：</w:t>
      </w:r>
      <w:r>
        <w:rPr>
          <w:rFonts w:hint="eastAsia" w:ascii="宋体" w:hAnsi="宋体" w:cs="宋体"/>
          <w:szCs w:val="21"/>
          <w:u w:val="single"/>
        </w:rPr>
        <w:t xml:space="preserve">                               </w:t>
      </w:r>
    </w:p>
    <w:p>
      <w:pPr>
        <w:adjustRightInd w:val="0"/>
        <w:snapToGrid w:val="0"/>
        <w:spacing w:before="50" w:line="360" w:lineRule="auto"/>
        <w:ind w:firstLine="420" w:firstLineChars="200"/>
        <w:rPr>
          <w:rFonts w:ascii="宋体" w:hAnsi="宋体" w:cs="宋体"/>
          <w:szCs w:val="21"/>
        </w:rPr>
      </w:pPr>
      <w:r>
        <w:rPr>
          <w:rFonts w:hint="eastAsia" w:ascii="宋体" w:hAnsi="宋体" w:cs="宋体"/>
          <w:szCs w:val="21"/>
        </w:rPr>
        <w:t>开户行地址：</w:t>
      </w:r>
      <w:r>
        <w:rPr>
          <w:rFonts w:hint="eastAsia" w:ascii="宋体" w:hAnsi="宋体" w:cs="宋体"/>
          <w:szCs w:val="21"/>
          <w:u w:val="single"/>
        </w:rPr>
        <w:t xml:space="preserve">                       </w:t>
      </w:r>
    </w:p>
    <w:p>
      <w:pPr>
        <w:adjustRightInd w:val="0"/>
        <w:snapToGrid w:val="0"/>
        <w:spacing w:before="50" w:line="360" w:lineRule="auto"/>
        <w:ind w:firstLine="420" w:firstLineChars="200"/>
        <w:rPr>
          <w:rFonts w:ascii="宋体" w:hAnsi="宋体" w:cs="宋体"/>
          <w:szCs w:val="21"/>
        </w:rPr>
      </w:pPr>
      <w:r>
        <w:rPr>
          <w:rFonts w:hint="eastAsia" w:ascii="宋体" w:hAnsi="宋体" w:cs="宋体"/>
          <w:szCs w:val="21"/>
        </w:rPr>
        <w:t>如果提供的账户信息有误或因账户信息变更未及时通知，一切后果均由本单位自行负责。</w:t>
      </w:r>
    </w:p>
    <w:p>
      <w:pPr>
        <w:adjustRightInd w:val="0"/>
        <w:snapToGrid w:val="0"/>
        <w:spacing w:before="50" w:line="360" w:lineRule="auto"/>
        <w:ind w:left="4429" w:leftChars="2109"/>
        <w:rPr>
          <w:rFonts w:ascii="宋体" w:hAnsi="宋体" w:cs="宋体"/>
          <w:szCs w:val="21"/>
        </w:rPr>
      </w:pPr>
      <w:r>
        <w:rPr>
          <w:rFonts w:hint="eastAsia" w:ascii="宋体" w:hAnsi="宋体" w:cs="宋体"/>
          <w:szCs w:val="21"/>
        </w:rPr>
        <w:t xml:space="preserve">                                        </w:t>
      </w:r>
    </w:p>
    <w:p>
      <w:pPr>
        <w:adjustRightInd w:val="0"/>
        <w:snapToGrid w:val="0"/>
        <w:spacing w:before="50" w:line="360" w:lineRule="auto"/>
        <w:rPr>
          <w:rFonts w:ascii="宋体" w:hAnsi="宋体" w:cs="宋体"/>
          <w:szCs w:val="21"/>
        </w:rPr>
      </w:pPr>
      <w:r>
        <w:rPr>
          <w:rFonts w:hint="eastAsia" w:ascii="宋体" w:hAnsi="宋体" w:cs="宋体"/>
          <w:szCs w:val="21"/>
        </w:rPr>
        <w:t>投标人(盖单位章)：</w:t>
      </w:r>
    </w:p>
    <w:p>
      <w:pPr>
        <w:adjustRightInd w:val="0"/>
        <w:snapToGrid w:val="0"/>
        <w:spacing w:before="50" w:line="360" w:lineRule="auto"/>
        <w:rPr>
          <w:rFonts w:ascii="宋体" w:hAnsi="宋体" w:cs="宋体"/>
          <w:szCs w:val="21"/>
        </w:rPr>
      </w:pPr>
      <w:r>
        <w:rPr>
          <w:rFonts w:hint="eastAsia" w:ascii="宋体" w:hAnsi="宋体" w:cs="宋体"/>
          <w:szCs w:val="21"/>
        </w:rPr>
        <w:t>联系人：</w:t>
      </w:r>
      <w:r>
        <w:rPr>
          <w:rFonts w:hint="eastAsia" w:ascii="宋体" w:hAnsi="宋体" w:cs="宋体"/>
          <w:szCs w:val="21"/>
          <w:u w:val="single"/>
        </w:rPr>
        <w:t xml:space="preserve">                 </w:t>
      </w:r>
      <w:r>
        <w:rPr>
          <w:rFonts w:hint="eastAsia" w:ascii="宋体" w:hAnsi="宋体" w:cs="宋体"/>
          <w:szCs w:val="21"/>
        </w:rPr>
        <w:t xml:space="preserve"> </w:t>
      </w:r>
    </w:p>
    <w:p>
      <w:pPr>
        <w:adjustRightInd w:val="0"/>
        <w:snapToGrid w:val="0"/>
        <w:spacing w:before="50" w:line="360" w:lineRule="auto"/>
        <w:rPr>
          <w:rFonts w:ascii="宋体" w:hAnsi="宋体" w:cs="宋体"/>
          <w:szCs w:val="21"/>
        </w:rPr>
      </w:pPr>
      <w:r>
        <w:rPr>
          <w:rFonts w:hint="eastAsia" w:ascii="宋体" w:hAnsi="宋体" w:cs="宋体"/>
          <w:szCs w:val="21"/>
        </w:rPr>
        <w:t>移动电话：</w:t>
      </w:r>
      <w:r>
        <w:rPr>
          <w:rFonts w:hint="eastAsia" w:ascii="宋体" w:hAnsi="宋体" w:cs="宋体"/>
          <w:szCs w:val="21"/>
          <w:u w:val="single"/>
        </w:rPr>
        <w:t xml:space="preserve">               </w:t>
      </w:r>
    </w:p>
    <w:p>
      <w:pPr>
        <w:adjustRightInd w:val="0"/>
        <w:snapToGrid w:val="0"/>
        <w:spacing w:before="50" w:line="360" w:lineRule="auto"/>
        <w:rPr>
          <w:rFonts w:ascii="宋体" w:hAnsi="宋体" w:cs="宋体"/>
          <w:szCs w:val="21"/>
        </w:rPr>
      </w:pPr>
      <w:r>
        <w:rPr>
          <w:rFonts w:hint="eastAsia" w:ascii="宋体" w:hAnsi="宋体" w:cs="宋体"/>
          <w:szCs w:val="21"/>
        </w:rPr>
        <w:t>固定电话：</w:t>
      </w:r>
      <w:r>
        <w:rPr>
          <w:rFonts w:hint="eastAsia" w:ascii="宋体" w:hAnsi="宋体" w:cs="宋体"/>
          <w:szCs w:val="21"/>
          <w:u w:val="single"/>
        </w:rPr>
        <w:t xml:space="preserve">        </w:t>
      </w:r>
      <w:r>
        <w:rPr>
          <w:rFonts w:hint="eastAsia" w:ascii="宋体" w:hAnsi="宋体" w:cs="宋体"/>
          <w:szCs w:val="21"/>
        </w:rPr>
        <w:t xml:space="preserve">        </w:t>
      </w:r>
    </w:p>
    <w:p>
      <w:pPr>
        <w:adjustRightInd w:val="0"/>
        <w:snapToGrid w:val="0"/>
        <w:spacing w:before="50" w:line="360" w:lineRule="auto"/>
        <w:rPr>
          <w:rFonts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pStyle w:val="26"/>
        <w:adjustRightInd w:val="0"/>
        <w:snapToGrid w:val="0"/>
        <w:spacing w:before="157" w:beforeLines="50" w:line="360" w:lineRule="auto"/>
        <w:rPr>
          <w:rFonts w:hAnsi="宋体" w:cs="宋体"/>
        </w:rPr>
      </w:pPr>
      <w:r>
        <w:rPr>
          <w:rFonts w:hint="eastAsia" w:hAnsi="宋体" w:cs="宋体"/>
        </w:rPr>
        <w:t>附保证金进账单。</w:t>
      </w:r>
    </w:p>
    <w:p>
      <w:pPr>
        <w:pStyle w:val="26"/>
        <w:adjustRightInd w:val="0"/>
        <w:snapToGrid w:val="0"/>
        <w:spacing w:before="157" w:beforeLines="50" w:line="360" w:lineRule="auto"/>
        <w:rPr>
          <w:rFonts w:hAnsi="宋体" w:cs="宋体"/>
        </w:rPr>
      </w:pPr>
    </w:p>
    <w:p>
      <w:pPr>
        <w:pStyle w:val="26"/>
        <w:adjustRightInd w:val="0"/>
        <w:snapToGrid w:val="0"/>
        <w:spacing w:before="157" w:beforeLines="50" w:line="360" w:lineRule="auto"/>
        <w:ind w:firstLine="422" w:firstLineChars="200"/>
        <w:rPr>
          <w:rFonts w:hAnsi="宋体" w:cs="宋体"/>
          <w:b/>
          <w:bCs/>
        </w:rPr>
      </w:pPr>
      <w:r>
        <w:rPr>
          <w:rFonts w:hint="eastAsia" w:hAnsi="宋体" w:cs="宋体"/>
          <w:b/>
          <w:bCs/>
        </w:rPr>
        <w:t>说明：《保证金退还申请书》另需单独递交一份，以便办理保证金退还，未交《保证金退还申请书》的投标人，可能影响其保证金的正常退还。</w:t>
      </w:r>
    </w:p>
    <w:p>
      <w:pPr>
        <w:pStyle w:val="8"/>
        <w:rPr>
          <w:rFonts w:ascii="黑体" w:hAnsi="仿宋" w:cs="宋体"/>
          <w:b w:val="0"/>
          <w:color w:val="000000" w:themeColor="text1"/>
          <w:sz w:val="21"/>
          <w:szCs w:val="21"/>
          <w14:textFill>
            <w14:solidFill>
              <w14:schemeClr w14:val="tx1"/>
            </w14:solidFill>
          </w14:textFill>
        </w:rPr>
      </w:pPr>
    </w:p>
    <w:bookmarkEnd w:id="90"/>
    <w:bookmarkEnd w:id="91"/>
    <w:bookmarkEnd w:id="92"/>
    <w:p>
      <w:pPr>
        <w:widowControl/>
        <w:adjustRightInd w:val="0"/>
        <w:snapToGrid w:val="0"/>
        <w:spacing w:line="360" w:lineRule="auto"/>
        <w:ind w:firstLine="420" w:firstLineChars="200"/>
        <w:jc w:val="left"/>
        <w:rPr>
          <w:rFonts w:ascii="黑体" w:eastAsia="黑体"/>
          <w:color w:val="000000" w:themeColor="text1"/>
          <w:sz w:val="32"/>
          <w:szCs w:val="32"/>
          <w14:textFill>
            <w14:solidFill>
              <w14:schemeClr w14:val="tx1"/>
            </w14:solidFill>
          </w14:textFill>
        </w:rPr>
      </w:pPr>
      <w:r>
        <w:rPr>
          <w:rFonts w:ascii="宋体" w:hAnsi="宋体"/>
          <w:color w:val="000000" w:themeColor="text1"/>
          <w:szCs w:val="21"/>
          <w14:textFill>
            <w14:solidFill>
              <w14:schemeClr w14:val="tx1"/>
            </w14:solidFill>
          </w14:textFill>
        </w:rPr>
        <w:br w:type="page"/>
      </w:r>
    </w:p>
    <w:p>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pPr>
        <w:pStyle w:val="26"/>
        <w:adjustRightInd w:val="0"/>
        <w:snapToGrid w:val="0"/>
        <w:spacing w:line="360" w:lineRule="auto"/>
        <w:jc w:val="center"/>
        <w:rPr>
          <w:rFonts w:ascii="华文中宋" w:hAnsi="华文中宋" w:eastAsia="华文中宋"/>
          <w:bCs/>
          <w:color w:val="000000" w:themeColor="text1"/>
          <w:sz w:val="72"/>
          <w:szCs w:val="72"/>
          <w14:textFill>
            <w14:solidFill>
              <w14:schemeClr w14:val="tx1"/>
            </w14:solidFill>
          </w14:textFill>
        </w:rPr>
      </w:pPr>
      <w:r>
        <w:rPr>
          <w:rFonts w:hint="eastAsia" w:ascii="华文中宋" w:hAnsi="华文中宋" w:eastAsia="华文中宋"/>
          <w:bCs/>
          <w:color w:val="000000" w:themeColor="text1"/>
          <w:sz w:val="72"/>
          <w:szCs w:val="72"/>
          <w14:textFill>
            <w14:solidFill>
              <w14:schemeClr w14:val="tx1"/>
            </w14:solidFill>
          </w14:textFill>
        </w:rPr>
        <w:t>政府采购</w:t>
      </w:r>
    </w:p>
    <w:p>
      <w:pPr>
        <w:adjustRightInd w:val="0"/>
        <w:snapToGrid w:val="0"/>
        <w:spacing w:line="360" w:lineRule="auto"/>
        <w:jc w:val="center"/>
        <w:outlineLvl w:val="0"/>
        <w:rPr>
          <w:rFonts w:asciiTheme="minorEastAsia" w:hAnsiTheme="minorEastAsia" w:eastAsiaTheme="minorEastAsia"/>
          <w:b/>
          <w:bCs/>
          <w:color w:val="000000" w:themeColor="text1"/>
          <w:sz w:val="84"/>
          <w:szCs w:val="84"/>
          <w14:textFill>
            <w14:solidFill>
              <w14:schemeClr w14:val="tx1"/>
            </w14:solidFill>
          </w14:textFill>
        </w:rPr>
      </w:pPr>
      <w:bookmarkStart w:id="95" w:name="_Toc88584121"/>
      <w:r>
        <w:rPr>
          <w:rFonts w:hint="eastAsia" w:asciiTheme="minorEastAsia" w:hAnsiTheme="minorEastAsia" w:eastAsiaTheme="minorEastAsia"/>
          <w:b/>
          <w:bCs/>
          <w:color w:val="000000" w:themeColor="text1"/>
          <w:sz w:val="84"/>
          <w:szCs w:val="84"/>
          <w14:textFill>
            <w14:solidFill>
              <w14:schemeClr w14:val="tx1"/>
            </w14:solidFill>
          </w14:textFill>
        </w:rPr>
        <w:t>投</w:t>
      </w:r>
      <w:r>
        <w:rPr>
          <w:rFonts w:asciiTheme="minorEastAsia" w:hAnsiTheme="minorEastAsia" w:eastAsiaTheme="minorEastAsia"/>
          <w:b/>
          <w:bCs/>
          <w:color w:val="000000" w:themeColor="text1"/>
          <w:sz w:val="84"/>
          <w:szCs w:val="84"/>
          <w14:textFill>
            <w14:solidFill>
              <w14:schemeClr w14:val="tx1"/>
            </w14:solidFill>
          </w14:textFill>
        </w:rPr>
        <w:t xml:space="preserve"> </w:t>
      </w:r>
      <w:r>
        <w:rPr>
          <w:rFonts w:hint="eastAsia" w:asciiTheme="minorEastAsia" w:hAnsiTheme="minorEastAsia" w:eastAsiaTheme="minorEastAsia"/>
          <w:b/>
          <w:bCs/>
          <w:color w:val="000000" w:themeColor="text1"/>
          <w:sz w:val="84"/>
          <w:szCs w:val="84"/>
          <w14:textFill>
            <w14:solidFill>
              <w14:schemeClr w14:val="tx1"/>
            </w14:solidFill>
          </w14:textFill>
        </w:rPr>
        <w:t>标</w:t>
      </w:r>
      <w:r>
        <w:rPr>
          <w:rFonts w:asciiTheme="minorEastAsia" w:hAnsiTheme="minorEastAsia" w:eastAsiaTheme="minorEastAsia"/>
          <w:b/>
          <w:bCs/>
          <w:color w:val="000000" w:themeColor="text1"/>
          <w:sz w:val="84"/>
          <w:szCs w:val="84"/>
          <w14:textFill>
            <w14:solidFill>
              <w14:schemeClr w14:val="tx1"/>
            </w14:solidFill>
          </w14:textFill>
        </w:rPr>
        <w:t xml:space="preserve"> </w:t>
      </w:r>
      <w:r>
        <w:rPr>
          <w:rFonts w:hint="eastAsia" w:asciiTheme="minorEastAsia" w:hAnsiTheme="minorEastAsia" w:eastAsiaTheme="minorEastAsia"/>
          <w:b/>
          <w:bCs/>
          <w:color w:val="000000" w:themeColor="text1"/>
          <w:sz w:val="84"/>
          <w:szCs w:val="84"/>
          <w14:textFill>
            <w14:solidFill>
              <w14:schemeClr w14:val="tx1"/>
            </w14:solidFill>
          </w14:textFill>
        </w:rPr>
        <w:t>文</w:t>
      </w:r>
      <w:r>
        <w:rPr>
          <w:rFonts w:asciiTheme="minorEastAsia" w:hAnsiTheme="minorEastAsia" w:eastAsiaTheme="minorEastAsia"/>
          <w:b/>
          <w:bCs/>
          <w:color w:val="000000" w:themeColor="text1"/>
          <w:sz w:val="84"/>
          <w:szCs w:val="84"/>
          <w14:textFill>
            <w14:solidFill>
              <w14:schemeClr w14:val="tx1"/>
            </w14:solidFill>
          </w14:textFill>
        </w:rPr>
        <w:t xml:space="preserve"> </w:t>
      </w:r>
      <w:r>
        <w:rPr>
          <w:rFonts w:hint="eastAsia" w:asciiTheme="minorEastAsia" w:hAnsiTheme="minorEastAsia" w:eastAsiaTheme="minorEastAsia"/>
          <w:b/>
          <w:bCs/>
          <w:color w:val="000000" w:themeColor="text1"/>
          <w:sz w:val="84"/>
          <w:szCs w:val="84"/>
          <w14:textFill>
            <w14:solidFill>
              <w14:schemeClr w14:val="tx1"/>
            </w14:solidFill>
          </w14:textFill>
        </w:rPr>
        <w:t>件</w:t>
      </w:r>
      <w:bookmarkEnd w:id="95"/>
    </w:p>
    <w:p>
      <w:pPr>
        <w:pStyle w:val="6"/>
        <w:adjustRightInd w:val="0"/>
        <w:snapToGrid w:val="0"/>
        <w:jc w:val="center"/>
        <w:rPr>
          <w:rFonts w:ascii="黑体" w:hAnsi="黑体" w:eastAsia="黑体"/>
          <w:color w:val="000000" w:themeColor="text1"/>
          <w:sz w:val="44"/>
          <w:szCs w:val="44"/>
          <w14:textFill>
            <w14:solidFill>
              <w14:schemeClr w14:val="tx1"/>
            </w14:solidFill>
          </w14:textFill>
        </w:rPr>
      </w:pPr>
      <w:r>
        <w:rPr>
          <w:rFonts w:hint="eastAsia" w:ascii="黑体" w:hAnsi="黑体" w:eastAsia="黑体"/>
          <w:color w:val="000000" w:themeColor="text1"/>
          <w:sz w:val="44"/>
          <w:szCs w:val="44"/>
          <w14:textFill>
            <w14:solidFill>
              <w14:schemeClr w14:val="tx1"/>
            </w14:solidFill>
          </w14:textFill>
        </w:rPr>
        <w:t>第二部分</w:t>
      </w:r>
      <w:r>
        <w:rPr>
          <w:rFonts w:ascii="黑体" w:hAnsi="黑体" w:eastAsia="黑体"/>
          <w:color w:val="000000" w:themeColor="text1"/>
          <w:sz w:val="44"/>
          <w:szCs w:val="44"/>
          <w14:textFill>
            <w14:solidFill>
              <w14:schemeClr w14:val="tx1"/>
            </w14:solidFill>
          </w14:textFill>
        </w:rPr>
        <w:t xml:space="preserve"> </w:t>
      </w:r>
      <w:r>
        <w:rPr>
          <w:rFonts w:hint="eastAsia" w:ascii="黑体" w:hAnsi="黑体" w:eastAsia="黑体"/>
          <w:color w:val="000000" w:themeColor="text1"/>
          <w:sz w:val="44"/>
          <w:szCs w:val="44"/>
          <w14:textFill>
            <w14:solidFill>
              <w14:schemeClr w14:val="tx1"/>
            </w14:solidFill>
          </w14:textFill>
        </w:rPr>
        <w:t>商务技术文件</w:t>
      </w:r>
    </w:p>
    <w:p>
      <w:pPr>
        <w:adjustRightInd w:val="0"/>
        <w:snapToGrid w:val="0"/>
        <w:spacing w:line="360" w:lineRule="auto"/>
        <w:rPr>
          <w:rFonts w:asciiTheme="minorEastAsia" w:hAnsiTheme="minorEastAsia" w:eastAsiaTheme="minorEastAsia"/>
          <w:color w:val="000000" w:themeColor="text1"/>
          <w:sz w:val="32"/>
          <w:szCs w:val="32"/>
          <w14:textFill>
            <w14:solidFill>
              <w14:schemeClr w14:val="tx1"/>
            </w14:solidFill>
          </w14:textFill>
        </w:rPr>
      </w:pPr>
    </w:p>
    <w:p>
      <w:pPr>
        <w:pStyle w:val="26"/>
        <w:adjustRightInd w:val="0"/>
        <w:snapToGrid w:val="0"/>
        <w:spacing w:line="360" w:lineRule="auto"/>
        <w:ind w:firstLine="1988" w:firstLineChars="660"/>
        <w:rPr>
          <w:rFonts w:asciiTheme="minorEastAsia" w:hAnsiTheme="minorEastAsia" w:eastAsiaTheme="minorEastAsia"/>
          <w:b/>
          <w:bCs/>
          <w:color w:val="000000" w:themeColor="text1"/>
          <w:sz w:val="30"/>
          <w:szCs w:val="30"/>
          <w14:textFill>
            <w14:solidFill>
              <w14:schemeClr w14:val="tx1"/>
            </w14:solidFill>
          </w14:textFill>
        </w:rPr>
      </w:pPr>
    </w:p>
    <w:p>
      <w:pPr>
        <w:pStyle w:val="26"/>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采购项目名称</w:t>
      </w:r>
      <w:r>
        <w:rPr>
          <w:rFonts w:asciiTheme="minorEastAsia" w:hAnsiTheme="minorEastAsia" w:eastAsiaTheme="minorEastAsia"/>
          <w:b/>
          <w:bCs/>
          <w:color w:val="000000" w:themeColor="text1"/>
          <w:sz w:val="30"/>
          <w:szCs w:val="30"/>
          <w14:textFill>
            <w14:solidFill>
              <w14:schemeClr w14:val="tx1"/>
            </w14:solidFill>
          </w14:textFill>
        </w:rPr>
        <w:t>:</w:t>
      </w:r>
    </w:p>
    <w:p>
      <w:pPr>
        <w:pStyle w:val="26"/>
        <w:adjustRightInd w:val="0"/>
        <w:snapToGrid w:val="0"/>
        <w:spacing w:line="360" w:lineRule="auto"/>
        <w:ind w:firstLine="1988" w:firstLineChars="660"/>
        <w:rPr>
          <w:rFonts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w:t>
      </w:r>
      <w:r>
        <w:rPr>
          <w:rFonts w:asciiTheme="minorEastAsia" w:hAnsiTheme="minorEastAsia" w:eastAsiaTheme="minorEastAsia"/>
          <w:b/>
          <w:bCs/>
          <w:color w:val="000000" w:themeColor="text1"/>
          <w:sz w:val="30"/>
          <w:szCs w:val="30"/>
          <w14:textFill>
            <w14:solidFill>
              <w14:schemeClr w14:val="tx1"/>
            </w14:solidFill>
          </w14:textFill>
        </w:rPr>
        <w:t xml:space="preserve">   </w:t>
      </w:r>
      <w:r>
        <w:rPr>
          <w:rFonts w:hint="eastAsia" w:asciiTheme="minorEastAsia" w:hAnsiTheme="minorEastAsia" w:eastAsiaTheme="minorEastAsia"/>
          <w:b/>
          <w:bCs/>
          <w:color w:val="000000" w:themeColor="text1"/>
          <w:sz w:val="30"/>
          <w:szCs w:val="30"/>
          <w14:textFill>
            <w14:solidFill>
              <w14:schemeClr w14:val="tx1"/>
            </w14:solidFill>
          </w14:textFill>
        </w:rPr>
        <w:t>购</w:t>
      </w:r>
      <w:r>
        <w:rPr>
          <w:rFonts w:asciiTheme="minorEastAsia" w:hAnsiTheme="minorEastAsia" w:eastAsiaTheme="minorEastAsia"/>
          <w:b/>
          <w:bCs/>
          <w:color w:val="000000" w:themeColor="text1"/>
          <w:sz w:val="30"/>
          <w:szCs w:val="30"/>
          <w14:textFill>
            <w14:solidFill>
              <w14:schemeClr w14:val="tx1"/>
            </w14:solidFill>
          </w14:textFill>
        </w:rPr>
        <w:t xml:space="preserve">   </w:t>
      </w:r>
      <w:r>
        <w:rPr>
          <w:rFonts w:hint="eastAsia" w:asciiTheme="minorEastAsia" w:hAnsiTheme="minorEastAsia" w:eastAsiaTheme="minorEastAsia"/>
          <w:b/>
          <w:bCs/>
          <w:color w:val="000000" w:themeColor="text1"/>
          <w:sz w:val="30"/>
          <w:szCs w:val="30"/>
          <w14:textFill>
            <w14:solidFill>
              <w14:schemeClr w14:val="tx1"/>
            </w14:solidFill>
          </w14:textFill>
        </w:rPr>
        <w:t>人：</w:t>
      </w:r>
    </w:p>
    <w:p>
      <w:pPr>
        <w:pStyle w:val="26"/>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lang w:eastAsia="zh-CN"/>
          <w14:textFill>
            <w14:solidFill>
              <w14:schemeClr w14:val="tx1"/>
            </w14:solidFill>
          </w14:textFill>
        </w:rPr>
        <w:t>采购代理编号</w:t>
      </w:r>
      <w:r>
        <w:rPr>
          <w:rFonts w:asciiTheme="minorEastAsia" w:hAnsiTheme="minorEastAsia" w:eastAsiaTheme="minorEastAsia"/>
          <w:b/>
          <w:bCs/>
          <w:color w:val="000000" w:themeColor="text1"/>
          <w:sz w:val="30"/>
          <w:szCs w:val="30"/>
          <w14:textFill>
            <w14:solidFill>
              <w14:schemeClr w14:val="tx1"/>
            </w14:solidFill>
          </w14:textFill>
        </w:rPr>
        <w:t>:</w:t>
      </w:r>
    </w:p>
    <w:p>
      <w:pPr>
        <w:pStyle w:val="26"/>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采购代理机构：</w:t>
      </w:r>
    </w:p>
    <w:p>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pPr>
        <w:adjustRightInd w:val="0"/>
        <w:snapToGrid w:val="0"/>
        <w:spacing w:line="360" w:lineRule="auto"/>
        <w:rPr>
          <w:rFonts w:asciiTheme="minorEastAsia" w:hAnsiTheme="minorEastAsia" w:eastAsiaTheme="minorEastAsia"/>
          <w:color w:val="000000" w:themeColor="text1"/>
          <w:sz w:val="30"/>
          <w:szCs w:val="30"/>
          <w14:textFill>
            <w14:solidFill>
              <w14:schemeClr w14:val="tx1"/>
            </w14:solidFill>
          </w14:textFill>
        </w:rPr>
      </w:pPr>
    </w:p>
    <w:p>
      <w:pPr>
        <w:adjustRightInd w:val="0"/>
        <w:snapToGrid w:val="0"/>
        <w:spacing w:line="360" w:lineRule="auto"/>
        <w:ind w:left="1273" w:leftChars="606" w:firstLine="2"/>
        <w:rPr>
          <w:rFonts w:asciiTheme="minorEastAsia" w:hAnsiTheme="minorEastAsia" w:eastAsiaTheme="minorEastAsia"/>
          <w:color w:val="000000" w:themeColor="text1"/>
          <w:sz w:val="32"/>
          <w:szCs w:val="32"/>
          <w:u w:val="single"/>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投标人</w:t>
      </w:r>
    </w:p>
    <w:p>
      <w:pPr>
        <w:adjustRightInd w:val="0"/>
        <w:snapToGrid w:val="0"/>
        <w:spacing w:line="360" w:lineRule="auto"/>
        <w:jc w:val="center"/>
        <w:outlineLvl w:val="0"/>
        <w:rPr>
          <w:rFonts w:asciiTheme="minorEastAsia" w:hAnsiTheme="minorEastAsia" w:eastAsiaTheme="minorEastAsia"/>
          <w:color w:val="000000" w:themeColor="text1"/>
          <w:sz w:val="32"/>
          <w:szCs w:val="32"/>
          <w14:textFill>
            <w14:solidFill>
              <w14:schemeClr w14:val="tx1"/>
            </w14:solidFill>
          </w14:textFill>
        </w:rPr>
      </w:pPr>
      <w:bookmarkStart w:id="96" w:name="_Toc88584122"/>
      <w:r>
        <w:rPr>
          <w:rFonts w:hint="eastAsia" w:asciiTheme="minorEastAsia" w:hAnsiTheme="minorEastAsia" w:eastAsiaTheme="minorEastAsia"/>
          <w:color w:val="000000" w:themeColor="text1"/>
          <w:sz w:val="32"/>
          <w:szCs w:val="32"/>
          <w14:textFill>
            <w14:solidFill>
              <w14:schemeClr w14:val="tx1"/>
            </w14:solidFill>
          </w14:textFill>
        </w:rPr>
        <w:t>年</w:t>
      </w:r>
      <w:r>
        <w:rPr>
          <w:rFonts w:asciiTheme="minorEastAsia" w:hAnsiTheme="minorEastAsia" w:eastAsiaTheme="minorEastAsia"/>
          <w:color w:val="000000" w:themeColor="text1"/>
          <w:sz w:val="32"/>
          <w:szCs w:val="32"/>
          <w14:textFill>
            <w14:solidFill>
              <w14:schemeClr w14:val="tx1"/>
            </w14:solidFill>
          </w14:textFill>
        </w:rPr>
        <w:t xml:space="preserve">  </w:t>
      </w:r>
      <w:r>
        <w:rPr>
          <w:rFonts w:hint="eastAsia" w:asciiTheme="minorEastAsia" w:hAnsiTheme="minorEastAsia" w:eastAsiaTheme="minorEastAsia"/>
          <w:color w:val="000000" w:themeColor="text1"/>
          <w:sz w:val="32"/>
          <w:szCs w:val="32"/>
          <w14:textFill>
            <w14:solidFill>
              <w14:schemeClr w14:val="tx1"/>
            </w14:solidFill>
          </w14:textFill>
        </w:rPr>
        <w:t>月</w:t>
      </w:r>
      <w:r>
        <w:rPr>
          <w:rFonts w:asciiTheme="minorEastAsia" w:hAnsiTheme="minorEastAsia" w:eastAsiaTheme="minorEastAsia"/>
          <w:color w:val="000000" w:themeColor="text1"/>
          <w:sz w:val="32"/>
          <w:szCs w:val="32"/>
          <w14:textFill>
            <w14:solidFill>
              <w14:schemeClr w14:val="tx1"/>
            </w14:solidFill>
          </w14:textFill>
        </w:rPr>
        <w:t xml:space="preserve">  </w:t>
      </w:r>
      <w:r>
        <w:rPr>
          <w:rFonts w:hint="eastAsia" w:asciiTheme="minorEastAsia" w:hAnsiTheme="minorEastAsia" w:eastAsiaTheme="minorEastAsia"/>
          <w:color w:val="000000" w:themeColor="text1"/>
          <w:sz w:val="32"/>
          <w:szCs w:val="32"/>
          <w14:textFill>
            <w14:solidFill>
              <w14:schemeClr w14:val="tx1"/>
            </w14:solidFill>
          </w14:textFill>
        </w:rPr>
        <w:t>日</w:t>
      </w:r>
      <w:bookmarkEnd w:id="96"/>
    </w:p>
    <w:p>
      <w:pPr>
        <w:pStyle w:val="8"/>
        <w:adjustRightInd w:val="0"/>
        <w:spacing w:before="157" w:beforeLines="50" w:after="0" w:line="360" w:lineRule="auto"/>
        <w:jc w:val="left"/>
        <w:rPr>
          <w:rFonts w:ascii="黑体" w:hAnsi="黑体"/>
          <w:b w:val="0"/>
          <w:color w:val="000000" w:themeColor="text1"/>
          <w:sz w:val="21"/>
          <w:szCs w:val="21"/>
          <w14:textFill>
            <w14:solidFill>
              <w14:schemeClr w14:val="tx1"/>
            </w14:solidFill>
          </w14:textFill>
        </w:rPr>
      </w:pPr>
      <w:r>
        <w:rPr>
          <w:rFonts w:asciiTheme="minorEastAsia" w:hAnsiTheme="minorEastAsia" w:eastAsiaTheme="minorEastAsia"/>
          <w:color w:val="000000" w:themeColor="text1"/>
          <w:u w:val="single"/>
          <w14:textFill>
            <w14:solidFill>
              <w14:schemeClr w14:val="tx1"/>
            </w14:solidFill>
          </w14:textFill>
        </w:rPr>
        <w:br w:type="page"/>
      </w:r>
      <w:r>
        <w:rPr>
          <w:rFonts w:hint="eastAsia" w:ascii="黑体" w:hAnsi="黑体"/>
          <w:b w:val="0"/>
          <w:color w:val="000000" w:themeColor="text1"/>
          <w:sz w:val="21"/>
          <w:szCs w:val="21"/>
          <w14:textFill>
            <w14:solidFill>
              <w14:schemeClr w14:val="tx1"/>
            </w14:solidFill>
          </w14:textFill>
        </w:rPr>
        <w:t>索引表</w:t>
      </w:r>
      <w:r>
        <w:rPr>
          <w:rFonts w:ascii="黑体" w:hAnsi="黑体"/>
          <w:b w:val="0"/>
          <w:color w:val="000000" w:themeColor="text1"/>
          <w:sz w:val="21"/>
          <w:szCs w:val="21"/>
          <w14:textFill>
            <w14:solidFill>
              <w14:schemeClr w14:val="tx1"/>
            </w14:solidFill>
          </w14:textFill>
        </w:rPr>
        <w:t xml:space="preserve"> </w:t>
      </w:r>
      <w:r>
        <w:rPr>
          <w:rFonts w:hint="eastAsia" w:ascii="黑体" w:hAnsi="黑体"/>
          <w:b w:val="0"/>
          <w:color w:val="000000" w:themeColor="text1"/>
          <w:sz w:val="21"/>
          <w:szCs w:val="21"/>
          <w14:textFill>
            <w14:solidFill>
              <w14:schemeClr w14:val="tx1"/>
            </w14:solidFill>
          </w14:textFill>
        </w:rPr>
        <w:t>符合性审查索引表</w:t>
      </w:r>
    </w:p>
    <w:p>
      <w:pPr>
        <w:adjustRightInd w:val="0"/>
        <w:spacing w:before="157" w:beforeLines="50" w:line="360" w:lineRule="auto"/>
        <w:jc w:val="center"/>
        <w:outlineLvl w:val="0"/>
        <w:rPr>
          <w:rFonts w:ascii="黑体" w:hAnsi="黑体" w:eastAsia="黑体"/>
          <w:b/>
          <w:color w:val="000000" w:themeColor="text1"/>
          <w:sz w:val="28"/>
          <w:szCs w:val="28"/>
          <w14:textFill>
            <w14:solidFill>
              <w14:schemeClr w14:val="tx1"/>
            </w14:solidFill>
          </w14:textFill>
        </w:rPr>
      </w:pPr>
      <w:bookmarkStart w:id="97" w:name="_Toc88584123"/>
      <w:r>
        <w:rPr>
          <w:rFonts w:hint="eastAsia" w:ascii="黑体" w:hAnsi="黑体" w:eastAsia="黑体"/>
          <w:b/>
          <w:color w:val="000000" w:themeColor="text1"/>
          <w:sz w:val="28"/>
          <w:szCs w:val="28"/>
          <w14:textFill>
            <w14:solidFill>
              <w14:schemeClr w14:val="tx1"/>
            </w14:solidFill>
          </w14:textFill>
        </w:rPr>
        <w:t>符合性审查索引表</w:t>
      </w:r>
      <w:bookmarkEnd w:id="97"/>
    </w:p>
    <w:tbl>
      <w:tblPr>
        <w:tblStyle w:val="46"/>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410"/>
        <w:gridCol w:w="2268"/>
        <w:gridCol w:w="172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1871" w:type="dxa"/>
            <w:tcBorders>
              <w:right w:val="single" w:color="auto" w:sz="4" w:space="0"/>
            </w:tcBorders>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 w:val="20"/>
                <w:szCs w:val="21"/>
                <w14:textFill>
                  <w14:solidFill>
                    <w14:schemeClr w14:val="tx1"/>
                  </w14:solidFill>
                </w14:textFill>
              </w:rPr>
              <w:t>招标文件条款号</w:t>
            </w:r>
          </w:p>
        </w:tc>
        <w:tc>
          <w:tcPr>
            <w:tcW w:w="2410" w:type="dxa"/>
            <w:tcBorders>
              <w:left w:val="single" w:color="auto" w:sz="4" w:space="0"/>
            </w:tcBorders>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审查内容及标准</w:t>
            </w:r>
          </w:p>
        </w:tc>
        <w:tc>
          <w:tcPr>
            <w:tcW w:w="2268" w:type="dxa"/>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投标响应及证明材料</w:t>
            </w:r>
          </w:p>
        </w:tc>
        <w:tc>
          <w:tcPr>
            <w:tcW w:w="1722" w:type="dxa"/>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 w:val="2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投标文件对应内容的册及页码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87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410"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2268"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 w:val="20"/>
                <w:szCs w:val="21"/>
                <w14:textFill>
                  <w14:solidFill>
                    <w14:schemeClr w14:val="tx1"/>
                  </w14:solidFill>
                </w14:textFill>
              </w:rPr>
            </w:pPr>
          </w:p>
        </w:tc>
      </w:tr>
    </w:tbl>
    <w:p>
      <w:pPr>
        <w:rPr>
          <w:color w:val="000000" w:themeColor="text1"/>
          <w14:textFill>
            <w14:solidFill>
              <w14:schemeClr w14:val="tx1"/>
            </w14:solidFill>
          </w14:textFill>
        </w:rPr>
      </w:pPr>
    </w:p>
    <w:p>
      <w:pPr>
        <w:widowControl/>
        <w:jc w:val="left"/>
        <w:rPr>
          <w:rFonts w:ascii="Arial" w:hAnsi="Arial" w:eastAsia="黑体"/>
          <w:b/>
          <w:bCs/>
          <w:color w:val="000000" w:themeColor="text1"/>
          <w:sz w:val="28"/>
          <w:szCs w:val="28"/>
          <w14:textFill>
            <w14:solidFill>
              <w14:schemeClr w14:val="tx1"/>
            </w14:solidFill>
          </w14:textFill>
        </w:rPr>
      </w:pPr>
      <w:r>
        <w:rPr>
          <w:color w:val="000000" w:themeColor="text1"/>
          <w14:textFill>
            <w14:solidFill>
              <w14:schemeClr w14:val="tx1"/>
            </w14:solidFill>
          </w14:textFill>
        </w:rPr>
        <w:br w:type="page"/>
      </w:r>
    </w:p>
    <w:p>
      <w:pPr>
        <w:pStyle w:val="8"/>
        <w:adjustRightInd w:val="0"/>
        <w:snapToGrid w:val="0"/>
        <w:spacing w:before="157" w:beforeLines="50" w:after="0" w:line="360" w:lineRule="auto"/>
        <w:jc w:val="left"/>
        <w:rPr>
          <w:rFonts w:ascii="黑体" w:hAnsi="黑体"/>
          <w:b w:val="0"/>
          <w:color w:val="000000" w:themeColor="text1"/>
          <w:sz w:val="21"/>
          <w:szCs w:val="21"/>
          <w14:textFill>
            <w14:solidFill>
              <w14:schemeClr w14:val="tx1"/>
            </w14:solidFill>
          </w14:textFill>
        </w:rPr>
      </w:pPr>
      <w:r>
        <w:rPr>
          <w:rFonts w:hint="eastAsia" w:ascii="黑体" w:hAnsi="黑体"/>
          <w:b w:val="0"/>
          <w:color w:val="000000" w:themeColor="text1"/>
          <w:sz w:val="21"/>
          <w:szCs w:val="21"/>
          <w14:textFill>
            <w14:solidFill>
              <w14:schemeClr w14:val="tx1"/>
            </w14:solidFill>
          </w14:textFill>
        </w:rPr>
        <w:t>索引表</w:t>
      </w:r>
      <w:r>
        <w:rPr>
          <w:rFonts w:ascii="黑体" w:hAnsi="黑体"/>
          <w:b w:val="0"/>
          <w:color w:val="000000" w:themeColor="text1"/>
          <w:sz w:val="21"/>
          <w:szCs w:val="21"/>
          <w14:textFill>
            <w14:solidFill>
              <w14:schemeClr w14:val="tx1"/>
            </w14:solidFill>
          </w14:textFill>
        </w:rPr>
        <w:t xml:space="preserve"> </w:t>
      </w:r>
      <w:r>
        <w:rPr>
          <w:rFonts w:hint="eastAsia" w:ascii="黑体" w:hAnsi="黑体"/>
          <w:b w:val="0"/>
          <w:color w:val="000000" w:themeColor="text1"/>
          <w:sz w:val="21"/>
          <w:szCs w:val="21"/>
          <w14:textFill>
            <w14:solidFill>
              <w14:schemeClr w14:val="tx1"/>
            </w14:solidFill>
          </w14:textFill>
        </w:rPr>
        <w:t>评标索引表</w:t>
      </w:r>
    </w:p>
    <w:p>
      <w:pPr>
        <w:adjustRightInd w:val="0"/>
        <w:snapToGrid w:val="0"/>
        <w:spacing w:before="157" w:beforeLines="50" w:line="360" w:lineRule="auto"/>
        <w:jc w:val="center"/>
        <w:outlineLvl w:val="0"/>
        <w:rPr>
          <w:rFonts w:ascii="黑体" w:hAnsi="黑体" w:eastAsia="黑体"/>
          <w:b/>
          <w:color w:val="000000" w:themeColor="text1"/>
          <w:sz w:val="28"/>
          <w:szCs w:val="28"/>
          <w14:textFill>
            <w14:solidFill>
              <w14:schemeClr w14:val="tx1"/>
            </w14:solidFill>
          </w14:textFill>
        </w:rPr>
      </w:pPr>
      <w:bookmarkStart w:id="98" w:name="_Toc88584124"/>
      <w:r>
        <w:rPr>
          <w:rFonts w:hint="eastAsia" w:ascii="黑体" w:hAnsi="黑体" w:eastAsia="黑体"/>
          <w:b/>
          <w:color w:val="000000" w:themeColor="text1"/>
          <w:sz w:val="28"/>
          <w:szCs w:val="28"/>
          <w14:textFill>
            <w14:solidFill>
              <w14:schemeClr w14:val="tx1"/>
            </w14:solidFill>
          </w14:textFill>
        </w:rPr>
        <w:t>评标索引表</w:t>
      </w:r>
      <w:bookmarkEnd w:id="98"/>
    </w:p>
    <w:tbl>
      <w:tblPr>
        <w:tblStyle w:val="46"/>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701"/>
        <w:gridCol w:w="1134"/>
        <w:gridCol w:w="1418"/>
        <w:gridCol w:w="2410"/>
        <w:gridCol w:w="172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1701" w:type="dxa"/>
            <w:tcBorders>
              <w:right w:val="single" w:color="auto" w:sz="4" w:space="0"/>
            </w:tcBorders>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 w:val="20"/>
                <w:szCs w:val="21"/>
                <w14:textFill>
                  <w14:solidFill>
                    <w14:schemeClr w14:val="tx1"/>
                  </w14:solidFill>
                </w14:textFill>
              </w:rPr>
              <w:t>招标文件</w:t>
            </w:r>
            <w:r>
              <w:rPr>
                <w:rFonts w:hint="eastAsia" w:asciiTheme="minorEastAsia" w:hAnsiTheme="minorEastAsia" w:eastAsiaTheme="minorEastAsia"/>
                <w:b/>
                <w:color w:val="000000" w:themeColor="text1"/>
                <w:kern w:val="0"/>
                <w:szCs w:val="21"/>
                <w14:textFill>
                  <w14:solidFill>
                    <w14:schemeClr w14:val="tx1"/>
                  </w14:solidFill>
                </w14:textFill>
              </w:rPr>
              <w:t>条款号</w:t>
            </w:r>
          </w:p>
        </w:tc>
        <w:tc>
          <w:tcPr>
            <w:tcW w:w="1134" w:type="dxa"/>
            <w:tcBorders>
              <w:left w:val="single" w:color="auto" w:sz="4" w:space="0"/>
              <w:right w:val="single" w:color="auto" w:sz="4" w:space="0"/>
            </w:tcBorders>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评审因素</w:t>
            </w:r>
          </w:p>
        </w:tc>
        <w:tc>
          <w:tcPr>
            <w:tcW w:w="1418" w:type="dxa"/>
            <w:tcBorders>
              <w:left w:val="single" w:color="auto" w:sz="4" w:space="0"/>
            </w:tcBorders>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评标标准</w:t>
            </w:r>
          </w:p>
        </w:tc>
        <w:tc>
          <w:tcPr>
            <w:tcW w:w="2410" w:type="dxa"/>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投标响应及证明材料</w:t>
            </w:r>
          </w:p>
        </w:tc>
        <w:tc>
          <w:tcPr>
            <w:tcW w:w="1722" w:type="dxa"/>
            <w:vAlign w:val="center"/>
          </w:tcPr>
          <w:p>
            <w:pPr>
              <w:adjustRightInd w:val="0"/>
              <w:snapToGrid w:val="0"/>
              <w:spacing w:before="157" w:beforeLines="50" w:line="360" w:lineRule="auto"/>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投标文件对应内容的册及页码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675"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2410"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c>
          <w:tcPr>
            <w:tcW w:w="1722" w:type="dxa"/>
          </w:tcPr>
          <w:p>
            <w:pPr>
              <w:adjustRightInd w:val="0"/>
              <w:snapToGrid w:val="0"/>
              <w:spacing w:before="157" w:beforeLines="50" w:line="360" w:lineRule="auto"/>
              <w:jc w:val="center"/>
              <w:rPr>
                <w:rFonts w:asciiTheme="minorEastAsia" w:hAnsiTheme="minorEastAsia" w:eastAsiaTheme="minorEastAsia"/>
                <w:color w:val="000000" w:themeColor="text1"/>
                <w:kern w:val="0"/>
                <w:szCs w:val="21"/>
                <w14:textFill>
                  <w14:solidFill>
                    <w14:schemeClr w14:val="tx1"/>
                  </w14:solidFill>
                </w14:textFill>
              </w:rPr>
            </w:pPr>
          </w:p>
        </w:tc>
      </w:tr>
    </w:tbl>
    <w:p>
      <w:pPr>
        <w:rPr>
          <w:color w:val="000000" w:themeColor="text1"/>
          <w14:textFill>
            <w14:solidFill>
              <w14:schemeClr w14:val="tx1"/>
            </w14:solidFill>
          </w14:textFill>
        </w:rPr>
      </w:pPr>
    </w:p>
    <w:p>
      <w:pPr>
        <w:widowControl/>
        <w:jc w:val="left"/>
        <w:rPr>
          <w:rFonts w:ascii="黑体" w:hAnsi="宋体" w:eastAsia="黑体"/>
          <w:b/>
          <w:bCs/>
          <w:color w:val="000000" w:themeColor="text1"/>
          <w:sz w:val="28"/>
          <w:szCs w:val="28"/>
          <w14:textFill>
            <w14:solidFill>
              <w14:schemeClr w14:val="tx1"/>
            </w14:solidFill>
          </w14:textFill>
        </w:rPr>
      </w:pPr>
      <w:r>
        <w:rPr>
          <w:rFonts w:ascii="黑体" w:hAnsi="宋体" w:eastAsia="黑体"/>
          <w:color w:val="000000" w:themeColor="text1"/>
          <w:sz w:val="28"/>
          <w:szCs w:val="28"/>
          <w14:textFill>
            <w14:solidFill>
              <w14:schemeClr w14:val="tx1"/>
            </w14:solidFill>
          </w14:textFill>
        </w:rPr>
        <w:br w:type="page"/>
      </w: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t>五、投标函</w:t>
      </w:r>
    </w:p>
    <w:p>
      <w:pPr>
        <w:adjustRightInd w:val="0"/>
        <w:snapToGrid w:val="0"/>
        <w:spacing w:before="157"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致：（采购人或代理机构）：</w:t>
      </w:r>
    </w:p>
    <w:p>
      <w:pPr>
        <w:adjustRightInd w:val="0"/>
        <w:snapToGrid w:val="0"/>
        <w:spacing w:before="157" w:beforeLines="50" w:line="360" w:lineRule="auto"/>
        <w:ind w:firstLine="435"/>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根据贵方为（项目名称）的投标邀请（</w:t>
      </w:r>
      <w:r>
        <w:rPr>
          <w:rFonts w:hint="eastAsia" w:asciiTheme="minorEastAsia" w:hAnsiTheme="minorEastAsia" w:eastAsiaTheme="minorEastAsia"/>
          <w:color w:val="000000" w:themeColor="text1"/>
          <w:szCs w:val="21"/>
          <w:lang w:eastAsia="zh-CN"/>
          <w14:textFill>
            <w14:solidFill>
              <w14:schemeClr w14:val="tx1"/>
            </w14:solidFill>
          </w14:textFill>
        </w:rPr>
        <w:t>采购代理编号</w:t>
      </w: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），签字代表</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（姓名、职务）经正式授权并代表投标人</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（投标人名称</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）提交下述投标文件第一部分资格证明文件：正本一份，副本一份；第二部分商务和技术文件：正本一份</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副本</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份；投标文件电子文档：一份，参加采购项目第</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包投标，并在此声明，所递交的投标文件内容完整、真实。</w:t>
      </w:r>
    </w:p>
    <w:p>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第一部分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资格证明文件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一、法人身份证明</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二、法定代表人授权委托书</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三、投标人提供的资格证明文件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四、投标保证金</w:t>
      </w:r>
    </w:p>
    <w:p>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第二部分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商务技术文件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商务部分</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五、投标函</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六、开标一览表、分项报价明细表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七、商务响应/偏离表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八、享受政府采购政策优惠的证明资料和清单表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九、投标人认为需提供的其他资料</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技术部分</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十、货物说明一览表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十一、技术响应/偏离表</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十二、投标货物符合招标文件规定的证明文件</w:t>
      </w:r>
    </w:p>
    <w:p>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十三、投标人认为需提供的其他资料</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在此，签字代表宣布同意如下：</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、投标人严格按照招标文件的规定报价，见《开标一览表》。</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、投标人将按招标文件的规定履行合同责任和义务。</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w:t>
      </w:r>
      <w:r>
        <w:rPr>
          <w:rFonts w:hint="eastAsia" w:asciiTheme="minorEastAsia" w:hAnsiTheme="minorEastAsia" w:eastAsiaTheme="minorEastAsia"/>
          <w:color w:val="000000" w:themeColor="text1"/>
          <w:szCs w:val="21"/>
          <w14:textFill>
            <w14:solidFill>
              <w14:schemeClr w14:val="tx1"/>
            </w14:solidFill>
          </w14:textFill>
        </w:rPr>
        <w:t>、投标人已详细审查招标文件。我们完全理解并同意放弃对这方面有不明及误解的权力。</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4</w:t>
      </w:r>
      <w:r>
        <w:rPr>
          <w:rFonts w:hint="eastAsia" w:asciiTheme="minorEastAsia" w:hAnsiTheme="minorEastAsia" w:eastAsiaTheme="minorEastAsia"/>
          <w:color w:val="000000" w:themeColor="text1"/>
          <w:szCs w:val="21"/>
          <w14:textFill>
            <w14:solidFill>
              <w14:schemeClr w14:val="tx1"/>
            </w14:solidFill>
          </w14:textFill>
        </w:rPr>
        <w:t>、本投标有效期为自招标文件规定的提交投标文件截止之日起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个日历日。在投标有效期内，</w:t>
      </w:r>
      <w:r>
        <w:rPr>
          <w:rFonts w:hint="eastAsia" w:asciiTheme="minorEastAsia" w:hAnsiTheme="minorEastAsia" w:eastAsiaTheme="minorEastAsia"/>
          <w:color w:val="000000" w:themeColor="text1"/>
          <w14:textFill>
            <w14:solidFill>
              <w14:schemeClr w14:val="tx1"/>
            </w14:solidFill>
          </w14:textFill>
        </w:rPr>
        <w:t>投标人同意遵守本</w:t>
      </w:r>
      <w:r>
        <w:rPr>
          <w:rFonts w:hint="eastAsia" w:asciiTheme="minorEastAsia" w:hAnsiTheme="minorEastAsia" w:eastAsiaTheme="minorEastAsia"/>
          <w:color w:val="000000" w:themeColor="text1"/>
          <w:szCs w:val="21"/>
          <w14:textFill>
            <w14:solidFill>
              <w14:schemeClr w14:val="tx1"/>
            </w14:solidFill>
          </w14:textFill>
        </w:rPr>
        <w:t>投标</w:t>
      </w:r>
      <w:r>
        <w:rPr>
          <w:rFonts w:hint="eastAsia" w:asciiTheme="minorEastAsia" w:hAnsiTheme="minorEastAsia" w:eastAsiaTheme="minorEastAsia"/>
          <w:color w:val="000000" w:themeColor="text1"/>
          <w14:textFill>
            <w14:solidFill>
              <w14:schemeClr w14:val="tx1"/>
            </w14:solidFill>
          </w14:textFill>
        </w:rPr>
        <w:t>文件中的承诺且在此期限期满之前</w:t>
      </w:r>
      <w:r>
        <w:rPr>
          <w:rFonts w:hint="eastAsia" w:asciiTheme="minorEastAsia" w:hAnsiTheme="minorEastAsia" w:eastAsiaTheme="minorEastAsia"/>
          <w:color w:val="000000" w:themeColor="text1"/>
          <w:szCs w:val="21"/>
          <w14:textFill>
            <w14:solidFill>
              <w14:schemeClr w14:val="tx1"/>
            </w14:solidFill>
          </w14:textFill>
        </w:rPr>
        <w:t>投标</w:t>
      </w:r>
      <w:r>
        <w:rPr>
          <w:rFonts w:hint="eastAsia" w:asciiTheme="minorEastAsia" w:hAnsiTheme="minorEastAsia" w:eastAsiaTheme="minorEastAsia"/>
          <w:color w:val="000000" w:themeColor="text1"/>
          <w14:textFill>
            <w14:solidFill>
              <w14:schemeClr w14:val="tx1"/>
            </w14:solidFill>
          </w14:textFill>
        </w:rPr>
        <w:t>文件</w:t>
      </w:r>
      <w:r>
        <w:rPr>
          <w:rFonts w:hint="eastAsia" w:asciiTheme="minorEastAsia" w:hAnsiTheme="minorEastAsia" w:eastAsiaTheme="minorEastAsia"/>
          <w:color w:val="000000" w:themeColor="text1"/>
          <w:szCs w:val="21"/>
          <w14:textFill>
            <w14:solidFill>
              <w14:schemeClr w14:val="tx1"/>
            </w14:solidFill>
          </w14:textFill>
        </w:rPr>
        <w:t>对我方具有法律约束力</w:t>
      </w:r>
      <w:r>
        <w:rPr>
          <w:rFonts w:hint="eastAsia" w:asciiTheme="minorEastAsia" w:hAnsiTheme="minorEastAsia" w:eastAsiaTheme="minorEastAsia"/>
          <w:color w:val="000000" w:themeColor="text1"/>
          <w14:textFill>
            <w14:solidFill>
              <w14:schemeClr w14:val="tx1"/>
            </w14:solidFill>
          </w14:textFill>
        </w:rPr>
        <w:t>。</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5</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同意提供贵方可能要求的与其投标有关的一切数据或资料。</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6</w:t>
      </w:r>
      <w:r>
        <w:rPr>
          <w:rFonts w:hint="eastAsia" w:asciiTheme="minorEastAsia" w:hAnsiTheme="minorEastAsia" w:eastAsiaTheme="minorEastAsia"/>
          <w:color w:val="000000" w:themeColor="text1"/>
          <w:szCs w:val="21"/>
          <w14:textFill>
            <w14:solidFill>
              <w14:schemeClr w14:val="tx1"/>
            </w14:solidFill>
          </w14:textFill>
        </w:rPr>
        <w:t>、与本投标有关的一切正式往来信函请寄：</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地址：</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；邮编：</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；电话：</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；电子邮箱：</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w:t>
      </w:r>
    </w:p>
    <w:p>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p>
    <w:p>
      <w:pPr>
        <w:pStyle w:val="26"/>
        <w:adjustRightInd w:val="0"/>
        <w:snapToGrid w:val="0"/>
        <w:spacing w:before="157" w:beforeLines="50" w:line="360" w:lineRule="auto"/>
        <w:rPr>
          <w:rFonts w:asciiTheme="minorEastAsia" w:hAnsiTheme="minorEastAsia" w:eastAsiaTheme="minorEastAsia"/>
          <w:color w:val="000000" w:themeColor="text1"/>
          <w14:textFill>
            <w14:solidFill>
              <w14:schemeClr w14:val="tx1"/>
            </w14:solidFill>
          </w14:textFill>
        </w:rPr>
      </w:pPr>
    </w:p>
    <w:p>
      <w:pPr>
        <w:pStyle w:val="26"/>
        <w:adjustRightInd w:val="0"/>
        <w:snapToGrid w:val="0"/>
        <w:spacing w:before="157" w:beforeLines="5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投标人名称（盖单位章）：                       </w:t>
      </w:r>
    </w:p>
    <w:p>
      <w:pPr>
        <w:adjustRightInd w:val="0"/>
        <w:snapToGrid w:val="0"/>
        <w:spacing w:before="157" w:beforeLines="50" w:line="360" w:lineRule="auto"/>
        <w:rPr>
          <w:rFonts w:ascii="黑体" w:hAnsi="宋体" w:eastAsia="黑体"/>
          <w:b/>
          <w:bCs/>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w:t>
      </w:r>
      <w:r>
        <w:rPr>
          <w:rFonts w:ascii="黑体" w:hAnsi="宋体" w:eastAsia="黑体"/>
          <w:b/>
          <w:bCs/>
          <w:color w:val="000000" w:themeColor="text1"/>
          <w:sz w:val="28"/>
          <w:szCs w:val="28"/>
          <w14:textFill>
            <w14:solidFill>
              <w14:schemeClr w14:val="tx1"/>
            </w14:solidFill>
          </w14:textFill>
        </w:rPr>
        <w:br w:type="page"/>
      </w: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99" w:name="_Toc8983774"/>
      <w:r>
        <w:rPr>
          <w:rFonts w:hint="eastAsia" w:ascii="黑体" w:hAnsi="宋体" w:eastAsia="黑体"/>
          <w:color w:val="000000" w:themeColor="text1"/>
          <w:sz w:val="28"/>
          <w:szCs w:val="28"/>
          <w14:textFill>
            <w14:solidFill>
              <w14:schemeClr w14:val="tx1"/>
            </w14:solidFill>
          </w14:textFill>
        </w:rPr>
        <w:t>六、开标一览表</w:t>
      </w:r>
    </w:p>
    <w:p>
      <w:pPr>
        <w:adjustRightInd w:val="0"/>
        <w:snapToGrid w:val="0"/>
        <w:spacing w:line="360" w:lineRule="auto"/>
        <w:ind w:left="-88" w:leftChars="-42"/>
        <w:jc w:val="center"/>
        <w:rPr>
          <w:rFonts w:ascii="仿宋_GB2312" w:hAnsi="宋体" w:eastAsia="仿宋_GB2312"/>
          <w:color w:val="000000" w:themeColor="text1"/>
          <w:sz w:val="24"/>
          <w14:textFill>
            <w14:solidFill>
              <w14:schemeClr w14:val="tx1"/>
            </w14:solidFill>
          </w14:textFill>
        </w:rPr>
      </w:pPr>
    </w:p>
    <w:p>
      <w:r>
        <w:rPr>
          <w:rFonts w:hint="eastAsia"/>
        </w:rPr>
        <w:t>采购代理编号：</w:t>
      </w:r>
      <w:r>
        <w:rPr>
          <w:rFonts w:asciiTheme="minorEastAsia" w:hAnsiTheme="minorEastAsia" w:eastAsiaTheme="minorEastAsia"/>
          <w:color w:val="000000" w:themeColor="text1"/>
          <w:szCs w:val="21"/>
          <w:u w:val="single"/>
          <w14:textFill>
            <w14:solidFill>
              <w14:schemeClr w14:val="tx1"/>
            </w14:solidFill>
          </w14:textFill>
        </w:rPr>
        <w:t xml:space="preserve">         </w:t>
      </w:r>
      <w:r>
        <w:t xml:space="preserve">                     </w:t>
      </w:r>
      <w:r>
        <w:rPr>
          <w:rFonts w:hint="eastAsia"/>
        </w:rPr>
        <w:t>项目名称：</w:t>
      </w:r>
      <w:r>
        <w:t>_____</w:t>
      </w:r>
      <w:r>
        <w:rPr>
          <w:u w:val="single"/>
        </w:rPr>
        <w:t>__    ___</w:t>
      </w:r>
      <w:r>
        <w:rPr>
          <w:rFonts w:hint="eastAsia"/>
          <w:u w:val="single"/>
        </w:rPr>
        <w:t xml:space="preserve"> </w:t>
      </w:r>
    </w:p>
    <w:tbl>
      <w:tblPr>
        <w:tblStyle w:val="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0"/>
        <w:gridCol w:w="1824"/>
        <w:gridCol w:w="2541"/>
        <w:gridCol w:w="1368"/>
        <w:gridCol w:w="782"/>
        <w:gridCol w:w="978"/>
        <w:gridCol w:w="161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550" w:type="dxa"/>
            <w:vMerge w:val="restart"/>
            <w:tcBorders>
              <w:top w:val="single" w:color="auto" w:sz="4" w:space="0"/>
              <w:left w:val="single" w:color="auto" w:sz="4" w:space="0"/>
              <w:right w:val="single" w:color="auto" w:sz="4" w:space="0"/>
            </w:tcBorders>
            <w:vAlign w:val="center"/>
          </w:tcPr>
          <w:p>
            <w:pPr>
              <w:snapToGrid w:val="0"/>
              <w:spacing w:before="157" w:beforeLines="50" w:line="360" w:lineRule="atLeast"/>
              <w:jc w:val="center"/>
              <w:rPr>
                <w:rFonts w:ascii="宋体" w:hAnsi="宋体" w:cs="宋体"/>
                <w:b/>
              </w:rPr>
            </w:pPr>
            <w:r>
              <w:rPr>
                <w:rFonts w:hint="eastAsia" w:ascii="宋体" w:hAnsi="宋体" w:cs="宋体"/>
                <w:b/>
              </w:rPr>
              <w:t>序号</w:t>
            </w:r>
          </w:p>
        </w:tc>
        <w:tc>
          <w:tcPr>
            <w:tcW w:w="1824" w:type="dxa"/>
            <w:vMerge w:val="restart"/>
            <w:tcBorders>
              <w:top w:val="single" w:color="auto" w:sz="4" w:space="0"/>
              <w:left w:val="single" w:color="auto" w:sz="4" w:space="0"/>
              <w:right w:val="single" w:color="auto" w:sz="4" w:space="0"/>
            </w:tcBorders>
            <w:vAlign w:val="center"/>
          </w:tcPr>
          <w:p>
            <w:pPr>
              <w:snapToGrid w:val="0"/>
              <w:spacing w:before="157" w:beforeLines="50" w:line="240" w:lineRule="auto"/>
              <w:jc w:val="center"/>
              <w:rPr>
                <w:rFonts w:ascii="宋体" w:hAnsi="宋体" w:cs="宋体"/>
                <w:b/>
              </w:rPr>
            </w:pPr>
            <w:r>
              <w:rPr>
                <w:rFonts w:hint="eastAsia" w:ascii="宋体" w:hAnsi="宋体" w:cs="宋体"/>
                <w:b/>
              </w:rPr>
              <w:t>设备（货物）</w:t>
            </w:r>
          </w:p>
          <w:p>
            <w:pPr>
              <w:snapToGrid w:val="0"/>
              <w:spacing w:before="157" w:beforeLines="50" w:line="240" w:lineRule="auto"/>
              <w:jc w:val="center"/>
              <w:rPr>
                <w:rFonts w:ascii="宋体" w:hAnsi="宋体" w:cs="宋体"/>
                <w:b/>
              </w:rPr>
            </w:pPr>
            <w:r>
              <w:rPr>
                <w:rFonts w:hint="eastAsia" w:ascii="宋体" w:hAnsi="宋体" w:cs="宋体"/>
                <w:b/>
              </w:rPr>
              <w:t>名称</w:t>
            </w:r>
          </w:p>
        </w:tc>
        <w:tc>
          <w:tcPr>
            <w:tcW w:w="2541" w:type="dxa"/>
            <w:vMerge w:val="restart"/>
            <w:tcBorders>
              <w:top w:val="single" w:color="auto" w:sz="4" w:space="0"/>
              <w:left w:val="single" w:color="auto" w:sz="4" w:space="0"/>
              <w:right w:val="single" w:color="auto" w:sz="4" w:space="0"/>
            </w:tcBorders>
            <w:vAlign w:val="center"/>
          </w:tcPr>
          <w:p>
            <w:pPr>
              <w:snapToGrid w:val="0"/>
              <w:spacing w:before="157" w:beforeLines="50" w:line="360" w:lineRule="atLeast"/>
              <w:jc w:val="center"/>
              <w:rPr>
                <w:rFonts w:ascii="宋体" w:hAnsi="宋体" w:cs="宋体"/>
                <w:b/>
              </w:rPr>
            </w:pPr>
            <w:r>
              <w:rPr>
                <w:rFonts w:hint="eastAsia" w:ascii="宋体" w:hAnsi="宋体" w:cs="宋体"/>
                <w:b/>
              </w:rPr>
              <w:t>型号和规格</w:t>
            </w:r>
          </w:p>
        </w:tc>
        <w:tc>
          <w:tcPr>
            <w:tcW w:w="1368" w:type="dxa"/>
            <w:vMerge w:val="restart"/>
            <w:tcBorders>
              <w:top w:val="single" w:color="auto" w:sz="4" w:space="0"/>
              <w:left w:val="single" w:color="auto" w:sz="4" w:space="0"/>
              <w:right w:val="single" w:color="auto" w:sz="4" w:space="0"/>
            </w:tcBorders>
            <w:vAlign w:val="center"/>
          </w:tcPr>
          <w:p>
            <w:pPr>
              <w:snapToGrid w:val="0"/>
              <w:spacing w:before="157" w:beforeLines="50" w:line="360" w:lineRule="atLeast"/>
              <w:jc w:val="center"/>
              <w:rPr>
                <w:rFonts w:ascii="宋体" w:hAnsi="宋体" w:cs="宋体"/>
                <w:b/>
              </w:rPr>
            </w:pPr>
            <w:r>
              <w:rPr>
                <w:rFonts w:hint="eastAsia" w:ascii="宋体" w:hAnsi="宋体" w:cs="宋体"/>
                <w:b/>
              </w:rPr>
              <w:t>数量</w:t>
            </w:r>
          </w:p>
        </w:tc>
        <w:tc>
          <w:tcPr>
            <w:tcW w:w="1760"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b/>
              </w:rPr>
            </w:pPr>
            <w:r>
              <w:rPr>
                <w:rFonts w:hint="eastAsia" w:ascii="宋体" w:hAnsi="宋体" w:cs="宋体"/>
                <w:b/>
                <w:kern w:val="0"/>
              </w:rPr>
              <w:t>投标价格</w:t>
            </w:r>
          </w:p>
        </w:tc>
        <w:tc>
          <w:tcPr>
            <w:tcW w:w="1617" w:type="dxa"/>
            <w:vMerge w:val="restart"/>
            <w:tcBorders>
              <w:top w:val="single" w:color="auto" w:sz="4" w:space="0"/>
              <w:left w:val="single" w:color="auto" w:sz="4" w:space="0"/>
              <w:right w:val="single" w:color="auto" w:sz="4" w:space="0"/>
            </w:tcBorders>
            <w:vAlign w:val="center"/>
          </w:tcPr>
          <w:p>
            <w:pPr>
              <w:snapToGrid w:val="0"/>
              <w:spacing w:before="157" w:beforeLines="50" w:line="360" w:lineRule="atLeast"/>
              <w:jc w:val="center"/>
              <w:rPr>
                <w:rFonts w:ascii="宋体" w:hAnsi="宋体" w:cs="宋体"/>
                <w:b/>
              </w:rPr>
            </w:pPr>
            <w:r>
              <w:rPr>
                <w:rFonts w:hint="eastAsia" w:ascii="宋体" w:hAnsi="宋体" w:cs="宋体"/>
                <w:b/>
              </w:rPr>
              <w:t>交货期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550" w:type="dxa"/>
            <w:vMerge w:val="continue"/>
            <w:tcBorders>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p>
        </w:tc>
        <w:tc>
          <w:tcPr>
            <w:tcW w:w="1824" w:type="dxa"/>
            <w:vMerge w:val="continue"/>
            <w:tcBorders>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p>
        </w:tc>
        <w:tc>
          <w:tcPr>
            <w:tcW w:w="2541" w:type="dxa"/>
            <w:vMerge w:val="continue"/>
            <w:tcBorders>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p>
        </w:tc>
        <w:tc>
          <w:tcPr>
            <w:tcW w:w="1368" w:type="dxa"/>
            <w:vMerge w:val="continue"/>
            <w:tcBorders>
              <w:left w:val="single" w:color="auto" w:sz="4" w:space="0"/>
              <w:bottom w:val="single" w:color="auto" w:sz="4" w:space="0"/>
              <w:right w:val="single" w:color="auto" w:sz="4" w:space="0"/>
            </w:tcBorders>
            <w:vAlign w:val="center"/>
          </w:tcPr>
          <w:p>
            <w:pPr>
              <w:widowControl/>
              <w:spacing w:before="157" w:beforeLines="50"/>
              <w:jc w:val="left"/>
              <w:rPr>
                <w:rFonts w:ascii="宋体" w:hAnsi="宋体" w:cs="宋体"/>
              </w:rPr>
            </w:pPr>
          </w:p>
        </w:tc>
        <w:tc>
          <w:tcPr>
            <w:tcW w:w="782" w:type="dxa"/>
            <w:tcBorders>
              <w:top w:val="single" w:color="auto" w:sz="4" w:space="0"/>
              <w:left w:val="single" w:color="auto" w:sz="4" w:space="0"/>
              <w:bottom w:val="single" w:color="auto" w:sz="4" w:space="0"/>
              <w:right w:val="single" w:color="auto" w:sz="4" w:space="0"/>
            </w:tcBorders>
          </w:tcPr>
          <w:p>
            <w:pPr>
              <w:snapToGrid w:val="0"/>
              <w:spacing w:before="157" w:beforeLines="50" w:line="360" w:lineRule="atLeast"/>
              <w:jc w:val="center"/>
              <w:rPr>
                <w:rFonts w:ascii="宋体" w:hAnsi="宋体" w:cs="宋体"/>
                <w:b/>
                <w:kern w:val="0"/>
              </w:rPr>
            </w:pPr>
            <w:r>
              <w:rPr>
                <w:rFonts w:hint="eastAsia" w:ascii="宋体" w:hAnsi="宋体" w:cs="宋体"/>
                <w:b/>
                <w:kern w:val="0"/>
              </w:rPr>
              <w:t>单价</w:t>
            </w:r>
          </w:p>
        </w:tc>
        <w:tc>
          <w:tcPr>
            <w:tcW w:w="978" w:type="dxa"/>
            <w:tcBorders>
              <w:top w:val="single" w:color="auto" w:sz="4" w:space="0"/>
              <w:left w:val="single" w:color="auto" w:sz="4" w:space="0"/>
              <w:bottom w:val="single" w:color="auto" w:sz="4" w:space="0"/>
              <w:right w:val="single" w:color="auto" w:sz="4" w:space="0"/>
            </w:tcBorders>
          </w:tcPr>
          <w:p>
            <w:pPr>
              <w:snapToGrid w:val="0"/>
              <w:spacing w:before="157" w:beforeLines="50" w:line="360" w:lineRule="atLeast"/>
              <w:jc w:val="center"/>
              <w:rPr>
                <w:rFonts w:ascii="宋体" w:hAnsi="宋体" w:cs="宋体"/>
                <w:b/>
                <w:kern w:val="0"/>
              </w:rPr>
            </w:pPr>
            <w:r>
              <w:rPr>
                <w:rFonts w:hint="eastAsia" w:ascii="宋体" w:hAnsi="宋体" w:cs="宋体"/>
                <w:b/>
                <w:kern w:val="0"/>
              </w:rPr>
              <w:t>总价</w:t>
            </w:r>
          </w:p>
        </w:tc>
        <w:tc>
          <w:tcPr>
            <w:tcW w:w="1617" w:type="dxa"/>
            <w:vMerge w:val="continue"/>
            <w:tcBorders>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kern w:val="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exact"/>
          <w:jc w:val="center"/>
        </w:trPr>
        <w:tc>
          <w:tcPr>
            <w:tcW w:w="550"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1</w:t>
            </w:r>
          </w:p>
        </w:tc>
        <w:tc>
          <w:tcPr>
            <w:tcW w:w="1824"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2541"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136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p>
            <w:pPr>
              <w:widowControl/>
              <w:spacing w:before="157" w:beforeLines="50"/>
              <w:jc w:val="left"/>
              <w:rPr>
                <w:rFonts w:ascii="宋体" w:hAnsi="宋体" w:cs="宋体"/>
              </w:rPr>
            </w:pPr>
          </w:p>
          <w:p>
            <w:pPr>
              <w:snapToGrid w:val="0"/>
              <w:spacing w:before="157" w:beforeLines="50" w:line="360" w:lineRule="atLeast"/>
              <w:jc w:val="center"/>
              <w:rPr>
                <w:rFonts w:ascii="宋体" w:hAnsi="宋体" w:cs="宋体"/>
              </w:rPr>
            </w:pPr>
          </w:p>
        </w:tc>
        <w:tc>
          <w:tcPr>
            <w:tcW w:w="782"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p>
          <w:p>
            <w:pPr>
              <w:snapToGrid w:val="0"/>
              <w:spacing w:before="157" w:beforeLines="50" w:line="360" w:lineRule="atLeast"/>
              <w:jc w:val="center"/>
              <w:rPr>
                <w:rFonts w:ascii="宋体" w:hAnsi="宋体" w:cs="宋体"/>
              </w:rPr>
            </w:pPr>
          </w:p>
        </w:tc>
        <w:tc>
          <w:tcPr>
            <w:tcW w:w="97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c>
          <w:tcPr>
            <w:tcW w:w="1617"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exact"/>
          <w:jc w:val="center"/>
        </w:trPr>
        <w:tc>
          <w:tcPr>
            <w:tcW w:w="550"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2</w:t>
            </w:r>
          </w:p>
        </w:tc>
        <w:tc>
          <w:tcPr>
            <w:tcW w:w="1824"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2541"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136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p>
            <w:pPr>
              <w:widowControl/>
              <w:spacing w:before="157" w:beforeLines="50"/>
              <w:jc w:val="left"/>
              <w:rPr>
                <w:rFonts w:ascii="宋体" w:hAnsi="宋体" w:cs="宋体"/>
              </w:rPr>
            </w:pPr>
          </w:p>
          <w:p>
            <w:pPr>
              <w:snapToGrid w:val="0"/>
              <w:spacing w:before="157" w:beforeLines="50" w:line="360" w:lineRule="atLeast"/>
              <w:jc w:val="center"/>
              <w:rPr>
                <w:rFonts w:ascii="宋体" w:hAnsi="宋体" w:cs="宋体"/>
              </w:rPr>
            </w:pPr>
          </w:p>
        </w:tc>
        <w:tc>
          <w:tcPr>
            <w:tcW w:w="782"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p>
          <w:p>
            <w:pPr>
              <w:snapToGrid w:val="0"/>
              <w:spacing w:before="157" w:beforeLines="50" w:line="360" w:lineRule="atLeast"/>
              <w:jc w:val="center"/>
              <w:rPr>
                <w:rFonts w:ascii="宋体" w:hAnsi="宋体" w:cs="宋体"/>
              </w:rPr>
            </w:pPr>
          </w:p>
        </w:tc>
        <w:tc>
          <w:tcPr>
            <w:tcW w:w="97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c>
          <w:tcPr>
            <w:tcW w:w="1617"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exact"/>
          <w:jc w:val="center"/>
        </w:trPr>
        <w:tc>
          <w:tcPr>
            <w:tcW w:w="550"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3</w:t>
            </w:r>
          </w:p>
        </w:tc>
        <w:tc>
          <w:tcPr>
            <w:tcW w:w="1824"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2541"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136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p>
            <w:pPr>
              <w:widowControl/>
              <w:spacing w:before="157" w:beforeLines="50"/>
              <w:jc w:val="left"/>
              <w:rPr>
                <w:rFonts w:ascii="宋体" w:hAnsi="宋体" w:cs="宋体"/>
              </w:rPr>
            </w:pPr>
          </w:p>
          <w:p>
            <w:pPr>
              <w:snapToGrid w:val="0"/>
              <w:spacing w:before="157" w:beforeLines="50" w:line="360" w:lineRule="atLeast"/>
              <w:jc w:val="center"/>
              <w:rPr>
                <w:rFonts w:ascii="宋体" w:hAnsi="宋体" w:cs="宋体"/>
              </w:rPr>
            </w:pPr>
          </w:p>
        </w:tc>
        <w:tc>
          <w:tcPr>
            <w:tcW w:w="782"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p>
          <w:p>
            <w:pPr>
              <w:snapToGrid w:val="0"/>
              <w:spacing w:before="157" w:beforeLines="50" w:line="360" w:lineRule="atLeast"/>
              <w:jc w:val="center"/>
              <w:rPr>
                <w:rFonts w:ascii="宋体" w:hAnsi="宋体" w:cs="宋体"/>
              </w:rPr>
            </w:pPr>
          </w:p>
        </w:tc>
        <w:tc>
          <w:tcPr>
            <w:tcW w:w="97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c>
          <w:tcPr>
            <w:tcW w:w="1617"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exact"/>
          <w:jc w:val="center"/>
        </w:trPr>
        <w:tc>
          <w:tcPr>
            <w:tcW w:w="550"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hint="eastAsia" w:ascii="宋体" w:hAnsi="宋体" w:cs="宋体"/>
              </w:rPr>
              <w:t>…</w:t>
            </w:r>
          </w:p>
        </w:tc>
        <w:tc>
          <w:tcPr>
            <w:tcW w:w="1824"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2541"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tc>
        <w:tc>
          <w:tcPr>
            <w:tcW w:w="136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p>
            <w:pPr>
              <w:widowControl/>
              <w:spacing w:before="157" w:beforeLines="50"/>
              <w:jc w:val="left"/>
              <w:rPr>
                <w:rFonts w:ascii="宋体" w:hAnsi="宋体" w:cs="宋体"/>
              </w:rPr>
            </w:pPr>
          </w:p>
          <w:p>
            <w:pPr>
              <w:snapToGrid w:val="0"/>
              <w:spacing w:before="157" w:beforeLines="50" w:line="360" w:lineRule="atLeast"/>
              <w:jc w:val="center"/>
              <w:rPr>
                <w:rFonts w:ascii="宋体" w:hAnsi="宋体" w:cs="宋体"/>
              </w:rPr>
            </w:pPr>
          </w:p>
        </w:tc>
        <w:tc>
          <w:tcPr>
            <w:tcW w:w="782"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p>
          <w:p>
            <w:pPr>
              <w:snapToGrid w:val="0"/>
              <w:spacing w:before="157" w:beforeLines="50" w:line="360" w:lineRule="atLeast"/>
              <w:jc w:val="center"/>
              <w:rPr>
                <w:rFonts w:ascii="宋体" w:hAnsi="宋体" w:cs="宋体"/>
              </w:rPr>
            </w:pPr>
          </w:p>
        </w:tc>
        <w:tc>
          <w:tcPr>
            <w:tcW w:w="978"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c>
          <w:tcPr>
            <w:tcW w:w="1617" w:type="dxa"/>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jc w:val="center"/>
              <w:rPr>
                <w:rFonts w:ascii="宋体" w:hAnsi="宋体" w:cs="宋体"/>
              </w:rPr>
            </w:pPr>
            <w:r>
              <w:rPr>
                <w:rFonts w:ascii="宋体" w:hAnsi="宋体" w:cs="宋体"/>
              </w:rPr>
              <w:t> </w:t>
            </w:r>
          </w:p>
          <w:p>
            <w:pPr>
              <w:snapToGrid w:val="0"/>
              <w:spacing w:before="157" w:beforeLines="50" w:line="360" w:lineRule="atLeast"/>
              <w:jc w:val="center"/>
              <w:rPr>
                <w:rFonts w:ascii="宋体" w:hAnsi="宋体" w:cs="宋体"/>
              </w:rPr>
            </w:pPr>
            <w:r>
              <w:rPr>
                <w:rFonts w:ascii="宋体" w:hAnsi="宋体" w:cs="宋体"/>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4" w:hRule="atLeast"/>
          <w:jc w:val="center"/>
        </w:trPr>
        <w:tc>
          <w:tcPr>
            <w:tcW w:w="9660" w:type="dxa"/>
            <w:gridSpan w:val="7"/>
            <w:tcBorders>
              <w:top w:val="single" w:color="auto" w:sz="4" w:space="0"/>
              <w:left w:val="single" w:color="auto" w:sz="4" w:space="0"/>
              <w:bottom w:val="single" w:color="auto" w:sz="4" w:space="0"/>
              <w:right w:val="single" w:color="auto" w:sz="4" w:space="0"/>
            </w:tcBorders>
            <w:vAlign w:val="center"/>
          </w:tcPr>
          <w:p>
            <w:pPr>
              <w:snapToGrid w:val="0"/>
              <w:spacing w:before="157" w:beforeLines="50" w:line="360" w:lineRule="atLeast"/>
              <w:ind w:firstLine="105" w:firstLineChars="50"/>
              <w:rPr>
                <w:rFonts w:ascii="宋体" w:hAnsi="宋体" w:cs="宋体"/>
              </w:rPr>
            </w:pPr>
            <w:r>
              <w:rPr>
                <w:rFonts w:hint="eastAsia" w:ascii="宋体" w:hAnsi="宋体" w:cs="宋体"/>
              </w:rPr>
              <w:t>投标总价（已包含价格折扣）：</w:t>
            </w:r>
          </w:p>
          <w:p>
            <w:pPr>
              <w:snapToGrid w:val="0"/>
              <w:spacing w:before="157" w:beforeLines="50" w:line="360" w:lineRule="atLeast"/>
              <w:ind w:firstLine="105" w:firstLineChars="50"/>
              <w:rPr>
                <w:rFonts w:ascii="宋体" w:hAnsi="宋体" w:cs="宋体"/>
                <w:u w:val="single"/>
              </w:rPr>
            </w:pPr>
            <w:r>
              <w:rPr>
                <w:rFonts w:hint="eastAsia" w:ascii="宋体" w:hAnsi="宋体" w:cs="宋体"/>
              </w:rPr>
              <w:t>小写：</w:t>
            </w:r>
            <w:r>
              <w:rPr>
                <w:rFonts w:hint="eastAsia" w:ascii="宋体" w:hAnsi="宋体" w:cs="宋体"/>
                <w:u w:val="single"/>
              </w:rPr>
              <w:t xml:space="preserve">                     </w:t>
            </w:r>
          </w:p>
          <w:p>
            <w:pPr>
              <w:snapToGrid w:val="0"/>
              <w:spacing w:before="157" w:beforeLines="50" w:line="360" w:lineRule="atLeast"/>
              <w:ind w:firstLine="105" w:firstLineChars="50"/>
              <w:rPr>
                <w:rFonts w:ascii="宋体" w:hAnsi="宋体" w:cs="宋体"/>
                <w:u w:val="single"/>
              </w:rPr>
            </w:pPr>
            <w:r>
              <w:rPr>
                <w:rFonts w:hint="eastAsia" w:ascii="宋体" w:hAnsi="宋体" w:cs="宋体"/>
              </w:rPr>
              <w:t>大写：</w:t>
            </w:r>
            <w:r>
              <w:rPr>
                <w:rFonts w:hint="eastAsia" w:ascii="宋体" w:hAnsi="宋体" w:cs="宋体"/>
                <w:u w:val="single"/>
              </w:rPr>
              <w:t xml:space="preserve">                     </w:t>
            </w:r>
          </w:p>
          <w:p>
            <w:pPr>
              <w:snapToGrid w:val="0"/>
              <w:spacing w:before="157" w:beforeLines="50" w:line="360" w:lineRule="atLeast"/>
              <w:jc w:val="center"/>
              <w:rPr>
                <w:rFonts w:ascii="宋体" w:hAnsi="宋体" w:cs="宋体"/>
              </w:rPr>
            </w:pPr>
            <w:r>
              <w:rPr>
                <w:rFonts w:ascii="宋体" w:hAnsi="宋体" w:cs="宋体"/>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6" w:hRule="atLeast"/>
          <w:jc w:val="center"/>
        </w:trPr>
        <w:tc>
          <w:tcPr>
            <w:tcW w:w="9660" w:type="dxa"/>
            <w:gridSpan w:val="7"/>
            <w:tcBorders>
              <w:top w:val="single" w:color="auto" w:sz="4" w:space="0"/>
              <w:left w:val="single" w:color="auto" w:sz="4" w:space="0"/>
              <w:bottom w:val="single" w:color="auto" w:sz="4" w:space="0"/>
              <w:right w:val="single" w:color="auto" w:sz="4" w:space="0"/>
            </w:tcBorders>
          </w:tcPr>
          <w:p>
            <w:pPr>
              <w:adjustRightInd w:val="0"/>
              <w:snapToGrid w:val="0"/>
              <w:spacing w:before="157" w:beforeLines="50"/>
              <w:rPr>
                <w:rFonts w:ascii="宋体" w:hAnsi="宋体" w:cs="宋体"/>
                <w:b/>
                <w:szCs w:val="21"/>
              </w:rPr>
            </w:pPr>
          </w:p>
          <w:p>
            <w:pPr>
              <w:adjustRightInd w:val="0"/>
              <w:snapToGrid w:val="0"/>
              <w:spacing w:before="157" w:beforeLines="50"/>
              <w:rPr>
                <w:rFonts w:ascii="宋体" w:hAnsi="宋体" w:cs="宋体"/>
                <w:szCs w:val="21"/>
              </w:rPr>
            </w:pPr>
            <w:r>
              <w:rPr>
                <w:rFonts w:hint="eastAsia" w:ascii="宋体" w:hAnsi="宋体" w:cs="宋体"/>
                <w:b/>
                <w:szCs w:val="21"/>
              </w:rPr>
              <w:t>投标保证金：</w:t>
            </w:r>
            <w:r>
              <w:rPr>
                <w:rFonts w:hint="eastAsia" w:ascii="宋体" w:hAnsi="宋体" w:cs="宋体"/>
                <w:szCs w:val="21"/>
              </w:rPr>
              <w:t>金额：</w:t>
            </w:r>
            <w:r>
              <w:rPr>
                <w:rFonts w:hint="eastAsia" w:ascii="宋体" w:hAnsi="宋体" w:cs="宋体"/>
                <w:szCs w:val="21"/>
                <w:u w:val="single"/>
              </w:rPr>
              <w:t xml:space="preserve">                                      </w:t>
            </w:r>
            <w:r>
              <w:rPr>
                <w:rFonts w:hint="eastAsia" w:ascii="宋体" w:hAnsi="宋体" w:cs="宋体"/>
                <w:szCs w:val="21"/>
              </w:rPr>
              <w:t xml:space="preserve"> </w:t>
            </w:r>
          </w:p>
          <w:p>
            <w:pPr>
              <w:adjustRightInd w:val="0"/>
              <w:snapToGrid w:val="0"/>
              <w:spacing w:before="157" w:beforeLines="50"/>
              <w:rPr>
                <w:rFonts w:ascii="宋体" w:hAnsi="宋体" w:cs="宋体"/>
              </w:rPr>
            </w:pPr>
            <w:r>
              <w:rPr>
                <w:rFonts w:hint="eastAsia" w:ascii="宋体" w:hAnsi="宋体" w:cs="宋体"/>
                <w:szCs w:val="21"/>
              </w:rPr>
              <w:t>交纳形式：</w:t>
            </w:r>
            <w:r>
              <w:rPr>
                <w:rFonts w:ascii="宋体" w:hAnsi="宋体" w:cs="宋体"/>
                <w:szCs w:val="21"/>
              </w:rPr>
              <w:t xml:space="preserve"> </w:t>
            </w:r>
            <w:r>
              <w:rPr>
                <w:rFonts w:hint="eastAsia" w:ascii="宋体" w:hAnsi="宋体" w:cs="宋体"/>
                <w:szCs w:val="21"/>
              </w:rPr>
              <w:t>□银行转账</w:t>
            </w:r>
            <w:r>
              <w:rPr>
                <w:rFonts w:ascii="宋体" w:hAnsi="宋体" w:cs="宋体"/>
                <w:szCs w:val="21"/>
              </w:rPr>
              <w:t xml:space="preserve">  </w:t>
            </w:r>
            <w:r>
              <w:rPr>
                <w:rFonts w:hint="eastAsia" w:ascii="宋体" w:hAnsi="宋体" w:cs="宋体"/>
                <w:szCs w:val="21"/>
              </w:rPr>
              <w:t>□银行汇票</w:t>
            </w:r>
            <w:r>
              <w:rPr>
                <w:rFonts w:ascii="宋体" w:hAnsi="宋体" w:cs="宋体"/>
                <w:szCs w:val="21"/>
              </w:rPr>
              <w:t xml:space="preserve">  </w:t>
            </w:r>
            <w:r>
              <w:rPr>
                <w:rFonts w:hint="eastAsia" w:ascii="宋体" w:hAnsi="宋体" w:cs="宋体"/>
                <w:szCs w:val="21"/>
              </w:rPr>
              <w:t>□银行电汇</w:t>
            </w:r>
            <w:r>
              <w:rPr>
                <w:rFonts w:ascii="宋体" w:hAnsi="宋体" w:cs="宋体"/>
                <w:szCs w:val="21"/>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9" w:hRule="atLeast"/>
          <w:jc w:val="center"/>
        </w:trPr>
        <w:tc>
          <w:tcPr>
            <w:tcW w:w="9660" w:type="dxa"/>
            <w:gridSpan w:val="7"/>
            <w:tcBorders>
              <w:top w:val="single" w:color="auto" w:sz="4" w:space="0"/>
              <w:left w:val="single" w:color="auto" w:sz="4" w:space="0"/>
              <w:bottom w:val="single" w:color="auto" w:sz="4" w:space="0"/>
              <w:right w:val="single" w:color="auto" w:sz="4" w:space="0"/>
            </w:tcBorders>
          </w:tcPr>
          <w:p>
            <w:pPr>
              <w:snapToGrid w:val="0"/>
              <w:spacing w:before="157" w:beforeLines="50" w:line="360" w:lineRule="atLeast"/>
              <w:rPr>
                <w:rFonts w:ascii="宋体" w:hAnsi="宋体" w:cs="宋体"/>
              </w:rPr>
            </w:pPr>
            <w:r>
              <w:rPr>
                <w:rFonts w:hint="eastAsia" w:ascii="宋体" w:hAnsi="宋体" w:cs="宋体"/>
              </w:rPr>
              <w:t>其他事项申明：</w:t>
            </w:r>
          </w:p>
        </w:tc>
      </w:tr>
    </w:tbl>
    <w:p>
      <w:pPr>
        <w:adjustRightInd w:val="0"/>
        <w:snapToGrid w:val="0"/>
        <w:spacing w:line="360" w:lineRule="auto"/>
        <w:rPr>
          <w:rFonts w:ascii="宋体" w:hAnsi="宋体"/>
          <w:b/>
          <w:color w:val="000000" w:themeColor="text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）投标人提交两份及以上投标报价不同的“开标一览表”，且未书面说明哪个有效或以哪个为准的，其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14:textFill>
            <w14:solidFill>
              <w14:schemeClr w14:val="tx1"/>
            </w14:solidFill>
          </w14:textFill>
        </w:rPr>
        <w:t>投标人在投标截止时间前修改“开标一览表”中的投标报价的，应同时修改投标文件“分项报价明细表”“享受政府采购政策优惠的证明资料”以及“联合体协议书”（如果影响）等相关内容。</w:t>
      </w:r>
    </w:p>
    <w:p>
      <w:pPr>
        <w:pStyle w:val="44"/>
        <w:ind w:left="0" w:leftChars="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w:t>
      </w:r>
      <w:r>
        <w:rPr>
          <w:rFonts w:hint="eastAsia" w:ascii="宋体" w:hAnsi="宋体"/>
          <w:b/>
          <w:bCs/>
        </w:rPr>
        <w:t>为了便于唱标，</w:t>
      </w:r>
      <w:r>
        <w:rPr>
          <w:rFonts w:hint="eastAsia" w:asciiTheme="minorEastAsia" w:hAnsiTheme="minorEastAsia" w:eastAsiaTheme="minorEastAsia"/>
          <w:b/>
          <w:bCs/>
          <w:szCs w:val="21"/>
        </w:rPr>
        <w:t>此</w:t>
      </w:r>
      <w:r>
        <w:rPr>
          <w:rFonts w:hint="eastAsia" w:asciiTheme="minorEastAsia" w:hAnsiTheme="minorEastAsia" w:eastAsiaTheme="minorEastAsia"/>
          <w:b/>
          <w:szCs w:val="21"/>
        </w:rPr>
        <w:t>表除在商务技术文件内提供之外，还需另行单独准备一份</w:t>
      </w:r>
      <w:r>
        <w:rPr>
          <w:rFonts w:hint="eastAsia" w:ascii="宋体" w:hAnsi="宋体" w:cs="宋体"/>
          <w:b/>
        </w:rPr>
        <w:t>按投标人须知21.2的规定密封，</w:t>
      </w:r>
      <w:r>
        <w:rPr>
          <w:rFonts w:hint="eastAsia" w:asciiTheme="minorEastAsia" w:hAnsiTheme="minorEastAsia" w:eastAsiaTheme="minorEastAsia"/>
          <w:b/>
          <w:szCs w:val="21"/>
        </w:rPr>
        <w:t>与投标文件同时提交。</w:t>
      </w:r>
      <w:r>
        <w:rPr>
          <w:rFonts w:hint="eastAsia" w:ascii="宋体" w:hAnsi="宋体" w:cs="宋体"/>
          <w:b/>
        </w:rPr>
        <w:t>密封袋上注明“开标一览表”字样。</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投标人名称（盖单位章）：</w:t>
      </w:r>
    </w:p>
    <w:p>
      <w:pPr>
        <w:adjustRightInd w:val="0"/>
        <w:snapToGrid w:val="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法定代表人或其授权的代理人（签字）：</w:t>
      </w:r>
      <w:r>
        <w:rPr>
          <w:rFonts w:asciiTheme="minorEastAsia" w:hAnsiTheme="minorEastAsia" w:eastAsiaTheme="minorEastAsia"/>
          <w:color w:val="000000" w:themeColor="text1"/>
          <w:szCs w:val="21"/>
          <w:u w:val="single"/>
          <w14:textFill>
            <w14:solidFill>
              <w14:schemeClr w14:val="tx1"/>
            </w14:solidFill>
          </w14:textFill>
        </w:rPr>
        <w:t xml:space="preserve">       _</w:t>
      </w: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w:t>
      </w: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p>
    <w:bookmarkEnd w:id="99"/>
    <w:p>
      <w:pPr>
        <w:pStyle w:val="7"/>
        <w:adjustRightInd w:val="0"/>
        <w:snapToGrid w:val="0"/>
        <w:spacing w:before="0" w:after="0" w:line="360" w:lineRule="auto"/>
        <w:jc w:val="center"/>
        <w:rPr>
          <w:rFonts w:ascii="黑体" w:eastAsia="黑体" w:cs="微软雅黑" w:hAnsiTheme="minorEastAsia"/>
          <w:b/>
          <w:color w:val="000000" w:themeColor="text1"/>
          <w:spacing w:val="-2"/>
          <w:kern w:val="0"/>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t>分项报价明细表</w:t>
      </w:r>
    </w:p>
    <w:p>
      <w:pPr>
        <w:autoSpaceDE w:val="0"/>
        <w:autoSpaceDN w:val="0"/>
        <w:adjustRightInd w:val="0"/>
        <w:snapToGrid w:val="0"/>
        <w:spacing w:line="360" w:lineRule="auto"/>
        <w:jc w:val="center"/>
        <w:outlineLvl w:val="0"/>
        <w:rPr>
          <w:rFonts w:ascii="黑体" w:eastAsia="黑体" w:cs="微软雅黑" w:hAnsiTheme="minorEastAsia"/>
          <w:b/>
          <w:color w:val="000000" w:themeColor="text1"/>
          <w:kern w:val="0"/>
          <w:sz w:val="28"/>
          <w:szCs w:val="28"/>
          <w14:textFill>
            <w14:solidFill>
              <w14:schemeClr w14:val="tx1"/>
            </w14:solidFill>
          </w14:textFill>
        </w:rPr>
      </w:pPr>
      <w:bookmarkStart w:id="100" w:name="_Toc88584125"/>
      <w:r>
        <w:rPr>
          <w:rFonts w:hint="eastAsia" w:ascii="黑体" w:eastAsia="黑体" w:cs="微软雅黑" w:hAnsiTheme="minorEastAsia"/>
          <w:b/>
          <w:color w:val="000000" w:themeColor="text1"/>
          <w:spacing w:val="-2"/>
          <w:kern w:val="0"/>
          <w:sz w:val="28"/>
          <w:szCs w:val="28"/>
          <w14:textFill>
            <w14:solidFill>
              <w14:schemeClr w14:val="tx1"/>
            </w14:solidFill>
          </w14:textFill>
        </w:rPr>
        <w:t>1、分</w:t>
      </w:r>
      <w:r>
        <w:rPr>
          <w:rFonts w:hint="eastAsia" w:ascii="黑体" w:eastAsia="黑体" w:cs="微软雅黑" w:hAnsiTheme="minorEastAsia"/>
          <w:b/>
          <w:color w:val="000000" w:themeColor="text1"/>
          <w:kern w:val="0"/>
          <w:sz w:val="28"/>
          <w:szCs w:val="28"/>
          <w14:textFill>
            <w14:solidFill>
              <w14:schemeClr w14:val="tx1"/>
            </w14:solidFill>
          </w14:textFill>
        </w:rPr>
        <w:t>项</w:t>
      </w:r>
      <w:r>
        <w:rPr>
          <w:rFonts w:hint="eastAsia" w:ascii="黑体" w:eastAsia="黑体" w:cs="微软雅黑" w:hAnsiTheme="minorEastAsia"/>
          <w:b/>
          <w:color w:val="000000" w:themeColor="text1"/>
          <w:spacing w:val="-2"/>
          <w:kern w:val="0"/>
          <w:sz w:val="28"/>
          <w:szCs w:val="28"/>
          <w14:textFill>
            <w14:solidFill>
              <w14:schemeClr w14:val="tx1"/>
            </w14:solidFill>
          </w14:textFill>
        </w:rPr>
        <w:t>报</w:t>
      </w:r>
      <w:r>
        <w:rPr>
          <w:rFonts w:hint="eastAsia" w:ascii="黑体" w:eastAsia="黑体" w:cs="微软雅黑" w:hAnsiTheme="minorEastAsia"/>
          <w:b/>
          <w:color w:val="000000" w:themeColor="text1"/>
          <w:kern w:val="0"/>
          <w:sz w:val="28"/>
          <w:szCs w:val="28"/>
          <w14:textFill>
            <w14:solidFill>
              <w14:schemeClr w14:val="tx1"/>
            </w14:solidFill>
          </w14:textFill>
        </w:rPr>
        <w:t>价</w:t>
      </w:r>
      <w:r>
        <w:rPr>
          <w:rFonts w:hint="eastAsia" w:ascii="黑体" w:eastAsia="黑体" w:cs="微软雅黑" w:hAnsiTheme="minorEastAsia"/>
          <w:b/>
          <w:color w:val="000000" w:themeColor="text1"/>
          <w:spacing w:val="-2"/>
          <w:kern w:val="0"/>
          <w:sz w:val="28"/>
          <w:szCs w:val="28"/>
          <w14:textFill>
            <w14:solidFill>
              <w14:schemeClr w14:val="tx1"/>
            </w14:solidFill>
          </w14:textFill>
        </w:rPr>
        <w:t>明细表</w:t>
      </w:r>
      <w:r>
        <w:rPr>
          <w:rFonts w:hint="eastAsia" w:ascii="黑体" w:eastAsia="黑体" w:cs="微软雅黑" w:hAnsiTheme="minorEastAsia"/>
          <w:b/>
          <w:color w:val="000000" w:themeColor="text1"/>
          <w:kern w:val="0"/>
          <w:sz w:val="28"/>
          <w:szCs w:val="28"/>
          <w14:textFill>
            <w14:solidFill>
              <w14:schemeClr w14:val="tx1"/>
            </w14:solidFill>
          </w14:textFill>
        </w:rPr>
        <w:t>说明</w:t>
      </w:r>
      <w:bookmarkEnd w:id="100"/>
    </w:p>
    <w:p>
      <w:pPr>
        <w:autoSpaceDE w:val="0"/>
        <w:autoSpaceDN w:val="0"/>
        <w:adjustRightInd w:val="0"/>
        <w:snapToGrid w:val="0"/>
        <w:spacing w:line="360" w:lineRule="auto"/>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备注：（1）本表应对应“开标一览表”。投标人如果不提供分项报价明细表，其投标无效。</w:t>
      </w:r>
    </w:p>
    <w:p>
      <w:pPr>
        <w:autoSpaceDE w:val="0"/>
        <w:autoSpaceDN w:val="0"/>
        <w:adjustRightInd w:val="0"/>
        <w:snapToGrid w:val="0"/>
        <w:spacing w:line="360" w:lineRule="auto"/>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（2）不得填写“免费”或“赠与”，也不得进行“零”报价，否则投标无效。</w:t>
      </w:r>
    </w:p>
    <w:p>
      <w:pPr>
        <w:autoSpaceDE w:val="0"/>
        <w:autoSpaceDN w:val="0"/>
        <w:adjustRightInd w:val="0"/>
        <w:snapToGrid w:val="0"/>
        <w:spacing w:line="360" w:lineRule="auto"/>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（3）投标人在提交投标文件的截止时间前修改“开标一览表”中的投标报价的，本表相应内容应同时修改。否则，分项报价按投标报价修改的相同比例进行调整，其风险由投标人</w:t>
      </w:r>
      <w:r>
        <w:rPr>
          <w:rFonts w:hint="eastAsia" w:cs="微软雅黑" w:asciiTheme="minorEastAsia" w:hAnsiTheme="minorEastAsia" w:eastAsiaTheme="minorEastAsia"/>
          <w:color w:val="000000" w:themeColor="text1"/>
          <w:kern w:val="0"/>
          <w:szCs w:val="21"/>
          <w:lang w:eastAsia="zh-CN"/>
          <w14:textFill>
            <w14:solidFill>
              <w14:schemeClr w14:val="tx1"/>
            </w14:solidFill>
          </w14:textFill>
        </w:rPr>
        <w:t>自己</w:t>
      </w:r>
      <w:r>
        <w:rPr>
          <w:rFonts w:hint="eastAsia" w:cs="微软雅黑" w:asciiTheme="minorEastAsia" w:hAnsiTheme="minorEastAsia" w:eastAsiaTheme="minorEastAsia"/>
          <w:color w:val="000000" w:themeColor="text1"/>
          <w:kern w:val="0"/>
          <w:szCs w:val="21"/>
          <w14:textFill>
            <w14:solidFill>
              <w14:schemeClr w14:val="tx1"/>
            </w14:solidFill>
          </w14:textFill>
        </w:rPr>
        <w:t>承担。</w:t>
      </w:r>
    </w:p>
    <w:p>
      <w:pPr>
        <w:rPr>
          <w:color w:val="000000" w:themeColor="text1"/>
          <w14:textFill>
            <w14:solidFill>
              <w14:schemeClr w14:val="tx1"/>
            </w14:solidFill>
          </w14:textFill>
        </w:rPr>
      </w:pPr>
    </w:p>
    <w:p>
      <w:pPr>
        <w:adjustRightInd w:val="0"/>
        <w:snapToGrid w:val="0"/>
        <w:spacing w:line="360" w:lineRule="auto"/>
        <w:jc w:val="center"/>
        <w:outlineLvl w:val="0"/>
        <w:rPr>
          <w:rFonts w:ascii="黑体" w:eastAsia="黑体" w:cs="微软雅黑" w:hAnsiTheme="minorEastAsia"/>
          <w:b/>
          <w:color w:val="000000" w:themeColor="text1"/>
          <w:kern w:val="0"/>
          <w:position w:val="-3"/>
          <w:sz w:val="28"/>
          <w:szCs w:val="28"/>
          <w14:textFill>
            <w14:solidFill>
              <w14:schemeClr w14:val="tx1"/>
            </w14:solidFill>
          </w14:textFill>
        </w:rPr>
      </w:pPr>
      <w:bookmarkStart w:id="101" w:name="_Toc88584126"/>
      <w:r>
        <w:rPr>
          <w:rFonts w:hint="eastAsia" w:ascii="黑体" w:eastAsia="黑体" w:cs="微软雅黑" w:hAnsiTheme="minorEastAsia"/>
          <w:b/>
          <w:color w:val="000000" w:themeColor="text1"/>
          <w:spacing w:val="-2"/>
          <w:kern w:val="0"/>
          <w:position w:val="-3"/>
          <w:sz w:val="28"/>
          <w:szCs w:val="28"/>
          <w14:textFill>
            <w14:solidFill>
              <w14:schemeClr w14:val="tx1"/>
            </w14:solidFill>
          </w14:textFill>
        </w:rPr>
        <w:t>2、分</w:t>
      </w:r>
      <w:r>
        <w:rPr>
          <w:rFonts w:hint="eastAsia" w:ascii="黑体" w:eastAsia="黑体" w:cs="微软雅黑" w:hAnsiTheme="minorEastAsia"/>
          <w:b/>
          <w:color w:val="000000" w:themeColor="text1"/>
          <w:kern w:val="0"/>
          <w:position w:val="-3"/>
          <w:sz w:val="28"/>
          <w:szCs w:val="28"/>
          <w14:textFill>
            <w14:solidFill>
              <w14:schemeClr w14:val="tx1"/>
            </w14:solidFill>
          </w14:textFill>
        </w:rPr>
        <w:t>项</w:t>
      </w:r>
      <w:r>
        <w:rPr>
          <w:rFonts w:hint="eastAsia" w:ascii="黑体" w:eastAsia="黑体" w:cs="微软雅黑" w:hAnsiTheme="minorEastAsia"/>
          <w:b/>
          <w:color w:val="000000" w:themeColor="text1"/>
          <w:spacing w:val="-2"/>
          <w:kern w:val="0"/>
          <w:position w:val="-3"/>
          <w:sz w:val="28"/>
          <w:szCs w:val="28"/>
          <w14:textFill>
            <w14:solidFill>
              <w14:schemeClr w14:val="tx1"/>
            </w14:solidFill>
          </w14:textFill>
        </w:rPr>
        <w:t>报</w:t>
      </w:r>
      <w:r>
        <w:rPr>
          <w:rFonts w:hint="eastAsia" w:ascii="黑体" w:eastAsia="黑体" w:cs="微软雅黑" w:hAnsiTheme="minorEastAsia"/>
          <w:b/>
          <w:color w:val="000000" w:themeColor="text1"/>
          <w:kern w:val="0"/>
          <w:position w:val="-3"/>
          <w:sz w:val="28"/>
          <w:szCs w:val="28"/>
          <w14:textFill>
            <w14:solidFill>
              <w14:schemeClr w14:val="tx1"/>
            </w14:solidFill>
          </w14:textFill>
        </w:rPr>
        <w:t>价明细表</w:t>
      </w:r>
      <w:bookmarkEnd w:id="101"/>
    </w:p>
    <w:p>
      <w:r>
        <w:rPr>
          <w:rFonts w:hint="eastAsia"/>
        </w:rPr>
        <w:t>采购代理编号：</w:t>
      </w:r>
      <w:r>
        <w:rPr>
          <w:rFonts w:asciiTheme="minorEastAsia" w:hAnsiTheme="minorEastAsia" w:eastAsiaTheme="minorEastAsia"/>
          <w:color w:val="000000" w:themeColor="text1"/>
          <w:szCs w:val="21"/>
          <w:u w:val="single"/>
          <w14:textFill>
            <w14:solidFill>
              <w14:schemeClr w14:val="tx1"/>
            </w14:solidFill>
          </w14:textFill>
        </w:rPr>
        <w:t xml:space="preserve">         </w:t>
      </w:r>
      <w:r>
        <w:t xml:space="preserve">                     </w:t>
      </w:r>
      <w:r>
        <w:rPr>
          <w:rFonts w:hint="eastAsia"/>
        </w:rPr>
        <w:t>项目名称：</w:t>
      </w:r>
      <w:r>
        <w:t>_____</w:t>
      </w:r>
      <w:r>
        <w:rPr>
          <w:u w:val="single"/>
        </w:rPr>
        <w:t>__    ___</w:t>
      </w:r>
      <w:r>
        <w:rPr>
          <w:rFonts w:hint="eastAsia"/>
          <w:u w:val="single"/>
        </w:rPr>
        <w:t xml:space="preserve"> </w:t>
      </w:r>
    </w:p>
    <w:p>
      <w:pPr>
        <w:adjustRightInd w:val="0"/>
        <w:snapToGrid w:val="0"/>
        <w:spacing w:line="360" w:lineRule="auto"/>
        <w:rPr>
          <w:rFonts w:hint="eastAsia" w:asciiTheme="minorEastAsia" w:hAnsiTheme="minorEastAsia" w:eastAsiaTheme="minorEastAsia"/>
          <w:color w:val="000000" w:themeColor="text1"/>
          <w:szCs w:val="21"/>
          <w14:textFill>
            <w14:solidFill>
              <w14:schemeClr w14:val="tx1"/>
            </w14:solidFill>
          </w14:textFill>
        </w:rPr>
      </w:pPr>
    </w:p>
    <w:p>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金额单位：人民币元</w:t>
      </w:r>
    </w:p>
    <w:tbl>
      <w:tblPr>
        <w:tblStyle w:val="46"/>
        <w:tblpPr w:leftFromText="180" w:rightFromText="180" w:vertAnchor="text" w:horzAnchor="page" w:tblpX="1235" w:tblpY="113"/>
        <w:tblOverlap w:val="never"/>
        <w:tblW w:w="96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43"/>
        <w:gridCol w:w="1007"/>
        <w:gridCol w:w="721"/>
        <w:gridCol w:w="1020"/>
        <w:gridCol w:w="1254"/>
        <w:gridCol w:w="996"/>
        <w:gridCol w:w="720"/>
        <w:gridCol w:w="646"/>
        <w:gridCol w:w="802"/>
        <w:gridCol w:w="960"/>
        <w:gridCol w:w="95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3" w:hRule="atLeast"/>
        </w:trPr>
        <w:tc>
          <w:tcPr>
            <w:tcW w:w="543" w:type="dxa"/>
            <w:tcBorders>
              <w:top w:val="single" w:color="auto" w:sz="12" w:space="0"/>
              <w:left w:val="single" w:color="auto" w:sz="12"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1</w:t>
            </w:r>
          </w:p>
        </w:tc>
        <w:tc>
          <w:tcPr>
            <w:tcW w:w="1007"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2</w:t>
            </w:r>
          </w:p>
        </w:tc>
        <w:tc>
          <w:tcPr>
            <w:tcW w:w="721"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3</w:t>
            </w:r>
          </w:p>
        </w:tc>
        <w:tc>
          <w:tcPr>
            <w:tcW w:w="1020"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4</w:t>
            </w:r>
          </w:p>
        </w:tc>
        <w:tc>
          <w:tcPr>
            <w:tcW w:w="1254"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5</w:t>
            </w:r>
          </w:p>
        </w:tc>
        <w:tc>
          <w:tcPr>
            <w:tcW w:w="996"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6</w:t>
            </w:r>
          </w:p>
        </w:tc>
        <w:tc>
          <w:tcPr>
            <w:tcW w:w="720"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7</w:t>
            </w:r>
          </w:p>
        </w:tc>
        <w:tc>
          <w:tcPr>
            <w:tcW w:w="646"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8</w:t>
            </w:r>
          </w:p>
        </w:tc>
        <w:tc>
          <w:tcPr>
            <w:tcW w:w="802"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9</w:t>
            </w:r>
          </w:p>
        </w:tc>
        <w:tc>
          <w:tcPr>
            <w:tcW w:w="960" w:type="dxa"/>
            <w:tcBorders>
              <w:top w:val="single" w:color="auto" w:sz="12"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ascii="宋体" w:hAnsi="宋体" w:cs="宋体"/>
                <w:szCs w:val="21"/>
              </w:rPr>
              <w:t>10</w:t>
            </w:r>
          </w:p>
        </w:tc>
        <w:tc>
          <w:tcPr>
            <w:tcW w:w="959" w:type="dxa"/>
            <w:tcBorders>
              <w:top w:val="single" w:color="auto" w:sz="12" w:space="0"/>
              <w:left w:val="single" w:color="auto" w:sz="6" w:space="0"/>
              <w:bottom w:val="single" w:color="auto" w:sz="6" w:space="0"/>
              <w:right w:val="single" w:color="auto" w:sz="12" w:space="0"/>
            </w:tcBorders>
            <w:shd w:val="clear" w:color="auto" w:fill="auto"/>
          </w:tcPr>
          <w:p>
            <w:pPr>
              <w:pStyle w:val="176"/>
              <w:widowControl/>
              <w:jc w:val="center"/>
              <w:rPr>
                <w:rFonts w:ascii="宋体" w:cs="宋体"/>
                <w:szCs w:val="21"/>
              </w:rPr>
            </w:pPr>
            <w:r>
              <w:rPr>
                <w:rFonts w:ascii="宋体" w:hAnsi="宋体" w:cs="宋体"/>
                <w:szCs w:val="21"/>
              </w:rPr>
              <w:t>11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543" w:type="dxa"/>
            <w:tcBorders>
              <w:top w:val="single" w:color="auto" w:sz="6" w:space="0"/>
              <w:left w:val="single" w:color="auto" w:sz="12"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序号</w:t>
            </w:r>
          </w:p>
        </w:tc>
        <w:tc>
          <w:tcPr>
            <w:tcW w:w="1007"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货物名称</w:t>
            </w:r>
          </w:p>
        </w:tc>
        <w:tc>
          <w:tcPr>
            <w:tcW w:w="721"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品牌</w:t>
            </w:r>
          </w:p>
        </w:tc>
        <w:tc>
          <w:tcPr>
            <w:tcW w:w="10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型号规格</w:t>
            </w: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制造厂商名称</w:t>
            </w: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szCs w:val="21"/>
              </w:rPr>
            </w:pPr>
            <w:r>
              <w:rPr>
                <w:rFonts w:hint="eastAsia" w:ascii="宋体" w:hAnsi="宋体" w:cs="宋体"/>
                <w:szCs w:val="21"/>
              </w:rPr>
              <w:t>中小</w:t>
            </w:r>
          </w:p>
          <w:p>
            <w:pPr>
              <w:pStyle w:val="176"/>
              <w:widowControl/>
              <w:jc w:val="center"/>
              <w:rPr>
                <w:rFonts w:ascii="宋体" w:cs="宋体"/>
                <w:b/>
              </w:rPr>
            </w:pPr>
            <w:r>
              <w:rPr>
                <w:rFonts w:hint="eastAsia" w:ascii="宋体" w:hAnsi="宋体" w:cs="宋体"/>
                <w:szCs w:val="21"/>
              </w:rPr>
              <w:t>企业</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单价</w:t>
            </w: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数量</w:t>
            </w: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合计</w:t>
            </w: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rPr>
            </w:pPr>
            <w:r>
              <w:rPr>
                <w:rFonts w:hint="eastAsia" w:ascii="宋体" w:hAnsi="宋体" w:cs="宋体"/>
                <w:szCs w:val="21"/>
              </w:rPr>
              <w:t>政策功能编码</w:t>
            </w:r>
          </w:p>
        </w:tc>
        <w:tc>
          <w:tcPr>
            <w:tcW w:w="959" w:type="dxa"/>
            <w:tcBorders>
              <w:top w:val="single" w:color="auto" w:sz="6" w:space="0"/>
              <w:left w:val="single" w:color="auto" w:sz="6" w:space="0"/>
              <w:bottom w:val="single" w:color="auto" w:sz="6" w:space="0"/>
              <w:right w:val="single" w:color="auto" w:sz="12" w:space="0"/>
            </w:tcBorders>
            <w:shd w:val="clear" w:color="auto" w:fill="auto"/>
            <w:vAlign w:val="center"/>
          </w:tcPr>
          <w:p>
            <w:pPr>
              <w:pStyle w:val="176"/>
              <w:widowControl/>
              <w:jc w:val="center"/>
              <w:rPr>
                <w:rFonts w:ascii="宋体" w:cs="宋体"/>
                <w:szCs w:val="21"/>
              </w:rPr>
            </w:pPr>
            <w:r>
              <w:rPr>
                <w:rFonts w:hint="eastAsia" w:ascii="宋体" w:hAnsi="宋体" w:cs="宋体"/>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543" w:type="dxa"/>
            <w:tcBorders>
              <w:top w:val="single" w:color="auto" w:sz="6" w:space="0"/>
              <w:left w:val="single" w:color="auto" w:sz="12"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07"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1"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59" w:type="dxa"/>
            <w:tcBorders>
              <w:top w:val="single" w:color="auto" w:sz="6" w:space="0"/>
              <w:left w:val="single" w:color="auto" w:sz="6" w:space="0"/>
              <w:bottom w:val="single" w:color="auto" w:sz="6" w:space="0"/>
              <w:right w:val="single" w:color="auto" w:sz="12" w:space="0"/>
            </w:tcBorders>
            <w:shd w:val="clear" w:color="auto" w:fill="auto"/>
          </w:tcPr>
          <w:p>
            <w:pPr>
              <w:pStyle w:val="176"/>
              <w:widowControl/>
              <w:jc w:val="center"/>
              <w:rPr>
                <w:rFonts w:ascii="宋体" w:cs="宋体"/>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543" w:type="dxa"/>
            <w:tcBorders>
              <w:top w:val="single" w:color="auto" w:sz="6" w:space="0"/>
              <w:left w:val="single" w:color="auto" w:sz="12"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07"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1"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59" w:type="dxa"/>
            <w:tcBorders>
              <w:top w:val="single" w:color="auto" w:sz="6" w:space="0"/>
              <w:left w:val="single" w:color="auto" w:sz="6" w:space="0"/>
              <w:bottom w:val="single" w:color="auto" w:sz="6" w:space="0"/>
              <w:right w:val="single" w:color="auto" w:sz="12" w:space="0"/>
            </w:tcBorders>
            <w:shd w:val="clear" w:color="auto" w:fill="auto"/>
          </w:tcPr>
          <w:p>
            <w:pPr>
              <w:pStyle w:val="176"/>
              <w:widowControl/>
              <w:jc w:val="center"/>
              <w:rPr>
                <w:rFonts w:ascii="宋体" w:cs="宋体"/>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543" w:type="dxa"/>
            <w:tcBorders>
              <w:top w:val="single" w:color="auto" w:sz="6" w:space="0"/>
              <w:left w:val="single" w:color="auto" w:sz="12"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07"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1"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59" w:type="dxa"/>
            <w:tcBorders>
              <w:top w:val="single" w:color="auto" w:sz="6" w:space="0"/>
              <w:left w:val="single" w:color="auto" w:sz="6" w:space="0"/>
              <w:bottom w:val="single" w:color="auto" w:sz="6" w:space="0"/>
              <w:right w:val="single" w:color="auto" w:sz="12" w:space="0"/>
            </w:tcBorders>
            <w:shd w:val="clear" w:color="auto" w:fill="auto"/>
          </w:tcPr>
          <w:p>
            <w:pPr>
              <w:pStyle w:val="176"/>
              <w:widowControl/>
              <w:jc w:val="center"/>
              <w:rPr>
                <w:rFonts w:ascii="宋体" w:cs="宋体"/>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543" w:type="dxa"/>
            <w:tcBorders>
              <w:top w:val="single" w:color="auto" w:sz="6" w:space="0"/>
              <w:left w:val="single" w:color="auto" w:sz="12"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07"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1"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59" w:type="dxa"/>
            <w:tcBorders>
              <w:top w:val="single" w:color="auto" w:sz="6" w:space="0"/>
              <w:left w:val="single" w:color="auto" w:sz="6" w:space="0"/>
              <w:bottom w:val="single" w:color="auto" w:sz="6" w:space="0"/>
              <w:right w:val="single" w:color="auto" w:sz="12" w:space="0"/>
            </w:tcBorders>
            <w:shd w:val="clear" w:color="auto" w:fill="auto"/>
          </w:tcPr>
          <w:p>
            <w:pPr>
              <w:pStyle w:val="176"/>
              <w:widowControl/>
              <w:jc w:val="center"/>
              <w:rPr>
                <w:rFonts w:ascii="宋体" w:cs="宋体"/>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543" w:type="dxa"/>
            <w:tcBorders>
              <w:top w:val="single" w:color="auto" w:sz="6" w:space="0"/>
              <w:left w:val="single" w:color="auto" w:sz="12"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07"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1"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0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pPr>
              <w:pStyle w:val="176"/>
              <w:widowControl/>
              <w:jc w:val="center"/>
              <w:rPr>
                <w:rFonts w:ascii="宋体" w:cs="宋体"/>
                <w:b/>
                <w:szCs w:val="21"/>
              </w:rPr>
            </w:pPr>
          </w:p>
        </w:tc>
        <w:tc>
          <w:tcPr>
            <w:tcW w:w="959" w:type="dxa"/>
            <w:tcBorders>
              <w:top w:val="single" w:color="auto" w:sz="6" w:space="0"/>
              <w:left w:val="single" w:color="auto" w:sz="6" w:space="0"/>
              <w:bottom w:val="single" w:color="auto" w:sz="6" w:space="0"/>
              <w:right w:val="single" w:color="auto" w:sz="12" w:space="0"/>
            </w:tcBorders>
            <w:shd w:val="clear" w:color="auto" w:fill="auto"/>
          </w:tcPr>
          <w:p>
            <w:pPr>
              <w:pStyle w:val="176"/>
              <w:widowControl/>
              <w:jc w:val="center"/>
              <w:rPr>
                <w:rFonts w:ascii="宋体" w:cs="宋体"/>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43" w:type="dxa"/>
            <w:tcBorders>
              <w:top w:val="single" w:color="auto" w:sz="6" w:space="0"/>
              <w:left w:val="single" w:color="auto" w:sz="12"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p>
        </w:tc>
        <w:tc>
          <w:tcPr>
            <w:tcW w:w="1007"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hint="eastAsia" w:ascii="宋体" w:hAnsi="宋体" w:cs="宋体"/>
                <w:szCs w:val="21"/>
              </w:rPr>
              <w:t>合计</w:t>
            </w:r>
          </w:p>
        </w:tc>
        <w:tc>
          <w:tcPr>
            <w:tcW w:w="721"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ascii="宋体" w:hAnsi="宋体" w:cs="宋体"/>
                <w:b/>
                <w:szCs w:val="21"/>
              </w:rPr>
              <w:t>/</w:t>
            </w:r>
          </w:p>
        </w:tc>
        <w:tc>
          <w:tcPr>
            <w:tcW w:w="1020"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ascii="宋体" w:hAnsi="宋体" w:cs="宋体"/>
                <w:b/>
                <w:szCs w:val="21"/>
              </w:rPr>
              <w:t>/</w:t>
            </w:r>
          </w:p>
        </w:tc>
        <w:tc>
          <w:tcPr>
            <w:tcW w:w="1254"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ascii="宋体" w:hAnsi="宋体" w:cs="宋体"/>
                <w:b/>
                <w:szCs w:val="21"/>
              </w:rPr>
              <w:t>/</w:t>
            </w:r>
          </w:p>
        </w:tc>
        <w:tc>
          <w:tcPr>
            <w:tcW w:w="996"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ascii="宋体" w:hAnsi="宋体" w:cs="宋体"/>
                <w:b/>
                <w:szCs w:val="21"/>
              </w:rPr>
              <w:t>/</w:t>
            </w:r>
          </w:p>
        </w:tc>
        <w:tc>
          <w:tcPr>
            <w:tcW w:w="720"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ascii="宋体" w:hAnsi="宋体" w:cs="宋体"/>
                <w:b/>
                <w:szCs w:val="21"/>
              </w:rPr>
              <w:t>/</w:t>
            </w:r>
          </w:p>
        </w:tc>
        <w:tc>
          <w:tcPr>
            <w:tcW w:w="646"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ascii="宋体" w:hAnsi="宋体" w:cs="宋体"/>
                <w:b/>
                <w:szCs w:val="21"/>
              </w:rPr>
              <w:t>/</w:t>
            </w:r>
          </w:p>
        </w:tc>
        <w:tc>
          <w:tcPr>
            <w:tcW w:w="802"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p>
        </w:tc>
        <w:tc>
          <w:tcPr>
            <w:tcW w:w="960" w:type="dxa"/>
            <w:tcBorders>
              <w:top w:val="single" w:color="auto" w:sz="6" w:space="0"/>
              <w:left w:val="single" w:color="auto" w:sz="6" w:space="0"/>
              <w:bottom w:val="single" w:color="auto" w:sz="12" w:space="0"/>
              <w:right w:val="single" w:color="auto" w:sz="6" w:space="0"/>
            </w:tcBorders>
            <w:shd w:val="clear" w:color="auto" w:fill="auto"/>
            <w:vAlign w:val="center"/>
          </w:tcPr>
          <w:p>
            <w:pPr>
              <w:pStyle w:val="176"/>
              <w:widowControl/>
              <w:jc w:val="center"/>
              <w:rPr>
                <w:rFonts w:ascii="宋体" w:cs="宋体"/>
                <w:b/>
                <w:szCs w:val="21"/>
              </w:rPr>
            </w:pPr>
            <w:r>
              <w:rPr>
                <w:rFonts w:ascii="宋体" w:hAnsi="宋体" w:cs="宋体"/>
                <w:b/>
                <w:szCs w:val="21"/>
              </w:rPr>
              <w:t>/</w:t>
            </w:r>
          </w:p>
        </w:tc>
        <w:tc>
          <w:tcPr>
            <w:tcW w:w="959" w:type="dxa"/>
            <w:tcBorders>
              <w:top w:val="single" w:color="auto" w:sz="6" w:space="0"/>
              <w:left w:val="single" w:color="auto" w:sz="6" w:space="0"/>
              <w:bottom w:val="single" w:color="auto" w:sz="12" w:space="0"/>
              <w:right w:val="single" w:color="auto" w:sz="12" w:space="0"/>
            </w:tcBorders>
            <w:shd w:val="clear" w:color="auto" w:fill="auto"/>
          </w:tcPr>
          <w:p>
            <w:pPr>
              <w:pStyle w:val="176"/>
              <w:widowControl/>
              <w:jc w:val="center"/>
              <w:rPr>
                <w:rFonts w:ascii="宋体" w:cs="宋体"/>
                <w:b/>
                <w:szCs w:val="21"/>
              </w:rPr>
            </w:pPr>
          </w:p>
        </w:tc>
      </w:tr>
    </w:tbl>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本表应对应</w:t>
      </w:r>
      <w:r>
        <w:rPr>
          <w:rFonts w:hint="eastAsia" w:ascii="宋体" w:hAnsi="宋体"/>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开标一览表</w:t>
      </w:r>
      <w:r>
        <w:rPr>
          <w:rFonts w:hint="eastAsia" w:ascii="宋体" w:hAnsi="宋体"/>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，按包填写</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投标人如果不提供分项报价明细表，其投标无效。</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不得填写“免费”或“赠与”，也不得进行“零”报价，否则投标无效。</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3</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投标人在提交投标文件的截止时间前修改“开标一览表”中的投标报价的，本表相应内容应同时修改。否则，分项报价按投标报价修改的相同比例进行调整，其风险由投标人</w:t>
      </w:r>
      <w:r>
        <w:rPr>
          <w:rFonts w:hint="eastAsia" w:ascii="宋体" w:hAnsi="宋体"/>
          <w:color w:val="000000" w:themeColor="text1"/>
          <w:szCs w:val="21"/>
          <w:lang w:eastAsia="zh-CN"/>
          <w14:textFill>
            <w14:solidFill>
              <w14:schemeClr w14:val="tx1"/>
            </w14:solidFill>
          </w14:textFill>
        </w:rPr>
        <w:t>自己</w:t>
      </w:r>
      <w:r>
        <w:rPr>
          <w:rFonts w:hint="eastAsia" w:ascii="宋体" w:hAnsi="宋体"/>
          <w:color w:val="000000" w:themeColor="text1"/>
          <w:szCs w:val="21"/>
          <w14:textFill>
            <w14:solidFill>
              <w14:schemeClr w14:val="tx1"/>
            </w14:solidFill>
          </w14:textFill>
        </w:rPr>
        <w:t>承担。</w:t>
      </w:r>
    </w:p>
    <w:p>
      <w:pPr>
        <w:adjustRightInd w:val="0"/>
        <w:snapToGrid w:val="0"/>
        <w:spacing w:line="360" w:lineRule="auto"/>
        <w:rPr>
          <w:rFonts w:ascii="宋体" w:hAnsi="宋体"/>
          <w:color w:val="000000" w:themeColor="text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7"/>
        <w:adjustRightInd w:val="0"/>
        <w:snapToGrid w:val="0"/>
        <w:spacing w:before="0" w:after="0" w:line="360" w:lineRule="auto"/>
        <w:jc w:val="center"/>
        <w:rPr>
          <w:rFonts w:eastAsia="Times New Roman"/>
          <w:kern w:val="0"/>
          <w:sz w:val="24"/>
          <w:szCs w:val="24"/>
        </w:rPr>
      </w:pPr>
      <w:r>
        <w:rPr>
          <w:rFonts w:hint="eastAsia" w:ascii="黑体" w:hAnsi="宋体" w:eastAsia="黑体"/>
          <w:color w:val="000000" w:themeColor="text1"/>
          <w:sz w:val="28"/>
          <w:szCs w:val="28"/>
          <w14:textFill>
            <w14:solidFill>
              <w14:schemeClr w14:val="tx1"/>
            </w14:solidFill>
          </w14:textFill>
        </w:rPr>
        <w:t>七、</w:t>
      </w:r>
      <w:r>
        <w:rPr>
          <w:rFonts w:hint="eastAsia" w:ascii="宋体" w:hAnsi="宋体" w:cs="宋体"/>
          <w:kern w:val="0"/>
          <w:szCs w:val="24"/>
        </w:rPr>
        <w:t>商务响应偏离表</w:t>
      </w:r>
    </w:p>
    <w:p>
      <w:pPr>
        <w:adjustRightInd w:val="0"/>
        <w:snapToGrid w:val="0"/>
        <w:rPr>
          <w:rFonts w:ascii="宋体" w:hAnsi="宋体" w:eastAsiaTheme="minorEastAsia"/>
          <w:spacing w:val="28"/>
          <w:szCs w:val="21"/>
        </w:rPr>
      </w:pPr>
    </w:p>
    <w:p>
      <w:r>
        <w:rPr>
          <w:rFonts w:hint="eastAsia"/>
        </w:rPr>
        <w:t>采购代理编号：</w:t>
      </w:r>
      <w:r>
        <w:rPr>
          <w:rFonts w:asciiTheme="minorEastAsia" w:hAnsiTheme="minorEastAsia" w:eastAsiaTheme="minorEastAsia"/>
          <w:color w:val="000000" w:themeColor="text1"/>
          <w:szCs w:val="21"/>
          <w:u w:val="single"/>
          <w14:textFill>
            <w14:solidFill>
              <w14:schemeClr w14:val="tx1"/>
            </w14:solidFill>
          </w14:textFill>
        </w:rPr>
        <w:t xml:space="preserve">         </w:t>
      </w:r>
      <w:r>
        <w:t xml:space="preserve">                     </w:t>
      </w:r>
      <w:r>
        <w:rPr>
          <w:rFonts w:hint="eastAsia"/>
        </w:rPr>
        <w:t>项目名称：</w:t>
      </w:r>
      <w:r>
        <w:t>_____</w:t>
      </w:r>
      <w:r>
        <w:rPr>
          <w:u w:val="single"/>
        </w:rPr>
        <w:t>__    ___</w:t>
      </w:r>
      <w:r>
        <w:rPr>
          <w:rFonts w:hint="eastAsia"/>
          <w:u w:val="single"/>
        </w:rPr>
        <w:t xml:space="preserve"> </w:t>
      </w:r>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171"/>
        <w:gridCol w:w="3094"/>
        <w:gridCol w:w="3272"/>
        <w:gridCol w:w="1715"/>
        <w:gridCol w:w="12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1171" w:type="dxa"/>
            <w:tcBorders>
              <w:top w:val="double" w:color="auto" w:sz="4"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bCs/>
                <w:szCs w:val="21"/>
              </w:rPr>
              <w:t>序</w:t>
            </w:r>
            <w:r>
              <w:rPr>
                <w:rFonts w:hint="eastAsia" w:ascii="宋体" w:hAnsi="宋体"/>
                <w:szCs w:val="21"/>
              </w:rPr>
              <w:t>号</w:t>
            </w:r>
          </w:p>
        </w:tc>
        <w:tc>
          <w:tcPr>
            <w:tcW w:w="3094" w:type="dxa"/>
            <w:tcBorders>
              <w:top w:val="double" w:color="auto" w:sz="4"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szCs w:val="21"/>
              </w:rPr>
              <w:t>招标文件章节</w:t>
            </w:r>
            <w:r>
              <w:rPr>
                <w:rFonts w:hint="eastAsia" w:ascii="宋体" w:hAnsi="宋体"/>
                <w:bCs/>
                <w:szCs w:val="21"/>
              </w:rPr>
              <w:t>和条</w:t>
            </w:r>
            <w:r>
              <w:rPr>
                <w:rFonts w:hint="eastAsia" w:ascii="宋体" w:hAnsi="宋体"/>
                <w:szCs w:val="21"/>
              </w:rPr>
              <w:t>款号</w:t>
            </w:r>
          </w:p>
        </w:tc>
        <w:tc>
          <w:tcPr>
            <w:tcW w:w="3272" w:type="dxa"/>
            <w:tcBorders>
              <w:top w:val="double" w:color="auto" w:sz="4"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szCs w:val="21"/>
              </w:rPr>
              <w:t>投标文件章节</w:t>
            </w:r>
            <w:r>
              <w:rPr>
                <w:rFonts w:hint="eastAsia" w:ascii="宋体" w:hAnsi="宋体"/>
                <w:bCs/>
                <w:szCs w:val="21"/>
              </w:rPr>
              <w:t>和条</w:t>
            </w:r>
            <w:r>
              <w:rPr>
                <w:rFonts w:hint="eastAsia" w:ascii="宋体" w:hAnsi="宋体"/>
                <w:szCs w:val="21"/>
              </w:rPr>
              <w:t>款号</w:t>
            </w:r>
          </w:p>
        </w:tc>
        <w:tc>
          <w:tcPr>
            <w:tcW w:w="1715" w:type="dxa"/>
            <w:tcBorders>
              <w:top w:val="double" w:color="auto" w:sz="4"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szCs w:val="21"/>
              </w:rPr>
              <w:t>响应/偏离</w:t>
            </w:r>
          </w:p>
        </w:tc>
        <w:tc>
          <w:tcPr>
            <w:tcW w:w="1270" w:type="dxa"/>
            <w:tcBorders>
              <w:top w:val="double" w:color="auto" w:sz="4"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r>
              <w:rPr>
                <w:rFonts w:hint="eastAsia" w:ascii="宋体" w:hAnsi="宋体"/>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double" w:color="auto" w:sz="4" w:space="0"/>
              <w:right w:val="double" w:color="auto" w:sz="4" w:space="0"/>
            </w:tcBorders>
            <w:vAlign w:val="center"/>
          </w:tcPr>
          <w:p>
            <w:pPr>
              <w:adjustRightInd w:val="0"/>
              <w:snapToGrid w:val="0"/>
              <w:ind w:left="-88" w:leftChars="-42"/>
              <w:jc w:val="center"/>
              <w:rPr>
                <w:rFonts w:ascii="宋体" w:hAnsi="宋体"/>
                <w:szCs w:val="21"/>
              </w:rPr>
            </w:pPr>
          </w:p>
        </w:tc>
      </w:tr>
    </w:tbl>
    <w:p>
      <w:pPr>
        <w:adjustRightInd w:val="0"/>
        <w:snapToGrid w:val="0"/>
        <w:ind w:left="-88" w:leftChars="-42"/>
        <w:rPr>
          <w:rFonts w:ascii="仿宋_GB2312" w:hAnsi="宋体" w:eastAsia="仿宋_GB2312"/>
          <w:b/>
          <w:szCs w:val="21"/>
        </w:rPr>
      </w:pPr>
    </w:p>
    <w:p>
      <w:pPr>
        <w:adjustRightInd w:val="0"/>
        <w:snapToGrid w:val="0"/>
        <w:ind w:left="-88" w:leftChars="-42"/>
        <w:rPr>
          <w:rFonts w:ascii="仿宋_GB2312" w:hAnsi="宋体" w:eastAsia="仿宋_GB2312"/>
          <w:szCs w:val="21"/>
        </w:rPr>
      </w:pPr>
      <w:r>
        <w:rPr>
          <w:rFonts w:hint="eastAsia" w:ascii="仿宋_GB2312" w:hAnsi="宋体" w:eastAsia="仿宋_GB2312"/>
          <w:b/>
          <w:szCs w:val="21"/>
        </w:rPr>
        <w:t>备注</w:t>
      </w:r>
      <w:r>
        <w:rPr>
          <w:rFonts w:hint="eastAsia" w:ascii="仿宋_GB2312" w:hAnsi="宋体" w:eastAsia="仿宋_GB2312"/>
          <w:szCs w:val="21"/>
        </w:rPr>
        <w:t>：“响应/偏离”栏应注明“响应”或“偏离”。</w:t>
      </w:r>
    </w:p>
    <w:p>
      <w:pPr>
        <w:adjustRightInd w:val="0"/>
        <w:snapToGrid w:val="0"/>
        <w:spacing w:before="50" w:line="360" w:lineRule="auto"/>
        <w:rPr>
          <w:rFonts w:ascii="宋体" w:hAnsi="宋体"/>
          <w:sz w:val="24"/>
          <w:szCs w:val="21"/>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8"/>
        <w:tabs>
          <w:tab w:val="left" w:pos="6208"/>
        </w:tabs>
        <w:adjustRightInd w:val="0"/>
        <w:snapToGrid w:val="0"/>
        <w:spacing w:line="360" w:lineRule="auto"/>
        <w:ind w:left="-88" w:leftChars="-42"/>
        <w:rPr>
          <w:rFonts w:ascii="宋体" w:hAnsi="宋体"/>
          <w:bCs/>
          <w:color w:val="000000" w:themeColor="text1"/>
          <w:sz w:val="2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rPr>
          <w:color w:val="000000" w:themeColor="text1"/>
          <w14:textFill>
            <w14:solidFill>
              <w14:schemeClr w14:val="tx1"/>
            </w14:solidFill>
          </w14:textFill>
        </w:rPr>
      </w:pPr>
    </w:p>
    <w:p>
      <w:pPr>
        <w:adjustRightInd w:val="0"/>
        <w:snapToGrid w:val="0"/>
        <w:spacing w:line="360" w:lineRule="auto"/>
        <w:rPr>
          <w:color w:val="000000" w:themeColor="text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p>
    <w:p>
      <w:pPr>
        <w:adjustRightInd w:val="0"/>
        <w:snapToGrid w:val="0"/>
        <w:spacing w:line="360" w:lineRule="auto"/>
        <w:rPr>
          <w:rFonts w:ascii="宋体" w:hAnsi="宋体"/>
          <w:color w:val="000000" w:themeColor="text1"/>
          <w:szCs w:val="21"/>
          <w14:textFill>
            <w14:solidFill>
              <w14:schemeClr w14:val="tx1"/>
            </w14:solidFill>
          </w14:textFill>
        </w:rPr>
      </w:pPr>
    </w:p>
    <w:p>
      <w:pPr>
        <w:adjustRightInd w:val="0"/>
        <w:snapToGrid w:val="0"/>
        <w:spacing w:line="360" w:lineRule="auto"/>
        <w:rPr>
          <w:rFonts w:ascii="黑体" w:hAnsi="宋体" w:eastAsia="黑体"/>
          <w:color w:val="000000" w:themeColor="text1"/>
          <w:sz w:val="28"/>
          <w:szCs w:val="28"/>
          <w14:textFill>
            <w14:solidFill>
              <w14:schemeClr w14:val="tx1"/>
            </w14:solidFill>
          </w14:textFill>
        </w:rPr>
        <w:sectPr>
          <w:headerReference r:id="rId11" w:type="first"/>
          <w:headerReference r:id="rId10" w:type="even"/>
          <w:pgSz w:w="11905" w:h="16838"/>
          <w:pgMar w:top="1327" w:right="1327" w:bottom="1327" w:left="1440" w:header="851" w:footer="992" w:gutter="0"/>
          <w:cols w:space="0" w:num="1"/>
          <w:docGrid w:type="lines" w:linePitch="315" w:charSpace="0"/>
        </w:sectPr>
      </w:pP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102" w:name="_Toc88555070"/>
      <w:r>
        <w:rPr>
          <w:rFonts w:hint="eastAsia" w:ascii="黑体" w:hAnsi="宋体" w:eastAsia="黑体"/>
          <w:color w:val="000000" w:themeColor="text1"/>
          <w:sz w:val="28"/>
          <w:szCs w:val="28"/>
          <w14:textFill>
            <w14:solidFill>
              <w14:schemeClr w14:val="tx1"/>
            </w14:solidFill>
          </w14:textFill>
        </w:rPr>
        <w:t>八</w:t>
      </w:r>
      <w:r>
        <w:rPr>
          <w:rFonts w:ascii="黑体" w:hAnsi="宋体" w:eastAsia="黑体"/>
          <w:color w:val="000000" w:themeColor="text1"/>
          <w:sz w:val="28"/>
          <w:szCs w:val="28"/>
          <w14:textFill>
            <w14:solidFill>
              <w14:schemeClr w14:val="tx1"/>
            </w14:solidFill>
          </w14:textFill>
        </w:rPr>
        <w:t>、享受政府采购政策优惠的证明资料和清单表</w:t>
      </w:r>
      <w:bookmarkEnd w:id="102"/>
    </w:p>
    <w:p>
      <w:pPr>
        <w:adjustRightInd w:val="0"/>
        <w:snapToGrid w:val="0"/>
        <w:spacing w:line="360" w:lineRule="auto"/>
        <w:rPr>
          <w:rFonts w:ascii="黑体" w:hAnsi="华文中宋" w:eastAsia="黑体" w:cs="宋体"/>
          <w:bCs/>
          <w:spacing w:val="6"/>
          <w:kern w:val="0"/>
          <w:sz w:val="24"/>
          <w:szCs w:val="21"/>
        </w:rPr>
      </w:pPr>
    </w:p>
    <w:p>
      <w:pPr>
        <w:adjustRightInd w:val="0"/>
        <w:snapToGrid w:val="0"/>
        <w:spacing w:line="360" w:lineRule="auto"/>
        <w:ind w:firstLine="504" w:firstLineChars="200"/>
        <w:rPr>
          <w:rFonts w:ascii="黑体" w:hAnsi="华文中宋" w:eastAsia="黑体" w:cs="宋体"/>
          <w:bCs/>
          <w:spacing w:val="6"/>
          <w:kern w:val="0"/>
          <w:sz w:val="24"/>
          <w:szCs w:val="21"/>
        </w:rPr>
      </w:pPr>
    </w:p>
    <w:p>
      <w:pPr>
        <w:adjustRightInd w:val="0"/>
        <w:snapToGrid w:val="0"/>
        <w:spacing w:line="360" w:lineRule="auto"/>
        <w:rPr>
          <w:rFonts w:ascii="黑体" w:hAnsi="华文中宋" w:eastAsia="黑体" w:cs="宋体"/>
          <w:bCs/>
          <w:spacing w:val="6"/>
          <w:kern w:val="0"/>
          <w:sz w:val="24"/>
          <w:szCs w:val="21"/>
        </w:rPr>
      </w:pPr>
      <w:r>
        <w:rPr>
          <w:rFonts w:hint="eastAsia" w:ascii="黑体" w:hAnsi="华文中宋" w:eastAsia="黑体" w:cs="宋体"/>
          <w:bCs/>
          <w:spacing w:val="6"/>
          <w:kern w:val="0"/>
          <w:sz w:val="24"/>
          <w:szCs w:val="21"/>
        </w:rPr>
        <w:t>附页</w:t>
      </w:r>
      <w:r>
        <w:rPr>
          <w:rFonts w:hint="eastAsia" w:ascii="黑体" w:hAnsi="华文中宋" w:cs="宋体" w:eastAsiaTheme="minorEastAsia"/>
          <w:bCs/>
          <w:spacing w:val="6"/>
          <w:kern w:val="0"/>
          <w:sz w:val="24"/>
          <w:szCs w:val="21"/>
        </w:rPr>
        <w:t>8</w:t>
      </w:r>
      <w:r>
        <w:rPr>
          <w:rFonts w:hint="eastAsia" w:ascii="黑体" w:hAnsi="华文中宋" w:eastAsia="黑体" w:cs="宋体"/>
          <w:bCs/>
          <w:spacing w:val="6"/>
          <w:kern w:val="0"/>
          <w:sz w:val="24"/>
          <w:szCs w:val="21"/>
        </w:rPr>
        <w:t xml:space="preserve">-1 </w:t>
      </w:r>
    </w:p>
    <w:p>
      <w:pPr>
        <w:adjustRightInd w:val="0"/>
        <w:snapToGrid w:val="0"/>
        <w:spacing w:line="360" w:lineRule="auto"/>
        <w:jc w:val="center"/>
        <w:rPr>
          <w:rFonts w:ascii="黑体" w:hAnsi="宋体" w:eastAsia="黑体"/>
          <w:spacing w:val="6"/>
          <w:sz w:val="28"/>
          <w:szCs w:val="28"/>
        </w:rPr>
      </w:pPr>
      <w:r>
        <w:rPr>
          <w:rFonts w:hint="eastAsia" w:ascii="宋体" w:hAnsi="宋体" w:cs="宋体"/>
          <w:spacing w:val="6"/>
          <w:sz w:val="28"/>
          <w:szCs w:val="28"/>
        </w:rPr>
        <w:t>残疾人福利性单位声明函</w:t>
      </w:r>
    </w:p>
    <w:p>
      <w:pPr>
        <w:adjustRightInd w:val="0"/>
        <w:snapToGrid w:val="0"/>
        <w:spacing w:line="360" w:lineRule="auto"/>
        <w:jc w:val="center"/>
        <w:rPr>
          <w:rFonts w:ascii="宋体" w:hAnsi="宋体"/>
          <w:b/>
          <w:spacing w:val="6"/>
          <w:szCs w:val="21"/>
        </w:rPr>
      </w:pPr>
      <w:r>
        <w:rPr>
          <w:rFonts w:hint="eastAsia" w:ascii="宋体" w:hAnsi="宋体" w:cs="宋体"/>
          <w:b/>
          <w:spacing w:val="6"/>
          <w:sz w:val="24"/>
          <w:szCs w:val="21"/>
        </w:rPr>
        <w:t>【不属于残疾人福利性单位的无需填写】</w:t>
      </w:r>
    </w:p>
    <w:p>
      <w:pPr>
        <w:adjustRightInd w:val="0"/>
        <w:snapToGrid w:val="0"/>
        <w:spacing w:line="360" w:lineRule="auto"/>
        <w:ind w:firstLine="504" w:firstLineChars="200"/>
        <w:rPr>
          <w:rFonts w:ascii="宋体" w:hAnsi="宋体"/>
          <w:spacing w:val="6"/>
          <w:sz w:val="24"/>
          <w:szCs w:val="21"/>
        </w:rPr>
      </w:pPr>
    </w:p>
    <w:p>
      <w:pPr>
        <w:adjustRightInd w:val="0"/>
        <w:snapToGrid w:val="0"/>
        <w:spacing w:line="360" w:lineRule="auto"/>
        <w:ind w:firstLine="504" w:firstLineChars="200"/>
        <w:rPr>
          <w:rFonts w:ascii="宋体" w:hAnsi="宋体"/>
          <w:spacing w:val="6"/>
          <w:sz w:val="24"/>
          <w:szCs w:val="21"/>
        </w:rPr>
      </w:pPr>
    </w:p>
    <w:p>
      <w:pPr>
        <w:adjustRightInd w:val="0"/>
        <w:snapToGrid w:val="0"/>
        <w:spacing w:line="360" w:lineRule="auto"/>
        <w:ind w:firstLine="504" w:firstLineChars="200"/>
        <w:rPr>
          <w:rFonts w:ascii="宋体" w:hAnsi="宋体"/>
          <w:spacing w:val="6"/>
          <w:sz w:val="24"/>
          <w:szCs w:val="21"/>
        </w:rPr>
      </w:pPr>
      <w:r>
        <w:rPr>
          <w:rFonts w:hint="eastAsia" w:ascii="宋体" w:hAnsi="宋体"/>
          <w:spacing w:val="6"/>
          <w:sz w:val="24"/>
          <w:szCs w:val="21"/>
        </w:rPr>
        <w:t>本单位郑重声明，根据《财政部 民政部 中国残疾人联合会关于促进残疾人就业政府采购政策的通知》（财库</w:t>
      </w:r>
      <w:r>
        <w:rPr>
          <w:rFonts w:hint="eastAsia" w:ascii="宋体" w:hAnsi="宋体"/>
          <w:sz w:val="24"/>
          <w:szCs w:val="21"/>
        </w:rPr>
        <w:t>〔2017〕141</w:t>
      </w:r>
      <w:r>
        <w:rPr>
          <w:rFonts w:hint="eastAsia" w:ascii="宋体" w:hAnsi="宋体"/>
          <w:spacing w:val="6"/>
          <w:sz w:val="24"/>
          <w:szCs w:val="21"/>
        </w:rPr>
        <w:t>号）的规定，本单位为符合条件的残疾人福利性单位，且本单位参加______单位的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504" w:firstLineChars="200"/>
        <w:rPr>
          <w:rFonts w:ascii="宋体" w:hAnsi="宋体"/>
          <w:spacing w:val="6"/>
          <w:sz w:val="24"/>
          <w:szCs w:val="21"/>
        </w:rPr>
      </w:pPr>
      <w:r>
        <w:rPr>
          <w:rFonts w:hint="eastAsia" w:ascii="宋体" w:hAnsi="宋体"/>
          <w:spacing w:val="6"/>
          <w:sz w:val="24"/>
          <w:szCs w:val="21"/>
        </w:rPr>
        <w:t>本单位对上述声明的真实性负责。如有虚假，将依法承担相应责任。</w:t>
      </w:r>
    </w:p>
    <w:p>
      <w:pPr>
        <w:adjustRightInd w:val="0"/>
        <w:snapToGrid w:val="0"/>
        <w:spacing w:line="360" w:lineRule="auto"/>
        <w:ind w:firstLine="504" w:firstLineChars="200"/>
        <w:rPr>
          <w:rFonts w:ascii="宋体" w:hAnsi="宋体"/>
          <w:spacing w:val="6"/>
          <w:sz w:val="24"/>
          <w:szCs w:val="21"/>
        </w:rPr>
      </w:pPr>
    </w:p>
    <w:p>
      <w:pPr>
        <w:adjustRightInd w:val="0"/>
        <w:snapToGrid w:val="0"/>
        <w:spacing w:line="360" w:lineRule="auto"/>
        <w:ind w:firstLine="504" w:firstLineChars="200"/>
        <w:rPr>
          <w:rFonts w:ascii="宋体" w:hAnsi="宋体"/>
          <w:spacing w:val="6"/>
          <w:sz w:val="24"/>
          <w:szCs w:val="21"/>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tabs>
          <w:tab w:val="left" w:pos="4860"/>
        </w:tabs>
        <w:adjustRightInd w:val="0"/>
        <w:snapToGrid w:val="0"/>
        <w:spacing w:line="360" w:lineRule="auto"/>
        <w:ind w:right="1560" w:firstLine="420" w:firstLineChars="200"/>
        <w:jc w:val="center"/>
        <w:rPr>
          <w:rFonts w:ascii="黑体" w:hAnsi="宋体" w:eastAsia="黑体" w:cs="宋体"/>
          <w:kern w:val="0"/>
          <w:szCs w:val="21"/>
        </w:rPr>
      </w:pPr>
      <w:r>
        <w:rPr>
          <w:rFonts w:hint="eastAsia" w:ascii="黑体" w:hAnsi="宋体" w:eastAsia="黑体" w:cs="宋体"/>
          <w:kern w:val="0"/>
          <w:szCs w:val="21"/>
        </w:rPr>
        <w:br w:type="page"/>
      </w:r>
    </w:p>
    <w:p>
      <w:pPr>
        <w:widowControl/>
        <w:adjustRightInd w:val="0"/>
        <w:snapToGrid w:val="0"/>
        <w:spacing w:line="360" w:lineRule="auto"/>
        <w:rPr>
          <w:rFonts w:ascii="黑体" w:hAnsi="宋体" w:eastAsia="黑体" w:cs="宋体"/>
          <w:kern w:val="0"/>
          <w:sz w:val="24"/>
          <w:szCs w:val="21"/>
        </w:rPr>
      </w:pPr>
      <w:r>
        <w:rPr>
          <w:rFonts w:hint="eastAsia" w:ascii="黑体" w:hAnsi="宋体" w:eastAsia="黑体" w:cs="宋体"/>
          <w:kern w:val="0"/>
          <w:sz w:val="24"/>
          <w:szCs w:val="21"/>
        </w:rPr>
        <w:t>附页</w:t>
      </w:r>
      <w:r>
        <w:rPr>
          <w:rFonts w:hint="eastAsia" w:ascii="黑体" w:hAnsi="宋体" w:cs="宋体" w:eastAsiaTheme="minorEastAsia"/>
          <w:kern w:val="0"/>
          <w:sz w:val="24"/>
          <w:szCs w:val="21"/>
        </w:rPr>
        <w:t>8</w:t>
      </w:r>
      <w:r>
        <w:rPr>
          <w:rFonts w:hint="eastAsia" w:ascii="黑体" w:hAnsi="宋体" w:eastAsia="黑体" w:cs="宋体"/>
          <w:kern w:val="0"/>
          <w:sz w:val="24"/>
          <w:szCs w:val="21"/>
        </w:rPr>
        <w:t>-2</w:t>
      </w:r>
    </w:p>
    <w:p>
      <w:pPr>
        <w:adjustRightInd w:val="0"/>
        <w:snapToGrid w:val="0"/>
        <w:spacing w:line="360" w:lineRule="auto"/>
        <w:jc w:val="center"/>
        <w:rPr>
          <w:rFonts w:ascii="黑体" w:hAnsi="宋体" w:eastAsia="黑体"/>
          <w:sz w:val="28"/>
          <w:szCs w:val="28"/>
        </w:rPr>
      </w:pPr>
      <w:r>
        <w:rPr>
          <w:rFonts w:hint="eastAsia" w:ascii="宋体" w:hAnsi="宋体" w:cs="宋体"/>
          <w:sz w:val="28"/>
          <w:szCs w:val="28"/>
        </w:rPr>
        <w:t>监狱企业证明资料</w:t>
      </w:r>
    </w:p>
    <w:p>
      <w:pPr>
        <w:adjustRightInd w:val="0"/>
        <w:snapToGrid w:val="0"/>
        <w:spacing w:line="360" w:lineRule="auto"/>
        <w:rPr>
          <w:rFonts w:ascii="宋体" w:hAnsi="宋体"/>
          <w:szCs w:val="21"/>
        </w:rPr>
      </w:pPr>
    </w:p>
    <w:p>
      <w:pPr>
        <w:adjustRightInd w:val="0"/>
        <w:snapToGrid w:val="0"/>
        <w:spacing w:line="360" w:lineRule="auto"/>
        <w:ind w:firstLine="504" w:firstLineChars="200"/>
        <w:rPr>
          <w:rFonts w:ascii="宋体" w:hAnsi="宋体"/>
          <w:sz w:val="24"/>
          <w:szCs w:val="21"/>
        </w:rPr>
      </w:pPr>
      <w:r>
        <w:rPr>
          <w:rFonts w:hint="eastAsia" w:ascii="宋体" w:hAnsi="宋体" w:cs="宋体"/>
          <w:bCs/>
          <w:spacing w:val="6"/>
          <w:kern w:val="0"/>
          <w:sz w:val="24"/>
          <w:szCs w:val="21"/>
        </w:rPr>
        <w:t>备注：</w:t>
      </w:r>
      <w:r>
        <w:rPr>
          <w:rFonts w:hint="eastAsia" w:ascii="宋体" w:hAnsi="宋体"/>
          <w:sz w:val="24"/>
          <w:szCs w:val="21"/>
        </w:rPr>
        <w:t>按</w:t>
      </w:r>
      <w:r>
        <w:rPr>
          <w:rFonts w:hint="eastAsia" w:ascii="宋体" w:hAnsi="宋体"/>
          <w:spacing w:val="6"/>
          <w:sz w:val="24"/>
          <w:szCs w:val="21"/>
        </w:rPr>
        <w:t>《</w:t>
      </w:r>
      <w:r>
        <w:rPr>
          <w:rFonts w:hint="eastAsia" w:ascii="宋体" w:hAnsi="宋体"/>
          <w:sz w:val="24"/>
          <w:szCs w:val="21"/>
        </w:rPr>
        <w:t>财政部 司法部关于政府采购支持监狱企业发展有关问题的通知</w:t>
      </w:r>
      <w:r>
        <w:rPr>
          <w:rFonts w:hint="eastAsia" w:ascii="宋体" w:hAnsi="宋体"/>
          <w:spacing w:val="6"/>
          <w:sz w:val="24"/>
          <w:szCs w:val="21"/>
        </w:rPr>
        <w:t>》</w:t>
      </w:r>
      <w:r>
        <w:rPr>
          <w:rFonts w:hint="eastAsia" w:ascii="宋体" w:hAnsi="宋体"/>
          <w:sz w:val="24"/>
          <w:szCs w:val="21"/>
        </w:rPr>
        <w:t>(财库〔2014〕68号)文件规定提供证明文件（复印件）。</w:t>
      </w:r>
    </w:p>
    <w:p>
      <w:pPr>
        <w:widowControl/>
        <w:adjustRightInd w:val="0"/>
        <w:snapToGrid w:val="0"/>
        <w:spacing w:line="360" w:lineRule="auto"/>
        <w:rPr>
          <w:rFonts w:ascii="黑体" w:hAnsi="宋体" w:eastAsia="黑体" w:cs="宋体"/>
          <w:kern w:val="0"/>
          <w:sz w:val="24"/>
          <w:szCs w:val="21"/>
        </w:rPr>
      </w:pPr>
      <w:r>
        <w:rPr>
          <w:rFonts w:hint="eastAsia" w:ascii="黑体" w:hAnsi="宋体" w:eastAsia="黑体" w:cs="宋体"/>
          <w:kern w:val="0"/>
          <w:sz w:val="24"/>
          <w:szCs w:val="21"/>
        </w:rPr>
        <w:br w:type="page"/>
      </w:r>
    </w:p>
    <w:p>
      <w:pPr>
        <w:widowControl/>
        <w:adjustRightInd w:val="0"/>
        <w:snapToGrid w:val="0"/>
        <w:spacing w:line="360" w:lineRule="auto"/>
        <w:rPr>
          <w:rFonts w:ascii="黑体" w:hAnsi="宋体" w:eastAsia="黑体" w:cs="宋体"/>
          <w:kern w:val="0"/>
          <w:sz w:val="24"/>
          <w:szCs w:val="21"/>
        </w:rPr>
      </w:pPr>
      <w:r>
        <w:rPr>
          <w:rFonts w:hint="eastAsia" w:ascii="黑体" w:hAnsi="宋体" w:eastAsia="黑体" w:cs="宋体"/>
          <w:kern w:val="0"/>
          <w:sz w:val="24"/>
          <w:szCs w:val="21"/>
        </w:rPr>
        <w:t>附页</w:t>
      </w:r>
      <w:r>
        <w:rPr>
          <w:rFonts w:hint="eastAsia" w:ascii="黑体" w:hAnsi="宋体" w:cs="宋体" w:eastAsiaTheme="minorEastAsia"/>
          <w:kern w:val="0"/>
          <w:sz w:val="24"/>
          <w:szCs w:val="21"/>
        </w:rPr>
        <w:t>8</w:t>
      </w:r>
      <w:r>
        <w:rPr>
          <w:rFonts w:hint="eastAsia" w:ascii="黑体" w:hAnsi="宋体" w:eastAsia="黑体" w:cs="宋体"/>
          <w:kern w:val="0"/>
          <w:sz w:val="24"/>
          <w:szCs w:val="21"/>
        </w:rPr>
        <w:t>-3</w:t>
      </w:r>
    </w:p>
    <w:p>
      <w:pPr>
        <w:tabs>
          <w:tab w:val="left" w:pos="4725"/>
        </w:tabs>
        <w:adjustRightInd w:val="0"/>
        <w:snapToGrid w:val="0"/>
        <w:spacing w:line="360" w:lineRule="auto"/>
        <w:jc w:val="center"/>
        <w:rPr>
          <w:rFonts w:ascii="宋体" w:hAnsi="宋体" w:cs="宋体"/>
          <w:sz w:val="28"/>
          <w:szCs w:val="28"/>
        </w:rPr>
      </w:pPr>
      <w:r>
        <w:rPr>
          <w:rFonts w:hint="eastAsia" w:ascii="宋体" w:hAnsi="宋体" w:cs="宋体"/>
          <w:sz w:val="28"/>
          <w:szCs w:val="28"/>
        </w:rPr>
        <w:t>中小企业声明函（货物</w:t>
      </w:r>
      <w:r>
        <w:rPr>
          <w:rFonts w:ascii="宋体" w:hAnsi="宋体" w:cs="宋体"/>
          <w:sz w:val="28"/>
          <w:szCs w:val="28"/>
        </w:rPr>
        <w:t>)</w:t>
      </w:r>
    </w:p>
    <w:p>
      <w:pPr>
        <w:spacing w:line="440" w:lineRule="exact"/>
        <w:ind w:firstLine="420" w:firstLineChars="200"/>
        <w:rPr>
          <w:rFonts w:cs="宋体" w:asciiTheme="minorEastAsia" w:hAnsiTheme="minorEastAsia" w:eastAsiaTheme="minorEastAsia"/>
          <w:szCs w:val="21"/>
        </w:rPr>
      </w:pP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本公司(联合体）郑重声明，根据《政府采购促进中小企业发展管理办法》(财库〔 2020 ) 46号）的规定，本公司(联合体）参加</w:t>
      </w:r>
      <w:r>
        <w:rPr>
          <w:rFonts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u w:val="single"/>
        </w:rPr>
        <w:t>单位名称）</w:t>
      </w:r>
      <w:r>
        <w:rPr>
          <w:rFonts w:cs="宋体" w:asciiTheme="minorEastAsia" w:hAnsiTheme="minorEastAsia" w:eastAsiaTheme="minorEastAsia"/>
          <w:szCs w:val="21"/>
        </w:rPr>
        <w:t>的</w:t>
      </w:r>
      <w:r>
        <w:rPr>
          <w:rFonts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u w:val="single"/>
        </w:rPr>
        <w:t>项目名称）</w:t>
      </w:r>
      <w:r>
        <w:rPr>
          <w:rFonts w:cs="宋体" w:asciiTheme="minorEastAsia" w:hAnsiTheme="minorEastAsia" w:eastAsiaTheme="minorEastAsia"/>
          <w:iCs/>
          <w:szCs w:val="21"/>
          <w:u w:val="single"/>
        </w:rPr>
        <w:t xml:space="preserve"> </w:t>
      </w:r>
      <w:r>
        <w:rPr>
          <w:rFonts w:cs="宋体" w:asciiTheme="minorEastAsia" w:hAnsiTheme="minorEastAsia" w:eastAsiaTheme="minorEastAsia"/>
          <w:szCs w:val="21"/>
        </w:rPr>
        <w:t>采购活动，提供的货物全部由符合政策要求的中小企业制造。相关企业(含联合体中的中小企业、签订分包意向协议的中小企业)的具体情况如下:</w:t>
      </w:r>
    </w:p>
    <w:p>
      <w:pPr>
        <w:widowControl/>
        <w:numPr>
          <w:ilvl w:val="0"/>
          <w:numId w:val="3"/>
        </w:numPr>
        <w:adjustRightInd w:val="0"/>
        <w:snapToGrid w:val="0"/>
        <w:spacing w:after="200" w:line="440" w:lineRule="exact"/>
        <w:ind w:firstLine="420" w:firstLineChars="200"/>
        <w:jc w:val="left"/>
        <w:rPr>
          <w:rFonts w:cs="宋体" w:asciiTheme="minorEastAsia" w:hAnsiTheme="minorEastAsia" w:eastAsiaTheme="minorEastAsia"/>
          <w:szCs w:val="21"/>
        </w:rPr>
      </w:pP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标的名称）</w:t>
      </w:r>
      <w:r>
        <w:rPr>
          <w:rFonts w:cs="宋体" w:asciiTheme="minorEastAsia" w:hAnsiTheme="minorEastAsia" w:eastAsiaTheme="minorEastAsia"/>
          <w:iCs/>
          <w:szCs w:val="21"/>
          <w:u w:val="single"/>
        </w:rPr>
        <w:t xml:space="preserve"> </w:t>
      </w:r>
      <w:r>
        <w:rPr>
          <w:rFonts w:cs="宋体" w:asciiTheme="minorEastAsia" w:hAnsiTheme="minorEastAsia" w:eastAsiaTheme="minorEastAsia"/>
          <w:szCs w:val="21"/>
        </w:rPr>
        <w:t>，属于</w:t>
      </w:r>
      <w:r>
        <w:rPr>
          <w:rFonts w:hint="eastAsia" w:cs="宋体" w:asciiTheme="minorEastAsia" w:hAnsiTheme="minorEastAsia" w:eastAsiaTheme="minorEastAsia"/>
          <w:iCs/>
          <w:szCs w:val="21"/>
          <w:u w:val="single"/>
        </w:rPr>
        <w:t>（采购文件中明确的所属行业</w:t>
      </w: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行业</w:t>
      </w:r>
      <w:r>
        <w:rPr>
          <w:rFonts w:cs="宋体" w:asciiTheme="minorEastAsia" w:hAnsiTheme="minorEastAsia" w:eastAsiaTheme="minorEastAsia"/>
          <w:szCs w:val="21"/>
        </w:rPr>
        <w:t>;制造商为</w:t>
      </w:r>
      <w:r>
        <w:rPr>
          <w:rFonts w:cs="宋体" w:asciiTheme="minorEastAsia" w:hAnsiTheme="minorEastAsia" w:eastAsiaTheme="minorEastAsia"/>
          <w:iCs/>
          <w:szCs w:val="21"/>
          <w:u w:val="single"/>
        </w:rPr>
        <w:t>_(</w:t>
      </w:r>
      <w:r>
        <w:rPr>
          <w:rFonts w:hint="eastAsia" w:cs="宋体" w:asciiTheme="minorEastAsia" w:hAnsiTheme="minorEastAsia" w:eastAsiaTheme="minorEastAsia"/>
          <w:iCs/>
          <w:szCs w:val="21"/>
          <w:u w:val="single"/>
        </w:rPr>
        <w:t>企业名称</w:t>
      </w:r>
      <w:r>
        <w:rPr>
          <w:rFonts w:cs="宋体" w:asciiTheme="minorEastAsia" w:hAnsiTheme="minorEastAsia" w:eastAsiaTheme="minorEastAsia"/>
          <w:iCs/>
          <w:szCs w:val="21"/>
          <w:u w:val="single"/>
        </w:rPr>
        <w:t>)</w:t>
      </w:r>
      <w:r>
        <w:rPr>
          <w:rFonts w:cs="宋体" w:asciiTheme="minorEastAsia" w:hAnsiTheme="minorEastAsia" w:eastAsiaTheme="minorEastAsia"/>
          <w:szCs w:val="21"/>
        </w:rPr>
        <w:t>，从业人员__人，营业收入为__万元，资产总额为___万元，属于</w:t>
      </w:r>
      <w:r>
        <w:rPr>
          <w:rFonts w:hint="eastAsia" w:cs="宋体" w:asciiTheme="minorEastAsia" w:hAnsiTheme="minorEastAsia" w:eastAsiaTheme="minorEastAsia"/>
          <w:iCs/>
          <w:szCs w:val="21"/>
          <w:u w:val="single"/>
        </w:rPr>
        <w:t>（中型企业、小型企业、微型企业</w:t>
      </w:r>
      <w:r>
        <w:rPr>
          <w:rFonts w:cs="宋体" w:asciiTheme="minorEastAsia" w:hAnsiTheme="minorEastAsia" w:eastAsiaTheme="minorEastAsia"/>
          <w:iCs/>
          <w:szCs w:val="21"/>
          <w:u w:val="single"/>
        </w:rPr>
        <w:t>)</w:t>
      </w:r>
      <w:r>
        <w:rPr>
          <w:rFonts w:cs="宋体" w:asciiTheme="minorEastAsia" w:hAnsiTheme="minorEastAsia" w:eastAsiaTheme="minorEastAsia"/>
          <w:szCs w:val="21"/>
        </w:rPr>
        <w:t>;</w:t>
      </w:r>
    </w:p>
    <w:p>
      <w:pPr>
        <w:widowControl/>
        <w:numPr>
          <w:ilvl w:val="0"/>
          <w:numId w:val="4"/>
        </w:numPr>
        <w:adjustRightInd w:val="0"/>
        <w:snapToGrid w:val="0"/>
        <w:spacing w:after="200" w:line="440" w:lineRule="exact"/>
        <w:ind w:firstLine="420" w:firstLineChars="200"/>
        <w:jc w:val="left"/>
        <w:rPr>
          <w:rFonts w:cs="宋体" w:asciiTheme="minorEastAsia" w:hAnsiTheme="minorEastAsia" w:eastAsiaTheme="minorEastAsia"/>
          <w:szCs w:val="21"/>
        </w:rPr>
      </w:pP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标的名称</w:t>
      </w:r>
      <w:r>
        <w:rPr>
          <w:rFonts w:cs="宋体" w:asciiTheme="minorEastAsia" w:hAnsiTheme="minorEastAsia" w:eastAsiaTheme="minorEastAsia"/>
          <w:iCs/>
          <w:szCs w:val="21"/>
          <w:u w:val="single"/>
        </w:rPr>
        <w:t>)</w:t>
      </w:r>
      <w:r>
        <w:rPr>
          <w:rFonts w:cs="宋体" w:asciiTheme="minorEastAsia" w:hAnsiTheme="minorEastAsia" w:eastAsiaTheme="minorEastAsia"/>
          <w:szCs w:val="21"/>
        </w:rPr>
        <w:t>，属于</w:t>
      </w:r>
      <w:r>
        <w:rPr>
          <w:rFonts w:hint="eastAsia" w:cs="宋体" w:asciiTheme="minorEastAsia" w:hAnsiTheme="minorEastAsia" w:eastAsiaTheme="minorEastAsia"/>
          <w:iCs/>
          <w:szCs w:val="21"/>
          <w:u w:val="single"/>
        </w:rPr>
        <w:t>（采购文件中明确的所属行业）行业</w:t>
      </w:r>
      <w:r>
        <w:rPr>
          <w:rFonts w:cs="宋体" w:asciiTheme="minorEastAsia" w:hAnsiTheme="minorEastAsia" w:eastAsiaTheme="minorEastAsia"/>
          <w:szCs w:val="21"/>
        </w:rPr>
        <w:t xml:space="preserve">;制造商为 </w:t>
      </w:r>
      <w:r>
        <w:rPr>
          <w:rFonts w:cs="宋体" w:asciiTheme="minorEastAsia" w:hAnsiTheme="minorEastAsia" w:eastAsiaTheme="minorEastAsia"/>
          <w:iCs/>
          <w:szCs w:val="21"/>
          <w:u w:val="single"/>
        </w:rPr>
        <w:t>(</w:t>
      </w:r>
      <w:r>
        <w:rPr>
          <w:rFonts w:hint="eastAsia" w:cs="宋体" w:asciiTheme="minorEastAsia" w:hAnsiTheme="minorEastAsia" w:eastAsiaTheme="minorEastAsia"/>
          <w:iCs/>
          <w:szCs w:val="21"/>
          <w:u w:val="single"/>
        </w:rPr>
        <w:t>企业名称</w:t>
      </w:r>
      <w:r>
        <w:rPr>
          <w:rFonts w:cs="宋体" w:asciiTheme="minorEastAsia" w:hAnsiTheme="minorEastAsia" w:eastAsiaTheme="minorEastAsia"/>
          <w:iCs/>
          <w:szCs w:val="21"/>
          <w:u w:val="single"/>
        </w:rPr>
        <w:t>)</w:t>
      </w:r>
      <w:r>
        <w:rPr>
          <w:rFonts w:cs="宋体" w:asciiTheme="minorEastAsia" w:hAnsiTheme="minorEastAsia" w:eastAsiaTheme="minorEastAsia"/>
          <w:szCs w:val="21"/>
        </w:rPr>
        <w:t>，从业人员___人，营业收入为__万元，资产总额为__万元，属于</w:t>
      </w:r>
      <w:r>
        <w:rPr>
          <w:rFonts w:hint="eastAsia" w:cs="宋体" w:asciiTheme="minorEastAsia" w:hAnsiTheme="minorEastAsia" w:eastAsiaTheme="minorEastAsia"/>
          <w:iCs/>
          <w:szCs w:val="21"/>
          <w:u w:val="single"/>
        </w:rPr>
        <w:t>（中型企业、小型企业、微型企业</w:t>
      </w:r>
      <w:r>
        <w:rPr>
          <w:rFonts w:cs="宋体" w:asciiTheme="minorEastAsia" w:hAnsiTheme="minorEastAsia" w:eastAsiaTheme="minorEastAsia"/>
          <w:iCs/>
          <w:szCs w:val="21"/>
          <w:u w:val="single"/>
        </w:rPr>
        <w:t>)</w:t>
      </w:r>
      <w:r>
        <w:rPr>
          <w:rFonts w:cs="宋体" w:asciiTheme="minorEastAsia" w:hAnsiTheme="minorEastAsia" w:eastAsiaTheme="minorEastAsia"/>
          <w:szCs w:val="21"/>
        </w:rPr>
        <w:t>;</w:t>
      </w: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w:t>
      </w: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以上企业，不属于大企业的分支机构，不存在控股股东为大企业的情形，也不存在与大企业的负责人为同一人的情形。</w:t>
      </w:r>
    </w:p>
    <w:p>
      <w:pPr>
        <w:spacing w:line="440" w:lineRule="exact"/>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本企业对上述声明内容的真实性负责。如有虚假，将依法承担相应责任。</w:t>
      </w:r>
    </w:p>
    <w:p>
      <w:pPr>
        <w:spacing w:line="440" w:lineRule="exact"/>
        <w:ind w:right="960" w:firstLine="4410" w:firstLineChars="2100"/>
        <w:rPr>
          <w:rFonts w:cs="宋体" w:asciiTheme="minorEastAsia" w:hAnsiTheme="minorEastAsia" w:eastAsiaTheme="minorEastAsia"/>
          <w:szCs w:val="21"/>
        </w:rPr>
      </w:pPr>
      <w:r>
        <w:rPr>
          <w:rFonts w:cs="宋体" w:asciiTheme="minorEastAsia" w:hAnsiTheme="minorEastAsia" w:eastAsiaTheme="minorEastAsia"/>
          <w:szCs w:val="21"/>
        </w:rPr>
        <w:t>企业名称（盖章):</w:t>
      </w:r>
    </w:p>
    <w:p>
      <w:pPr>
        <w:spacing w:line="440" w:lineRule="exact"/>
        <w:ind w:right="960" w:firstLine="420" w:firstLineChars="200"/>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                        日期:</w:t>
      </w:r>
    </w:p>
    <w:p>
      <w:pPr>
        <w:adjustRightInd w:val="0"/>
        <w:snapToGrid w:val="0"/>
        <w:spacing w:before="50" w:line="360" w:lineRule="auto"/>
        <w:rPr>
          <w:rFonts w:ascii="黑体" w:hAnsi="华文中宋" w:eastAsia="黑体" w:cs="宋体"/>
          <w:b/>
          <w:bCs/>
          <w:spacing w:val="6"/>
          <w:kern w:val="0"/>
          <w:sz w:val="24"/>
        </w:rPr>
      </w:pPr>
      <w:r>
        <w:rPr>
          <w:rFonts w:hint="eastAsia" w:ascii="黑体" w:hAnsi="华文中宋" w:eastAsia="黑体" w:cs="宋体"/>
          <w:b/>
          <w:bCs/>
          <w:spacing w:val="6"/>
          <w:kern w:val="0"/>
          <w:sz w:val="24"/>
          <w:szCs w:val="22"/>
        </w:rPr>
        <w:br w:type="page"/>
      </w:r>
    </w:p>
    <w:p>
      <w:pPr>
        <w:adjustRightInd w:val="0"/>
        <w:snapToGrid w:val="0"/>
        <w:spacing w:before="50" w:line="360" w:lineRule="auto"/>
        <w:rPr>
          <w:rFonts w:ascii="黑体" w:hAnsi="华文中宋" w:eastAsia="黑体" w:cs="宋体"/>
          <w:bCs/>
          <w:spacing w:val="6"/>
          <w:kern w:val="0"/>
          <w:szCs w:val="21"/>
        </w:rPr>
      </w:pPr>
      <w:r>
        <w:rPr>
          <w:rFonts w:hint="eastAsia" w:ascii="黑体" w:hAnsi="华文中宋" w:eastAsia="黑体" w:cs="宋体"/>
          <w:bCs/>
          <w:spacing w:val="6"/>
          <w:kern w:val="0"/>
          <w:sz w:val="24"/>
          <w:szCs w:val="21"/>
        </w:rPr>
        <w:t>附页</w:t>
      </w:r>
      <w:r>
        <w:rPr>
          <w:rFonts w:hint="eastAsia" w:ascii="黑体" w:hAnsi="华文中宋" w:cs="宋体" w:eastAsiaTheme="minorEastAsia"/>
          <w:bCs/>
          <w:spacing w:val="6"/>
          <w:kern w:val="0"/>
          <w:sz w:val="24"/>
          <w:szCs w:val="21"/>
        </w:rPr>
        <w:t>8</w:t>
      </w:r>
      <w:r>
        <w:rPr>
          <w:rFonts w:hint="eastAsia" w:ascii="黑体" w:hAnsi="华文中宋" w:eastAsia="黑体" w:cs="宋体"/>
          <w:bCs/>
          <w:spacing w:val="6"/>
          <w:kern w:val="0"/>
          <w:sz w:val="24"/>
          <w:szCs w:val="21"/>
        </w:rPr>
        <w:t xml:space="preserve">-4  </w:t>
      </w:r>
    </w:p>
    <w:p>
      <w:pPr>
        <w:adjustRightInd w:val="0"/>
        <w:snapToGrid w:val="0"/>
        <w:spacing w:before="50" w:line="360" w:lineRule="auto"/>
        <w:jc w:val="center"/>
        <w:rPr>
          <w:rFonts w:ascii="黑体" w:hAnsi="宋体" w:eastAsia="黑体"/>
          <w:sz w:val="28"/>
          <w:szCs w:val="28"/>
        </w:rPr>
      </w:pPr>
      <w:r>
        <w:rPr>
          <w:rFonts w:hint="eastAsia" w:ascii="宋体" w:hAnsi="宋体" w:cs="宋体"/>
          <w:sz w:val="28"/>
          <w:szCs w:val="28"/>
        </w:rPr>
        <w:t>节能</w:t>
      </w:r>
      <w:r>
        <w:rPr>
          <w:rFonts w:hint="eastAsia" w:ascii="宋体" w:hAnsi="宋体" w:cs="宋体"/>
          <w:bCs/>
          <w:sz w:val="28"/>
          <w:szCs w:val="28"/>
        </w:rPr>
        <w:t>产品</w:t>
      </w:r>
      <w:r>
        <w:rPr>
          <w:rFonts w:hint="eastAsia" w:ascii="宋体" w:hAnsi="宋体" w:cs="宋体"/>
          <w:sz w:val="28"/>
          <w:szCs w:val="28"/>
        </w:rPr>
        <w:t>、环境标志</w:t>
      </w:r>
      <w:r>
        <w:rPr>
          <w:rFonts w:hint="eastAsia" w:ascii="宋体" w:hAnsi="宋体" w:cs="宋体"/>
          <w:bCs/>
          <w:sz w:val="28"/>
          <w:szCs w:val="28"/>
        </w:rPr>
        <w:t>产品</w:t>
      </w:r>
      <w:r>
        <w:rPr>
          <w:rFonts w:hint="eastAsia" w:ascii="宋体" w:hAnsi="宋体" w:cs="宋体"/>
          <w:sz w:val="28"/>
          <w:szCs w:val="28"/>
        </w:rPr>
        <w:t>、两型</w:t>
      </w:r>
      <w:r>
        <w:rPr>
          <w:rFonts w:hint="eastAsia" w:ascii="宋体" w:hAnsi="宋体" w:cs="宋体"/>
          <w:bCs/>
          <w:sz w:val="28"/>
          <w:szCs w:val="28"/>
        </w:rPr>
        <w:t>产品的</w:t>
      </w:r>
      <w:r>
        <w:rPr>
          <w:rFonts w:hint="eastAsia" w:ascii="宋体" w:hAnsi="宋体" w:cs="宋体"/>
          <w:sz w:val="28"/>
          <w:szCs w:val="28"/>
        </w:rPr>
        <w:t>证明材料</w:t>
      </w:r>
    </w:p>
    <w:p>
      <w:pPr>
        <w:spacing w:line="480" w:lineRule="exact"/>
        <w:rPr>
          <w:rFonts w:ascii="黑体" w:eastAsia="黑体"/>
          <w:sz w:val="24"/>
        </w:rPr>
      </w:pPr>
    </w:p>
    <w:p>
      <w:pPr>
        <w:adjustRightInd w:val="0"/>
        <w:snapToGrid w:val="0"/>
        <w:spacing w:line="360" w:lineRule="auto"/>
        <w:ind w:firstLine="480" w:firstLineChars="200"/>
        <w:jc w:val="left"/>
        <w:rPr>
          <w:rFonts w:ascii="宋体" w:hAnsi="宋体"/>
          <w:szCs w:val="21"/>
        </w:rPr>
      </w:pPr>
      <w:r>
        <w:rPr>
          <w:rFonts w:hint="eastAsia" w:ascii="宋体" w:hAnsi="宋体"/>
          <w:sz w:val="24"/>
          <w:szCs w:val="21"/>
        </w:rPr>
        <w:t>说明：</w:t>
      </w:r>
      <w:r>
        <w:rPr>
          <w:rFonts w:hint="eastAsia" w:ascii="宋体" w:hAnsi="宋体"/>
          <w:bCs/>
          <w:sz w:val="24"/>
          <w:szCs w:val="21"/>
        </w:rPr>
        <w:t>1、投标人提供的产品属于强制采购或者优先采购的，应按第二章第36.2款或者第36.3款规定提供产品列入《节能产品政府采购品目清单》、《环境标志产品政府采购品目清单》或《湖南省两型产品政府采购目录》、《长沙市两型产品政府采购目录》所在页或证书复印件（该页包含制造商或企业名称或申请单位名称、规格型号、有效截止日期等内容），并加盖投标人单位章。在本章《附6-6 提供节能产品、环境标志产品、两型产品清单》中</w:t>
      </w:r>
      <w:r>
        <w:rPr>
          <w:rFonts w:hint="eastAsia" w:ascii="宋体" w:hAnsi="宋体"/>
          <w:sz w:val="24"/>
          <w:szCs w:val="21"/>
        </w:rPr>
        <w:t>提供相应数据。</w:t>
      </w:r>
    </w:p>
    <w:p>
      <w:pPr>
        <w:adjustRightInd w:val="0"/>
        <w:snapToGrid w:val="0"/>
        <w:spacing w:line="360" w:lineRule="auto"/>
        <w:ind w:firstLine="480" w:firstLineChars="200"/>
        <w:rPr>
          <w:rFonts w:ascii="宋体" w:hAnsi="宋体"/>
          <w:bCs/>
          <w:sz w:val="24"/>
          <w:szCs w:val="21"/>
        </w:rPr>
      </w:pPr>
      <w:r>
        <w:rPr>
          <w:rFonts w:hint="eastAsia" w:ascii="宋体" w:hAnsi="宋体"/>
          <w:bCs/>
          <w:sz w:val="24"/>
          <w:szCs w:val="21"/>
        </w:rPr>
        <w:t>2、未按上述要求提供的，评审时不予以考虑。</w:t>
      </w:r>
    </w:p>
    <w:p>
      <w:pPr>
        <w:adjustRightInd w:val="0"/>
        <w:snapToGrid w:val="0"/>
        <w:spacing w:before="50" w:line="360" w:lineRule="auto"/>
        <w:rPr>
          <w:rFonts w:ascii="黑体" w:hAnsi="宋体" w:eastAsia="黑体"/>
          <w:sz w:val="24"/>
          <w:szCs w:val="21"/>
        </w:rPr>
      </w:pPr>
      <w:r>
        <w:rPr>
          <w:rFonts w:hint="eastAsia" w:ascii="黑体" w:hAnsi="宋体" w:eastAsia="黑体"/>
          <w:b/>
          <w:sz w:val="28"/>
          <w:szCs w:val="28"/>
        </w:rPr>
        <w:br w:type="page"/>
      </w:r>
      <w:r>
        <w:rPr>
          <w:rFonts w:hint="eastAsia" w:ascii="黑体" w:hAnsi="宋体" w:eastAsia="黑体"/>
          <w:sz w:val="24"/>
          <w:szCs w:val="21"/>
        </w:rPr>
        <w:t>附页</w:t>
      </w:r>
      <w:r>
        <w:rPr>
          <w:rFonts w:hint="eastAsia" w:ascii="黑体" w:hAnsi="宋体" w:eastAsiaTheme="minorEastAsia"/>
          <w:sz w:val="24"/>
          <w:szCs w:val="21"/>
        </w:rPr>
        <w:t>8</w:t>
      </w:r>
      <w:r>
        <w:rPr>
          <w:rFonts w:hint="eastAsia" w:ascii="黑体" w:hAnsi="宋体" w:eastAsia="黑体"/>
          <w:sz w:val="24"/>
          <w:szCs w:val="21"/>
        </w:rPr>
        <w:t>-5</w:t>
      </w:r>
    </w:p>
    <w:p>
      <w:pPr>
        <w:adjustRightInd w:val="0"/>
        <w:snapToGrid w:val="0"/>
        <w:spacing w:before="50" w:line="360" w:lineRule="auto"/>
        <w:jc w:val="center"/>
        <w:rPr>
          <w:rFonts w:ascii="黑体" w:hAnsi="宋体" w:eastAsia="黑体"/>
          <w:sz w:val="28"/>
          <w:szCs w:val="28"/>
        </w:rPr>
      </w:pPr>
      <w:r>
        <w:rPr>
          <w:rFonts w:hint="eastAsia" w:ascii="宋体" w:hAnsi="宋体" w:cs="宋体"/>
          <w:sz w:val="28"/>
          <w:szCs w:val="28"/>
        </w:rPr>
        <w:t>提供节能</w:t>
      </w:r>
      <w:r>
        <w:rPr>
          <w:rFonts w:hint="eastAsia" w:ascii="宋体" w:hAnsi="宋体" w:cs="宋体"/>
          <w:bCs/>
          <w:sz w:val="28"/>
          <w:szCs w:val="28"/>
        </w:rPr>
        <w:t>产品</w:t>
      </w:r>
      <w:r>
        <w:rPr>
          <w:rFonts w:hint="eastAsia" w:ascii="宋体" w:hAnsi="宋体" w:cs="宋体"/>
          <w:sz w:val="28"/>
          <w:szCs w:val="28"/>
        </w:rPr>
        <w:t>、环境标志</w:t>
      </w:r>
      <w:r>
        <w:rPr>
          <w:rFonts w:hint="eastAsia" w:ascii="宋体" w:hAnsi="宋体" w:cs="宋体"/>
          <w:bCs/>
          <w:sz w:val="28"/>
          <w:szCs w:val="28"/>
        </w:rPr>
        <w:t>产品</w:t>
      </w:r>
      <w:r>
        <w:rPr>
          <w:rFonts w:hint="eastAsia" w:ascii="宋体" w:hAnsi="宋体" w:cs="宋体"/>
          <w:sz w:val="28"/>
          <w:szCs w:val="28"/>
        </w:rPr>
        <w:t>、两型</w:t>
      </w:r>
      <w:r>
        <w:rPr>
          <w:rFonts w:hint="eastAsia" w:ascii="宋体" w:hAnsi="宋体" w:cs="宋体"/>
          <w:bCs/>
          <w:sz w:val="28"/>
          <w:szCs w:val="28"/>
        </w:rPr>
        <w:t>产品</w:t>
      </w:r>
      <w:r>
        <w:rPr>
          <w:rFonts w:hint="eastAsia" w:ascii="宋体" w:hAnsi="宋体" w:cs="宋体"/>
          <w:sz w:val="28"/>
          <w:szCs w:val="28"/>
        </w:rPr>
        <w:t>清单</w:t>
      </w:r>
    </w:p>
    <w:p>
      <w:pPr>
        <w:rPr>
          <w:rFonts w:ascii="宋体" w:hAnsi="宋体"/>
          <w:szCs w:val="21"/>
        </w:rPr>
      </w:pPr>
      <w:r>
        <w:rPr>
          <w:rFonts w:hint="eastAsia"/>
        </w:rPr>
        <w:t>采购代理编号：</w:t>
      </w:r>
      <w:r>
        <w:rPr>
          <w:rFonts w:asciiTheme="minorEastAsia" w:hAnsiTheme="minorEastAsia" w:eastAsiaTheme="minorEastAsia"/>
          <w:color w:val="000000" w:themeColor="text1"/>
          <w:szCs w:val="21"/>
          <w:u w:val="single"/>
          <w14:textFill>
            <w14:solidFill>
              <w14:schemeClr w14:val="tx1"/>
            </w14:solidFill>
          </w14:textFill>
        </w:rPr>
        <w:t xml:space="preserve">         </w:t>
      </w:r>
      <w:r>
        <w:t xml:space="preserve">                     </w:t>
      </w:r>
      <w:r>
        <w:rPr>
          <w:rFonts w:hint="eastAsia"/>
        </w:rPr>
        <w:t>项目名称：</w:t>
      </w:r>
      <w:r>
        <w:t>_____</w:t>
      </w:r>
      <w:r>
        <w:rPr>
          <w:u w:val="single"/>
        </w:rPr>
        <w:t>__    ___</w:t>
      </w:r>
      <w:r>
        <w:rPr>
          <w:rFonts w:hint="eastAsia"/>
          <w:u w:val="single"/>
        </w:rPr>
        <w:t xml:space="preserve"> </w:t>
      </w:r>
      <w:r>
        <w:rPr>
          <w:rFonts w:ascii="Calibri" w:hAnsi="宋体"/>
          <w:sz w:val="24"/>
          <w:szCs w:val="21"/>
        </w:rPr>
        <w:t xml:space="preserve">       </w:t>
      </w:r>
    </w:p>
    <w:tbl>
      <w:tblPr>
        <w:tblStyle w:val="46"/>
        <w:tblW w:w="106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15"/>
        <w:gridCol w:w="2112"/>
        <w:gridCol w:w="862"/>
        <w:gridCol w:w="1033"/>
        <w:gridCol w:w="1207"/>
        <w:gridCol w:w="2411"/>
        <w:gridCol w:w="224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10682" w:type="dxa"/>
            <w:gridSpan w:val="7"/>
            <w:tcBorders>
              <w:top w:val="double" w:color="auto" w:sz="4" w:space="0"/>
              <w:left w:val="double" w:color="auto" w:sz="4" w:space="0"/>
              <w:bottom w:val="single" w:color="auto" w:sz="6" w:space="0"/>
              <w:right w:val="double" w:color="auto" w:sz="4" w:space="0"/>
            </w:tcBorders>
            <w:vAlign w:val="center"/>
          </w:tcPr>
          <w:p>
            <w:pPr>
              <w:widowControl/>
              <w:adjustRightInd w:val="0"/>
              <w:snapToGrid w:val="0"/>
              <w:spacing w:line="360" w:lineRule="auto"/>
              <w:jc w:val="center"/>
              <w:rPr>
                <w:rFonts w:ascii="黑体" w:hAnsi="宋体" w:eastAsia="黑体"/>
                <w:kern w:val="0"/>
                <w:szCs w:val="21"/>
              </w:rPr>
            </w:pPr>
            <w:r>
              <w:rPr>
                <w:rFonts w:hint="eastAsia" w:ascii="黑体" w:hAnsi="宋体" w:eastAsia="黑体"/>
                <w:kern w:val="0"/>
                <w:sz w:val="24"/>
                <w:szCs w:val="21"/>
              </w:rPr>
              <w:t>本公司对本表的真实性负责。如有虚假，将依法承担相应责任。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816" w:type="dxa"/>
            <w:tcBorders>
              <w:top w:val="single" w:color="auto" w:sz="6" w:space="0"/>
              <w:left w:val="double" w:color="auto" w:sz="4"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1</w:t>
            </w:r>
          </w:p>
        </w:tc>
        <w:tc>
          <w:tcPr>
            <w:tcW w:w="2113"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2</w:t>
            </w:r>
          </w:p>
        </w:tc>
        <w:tc>
          <w:tcPr>
            <w:tcW w:w="862"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3</w:t>
            </w:r>
          </w:p>
        </w:tc>
        <w:tc>
          <w:tcPr>
            <w:tcW w:w="1033"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4</w:t>
            </w:r>
          </w:p>
        </w:tc>
        <w:tc>
          <w:tcPr>
            <w:tcW w:w="1207"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5</w:t>
            </w:r>
          </w:p>
        </w:tc>
        <w:tc>
          <w:tcPr>
            <w:tcW w:w="2411"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6</w:t>
            </w:r>
          </w:p>
        </w:tc>
        <w:tc>
          <w:tcPr>
            <w:tcW w:w="2240" w:type="dxa"/>
            <w:tcBorders>
              <w:top w:val="single" w:color="auto" w:sz="6" w:space="0"/>
              <w:left w:val="single" w:color="auto" w:sz="6" w:space="0"/>
              <w:bottom w:val="single" w:color="auto" w:sz="6" w:space="0"/>
              <w:right w:val="double" w:color="auto" w:sz="4"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816" w:type="dxa"/>
            <w:tcBorders>
              <w:top w:val="single" w:color="auto" w:sz="6" w:space="0"/>
              <w:left w:val="double" w:color="auto" w:sz="4"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序号</w:t>
            </w:r>
          </w:p>
        </w:tc>
        <w:tc>
          <w:tcPr>
            <w:tcW w:w="2113"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货物名称</w:t>
            </w:r>
          </w:p>
        </w:tc>
        <w:tc>
          <w:tcPr>
            <w:tcW w:w="862"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数量</w:t>
            </w:r>
          </w:p>
        </w:tc>
        <w:tc>
          <w:tcPr>
            <w:tcW w:w="1033"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单价（元）</w:t>
            </w:r>
          </w:p>
        </w:tc>
        <w:tc>
          <w:tcPr>
            <w:tcW w:w="1207"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总额（元）</w:t>
            </w:r>
          </w:p>
        </w:tc>
        <w:tc>
          <w:tcPr>
            <w:tcW w:w="2411" w:type="dxa"/>
            <w:tcBorders>
              <w:top w:val="single" w:color="auto" w:sz="6" w:space="0"/>
              <w:left w:val="single" w:color="auto" w:sz="6" w:space="0"/>
              <w:bottom w:val="single" w:color="auto" w:sz="6" w:space="0"/>
              <w:right w:val="single" w:color="auto" w:sz="6"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货物制造商名称</w:t>
            </w:r>
          </w:p>
        </w:tc>
        <w:tc>
          <w:tcPr>
            <w:tcW w:w="2240" w:type="dxa"/>
            <w:tcBorders>
              <w:top w:val="single" w:color="auto" w:sz="6" w:space="0"/>
              <w:left w:val="single" w:color="auto" w:sz="6" w:space="0"/>
              <w:bottom w:val="single" w:color="auto" w:sz="6" w:space="0"/>
              <w:right w:val="double" w:color="auto" w:sz="4" w:space="0"/>
            </w:tcBorders>
            <w:vAlign w:val="center"/>
          </w:tcPr>
          <w:p>
            <w:pPr>
              <w:widowControl/>
              <w:adjustRightInd w:val="0"/>
              <w:snapToGrid w:val="0"/>
              <w:spacing w:line="360" w:lineRule="auto"/>
              <w:jc w:val="center"/>
              <w:rPr>
                <w:rFonts w:ascii="宋体" w:hAnsi="宋体"/>
                <w:kern w:val="0"/>
                <w:szCs w:val="21"/>
              </w:rPr>
            </w:pPr>
            <w:r>
              <w:rPr>
                <w:rFonts w:hint="eastAsia" w:ascii="宋体" w:hAnsi="宋体"/>
                <w:kern w:val="0"/>
                <w:sz w:val="24"/>
                <w:szCs w:val="21"/>
              </w:rPr>
              <w:t>政策功能编码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10682" w:type="dxa"/>
            <w:gridSpan w:val="7"/>
            <w:tcBorders>
              <w:top w:val="single" w:color="auto" w:sz="6" w:space="0"/>
              <w:left w:val="double" w:color="auto" w:sz="4" w:space="0"/>
              <w:bottom w:val="single" w:color="auto" w:sz="6" w:space="0"/>
              <w:right w:val="double" w:color="auto" w:sz="4" w:space="0"/>
            </w:tcBorders>
            <w:vAlign w:val="center"/>
          </w:tcPr>
          <w:p>
            <w:pPr>
              <w:adjustRightInd w:val="0"/>
              <w:snapToGrid w:val="0"/>
              <w:spacing w:line="360" w:lineRule="auto"/>
              <w:jc w:val="left"/>
              <w:rPr>
                <w:rFonts w:ascii="宋体" w:hAnsi="宋体"/>
                <w:b/>
                <w:szCs w:val="21"/>
              </w:rPr>
            </w:pPr>
            <w:r>
              <w:rPr>
                <w:rFonts w:hint="eastAsia" w:ascii="宋体" w:hAnsi="宋体" w:cs="宋体"/>
                <w:b/>
                <w:sz w:val="24"/>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6" w:type="dxa"/>
            <w:tcBorders>
              <w:top w:val="single" w:color="auto" w:sz="6" w:space="0"/>
              <w:left w:val="doub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211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862"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103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120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left"/>
              <w:rPr>
                <w:rFonts w:ascii="宋体" w:hAnsi="宋体"/>
                <w:b/>
                <w:szCs w:val="21"/>
              </w:rPr>
            </w:pPr>
          </w:p>
        </w:tc>
        <w:tc>
          <w:tcPr>
            <w:tcW w:w="2411"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2240" w:type="dxa"/>
            <w:tcBorders>
              <w:top w:val="single" w:color="auto" w:sz="6" w:space="0"/>
              <w:left w:val="single" w:color="auto" w:sz="6" w:space="0"/>
              <w:bottom w:val="single" w:color="auto" w:sz="6" w:space="0"/>
              <w:right w:val="double" w:color="auto" w:sz="4" w:space="0"/>
            </w:tcBorders>
          </w:tcPr>
          <w:p>
            <w:pPr>
              <w:adjustRightInd w:val="0"/>
              <w:snapToGrid w:val="0"/>
              <w:spacing w:line="360" w:lineRule="auto"/>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6" w:type="dxa"/>
            <w:tcBorders>
              <w:top w:val="single" w:color="auto" w:sz="6" w:space="0"/>
              <w:left w:val="doub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r>
              <w:rPr>
                <w:rFonts w:hint="eastAsia" w:ascii="宋体" w:hAnsi="宋体"/>
                <w:sz w:val="24"/>
                <w:szCs w:val="21"/>
              </w:rPr>
              <w:t>小计</w:t>
            </w:r>
          </w:p>
        </w:tc>
        <w:tc>
          <w:tcPr>
            <w:tcW w:w="211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862"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103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120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left"/>
              <w:rPr>
                <w:rFonts w:ascii="宋体" w:hAnsi="宋体"/>
                <w:b/>
                <w:szCs w:val="21"/>
              </w:rPr>
            </w:pPr>
          </w:p>
        </w:tc>
        <w:tc>
          <w:tcPr>
            <w:tcW w:w="2411"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2240" w:type="dxa"/>
            <w:tcBorders>
              <w:top w:val="single" w:color="auto" w:sz="6" w:space="0"/>
              <w:left w:val="single" w:color="auto" w:sz="6" w:space="0"/>
              <w:bottom w:val="single" w:color="auto" w:sz="6" w:space="0"/>
              <w:right w:val="double" w:color="auto" w:sz="4" w:space="0"/>
            </w:tcBorders>
          </w:tcPr>
          <w:p>
            <w:pPr>
              <w:adjustRightInd w:val="0"/>
              <w:snapToGrid w:val="0"/>
              <w:spacing w:line="360" w:lineRule="auto"/>
              <w:jc w:val="center"/>
              <w:rPr>
                <w:rFonts w:ascii="宋体" w:hAnsi="宋体"/>
                <w:b/>
                <w:szCs w:val="21"/>
              </w:rPr>
            </w:pPr>
            <w:r>
              <w:rPr>
                <w:rFonts w:hint="eastAsia" w:ascii="宋体" w:hAnsi="宋体"/>
                <w:b/>
                <w:sz w:val="24"/>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10682" w:type="dxa"/>
            <w:gridSpan w:val="7"/>
            <w:tcBorders>
              <w:top w:val="single" w:color="auto" w:sz="6" w:space="0"/>
              <w:left w:val="double" w:color="auto" w:sz="4" w:space="0"/>
              <w:bottom w:val="single" w:color="auto" w:sz="6" w:space="0"/>
              <w:right w:val="double" w:color="auto" w:sz="4" w:space="0"/>
            </w:tcBorders>
            <w:vAlign w:val="center"/>
          </w:tcPr>
          <w:p>
            <w:pPr>
              <w:adjustRightInd w:val="0"/>
              <w:snapToGrid w:val="0"/>
              <w:spacing w:line="360" w:lineRule="auto"/>
              <w:jc w:val="left"/>
              <w:rPr>
                <w:rFonts w:ascii="宋体" w:hAnsi="宋体"/>
                <w:b/>
                <w:szCs w:val="21"/>
              </w:rPr>
            </w:pPr>
            <w:r>
              <w:rPr>
                <w:rFonts w:hint="eastAsia" w:ascii="宋体" w:hAnsi="宋体" w:cs="宋体"/>
                <w:b/>
                <w:sz w:val="24"/>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6" w:type="dxa"/>
            <w:tcBorders>
              <w:top w:val="single" w:color="auto" w:sz="6" w:space="0"/>
              <w:left w:val="doub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211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862"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103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120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left"/>
              <w:rPr>
                <w:rFonts w:ascii="宋体" w:hAnsi="宋体"/>
                <w:b/>
                <w:szCs w:val="21"/>
              </w:rPr>
            </w:pPr>
          </w:p>
        </w:tc>
        <w:tc>
          <w:tcPr>
            <w:tcW w:w="2411"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p>
        </w:tc>
        <w:tc>
          <w:tcPr>
            <w:tcW w:w="2240" w:type="dxa"/>
            <w:tcBorders>
              <w:top w:val="single" w:color="auto" w:sz="6" w:space="0"/>
              <w:left w:val="single" w:color="auto" w:sz="6" w:space="0"/>
              <w:bottom w:val="single" w:color="auto" w:sz="6" w:space="0"/>
              <w:right w:val="double" w:color="auto" w:sz="4" w:space="0"/>
            </w:tcBorders>
          </w:tcPr>
          <w:p>
            <w:pPr>
              <w:adjustRightInd w:val="0"/>
              <w:snapToGrid w:val="0"/>
              <w:spacing w:line="360" w:lineRule="auto"/>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6" w:type="dxa"/>
            <w:tcBorders>
              <w:top w:val="single" w:color="auto" w:sz="6" w:space="0"/>
              <w:left w:val="doub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r>
              <w:rPr>
                <w:rFonts w:hint="eastAsia" w:ascii="宋体" w:hAnsi="宋体"/>
                <w:sz w:val="24"/>
                <w:szCs w:val="21"/>
              </w:rPr>
              <w:t>小计</w:t>
            </w:r>
          </w:p>
        </w:tc>
        <w:tc>
          <w:tcPr>
            <w:tcW w:w="211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862"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103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120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left"/>
              <w:rPr>
                <w:rFonts w:ascii="宋体" w:hAnsi="宋体"/>
                <w:b/>
                <w:szCs w:val="21"/>
              </w:rPr>
            </w:pPr>
          </w:p>
        </w:tc>
        <w:tc>
          <w:tcPr>
            <w:tcW w:w="2411"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b/>
                <w:szCs w:val="21"/>
              </w:rPr>
            </w:pPr>
            <w:r>
              <w:rPr>
                <w:rFonts w:hint="eastAsia" w:ascii="宋体" w:hAnsi="宋体"/>
                <w:b/>
                <w:sz w:val="24"/>
                <w:szCs w:val="21"/>
              </w:rPr>
              <w:t>/</w:t>
            </w:r>
          </w:p>
        </w:tc>
        <w:tc>
          <w:tcPr>
            <w:tcW w:w="2240" w:type="dxa"/>
            <w:tcBorders>
              <w:top w:val="single" w:color="auto" w:sz="6" w:space="0"/>
              <w:left w:val="single" w:color="auto" w:sz="6" w:space="0"/>
              <w:bottom w:val="single" w:color="auto" w:sz="6" w:space="0"/>
              <w:right w:val="double" w:color="auto" w:sz="4" w:space="0"/>
            </w:tcBorders>
          </w:tcPr>
          <w:p>
            <w:pPr>
              <w:adjustRightInd w:val="0"/>
              <w:snapToGrid w:val="0"/>
              <w:spacing w:line="360" w:lineRule="auto"/>
              <w:jc w:val="center"/>
              <w:rPr>
                <w:rFonts w:ascii="宋体" w:hAnsi="宋体"/>
                <w:b/>
                <w:szCs w:val="21"/>
              </w:rPr>
            </w:pPr>
            <w:r>
              <w:rPr>
                <w:rFonts w:hint="eastAsia" w:ascii="宋体" w:hAnsi="宋体"/>
                <w:b/>
                <w:sz w:val="24"/>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10682" w:type="dxa"/>
            <w:gridSpan w:val="7"/>
            <w:tcBorders>
              <w:top w:val="single" w:color="auto" w:sz="6" w:space="0"/>
              <w:left w:val="double" w:color="auto" w:sz="4" w:space="0"/>
              <w:bottom w:val="single" w:color="auto" w:sz="6" w:space="0"/>
              <w:right w:val="double" w:color="auto" w:sz="4" w:space="0"/>
            </w:tcBorders>
            <w:vAlign w:val="center"/>
          </w:tcPr>
          <w:p>
            <w:pPr>
              <w:adjustRightInd w:val="0"/>
              <w:snapToGrid w:val="0"/>
              <w:spacing w:line="360" w:lineRule="auto"/>
              <w:jc w:val="left"/>
              <w:rPr>
                <w:rFonts w:ascii="宋体" w:hAnsi="宋体"/>
                <w:b/>
                <w:szCs w:val="21"/>
              </w:rPr>
            </w:pPr>
            <w:r>
              <w:rPr>
                <w:rFonts w:hint="eastAsia" w:ascii="宋体" w:hAnsi="宋体" w:cs="宋体"/>
                <w:b/>
                <w:sz w:val="24"/>
                <w:szCs w:val="21"/>
              </w:rPr>
              <w:t>两型产品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6" w:type="dxa"/>
            <w:tcBorders>
              <w:top w:val="single" w:color="auto" w:sz="6" w:space="0"/>
              <w:left w:val="double" w:color="auto" w:sz="4"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p>
        </w:tc>
        <w:tc>
          <w:tcPr>
            <w:tcW w:w="211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p>
        </w:tc>
        <w:tc>
          <w:tcPr>
            <w:tcW w:w="862"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p>
        </w:tc>
        <w:tc>
          <w:tcPr>
            <w:tcW w:w="1033"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p>
        </w:tc>
        <w:tc>
          <w:tcPr>
            <w:tcW w:w="120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p>
        </w:tc>
        <w:tc>
          <w:tcPr>
            <w:tcW w:w="2411"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line="360" w:lineRule="auto"/>
              <w:jc w:val="center"/>
              <w:rPr>
                <w:rFonts w:ascii="宋体" w:hAnsi="宋体"/>
                <w:szCs w:val="21"/>
              </w:rPr>
            </w:pPr>
          </w:p>
        </w:tc>
        <w:tc>
          <w:tcPr>
            <w:tcW w:w="2240" w:type="dxa"/>
            <w:tcBorders>
              <w:top w:val="single" w:color="auto" w:sz="6" w:space="0"/>
              <w:left w:val="single" w:color="auto" w:sz="6" w:space="0"/>
              <w:bottom w:val="single" w:color="auto" w:sz="6" w:space="0"/>
              <w:right w:val="double" w:color="auto" w:sz="4" w:space="0"/>
            </w:tcBorders>
          </w:tcPr>
          <w:p>
            <w:pPr>
              <w:adjustRightInd w:val="0"/>
              <w:snapToGrid w:val="0"/>
              <w:spacing w:line="360" w:lineRule="auto"/>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6" w:type="dxa"/>
            <w:tcBorders>
              <w:top w:val="single" w:color="auto" w:sz="6" w:space="0"/>
              <w:left w:val="double" w:color="auto" w:sz="4" w:space="0"/>
              <w:bottom w:val="double" w:color="auto" w:sz="4" w:space="0"/>
              <w:right w:val="single" w:color="auto" w:sz="6" w:space="0"/>
            </w:tcBorders>
            <w:vAlign w:val="center"/>
          </w:tcPr>
          <w:p>
            <w:pPr>
              <w:adjustRightInd w:val="0"/>
              <w:snapToGrid w:val="0"/>
              <w:spacing w:line="360" w:lineRule="auto"/>
              <w:jc w:val="center"/>
              <w:rPr>
                <w:rFonts w:ascii="宋体" w:hAnsi="宋体"/>
                <w:szCs w:val="21"/>
              </w:rPr>
            </w:pPr>
            <w:r>
              <w:rPr>
                <w:rFonts w:hint="eastAsia" w:ascii="宋体" w:hAnsi="宋体"/>
                <w:sz w:val="24"/>
                <w:szCs w:val="21"/>
              </w:rPr>
              <w:t>小计</w:t>
            </w:r>
          </w:p>
        </w:tc>
        <w:tc>
          <w:tcPr>
            <w:tcW w:w="2113" w:type="dxa"/>
            <w:tcBorders>
              <w:top w:val="single" w:color="auto" w:sz="6" w:space="0"/>
              <w:left w:val="single" w:color="auto" w:sz="6" w:space="0"/>
              <w:bottom w:val="double" w:color="auto" w:sz="4" w:space="0"/>
              <w:right w:val="single" w:color="auto" w:sz="6" w:space="0"/>
            </w:tcBorders>
            <w:vAlign w:val="center"/>
          </w:tcPr>
          <w:p>
            <w:pPr>
              <w:adjustRightInd w:val="0"/>
              <w:snapToGrid w:val="0"/>
              <w:spacing w:line="360" w:lineRule="auto"/>
              <w:jc w:val="center"/>
              <w:rPr>
                <w:rFonts w:ascii="宋体" w:hAnsi="宋体"/>
                <w:szCs w:val="21"/>
              </w:rPr>
            </w:pPr>
            <w:r>
              <w:rPr>
                <w:rFonts w:hint="eastAsia" w:ascii="宋体" w:hAnsi="宋体"/>
                <w:sz w:val="24"/>
                <w:szCs w:val="21"/>
              </w:rPr>
              <w:t>/</w:t>
            </w:r>
          </w:p>
        </w:tc>
        <w:tc>
          <w:tcPr>
            <w:tcW w:w="862" w:type="dxa"/>
            <w:tcBorders>
              <w:top w:val="single" w:color="auto" w:sz="6" w:space="0"/>
              <w:left w:val="single" w:color="auto" w:sz="6" w:space="0"/>
              <w:bottom w:val="double" w:color="auto" w:sz="4" w:space="0"/>
              <w:right w:val="single" w:color="auto" w:sz="6" w:space="0"/>
            </w:tcBorders>
            <w:vAlign w:val="center"/>
          </w:tcPr>
          <w:p>
            <w:pPr>
              <w:adjustRightInd w:val="0"/>
              <w:snapToGrid w:val="0"/>
              <w:spacing w:line="360" w:lineRule="auto"/>
              <w:jc w:val="center"/>
              <w:rPr>
                <w:rFonts w:ascii="宋体" w:hAnsi="宋体"/>
                <w:szCs w:val="21"/>
              </w:rPr>
            </w:pPr>
            <w:r>
              <w:rPr>
                <w:rFonts w:hint="eastAsia" w:ascii="宋体" w:hAnsi="宋体"/>
                <w:sz w:val="24"/>
                <w:szCs w:val="21"/>
              </w:rPr>
              <w:t>/</w:t>
            </w:r>
          </w:p>
        </w:tc>
        <w:tc>
          <w:tcPr>
            <w:tcW w:w="1033" w:type="dxa"/>
            <w:tcBorders>
              <w:top w:val="single" w:color="auto" w:sz="6" w:space="0"/>
              <w:left w:val="single" w:color="auto" w:sz="6" w:space="0"/>
              <w:bottom w:val="double" w:color="auto" w:sz="4" w:space="0"/>
              <w:right w:val="single" w:color="auto" w:sz="6" w:space="0"/>
            </w:tcBorders>
            <w:vAlign w:val="center"/>
          </w:tcPr>
          <w:p>
            <w:pPr>
              <w:adjustRightInd w:val="0"/>
              <w:snapToGrid w:val="0"/>
              <w:spacing w:line="360" w:lineRule="auto"/>
              <w:jc w:val="center"/>
              <w:rPr>
                <w:rFonts w:ascii="宋体" w:hAnsi="宋体"/>
                <w:szCs w:val="21"/>
              </w:rPr>
            </w:pPr>
            <w:r>
              <w:rPr>
                <w:rFonts w:hint="eastAsia" w:ascii="宋体" w:hAnsi="宋体"/>
                <w:sz w:val="24"/>
                <w:szCs w:val="21"/>
              </w:rPr>
              <w:t>/</w:t>
            </w:r>
          </w:p>
        </w:tc>
        <w:tc>
          <w:tcPr>
            <w:tcW w:w="1207" w:type="dxa"/>
            <w:tcBorders>
              <w:top w:val="single" w:color="auto" w:sz="6" w:space="0"/>
              <w:left w:val="single" w:color="auto" w:sz="6" w:space="0"/>
              <w:bottom w:val="double" w:color="auto" w:sz="4" w:space="0"/>
              <w:right w:val="single" w:color="auto" w:sz="6" w:space="0"/>
            </w:tcBorders>
            <w:vAlign w:val="center"/>
          </w:tcPr>
          <w:p>
            <w:pPr>
              <w:adjustRightInd w:val="0"/>
              <w:snapToGrid w:val="0"/>
              <w:spacing w:line="360" w:lineRule="auto"/>
              <w:jc w:val="center"/>
              <w:rPr>
                <w:rFonts w:ascii="宋体" w:hAnsi="宋体"/>
                <w:szCs w:val="21"/>
              </w:rPr>
            </w:pPr>
          </w:p>
        </w:tc>
        <w:tc>
          <w:tcPr>
            <w:tcW w:w="2411" w:type="dxa"/>
            <w:tcBorders>
              <w:top w:val="single" w:color="auto" w:sz="6" w:space="0"/>
              <w:left w:val="single" w:color="auto" w:sz="6" w:space="0"/>
              <w:bottom w:val="double" w:color="auto" w:sz="4" w:space="0"/>
              <w:right w:val="single" w:color="auto" w:sz="6" w:space="0"/>
            </w:tcBorders>
            <w:vAlign w:val="center"/>
          </w:tcPr>
          <w:p>
            <w:pPr>
              <w:adjustRightInd w:val="0"/>
              <w:snapToGrid w:val="0"/>
              <w:spacing w:line="360" w:lineRule="auto"/>
              <w:jc w:val="center"/>
              <w:rPr>
                <w:rFonts w:ascii="宋体" w:hAnsi="宋体"/>
                <w:szCs w:val="21"/>
              </w:rPr>
            </w:pPr>
            <w:r>
              <w:rPr>
                <w:rFonts w:hint="eastAsia" w:ascii="宋体" w:hAnsi="宋体"/>
                <w:sz w:val="24"/>
                <w:szCs w:val="21"/>
              </w:rPr>
              <w:t>/</w:t>
            </w:r>
          </w:p>
        </w:tc>
        <w:tc>
          <w:tcPr>
            <w:tcW w:w="2240" w:type="dxa"/>
            <w:tcBorders>
              <w:top w:val="single" w:color="auto" w:sz="6" w:space="0"/>
              <w:left w:val="single" w:color="auto" w:sz="6" w:space="0"/>
              <w:bottom w:val="double" w:color="auto" w:sz="4" w:space="0"/>
              <w:right w:val="double" w:color="auto" w:sz="4" w:space="0"/>
            </w:tcBorders>
          </w:tcPr>
          <w:p>
            <w:pPr>
              <w:adjustRightInd w:val="0"/>
              <w:snapToGrid w:val="0"/>
              <w:spacing w:line="360" w:lineRule="auto"/>
              <w:jc w:val="center"/>
              <w:rPr>
                <w:rFonts w:ascii="宋体" w:hAnsi="宋体"/>
                <w:szCs w:val="21"/>
              </w:rPr>
            </w:pPr>
            <w:r>
              <w:rPr>
                <w:rFonts w:hint="eastAsia" w:ascii="宋体" w:hAnsi="宋体"/>
                <w:sz w:val="24"/>
                <w:szCs w:val="21"/>
              </w:rPr>
              <w:t>/</w:t>
            </w:r>
          </w:p>
        </w:tc>
      </w:tr>
    </w:tbl>
    <w:p>
      <w:pPr>
        <w:adjustRightInd w:val="0"/>
        <w:snapToGrid w:val="0"/>
        <w:spacing w:line="360" w:lineRule="auto"/>
        <w:jc w:val="left"/>
        <w:rPr>
          <w:rFonts w:ascii="宋体" w:hAnsi="宋体"/>
          <w:szCs w:val="21"/>
        </w:rPr>
      </w:pPr>
      <w:r>
        <w:rPr>
          <w:rFonts w:hint="eastAsia" w:ascii="宋体" w:hAnsi="宋体"/>
          <w:sz w:val="24"/>
          <w:szCs w:val="21"/>
        </w:rPr>
        <w:t>说明：</w:t>
      </w:r>
      <w:r>
        <w:rPr>
          <w:rFonts w:hint="eastAsia" w:ascii="宋体" w:hAnsi="宋体"/>
          <w:bCs/>
          <w:sz w:val="24"/>
          <w:szCs w:val="21"/>
        </w:rPr>
        <w:t>1、</w:t>
      </w:r>
      <w:r>
        <w:rPr>
          <w:rFonts w:hint="eastAsia" w:ascii="宋体" w:hAnsi="宋体"/>
          <w:sz w:val="24"/>
          <w:szCs w:val="21"/>
        </w:rPr>
        <w:t>本表用于计算节能产品、环境标志产品、两型产品的政策功能加分或价格扣除。</w:t>
      </w:r>
    </w:p>
    <w:p>
      <w:pPr>
        <w:adjustRightInd w:val="0"/>
        <w:snapToGrid w:val="0"/>
        <w:spacing w:line="360" w:lineRule="auto"/>
        <w:ind w:firstLine="720" w:firstLineChars="300"/>
        <w:jc w:val="left"/>
        <w:rPr>
          <w:rFonts w:ascii="宋体" w:hAnsi="宋体"/>
          <w:sz w:val="24"/>
          <w:szCs w:val="21"/>
        </w:rPr>
      </w:pPr>
      <w:r>
        <w:rPr>
          <w:rFonts w:hint="eastAsia" w:ascii="宋体" w:hAnsi="宋体"/>
          <w:sz w:val="24"/>
          <w:szCs w:val="21"/>
        </w:rPr>
        <w:t>2、栏目7“政策功能编码”是指货物的中国环境标志认证证书编号、节能标志认证证书号、两型产品编号（货物同时属于节能产品、环境标志产品、两型产品的，只填写一种）。</w:t>
      </w:r>
    </w:p>
    <w:p>
      <w:pPr>
        <w:adjustRightInd w:val="0"/>
        <w:snapToGrid w:val="0"/>
        <w:spacing w:line="360" w:lineRule="auto"/>
        <w:ind w:firstLine="720" w:firstLineChars="300"/>
        <w:jc w:val="left"/>
        <w:rPr>
          <w:rFonts w:ascii="宋体" w:hAnsi="宋体"/>
          <w:sz w:val="24"/>
          <w:szCs w:val="21"/>
        </w:rPr>
      </w:pPr>
      <w:r>
        <w:rPr>
          <w:rFonts w:hint="eastAsia" w:ascii="宋体" w:hAnsi="宋体"/>
          <w:sz w:val="24"/>
          <w:szCs w:val="21"/>
        </w:rPr>
        <w:t>3、栏目4“单价”为综合单价，包含货物所有隐含的内容，如运输费、保险费、管理费和利润等。</w:t>
      </w:r>
    </w:p>
    <w:p>
      <w:pPr>
        <w:adjustRightInd w:val="0"/>
        <w:snapToGrid w:val="0"/>
        <w:spacing w:line="360" w:lineRule="auto"/>
        <w:ind w:firstLine="720" w:firstLineChars="300"/>
        <w:rPr>
          <w:rFonts w:ascii="宋体" w:hAnsi="宋体"/>
          <w:bCs/>
          <w:sz w:val="24"/>
          <w:szCs w:val="21"/>
        </w:rPr>
      </w:pPr>
      <w:r>
        <w:rPr>
          <w:rFonts w:hint="eastAsia" w:ascii="宋体" w:hAnsi="宋体"/>
          <w:bCs/>
          <w:sz w:val="24"/>
          <w:szCs w:val="21"/>
        </w:rPr>
        <w:t>4、未按上述要求提供、</w:t>
      </w:r>
      <w:r>
        <w:rPr>
          <w:rFonts w:hint="eastAsia" w:ascii="宋体" w:hAnsi="宋体"/>
          <w:sz w:val="24"/>
          <w:szCs w:val="21"/>
        </w:rPr>
        <w:t>填写的，</w:t>
      </w:r>
      <w:r>
        <w:rPr>
          <w:rFonts w:hint="eastAsia" w:ascii="宋体" w:hAnsi="宋体"/>
          <w:bCs/>
          <w:sz w:val="24"/>
          <w:szCs w:val="21"/>
        </w:rPr>
        <w:t>评审时本表所有优惠不予以考虑。</w:t>
      </w:r>
    </w:p>
    <w:p>
      <w:pPr>
        <w:adjustRightInd w:val="0"/>
        <w:snapToGrid w:val="0"/>
        <w:spacing w:line="360" w:lineRule="auto"/>
        <w:rPr>
          <w:rFonts w:ascii="宋体" w:hAnsi="宋体"/>
          <w:sz w:val="24"/>
          <w:szCs w:val="21"/>
        </w:rPr>
      </w:pPr>
    </w:p>
    <w:p>
      <w:pPr>
        <w:adjustRightInd w:val="0"/>
        <w:snapToGrid w:val="0"/>
        <w:spacing w:line="360" w:lineRule="auto"/>
        <w:rPr>
          <w:rFonts w:ascii="宋体" w:hAnsi="宋体"/>
          <w:sz w:val="24"/>
          <w:szCs w:val="21"/>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r>
        <w:rPr>
          <w:rFonts w:eastAsia="Times New Roman"/>
          <w:kern w:val="0"/>
          <w:sz w:val="24"/>
          <w:szCs w:val="24"/>
        </w:rPr>
        <w:br w:type="page"/>
      </w:r>
      <w:bookmarkStart w:id="103" w:name="_Toc88555072"/>
      <w:r>
        <w:rPr>
          <w:rFonts w:hint="eastAsia" w:ascii="黑体" w:hAnsi="宋体" w:eastAsia="黑体"/>
          <w:color w:val="000000" w:themeColor="text1"/>
          <w:sz w:val="28"/>
          <w:szCs w:val="28"/>
          <w14:textFill>
            <w14:solidFill>
              <w14:schemeClr w14:val="tx1"/>
            </w14:solidFill>
          </w14:textFill>
        </w:rPr>
        <w:t>九、投标人认为需提供的其他资料</w:t>
      </w:r>
      <w:bookmarkEnd w:id="103"/>
    </w:p>
    <w:p>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r>
        <w:rPr>
          <w:rFonts w:ascii="黑体" w:hAnsi="宋体" w:eastAsia="黑体"/>
          <w:color w:val="000000" w:themeColor="text1"/>
          <w:sz w:val="28"/>
          <w:szCs w:val="28"/>
          <w14:textFill>
            <w14:solidFill>
              <w14:schemeClr w14:val="tx1"/>
            </w14:solidFill>
          </w14:textFill>
        </w:rPr>
        <w:br w:type="page"/>
      </w:r>
      <w:bookmarkStart w:id="104" w:name="_Toc88555073"/>
      <w:r>
        <w:rPr>
          <w:rFonts w:hint="eastAsia" w:ascii="黑体" w:hAnsi="宋体" w:eastAsia="黑体"/>
          <w:color w:val="000000" w:themeColor="text1"/>
          <w:sz w:val="28"/>
          <w:szCs w:val="28"/>
          <w14:textFill>
            <w14:solidFill>
              <w14:schemeClr w14:val="tx1"/>
            </w14:solidFill>
          </w14:textFill>
        </w:rPr>
        <w:t>十、货物服务说明一览表</w:t>
      </w:r>
      <w:bookmarkEnd w:id="104"/>
    </w:p>
    <w:p>
      <w:r>
        <w:rPr>
          <w:rFonts w:hint="eastAsia"/>
        </w:rPr>
        <w:t>采购代理编号：</w:t>
      </w:r>
      <w:r>
        <w:rPr>
          <w:rFonts w:asciiTheme="minorEastAsia" w:hAnsiTheme="minorEastAsia" w:eastAsiaTheme="minorEastAsia"/>
          <w:color w:val="000000" w:themeColor="text1"/>
          <w:szCs w:val="21"/>
          <w:u w:val="single"/>
          <w14:textFill>
            <w14:solidFill>
              <w14:schemeClr w14:val="tx1"/>
            </w14:solidFill>
          </w14:textFill>
        </w:rPr>
        <w:t xml:space="preserve">         </w:t>
      </w:r>
      <w:r>
        <w:t xml:space="preserve">                     </w:t>
      </w:r>
      <w:r>
        <w:rPr>
          <w:rFonts w:hint="eastAsia"/>
        </w:rPr>
        <w:t>项目名称：</w:t>
      </w:r>
      <w:r>
        <w:t>_____</w:t>
      </w:r>
      <w:r>
        <w:rPr>
          <w:u w:val="single"/>
        </w:rPr>
        <w:t>__    ___</w:t>
      </w:r>
      <w:r>
        <w:rPr>
          <w:rFonts w:hint="eastAsia"/>
          <w:u w:val="single"/>
        </w:rPr>
        <w:t xml:space="preserve"> </w:t>
      </w:r>
    </w:p>
    <w:tbl>
      <w:tblPr>
        <w:tblStyle w:val="46"/>
        <w:tblW w:w="106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8"/>
        <w:gridCol w:w="1377"/>
        <w:gridCol w:w="1377"/>
        <w:gridCol w:w="1724"/>
        <w:gridCol w:w="1551"/>
        <w:gridCol w:w="2239"/>
        <w:gridCol w:w="172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689" w:type="dxa"/>
            <w:tcBorders>
              <w:top w:val="double" w:color="auto" w:sz="4"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r>
              <w:rPr>
                <w:rFonts w:hint="eastAsia" w:ascii="宋体" w:hAnsi="宋体"/>
                <w:bCs/>
                <w:sz w:val="24"/>
                <w:szCs w:val="21"/>
              </w:rPr>
              <w:t>序号</w:t>
            </w:r>
          </w:p>
        </w:tc>
        <w:tc>
          <w:tcPr>
            <w:tcW w:w="1378"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r>
              <w:rPr>
                <w:rFonts w:hint="eastAsia" w:ascii="宋体" w:hAnsi="宋体"/>
                <w:bCs/>
                <w:sz w:val="24"/>
                <w:szCs w:val="21"/>
              </w:rPr>
              <w:t>标段号</w:t>
            </w:r>
          </w:p>
        </w:tc>
        <w:tc>
          <w:tcPr>
            <w:tcW w:w="1377"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r>
              <w:rPr>
                <w:rFonts w:hint="eastAsia" w:ascii="宋体" w:hAnsi="宋体"/>
                <w:bCs/>
                <w:sz w:val="24"/>
                <w:szCs w:val="21"/>
              </w:rPr>
              <w:t>货物名称</w:t>
            </w:r>
          </w:p>
        </w:tc>
        <w:tc>
          <w:tcPr>
            <w:tcW w:w="1724"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r>
              <w:rPr>
                <w:rFonts w:hint="eastAsia" w:ascii="宋体" w:hAnsi="宋体"/>
                <w:bCs/>
                <w:sz w:val="24"/>
                <w:szCs w:val="21"/>
              </w:rPr>
              <w:t>制造商名称</w:t>
            </w:r>
          </w:p>
        </w:tc>
        <w:tc>
          <w:tcPr>
            <w:tcW w:w="1551"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r>
              <w:rPr>
                <w:rFonts w:hint="eastAsia" w:ascii="宋体" w:hAnsi="宋体"/>
                <w:bCs/>
                <w:sz w:val="24"/>
                <w:szCs w:val="21"/>
              </w:rPr>
              <w:t>型号规格</w:t>
            </w:r>
          </w:p>
        </w:tc>
        <w:tc>
          <w:tcPr>
            <w:tcW w:w="2239"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r>
              <w:rPr>
                <w:rFonts w:hint="eastAsia" w:ascii="宋体" w:hAnsi="宋体"/>
                <w:bCs/>
                <w:sz w:val="24"/>
                <w:szCs w:val="21"/>
              </w:rPr>
              <w:t>主要技术参数和技术指标</w:t>
            </w:r>
          </w:p>
        </w:tc>
        <w:tc>
          <w:tcPr>
            <w:tcW w:w="1724" w:type="dxa"/>
            <w:tcBorders>
              <w:top w:val="double" w:color="auto" w:sz="4"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宋体"/>
                <w:b/>
                <w:szCs w:val="21"/>
              </w:rPr>
            </w:pPr>
            <w:r>
              <w:rPr>
                <w:rFonts w:hint="eastAsia" w:ascii="宋体" w:hAnsi="宋体"/>
                <w:bCs/>
                <w:sz w:val="24"/>
                <w:szCs w:val="21"/>
              </w:rPr>
              <w:t>备  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9"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8"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7"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551"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2239"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89"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8"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7"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551"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2239"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9"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8"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7"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551"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2239"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89"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8"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7"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551"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2239"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9"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8"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7"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551"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2239"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89"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8"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7"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551"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2239"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9" w:type="dxa"/>
            <w:tcBorders>
              <w:top w:val="single" w:color="auto" w:sz="6" w:space="0"/>
              <w:left w:val="double" w:color="auto" w:sz="4" w:space="0"/>
              <w:bottom w:val="double" w:color="auto" w:sz="4"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8" w:type="dxa"/>
            <w:tcBorders>
              <w:top w:val="single" w:color="auto" w:sz="6" w:space="0"/>
              <w:left w:val="single" w:color="auto" w:sz="6" w:space="0"/>
              <w:bottom w:val="double" w:color="auto" w:sz="4"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377" w:type="dxa"/>
            <w:tcBorders>
              <w:top w:val="single" w:color="auto" w:sz="6" w:space="0"/>
              <w:left w:val="single" w:color="auto" w:sz="6" w:space="0"/>
              <w:bottom w:val="double" w:color="auto" w:sz="4"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double" w:color="auto" w:sz="4"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551" w:type="dxa"/>
            <w:tcBorders>
              <w:top w:val="single" w:color="auto" w:sz="6" w:space="0"/>
              <w:left w:val="single" w:color="auto" w:sz="6" w:space="0"/>
              <w:bottom w:val="double" w:color="auto" w:sz="4"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2239" w:type="dxa"/>
            <w:tcBorders>
              <w:top w:val="single" w:color="auto" w:sz="6" w:space="0"/>
              <w:left w:val="single" w:color="auto" w:sz="6" w:space="0"/>
              <w:bottom w:val="double" w:color="auto" w:sz="4" w:space="0"/>
              <w:right w:val="single" w:color="auto" w:sz="6" w:space="0"/>
            </w:tcBorders>
          </w:tcPr>
          <w:p>
            <w:pPr>
              <w:adjustRightInd w:val="0"/>
              <w:snapToGrid w:val="0"/>
              <w:spacing w:line="400" w:lineRule="atLeast"/>
              <w:ind w:left="-88" w:leftChars="-42"/>
              <w:jc w:val="center"/>
              <w:rPr>
                <w:rFonts w:ascii="宋体" w:hAnsi="宋体"/>
                <w:b/>
                <w:szCs w:val="21"/>
              </w:rPr>
            </w:pPr>
          </w:p>
        </w:tc>
        <w:tc>
          <w:tcPr>
            <w:tcW w:w="1724" w:type="dxa"/>
            <w:tcBorders>
              <w:top w:val="single" w:color="auto" w:sz="6" w:space="0"/>
              <w:left w:val="single" w:color="auto" w:sz="6" w:space="0"/>
              <w:bottom w:val="double" w:color="auto" w:sz="4" w:space="0"/>
              <w:right w:val="double" w:color="auto" w:sz="4" w:space="0"/>
            </w:tcBorders>
          </w:tcPr>
          <w:p>
            <w:pPr>
              <w:adjustRightInd w:val="0"/>
              <w:snapToGrid w:val="0"/>
              <w:spacing w:line="400" w:lineRule="atLeast"/>
              <w:ind w:left="-88" w:leftChars="-42"/>
              <w:jc w:val="center"/>
              <w:rPr>
                <w:rFonts w:ascii="宋体" w:hAnsi="宋体"/>
                <w:b/>
                <w:szCs w:val="21"/>
              </w:rPr>
            </w:pPr>
          </w:p>
        </w:tc>
      </w:tr>
    </w:tbl>
    <w:p>
      <w:pPr>
        <w:adjustRightInd w:val="0"/>
        <w:snapToGrid w:val="0"/>
        <w:ind w:left="-88" w:leftChars="-42"/>
        <w:rPr>
          <w:rFonts w:ascii="宋体" w:hAnsi="宋体"/>
          <w:bCs/>
          <w:kern w:val="0"/>
          <w:szCs w:val="21"/>
        </w:rPr>
      </w:pPr>
    </w:p>
    <w:p>
      <w:pPr>
        <w:adjustRightInd w:val="0"/>
        <w:snapToGrid w:val="0"/>
        <w:ind w:left="-88" w:leftChars="-42"/>
        <w:rPr>
          <w:rFonts w:ascii="仿宋_GB2312" w:hAnsi="宋体" w:eastAsia="仿宋_GB2312"/>
          <w:bCs/>
          <w:kern w:val="0"/>
          <w:szCs w:val="21"/>
        </w:rPr>
      </w:pPr>
      <w:r>
        <w:rPr>
          <w:rFonts w:hint="eastAsia" w:ascii="仿宋_GB2312" w:hAnsi="宋体" w:eastAsia="仿宋_GB2312"/>
          <w:b/>
          <w:kern w:val="0"/>
          <w:szCs w:val="21"/>
        </w:rPr>
        <w:t>备注</w:t>
      </w:r>
      <w:r>
        <w:rPr>
          <w:rFonts w:hint="eastAsia" w:ascii="仿宋_GB2312" w:hAnsi="宋体" w:eastAsia="仿宋_GB2312"/>
          <w:bCs/>
          <w:kern w:val="0"/>
          <w:szCs w:val="21"/>
        </w:rPr>
        <w:t>：货物的主要技术参数和技术指标可另页描述。</w:t>
      </w:r>
    </w:p>
    <w:p>
      <w:pPr>
        <w:adjustRightInd w:val="0"/>
        <w:snapToGrid w:val="0"/>
        <w:spacing w:line="360" w:lineRule="auto"/>
        <w:ind w:left="-88" w:leftChars="-42"/>
        <w:rPr>
          <w:rFonts w:ascii="宋体" w:hAnsi="宋体"/>
          <w:szCs w:val="21"/>
        </w:rPr>
      </w:pPr>
    </w:p>
    <w:p>
      <w:pPr>
        <w:adjustRightInd w:val="0"/>
        <w:snapToGrid w:val="0"/>
        <w:spacing w:line="360" w:lineRule="auto"/>
        <w:ind w:left="-88" w:leftChars="-42"/>
        <w:rPr>
          <w:rFonts w:ascii="宋体" w:hAnsi="宋体"/>
          <w:sz w:val="24"/>
          <w:szCs w:val="21"/>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pStyle w:val="7"/>
        <w:adjustRightInd w:val="0"/>
        <w:snapToGrid w:val="0"/>
        <w:spacing w:before="0" w:after="0" w:line="360" w:lineRule="auto"/>
        <w:jc w:val="center"/>
        <w:rPr>
          <w:rFonts w:eastAsia="Times New Roman"/>
          <w:kern w:val="0"/>
          <w:sz w:val="24"/>
          <w:szCs w:val="24"/>
        </w:rPr>
      </w:pPr>
      <w:r>
        <w:rPr>
          <w:rFonts w:eastAsia="Times New Roman"/>
          <w:kern w:val="0"/>
          <w:sz w:val="24"/>
          <w:szCs w:val="24"/>
        </w:rPr>
        <w:br w:type="page"/>
      </w:r>
      <w:bookmarkStart w:id="105" w:name="_Toc88555074"/>
      <w:r>
        <w:rPr>
          <w:rFonts w:hint="eastAsia" w:ascii="黑体" w:hAnsi="宋体" w:eastAsia="黑体"/>
          <w:color w:val="000000" w:themeColor="text1"/>
          <w:sz w:val="28"/>
          <w:szCs w:val="28"/>
          <w14:textFill>
            <w14:solidFill>
              <w14:schemeClr w14:val="tx1"/>
            </w14:solidFill>
          </w14:textFill>
        </w:rPr>
        <w:t>十一、技术响应偏离表</w:t>
      </w:r>
      <w:bookmarkEnd w:id="105"/>
    </w:p>
    <w:p>
      <w:r>
        <w:rPr>
          <w:rFonts w:hint="eastAsia"/>
        </w:rPr>
        <w:t>采购代理编号：</w:t>
      </w:r>
      <w:r>
        <w:rPr>
          <w:rFonts w:asciiTheme="minorEastAsia" w:hAnsiTheme="minorEastAsia" w:eastAsiaTheme="minorEastAsia"/>
          <w:color w:val="000000" w:themeColor="text1"/>
          <w:szCs w:val="21"/>
          <w:u w:val="single"/>
          <w14:textFill>
            <w14:solidFill>
              <w14:schemeClr w14:val="tx1"/>
            </w14:solidFill>
          </w14:textFill>
        </w:rPr>
        <w:t xml:space="preserve">         </w:t>
      </w:r>
      <w:r>
        <w:t xml:space="preserve">                     </w:t>
      </w:r>
      <w:r>
        <w:rPr>
          <w:rFonts w:hint="eastAsia"/>
        </w:rPr>
        <w:t>项目名称：</w:t>
      </w:r>
      <w:r>
        <w:t>_____</w:t>
      </w:r>
      <w:r>
        <w:rPr>
          <w:u w:val="single"/>
        </w:rPr>
        <w:t>__    ___</w:t>
      </w:r>
      <w:r>
        <w:rPr>
          <w:rFonts w:hint="eastAsia"/>
          <w:u w:val="single"/>
        </w:rPr>
        <w:t xml:space="preserve"> </w:t>
      </w:r>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171"/>
        <w:gridCol w:w="3094"/>
        <w:gridCol w:w="3272"/>
        <w:gridCol w:w="1715"/>
        <w:gridCol w:w="12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1171" w:type="dxa"/>
            <w:tcBorders>
              <w:top w:val="double" w:color="auto" w:sz="4"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bCs/>
                <w:sz w:val="24"/>
                <w:szCs w:val="21"/>
              </w:rPr>
              <w:t>序</w:t>
            </w:r>
            <w:r>
              <w:rPr>
                <w:rFonts w:hint="eastAsia" w:ascii="宋体" w:hAnsi="宋体"/>
                <w:sz w:val="24"/>
                <w:szCs w:val="21"/>
              </w:rPr>
              <w:t>号</w:t>
            </w:r>
          </w:p>
        </w:tc>
        <w:tc>
          <w:tcPr>
            <w:tcW w:w="3094" w:type="dxa"/>
            <w:tcBorders>
              <w:top w:val="double" w:color="auto" w:sz="4"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sz w:val="24"/>
                <w:szCs w:val="21"/>
              </w:rPr>
              <w:t>招标文件章节</w:t>
            </w:r>
            <w:r>
              <w:rPr>
                <w:rFonts w:hint="eastAsia" w:ascii="宋体" w:hAnsi="宋体"/>
                <w:bCs/>
                <w:sz w:val="24"/>
                <w:szCs w:val="21"/>
              </w:rPr>
              <w:t>和条</w:t>
            </w:r>
            <w:r>
              <w:rPr>
                <w:rFonts w:hint="eastAsia" w:ascii="宋体" w:hAnsi="宋体"/>
                <w:sz w:val="24"/>
                <w:szCs w:val="21"/>
              </w:rPr>
              <w:t>款号</w:t>
            </w:r>
          </w:p>
        </w:tc>
        <w:tc>
          <w:tcPr>
            <w:tcW w:w="3272" w:type="dxa"/>
            <w:tcBorders>
              <w:top w:val="double" w:color="auto" w:sz="4"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sz w:val="24"/>
                <w:szCs w:val="21"/>
              </w:rPr>
              <w:t>投标文件章节</w:t>
            </w:r>
            <w:r>
              <w:rPr>
                <w:rFonts w:hint="eastAsia" w:ascii="宋体" w:hAnsi="宋体"/>
                <w:bCs/>
                <w:sz w:val="24"/>
                <w:szCs w:val="21"/>
              </w:rPr>
              <w:t>和条</w:t>
            </w:r>
            <w:r>
              <w:rPr>
                <w:rFonts w:hint="eastAsia" w:ascii="宋体" w:hAnsi="宋体"/>
                <w:sz w:val="24"/>
                <w:szCs w:val="21"/>
              </w:rPr>
              <w:t>款号</w:t>
            </w:r>
          </w:p>
        </w:tc>
        <w:tc>
          <w:tcPr>
            <w:tcW w:w="1715" w:type="dxa"/>
            <w:tcBorders>
              <w:top w:val="double" w:color="auto" w:sz="4"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r>
              <w:rPr>
                <w:rFonts w:hint="eastAsia" w:ascii="宋体" w:hAnsi="宋体"/>
                <w:sz w:val="24"/>
                <w:szCs w:val="21"/>
              </w:rPr>
              <w:t>响应/偏离</w:t>
            </w:r>
          </w:p>
        </w:tc>
        <w:tc>
          <w:tcPr>
            <w:tcW w:w="1270" w:type="dxa"/>
            <w:tcBorders>
              <w:top w:val="double" w:color="auto" w:sz="4"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r>
              <w:rPr>
                <w:rFonts w:hint="eastAsia" w:ascii="宋体" w:hAnsi="宋体"/>
                <w:sz w:val="24"/>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single" w:color="auto" w:sz="6"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single" w:color="auto" w:sz="6" w:space="0"/>
              <w:right w:val="double" w:color="auto" w:sz="4" w:space="0"/>
            </w:tcBorders>
            <w:vAlign w:val="center"/>
          </w:tcPr>
          <w:p>
            <w:pPr>
              <w:adjustRightInd w:val="0"/>
              <w:snapToGrid w:val="0"/>
              <w:ind w:left="-88" w:leftChars="-42"/>
              <w:jc w:val="center"/>
              <w:rPr>
                <w:rFonts w:ascii="宋体" w:hAnsi="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3094" w:type="dxa"/>
            <w:tcBorders>
              <w:top w:val="single" w:color="auto" w:sz="6" w:space="0"/>
              <w:left w:val="single" w:color="auto" w:sz="6"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3272" w:type="dxa"/>
            <w:tcBorders>
              <w:top w:val="single" w:color="auto" w:sz="6" w:space="0"/>
              <w:left w:val="single" w:color="auto" w:sz="6"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1715" w:type="dxa"/>
            <w:tcBorders>
              <w:top w:val="single" w:color="auto" w:sz="6" w:space="0"/>
              <w:left w:val="single" w:color="auto" w:sz="6" w:space="0"/>
              <w:bottom w:val="double" w:color="auto" w:sz="4" w:space="0"/>
              <w:right w:val="single" w:color="auto" w:sz="6" w:space="0"/>
            </w:tcBorders>
            <w:vAlign w:val="center"/>
          </w:tcPr>
          <w:p>
            <w:pPr>
              <w:adjustRightInd w:val="0"/>
              <w:snapToGrid w:val="0"/>
              <w:ind w:left="-88" w:leftChars="-42"/>
              <w:jc w:val="center"/>
              <w:rPr>
                <w:rFonts w:ascii="宋体" w:hAnsi="宋体"/>
                <w:szCs w:val="21"/>
              </w:rPr>
            </w:pPr>
          </w:p>
        </w:tc>
        <w:tc>
          <w:tcPr>
            <w:tcW w:w="1270" w:type="dxa"/>
            <w:tcBorders>
              <w:top w:val="single" w:color="auto" w:sz="6" w:space="0"/>
              <w:left w:val="single" w:color="auto" w:sz="6" w:space="0"/>
              <w:bottom w:val="double" w:color="auto" w:sz="4" w:space="0"/>
              <w:right w:val="double" w:color="auto" w:sz="4" w:space="0"/>
            </w:tcBorders>
            <w:vAlign w:val="center"/>
          </w:tcPr>
          <w:p>
            <w:pPr>
              <w:adjustRightInd w:val="0"/>
              <w:snapToGrid w:val="0"/>
              <w:ind w:left="-88" w:leftChars="-42"/>
              <w:jc w:val="center"/>
              <w:rPr>
                <w:rFonts w:ascii="宋体" w:hAnsi="宋体"/>
                <w:szCs w:val="21"/>
              </w:rPr>
            </w:pPr>
          </w:p>
        </w:tc>
      </w:tr>
    </w:tbl>
    <w:p>
      <w:pPr>
        <w:adjustRightInd w:val="0"/>
        <w:snapToGrid w:val="0"/>
        <w:ind w:left="-88" w:leftChars="-42"/>
        <w:rPr>
          <w:rFonts w:ascii="仿宋_GB2312" w:hAnsi="宋体" w:eastAsia="仿宋_GB2312"/>
          <w:szCs w:val="21"/>
        </w:rPr>
      </w:pPr>
      <w:r>
        <w:rPr>
          <w:rFonts w:hint="eastAsia" w:ascii="仿宋_GB2312" w:hAnsi="宋体" w:eastAsia="仿宋_GB2312"/>
          <w:b/>
          <w:sz w:val="24"/>
          <w:szCs w:val="21"/>
        </w:rPr>
        <w:t>备注</w:t>
      </w:r>
      <w:r>
        <w:rPr>
          <w:rFonts w:hint="eastAsia" w:ascii="仿宋_GB2312" w:hAnsi="宋体" w:eastAsia="仿宋_GB2312"/>
          <w:sz w:val="24"/>
          <w:szCs w:val="21"/>
        </w:rPr>
        <w:t>：“响应/偏离”栏应注明“响应”或“偏离”。</w:t>
      </w:r>
    </w:p>
    <w:p>
      <w:pPr>
        <w:adjustRightInd w:val="0"/>
        <w:snapToGrid w:val="0"/>
        <w:spacing w:before="50" w:line="360" w:lineRule="auto"/>
        <w:rPr>
          <w:rFonts w:ascii="宋体" w:hAnsi="宋体"/>
          <w:sz w:val="24"/>
          <w:szCs w:val="21"/>
        </w:rPr>
      </w:pP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p>
    <w:p>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pPr>
        <w:pStyle w:val="7"/>
        <w:adjustRightInd w:val="0"/>
        <w:snapToGrid w:val="0"/>
        <w:spacing w:before="0" w:after="0" w:line="360" w:lineRule="auto"/>
        <w:jc w:val="center"/>
        <w:rPr>
          <w:rFonts w:eastAsia="Times New Roman"/>
          <w:kern w:val="0"/>
          <w:sz w:val="24"/>
          <w:szCs w:val="24"/>
        </w:rPr>
      </w:pPr>
      <w:r>
        <w:rPr>
          <w:rFonts w:eastAsia="Times New Roman"/>
          <w:kern w:val="0"/>
          <w:sz w:val="24"/>
          <w:szCs w:val="24"/>
        </w:rPr>
        <w:br w:type="page"/>
      </w:r>
      <w:bookmarkStart w:id="106" w:name="_Toc88555075"/>
      <w:bookmarkStart w:id="107" w:name="_Toc256000041"/>
      <w:r>
        <w:rPr>
          <w:rFonts w:hint="eastAsia" w:ascii="黑体" w:hAnsi="宋体" w:eastAsia="黑体"/>
          <w:color w:val="000000" w:themeColor="text1"/>
          <w:sz w:val="28"/>
          <w:szCs w:val="28"/>
          <w14:textFill>
            <w14:solidFill>
              <w14:schemeClr w14:val="tx1"/>
            </w14:solidFill>
          </w14:textFill>
        </w:rPr>
        <w:t>十二、投标货物服务符合招标文件规定的证明文件</w:t>
      </w:r>
      <w:bookmarkEnd w:id="106"/>
      <w:bookmarkEnd w:id="107"/>
    </w:p>
    <w:p>
      <w:pPr>
        <w:rPr>
          <w:rFonts w:ascii="宋体" w:hAnsi="宋体"/>
          <w:sz w:val="24"/>
          <w:szCs w:val="22"/>
        </w:rPr>
      </w:pPr>
      <w:r>
        <w:rPr>
          <w:rFonts w:hint="eastAsia" w:ascii="宋体" w:hAnsi="宋体"/>
          <w:sz w:val="24"/>
          <w:szCs w:val="21"/>
        </w:rPr>
        <w:t>备注：提供第四章规定的证明材料复印件。</w:t>
      </w:r>
    </w:p>
    <w:p>
      <w:pPr>
        <w:pStyle w:val="7"/>
        <w:adjustRightInd w:val="0"/>
        <w:snapToGrid w:val="0"/>
        <w:spacing w:before="0" w:after="0" w:line="360" w:lineRule="auto"/>
        <w:jc w:val="center"/>
        <w:rPr>
          <w:rFonts w:eastAsia="Times New Roman"/>
          <w:kern w:val="0"/>
          <w:sz w:val="24"/>
          <w:szCs w:val="24"/>
        </w:rPr>
      </w:pPr>
      <w:r>
        <w:rPr>
          <w:rFonts w:eastAsia="Times New Roman"/>
          <w:kern w:val="0"/>
          <w:sz w:val="24"/>
          <w:szCs w:val="24"/>
        </w:rPr>
        <w:br w:type="page"/>
      </w:r>
      <w:bookmarkStart w:id="108" w:name="_Toc88555076"/>
      <w:bookmarkStart w:id="109" w:name="_Toc256000042"/>
      <w:r>
        <w:rPr>
          <w:rFonts w:hint="eastAsia" w:ascii="黑体" w:hAnsi="宋体" w:eastAsia="黑体"/>
          <w:color w:val="000000" w:themeColor="text1"/>
          <w:sz w:val="28"/>
          <w:szCs w:val="28"/>
          <w14:textFill>
            <w14:solidFill>
              <w14:schemeClr w14:val="tx1"/>
            </w14:solidFill>
          </w14:textFill>
        </w:rPr>
        <w:t>十三、投标人认为需要提供的其他资</w:t>
      </w:r>
      <w:r>
        <w:rPr>
          <w:rFonts w:ascii="黑体" w:hAnsi="宋体" w:eastAsia="黑体"/>
          <w:color w:val="000000" w:themeColor="text1"/>
          <w:sz w:val="28"/>
          <w:szCs w:val="28"/>
          <w14:textFill>
            <w14:solidFill>
              <w14:schemeClr w14:val="tx1"/>
            </w14:solidFill>
          </w14:textFill>
        </w:rPr>
        <w:t>料</w:t>
      </w:r>
      <w:bookmarkEnd w:id="108"/>
      <w:bookmarkEnd w:id="109"/>
    </w:p>
    <w:p>
      <w:pPr>
        <w:rPr>
          <w:rFonts w:ascii="宋体" w:hAnsi="宋体"/>
          <w:color w:val="000000" w:themeColor="text1"/>
          <w:szCs w:val="21"/>
          <w14:textFill>
            <w14:solidFill>
              <w14:schemeClr w14:val="tx1"/>
            </w14:solidFill>
          </w14:textFill>
        </w:rPr>
      </w:pPr>
    </w:p>
    <w:sectPr>
      <w:pgSz w:w="11905" w:h="16838"/>
      <w:pgMar w:top="1327" w:right="1327" w:bottom="1327" w:left="1440" w:header="851" w:footer="992" w:gutter="0"/>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roman"/>
    <w:pitch w:val="default"/>
    <w:sig w:usb0="A00002BF" w:usb1="38CF7CFA" w:usb2="00082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firstLine="540" w:firstLineChars="300"/>
    </w:pPr>
    <w:r>
      <w:rPr>
        <w:kern w:val="0"/>
      </w:rPr>
      <w:drawing>
        <wp:anchor distT="0" distB="0" distL="114300" distR="114300" simplePos="0" relativeHeight="251660288" behindDoc="1" locked="0" layoutInCell="1" allowOverlap="1">
          <wp:simplePos x="0" y="0"/>
          <wp:positionH relativeFrom="column">
            <wp:posOffset>-60960</wp:posOffset>
          </wp:positionH>
          <wp:positionV relativeFrom="paragraph">
            <wp:posOffset>-155575</wp:posOffset>
          </wp:positionV>
          <wp:extent cx="363855" cy="340360"/>
          <wp:effectExtent l="0" t="0" r="4445" b="2540"/>
          <wp:wrapNone/>
          <wp:docPr id="3" name="Picture 1" descr="中投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中投标志"/>
                  <pic:cNvPicPr>
                    <a:picLocks noChangeAspect="1"/>
                  </pic:cNvPicPr>
                </pic:nvPicPr>
                <pic:blipFill>
                  <a:blip r:embed="rId1"/>
                  <a:stretch>
                    <a:fillRect/>
                  </a:stretch>
                </pic:blipFill>
                <pic:spPr>
                  <a:xfrm>
                    <a:off x="0" y="0"/>
                    <a:ext cx="363855" cy="340360"/>
                  </a:xfrm>
                  <a:prstGeom prst="rect">
                    <a:avLst/>
                  </a:prstGeom>
                  <a:noFill/>
                  <a:ln>
                    <a:noFill/>
                  </a:ln>
                </pic:spPr>
              </pic:pic>
            </a:graphicData>
          </a:graphic>
        </wp:anchor>
      </w:drawing>
    </w:r>
    <w:r>
      <w:rPr>
        <w:rFonts w:hint="eastAsia" w:ascii="宋体" w:hAnsi="宋体" w:cs="宋体"/>
        <w:lang w:bidi="ar"/>
      </w:rPr>
      <w:t xml:space="preserve">湖南中投项目管理有限公司                                                 电话：0731-82255989 </w: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rPr>
                              <w:color w:val="000000" w:themeColor="text1"/>
                              <w14:textFill>
                                <w14:solidFill>
                                  <w14:schemeClr w14:val="tx1"/>
                                </w14:solidFill>
                              </w14:textFill>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1"/>
                      <w:rPr>
                        <w:color w:val="000000" w:themeColor="text1"/>
                        <w14:textFill>
                          <w14:solidFill>
                            <w14:schemeClr w14:val="tx1"/>
                          </w14:solidFill>
                        </w14:textFill>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fldChar w:fldCharType="begin"/>
    </w:r>
    <w:r>
      <w:rPr>
        <w:rStyle w:val="50"/>
      </w:rPr>
      <w:instrText xml:space="preserve">PAGE  </w:instrText>
    </w:r>
    <w:r>
      <w:fldChar w:fldCharType="end"/>
    </w:r>
  </w:p>
  <w:p>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eastAsiaTheme="minorEastAsia"/>
      </w:rPr>
    </w:pPr>
    <w:r>
      <w:rPr>
        <w:rFonts w:hint="eastAsia" w:asciiTheme="minorEastAsia" w:hAnsiTheme="minorEastAsia" w:eastAsiaTheme="minorEastAsia"/>
        <w:color w:val="000000" w:themeColor="text1"/>
        <w:szCs w:val="21"/>
        <w:lang w:eastAsia="zh-CN"/>
        <w14:textFill>
          <w14:solidFill>
            <w14:schemeClr w14:val="tx1"/>
          </w14:solidFill>
        </w14:textFill>
      </w:rPr>
      <w:t>长沙市消防救援支队2022装备采购ZT-通信类</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lang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7C0EE7"/>
    <w:multiLevelType w:val="multilevel"/>
    <w:tmpl w:val="3C7C0EE7"/>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
    <w:nsid w:val="63EB2EAE"/>
    <w:multiLevelType w:val="singleLevel"/>
    <w:tmpl w:val="63EB2EAE"/>
    <w:lvl w:ilvl="0" w:tentative="0">
      <w:start w:val="1"/>
      <w:numFmt w:val="chineseCounting"/>
      <w:suff w:val="space"/>
      <w:lvlText w:val="第%1章"/>
      <w:lvlJc w:val="left"/>
      <w:rPr>
        <w:rFonts w:hint="eastAsia"/>
      </w:rPr>
    </w:lvl>
  </w:abstractNum>
  <w:abstractNum w:abstractNumId="2">
    <w:nsid w:val="69077441"/>
    <w:multiLevelType w:val="singleLevel"/>
    <w:tmpl w:val="69077441"/>
    <w:lvl w:ilvl="0" w:tentative="0">
      <w:start w:val="1"/>
      <w:numFmt w:val="decimal"/>
      <w:suff w:val="space"/>
      <w:lvlText w:val="%1."/>
      <w:lvlJc w:val="left"/>
    </w:lvl>
  </w:abstractNum>
  <w:abstractNum w:abstractNumId="3">
    <w:nsid w:val="69077442"/>
    <w:multiLevelType w:val="singleLevel"/>
    <w:tmpl w:val="69077442"/>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wNDI3ZjMyYzgwNzkxNGU1OGVlNTRkYWRlM2MwZGIifQ=="/>
  </w:docVars>
  <w:rsids>
    <w:rsidRoot w:val="007434B4"/>
    <w:rsid w:val="00000A61"/>
    <w:rsid w:val="00000A83"/>
    <w:rsid w:val="000013FE"/>
    <w:rsid w:val="0000186F"/>
    <w:rsid w:val="00001A03"/>
    <w:rsid w:val="00002568"/>
    <w:rsid w:val="000037DE"/>
    <w:rsid w:val="00003D23"/>
    <w:rsid w:val="00005D53"/>
    <w:rsid w:val="00006552"/>
    <w:rsid w:val="0001024D"/>
    <w:rsid w:val="00010382"/>
    <w:rsid w:val="00012DA5"/>
    <w:rsid w:val="00013365"/>
    <w:rsid w:val="00013466"/>
    <w:rsid w:val="00013574"/>
    <w:rsid w:val="00013923"/>
    <w:rsid w:val="00014A82"/>
    <w:rsid w:val="00015858"/>
    <w:rsid w:val="0001617A"/>
    <w:rsid w:val="00017581"/>
    <w:rsid w:val="000175E8"/>
    <w:rsid w:val="00017CF0"/>
    <w:rsid w:val="00017F9C"/>
    <w:rsid w:val="00022877"/>
    <w:rsid w:val="000252F0"/>
    <w:rsid w:val="00025EED"/>
    <w:rsid w:val="00027D0F"/>
    <w:rsid w:val="00030A53"/>
    <w:rsid w:val="00031705"/>
    <w:rsid w:val="00031C52"/>
    <w:rsid w:val="00032D53"/>
    <w:rsid w:val="000333AE"/>
    <w:rsid w:val="000358FA"/>
    <w:rsid w:val="00035B2B"/>
    <w:rsid w:val="00040247"/>
    <w:rsid w:val="00040313"/>
    <w:rsid w:val="00040E14"/>
    <w:rsid w:val="0004234C"/>
    <w:rsid w:val="00045270"/>
    <w:rsid w:val="00045B4B"/>
    <w:rsid w:val="00046881"/>
    <w:rsid w:val="00047440"/>
    <w:rsid w:val="0004759C"/>
    <w:rsid w:val="00047C70"/>
    <w:rsid w:val="0005019F"/>
    <w:rsid w:val="000508AD"/>
    <w:rsid w:val="0005168D"/>
    <w:rsid w:val="0005208E"/>
    <w:rsid w:val="00053BE1"/>
    <w:rsid w:val="00053C94"/>
    <w:rsid w:val="000566BD"/>
    <w:rsid w:val="0005701C"/>
    <w:rsid w:val="000606A2"/>
    <w:rsid w:val="00060C04"/>
    <w:rsid w:val="00061310"/>
    <w:rsid w:val="00061914"/>
    <w:rsid w:val="000620A1"/>
    <w:rsid w:val="000662FC"/>
    <w:rsid w:val="000675E6"/>
    <w:rsid w:val="000677C7"/>
    <w:rsid w:val="00067D0B"/>
    <w:rsid w:val="000709FB"/>
    <w:rsid w:val="00070B21"/>
    <w:rsid w:val="00072573"/>
    <w:rsid w:val="0007343D"/>
    <w:rsid w:val="000745C1"/>
    <w:rsid w:val="0007473A"/>
    <w:rsid w:val="00074CB8"/>
    <w:rsid w:val="00076502"/>
    <w:rsid w:val="000775DD"/>
    <w:rsid w:val="00082346"/>
    <w:rsid w:val="000841E5"/>
    <w:rsid w:val="00085204"/>
    <w:rsid w:val="00087CA6"/>
    <w:rsid w:val="000904BC"/>
    <w:rsid w:val="00090D47"/>
    <w:rsid w:val="00091751"/>
    <w:rsid w:val="000917F5"/>
    <w:rsid w:val="000921D2"/>
    <w:rsid w:val="00092E61"/>
    <w:rsid w:val="0009483A"/>
    <w:rsid w:val="00095A0E"/>
    <w:rsid w:val="00097FB9"/>
    <w:rsid w:val="000A0CD6"/>
    <w:rsid w:val="000A2575"/>
    <w:rsid w:val="000A2631"/>
    <w:rsid w:val="000A3313"/>
    <w:rsid w:val="000A4283"/>
    <w:rsid w:val="000A6658"/>
    <w:rsid w:val="000B0390"/>
    <w:rsid w:val="000B0E6E"/>
    <w:rsid w:val="000B1637"/>
    <w:rsid w:val="000B1715"/>
    <w:rsid w:val="000B2722"/>
    <w:rsid w:val="000B320F"/>
    <w:rsid w:val="000B3A4F"/>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E5E"/>
    <w:rsid w:val="000D1018"/>
    <w:rsid w:val="000D211B"/>
    <w:rsid w:val="000D2A3F"/>
    <w:rsid w:val="000D5249"/>
    <w:rsid w:val="000D6514"/>
    <w:rsid w:val="000E044C"/>
    <w:rsid w:val="000E3A4C"/>
    <w:rsid w:val="000E3DCC"/>
    <w:rsid w:val="000E4525"/>
    <w:rsid w:val="000E46D9"/>
    <w:rsid w:val="000E4E95"/>
    <w:rsid w:val="000E50DD"/>
    <w:rsid w:val="000E640C"/>
    <w:rsid w:val="000E7308"/>
    <w:rsid w:val="000E7417"/>
    <w:rsid w:val="000E741F"/>
    <w:rsid w:val="000F1A45"/>
    <w:rsid w:val="000F1AF9"/>
    <w:rsid w:val="000F21C8"/>
    <w:rsid w:val="000F3713"/>
    <w:rsid w:val="000F376A"/>
    <w:rsid w:val="000F39BB"/>
    <w:rsid w:val="000F3BE8"/>
    <w:rsid w:val="000F40EA"/>
    <w:rsid w:val="000F4155"/>
    <w:rsid w:val="000F44CB"/>
    <w:rsid w:val="000F4F2F"/>
    <w:rsid w:val="000F5866"/>
    <w:rsid w:val="000F620C"/>
    <w:rsid w:val="000F7591"/>
    <w:rsid w:val="001000C3"/>
    <w:rsid w:val="001047E3"/>
    <w:rsid w:val="00104908"/>
    <w:rsid w:val="00105A9C"/>
    <w:rsid w:val="00106446"/>
    <w:rsid w:val="00107077"/>
    <w:rsid w:val="00110B4B"/>
    <w:rsid w:val="001113FC"/>
    <w:rsid w:val="00111596"/>
    <w:rsid w:val="00111CC9"/>
    <w:rsid w:val="00112A3D"/>
    <w:rsid w:val="001133AC"/>
    <w:rsid w:val="00113C61"/>
    <w:rsid w:val="00114B15"/>
    <w:rsid w:val="00117058"/>
    <w:rsid w:val="00117D51"/>
    <w:rsid w:val="00120369"/>
    <w:rsid w:val="00121A30"/>
    <w:rsid w:val="001227F9"/>
    <w:rsid w:val="001228FD"/>
    <w:rsid w:val="001232B6"/>
    <w:rsid w:val="00124345"/>
    <w:rsid w:val="00125769"/>
    <w:rsid w:val="00125F48"/>
    <w:rsid w:val="00126231"/>
    <w:rsid w:val="001264DC"/>
    <w:rsid w:val="001311A5"/>
    <w:rsid w:val="0013172D"/>
    <w:rsid w:val="001322EF"/>
    <w:rsid w:val="00134894"/>
    <w:rsid w:val="001348D3"/>
    <w:rsid w:val="00135375"/>
    <w:rsid w:val="001370E3"/>
    <w:rsid w:val="00140DA3"/>
    <w:rsid w:val="001413DF"/>
    <w:rsid w:val="00141BEE"/>
    <w:rsid w:val="00143121"/>
    <w:rsid w:val="00144141"/>
    <w:rsid w:val="00144B56"/>
    <w:rsid w:val="00144F97"/>
    <w:rsid w:val="0014699B"/>
    <w:rsid w:val="00146D14"/>
    <w:rsid w:val="00151BA6"/>
    <w:rsid w:val="00153C89"/>
    <w:rsid w:val="00156049"/>
    <w:rsid w:val="001564DB"/>
    <w:rsid w:val="0016109A"/>
    <w:rsid w:val="001617E9"/>
    <w:rsid w:val="00162175"/>
    <w:rsid w:val="00162403"/>
    <w:rsid w:val="0016254E"/>
    <w:rsid w:val="00162F23"/>
    <w:rsid w:val="0016451E"/>
    <w:rsid w:val="0016583A"/>
    <w:rsid w:val="00165A38"/>
    <w:rsid w:val="00166A7A"/>
    <w:rsid w:val="00166F38"/>
    <w:rsid w:val="00167763"/>
    <w:rsid w:val="001708E8"/>
    <w:rsid w:val="0017148D"/>
    <w:rsid w:val="00173713"/>
    <w:rsid w:val="00173A95"/>
    <w:rsid w:val="00173D83"/>
    <w:rsid w:val="00173FF2"/>
    <w:rsid w:val="0017404D"/>
    <w:rsid w:val="00175C3F"/>
    <w:rsid w:val="00175FE2"/>
    <w:rsid w:val="0017633E"/>
    <w:rsid w:val="00176DC7"/>
    <w:rsid w:val="0017741D"/>
    <w:rsid w:val="001810E9"/>
    <w:rsid w:val="00181D2E"/>
    <w:rsid w:val="00182609"/>
    <w:rsid w:val="001828D3"/>
    <w:rsid w:val="001846F2"/>
    <w:rsid w:val="001850A4"/>
    <w:rsid w:val="00185B43"/>
    <w:rsid w:val="00186927"/>
    <w:rsid w:val="001870D2"/>
    <w:rsid w:val="00190C8F"/>
    <w:rsid w:val="00192075"/>
    <w:rsid w:val="00193526"/>
    <w:rsid w:val="00195771"/>
    <w:rsid w:val="00197441"/>
    <w:rsid w:val="001A053D"/>
    <w:rsid w:val="001A101A"/>
    <w:rsid w:val="001A2976"/>
    <w:rsid w:val="001A3AA5"/>
    <w:rsid w:val="001A3AFC"/>
    <w:rsid w:val="001A3BCB"/>
    <w:rsid w:val="001A4D9B"/>
    <w:rsid w:val="001A561A"/>
    <w:rsid w:val="001A58C6"/>
    <w:rsid w:val="001A59EB"/>
    <w:rsid w:val="001B2294"/>
    <w:rsid w:val="001B313B"/>
    <w:rsid w:val="001B33AB"/>
    <w:rsid w:val="001B383C"/>
    <w:rsid w:val="001B4531"/>
    <w:rsid w:val="001B4F01"/>
    <w:rsid w:val="001B5907"/>
    <w:rsid w:val="001C0DBF"/>
    <w:rsid w:val="001C2072"/>
    <w:rsid w:val="001C274B"/>
    <w:rsid w:val="001C3481"/>
    <w:rsid w:val="001C4E4C"/>
    <w:rsid w:val="001C5444"/>
    <w:rsid w:val="001C7B25"/>
    <w:rsid w:val="001D0F5F"/>
    <w:rsid w:val="001D26DC"/>
    <w:rsid w:val="001D300D"/>
    <w:rsid w:val="001D302B"/>
    <w:rsid w:val="001D574C"/>
    <w:rsid w:val="001D5B75"/>
    <w:rsid w:val="001E1D4A"/>
    <w:rsid w:val="001E3A6E"/>
    <w:rsid w:val="001E3AF6"/>
    <w:rsid w:val="001E3D6A"/>
    <w:rsid w:val="001E4458"/>
    <w:rsid w:val="001E59F7"/>
    <w:rsid w:val="001E6A66"/>
    <w:rsid w:val="001F075D"/>
    <w:rsid w:val="001F130D"/>
    <w:rsid w:val="001F1819"/>
    <w:rsid w:val="001F3A23"/>
    <w:rsid w:val="001F4878"/>
    <w:rsid w:val="001F5321"/>
    <w:rsid w:val="001F534E"/>
    <w:rsid w:val="001F5B18"/>
    <w:rsid w:val="001F7AFA"/>
    <w:rsid w:val="00200789"/>
    <w:rsid w:val="002008A9"/>
    <w:rsid w:val="00200C39"/>
    <w:rsid w:val="00200C8F"/>
    <w:rsid w:val="002018AB"/>
    <w:rsid w:val="002023F0"/>
    <w:rsid w:val="0020308E"/>
    <w:rsid w:val="00203EA6"/>
    <w:rsid w:val="00206018"/>
    <w:rsid w:val="00210EE8"/>
    <w:rsid w:val="00210F21"/>
    <w:rsid w:val="0021548B"/>
    <w:rsid w:val="00215C17"/>
    <w:rsid w:val="00215D98"/>
    <w:rsid w:val="00216282"/>
    <w:rsid w:val="00216FA2"/>
    <w:rsid w:val="002203CE"/>
    <w:rsid w:val="00221240"/>
    <w:rsid w:val="00221600"/>
    <w:rsid w:val="00221BE4"/>
    <w:rsid w:val="00223541"/>
    <w:rsid w:val="00223B66"/>
    <w:rsid w:val="002240A4"/>
    <w:rsid w:val="00224278"/>
    <w:rsid w:val="0022478B"/>
    <w:rsid w:val="00225547"/>
    <w:rsid w:val="002303FF"/>
    <w:rsid w:val="00230B4C"/>
    <w:rsid w:val="0023235C"/>
    <w:rsid w:val="00232836"/>
    <w:rsid w:val="0023339C"/>
    <w:rsid w:val="00234309"/>
    <w:rsid w:val="00235123"/>
    <w:rsid w:val="00237643"/>
    <w:rsid w:val="002416E2"/>
    <w:rsid w:val="002419D0"/>
    <w:rsid w:val="00242897"/>
    <w:rsid w:val="00242A62"/>
    <w:rsid w:val="002444EA"/>
    <w:rsid w:val="00245EF6"/>
    <w:rsid w:val="0025131F"/>
    <w:rsid w:val="00253669"/>
    <w:rsid w:val="00253F0D"/>
    <w:rsid w:val="00255414"/>
    <w:rsid w:val="00255AC7"/>
    <w:rsid w:val="002569C5"/>
    <w:rsid w:val="00256A84"/>
    <w:rsid w:val="00257F4D"/>
    <w:rsid w:val="0026198C"/>
    <w:rsid w:val="00261AC6"/>
    <w:rsid w:val="0026200F"/>
    <w:rsid w:val="00262FCB"/>
    <w:rsid w:val="00263AB2"/>
    <w:rsid w:val="002643E5"/>
    <w:rsid w:val="00264EB2"/>
    <w:rsid w:val="00265009"/>
    <w:rsid w:val="0026705D"/>
    <w:rsid w:val="00267C4E"/>
    <w:rsid w:val="00267C83"/>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4FB8"/>
    <w:rsid w:val="00285A81"/>
    <w:rsid w:val="00285BDF"/>
    <w:rsid w:val="00285F61"/>
    <w:rsid w:val="002862E3"/>
    <w:rsid w:val="002868A8"/>
    <w:rsid w:val="00287BB6"/>
    <w:rsid w:val="00287E12"/>
    <w:rsid w:val="00290DAB"/>
    <w:rsid w:val="00291042"/>
    <w:rsid w:val="00291C24"/>
    <w:rsid w:val="00292441"/>
    <w:rsid w:val="00292F73"/>
    <w:rsid w:val="00293A07"/>
    <w:rsid w:val="002950BC"/>
    <w:rsid w:val="00295CE8"/>
    <w:rsid w:val="002962B1"/>
    <w:rsid w:val="002965AD"/>
    <w:rsid w:val="00297B75"/>
    <w:rsid w:val="002A0C4E"/>
    <w:rsid w:val="002A1672"/>
    <w:rsid w:val="002A22D6"/>
    <w:rsid w:val="002A3505"/>
    <w:rsid w:val="002A3741"/>
    <w:rsid w:val="002A4AAB"/>
    <w:rsid w:val="002A5CB2"/>
    <w:rsid w:val="002A5E44"/>
    <w:rsid w:val="002A65E2"/>
    <w:rsid w:val="002A7BBC"/>
    <w:rsid w:val="002B12E2"/>
    <w:rsid w:val="002B1662"/>
    <w:rsid w:val="002B208A"/>
    <w:rsid w:val="002B3F03"/>
    <w:rsid w:val="002B4127"/>
    <w:rsid w:val="002B4148"/>
    <w:rsid w:val="002B469A"/>
    <w:rsid w:val="002B51EA"/>
    <w:rsid w:val="002B7974"/>
    <w:rsid w:val="002C0DD0"/>
    <w:rsid w:val="002C1AB9"/>
    <w:rsid w:val="002C2D6E"/>
    <w:rsid w:val="002C3042"/>
    <w:rsid w:val="002C363B"/>
    <w:rsid w:val="002C465A"/>
    <w:rsid w:val="002C5C90"/>
    <w:rsid w:val="002C61C6"/>
    <w:rsid w:val="002C666B"/>
    <w:rsid w:val="002C6C07"/>
    <w:rsid w:val="002C6E3F"/>
    <w:rsid w:val="002D13DD"/>
    <w:rsid w:val="002D1777"/>
    <w:rsid w:val="002D2F30"/>
    <w:rsid w:val="002D5C40"/>
    <w:rsid w:val="002D61AB"/>
    <w:rsid w:val="002D7BB2"/>
    <w:rsid w:val="002E1922"/>
    <w:rsid w:val="002E1F2C"/>
    <w:rsid w:val="002E273F"/>
    <w:rsid w:val="002E28E9"/>
    <w:rsid w:val="002E3240"/>
    <w:rsid w:val="002E348F"/>
    <w:rsid w:val="002E36ED"/>
    <w:rsid w:val="002E6BFE"/>
    <w:rsid w:val="002F4310"/>
    <w:rsid w:val="002F44E4"/>
    <w:rsid w:val="002F4865"/>
    <w:rsid w:val="002F499D"/>
    <w:rsid w:val="002F654F"/>
    <w:rsid w:val="002F7B60"/>
    <w:rsid w:val="0030121B"/>
    <w:rsid w:val="00306A74"/>
    <w:rsid w:val="00313325"/>
    <w:rsid w:val="00313A4D"/>
    <w:rsid w:val="00313F34"/>
    <w:rsid w:val="00314DB9"/>
    <w:rsid w:val="0031707F"/>
    <w:rsid w:val="003175EE"/>
    <w:rsid w:val="00321E2F"/>
    <w:rsid w:val="00324865"/>
    <w:rsid w:val="00324E36"/>
    <w:rsid w:val="0032557C"/>
    <w:rsid w:val="00326478"/>
    <w:rsid w:val="00327742"/>
    <w:rsid w:val="0032788A"/>
    <w:rsid w:val="00331031"/>
    <w:rsid w:val="00331281"/>
    <w:rsid w:val="003333CF"/>
    <w:rsid w:val="003347D8"/>
    <w:rsid w:val="003347F8"/>
    <w:rsid w:val="003348AD"/>
    <w:rsid w:val="003350FF"/>
    <w:rsid w:val="003359F2"/>
    <w:rsid w:val="0033633E"/>
    <w:rsid w:val="00340374"/>
    <w:rsid w:val="003405B0"/>
    <w:rsid w:val="00340734"/>
    <w:rsid w:val="0034095A"/>
    <w:rsid w:val="00340B45"/>
    <w:rsid w:val="00342E44"/>
    <w:rsid w:val="00343334"/>
    <w:rsid w:val="00346735"/>
    <w:rsid w:val="00346F10"/>
    <w:rsid w:val="00347DC8"/>
    <w:rsid w:val="00350642"/>
    <w:rsid w:val="0035087B"/>
    <w:rsid w:val="00352E5D"/>
    <w:rsid w:val="003538B4"/>
    <w:rsid w:val="00353D3F"/>
    <w:rsid w:val="003546A7"/>
    <w:rsid w:val="00354924"/>
    <w:rsid w:val="00354E41"/>
    <w:rsid w:val="00355EA5"/>
    <w:rsid w:val="00355F7D"/>
    <w:rsid w:val="00356C0C"/>
    <w:rsid w:val="0036003D"/>
    <w:rsid w:val="003601EE"/>
    <w:rsid w:val="0036092F"/>
    <w:rsid w:val="0036212C"/>
    <w:rsid w:val="00364709"/>
    <w:rsid w:val="00365849"/>
    <w:rsid w:val="0036608F"/>
    <w:rsid w:val="00367761"/>
    <w:rsid w:val="00370DA4"/>
    <w:rsid w:val="003723EC"/>
    <w:rsid w:val="003725C2"/>
    <w:rsid w:val="00373228"/>
    <w:rsid w:val="0037398C"/>
    <w:rsid w:val="00373DDA"/>
    <w:rsid w:val="003751D4"/>
    <w:rsid w:val="0037765F"/>
    <w:rsid w:val="0037789B"/>
    <w:rsid w:val="003805C3"/>
    <w:rsid w:val="003808DC"/>
    <w:rsid w:val="003812EE"/>
    <w:rsid w:val="00381353"/>
    <w:rsid w:val="00381AD3"/>
    <w:rsid w:val="00382023"/>
    <w:rsid w:val="00382317"/>
    <w:rsid w:val="00382748"/>
    <w:rsid w:val="0038366B"/>
    <w:rsid w:val="00383E27"/>
    <w:rsid w:val="00384A33"/>
    <w:rsid w:val="00384F53"/>
    <w:rsid w:val="00386F0B"/>
    <w:rsid w:val="0038718B"/>
    <w:rsid w:val="00390037"/>
    <w:rsid w:val="00390F51"/>
    <w:rsid w:val="00391805"/>
    <w:rsid w:val="00392780"/>
    <w:rsid w:val="003965DB"/>
    <w:rsid w:val="003966A4"/>
    <w:rsid w:val="00397EA7"/>
    <w:rsid w:val="003A1873"/>
    <w:rsid w:val="003A389D"/>
    <w:rsid w:val="003A4099"/>
    <w:rsid w:val="003A48A3"/>
    <w:rsid w:val="003A4D91"/>
    <w:rsid w:val="003A4DEB"/>
    <w:rsid w:val="003A56B4"/>
    <w:rsid w:val="003A7CE9"/>
    <w:rsid w:val="003A7D94"/>
    <w:rsid w:val="003B02A0"/>
    <w:rsid w:val="003B074C"/>
    <w:rsid w:val="003B2526"/>
    <w:rsid w:val="003B304F"/>
    <w:rsid w:val="003B36FD"/>
    <w:rsid w:val="003B52E3"/>
    <w:rsid w:val="003C0A14"/>
    <w:rsid w:val="003C1256"/>
    <w:rsid w:val="003C1404"/>
    <w:rsid w:val="003C2D97"/>
    <w:rsid w:val="003C2F63"/>
    <w:rsid w:val="003C5D94"/>
    <w:rsid w:val="003C7A73"/>
    <w:rsid w:val="003D061C"/>
    <w:rsid w:val="003D16A0"/>
    <w:rsid w:val="003D188B"/>
    <w:rsid w:val="003D3B9A"/>
    <w:rsid w:val="003D42BA"/>
    <w:rsid w:val="003D4669"/>
    <w:rsid w:val="003D5E22"/>
    <w:rsid w:val="003D5E2A"/>
    <w:rsid w:val="003D6B57"/>
    <w:rsid w:val="003E0880"/>
    <w:rsid w:val="003E0893"/>
    <w:rsid w:val="003E1DC3"/>
    <w:rsid w:val="003E3CBC"/>
    <w:rsid w:val="003E4724"/>
    <w:rsid w:val="003E5316"/>
    <w:rsid w:val="003E5B81"/>
    <w:rsid w:val="003E63DA"/>
    <w:rsid w:val="003E6E9A"/>
    <w:rsid w:val="003F0052"/>
    <w:rsid w:val="003F080A"/>
    <w:rsid w:val="003F4609"/>
    <w:rsid w:val="003F4887"/>
    <w:rsid w:val="003F6718"/>
    <w:rsid w:val="0040036D"/>
    <w:rsid w:val="00400ACB"/>
    <w:rsid w:val="004014AC"/>
    <w:rsid w:val="00401EA9"/>
    <w:rsid w:val="00402BA3"/>
    <w:rsid w:val="0040556F"/>
    <w:rsid w:val="00405C57"/>
    <w:rsid w:val="0040634B"/>
    <w:rsid w:val="00406717"/>
    <w:rsid w:val="00406F15"/>
    <w:rsid w:val="00407DF5"/>
    <w:rsid w:val="004112B7"/>
    <w:rsid w:val="004113F2"/>
    <w:rsid w:val="0041189C"/>
    <w:rsid w:val="0041286B"/>
    <w:rsid w:val="00412E55"/>
    <w:rsid w:val="00412EDA"/>
    <w:rsid w:val="00413ED6"/>
    <w:rsid w:val="0041470D"/>
    <w:rsid w:val="0041515C"/>
    <w:rsid w:val="00415306"/>
    <w:rsid w:val="004165A5"/>
    <w:rsid w:val="004165E0"/>
    <w:rsid w:val="0042020F"/>
    <w:rsid w:val="004209AD"/>
    <w:rsid w:val="00420E26"/>
    <w:rsid w:val="0042296B"/>
    <w:rsid w:val="00423AB0"/>
    <w:rsid w:val="004241CA"/>
    <w:rsid w:val="004249DF"/>
    <w:rsid w:val="00424DB7"/>
    <w:rsid w:val="0042508B"/>
    <w:rsid w:val="004255AF"/>
    <w:rsid w:val="00425EF9"/>
    <w:rsid w:val="0043056E"/>
    <w:rsid w:val="0043102C"/>
    <w:rsid w:val="00431D80"/>
    <w:rsid w:val="00432EDE"/>
    <w:rsid w:val="004346A4"/>
    <w:rsid w:val="00434E74"/>
    <w:rsid w:val="00435970"/>
    <w:rsid w:val="004366AC"/>
    <w:rsid w:val="00436879"/>
    <w:rsid w:val="00437C0C"/>
    <w:rsid w:val="00437DC8"/>
    <w:rsid w:val="00440935"/>
    <w:rsid w:val="0044137D"/>
    <w:rsid w:val="00441DE0"/>
    <w:rsid w:val="004428F8"/>
    <w:rsid w:val="004438EC"/>
    <w:rsid w:val="00445686"/>
    <w:rsid w:val="004462A2"/>
    <w:rsid w:val="00446471"/>
    <w:rsid w:val="004470BD"/>
    <w:rsid w:val="00447425"/>
    <w:rsid w:val="00447F68"/>
    <w:rsid w:val="004508EB"/>
    <w:rsid w:val="00453947"/>
    <w:rsid w:val="00456A2C"/>
    <w:rsid w:val="00460668"/>
    <w:rsid w:val="004611C1"/>
    <w:rsid w:val="00465977"/>
    <w:rsid w:val="00465AF5"/>
    <w:rsid w:val="004661B0"/>
    <w:rsid w:val="004702BD"/>
    <w:rsid w:val="00470775"/>
    <w:rsid w:val="00473A7F"/>
    <w:rsid w:val="00473E7D"/>
    <w:rsid w:val="0047596E"/>
    <w:rsid w:val="00477865"/>
    <w:rsid w:val="004833D1"/>
    <w:rsid w:val="00484599"/>
    <w:rsid w:val="004851C5"/>
    <w:rsid w:val="00485F0D"/>
    <w:rsid w:val="00487EFD"/>
    <w:rsid w:val="00490E4A"/>
    <w:rsid w:val="004911DC"/>
    <w:rsid w:val="004944B6"/>
    <w:rsid w:val="00494A80"/>
    <w:rsid w:val="004A2640"/>
    <w:rsid w:val="004A4630"/>
    <w:rsid w:val="004A4CC2"/>
    <w:rsid w:val="004A7952"/>
    <w:rsid w:val="004A7AFF"/>
    <w:rsid w:val="004B1465"/>
    <w:rsid w:val="004B5555"/>
    <w:rsid w:val="004B6A9B"/>
    <w:rsid w:val="004C0A57"/>
    <w:rsid w:val="004C4320"/>
    <w:rsid w:val="004C5584"/>
    <w:rsid w:val="004C6413"/>
    <w:rsid w:val="004C6B9E"/>
    <w:rsid w:val="004C6C6E"/>
    <w:rsid w:val="004C780E"/>
    <w:rsid w:val="004D04AB"/>
    <w:rsid w:val="004D090D"/>
    <w:rsid w:val="004D11AF"/>
    <w:rsid w:val="004D13A1"/>
    <w:rsid w:val="004D14D8"/>
    <w:rsid w:val="004D3D91"/>
    <w:rsid w:val="004D4549"/>
    <w:rsid w:val="004D4BA7"/>
    <w:rsid w:val="004D5ACE"/>
    <w:rsid w:val="004D5BB9"/>
    <w:rsid w:val="004D7834"/>
    <w:rsid w:val="004D7BF8"/>
    <w:rsid w:val="004E01E1"/>
    <w:rsid w:val="004E0B7A"/>
    <w:rsid w:val="004E0B8E"/>
    <w:rsid w:val="004E1894"/>
    <w:rsid w:val="004E2CF6"/>
    <w:rsid w:val="004E3BBF"/>
    <w:rsid w:val="004E518C"/>
    <w:rsid w:val="004E6F94"/>
    <w:rsid w:val="004E7578"/>
    <w:rsid w:val="004F0107"/>
    <w:rsid w:val="004F1699"/>
    <w:rsid w:val="004F3090"/>
    <w:rsid w:val="004F4346"/>
    <w:rsid w:val="004F489A"/>
    <w:rsid w:val="004F4A39"/>
    <w:rsid w:val="004F4D75"/>
    <w:rsid w:val="004F5F21"/>
    <w:rsid w:val="004F66D0"/>
    <w:rsid w:val="004F6747"/>
    <w:rsid w:val="004F77B6"/>
    <w:rsid w:val="00500F88"/>
    <w:rsid w:val="00504154"/>
    <w:rsid w:val="00504223"/>
    <w:rsid w:val="0050477B"/>
    <w:rsid w:val="005057CC"/>
    <w:rsid w:val="00505858"/>
    <w:rsid w:val="00505A9A"/>
    <w:rsid w:val="00505F80"/>
    <w:rsid w:val="00507E86"/>
    <w:rsid w:val="0051089D"/>
    <w:rsid w:val="005115F3"/>
    <w:rsid w:val="00512BF2"/>
    <w:rsid w:val="00513834"/>
    <w:rsid w:val="00514908"/>
    <w:rsid w:val="00514A6D"/>
    <w:rsid w:val="00515EB7"/>
    <w:rsid w:val="00516F12"/>
    <w:rsid w:val="00520518"/>
    <w:rsid w:val="005209D7"/>
    <w:rsid w:val="00520CD4"/>
    <w:rsid w:val="0052205A"/>
    <w:rsid w:val="00523D1E"/>
    <w:rsid w:val="0052537E"/>
    <w:rsid w:val="00525F48"/>
    <w:rsid w:val="0052611C"/>
    <w:rsid w:val="005261F1"/>
    <w:rsid w:val="00526784"/>
    <w:rsid w:val="00526E2C"/>
    <w:rsid w:val="00527CD2"/>
    <w:rsid w:val="00533810"/>
    <w:rsid w:val="00533FFC"/>
    <w:rsid w:val="0053539D"/>
    <w:rsid w:val="005361E0"/>
    <w:rsid w:val="00540570"/>
    <w:rsid w:val="005437CF"/>
    <w:rsid w:val="0054482C"/>
    <w:rsid w:val="00547B5A"/>
    <w:rsid w:val="00550282"/>
    <w:rsid w:val="0055130D"/>
    <w:rsid w:val="005550DD"/>
    <w:rsid w:val="00555359"/>
    <w:rsid w:val="005554AD"/>
    <w:rsid w:val="005575BA"/>
    <w:rsid w:val="00557DC5"/>
    <w:rsid w:val="00560F77"/>
    <w:rsid w:val="00561EA3"/>
    <w:rsid w:val="005624A0"/>
    <w:rsid w:val="005635C8"/>
    <w:rsid w:val="00564B12"/>
    <w:rsid w:val="0056550D"/>
    <w:rsid w:val="005659AC"/>
    <w:rsid w:val="005665E1"/>
    <w:rsid w:val="00567592"/>
    <w:rsid w:val="00567B55"/>
    <w:rsid w:val="005701BB"/>
    <w:rsid w:val="00570297"/>
    <w:rsid w:val="005709B5"/>
    <w:rsid w:val="00570BB9"/>
    <w:rsid w:val="005712A8"/>
    <w:rsid w:val="00572080"/>
    <w:rsid w:val="00572418"/>
    <w:rsid w:val="00572A77"/>
    <w:rsid w:val="00573BE5"/>
    <w:rsid w:val="00574301"/>
    <w:rsid w:val="0057463F"/>
    <w:rsid w:val="00574806"/>
    <w:rsid w:val="005752A3"/>
    <w:rsid w:val="00575CB7"/>
    <w:rsid w:val="00580F55"/>
    <w:rsid w:val="00583B0B"/>
    <w:rsid w:val="00583F70"/>
    <w:rsid w:val="00584D05"/>
    <w:rsid w:val="0058523D"/>
    <w:rsid w:val="00586934"/>
    <w:rsid w:val="00587C00"/>
    <w:rsid w:val="00587E4F"/>
    <w:rsid w:val="00591BBD"/>
    <w:rsid w:val="00593732"/>
    <w:rsid w:val="0059449D"/>
    <w:rsid w:val="00597E4B"/>
    <w:rsid w:val="005A1260"/>
    <w:rsid w:val="005A2FA1"/>
    <w:rsid w:val="005A3014"/>
    <w:rsid w:val="005A35B6"/>
    <w:rsid w:val="005A50A0"/>
    <w:rsid w:val="005A6740"/>
    <w:rsid w:val="005A77C9"/>
    <w:rsid w:val="005A7A37"/>
    <w:rsid w:val="005B03C3"/>
    <w:rsid w:val="005B0C96"/>
    <w:rsid w:val="005B1244"/>
    <w:rsid w:val="005B214B"/>
    <w:rsid w:val="005B3314"/>
    <w:rsid w:val="005B3467"/>
    <w:rsid w:val="005B5AF6"/>
    <w:rsid w:val="005B61FE"/>
    <w:rsid w:val="005B6687"/>
    <w:rsid w:val="005C0F07"/>
    <w:rsid w:val="005C177B"/>
    <w:rsid w:val="005C1CA1"/>
    <w:rsid w:val="005C2DE6"/>
    <w:rsid w:val="005C3E05"/>
    <w:rsid w:val="005C4EBF"/>
    <w:rsid w:val="005C5098"/>
    <w:rsid w:val="005C58EB"/>
    <w:rsid w:val="005C63D9"/>
    <w:rsid w:val="005C73C1"/>
    <w:rsid w:val="005D088D"/>
    <w:rsid w:val="005D1A7D"/>
    <w:rsid w:val="005D1D9B"/>
    <w:rsid w:val="005D1F21"/>
    <w:rsid w:val="005D2C4E"/>
    <w:rsid w:val="005D392F"/>
    <w:rsid w:val="005D57AA"/>
    <w:rsid w:val="005D5D39"/>
    <w:rsid w:val="005D78A2"/>
    <w:rsid w:val="005D7E32"/>
    <w:rsid w:val="005E1C52"/>
    <w:rsid w:val="005E2E68"/>
    <w:rsid w:val="005E33D2"/>
    <w:rsid w:val="005E41E1"/>
    <w:rsid w:val="005E4BD2"/>
    <w:rsid w:val="005E501E"/>
    <w:rsid w:val="005E50F3"/>
    <w:rsid w:val="005E5F00"/>
    <w:rsid w:val="005F2D4C"/>
    <w:rsid w:val="005F37D4"/>
    <w:rsid w:val="005F42D2"/>
    <w:rsid w:val="005F4DD9"/>
    <w:rsid w:val="005F51F9"/>
    <w:rsid w:val="005F67E2"/>
    <w:rsid w:val="006020D9"/>
    <w:rsid w:val="0060267A"/>
    <w:rsid w:val="006030D6"/>
    <w:rsid w:val="0060339F"/>
    <w:rsid w:val="00605007"/>
    <w:rsid w:val="006105B3"/>
    <w:rsid w:val="006119B8"/>
    <w:rsid w:val="00614CD3"/>
    <w:rsid w:val="00616BF1"/>
    <w:rsid w:val="0062043A"/>
    <w:rsid w:val="00620808"/>
    <w:rsid w:val="006217E3"/>
    <w:rsid w:val="00621A67"/>
    <w:rsid w:val="00621EDB"/>
    <w:rsid w:val="006232A3"/>
    <w:rsid w:val="006242DF"/>
    <w:rsid w:val="0062497C"/>
    <w:rsid w:val="00624EB7"/>
    <w:rsid w:val="0062600E"/>
    <w:rsid w:val="00626EC9"/>
    <w:rsid w:val="00633FA5"/>
    <w:rsid w:val="00636643"/>
    <w:rsid w:val="00637F16"/>
    <w:rsid w:val="00640570"/>
    <w:rsid w:val="00640CB0"/>
    <w:rsid w:val="00641143"/>
    <w:rsid w:val="0064267E"/>
    <w:rsid w:val="006430FF"/>
    <w:rsid w:val="0064347A"/>
    <w:rsid w:val="00643967"/>
    <w:rsid w:val="006444A9"/>
    <w:rsid w:val="00647882"/>
    <w:rsid w:val="00647F9D"/>
    <w:rsid w:val="006502AB"/>
    <w:rsid w:val="00651177"/>
    <w:rsid w:val="0065343A"/>
    <w:rsid w:val="00653B74"/>
    <w:rsid w:val="006569FD"/>
    <w:rsid w:val="0066096D"/>
    <w:rsid w:val="0066100B"/>
    <w:rsid w:val="0066219C"/>
    <w:rsid w:val="00662C15"/>
    <w:rsid w:val="0066654B"/>
    <w:rsid w:val="00666B1D"/>
    <w:rsid w:val="006672FF"/>
    <w:rsid w:val="00671816"/>
    <w:rsid w:val="006724CA"/>
    <w:rsid w:val="006727E9"/>
    <w:rsid w:val="006746CD"/>
    <w:rsid w:val="00674DB1"/>
    <w:rsid w:val="00677156"/>
    <w:rsid w:val="006779A1"/>
    <w:rsid w:val="006807B3"/>
    <w:rsid w:val="006813A4"/>
    <w:rsid w:val="00681F77"/>
    <w:rsid w:val="006823B3"/>
    <w:rsid w:val="00682BA0"/>
    <w:rsid w:val="00682E7A"/>
    <w:rsid w:val="0068390A"/>
    <w:rsid w:val="006855D3"/>
    <w:rsid w:val="00685D06"/>
    <w:rsid w:val="00686202"/>
    <w:rsid w:val="00690243"/>
    <w:rsid w:val="0069139A"/>
    <w:rsid w:val="006917A7"/>
    <w:rsid w:val="00691862"/>
    <w:rsid w:val="0069219F"/>
    <w:rsid w:val="006944EB"/>
    <w:rsid w:val="00694C2D"/>
    <w:rsid w:val="006A00B7"/>
    <w:rsid w:val="006A0563"/>
    <w:rsid w:val="006A134B"/>
    <w:rsid w:val="006A1B12"/>
    <w:rsid w:val="006A229F"/>
    <w:rsid w:val="006A34AC"/>
    <w:rsid w:val="006A46A7"/>
    <w:rsid w:val="006A4D18"/>
    <w:rsid w:val="006A50E4"/>
    <w:rsid w:val="006A7371"/>
    <w:rsid w:val="006B060C"/>
    <w:rsid w:val="006B34C9"/>
    <w:rsid w:val="006B399A"/>
    <w:rsid w:val="006B4795"/>
    <w:rsid w:val="006B5611"/>
    <w:rsid w:val="006B5791"/>
    <w:rsid w:val="006B60A2"/>
    <w:rsid w:val="006B6798"/>
    <w:rsid w:val="006B6C68"/>
    <w:rsid w:val="006B77BE"/>
    <w:rsid w:val="006B7B54"/>
    <w:rsid w:val="006C0F76"/>
    <w:rsid w:val="006C1340"/>
    <w:rsid w:val="006C23C2"/>
    <w:rsid w:val="006C33AC"/>
    <w:rsid w:val="006C5C39"/>
    <w:rsid w:val="006C723E"/>
    <w:rsid w:val="006C7937"/>
    <w:rsid w:val="006C7B71"/>
    <w:rsid w:val="006D01E3"/>
    <w:rsid w:val="006D3513"/>
    <w:rsid w:val="006D3A6D"/>
    <w:rsid w:val="006D46C6"/>
    <w:rsid w:val="006D4F91"/>
    <w:rsid w:val="006D5556"/>
    <w:rsid w:val="006D5D13"/>
    <w:rsid w:val="006D6DB3"/>
    <w:rsid w:val="006D6F92"/>
    <w:rsid w:val="006E0419"/>
    <w:rsid w:val="006E0CF5"/>
    <w:rsid w:val="006E15B5"/>
    <w:rsid w:val="006E31A3"/>
    <w:rsid w:val="006E45CC"/>
    <w:rsid w:val="006E5C6C"/>
    <w:rsid w:val="006E63DE"/>
    <w:rsid w:val="006E6A42"/>
    <w:rsid w:val="006E6CE1"/>
    <w:rsid w:val="006E70D1"/>
    <w:rsid w:val="006F137B"/>
    <w:rsid w:val="006F1DC1"/>
    <w:rsid w:val="006F2292"/>
    <w:rsid w:val="006F31D7"/>
    <w:rsid w:val="006F3670"/>
    <w:rsid w:val="006F3932"/>
    <w:rsid w:val="006F3B2C"/>
    <w:rsid w:val="006F3D14"/>
    <w:rsid w:val="006F4901"/>
    <w:rsid w:val="006F617A"/>
    <w:rsid w:val="006F6D52"/>
    <w:rsid w:val="007001BB"/>
    <w:rsid w:val="0070184C"/>
    <w:rsid w:val="007028E7"/>
    <w:rsid w:val="007039B7"/>
    <w:rsid w:val="00704082"/>
    <w:rsid w:val="007077DC"/>
    <w:rsid w:val="00707DAE"/>
    <w:rsid w:val="00710C2B"/>
    <w:rsid w:val="00713D73"/>
    <w:rsid w:val="00714F31"/>
    <w:rsid w:val="0071593B"/>
    <w:rsid w:val="007219F6"/>
    <w:rsid w:val="00722046"/>
    <w:rsid w:val="00722CFC"/>
    <w:rsid w:val="0072440A"/>
    <w:rsid w:val="00724504"/>
    <w:rsid w:val="007247EB"/>
    <w:rsid w:val="007257D4"/>
    <w:rsid w:val="00726485"/>
    <w:rsid w:val="00726F2B"/>
    <w:rsid w:val="00732F1A"/>
    <w:rsid w:val="00733151"/>
    <w:rsid w:val="00734A87"/>
    <w:rsid w:val="00734CF6"/>
    <w:rsid w:val="00735189"/>
    <w:rsid w:val="007360FB"/>
    <w:rsid w:val="007369A0"/>
    <w:rsid w:val="00737CD3"/>
    <w:rsid w:val="00740E6A"/>
    <w:rsid w:val="007413D9"/>
    <w:rsid w:val="0074150C"/>
    <w:rsid w:val="007434B4"/>
    <w:rsid w:val="00744360"/>
    <w:rsid w:val="00745685"/>
    <w:rsid w:val="0074593E"/>
    <w:rsid w:val="007460BC"/>
    <w:rsid w:val="00746586"/>
    <w:rsid w:val="00747190"/>
    <w:rsid w:val="00747779"/>
    <w:rsid w:val="00747DDA"/>
    <w:rsid w:val="00747F03"/>
    <w:rsid w:val="00750446"/>
    <w:rsid w:val="00751132"/>
    <w:rsid w:val="00751F7C"/>
    <w:rsid w:val="00753FAF"/>
    <w:rsid w:val="0075519B"/>
    <w:rsid w:val="00755F77"/>
    <w:rsid w:val="007567BC"/>
    <w:rsid w:val="007568EE"/>
    <w:rsid w:val="007601F3"/>
    <w:rsid w:val="007606C3"/>
    <w:rsid w:val="00760E64"/>
    <w:rsid w:val="007611A9"/>
    <w:rsid w:val="00761C5D"/>
    <w:rsid w:val="00761F02"/>
    <w:rsid w:val="0076488F"/>
    <w:rsid w:val="00765AED"/>
    <w:rsid w:val="007662F0"/>
    <w:rsid w:val="0076675E"/>
    <w:rsid w:val="0076684A"/>
    <w:rsid w:val="00767220"/>
    <w:rsid w:val="00770616"/>
    <w:rsid w:val="00771DE6"/>
    <w:rsid w:val="007723AB"/>
    <w:rsid w:val="0077276B"/>
    <w:rsid w:val="007741AD"/>
    <w:rsid w:val="00774632"/>
    <w:rsid w:val="00775065"/>
    <w:rsid w:val="00777B6C"/>
    <w:rsid w:val="00780CB0"/>
    <w:rsid w:val="007847B2"/>
    <w:rsid w:val="00785952"/>
    <w:rsid w:val="00786755"/>
    <w:rsid w:val="00787092"/>
    <w:rsid w:val="00787111"/>
    <w:rsid w:val="0078751B"/>
    <w:rsid w:val="00787713"/>
    <w:rsid w:val="00787B90"/>
    <w:rsid w:val="007928E2"/>
    <w:rsid w:val="007936B7"/>
    <w:rsid w:val="007938A2"/>
    <w:rsid w:val="00793C99"/>
    <w:rsid w:val="007946C7"/>
    <w:rsid w:val="007948EB"/>
    <w:rsid w:val="0079531F"/>
    <w:rsid w:val="007956FB"/>
    <w:rsid w:val="00795D1A"/>
    <w:rsid w:val="007972B8"/>
    <w:rsid w:val="00797496"/>
    <w:rsid w:val="00797518"/>
    <w:rsid w:val="007A33DB"/>
    <w:rsid w:val="007A3ABD"/>
    <w:rsid w:val="007A4B56"/>
    <w:rsid w:val="007A54CF"/>
    <w:rsid w:val="007A5DDD"/>
    <w:rsid w:val="007A69F1"/>
    <w:rsid w:val="007A6B90"/>
    <w:rsid w:val="007A6D7B"/>
    <w:rsid w:val="007B0338"/>
    <w:rsid w:val="007B0520"/>
    <w:rsid w:val="007B2232"/>
    <w:rsid w:val="007B428C"/>
    <w:rsid w:val="007B4A00"/>
    <w:rsid w:val="007B644C"/>
    <w:rsid w:val="007B65F8"/>
    <w:rsid w:val="007B6ECD"/>
    <w:rsid w:val="007C2C9D"/>
    <w:rsid w:val="007C302F"/>
    <w:rsid w:val="007C5C1F"/>
    <w:rsid w:val="007C6ED7"/>
    <w:rsid w:val="007C76F3"/>
    <w:rsid w:val="007C7DE1"/>
    <w:rsid w:val="007D1565"/>
    <w:rsid w:val="007D23C8"/>
    <w:rsid w:val="007D348B"/>
    <w:rsid w:val="007D3A8A"/>
    <w:rsid w:val="007D405F"/>
    <w:rsid w:val="007D4535"/>
    <w:rsid w:val="007D460B"/>
    <w:rsid w:val="007D4EAE"/>
    <w:rsid w:val="007D57AF"/>
    <w:rsid w:val="007D5C23"/>
    <w:rsid w:val="007D6E84"/>
    <w:rsid w:val="007D71A8"/>
    <w:rsid w:val="007D7812"/>
    <w:rsid w:val="007E0993"/>
    <w:rsid w:val="007E1305"/>
    <w:rsid w:val="007E1DC0"/>
    <w:rsid w:val="007E2C2B"/>
    <w:rsid w:val="007E2F36"/>
    <w:rsid w:val="007E484A"/>
    <w:rsid w:val="007E4969"/>
    <w:rsid w:val="007E4D68"/>
    <w:rsid w:val="007E5152"/>
    <w:rsid w:val="007E5BC4"/>
    <w:rsid w:val="007F1C20"/>
    <w:rsid w:val="007F2F91"/>
    <w:rsid w:val="007F547A"/>
    <w:rsid w:val="007F589A"/>
    <w:rsid w:val="007F5A41"/>
    <w:rsid w:val="007F5C7E"/>
    <w:rsid w:val="007F5C8A"/>
    <w:rsid w:val="007F6ECA"/>
    <w:rsid w:val="00801B24"/>
    <w:rsid w:val="008022FA"/>
    <w:rsid w:val="00802842"/>
    <w:rsid w:val="008029A3"/>
    <w:rsid w:val="00802D88"/>
    <w:rsid w:val="008041E9"/>
    <w:rsid w:val="0080530F"/>
    <w:rsid w:val="00805524"/>
    <w:rsid w:val="00805B8A"/>
    <w:rsid w:val="00805E68"/>
    <w:rsid w:val="008067C0"/>
    <w:rsid w:val="00807280"/>
    <w:rsid w:val="00807527"/>
    <w:rsid w:val="008100B3"/>
    <w:rsid w:val="008137E0"/>
    <w:rsid w:val="00814617"/>
    <w:rsid w:val="00814F1A"/>
    <w:rsid w:val="008168BB"/>
    <w:rsid w:val="008171F2"/>
    <w:rsid w:val="008205E0"/>
    <w:rsid w:val="00820C24"/>
    <w:rsid w:val="00821AAC"/>
    <w:rsid w:val="0082253F"/>
    <w:rsid w:val="00823B5F"/>
    <w:rsid w:val="00824B7E"/>
    <w:rsid w:val="00826A07"/>
    <w:rsid w:val="00826FDC"/>
    <w:rsid w:val="008327F1"/>
    <w:rsid w:val="0083358D"/>
    <w:rsid w:val="00833685"/>
    <w:rsid w:val="008348A7"/>
    <w:rsid w:val="008368A0"/>
    <w:rsid w:val="00840AB2"/>
    <w:rsid w:val="008417A5"/>
    <w:rsid w:val="00843E79"/>
    <w:rsid w:val="00844C56"/>
    <w:rsid w:val="00845C17"/>
    <w:rsid w:val="00846C2C"/>
    <w:rsid w:val="0085129C"/>
    <w:rsid w:val="00852675"/>
    <w:rsid w:val="00852853"/>
    <w:rsid w:val="008558C2"/>
    <w:rsid w:val="008570AA"/>
    <w:rsid w:val="00860E07"/>
    <w:rsid w:val="008613AD"/>
    <w:rsid w:val="0086223C"/>
    <w:rsid w:val="00862AC9"/>
    <w:rsid w:val="00862E2B"/>
    <w:rsid w:val="00865CB4"/>
    <w:rsid w:val="00865FEB"/>
    <w:rsid w:val="0086659F"/>
    <w:rsid w:val="008706F9"/>
    <w:rsid w:val="00871BBB"/>
    <w:rsid w:val="00873CDE"/>
    <w:rsid w:val="00874C18"/>
    <w:rsid w:val="00876925"/>
    <w:rsid w:val="00877941"/>
    <w:rsid w:val="0088016F"/>
    <w:rsid w:val="00880359"/>
    <w:rsid w:val="0088062D"/>
    <w:rsid w:val="00880C22"/>
    <w:rsid w:val="00881408"/>
    <w:rsid w:val="008821CE"/>
    <w:rsid w:val="00882419"/>
    <w:rsid w:val="008828A3"/>
    <w:rsid w:val="00882F88"/>
    <w:rsid w:val="00884527"/>
    <w:rsid w:val="00885429"/>
    <w:rsid w:val="008862FF"/>
    <w:rsid w:val="00886FAE"/>
    <w:rsid w:val="00887570"/>
    <w:rsid w:val="0088767A"/>
    <w:rsid w:val="00892D2C"/>
    <w:rsid w:val="00893531"/>
    <w:rsid w:val="008952DA"/>
    <w:rsid w:val="00895D20"/>
    <w:rsid w:val="008961A9"/>
    <w:rsid w:val="00897703"/>
    <w:rsid w:val="00897720"/>
    <w:rsid w:val="008978AE"/>
    <w:rsid w:val="008A00DF"/>
    <w:rsid w:val="008A1CC1"/>
    <w:rsid w:val="008A1E03"/>
    <w:rsid w:val="008A400C"/>
    <w:rsid w:val="008A64F6"/>
    <w:rsid w:val="008A664A"/>
    <w:rsid w:val="008A6C2A"/>
    <w:rsid w:val="008A75A2"/>
    <w:rsid w:val="008B064A"/>
    <w:rsid w:val="008B4D06"/>
    <w:rsid w:val="008B4ECD"/>
    <w:rsid w:val="008B685F"/>
    <w:rsid w:val="008B7C74"/>
    <w:rsid w:val="008B7E9E"/>
    <w:rsid w:val="008C008E"/>
    <w:rsid w:val="008C2834"/>
    <w:rsid w:val="008C29DE"/>
    <w:rsid w:val="008C2DE1"/>
    <w:rsid w:val="008C3A07"/>
    <w:rsid w:val="008C3CFF"/>
    <w:rsid w:val="008C41AF"/>
    <w:rsid w:val="008C47C2"/>
    <w:rsid w:val="008D0C02"/>
    <w:rsid w:val="008D201F"/>
    <w:rsid w:val="008D2D02"/>
    <w:rsid w:val="008D3DBA"/>
    <w:rsid w:val="008D3FC4"/>
    <w:rsid w:val="008D499A"/>
    <w:rsid w:val="008D4A08"/>
    <w:rsid w:val="008D5A64"/>
    <w:rsid w:val="008D63C6"/>
    <w:rsid w:val="008D71E1"/>
    <w:rsid w:val="008E1B2E"/>
    <w:rsid w:val="008E290B"/>
    <w:rsid w:val="008E290D"/>
    <w:rsid w:val="008E2E02"/>
    <w:rsid w:val="008E3392"/>
    <w:rsid w:val="008E3C1A"/>
    <w:rsid w:val="008E6DFB"/>
    <w:rsid w:val="008F1C57"/>
    <w:rsid w:val="008F587E"/>
    <w:rsid w:val="008F63FC"/>
    <w:rsid w:val="008F6500"/>
    <w:rsid w:val="008F73EE"/>
    <w:rsid w:val="00900A1C"/>
    <w:rsid w:val="00901406"/>
    <w:rsid w:val="00901880"/>
    <w:rsid w:val="00901F5B"/>
    <w:rsid w:val="0090312E"/>
    <w:rsid w:val="00903231"/>
    <w:rsid w:val="00904FDD"/>
    <w:rsid w:val="009055CB"/>
    <w:rsid w:val="009069C0"/>
    <w:rsid w:val="0090766C"/>
    <w:rsid w:val="009104BE"/>
    <w:rsid w:val="00910FB9"/>
    <w:rsid w:val="0091102F"/>
    <w:rsid w:val="00914055"/>
    <w:rsid w:val="00915C2A"/>
    <w:rsid w:val="00916580"/>
    <w:rsid w:val="009179EE"/>
    <w:rsid w:val="00917B30"/>
    <w:rsid w:val="00921556"/>
    <w:rsid w:val="0092181D"/>
    <w:rsid w:val="009220E1"/>
    <w:rsid w:val="009226FF"/>
    <w:rsid w:val="00922BF1"/>
    <w:rsid w:val="00922DDF"/>
    <w:rsid w:val="009258D3"/>
    <w:rsid w:val="00926E98"/>
    <w:rsid w:val="0093049E"/>
    <w:rsid w:val="00932D24"/>
    <w:rsid w:val="0093449D"/>
    <w:rsid w:val="0093744F"/>
    <w:rsid w:val="009438E2"/>
    <w:rsid w:val="00943F2F"/>
    <w:rsid w:val="009440E8"/>
    <w:rsid w:val="0094476B"/>
    <w:rsid w:val="00946F52"/>
    <w:rsid w:val="009471C8"/>
    <w:rsid w:val="00950768"/>
    <w:rsid w:val="00951E05"/>
    <w:rsid w:val="0095283A"/>
    <w:rsid w:val="00953295"/>
    <w:rsid w:val="009533D4"/>
    <w:rsid w:val="009536C0"/>
    <w:rsid w:val="00953F1D"/>
    <w:rsid w:val="00955A0A"/>
    <w:rsid w:val="00956792"/>
    <w:rsid w:val="009575AE"/>
    <w:rsid w:val="00957B22"/>
    <w:rsid w:val="009601CC"/>
    <w:rsid w:val="0096037C"/>
    <w:rsid w:val="009605C3"/>
    <w:rsid w:val="00960AEF"/>
    <w:rsid w:val="00964404"/>
    <w:rsid w:val="009663CE"/>
    <w:rsid w:val="00966666"/>
    <w:rsid w:val="00966A87"/>
    <w:rsid w:val="00967B29"/>
    <w:rsid w:val="00967EB5"/>
    <w:rsid w:val="0097053B"/>
    <w:rsid w:val="009716E8"/>
    <w:rsid w:val="00974D37"/>
    <w:rsid w:val="00974E44"/>
    <w:rsid w:val="009764A4"/>
    <w:rsid w:val="009771AA"/>
    <w:rsid w:val="0098151F"/>
    <w:rsid w:val="009822F0"/>
    <w:rsid w:val="00983A67"/>
    <w:rsid w:val="00983B75"/>
    <w:rsid w:val="009864CF"/>
    <w:rsid w:val="009868D4"/>
    <w:rsid w:val="0099031D"/>
    <w:rsid w:val="00991EB4"/>
    <w:rsid w:val="009928A8"/>
    <w:rsid w:val="00992BAF"/>
    <w:rsid w:val="00992F43"/>
    <w:rsid w:val="00993871"/>
    <w:rsid w:val="00994C2B"/>
    <w:rsid w:val="00994DAF"/>
    <w:rsid w:val="00996B4D"/>
    <w:rsid w:val="00996D0D"/>
    <w:rsid w:val="009A0AA3"/>
    <w:rsid w:val="009A30BF"/>
    <w:rsid w:val="009A3F9F"/>
    <w:rsid w:val="009A4C47"/>
    <w:rsid w:val="009A5E9C"/>
    <w:rsid w:val="009A7525"/>
    <w:rsid w:val="009B06BC"/>
    <w:rsid w:val="009B1169"/>
    <w:rsid w:val="009B155D"/>
    <w:rsid w:val="009B1F47"/>
    <w:rsid w:val="009B2B6A"/>
    <w:rsid w:val="009B327E"/>
    <w:rsid w:val="009B339A"/>
    <w:rsid w:val="009B4D71"/>
    <w:rsid w:val="009B56E8"/>
    <w:rsid w:val="009C120F"/>
    <w:rsid w:val="009C2355"/>
    <w:rsid w:val="009C29F4"/>
    <w:rsid w:val="009C2F1E"/>
    <w:rsid w:val="009C39BD"/>
    <w:rsid w:val="009C7E99"/>
    <w:rsid w:val="009D09B9"/>
    <w:rsid w:val="009D370B"/>
    <w:rsid w:val="009D7095"/>
    <w:rsid w:val="009E04AF"/>
    <w:rsid w:val="009E4A6F"/>
    <w:rsid w:val="009E5BB5"/>
    <w:rsid w:val="009E69CC"/>
    <w:rsid w:val="009F3C62"/>
    <w:rsid w:val="009F6612"/>
    <w:rsid w:val="009F7FB0"/>
    <w:rsid w:val="00A0440E"/>
    <w:rsid w:val="00A055A2"/>
    <w:rsid w:val="00A05BDC"/>
    <w:rsid w:val="00A068BD"/>
    <w:rsid w:val="00A079C5"/>
    <w:rsid w:val="00A10993"/>
    <w:rsid w:val="00A10DF5"/>
    <w:rsid w:val="00A1238E"/>
    <w:rsid w:val="00A134CF"/>
    <w:rsid w:val="00A147BA"/>
    <w:rsid w:val="00A14F25"/>
    <w:rsid w:val="00A16324"/>
    <w:rsid w:val="00A2099A"/>
    <w:rsid w:val="00A20DB6"/>
    <w:rsid w:val="00A21A8D"/>
    <w:rsid w:val="00A21F26"/>
    <w:rsid w:val="00A23123"/>
    <w:rsid w:val="00A251BE"/>
    <w:rsid w:val="00A27620"/>
    <w:rsid w:val="00A308A5"/>
    <w:rsid w:val="00A30C20"/>
    <w:rsid w:val="00A31C0C"/>
    <w:rsid w:val="00A32970"/>
    <w:rsid w:val="00A340D8"/>
    <w:rsid w:val="00A35822"/>
    <w:rsid w:val="00A364E0"/>
    <w:rsid w:val="00A3740A"/>
    <w:rsid w:val="00A40786"/>
    <w:rsid w:val="00A410EA"/>
    <w:rsid w:val="00A43E2B"/>
    <w:rsid w:val="00A43F6D"/>
    <w:rsid w:val="00A44AA1"/>
    <w:rsid w:val="00A45D07"/>
    <w:rsid w:val="00A46092"/>
    <w:rsid w:val="00A47B85"/>
    <w:rsid w:val="00A51B00"/>
    <w:rsid w:val="00A52DED"/>
    <w:rsid w:val="00A53A4C"/>
    <w:rsid w:val="00A53AA9"/>
    <w:rsid w:val="00A54ADC"/>
    <w:rsid w:val="00A572BD"/>
    <w:rsid w:val="00A57B0B"/>
    <w:rsid w:val="00A60510"/>
    <w:rsid w:val="00A611BB"/>
    <w:rsid w:val="00A64028"/>
    <w:rsid w:val="00A64425"/>
    <w:rsid w:val="00A668FB"/>
    <w:rsid w:val="00A6702B"/>
    <w:rsid w:val="00A67272"/>
    <w:rsid w:val="00A71189"/>
    <w:rsid w:val="00A71919"/>
    <w:rsid w:val="00A71D21"/>
    <w:rsid w:val="00A73A8A"/>
    <w:rsid w:val="00A74F07"/>
    <w:rsid w:val="00A76084"/>
    <w:rsid w:val="00A77226"/>
    <w:rsid w:val="00A806A9"/>
    <w:rsid w:val="00A807C8"/>
    <w:rsid w:val="00A81C21"/>
    <w:rsid w:val="00A83F45"/>
    <w:rsid w:val="00A8400E"/>
    <w:rsid w:val="00A869CB"/>
    <w:rsid w:val="00A869D6"/>
    <w:rsid w:val="00A86ECE"/>
    <w:rsid w:val="00A90B18"/>
    <w:rsid w:val="00A92883"/>
    <w:rsid w:val="00A92E92"/>
    <w:rsid w:val="00A92F20"/>
    <w:rsid w:val="00A93090"/>
    <w:rsid w:val="00A933B4"/>
    <w:rsid w:val="00A95AC6"/>
    <w:rsid w:val="00A96972"/>
    <w:rsid w:val="00A9710F"/>
    <w:rsid w:val="00A979CB"/>
    <w:rsid w:val="00A97EBD"/>
    <w:rsid w:val="00AA32F4"/>
    <w:rsid w:val="00AA4277"/>
    <w:rsid w:val="00AA4545"/>
    <w:rsid w:val="00AA6414"/>
    <w:rsid w:val="00AB03B3"/>
    <w:rsid w:val="00AB05A0"/>
    <w:rsid w:val="00AB126F"/>
    <w:rsid w:val="00AB1312"/>
    <w:rsid w:val="00AB179F"/>
    <w:rsid w:val="00AB210D"/>
    <w:rsid w:val="00AB4CFA"/>
    <w:rsid w:val="00AB5225"/>
    <w:rsid w:val="00AB621A"/>
    <w:rsid w:val="00AB65F6"/>
    <w:rsid w:val="00AB77B3"/>
    <w:rsid w:val="00AB7A04"/>
    <w:rsid w:val="00AC14AF"/>
    <w:rsid w:val="00AC25B2"/>
    <w:rsid w:val="00AC375C"/>
    <w:rsid w:val="00AC47B6"/>
    <w:rsid w:val="00AC558B"/>
    <w:rsid w:val="00AC5FEB"/>
    <w:rsid w:val="00AC7AA9"/>
    <w:rsid w:val="00AC7D32"/>
    <w:rsid w:val="00AD0017"/>
    <w:rsid w:val="00AD0343"/>
    <w:rsid w:val="00AD3D71"/>
    <w:rsid w:val="00AD3EA2"/>
    <w:rsid w:val="00AD44DC"/>
    <w:rsid w:val="00AD4609"/>
    <w:rsid w:val="00AD4AC9"/>
    <w:rsid w:val="00AD5A5C"/>
    <w:rsid w:val="00AE03CB"/>
    <w:rsid w:val="00AE0EF8"/>
    <w:rsid w:val="00AE3218"/>
    <w:rsid w:val="00AE32D9"/>
    <w:rsid w:val="00AE3B1F"/>
    <w:rsid w:val="00AE43C4"/>
    <w:rsid w:val="00AE4454"/>
    <w:rsid w:val="00AE4958"/>
    <w:rsid w:val="00AE4D65"/>
    <w:rsid w:val="00AE58AB"/>
    <w:rsid w:val="00AE61B6"/>
    <w:rsid w:val="00AE7DF5"/>
    <w:rsid w:val="00AF0141"/>
    <w:rsid w:val="00AF18B3"/>
    <w:rsid w:val="00AF3BA9"/>
    <w:rsid w:val="00AF4CCA"/>
    <w:rsid w:val="00AF7B5E"/>
    <w:rsid w:val="00B00935"/>
    <w:rsid w:val="00B00CF6"/>
    <w:rsid w:val="00B012BD"/>
    <w:rsid w:val="00B014E7"/>
    <w:rsid w:val="00B02646"/>
    <w:rsid w:val="00B02A7E"/>
    <w:rsid w:val="00B02D50"/>
    <w:rsid w:val="00B036E5"/>
    <w:rsid w:val="00B04554"/>
    <w:rsid w:val="00B06424"/>
    <w:rsid w:val="00B115CA"/>
    <w:rsid w:val="00B122B7"/>
    <w:rsid w:val="00B137EA"/>
    <w:rsid w:val="00B14513"/>
    <w:rsid w:val="00B147C9"/>
    <w:rsid w:val="00B159A6"/>
    <w:rsid w:val="00B15ACB"/>
    <w:rsid w:val="00B167D0"/>
    <w:rsid w:val="00B216C6"/>
    <w:rsid w:val="00B218D2"/>
    <w:rsid w:val="00B21BCE"/>
    <w:rsid w:val="00B221AB"/>
    <w:rsid w:val="00B22735"/>
    <w:rsid w:val="00B22ABA"/>
    <w:rsid w:val="00B233A7"/>
    <w:rsid w:val="00B242AF"/>
    <w:rsid w:val="00B2614F"/>
    <w:rsid w:val="00B26607"/>
    <w:rsid w:val="00B277C0"/>
    <w:rsid w:val="00B30004"/>
    <w:rsid w:val="00B302AC"/>
    <w:rsid w:val="00B314D8"/>
    <w:rsid w:val="00B318AA"/>
    <w:rsid w:val="00B31CB9"/>
    <w:rsid w:val="00B33C46"/>
    <w:rsid w:val="00B34364"/>
    <w:rsid w:val="00B35713"/>
    <w:rsid w:val="00B37CD6"/>
    <w:rsid w:val="00B416F4"/>
    <w:rsid w:val="00B41991"/>
    <w:rsid w:val="00B420B0"/>
    <w:rsid w:val="00B42258"/>
    <w:rsid w:val="00B42450"/>
    <w:rsid w:val="00B44107"/>
    <w:rsid w:val="00B44C47"/>
    <w:rsid w:val="00B44EBC"/>
    <w:rsid w:val="00B45413"/>
    <w:rsid w:val="00B45891"/>
    <w:rsid w:val="00B46449"/>
    <w:rsid w:val="00B46FFD"/>
    <w:rsid w:val="00B47A89"/>
    <w:rsid w:val="00B47F99"/>
    <w:rsid w:val="00B50B02"/>
    <w:rsid w:val="00B51CB4"/>
    <w:rsid w:val="00B53341"/>
    <w:rsid w:val="00B533D2"/>
    <w:rsid w:val="00B53710"/>
    <w:rsid w:val="00B53D89"/>
    <w:rsid w:val="00B56CDE"/>
    <w:rsid w:val="00B5734F"/>
    <w:rsid w:val="00B575F0"/>
    <w:rsid w:val="00B578B5"/>
    <w:rsid w:val="00B6048A"/>
    <w:rsid w:val="00B61262"/>
    <w:rsid w:val="00B618A0"/>
    <w:rsid w:val="00B629EE"/>
    <w:rsid w:val="00B6426D"/>
    <w:rsid w:val="00B650CF"/>
    <w:rsid w:val="00B661D4"/>
    <w:rsid w:val="00B70D74"/>
    <w:rsid w:val="00B716F8"/>
    <w:rsid w:val="00B71E34"/>
    <w:rsid w:val="00B7326F"/>
    <w:rsid w:val="00B73D7E"/>
    <w:rsid w:val="00B762A9"/>
    <w:rsid w:val="00B76AA9"/>
    <w:rsid w:val="00B77BB6"/>
    <w:rsid w:val="00B811D1"/>
    <w:rsid w:val="00B81B3B"/>
    <w:rsid w:val="00B8333A"/>
    <w:rsid w:val="00B83403"/>
    <w:rsid w:val="00B8443F"/>
    <w:rsid w:val="00B924B9"/>
    <w:rsid w:val="00B92BEC"/>
    <w:rsid w:val="00B93D7E"/>
    <w:rsid w:val="00B9522D"/>
    <w:rsid w:val="00B95659"/>
    <w:rsid w:val="00B962C7"/>
    <w:rsid w:val="00BA27AD"/>
    <w:rsid w:val="00BA2A64"/>
    <w:rsid w:val="00BA3DEF"/>
    <w:rsid w:val="00BA5A6A"/>
    <w:rsid w:val="00BB1830"/>
    <w:rsid w:val="00BB4A09"/>
    <w:rsid w:val="00BB5B51"/>
    <w:rsid w:val="00BB7E13"/>
    <w:rsid w:val="00BC06E2"/>
    <w:rsid w:val="00BC0FDA"/>
    <w:rsid w:val="00BC1A1F"/>
    <w:rsid w:val="00BC23A2"/>
    <w:rsid w:val="00BC3C3D"/>
    <w:rsid w:val="00BC4CC0"/>
    <w:rsid w:val="00BC509C"/>
    <w:rsid w:val="00BC51EA"/>
    <w:rsid w:val="00BC5F46"/>
    <w:rsid w:val="00BC60F6"/>
    <w:rsid w:val="00BC61E8"/>
    <w:rsid w:val="00BC62F1"/>
    <w:rsid w:val="00BC6F2C"/>
    <w:rsid w:val="00BD3615"/>
    <w:rsid w:val="00BD5BEE"/>
    <w:rsid w:val="00BD5C72"/>
    <w:rsid w:val="00BE0B80"/>
    <w:rsid w:val="00BE0C22"/>
    <w:rsid w:val="00BE2FF1"/>
    <w:rsid w:val="00BE3417"/>
    <w:rsid w:val="00BE37D6"/>
    <w:rsid w:val="00BE3967"/>
    <w:rsid w:val="00BE399F"/>
    <w:rsid w:val="00BE4053"/>
    <w:rsid w:val="00BE4EF1"/>
    <w:rsid w:val="00BE623D"/>
    <w:rsid w:val="00BE6B0E"/>
    <w:rsid w:val="00BE7139"/>
    <w:rsid w:val="00BE7826"/>
    <w:rsid w:val="00BF0581"/>
    <w:rsid w:val="00BF19DA"/>
    <w:rsid w:val="00BF39FE"/>
    <w:rsid w:val="00BF3DF7"/>
    <w:rsid w:val="00BF4C07"/>
    <w:rsid w:val="00BF56F8"/>
    <w:rsid w:val="00BF59BE"/>
    <w:rsid w:val="00BF6097"/>
    <w:rsid w:val="00BF7233"/>
    <w:rsid w:val="00BF79D5"/>
    <w:rsid w:val="00C00EE7"/>
    <w:rsid w:val="00C02620"/>
    <w:rsid w:val="00C02977"/>
    <w:rsid w:val="00C02E87"/>
    <w:rsid w:val="00C02F22"/>
    <w:rsid w:val="00C0330A"/>
    <w:rsid w:val="00C0528C"/>
    <w:rsid w:val="00C11D0C"/>
    <w:rsid w:val="00C12F2F"/>
    <w:rsid w:val="00C14B73"/>
    <w:rsid w:val="00C17281"/>
    <w:rsid w:val="00C20B7F"/>
    <w:rsid w:val="00C23CC1"/>
    <w:rsid w:val="00C23D8A"/>
    <w:rsid w:val="00C23E80"/>
    <w:rsid w:val="00C2463D"/>
    <w:rsid w:val="00C251FE"/>
    <w:rsid w:val="00C26DAF"/>
    <w:rsid w:val="00C26F02"/>
    <w:rsid w:val="00C2755A"/>
    <w:rsid w:val="00C311CE"/>
    <w:rsid w:val="00C3149C"/>
    <w:rsid w:val="00C315B1"/>
    <w:rsid w:val="00C3210C"/>
    <w:rsid w:val="00C3302E"/>
    <w:rsid w:val="00C335CE"/>
    <w:rsid w:val="00C33EC6"/>
    <w:rsid w:val="00C35288"/>
    <w:rsid w:val="00C40DA5"/>
    <w:rsid w:val="00C40E1A"/>
    <w:rsid w:val="00C4109D"/>
    <w:rsid w:val="00C4500C"/>
    <w:rsid w:val="00C469CD"/>
    <w:rsid w:val="00C475AC"/>
    <w:rsid w:val="00C5245A"/>
    <w:rsid w:val="00C53170"/>
    <w:rsid w:val="00C536AF"/>
    <w:rsid w:val="00C54290"/>
    <w:rsid w:val="00C54739"/>
    <w:rsid w:val="00C54C6E"/>
    <w:rsid w:val="00C55584"/>
    <w:rsid w:val="00C57124"/>
    <w:rsid w:val="00C578FA"/>
    <w:rsid w:val="00C613C2"/>
    <w:rsid w:val="00C61490"/>
    <w:rsid w:val="00C61777"/>
    <w:rsid w:val="00C62CE9"/>
    <w:rsid w:val="00C62FE6"/>
    <w:rsid w:val="00C63C78"/>
    <w:rsid w:val="00C63CB0"/>
    <w:rsid w:val="00C65169"/>
    <w:rsid w:val="00C67517"/>
    <w:rsid w:val="00C67AF0"/>
    <w:rsid w:val="00C67B05"/>
    <w:rsid w:val="00C67C4F"/>
    <w:rsid w:val="00C71E43"/>
    <w:rsid w:val="00C72881"/>
    <w:rsid w:val="00C75910"/>
    <w:rsid w:val="00C75C00"/>
    <w:rsid w:val="00C7696B"/>
    <w:rsid w:val="00C76B08"/>
    <w:rsid w:val="00C7722E"/>
    <w:rsid w:val="00C77DF9"/>
    <w:rsid w:val="00C80286"/>
    <w:rsid w:val="00C80904"/>
    <w:rsid w:val="00C814BA"/>
    <w:rsid w:val="00C81682"/>
    <w:rsid w:val="00C84016"/>
    <w:rsid w:val="00C849DC"/>
    <w:rsid w:val="00C84BEE"/>
    <w:rsid w:val="00C85093"/>
    <w:rsid w:val="00C867C3"/>
    <w:rsid w:val="00C93B6F"/>
    <w:rsid w:val="00C94A69"/>
    <w:rsid w:val="00C9576D"/>
    <w:rsid w:val="00C957B6"/>
    <w:rsid w:val="00CA0823"/>
    <w:rsid w:val="00CA467A"/>
    <w:rsid w:val="00CA473C"/>
    <w:rsid w:val="00CA6433"/>
    <w:rsid w:val="00CA6F49"/>
    <w:rsid w:val="00CA752A"/>
    <w:rsid w:val="00CB003D"/>
    <w:rsid w:val="00CB066D"/>
    <w:rsid w:val="00CB0E79"/>
    <w:rsid w:val="00CB110F"/>
    <w:rsid w:val="00CB2835"/>
    <w:rsid w:val="00CB28D1"/>
    <w:rsid w:val="00CB45DD"/>
    <w:rsid w:val="00CB4902"/>
    <w:rsid w:val="00CB566F"/>
    <w:rsid w:val="00CB58B3"/>
    <w:rsid w:val="00CB5ED3"/>
    <w:rsid w:val="00CB67F0"/>
    <w:rsid w:val="00CB68B5"/>
    <w:rsid w:val="00CB6C72"/>
    <w:rsid w:val="00CC401B"/>
    <w:rsid w:val="00CC44EE"/>
    <w:rsid w:val="00CC479D"/>
    <w:rsid w:val="00CC4990"/>
    <w:rsid w:val="00CC54FD"/>
    <w:rsid w:val="00CC60E8"/>
    <w:rsid w:val="00CC6CF9"/>
    <w:rsid w:val="00CC72C5"/>
    <w:rsid w:val="00CD1183"/>
    <w:rsid w:val="00CD13E8"/>
    <w:rsid w:val="00CD2906"/>
    <w:rsid w:val="00CD2E8F"/>
    <w:rsid w:val="00CD4432"/>
    <w:rsid w:val="00CD4D56"/>
    <w:rsid w:val="00CD761E"/>
    <w:rsid w:val="00CE3803"/>
    <w:rsid w:val="00CE5D57"/>
    <w:rsid w:val="00CE6C54"/>
    <w:rsid w:val="00CF1257"/>
    <w:rsid w:val="00CF1587"/>
    <w:rsid w:val="00CF1CE7"/>
    <w:rsid w:val="00CF2270"/>
    <w:rsid w:val="00CF2EFB"/>
    <w:rsid w:val="00CF34B5"/>
    <w:rsid w:val="00CF42C0"/>
    <w:rsid w:val="00CF5178"/>
    <w:rsid w:val="00CF565F"/>
    <w:rsid w:val="00CF5F28"/>
    <w:rsid w:val="00CF6927"/>
    <w:rsid w:val="00CF740B"/>
    <w:rsid w:val="00D045AB"/>
    <w:rsid w:val="00D045D2"/>
    <w:rsid w:val="00D05DA4"/>
    <w:rsid w:val="00D05E78"/>
    <w:rsid w:val="00D102D4"/>
    <w:rsid w:val="00D1130C"/>
    <w:rsid w:val="00D11C1D"/>
    <w:rsid w:val="00D12384"/>
    <w:rsid w:val="00D13355"/>
    <w:rsid w:val="00D149C8"/>
    <w:rsid w:val="00D14A27"/>
    <w:rsid w:val="00D14AE5"/>
    <w:rsid w:val="00D1530B"/>
    <w:rsid w:val="00D153C1"/>
    <w:rsid w:val="00D1657F"/>
    <w:rsid w:val="00D17CB4"/>
    <w:rsid w:val="00D20FE9"/>
    <w:rsid w:val="00D21663"/>
    <w:rsid w:val="00D235C6"/>
    <w:rsid w:val="00D23FAD"/>
    <w:rsid w:val="00D24163"/>
    <w:rsid w:val="00D25618"/>
    <w:rsid w:val="00D25B6D"/>
    <w:rsid w:val="00D25CB9"/>
    <w:rsid w:val="00D270CB"/>
    <w:rsid w:val="00D2732B"/>
    <w:rsid w:val="00D27741"/>
    <w:rsid w:val="00D305EC"/>
    <w:rsid w:val="00D30D81"/>
    <w:rsid w:val="00D30FDA"/>
    <w:rsid w:val="00D32A90"/>
    <w:rsid w:val="00D332F2"/>
    <w:rsid w:val="00D334FE"/>
    <w:rsid w:val="00D3360B"/>
    <w:rsid w:val="00D34310"/>
    <w:rsid w:val="00D3479D"/>
    <w:rsid w:val="00D34B16"/>
    <w:rsid w:val="00D35540"/>
    <w:rsid w:val="00D358A0"/>
    <w:rsid w:val="00D35B85"/>
    <w:rsid w:val="00D408EA"/>
    <w:rsid w:val="00D4352E"/>
    <w:rsid w:val="00D4671F"/>
    <w:rsid w:val="00D468AC"/>
    <w:rsid w:val="00D503B1"/>
    <w:rsid w:val="00D5329B"/>
    <w:rsid w:val="00D539C8"/>
    <w:rsid w:val="00D56DE3"/>
    <w:rsid w:val="00D570F5"/>
    <w:rsid w:val="00D573EA"/>
    <w:rsid w:val="00D579A6"/>
    <w:rsid w:val="00D60D2B"/>
    <w:rsid w:val="00D61D9E"/>
    <w:rsid w:val="00D6300D"/>
    <w:rsid w:val="00D654FC"/>
    <w:rsid w:val="00D66DC1"/>
    <w:rsid w:val="00D66F25"/>
    <w:rsid w:val="00D66FC5"/>
    <w:rsid w:val="00D679C2"/>
    <w:rsid w:val="00D720F1"/>
    <w:rsid w:val="00D7252F"/>
    <w:rsid w:val="00D75F15"/>
    <w:rsid w:val="00D774C7"/>
    <w:rsid w:val="00D77EFF"/>
    <w:rsid w:val="00D8088C"/>
    <w:rsid w:val="00D8167D"/>
    <w:rsid w:val="00D81873"/>
    <w:rsid w:val="00D81B81"/>
    <w:rsid w:val="00D82C72"/>
    <w:rsid w:val="00D83A2E"/>
    <w:rsid w:val="00D8453D"/>
    <w:rsid w:val="00D84D5F"/>
    <w:rsid w:val="00D854A2"/>
    <w:rsid w:val="00D85BA2"/>
    <w:rsid w:val="00D85DC3"/>
    <w:rsid w:val="00D86957"/>
    <w:rsid w:val="00D86A93"/>
    <w:rsid w:val="00D86AD5"/>
    <w:rsid w:val="00D875C2"/>
    <w:rsid w:val="00D90A72"/>
    <w:rsid w:val="00D90D40"/>
    <w:rsid w:val="00D91111"/>
    <w:rsid w:val="00D917C7"/>
    <w:rsid w:val="00D91CA2"/>
    <w:rsid w:val="00D92719"/>
    <w:rsid w:val="00D92CB8"/>
    <w:rsid w:val="00D93ED8"/>
    <w:rsid w:val="00D94248"/>
    <w:rsid w:val="00D95300"/>
    <w:rsid w:val="00D95D9F"/>
    <w:rsid w:val="00D962ED"/>
    <w:rsid w:val="00D96631"/>
    <w:rsid w:val="00D96B28"/>
    <w:rsid w:val="00D96D87"/>
    <w:rsid w:val="00D97117"/>
    <w:rsid w:val="00DA0D97"/>
    <w:rsid w:val="00DA10B6"/>
    <w:rsid w:val="00DA12F4"/>
    <w:rsid w:val="00DA2B04"/>
    <w:rsid w:val="00DA2F07"/>
    <w:rsid w:val="00DA3D6B"/>
    <w:rsid w:val="00DA5DB6"/>
    <w:rsid w:val="00DA5DC0"/>
    <w:rsid w:val="00DA62C1"/>
    <w:rsid w:val="00DA6602"/>
    <w:rsid w:val="00DA7691"/>
    <w:rsid w:val="00DB0054"/>
    <w:rsid w:val="00DB2595"/>
    <w:rsid w:val="00DB65C0"/>
    <w:rsid w:val="00DB74B1"/>
    <w:rsid w:val="00DB7EE2"/>
    <w:rsid w:val="00DC144A"/>
    <w:rsid w:val="00DC181C"/>
    <w:rsid w:val="00DC2440"/>
    <w:rsid w:val="00DC2A42"/>
    <w:rsid w:val="00DC30F3"/>
    <w:rsid w:val="00DC399F"/>
    <w:rsid w:val="00DC4A83"/>
    <w:rsid w:val="00DC6C22"/>
    <w:rsid w:val="00DD2044"/>
    <w:rsid w:val="00DD33A0"/>
    <w:rsid w:val="00DD3AC2"/>
    <w:rsid w:val="00DD3C69"/>
    <w:rsid w:val="00DD7653"/>
    <w:rsid w:val="00DD790D"/>
    <w:rsid w:val="00DE0A40"/>
    <w:rsid w:val="00DE1653"/>
    <w:rsid w:val="00DE2D8D"/>
    <w:rsid w:val="00DE6364"/>
    <w:rsid w:val="00DE6929"/>
    <w:rsid w:val="00DE7D7D"/>
    <w:rsid w:val="00DF28FA"/>
    <w:rsid w:val="00DF53AF"/>
    <w:rsid w:val="00DF5957"/>
    <w:rsid w:val="00DF655F"/>
    <w:rsid w:val="00DF759D"/>
    <w:rsid w:val="00DF7BAE"/>
    <w:rsid w:val="00E01802"/>
    <w:rsid w:val="00E05BA4"/>
    <w:rsid w:val="00E05EE8"/>
    <w:rsid w:val="00E06097"/>
    <w:rsid w:val="00E06DA8"/>
    <w:rsid w:val="00E079C3"/>
    <w:rsid w:val="00E07EB2"/>
    <w:rsid w:val="00E12D3B"/>
    <w:rsid w:val="00E13BD4"/>
    <w:rsid w:val="00E15A39"/>
    <w:rsid w:val="00E15DAA"/>
    <w:rsid w:val="00E16F83"/>
    <w:rsid w:val="00E22C20"/>
    <w:rsid w:val="00E23E08"/>
    <w:rsid w:val="00E23EBF"/>
    <w:rsid w:val="00E24459"/>
    <w:rsid w:val="00E2448A"/>
    <w:rsid w:val="00E25F5E"/>
    <w:rsid w:val="00E2648E"/>
    <w:rsid w:val="00E26F87"/>
    <w:rsid w:val="00E3015C"/>
    <w:rsid w:val="00E3127B"/>
    <w:rsid w:val="00E33BEE"/>
    <w:rsid w:val="00E34719"/>
    <w:rsid w:val="00E34AC2"/>
    <w:rsid w:val="00E3606B"/>
    <w:rsid w:val="00E372AE"/>
    <w:rsid w:val="00E40217"/>
    <w:rsid w:val="00E42AE6"/>
    <w:rsid w:val="00E43872"/>
    <w:rsid w:val="00E451F3"/>
    <w:rsid w:val="00E47827"/>
    <w:rsid w:val="00E50005"/>
    <w:rsid w:val="00E5009F"/>
    <w:rsid w:val="00E50972"/>
    <w:rsid w:val="00E52744"/>
    <w:rsid w:val="00E54D53"/>
    <w:rsid w:val="00E554E8"/>
    <w:rsid w:val="00E5560E"/>
    <w:rsid w:val="00E57523"/>
    <w:rsid w:val="00E61894"/>
    <w:rsid w:val="00E6245C"/>
    <w:rsid w:val="00E62C34"/>
    <w:rsid w:val="00E63140"/>
    <w:rsid w:val="00E633DC"/>
    <w:rsid w:val="00E655E2"/>
    <w:rsid w:val="00E65CD8"/>
    <w:rsid w:val="00E66603"/>
    <w:rsid w:val="00E711EA"/>
    <w:rsid w:val="00E735A9"/>
    <w:rsid w:val="00E73ACF"/>
    <w:rsid w:val="00E73BE4"/>
    <w:rsid w:val="00E74ECC"/>
    <w:rsid w:val="00E776F0"/>
    <w:rsid w:val="00E80640"/>
    <w:rsid w:val="00E8157E"/>
    <w:rsid w:val="00E81736"/>
    <w:rsid w:val="00E81ED7"/>
    <w:rsid w:val="00E82586"/>
    <w:rsid w:val="00E826C4"/>
    <w:rsid w:val="00E82F1F"/>
    <w:rsid w:val="00E82F2F"/>
    <w:rsid w:val="00E83A20"/>
    <w:rsid w:val="00E84C24"/>
    <w:rsid w:val="00E84D69"/>
    <w:rsid w:val="00E85C7C"/>
    <w:rsid w:val="00E86488"/>
    <w:rsid w:val="00E86E97"/>
    <w:rsid w:val="00E90228"/>
    <w:rsid w:val="00E907F4"/>
    <w:rsid w:val="00E95F4E"/>
    <w:rsid w:val="00E96E5D"/>
    <w:rsid w:val="00E9798A"/>
    <w:rsid w:val="00E979F7"/>
    <w:rsid w:val="00EA09BD"/>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578A"/>
    <w:rsid w:val="00EB6AFD"/>
    <w:rsid w:val="00EB6C7D"/>
    <w:rsid w:val="00EB70E5"/>
    <w:rsid w:val="00EB7C8E"/>
    <w:rsid w:val="00EC02BE"/>
    <w:rsid w:val="00EC1B1A"/>
    <w:rsid w:val="00EC35DE"/>
    <w:rsid w:val="00EC53E6"/>
    <w:rsid w:val="00EC543A"/>
    <w:rsid w:val="00EC5975"/>
    <w:rsid w:val="00EC6130"/>
    <w:rsid w:val="00EC6766"/>
    <w:rsid w:val="00EC6B27"/>
    <w:rsid w:val="00EC6BF6"/>
    <w:rsid w:val="00EC7AE3"/>
    <w:rsid w:val="00EC7E08"/>
    <w:rsid w:val="00ED0F4E"/>
    <w:rsid w:val="00ED2563"/>
    <w:rsid w:val="00ED2A4C"/>
    <w:rsid w:val="00ED762B"/>
    <w:rsid w:val="00EE067C"/>
    <w:rsid w:val="00EE1275"/>
    <w:rsid w:val="00EE1D7D"/>
    <w:rsid w:val="00EE2031"/>
    <w:rsid w:val="00EE209E"/>
    <w:rsid w:val="00EE2D3E"/>
    <w:rsid w:val="00EE670D"/>
    <w:rsid w:val="00EE7A5E"/>
    <w:rsid w:val="00EF039F"/>
    <w:rsid w:val="00EF11CE"/>
    <w:rsid w:val="00EF13FE"/>
    <w:rsid w:val="00EF2143"/>
    <w:rsid w:val="00EF3159"/>
    <w:rsid w:val="00EF384D"/>
    <w:rsid w:val="00EF4569"/>
    <w:rsid w:val="00EF4F51"/>
    <w:rsid w:val="00EF6960"/>
    <w:rsid w:val="00EF7D4C"/>
    <w:rsid w:val="00F062AC"/>
    <w:rsid w:val="00F067BC"/>
    <w:rsid w:val="00F068A0"/>
    <w:rsid w:val="00F0745D"/>
    <w:rsid w:val="00F10C63"/>
    <w:rsid w:val="00F115CA"/>
    <w:rsid w:val="00F121CB"/>
    <w:rsid w:val="00F12787"/>
    <w:rsid w:val="00F152AB"/>
    <w:rsid w:val="00F17101"/>
    <w:rsid w:val="00F175F6"/>
    <w:rsid w:val="00F17AC1"/>
    <w:rsid w:val="00F20A25"/>
    <w:rsid w:val="00F20D6E"/>
    <w:rsid w:val="00F22810"/>
    <w:rsid w:val="00F23521"/>
    <w:rsid w:val="00F2359F"/>
    <w:rsid w:val="00F25E05"/>
    <w:rsid w:val="00F26F08"/>
    <w:rsid w:val="00F2710C"/>
    <w:rsid w:val="00F274F9"/>
    <w:rsid w:val="00F314CA"/>
    <w:rsid w:val="00F31F31"/>
    <w:rsid w:val="00F34F34"/>
    <w:rsid w:val="00F35350"/>
    <w:rsid w:val="00F35D14"/>
    <w:rsid w:val="00F35E37"/>
    <w:rsid w:val="00F36CF6"/>
    <w:rsid w:val="00F37737"/>
    <w:rsid w:val="00F4022D"/>
    <w:rsid w:val="00F40BDA"/>
    <w:rsid w:val="00F4352C"/>
    <w:rsid w:val="00F435DD"/>
    <w:rsid w:val="00F43806"/>
    <w:rsid w:val="00F44A54"/>
    <w:rsid w:val="00F44E1D"/>
    <w:rsid w:val="00F46DC9"/>
    <w:rsid w:val="00F47051"/>
    <w:rsid w:val="00F47DFA"/>
    <w:rsid w:val="00F50549"/>
    <w:rsid w:val="00F56757"/>
    <w:rsid w:val="00F56790"/>
    <w:rsid w:val="00F61830"/>
    <w:rsid w:val="00F61F2B"/>
    <w:rsid w:val="00F632F0"/>
    <w:rsid w:val="00F650C6"/>
    <w:rsid w:val="00F6654F"/>
    <w:rsid w:val="00F670C5"/>
    <w:rsid w:val="00F67E52"/>
    <w:rsid w:val="00F717A9"/>
    <w:rsid w:val="00F72893"/>
    <w:rsid w:val="00F72F75"/>
    <w:rsid w:val="00F74885"/>
    <w:rsid w:val="00F808C8"/>
    <w:rsid w:val="00F8131F"/>
    <w:rsid w:val="00F81643"/>
    <w:rsid w:val="00F82F71"/>
    <w:rsid w:val="00F83221"/>
    <w:rsid w:val="00F852AC"/>
    <w:rsid w:val="00F87873"/>
    <w:rsid w:val="00F90801"/>
    <w:rsid w:val="00F90FD1"/>
    <w:rsid w:val="00F928A7"/>
    <w:rsid w:val="00F93D01"/>
    <w:rsid w:val="00F951A8"/>
    <w:rsid w:val="00F973B8"/>
    <w:rsid w:val="00FA074C"/>
    <w:rsid w:val="00FA189F"/>
    <w:rsid w:val="00FA33EA"/>
    <w:rsid w:val="00FA3B31"/>
    <w:rsid w:val="00FA4E6A"/>
    <w:rsid w:val="00FA6021"/>
    <w:rsid w:val="00FA6A96"/>
    <w:rsid w:val="00FA6E71"/>
    <w:rsid w:val="00FA7041"/>
    <w:rsid w:val="00FB1AF5"/>
    <w:rsid w:val="00FB1F32"/>
    <w:rsid w:val="00FB38C1"/>
    <w:rsid w:val="00FB43EE"/>
    <w:rsid w:val="00FB4EEC"/>
    <w:rsid w:val="00FB5305"/>
    <w:rsid w:val="00FB5539"/>
    <w:rsid w:val="00FB580A"/>
    <w:rsid w:val="00FB5D0B"/>
    <w:rsid w:val="00FB6219"/>
    <w:rsid w:val="00FB6344"/>
    <w:rsid w:val="00FC0BB0"/>
    <w:rsid w:val="00FC18C6"/>
    <w:rsid w:val="00FC2AA2"/>
    <w:rsid w:val="00FC2BFC"/>
    <w:rsid w:val="00FC2FEF"/>
    <w:rsid w:val="00FC3028"/>
    <w:rsid w:val="00FC4E0A"/>
    <w:rsid w:val="00FC507A"/>
    <w:rsid w:val="00FC5721"/>
    <w:rsid w:val="00FC7057"/>
    <w:rsid w:val="00FC7C5E"/>
    <w:rsid w:val="00FD0107"/>
    <w:rsid w:val="00FD0552"/>
    <w:rsid w:val="00FD45B6"/>
    <w:rsid w:val="00FD5B9A"/>
    <w:rsid w:val="00FD5BAB"/>
    <w:rsid w:val="00FD6621"/>
    <w:rsid w:val="00FE2FFD"/>
    <w:rsid w:val="00FE3889"/>
    <w:rsid w:val="00FE4CEE"/>
    <w:rsid w:val="00FE53AC"/>
    <w:rsid w:val="00FE78F3"/>
    <w:rsid w:val="00FF1535"/>
    <w:rsid w:val="00FF5CDC"/>
    <w:rsid w:val="00FF6FAA"/>
    <w:rsid w:val="00FF771D"/>
    <w:rsid w:val="00FF77B0"/>
    <w:rsid w:val="011133F9"/>
    <w:rsid w:val="01282568"/>
    <w:rsid w:val="01356A7C"/>
    <w:rsid w:val="013F4BAB"/>
    <w:rsid w:val="016D20C3"/>
    <w:rsid w:val="01702957"/>
    <w:rsid w:val="01847372"/>
    <w:rsid w:val="01C733C5"/>
    <w:rsid w:val="01CC389E"/>
    <w:rsid w:val="020328B1"/>
    <w:rsid w:val="0209671D"/>
    <w:rsid w:val="02194061"/>
    <w:rsid w:val="023202BD"/>
    <w:rsid w:val="023C3865"/>
    <w:rsid w:val="024072C8"/>
    <w:rsid w:val="02732E09"/>
    <w:rsid w:val="027C3D02"/>
    <w:rsid w:val="029334C1"/>
    <w:rsid w:val="02FA7D89"/>
    <w:rsid w:val="02FC04C3"/>
    <w:rsid w:val="02FC2D70"/>
    <w:rsid w:val="0365258C"/>
    <w:rsid w:val="03800102"/>
    <w:rsid w:val="039E3468"/>
    <w:rsid w:val="04033684"/>
    <w:rsid w:val="04490088"/>
    <w:rsid w:val="047866D8"/>
    <w:rsid w:val="04880F29"/>
    <w:rsid w:val="0496201C"/>
    <w:rsid w:val="04C2065C"/>
    <w:rsid w:val="04CA6188"/>
    <w:rsid w:val="04DA41B7"/>
    <w:rsid w:val="04FE5E1D"/>
    <w:rsid w:val="05300654"/>
    <w:rsid w:val="05383D9A"/>
    <w:rsid w:val="05931E39"/>
    <w:rsid w:val="05C50414"/>
    <w:rsid w:val="05D66CC4"/>
    <w:rsid w:val="05E01147"/>
    <w:rsid w:val="05E42C49"/>
    <w:rsid w:val="05E81A70"/>
    <w:rsid w:val="060A08B8"/>
    <w:rsid w:val="065E5952"/>
    <w:rsid w:val="06780822"/>
    <w:rsid w:val="07182132"/>
    <w:rsid w:val="074E566C"/>
    <w:rsid w:val="07960328"/>
    <w:rsid w:val="07DF27A4"/>
    <w:rsid w:val="07E21811"/>
    <w:rsid w:val="081C2FD7"/>
    <w:rsid w:val="083312C5"/>
    <w:rsid w:val="087301AF"/>
    <w:rsid w:val="092C5E84"/>
    <w:rsid w:val="093640A9"/>
    <w:rsid w:val="094C30C5"/>
    <w:rsid w:val="09797ED9"/>
    <w:rsid w:val="0A523BB6"/>
    <w:rsid w:val="0ADC240C"/>
    <w:rsid w:val="0AE42705"/>
    <w:rsid w:val="0B5C6933"/>
    <w:rsid w:val="0B6353EB"/>
    <w:rsid w:val="0BC85AD4"/>
    <w:rsid w:val="0BFC2149"/>
    <w:rsid w:val="0C015C4F"/>
    <w:rsid w:val="0C2405DB"/>
    <w:rsid w:val="0C487FEF"/>
    <w:rsid w:val="0C4E2E3B"/>
    <w:rsid w:val="0C6159E6"/>
    <w:rsid w:val="0C797D32"/>
    <w:rsid w:val="0C837107"/>
    <w:rsid w:val="0C86692C"/>
    <w:rsid w:val="0C8A79ED"/>
    <w:rsid w:val="0C9818F5"/>
    <w:rsid w:val="0CBA60C3"/>
    <w:rsid w:val="0CC26CDF"/>
    <w:rsid w:val="0CE80363"/>
    <w:rsid w:val="0D1E38D2"/>
    <w:rsid w:val="0D2B4E47"/>
    <w:rsid w:val="0D2D531E"/>
    <w:rsid w:val="0D3C49CF"/>
    <w:rsid w:val="0D565420"/>
    <w:rsid w:val="0D5D6CCE"/>
    <w:rsid w:val="0DB94B29"/>
    <w:rsid w:val="0DCD6CFE"/>
    <w:rsid w:val="0DE01EB6"/>
    <w:rsid w:val="0DE66E8F"/>
    <w:rsid w:val="0E056605"/>
    <w:rsid w:val="0E0643FE"/>
    <w:rsid w:val="0E22712E"/>
    <w:rsid w:val="0E2619C9"/>
    <w:rsid w:val="0E352FCF"/>
    <w:rsid w:val="0E6D5CED"/>
    <w:rsid w:val="0E7D6E7D"/>
    <w:rsid w:val="0EE770A6"/>
    <w:rsid w:val="0EFD2FCA"/>
    <w:rsid w:val="0F0E621A"/>
    <w:rsid w:val="0F14770B"/>
    <w:rsid w:val="0F230EFE"/>
    <w:rsid w:val="0F3E70DF"/>
    <w:rsid w:val="0F591F74"/>
    <w:rsid w:val="0F731292"/>
    <w:rsid w:val="1049148A"/>
    <w:rsid w:val="106B4542"/>
    <w:rsid w:val="107461B5"/>
    <w:rsid w:val="109A02AD"/>
    <w:rsid w:val="10C33B68"/>
    <w:rsid w:val="10CB0E14"/>
    <w:rsid w:val="11304576"/>
    <w:rsid w:val="113C5619"/>
    <w:rsid w:val="113F6DAE"/>
    <w:rsid w:val="11645E04"/>
    <w:rsid w:val="11700119"/>
    <w:rsid w:val="11924A52"/>
    <w:rsid w:val="11E25744"/>
    <w:rsid w:val="11ED5FB4"/>
    <w:rsid w:val="122059CB"/>
    <w:rsid w:val="12616921"/>
    <w:rsid w:val="12970AD6"/>
    <w:rsid w:val="12AB61AD"/>
    <w:rsid w:val="12B7513D"/>
    <w:rsid w:val="12C0574B"/>
    <w:rsid w:val="1333260B"/>
    <w:rsid w:val="134B516F"/>
    <w:rsid w:val="13671C89"/>
    <w:rsid w:val="137522B6"/>
    <w:rsid w:val="137B11BD"/>
    <w:rsid w:val="13A46531"/>
    <w:rsid w:val="13BB4419"/>
    <w:rsid w:val="14257A88"/>
    <w:rsid w:val="144356C2"/>
    <w:rsid w:val="14501392"/>
    <w:rsid w:val="14692F2A"/>
    <w:rsid w:val="146B1440"/>
    <w:rsid w:val="149139A9"/>
    <w:rsid w:val="14CC777D"/>
    <w:rsid w:val="14D02462"/>
    <w:rsid w:val="14F12C23"/>
    <w:rsid w:val="15043A58"/>
    <w:rsid w:val="15166D87"/>
    <w:rsid w:val="155D0D3D"/>
    <w:rsid w:val="15A23A29"/>
    <w:rsid w:val="15EF1DE9"/>
    <w:rsid w:val="15F22CB1"/>
    <w:rsid w:val="15FF4054"/>
    <w:rsid w:val="16225C3C"/>
    <w:rsid w:val="162D5755"/>
    <w:rsid w:val="165C302A"/>
    <w:rsid w:val="168D1A0A"/>
    <w:rsid w:val="16932AB2"/>
    <w:rsid w:val="16A4319F"/>
    <w:rsid w:val="16D81F1E"/>
    <w:rsid w:val="16E30B09"/>
    <w:rsid w:val="16EF6AB1"/>
    <w:rsid w:val="16F672B4"/>
    <w:rsid w:val="16F974B4"/>
    <w:rsid w:val="170A28BC"/>
    <w:rsid w:val="17162B23"/>
    <w:rsid w:val="17317512"/>
    <w:rsid w:val="17484828"/>
    <w:rsid w:val="17604B86"/>
    <w:rsid w:val="176B511E"/>
    <w:rsid w:val="17BF5E83"/>
    <w:rsid w:val="17CA77B7"/>
    <w:rsid w:val="183077C0"/>
    <w:rsid w:val="183C649F"/>
    <w:rsid w:val="18CD7A02"/>
    <w:rsid w:val="19086B71"/>
    <w:rsid w:val="190F4897"/>
    <w:rsid w:val="193B505D"/>
    <w:rsid w:val="19872972"/>
    <w:rsid w:val="19DF09ED"/>
    <w:rsid w:val="1A095B39"/>
    <w:rsid w:val="1A2C6C4E"/>
    <w:rsid w:val="1A441B18"/>
    <w:rsid w:val="1A5D5586"/>
    <w:rsid w:val="1A702879"/>
    <w:rsid w:val="1A9558B3"/>
    <w:rsid w:val="1AC56139"/>
    <w:rsid w:val="1AD70F73"/>
    <w:rsid w:val="1AE8615F"/>
    <w:rsid w:val="1B453307"/>
    <w:rsid w:val="1B854EC4"/>
    <w:rsid w:val="1BC32444"/>
    <w:rsid w:val="1C1838CC"/>
    <w:rsid w:val="1C31698B"/>
    <w:rsid w:val="1C652374"/>
    <w:rsid w:val="1C731E2A"/>
    <w:rsid w:val="1C7D2F4B"/>
    <w:rsid w:val="1CA421A1"/>
    <w:rsid w:val="1CAA0332"/>
    <w:rsid w:val="1CB55955"/>
    <w:rsid w:val="1CB64E94"/>
    <w:rsid w:val="1CBF616D"/>
    <w:rsid w:val="1CD71F76"/>
    <w:rsid w:val="1CDC0762"/>
    <w:rsid w:val="1D0372CA"/>
    <w:rsid w:val="1D311E03"/>
    <w:rsid w:val="1D373248"/>
    <w:rsid w:val="1D461649"/>
    <w:rsid w:val="1D902C4F"/>
    <w:rsid w:val="1D9D7845"/>
    <w:rsid w:val="1DD3548B"/>
    <w:rsid w:val="1DED21D8"/>
    <w:rsid w:val="1DFD5F1B"/>
    <w:rsid w:val="1DFE3590"/>
    <w:rsid w:val="1E3326C6"/>
    <w:rsid w:val="1E3A75CD"/>
    <w:rsid w:val="1E477D45"/>
    <w:rsid w:val="1E5959F1"/>
    <w:rsid w:val="1EB80C2E"/>
    <w:rsid w:val="1ED161F1"/>
    <w:rsid w:val="1ED16840"/>
    <w:rsid w:val="1ED9564E"/>
    <w:rsid w:val="1F0E3DA5"/>
    <w:rsid w:val="1F1204EF"/>
    <w:rsid w:val="1F197E64"/>
    <w:rsid w:val="1F7441C4"/>
    <w:rsid w:val="1F8056AE"/>
    <w:rsid w:val="1F8F6A67"/>
    <w:rsid w:val="1FBF1B65"/>
    <w:rsid w:val="1FE96543"/>
    <w:rsid w:val="202F6DD8"/>
    <w:rsid w:val="208A58C6"/>
    <w:rsid w:val="209C7A98"/>
    <w:rsid w:val="20BF75F0"/>
    <w:rsid w:val="20CE49AC"/>
    <w:rsid w:val="21345FC6"/>
    <w:rsid w:val="21BD701C"/>
    <w:rsid w:val="21FA3452"/>
    <w:rsid w:val="227D6909"/>
    <w:rsid w:val="22823644"/>
    <w:rsid w:val="22B61AEA"/>
    <w:rsid w:val="22B77142"/>
    <w:rsid w:val="22F75C0D"/>
    <w:rsid w:val="231E670F"/>
    <w:rsid w:val="23493263"/>
    <w:rsid w:val="23736D11"/>
    <w:rsid w:val="238536AB"/>
    <w:rsid w:val="23871C69"/>
    <w:rsid w:val="23A101C6"/>
    <w:rsid w:val="23A71365"/>
    <w:rsid w:val="23A72DC7"/>
    <w:rsid w:val="23C3482E"/>
    <w:rsid w:val="23D06C02"/>
    <w:rsid w:val="24496D72"/>
    <w:rsid w:val="246634EB"/>
    <w:rsid w:val="247C558C"/>
    <w:rsid w:val="2480073C"/>
    <w:rsid w:val="24813427"/>
    <w:rsid w:val="24C643B9"/>
    <w:rsid w:val="24D810D5"/>
    <w:rsid w:val="24D915E8"/>
    <w:rsid w:val="24E03A40"/>
    <w:rsid w:val="25114177"/>
    <w:rsid w:val="252F4398"/>
    <w:rsid w:val="255B46D9"/>
    <w:rsid w:val="256F5BA5"/>
    <w:rsid w:val="259964D5"/>
    <w:rsid w:val="25DA01EC"/>
    <w:rsid w:val="2608542C"/>
    <w:rsid w:val="26085EDE"/>
    <w:rsid w:val="26187C76"/>
    <w:rsid w:val="262032E4"/>
    <w:rsid w:val="264116F9"/>
    <w:rsid w:val="26903194"/>
    <w:rsid w:val="26C904E1"/>
    <w:rsid w:val="26CD5476"/>
    <w:rsid w:val="26F14E7C"/>
    <w:rsid w:val="27016DD4"/>
    <w:rsid w:val="271118B9"/>
    <w:rsid w:val="2741440D"/>
    <w:rsid w:val="274F43CD"/>
    <w:rsid w:val="278F1DCA"/>
    <w:rsid w:val="27A1079A"/>
    <w:rsid w:val="27F96A7D"/>
    <w:rsid w:val="28131700"/>
    <w:rsid w:val="281C58D9"/>
    <w:rsid w:val="282861E7"/>
    <w:rsid w:val="282C64C2"/>
    <w:rsid w:val="283C43A0"/>
    <w:rsid w:val="28402761"/>
    <w:rsid w:val="284E36E5"/>
    <w:rsid w:val="28947BA4"/>
    <w:rsid w:val="28B74F1A"/>
    <w:rsid w:val="28C863E5"/>
    <w:rsid w:val="28D517DD"/>
    <w:rsid w:val="290F7096"/>
    <w:rsid w:val="293A2EB1"/>
    <w:rsid w:val="29400FFC"/>
    <w:rsid w:val="294964EF"/>
    <w:rsid w:val="295A231C"/>
    <w:rsid w:val="29705EF7"/>
    <w:rsid w:val="29A80F96"/>
    <w:rsid w:val="29E74DE3"/>
    <w:rsid w:val="29FB3781"/>
    <w:rsid w:val="2A1A3AD3"/>
    <w:rsid w:val="2AB52EFD"/>
    <w:rsid w:val="2AD6515E"/>
    <w:rsid w:val="2B3C49CE"/>
    <w:rsid w:val="2B8B2355"/>
    <w:rsid w:val="2BD1348C"/>
    <w:rsid w:val="2BE5112A"/>
    <w:rsid w:val="2C291427"/>
    <w:rsid w:val="2C3A7EC3"/>
    <w:rsid w:val="2C3E4C43"/>
    <w:rsid w:val="2C41542A"/>
    <w:rsid w:val="2C430834"/>
    <w:rsid w:val="2C7E776D"/>
    <w:rsid w:val="2C837A8F"/>
    <w:rsid w:val="2CBF34D4"/>
    <w:rsid w:val="2CC43FDF"/>
    <w:rsid w:val="2CC75BB4"/>
    <w:rsid w:val="2CF04EFF"/>
    <w:rsid w:val="2CFB3BA7"/>
    <w:rsid w:val="2D122692"/>
    <w:rsid w:val="2D356959"/>
    <w:rsid w:val="2D437F88"/>
    <w:rsid w:val="2D48049C"/>
    <w:rsid w:val="2D5603C5"/>
    <w:rsid w:val="2D772E84"/>
    <w:rsid w:val="2DBF3FE9"/>
    <w:rsid w:val="2DEA15B3"/>
    <w:rsid w:val="2DF64F7B"/>
    <w:rsid w:val="2DFD3C91"/>
    <w:rsid w:val="2E167881"/>
    <w:rsid w:val="2E6B0E64"/>
    <w:rsid w:val="2E917A36"/>
    <w:rsid w:val="2EAB268E"/>
    <w:rsid w:val="2EED1593"/>
    <w:rsid w:val="2EF426D2"/>
    <w:rsid w:val="2F3B3CF2"/>
    <w:rsid w:val="2F5F25AB"/>
    <w:rsid w:val="2FA9007C"/>
    <w:rsid w:val="2FCB6B3A"/>
    <w:rsid w:val="2FEB1004"/>
    <w:rsid w:val="2FEC03EA"/>
    <w:rsid w:val="2FF5198C"/>
    <w:rsid w:val="30010B48"/>
    <w:rsid w:val="303823AF"/>
    <w:rsid w:val="303D18EC"/>
    <w:rsid w:val="3055120E"/>
    <w:rsid w:val="30916392"/>
    <w:rsid w:val="30B12DA5"/>
    <w:rsid w:val="30F82B81"/>
    <w:rsid w:val="313C0E30"/>
    <w:rsid w:val="31444DC6"/>
    <w:rsid w:val="318446EC"/>
    <w:rsid w:val="31AA4E7C"/>
    <w:rsid w:val="32360830"/>
    <w:rsid w:val="32533D69"/>
    <w:rsid w:val="32625045"/>
    <w:rsid w:val="32785874"/>
    <w:rsid w:val="327A0F01"/>
    <w:rsid w:val="32A53DB2"/>
    <w:rsid w:val="336B0D5C"/>
    <w:rsid w:val="3379757B"/>
    <w:rsid w:val="33A96615"/>
    <w:rsid w:val="33B34448"/>
    <w:rsid w:val="33BC7861"/>
    <w:rsid w:val="33CA0A79"/>
    <w:rsid w:val="34161A5C"/>
    <w:rsid w:val="344D75E2"/>
    <w:rsid w:val="345C1148"/>
    <w:rsid w:val="348446CF"/>
    <w:rsid w:val="34C84C3E"/>
    <w:rsid w:val="354637A5"/>
    <w:rsid w:val="35713D21"/>
    <w:rsid w:val="35A16A9F"/>
    <w:rsid w:val="35C91DF7"/>
    <w:rsid w:val="35CE5175"/>
    <w:rsid w:val="360C3AE0"/>
    <w:rsid w:val="360E54BC"/>
    <w:rsid w:val="36485502"/>
    <w:rsid w:val="36BE1286"/>
    <w:rsid w:val="36DC4532"/>
    <w:rsid w:val="36FB1D7F"/>
    <w:rsid w:val="37115956"/>
    <w:rsid w:val="37194181"/>
    <w:rsid w:val="37344CA1"/>
    <w:rsid w:val="375905DB"/>
    <w:rsid w:val="37663E72"/>
    <w:rsid w:val="37BE73C2"/>
    <w:rsid w:val="37CA5B86"/>
    <w:rsid w:val="37DA5C33"/>
    <w:rsid w:val="38105000"/>
    <w:rsid w:val="38335DC4"/>
    <w:rsid w:val="383F1D08"/>
    <w:rsid w:val="38605760"/>
    <w:rsid w:val="38C26B8B"/>
    <w:rsid w:val="38C76F71"/>
    <w:rsid w:val="38E076CD"/>
    <w:rsid w:val="3925462B"/>
    <w:rsid w:val="39287E00"/>
    <w:rsid w:val="39463E00"/>
    <w:rsid w:val="396056DF"/>
    <w:rsid w:val="397359A3"/>
    <w:rsid w:val="39B94DCC"/>
    <w:rsid w:val="39E557AE"/>
    <w:rsid w:val="3A5246E2"/>
    <w:rsid w:val="3A7E67CF"/>
    <w:rsid w:val="3A837A2D"/>
    <w:rsid w:val="3A8607DF"/>
    <w:rsid w:val="3AA329D9"/>
    <w:rsid w:val="3AF7667E"/>
    <w:rsid w:val="3B0B0F26"/>
    <w:rsid w:val="3B2E3F94"/>
    <w:rsid w:val="3B8C02C9"/>
    <w:rsid w:val="3B8F77FA"/>
    <w:rsid w:val="3B982A7D"/>
    <w:rsid w:val="3BA3670B"/>
    <w:rsid w:val="3BA6327F"/>
    <w:rsid w:val="3BAD734A"/>
    <w:rsid w:val="3BFF7375"/>
    <w:rsid w:val="3C717824"/>
    <w:rsid w:val="3C805582"/>
    <w:rsid w:val="3D17210A"/>
    <w:rsid w:val="3D5A7E00"/>
    <w:rsid w:val="3D814912"/>
    <w:rsid w:val="3D8E421E"/>
    <w:rsid w:val="3DA17944"/>
    <w:rsid w:val="3DB03FCF"/>
    <w:rsid w:val="3DBA2C1C"/>
    <w:rsid w:val="3DC567A2"/>
    <w:rsid w:val="3DE20102"/>
    <w:rsid w:val="3DED0BCD"/>
    <w:rsid w:val="3E2A66E3"/>
    <w:rsid w:val="3E3A650C"/>
    <w:rsid w:val="3E890615"/>
    <w:rsid w:val="3EA5072D"/>
    <w:rsid w:val="3EB85CC9"/>
    <w:rsid w:val="3EC74F22"/>
    <w:rsid w:val="3EFA6A4F"/>
    <w:rsid w:val="3F141080"/>
    <w:rsid w:val="3F202C29"/>
    <w:rsid w:val="3F6730BF"/>
    <w:rsid w:val="3F763324"/>
    <w:rsid w:val="3FC13D7D"/>
    <w:rsid w:val="3FE32D52"/>
    <w:rsid w:val="401330BC"/>
    <w:rsid w:val="401D3792"/>
    <w:rsid w:val="404944AD"/>
    <w:rsid w:val="40C55AB9"/>
    <w:rsid w:val="40EB58D3"/>
    <w:rsid w:val="411F3B7D"/>
    <w:rsid w:val="413B1F59"/>
    <w:rsid w:val="414A62B9"/>
    <w:rsid w:val="41547036"/>
    <w:rsid w:val="416B2518"/>
    <w:rsid w:val="41786347"/>
    <w:rsid w:val="419A7070"/>
    <w:rsid w:val="42537EEF"/>
    <w:rsid w:val="426C3A56"/>
    <w:rsid w:val="430F10C0"/>
    <w:rsid w:val="434C0D67"/>
    <w:rsid w:val="43660E94"/>
    <w:rsid w:val="437A3486"/>
    <w:rsid w:val="438D5F98"/>
    <w:rsid w:val="43981F8A"/>
    <w:rsid w:val="439E6BCE"/>
    <w:rsid w:val="43E60166"/>
    <w:rsid w:val="43FD48C6"/>
    <w:rsid w:val="44085E08"/>
    <w:rsid w:val="443E481F"/>
    <w:rsid w:val="444F7A24"/>
    <w:rsid w:val="44870586"/>
    <w:rsid w:val="44F84885"/>
    <w:rsid w:val="45181A5A"/>
    <w:rsid w:val="45CB0F4B"/>
    <w:rsid w:val="45D655A2"/>
    <w:rsid w:val="45E25BB6"/>
    <w:rsid w:val="45EC1CAC"/>
    <w:rsid w:val="46325201"/>
    <w:rsid w:val="46722BEC"/>
    <w:rsid w:val="467F4B9E"/>
    <w:rsid w:val="468C24F7"/>
    <w:rsid w:val="46E201EF"/>
    <w:rsid w:val="4700254F"/>
    <w:rsid w:val="47005BB1"/>
    <w:rsid w:val="47007653"/>
    <w:rsid w:val="471D2BCE"/>
    <w:rsid w:val="474B0430"/>
    <w:rsid w:val="47616E83"/>
    <w:rsid w:val="47B80148"/>
    <w:rsid w:val="47F9267D"/>
    <w:rsid w:val="482E725B"/>
    <w:rsid w:val="48723240"/>
    <w:rsid w:val="489A581D"/>
    <w:rsid w:val="489D1F23"/>
    <w:rsid w:val="48D46E47"/>
    <w:rsid w:val="49282286"/>
    <w:rsid w:val="492C1D76"/>
    <w:rsid w:val="49416D02"/>
    <w:rsid w:val="494A49B5"/>
    <w:rsid w:val="49A953C7"/>
    <w:rsid w:val="49C77D24"/>
    <w:rsid w:val="49D53BBA"/>
    <w:rsid w:val="49EA18B4"/>
    <w:rsid w:val="4A116B8C"/>
    <w:rsid w:val="4A381091"/>
    <w:rsid w:val="4A57663A"/>
    <w:rsid w:val="4A961BCF"/>
    <w:rsid w:val="4AA13A2B"/>
    <w:rsid w:val="4AE52B8A"/>
    <w:rsid w:val="4B097058"/>
    <w:rsid w:val="4B4568EA"/>
    <w:rsid w:val="4B735B44"/>
    <w:rsid w:val="4B8D0BF0"/>
    <w:rsid w:val="4BC45B6F"/>
    <w:rsid w:val="4C145D9E"/>
    <w:rsid w:val="4C1E3C2F"/>
    <w:rsid w:val="4C221D64"/>
    <w:rsid w:val="4C737F2C"/>
    <w:rsid w:val="4C855340"/>
    <w:rsid w:val="4C8A0EEF"/>
    <w:rsid w:val="4C993D1A"/>
    <w:rsid w:val="4CAD12F1"/>
    <w:rsid w:val="4CD72620"/>
    <w:rsid w:val="4CF6236C"/>
    <w:rsid w:val="4D0568E4"/>
    <w:rsid w:val="4D591432"/>
    <w:rsid w:val="4D5E67E5"/>
    <w:rsid w:val="4D987DBA"/>
    <w:rsid w:val="4DCB7FD7"/>
    <w:rsid w:val="4E31362D"/>
    <w:rsid w:val="4E5317FC"/>
    <w:rsid w:val="4E6B58BB"/>
    <w:rsid w:val="4E855CC7"/>
    <w:rsid w:val="4EB06EB0"/>
    <w:rsid w:val="4ECE6E1B"/>
    <w:rsid w:val="4EFE117B"/>
    <w:rsid w:val="4F7E4716"/>
    <w:rsid w:val="4FF138DF"/>
    <w:rsid w:val="50226073"/>
    <w:rsid w:val="50331C8C"/>
    <w:rsid w:val="50413FBB"/>
    <w:rsid w:val="508468EF"/>
    <w:rsid w:val="50F2329C"/>
    <w:rsid w:val="51050A30"/>
    <w:rsid w:val="51133E37"/>
    <w:rsid w:val="518A6447"/>
    <w:rsid w:val="51F06F3D"/>
    <w:rsid w:val="52044693"/>
    <w:rsid w:val="524004FB"/>
    <w:rsid w:val="52480ACC"/>
    <w:rsid w:val="5251550E"/>
    <w:rsid w:val="52AC785B"/>
    <w:rsid w:val="52C25E46"/>
    <w:rsid w:val="52E22467"/>
    <w:rsid w:val="53406F7A"/>
    <w:rsid w:val="53603B7F"/>
    <w:rsid w:val="537C2429"/>
    <w:rsid w:val="53940A0C"/>
    <w:rsid w:val="53B340D4"/>
    <w:rsid w:val="53E432C2"/>
    <w:rsid w:val="54350539"/>
    <w:rsid w:val="54591E57"/>
    <w:rsid w:val="545B755F"/>
    <w:rsid w:val="549D1E1B"/>
    <w:rsid w:val="54E4011A"/>
    <w:rsid w:val="54E63FCF"/>
    <w:rsid w:val="55105A20"/>
    <w:rsid w:val="55120D38"/>
    <w:rsid w:val="55375003"/>
    <w:rsid w:val="554A15DB"/>
    <w:rsid w:val="555578BD"/>
    <w:rsid w:val="555D7E30"/>
    <w:rsid w:val="557F5416"/>
    <w:rsid w:val="55B12FF8"/>
    <w:rsid w:val="55B94869"/>
    <w:rsid w:val="55FA65A8"/>
    <w:rsid w:val="564E593F"/>
    <w:rsid w:val="56576F17"/>
    <w:rsid w:val="569F3073"/>
    <w:rsid w:val="56B27F04"/>
    <w:rsid w:val="56E0249F"/>
    <w:rsid w:val="56EB4727"/>
    <w:rsid w:val="574B2BDD"/>
    <w:rsid w:val="575D20E6"/>
    <w:rsid w:val="576E386F"/>
    <w:rsid w:val="57735E21"/>
    <w:rsid w:val="577A5DC6"/>
    <w:rsid w:val="57AF50F4"/>
    <w:rsid w:val="57EF7569"/>
    <w:rsid w:val="58982D88"/>
    <w:rsid w:val="58D2364B"/>
    <w:rsid w:val="58F13456"/>
    <w:rsid w:val="59A93D7A"/>
    <w:rsid w:val="59B75AC4"/>
    <w:rsid w:val="59D462AB"/>
    <w:rsid w:val="5A013963"/>
    <w:rsid w:val="5A092B65"/>
    <w:rsid w:val="5A14431F"/>
    <w:rsid w:val="5A35499B"/>
    <w:rsid w:val="5A587E72"/>
    <w:rsid w:val="5A75622B"/>
    <w:rsid w:val="5A8A5EF6"/>
    <w:rsid w:val="5A9778A4"/>
    <w:rsid w:val="5AEF1725"/>
    <w:rsid w:val="5AFD41A2"/>
    <w:rsid w:val="5B0035AF"/>
    <w:rsid w:val="5B920B7A"/>
    <w:rsid w:val="5BA264AE"/>
    <w:rsid w:val="5BBD2DD2"/>
    <w:rsid w:val="5C167C11"/>
    <w:rsid w:val="5C2624AE"/>
    <w:rsid w:val="5C3F5995"/>
    <w:rsid w:val="5C506285"/>
    <w:rsid w:val="5C5879A1"/>
    <w:rsid w:val="5C603110"/>
    <w:rsid w:val="5C745A37"/>
    <w:rsid w:val="5CDC63FE"/>
    <w:rsid w:val="5CDF0836"/>
    <w:rsid w:val="5CF85C16"/>
    <w:rsid w:val="5D116AB9"/>
    <w:rsid w:val="5D20048B"/>
    <w:rsid w:val="5D4839C0"/>
    <w:rsid w:val="5DFD2B9A"/>
    <w:rsid w:val="5E1558FA"/>
    <w:rsid w:val="5E886626"/>
    <w:rsid w:val="5ED209B4"/>
    <w:rsid w:val="5EE035B1"/>
    <w:rsid w:val="5EF61CD2"/>
    <w:rsid w:val="5F2C7455"/>
    <w:rsid w:val="5F6714E7"/>
    <w:rsid w:val="6026539E"/>
    <w:rsid w:val="604307FB"/>
    <w:rsid w:val="605F2FF0"/>
    <w:rsid w:val="60E82ECB"/>
    <w:rsid w:val="60FC0D40"/>
    <w:rsid w:val="615E7462"/>
    <w:rsid w:val="61AA4ADD"/>
    <w:rsid w:val="61C0217F"/>
    <w:rsid w:val="61CA6653"/>
    <w:rsid w:val="61F14604"/>
    <w:rsid w:val="620161CD"/>
    <w:rsid w:val="6202549E"/>
    <w:rsid w:val="6235474C"/>
    <w:rsid w:val="6235591B"/>
    <w:rsid w:val="62EE53DA"/>
    <w:rsid w:val="63055D64"/>
    <w:rsid w:val="631C2FB7"/>
    <w:rsid w:val="63403756"/>
    <w:rsid w:val="63666AFE"/>
    <w:rsid w:val="638A4AD1"/>
    <w:rsid w:val="638D4495"/>
    <w:rsid w:val="63BF7F82"/>
    <w:rsid w:val="63CB33F6"/>
    <w:rsid w:val="63D40700"/>
    <w:rsid w:val="63E91930"/>
    <w:rsid w:val="63EB6CFB"/>
    <w:rsid w:val="63EE1647"/>
    <w:rsid w:val="64061BE1"/>
    <w:rsid w:val="64117E04"/>
    <w:rsid w:val="645273FA"/>
    <w:rsid w:val="64545D2B"/>
    <w:rsid w:val="646E349F"/>
    <w:rsid w:val="64956CB1"/>
    <w:rsid w:val="64B164CD"/>
    <w:rsid w:val="64BD1A44"/>
    <w:rsid w:val="64C4671F"/>
    <w:rsid w:val="64D46B22"/>
    <w:rsid w:val="64E0389A"/>
    <w:rsid w:val="650C62D3"/>
    <w:rsid w:val="652E5D68"/>
    <w:rsid w:val="652F2639"/>
    <w:rsid w:val="6562503C"/>
    <w:rsid w:val="65E81CFA"/>
    <w:rsid w:val="65E941DB"/>
    <w:rsid w:val="66714DB0"/>
    <w:rsid w:val="6678592F"/>
    <w:rsid w:val="66E6533C"/>
    <w:rsid w:val="672B116B"/>
    <w:rsid w:val="67861B59"/>
    <w:rsid w:val="67945B56"/>
    <w:rsid w:val="67973FF9"/>
    <w:rsid w:val="67B1151C"/>
    <w:rsid w:val="682F5632"/>
    <w:rsid w:val="683E7647"/>
    <w:rsid w:val="684E3E96"/>
    <w:rsid w:val="68572BCB"/>
    <w:rsid w:val="68A72778"/>
    <w:rsid w:val="68C6287F"/>
    <w:rsid w:val="691E58C2"/>
    <w:rsid w:val="692B113A"/>
    <w:rsid w:val="69BB4C96"/>
    <w:rsid w:val="69D94193"/>
    <w:rsid w:val="69EF2339"/>
    <w:rsid w:val="6A100A03"/>
    <w:rsid w:val="6A1758E9"/>
    <w:rsid w:val="6A5558C0"/>
    <w:rsid w:val="6A7118C9"/>
    <w:rsid w:val="6AA3540D"/>
    <w:rsid w:val="6AA45596"/>
    <w:rsid w:val="6AB93AF1"/>
    <w:rsid w:val="6AB97DFD"/>
    <w:rsid w:val="6AC373FB"/>
    <w:rsid w:val="6B3129B2"/>
    <w:rsid w:val="6B8726BF"/>
    <w:rsid w:val="6BBF5103"/>
    <w:rsid w:val="6BD3696A"/>
    <w:rsid w:val="6BF763FC"/>
    <w:rsid w:val="6BFF3E65"/>
    <w:rsid w:val="6C040369"/>
    <w:rsid w:val="6C647766"/>
    <w:rsid w:val="6C8078EF"/>
    <w:rsid w:val="6C8F763A"/>
    <w:rsid w:val="6CC1184B"/>
    <w:rsid w:val="6CD57B84"/>
    <w:rsid w:val="6CEE31C6"/>
    <w:rsid w:val="6CF32FFE"/>
    <w:rsid w:val="6D5401F4"/>
    <w:rsid w:val="6D5E3F8B"/>
    <w:rsid w:val="6D6A3230"/>
    <w:rsid w:val="6D9B7FA1"/>
    <w:rsid w:val="6DA60B45"/>
    <w:rsid w:val="6DF866DF"/>
    <w:rsid w:val="6E0A2C94"/>
    <w:rsid w:val="6E302DE7"/>
    <w:rsid w:val="6E7311BF"/>
    <w:rsid w:val="6EAC75B4"/>
    <w:rsid w:val="6ED179BF"/>
    <w:rsid w:val="6F0745E2"/>
    <w:rsid w:val="70024E06"/>
    <w:rsid w:val="702852AE"/>
    <w:rsid w:val="703808F3"/>
    <w:rsid w:val="705A7E23"/>
    <w:rsid w:val="70651D35"/>
    <w:rsid w:val="707D663A"/>
    <w:rsid w:val="70CD5727"/>
    <w:rsid w:val="711E0D35"/>
    <w:rsid w:val="712303A6"/>
    <w:rsid w:val="71300B18"/>
    <w:rsid w:val="717311FE"/>
    <w:rsid w:val="718C5FAF"/>
    <w:rsid w:val="718F4152"/>
    <w:rsid w:val="71CA01DC"/>
    <w:rsid w:val="71F220A7"/>
    <w:rsid w:val="71FE770D"/>
    <w:rsid w:val="723A70D0"/>
    <w:rsid w:val="72AC5D1F"/>
    <w:rsid w:val="72B64EB5"/>
    <w:rsid w:val="72BA3219"/>
    <w:rsid w:val="72E637E0"/>
    <w:rsid w:val="72E671EF"/>
    <w:rsid w:val="730F54C7"/>
    <w:rsid w:val="734C5004"/>
    <w:rsid w:val="7389148E"/>
    <w:rsid w:val="739903F2"/>
    <w:rsid w:val="73AE56B8"/>
    <w:rsid w:val="74101FD1"/>
    <w:rsid w:val="74112AEF"/>
    <w:rsid w:val="74C05341"/>
    <w:rsid w:val="75437FF8"/>
    <w:rsid w:val="755B4C6C"/>
    <w:rsid w:val="75AB3FEB"/>
    <w:rsid w:val="76121C59"/>
    <w:rsid w:val="761A1659"/>
    <w:rsid w:val="76422CE2"/>
    <w:rsid w:val="76550071"/>
    <w:rsid w:val="765F1B2F"/>
    <w:rsid w:val="765F65CC"/>
    <w:rsid w:val="767B2004"/>
    <w:rsid w:val="76F93A7B"/>
    <w:rsid w:val="76FE301D"/>
    <w:rsid w:val="7703349F"/>
    <w:rsid w:val="77175940"/>
    <w:rsid w:val="779D46DA"/>
    <w:rsid w:val="77A146FF"/>
    <w:rsid w:val="77CB1A66"/>
    <w:rsid w:val="77D903C4"/>
    <w:rsid w:val="77E20170"/>
    <w:rsid w:val="77E703C6"/>
    <w:rsid w:val="77EB5669"/>
    <w:rsid w:val="77F54B68"/>
    <w:rsid w:val="781D1253"/>
    <w:rsid w:val="784B7B71"/>
    <w:rsid w:val="78717CA4"/>
    <w:rsid w:val="789A3351"/>
    <w:rsid w:val="78BB7042"/>
    <w:rsid w:val="791A0886"/>
    <w:rsid w:val="79201123"/>
    <w:rsid w:val="795260CD"/>
    <w:rsid w:val="7978494C"/>
    <w:rsid w:val="79846C96"/>
    <w:rsid w:val="79BF0A3C"/>
    <w:rsid w:val="79F460B7"/>
    <w:rsid w:val="79F70F2A"/>
    <w:rsid w:val="7A1960BC"/>
    <w:rsid w:val="7A1B54CF"/>
    <w:rsid w:val="7A477945"/>
    <w:rsid w:val="7A4C17B8"/>
    <w:rsid w:val="7A520744"/>
    <w:rsid w:val="7A900C3C"/>
    <w:rsid w:val="7A9840C2"/>
    <w:rsid w:val="7ADF7DDA"/>
    <w:rsid w:val="7B30715D"/>
    <w:rsid w:val="7B581CB0"/>
    <w:rsid w:val="7B823AB4"/>
    <w:rsid w:val="7BC90E73"/>
    <w:rsid w:val="7BDE2ACF"/>
    <w:rsid w:val="7C521E12"/>
    <w:rsid w:val="7C5424EB"/>
    <w:rsid w:val="7C566742"/>
    <w:rsid w:val="7C6057C8"/>
    <w:rsid w:val="7C694E54"/>
    <w:rsid w:val="7C717A16"/>
    <w:rsid w:val="7CA87023"/>
    <w:rsid w:val="7CD47820"/>
    <w:rsid w:val="7D0831D0"/>
    <w:rsid w:val="7D216F1A"/>
    <w:rsid w:val="7D8C5A24"/>
    <w:rsid w:val="7E6A2039"/>
    <w:rsid w:val="7E8330EA"/>
    <w:rsid w:val="7EE47541"/>
    <w:rsid w:val="7EF74CE0"/>
    <w:rsid w:val="7EF76835"/>
    <w:rsid w:val="7EFD6428"/>
    <w:rsid w:val="7F117E5B"/>
    <w:rsid w:val="7F5A030A"/>
    <w:rsid w:val="7F885B2E"/>
    <w:rsid w:val="7F8E27C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7"/>
    <w:qFormat/>
    <w:uiPriority w:val="9"/>
    <w:pPr>
      <w:keepNext/>
      <w:jc w:val="center"/>
      <w:outlineLvl w:val="0"/>
    </w:pPr>
    <w:rPr>
      <w:b/>
      <w:bCs/>
      <w:sz w:val="24"/>
      <w:szCs w:val="20"/>
    </w:rPr>
  </w:style>
  <w:style w:type="paragraph" w:styleId="6">
    <w:name w:val="heading 2"/>
    <w:basedOn w:val="1"/>
    <w:next w:val="1"/>
    <w:link w:val="58"/>
    <w:qFormat/>
    <w:uiPriority w:val="0"/>
    <w:pPr>
      <w:keepNext/>
      <w:keepLines/>
      <w:spacing w:line="360" w:lineRule="auto"/>
      <w:outlineLvl w:val="1"/>
    </w:pPr>
    <w:rPr>
      <w:rFonts w:ascii="Arial" w:hAnsi="Arial"/>
      <w:b/>
      <w:bCs/>
      <w:sz w:val="24"/>
      <w:szCs w:val="32"/>
    </w:rPr>
  </w:style>
  <w:style w:type="paragraph" w:styleId="7">
    <w:name w:val="heading 3"/>
    <w:basedOn w:val="1"/>
    <w:next w:val="1"/>
    <w:link w:val="59"/>
    <w:qFormat/>
    <w:uiPriority w:val="0"/>
    <w:pPr>
      <w:keepNext/>
      <w:keepLines/>
      <w:spacing w:before="260" w:after="260" w:line="416" w:lineRule="auto"/>
      <w:outlineLvl w:val="2"/>
    </w:pPr>
    <w:rPr>
      <w:b/>
      <w:bCs/>
      <w:sz w:val="32"/>
      <w:szCs w:val="32"/>
    </w:rPr>
  </w:style>
  <w:style w:type="paragraph" w:styleId="8">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61"/>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6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63"/>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64"/>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6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3"/>
    <w:next w:val="1"/>
    <w:qFormat/>
    <w:uiPriority w:val="0"/>
    <w:pPr>
      <w:ind w:firstLine="420" w:firstLineChars="200"/>
    </w:pPr>
    <w:rPr>
      <w:rFonts w:ascii="Calibri" w:hAnsi="Calibri"/>
      <w:szCs w:val="22"/>
    </w:rPr>
  </w:style>
  <w:style w:type="paragraph" w:customStyle="1" w:styleId="3">
    <w:name w:val="正文_7"/>
    <w:next w:val="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
    <w:name w:val="引文目录_6"/>
    <w:basedOn w:val="3"/>
    <w:next w:val="3"/>
    <w:unhideWhenUsed/>
    <w:qFormat/>
    <w:uiPriority w:val="99"/>
    <w:pPr>
      <w:ind w:left="420" w:leftChars="200"/>
    </w:pPr>
  </w:style>
  <w:style w:type="paragraph" w:styleId="14">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5">
    <w:name w:val="Normal Indent"/>
    <w:basedOn w:val="1"/>
    <w:qFormat/>
    <w:uiPriority w:val="0"/>
    <w:pPr>
      <w:widowControl/>
      <w:ind w:firstLine="420"/>
      <w:jc w:val="left"/>
    </w:pPr>
    <w:rPr>
      <w:kern w:val="0"/>
      <w:sz w:val="20"/>
      <w:szCs w:val="20"/>
    </w:rPr>
  </w:style>
  <w:style w:type="paragraph" w:styleId="16">
    <w:name w:val="Document Map"/>
    <w:basedOn w:val="1"/>
    <w:link w:val="66"/>
    <w:semiHidden/>
    <w:qFormat/>
    <w:uiPriority w:val="0"/>
    <w:pPr>
      <w:shd w:val="clear" w:color="auto" w:fill="000080"/>
    </w:pPr>
  </w:style>
  <w:style w:type="paragraph" w:styleId="17">
    <w:name w:val="annotation text"/>
    <w:basedOn w:val="1"/>
    <w:link w:val="67"/>
    <w:semiHidden/>
    <w:qFormat/>
    <w:uiPriority w:val="0"/>
    <w:pPr>
      <w:jc w:val="left"/>
    </w:pPr>
  </w:style>
  <w:style w:type="paragraph" w:styleId="18">
    <w:name w:val="Salutation"/>
    <w:basedOn w:val="1"/>
    <w:next w:val="1"/>
    <w:link w:val="68"/>
    <w:qFormat/>
    <w:uiPriority w:val="0"/>
    <w:rPr>
      <w:rFonts w:ascii="仿宋_GB2312" w:eastAsia="仿宋_GB2312"/>
      <w:sz w:val="24"/>
    </w:rPr>
  </w:style>
  <w:style w:type="paragraph" w:styleId="19">
    <w:name w:val="Body Text"/>
    <w:basedOn w:val="1"/>
    <w:next w:val="20"/>
    <w:link w:val="69"/>
    <w:qFormat/>
    <w:uiPriority w:val="0"/>
    <w:pPr>
      <w:spacing w:after="120"/>
    </w:pPr>
  </w:style>
  <w:style w:type="paragraph" w:styleId="20">
    <w:name w:val="Body Text First Indent"/>
    <w:basedOn w:val="19"/>
    <w:next w:val="21"/>
    <w:qFormat/>
    <w:uiPriority w:val="0"/>
    <w:pPr>
      <w:spacing w:line="312" w:lineRule="auto"/>
      <w:ind w:firstLine="420"/>
    </w:pPr>
    <w:rPr>
      <w:kern w:val="0"/>
      <w:szCs w:val="20"/>
    </w:rPr>
  </w:style>
  <w:style w:type="paragraph" w:styleId="21">
    <w:name w:val="Block Text"/>
    <w:basedOn w:val="1"/>
    <w:qFormat/>
    <w:uiPriority w:val="0"/>
    <w:pPr>
      <w:ind w:left="1171" w:right="91" w:hanging="1080"/>
    </w:pPr>
    <w:rPr>
      <w:rFonts w:eastAsia="楷体_GB2312"/>
      <w:szCs w:val="20"/>
    </w:rPr>
  </w:style>
  <w:style w:type="paragraph" w:styleId="22">
    <w:name w:val="Body Text Indent"/>
    <w:basedOn w:val="1"/>
    <w:next w:val="23"/>
    <w:link w:val="55"/>
    <w:qFormat/>
    <w:uiPriority w:val="99"/>
    <w:pPr>
      <w:spacing w:after="120"/>
      <w:ind w:left="420" w:leftChars="200"/>
    </w:pPr>
  </w:style>
  <w:style w:type="paragraph" w:styleId="23">
    <w:name w:val="annotation subject"/>
    <w:basedOn w:val="17"/>
    <w:next w:val="1"/>
    <w:link w:val="80"/>
    <w:qFormat/>
    <w:uiPriority w:val="0"/>
    <w:rPr>
      <w:b/>
      <w:bCs/>
    </w:rPr>
  </w:style>
  <w:style w:type="paragraph" w:styleId="24">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25">
    <w:name w:val="toc 3"/>
    <w:basedOn w:val="1"/>
    <w:next w:val="1"/>
    <w:unhideWhenUsed/>
    <w:qFormat/>
    <w:uiPriority w:val="39"/>
    <w:pPr>
      <w:adjustRightInd w:val="0"/>
      <w:snapToGrid w:val="0"/>
      <w:spacing w:line="360" w:lineRule="auto"/>
      <w:ind w:left="400" w:leftChars="400"/>
    </w:pPr>
    <w:rPr>
      <w:rFonts w:eastAsiaTheme="minorEastAsia"/>
      <w:b/>
    </w:rPr>
  </w:style>
  <w:style w:type="paragraph" w:styleId="26">
    <w:name w:val="Plain Text"/>
    <w:basedOn w:val="1"/>
    <w:link w:val="70"/>
    <w:qFormat/>
    <w:uiPriority w:val="0"/>
    <w:rPr>
      <w:rFonts w:ascii="宋体" w:hAnsi="Courier New" w:cs="Courier New"/>
      <w:szCs w:val="21"/>
    </w:rPr>
  </w:style>
  <w:style w:type="paragraph" w:styleId="27">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8">
    <w:name w:val="Date"/>
    <w:basedOn w:val="1"/>
    <w:next w:val="1"/>
    <w:link w:val="71"/>
    <w:qFormat/>
    <w:uiPriority w:val="0"/>
    <w:rPr>
      <w:sz w:val="24"/>
      <w:szCs w:val="20"/>
    </w:rPr>
  </w:style>
  <w:style w:type="paragraph" w:styleId="29">
    <w:name w:val="Body Text Indent 2"/>
    <w:basedOn w:val="1"/>
    <w:link w:val="72"/>
    <w:qFormat/>
    <w:uiPriority w:val="0"/>
    <w:pPr>
      <w:spacing w:after="120" w:line="480" w:lineRule="auto"/>
      <w:ind w:left="420" w:leftChars="200"/>
    </w:pPr>
  </w:style>
  <w:style w:type="paragraph" w:styleId="30">
    <w:name w:val="Balloon Text"/>
    <w:basedOn w:val="1"/>
    <w:link w:val="73"/>
    <w:qFormat/>
    <w:uiPriority w:val="0"/>
    <w:rPr>
      <w:sz w:val="18"/>
      <w:szCs w:val="18"/>
    </w:rPr>
  </w:style>
  <w:style w:type="paragraph" w:styleId="31">
    <w:name w:val="footer"/>
    <w:basedOn w:val="1"/>
    <w:link w:val="74"/>
    <w:qFormat/>
    <w:uiPriority w:val="99"/>
    <w:pPr>
      <w:tabs>
        <w:tab w:val="center" w:pos="4153"/>
        <w:tab w:val="right" w:pos="8306"/>
      </w:tabs>
      <w:snapToGrid w:val="0"/>
      <w:jc w:val="left"/>
    </w:pPr>
    <w:rPr>
      <w:sz w:val="18"/>
      <w:szCs w:val="18"/>
    </w:rPr>
  </w:style>
  <w:style w:type="paragraph" w:styleId="32">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spacing w:line="360" w:lineRule="auto"/>
    </w:pPr>
    <w:rPr>
      <w:rFonts w:asciiTheme="minorEastAsia" w:hAnsiTheme="minorEastAsia" w:eastAsiaTheme="minorEastAsia"/>
      <w:b/>
      <w:sz w:val="24"/>
      <w:szCs w:val="21"/>
    </w:rPr>
  </w:style>
  <w:style w:type="paragraph" w:styleId="34">
    <w:name w:val="toc 4"/>
    <w:basedOn w:val="1"/>
    <w:next w:val="1"/>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5">
    <w:name w:val="toc 6"/>
    <w:basedOn w:val="1"/>
    <w:next w:val="1"/>
    <w:qFormat/>
    <w:uiPriority w:val="39"/>
    <w:pPr>
      <w:ind w:left="2100"/>
    </w:pPr>
    <w:rPr>
      <w:szCs w:val="20"/>
    </w:rPr>
  </w:style>
  <w:style w:type="paragraph" w:styleId="36">
    <w:name w:val="Body Text Indent 3"/>
    <w:basedOn w:val="1"/>
    <w:link w:val="76"/>
    <w:qFormat/>
    <w:uiPriority w:val="0"/>
    <w:pPr>
      <w:spacing w:after="120"/>
      <w:ind w:left="420" w:leftChars="200"/>
    </w:pPr>
    <w:rPr>
      <w:sz w:val="16"/>
      <w:szCs w:val="16"/>
    </w:rPr>
  </w:style>
  <w:style w:type="paragraph" w:styleId="37">
    <w:name w:val="toc 2"/>
    <w:basedOn w:val="1"/>
    <w:next w:val="1"/>
    <w:unhideWhenUsed/>
    <w:qFormat/>
    <w:uiPriority w:val="39"/>
    <w:pPr>
      <w:spacing w:line="360" w:lineRule="auto"/>
      <w:ind w:left="200" w:leftChars="200"/>
    </w:pPr>
    <w:rPr>
      <w:rFonts w:eastAsiaTheme="majorEastAsia"/>
      <w:b/>
    </w:rPr>
  </w:style>
  <w:style w:type="paragraph" w:styleId="38">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9">
    <w:name w:val="Body Text 2"/>
    <w:basedOn w:val="1"/>
    <w:link w:val="77"/>
    <w:qFormat/>
    <w:uiPriority w:val="0"/>
    <w:pPr>
      <w:spacing w:after="120" w:line="480" w:lineRule="auto"/>
    </w:pPr>
  </w:style>
  <w:style w:type="paragraph" w:styleId="40">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link w:val="79"/>
    <w:qFormat/>
    <w:uiPriority w:val="0"/>
    <w:pPr>
      <w:jc w:val="center"/>
      <w:outlineLvl w:val="0"/>
    </w:pPr>
    <w:rPr>
      <w:rFonts w:asciiTheme="minorHAnsi" w:hAnsiTheme="minorHAnsi" w:eastAsiaTheme="minorEastAsia" w:cstheme="minorBidi"/>
      <w:b/>
      <w:sz w:val="32"/>
      <w:szCs w:val="22"/>
    </w:rPr>
  </w:style>
  <w:style w:type="paragraph" w:styleId="44">
    <w:name w:val="Body Text First Indent 2"/>
    <w:basedOn w:val="22"/>
    <w:next w:val="45"/>
    <w:link w:val="56"/>
    <w:qFormat/>
    <w:uiPriority w:val="99"/>
    <w:pPr>
      <w:ind w:firstLine="420" w:firstLineChars="200"/>
    </w:pPr>
  </w:style>
  <w:style w:type="paragraph" w:customStyle="1" w:styleId="45">
    <w:name w:val="正文1"/>
    <w:basedOn w:val="1"/>
    <w:qFormat/>
    <w:uiPriority w:val="0"/>
    <w:pPr>
      <w:spacing w:line="360" w:lineRule="auto"/>
      <w:ind w:firstLine="480" w:firstLineChars="200"/>
    </w:pPr>
    <w:rPr>
      <w:rFonts w:ascii="Times New Roman" w:hAnsi="Times New Roman"/>
      <w:sz w:val="24"/>
      <w:szCs w:val="24"/>
    </w:rPr>
  </w:style>
  <w:style w:type="table" w:styleId="47">
    <w:name w:val="Table Grid"/>
    <w:basedOn w:val="4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basedOn w:val="48"/>
    <w:qFormat/>
    <w:uiPriority w:val="20"/>
  </w:style>
  <w:style w:type="character" w:styleId="53">
    <w:name w:val="Hyperlink"/>
    <w:qFormat/>
    <w:uiPriority w:val="99"/>
    <w:rPr>
      <w:color w:val="136EC2"/>
      <w:u w:val="single"/>
    </w:rPr>
  </w:style>
  <w:style w:type="character" w:styleId="54">
    <w:name w:val="annotation reference"/>
    <w:qFormat/>
    <w:uiPriority w:val="0"/>
    <w:rPr>
      <w:sz w:val="21"/>
      <w:szCs w:val="21"/>
    </w:rPr>
  </w:style>
  <w:style w:type="character" w:customStyle="1" w:styleId="55">
    <w:name w:val="正文文本缩进 Char"/>
    <w:basedOn w:val="48"/>
    <w:link w:val="22"/>
    <w:qFormat/>
    <w:uiPriority w:val="99"/>
    <w:rPr>
      <w:rFonts w:ascii="Times New Roman" w:hAnsi="Times New Roman" w:eastAsia="宋体" w:cs="Times New Roman"/>
      <w:szCs w:val="24"/>
    </w:rPr>
  </w:style>
  <w:style w:type="character" w:customStyle="1" w:styleId="56">
    <w:name w:val="正文首行缩进 2 Char"/>
    <w:basedOn w:val="55"/>
    <w:link w:val="44"/>
    <w:qFormat/>
    <w:uiPriority w:val="99"/>
    <w:rPr>
      <w:rFonts w:ascii="Times New Roman" w:hAnsi="Times New Roman" w:eastAsia="宋体" w:cs="Times New Roman"/>
      <w:kern w:val="2"/>
      <w:sz w:val="21"/>
      <w:szCs w:val="24"/>
    </w:rPr>
  </w:style>
  <w:style w:type="character" w:customStyle="1" w:styleId="57">
    <w:name w:val="标题 1 Char"/>
    <w:basedOn w:val="48"/>
    <w:link w:val="5"/>
    <w:qFormat/>
    <w:uiPriority w:val="9"/>
    <w:rPr>
      <w:rFonts w:ascii="Times New Roman" w:hAnsi="Times New Roman" w:eastAsia="宋体" w:cs="Times New Roman"/>
      <w:b/>
      <w:bCs/>
      <w:sz w:val="24"/>
      <w:szCs w:val="20"/>
    </w:rPr>
  </w:style>
  <w:style w:type="character" w:customStyle="1" w:styleId="58">
    <w:name w:val="标题 2 Char"/>
    <w:basedOn w:val="48"/>
    <w:link w:val="6"/>
    <w:qFormat/>
    <w:uiPriority w:val="0"/>
    <w:rPr>
      <w:rFonts w:ascii="Arial" w:hAnsi="Arial" w:eastAsia="宋体" w:cs="Times New Roman"/>
      <w:b/>
      <w:bCs/>
      <w:sz w:val="24"/>
      <w:szCs w:val="32"/>
    </w:rPr>
  </w:style>
  <w:style w:type="character" w:customStyle="1" w:styleId="59">
    <w:name w:val="标题 3 Char"/>
    <w:basedOn w:val="48"/>
    <w:link w:val="7"/>
    <w:qFormat/>
    <w:uiPriority w:val="0"/>
    <w:rPr>
      <w:rFonts w:ascii="Times New Roman" w:hAnsi="Times New Roman" w:eastAsia="宋体" w:cs="Times New Roman"/>
      <w:b/>
      <w:bCs/>
      <w:sz w:val="32"/>
      <w:szCs w:val="32"/>
    </w:rPr>
  </w:style>
  <w:style w:type="character" w:customStyle="1" w:styleId="60">
    <w:name w:val="标题 4 Char"/>
    <w:basedOn w:val="48"/>
    <w:link w:val="8"/>
    <w:qFormat/>
    <w:uiPriority w:val="0"/>
    <w:rPr>
      <w:rFonts w:ascii="Arial" w:hAnsi="Arial" w:eastAsia="黑体" w:cs="Times New Roman"/>
      <w:b/>
      <w:bCs/>
      <w:sz w:val="28"/>
      <w:szCs w:val="28"/>
    </w:rPr>
  </w:style>
  <w:style w:type="character" w:customStyle="1" w:styleId="61">
    <w:name w:val="标题 5 Char"/>
    <w:basedOn w:val="48"/>
    <w:link w:val="9"/>
    <w:qFormat/>
    <w:uiPriority w:val="0"/>
    <w:rPr>
      <w:rFonts w:ascii="Times New Roman" w:hAnsi="Times New Roman" w:eastAsia="宋体" w:cs="Times New Roman"/>
      <w:b/>
      <w:bCs/>
      <w:kern w:val="0"/>
      <w:sz w:val="28"/>
      <w:szCs w:val="28"/>
    </w:rPr>
  </w:style>
  <w:style w:type="character" w:customStyle="1" w:styleId="62">
    <w:name w:val="标题 6 Char"/>
    <w:basedOn w:val="48"/>
    <w:link w:val="10"/>
    <w:qFormat/>
    <w:uiPriority w:val="0"/>
    <w:rPr>
      <w:rFonts w:ascii="Arial" w:hAnsi="Arial" w:eastAsia="黑体" w:cs="Times New Roman"/>
      <w:b/>
      <w:bCs/>
      <w:kern w:val="0"/>
      <w:sz w:val="24"/>
      <w:szCs w:val="24"/>
    </w:rPr>
  </w:style>
  <w:style w:type="character" w:customStyle="1" w:styleId="63">
    <w:name w:val="标题 7 Char"/>
    <w:basedOn w:val="48"/>
    <w:link w:val="11"/>
    <w:qFormat/>
    <w:uiPriority w:val="0"/>
    <w:rPr>
      <w:rFonts w:ascii="Times New Roman" w:hAnsi="Times New Roman" w:eastAsia="宋体" w:cs="Times New Roman"/>
      <w:b/>
      <w:bCs/>
      <w:kern w:val="0"/>
      <w:sz w:val="24"/>
      <w:szCs w:val="24"/>
    </w:rPr>
  </w:style>
  <w:style w:type="character" w:customStyle="1" w:styleId="64">
    <w:name w:val="标题 8 Char"/>
    <w:basedOn w:val="48"/>
    <w:link w:val="12"/>
    <w:qFormat/>
    <w:uiPriority w:val="0"/>
    <w:rPr>
      <w:rFonts w:ascii="Arial" w:hAnsi="Arial" w:eastAsia="黑体" w:cs="Times New Roman"/>
      <w:kern w:val="0"/>
      <w:sz w:val="24"/>
      <w:szCs w:val="24"/>
    </w:rPr>
  </w:style>
  <w:style w:type="character" w:customStyle="1" w:styleId="65">
    <w:name w:val="标题 9 Char"/>
    <w:basedOn w:val="48"/>
    <w:link w:val="13"/>
    <w:qFormat/>
    <w:uiPriority w:val="0"/>
    <w:rPr>
      <w:rFonts w:ascii="Arial" w:hAnsi="Arial" w:eastAsia="黑体" w:cs="Times New Roman"/>
      <w:kern w:val="0"/>
      <w:szCs w:val="21"/>
    </w:rPr>
  </w:style>
  <w:style w:type="character" w:customStyle="1" w:styleId="66">
    <w:name w:val="文档结构图 Char"/>
    <w:basedOn w:val="48"/>
    <w:link w:val="16"/>
    <w:semiHidden/>
    <w:qFormat/>
    <w:uiPriority w:val="0"/>
    <w:rPr>
      <w:rFonts w:ascii="Times New Roman" w:hAnsi="Times New Roman" w:eastAsia="宋体" w:cs="Times New Roman"/>
      <w:szCs w:val="24"/>
      <w:shd w:val="clear" w:color="auto" w:fill="000080"/>
    </w:rPr>
  </w:style>
  <w:style w:type="character" w:customStyle="1" w:styleId="67">
    <w:name w:val="批注文字 Char"/>
    <w:basedOn w:val="48"/>
    <w:link w:val="17"/>
    <w:semiHidden/>
    <w:qFormat/>
    <w:uiPriority w:val="0"/>
    <w:rPr>
      <w:rFonts w:ascii="Times New Roman" w:hAnsi="Times New Roman" w:eastAsia="宋体" w:cs="Times New Roman"/>
      <w:szCs w:val="24"/>
    </w:rPr>
  </w:style>
  <w:style w:type="character" w:customStyle="1" w:styleId="68">
    <w:name w:val="称呼 Char"/>
    <w:basedOn w:val="48"/>
    <w:link w:val="18"/>
    <w:qFormat/>
    <w:uiPriority w:val="0"/>
    <w:rPr>
      <w:rFonts w:ascii="仿宋_GB2312" w:hAnsi="Times New Roman" w:eastAsia="仿宋_GB2312" w:cs="Times New Roman"/>
      <w:sz w:val="24"/>
      <w:szCs w:val="24"/>
    </w:rPr>
  </w:style>
  <w:style w:type="character" w:customStyle="1" w:styleId="69">
    <w:name w:val="正文文本 Char"/>
    <w:basedOn w:val="48"/>
    <w:link w:val="19"/>
    <w:qFormat/>
    <w:uiPriority w:val="0"/>
    <w:rPr>
      <w:rFonts w:ascii="Times New Roman" w:hAnsi="Times New Roman" w:eastAsia="宋体" w:cs="Times New Roman"/>
      <w:szCs w:val="24"/>
    </w:rPr>
  </w:style>
  <w:style w:type="character" w:customStyle="1" w:styleId="70">
    <w:name w:val="纯文本 Char"/>
    <w:basedOn w:val="48"/>
    <w:link w:val="26"/>
    <w:qFormat/>
    <w:uiPriority w:val="0"/>
    <w:rPr>
      <w:rFonts w:ascii="宋体" w:hAnsi="Courier New" w:eastAsia="宋体" w:cs="Courier New"/>
      <w:szCs w:val="21"/>
    </w:rPr>
  </w:style>
  <w:style w:type="character" w:customStyle="1" w:styleId="71">
    <w:name w:val="日期 Char"/>
    <w:basedOn w:val="48"/>
    <w:link w:val="28"/>
    <w:qFormat/>
    <w:uiPriority w:val="0"/>
    <w:rPr>
      <w:rFonts w:ascii="Times New Roman" w:hAnsi="Times New Roman" w:eastAsia="宋体" w:cs="Times New Roman"/>
      <w:sz w:val="24"/>
      <w:szCs w:val="20"/>
    </w:rPr>
  </w:style>
  <w:style w:type="character" w:customStyle="1" w:styleId="72">
    <w:name w:val="正文文本缩进 2 Char"/>
    <w:basedOn w:val="48"/>
    <w:link w:val="29"/>
    <w:qFormat/>
    <w:uiPriority w:val="0"/>
    <w:rPr>
      <w:rFonts w:ascii="Times New Roman" w:hAnsi="Times New Roman" w:eastAsia="宋体" w:cs="Times New Roman"/>
      <w:szCs w:val="24"/>
    </w:rPr>
  </w:style>
  <w:style w:type="character" w:customStyle="1" w:styleId="73">
    <w:name w:val="批注框文本 Char"/>
    <w:basedOn w:val="48"/>
    <w:link w:val="30"/>
    <w:qFormat/>
    <w:uiPriority w:val="0"/>
    <w:rPr>
      <w:rFonts w:ascii="Times New Roman" w:hAnsi="Times New Roman" w:eastAsia="宋体" w:cs="Times New Roman"/>
      <w:sz w:val="18"/>
      <w:szCs w:val="18"/>
    </w:rPr>
  </w:style>
  <w:style w:type="character" w:customStyle="1" w:styleId="74">
    <w:name w:val="页脚 Char"/>
    <w:basedOn w:val="48"/>
    <w:link w:val="31"/>
    <w:qFormat/>
    <w:uiPriority w:val="99"/>
    <w:rPr>
      <w:rFonts w:ascii="Times New Roman" w:hAnsi="Times New Roman" w:eastAsia="宋体" w:cs="Times New Roman"/>
      <w:sz w:val="18"/>
      <w:szCs w:val="18"/>
    </w:rPr>
  </w:style>
  <w:style w:type="character" w:customStyle="1" w:styleId="75">
    <w:name w:val="页眉 Char"/>
    <w:basedOn w:val="48"/>
    <w:link w:val="32"/>
    <w:qFormat/>
    <w:uiPriority w:val="99"/>
    <w:rPr>
      <w:rFonts w:ascii="Times New Roman" w:hAnsi="Times New Roman" w:eastAsia="宋体" w:cs="Times New Roman"/>
      <w:sz w:val="18"/>
      <w:szCs w:val="18"/>
    </w:rPr>
  </w:style>
  <w:style w:type="character" w:customStyle="1" w:styleId="76">
    <w:name w:val="正文文本缩进 3 Char"/>
    <w:basedOn w:val="48"/>
    <w:link w:val="36"/>
    <w:qFormat/>
    <w:uiPriority w:val="0"/>
    <w:rPr>
      <w:rFonts w:ascii="Times New Roman" w:hAnsi="Times New Roman" w:eastAsia="宋体" w:cs="Times New Roman"/>
      <w:sz w:val="16"/>
      <w:szCs w:val="16"/>
    </w:rPr>
  </w:style>
  <w:style w:type="character" w:customStyle="1" w:styleId="77">
    <w:name w:val="正文文本 2 Char"/>
    <w:basedOn w:val="48"/>
    <w:link w:val="39"/>
    <w:qFormat/>
    <w:uiPriority w:val="0"/>
    <w:rPr>
      <w:rFonts w:ascii="Times New Roman" w:hAnsi="Times New Roman" w:eastAsia="宋体" w:cs="Times New Roman"/>
      <w:szCs w:val="24"/>
    </w:rPr>
  </w:style>
  <w:style w:type="character" w:customStyle="1" w:styleId="78">
    <w:name w:val="HTML 预设格式 Char"/>
    <w:basedOn w:val="48"/>
    <w:link w:val="40"/>
    <w:qFormat/>
    <w:uiPriority w:val="0"/>
    <w:rPr>
      <w:rFonts w:ascii="Arial" w:hAnsi="Arial" w:eastAsia="宋体" w:cs="Arial"/>
      <w:kern w:val="0"/>
      <w:sz w:val="24"/>
      <w:szCs w:val="24"/>
    </w:rPr>
  </w:style>
  <w:style w:type="character" w:customStyle="1" w:styleId="79">
    <w:name w:val="标题 Char"/>
    <w:link w:val="43"/>
    <w:qFormat/>
    <w:uiPriority w:val="0"/>
    <w:rPr>
      <w:b/>
      <w:sz w:val="32"/>
    </w:rPr>
  </w:style>
  <w:style w:type="character" w:customStyle="1" w:styleId="80">
    <w:name w:val="批注主题 Char"/>
    <w:basedOn w:val="67"/>
    <w:link w:val="23"/>
    <w:qFormat/>
    <w:uiPriority w:val="0"/>
    <w:rPr>
      <w:rFonts w:ascii="Times New Roman" w:hAnsi="Times New Roman" w:eastAsia="宋体" w:cs="Times New Roman"/>
      <w:b/>
      <w:bCs/>
      <w:szCs w:val="24"/>
    </w:rPr>
  </w:style>
  <w:style w:type="paragraph" w:customStyle="1" w:styleId="81">
    <w:name w:val="表格内容"/>
    <w:basedOn w:val="19"/>
    <w:qFormat/>
    <w:uiPriority w:val="0"/>
    <w:pPr>
      <w:suppressLineNumbers/>
      <w:suppressAutoHyphens/>
      <w:jc w:val="left"/>
    </w:pPr>
    <w:rPr>
      <w:rFonts w:cs="Tahoma"/>
      <w:kern w:val="0"/>
      <w:sz w:val="24"/>
    </w:rPr>
  </w:style>
  <w:style w:type="paragraph" w:customStyle="1" w:styleId="8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8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84">
    <w:name w:val="Char Char Char"/>
    <w:basedOn w:val="1"/>
    <w:qFormat/>
    <w:uiPriority w:val="0"/>
    <w:rPr>
      <w:rFonts w:ascii="宋体" w:hAnsi="宋体"/>
      <w:b/>
      <w:sz w:val="28"/>
      <w:szCs w:val="28"/>
    </w:rPr>
  </w:style>
  <w:style w:type="paragraph" w:customStyle="1" w:styleId="85">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6">
    <w:name w:val="Char"/>
    <w:basedOn w:val="1"/>
    <w:qFormat/>
    <w:uiPriority w:val="0"/>
    <w:pPr>
      <w:tabs>
        <w:tab w:val="left" w:pos="360"/>
      </w:tabs>
      <w:ind w:left="360" w:hanging="360" w:hangingChars="200"/>
    </w:pPr>
    <w:rPr>
      <w:sz w:val="24"/>
    </w:rPr>
  </w:style>
  <w:style w:type="paragraph" w:customStyle="1" w:styleId="87">
    <w:name w:val="样式1"/>
    <w:basedOn w:val="1"/>
    <w:link w:val="88"/>
    <w:qFormat/>
    <w:uiPriority w:val="0"/>
    <w:pPr>
      <w:tabs>
        <w:tab w:val="left" w:pos="360"/>
      </w:tabs>
      <w:adjustRightInd w:val="0"/>
      <w:ind w:left="360" w:hanging="360"/>
      <w:textAlignment w:val="baseline"/>
    </w:pPr>
    <w:rPr>
      <w:rFonts w:ascii="宋体" w:hAnsi="宋体"/>
      <w:kern w:val="0"/>
      <w:szCs w:val="21"/>
    </w:rPr>
  </w:style>
  <w:style w:type="character" w:customStyle="1" w:styleId="88">
    <w:name w:val="样式1 Char Char"/>
    <w:link w:val="87"/>
    <w:qFormat/>
    <w:uiPriority w:val="0"/>
    <w:rPr>
      <w:rFonts w:ascii="宋体" w:hAnsi="宋体" w:eastAsia="宋体" w:cs="Times New Roman"/>
      <w:kern w:val="0"/>
      <w:szCs w:val="21"/>
    </w:rPr>
  </w:style>
  <w:style w:type="character" w:customStyle="1" w:styleId="89">
    <w:name w:val="p0 Char"/>
    <w:link w:val="90"/>
    <w:qFormat/>
    <w:uiPriority w:val="0"/>
    <w:rPr>
      <w:rFonts w:eastAsia="宋体"/>
      <w:szCs w:val="21"/>
    </w:rPr>
  </w:style>
  <w:style w:type="paragraph" w:customStyle="1" w:styleId="90">
    <w:name w:val="p0"/>
    <w:basedOn w:val="1"/>
    <w:link w:val="89"/>
    <w:qFormat/>
    <w:uiPriority w:val="0"/>
    <w:pPr>
      <w:widowControl/>
    </w:pPr>
    <w:rPr>
      <w:rFonts w:asciiTheme="minorHAnsi" w:hAnsiTheme="minorHAnsi" w:cstheme="minorBidi"/>
      <w:szCs w:val="21"/>
    </w:rPr>
  </w:style>
  <w:style w:type="paragraph" w:customStyle="1" w:styleId="91">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92">
    <w:name w:val="Char Char1 Char Char Char Char Char1 Char Char Char Char"/>
    <w:basedOn w:val="16"/>
    <w:qFormat/>
    <w:uiPriority w:val="0"/>
    <w:rPr>
      <w:rFonts w:ascii="Tahoma" w:hAnsi="Tahoma"/>
    </w:rPr>
  </w:style>
  <w:style w:type="paragraph" w:customStyle="1" w:styleId="93">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95">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96">
    <w:name w:val="1"/>
    <w:basedOn w:val="1"/>
    <w:qFormat/>
    <w:uiPriority w:val="0"/>
    <w:pPr>
      <w:spacing w:afterLines="50" w:line="360" w:lineRule="auto"/>
    </w:pPr>
    <w:rPr>
      <w:rFonts w:ascii="宋体" w:hAnsi="宋体"/>
      <w:b/>
      <w:sz w:val="30"/>
      <w:szCs w:val="21"/>
    </w:rPr>
  </w:style>
  <w:style w:type="paragraph" w:customStyle="1" w:styleId="97">
    <w:name w:val="样式 标题 2 + 宋体 五号 行距: 单倍行距"/>
    <w:basedOn w:val="6"/>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8">
    <w:name w:val="标题 1 +"/>
    <w:basedOn w:val="5"/>
    <w:next w:val="1"/>
    <w:qFormat/>
    <w:uiPriority w:val="0"/>
    <w:pPr>
      <w:keepLines/>
      <w:spacing w:line="600" w:lineRule="auto"/>
    </w:pPr>
    <w:rPr>
      <w:rFonts w:eastAsia="黑体"/>
      <w:kern w:val="0"/>
      <w:sz w:val="32"/>
      <w:szCs w:val="32"/>
    </w:rPr>
  </w:style>
  <w:style w:type="paragraph" w:customStyle="1" w:styleId="99">
    <w:name w:val="样式 标题 2 + Times New Roman 四号 非加粗 段前: 5 磅 段后: 0 磅 行距: 固定值 20..."/>
    <w:basedOn w:val="6"/>
    <w:qFormat/>
    <w:uiPriority w:val="0"/>
    <w:pPr>
      <w:spacing w:before="100" w:line="400" w:lineRule="exact"/>
    </w:pPr>
    <w:rPr>
      <w:rFonts w:ascii="Times New Roman" w:hAnsi="Times New Roman" w:eastAsia="黑体"/>
      <w:b w:val="0"/>
      <w:bCs w:val="0"/>
      <w:sz w:val="28"/>
      <w:szCs w:val="20"/>
    </w:rPr>
  </w:style>
  <w:style w:type="paragraph" w:customStyle="1" w:styleId="100">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101">
    <w:name w:val="Char1 Char Char Char 字元 Char Char 字元 Char 字元 Char1 Char Char Char"/>
    <w:basedOn w:val="1"/>
    <w:qFormat/>
    <w:uiPriority w:val="0"/>
    <w:rPr>
      <w:szCs w:val="20"/>
    </w:rPr>
  </w:style>
  <w:style w:type="paragraph" w:customStyle="1" w:styleId="102">
    <w:name w:val="p16"/>
    <w:basedOn w:val="1"/>
    <w:qFormat/>
    <w:uiPriority w:val="0"/>
    <w:pPr>
      <w:widowControl/>
      <w:jc w:val="left"/>
    </w:pPr>
    <w:rPr>
      <w:kern w:val="0"/>
      <w:szCs w:val="21"/>
    </w:rPr>
  </w:style>
  <w:style w:type="paragraph" w:customStyle="1" w:styleId="103">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4">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05">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6">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7">
    <w:name w:val="Char Char Char1 Char"/>
    <w:basedOn w:val="1"/>
    <w:qFormat/>
    <w:uiPriority w:val="0"/>
    <w:pPr>
      <w:tabs>
        <w:tab w:val="left" w:pos="360"/>
      </w:tabs>
      <w:snapToGrid w:val="0"/>
      <w:spacing w:line="360" w:lineRule="auto"/>
    </w:pPr>
    <w:rPr>
      <w:rFonts w:eastAsia="仿宋_GB2312" w:cs="宋体"/>
      <w:sz w:val="24"/>
    </w:rPr>
  </w:style>
  <w:style w:type="paragraph" w:styleId="108">
    <w:name w:val="List Paragraph"/>
    <w:basedOn w:val="1"/>
    <w:link w:val="109"/>
    <w:qFormat/>
    <w:uiPriority w:val="0"/>
    <w:pPr>
      <w:ind w:firstLine="420" w:firstLineChars="200"/>
    </w:pPr>
  </w:style>
  <w:style w:type="character" w:customStyle="1" w:styleId="109">
    <w:name w:val="列出段落 Char"/>
    <w:link w:val="108"/>
    <w:qFormat/>
    <w:uiPriority w:val="0"/>
    <w:rPr>
      <w:rFonts w:ascii="Times New Roman" w:hAnsi="Times New Roman" w:eastAsia="宋体" w:cs="Times New Roman"/>
      <w:szCs w:val="24"/>
    </w:rPr>
  </w:style>
  <w:style w:type="character" w:customStyle="1" w:styleId="110">
    <w:name w:val="fontstyle01"/>
    <w:basedOn w:val="48"/>
    <w:qFormat/>
    <w:uiPriority w:val="0"/>
    <w:rPr>
      <w:rFonts w:hint="eastAsia" w:ascii="宋体" w:hAnsi="宋体" w:eastAsia="宋体"/>
      <w:color w:val="000000"/>
      <w:sz w:val="24"/>
      <w:szCs w:val="24"/>
    </w:rPr>
  </w:style>
  <w:style w:type="character" w:customStyle="1" w:styleId="111">
    <w:name w:val="fontstyle11"/>
    <w:basedOn w:val="48"/>
    <w:qFormat/>
    <w:uiPriority w:val="0"/>
    <w:rPr>
      <w:rFonts w:hint="default" w:ascii="TimesNewRomanPSMT" w:hAnsi="TimesNewRomanPSMT"/>
      <w:color w:val="000000"/>
      <w:sz w:val="24"/>
      <w:szCs w:val="24"/>
    </w:rPr>
  </w:style>
  <w:style w:type="paragraph" w:customStyle="1" w:styleId="112">
    <w:name w:val="TOC 标题1"/>
    <w:basedOn w:val="5"/>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3">
    <w:name w:val="fontstyle21"/>
    <w:basedOn w:val="48"/>
    <w:qFormat/>
    <w:uiPriority w:val="0"/>
    <w:rPr>
      <w:rFonts w:hint="eastAsia" w:ascii="宋体" w:hAnsi="宋体" w:eastAsia="宋体"/>
      <w:color w:val="993300"/>
      <w:sz w:val="24"/>
      <w:szCs w:val="24"/>
    </w:rPr>
  </w:style>
  <w:style w:type="character" w:customStyle="1" w:styleId="114">
    <w:name w:val="fontstyle31"/>
    <w:basedOn w:val="48"/>
    <w:qFormat/>
    <w:uiPriority w:val="0"/>
    <w:rPr>
      <w:rFonts w:hint="default" w:ascii="Arial" w:hAnsi="Arial" w:cs="Arial"/>
      <w:color w:val="993300"/>
      <w:sz w:val="24"/>
      <w:szCs w:val="24"/>
    </w:rPr>
  </w:style>
  <w:style w:type="character" w:customStyle="1" w:styleId="115">
    <w:name w:val="标题 Char1"/>
    <w:basedOn w:val="48"/>
    <w:qFormat/>
    <w:uiPriority w:val="10"/>
    <w:rPr>
      <w:rFonts w:eastAsia="宋体" w:asciiTheme="majorHAnsi" w:hAnsiTheme="majorHAnsi" w:cstheme="majorBidi"/>
      <w:b/>
      <w:bCs/>
      <w:sz w:val="32"/>
      <w:szCs w:val="32"/>
    </w:rPr>
  </w:style>
  <w:style w:type="paragraph" w:customStyle="1" w:styleId="116">
    <w:name w:val="表格"/>
    <w:basedOn w:val="1"/>
    <w:qFormat/>
    <w:uiPriority w:val="0"/>
    <w:pPr>
      <w:spacing w:line="276" w:lineRule="auto"/>
      <w:jc w:val="center"/>
      <w:textAlignment w:val="center"/>
    </w:pPr>
    <w:rPr>
      <w:rFonts w:ascii="Calibri" w:hAnsi="Calibri" w:cs="黑体"/>
      <w:szCs w:val="21"/>
    </w:rPr>
  </w:style>
  <w:style w:type="character" w:customStyle="1" w:styleId="117">
    <w:name w:val="font221"/>
    <w:basedOn w:val="48"/>
    <w:qFormat/>
    <w:uiPriority w:val="0"/>
    <w:rPr>
      <w:rFonts w:ascii="Arial" w:hAnsi="Arial" w:cs="Arial"/>
      <w:color w:val="000000"/>
      <w:sz w:val="21"/>
      <w:szCs w:val="21"/>
      <w:u w:val="none"/>
    </w:rPr>
  </w:style>
  <w:style w:type="character" w:customStyle="1" w:styleId="118">
    <w:name w:val="font161"/>
    <w:basedOn w:val="48"/>
    <w:qFormat/>
    <w:uiPriority w:val="0"/>
    <w:rPr>
      <w:rFonts w:hint="eastAsia" w:ascii="宋体" w:hAnsi="宋体" w:eastAsia="宋体" w:cs="宋体"/>
      <w:color w:val="000000"/>
      <w:sz w:val="24"/>
      <w:szCs w:val="24"/>
      <w:u w:val="none"/>
    </w:rPr>
  </w:style>
  <w:style w:type="character" w:customStyle="1" w:styleId="119">
    <w:name w:val="font51"/>
    <w:basedOn w:val="48"/>
    <w:qFormat/>
    <w:uiPriority w:val="0"/>
    <w:rPr>
      <w:rFonts w:hint="eastAsia" w:ascii="宋体" w:hAnsi="宋体" w:eastAsia="宋体" w:cs="宋体"/>
      <w:color w:val="000000"/>
      <w:sz w:val="24"/>
      <w:szCs w:val="24"/>
      <w:u w:val="none"/>
    </w:rPr>
  </w:style>
  <w:style w:type="paragraph" w:customStyle="1" w:styleId="120">
    <w:name w:val="Normal_8"/>
    <w:qFormat/>
    <w:uiPriority w:val="0"/>
    <w:rPr>
      <w:rFonts w:ascii="Times New Roman" w:hAnsi="Times New Roman" w:eastAsia="Times New Roman" w:cs="Times New Roman"/>
      <w:sz w:val="24"/>
      <w:szCs w:val="24"/>
      <w:lang w:val="en-US" w:eastAsia="zh-CN" w:bidi="ar-SA"/>
    </w:rPr>
  </w:style>
  <w:style w:type="character" w:customStyle="1" w:styleId="121">
    <w:name w:val="font171"/>
    <w:basedOn w:val="48"/>
    <w:qFormat/>
    <w:uiPriority w:val="0"/>
    <w:rPr>
      <w:rFonts w:ascii="Arial" w:hAnsi="Arial" w:cs="Arial"/>
      <w:color w:val="000000"/>
      <w:sz w:val="24"/>
      <w:szCs w:val="24"/>
      <w:u w:val="none"/>
    </w:rPr>
  </w:style>
  <w:style w:type="character" w:customStyle="1" w:styleId="122">
    <w:name w:val="font231"/>
    <w:basedOn w:val="48"/>
    <w:qFormat/>
    <w:uiPriority w:val="0"/>
    <w:rPr>
      <w:rFonts w:hint="eastAsia" w:ascii="宋体" w:hAnsi="宋体" w:eastAsia="宋体" w:cs="宋体"/>
      <w:color w:val="000000"/>
      <w:sz w:val="24"/>
      <w:szCs w:val="24"/>
      <w:u w:val="none"/>
    </w:rPr>
  </w:style>
  <w:style w:type="character" w:customStyle="1" w:styleId="123">
    <w:name w:val="font61"/>
    <w:basedOn w:val="48"/>
    <w:qFormat/>
    <w:uiPriority w:val="0"/>
    <w:rPr>
      <w:rFonts w:ascii="Calibri" w:hAnsi="Calibri" w:cs="Calibri"/>
      <w:color w:val="000000"/>
      <w:sz w:val="21"/>
      <w:szCs w:val="21"/>
      <w:u w:val="none"/>
    </w:rPr>
  </w:style>
  <w:style w:type="character" w:customStyle="1" w:styleId="124">
    <w:name w:val="font121"/>
    <w:basedOn w:val="48"/>
    <w:qFormat/>
    <w:uiPriority w:val="0"/>
    <w:rPr>
      <w:rFonts w:hint="eastAsia" w:ascii="宋体" w:hAnsi="宋体" w:eastAsia="宋体" w:cs="宋体"/>
      <w:color w:val="000000"/>
      <w:sz w:val="21"/>
      <w:szCs w:val="21"/>
      <w:u w:val="none"/>
    </w:rPr>
  </w:style>
  <w:style w:type="character" w:customStyle="1" w:styleId="125">
    <w:name w:val="font301"/>
    <w:basedOn w:val="48"/>
    <w:qFormat/>
    <w:uiPriority w:val="0"/>
    <w:rPr>
      <w:rFonts w:hint="eastAsia" w:ascii="宋体" w:hAnsi="宋体" w:eastAsia="宋体" w:cs="宋体"/>
      <w:color w:val="000000"/>
      <w:sz w:val="21"/>
      <w:szCs w:val="21"/>
      <w:u w:val="none"/>
      <w:vertAlign w:val="superscript"/>
    </w:rPr>
  </w:style>
  <w:style w:type="character" w:customStyle="1" w:styleId="126">
    <w:name w:val="font391"/>
    <w:basedOn w:val="48"/>
    <w:qFormat/>
    <w:uiPriority w:val="0"/>
    <w:rPr>
      <w:rFonts w:hint="default" w:ascii="Arial" w:hAnsi="Arial" w:cs="Arial"/>
      <w:color w:val="000000"/>
      <w:sz w:val="21"/>
      <w:szCs w:val="21"/>
      <w:u w:val="none"/>
    </w:rPr>
  </w:style>
  <w:style w:type="character" w:customStyle="1" w:styleId="127">
    <w:name w:val="font461"/>
    <w:basedOn w:val="48"/>
    <w:qFormat/>
    <w:uiPriority w:val="0"/>
    <w:rPr>
      <w:rFonts w:hint="eastAsia" w:ascii="宋体" w:hAnsi="宋体" w:eastAsia="宋体" w:cs="宋体"/>
      <w:color w:val="000000"/>
      <w:sz w:val="24"/>
      <w:szCs w:val="24"/>
      <w:u w:val="none"/>
    </w:rPr>
  </w:style>
  <w:style w:type="character" w:customStyle="1" w:styleId="128">
    <w:name w:val="font371"/>
    <w:basedOn w:val="48"/>
    <w:qFormat/>
    <w:uiPriority w:val="0"/>
    <w:rPr>
      <w:rFonts w:hint="eastAsia" w:ascii="宋体" w:hAnsi="宋体" w:eastAsia="宋体" w:cs="宋体"/>
      <w:color w:val="000000"/>
      <w:sz w:val="21"/>
      <w:szCs w:val="21"/>
      <w:u w:val="none"/>
    </w:rPr>
  </w:style>
  <w:style w:type="character" w:customStyle="1" w:styleId="129">
    <w:name w:val="font441"/>
    <w:basedOn w:val="48"/>
    <w:qFormat/>
    <w:uiPriority w:val="0"/>
    <w:rPr>
      <w:rFonts w:hint="eastAsia" w:ascii="宋体" w:hAnsi="宋体" w:eastAsia="宋体" w:cs="宋体"/>
      <w:color w:val="339966"/>
      <w:sz w:val="21"/>
      <w:szCs w:val="21"/>
      <w:u w:val="none"/>
    </w:rPr>
  </w:style>
  <w:style w:type="character" w:customStyle="1" w:styleId="130">
    <w:name w:val="font212"/>
    <w:basedOn w:val="48"/>
    <w:qFormat/>
    <w:uiPriority w:val="0"/>
    <w:rPr>
      <w:rFonts w:hint="eastAsia" w:ascii="仿宋" w:hAnsi="仿宋" w:eastAsia="仿宋" w:cs="仿宋"/>
      <w:color w:val="000000"/>
      <w:sz w:val="21"/>
      <w:szCs w:val="21"/>
      <w:u w:val="none"/>
    </w:rPr>
  </w:style>
  <w:style w:type="character" w:customStyle="1" w:styleId="131">
    <w:name w:val="font291"/>
    <w:basedOn w:val="48"/>
    <w:qFormat/>
    <w:uiPriority w:val="0"/>
    <w:rPr>
      <w:rFonts w:hint="eastAsia" w:ascii="宋体" w:hAnsi="宋体" w:eastAsia="宋体" w:cs="宋体"/>
      <w:b/>
      <w:color w:val="00B0F0"/>
      <w:sz w:val="24"/>
      <w:szCs w:val="24"/>
      <w:u w:val="none"/>
    </w:rPr>
  </w:style>
  <w:style w:type="character" w:customStyle="1" w:styleId="132">
    <w:name w:val="font251"/>
    <w:basedOn w:val="48"/>
    <w:qFormat/>
    <w:uiPriority w:val="0"/>
    <w:rPr>
      <w:rFonts w:hint="eastAsia" w:ascii="宋体" w:hAnsi="宋体" w:eastAsia="宋体" w:cs="宋体"/>
      <w:color w:val="000000"/>
      <w:sz w:val="24"/>
      <w:szCs w:val="24"/>
      <w:u w:val="none"/>
    </w:rPr>
  </w:style>
  <w:style w:type="character" w:customStyle="1" w:styleId="133">
    <w:name w:val="font261"/>
    <w:basedOn w:val="48"/>
    <w:qFormat/>
    <w:uiPriority w:val="0"/>
    <w:rPr>
      <w:rFonts w:hint="eastAsia" w:ascii="宋体" w:hAnsi="宋体" w:eastAsia="宋体" w:cs="宋体"/>
      <w:b/>
      <w:color w:val="000000"/>
      <w:sz w:val="24"/>
      <w:szCs w:val="24"/>
      <w:u w:val="none"/>
    </w:rPr>
  </w:style>
  <w:style w:type="character" w:customStyle="1" w:styleId="134">
    <w:name w:val="font351"/>
    <w:basedOn w:val="48"/>
    <w:qFormat/>
    <w:uiPriority w:val="0"/>
    <w:rPr>
      <w:rFonts w:hint="default" w:ascii="Arial" w:hAnsi="Arial" w:cs="Arial"/>
      <w:b/>
      <w:color w:val="00CCFF"/>
      <w:sz w:val="24"/>
      <w:szCs w:val="24"/>
      <w:u w:val="none"/>
    </w:rPr>
  </w:style>
  <w:style w:type="character" w:customStyle="1" w:styleId="135">
    <w:name w:val="font361"/>
    <w:basedOn w:val="48"/>
    <w:qFormat/>
    <w:uiPriority w:val="0"/>
    <w:rPr>
      <w:rFonts w:hint="eastAsia" w:ascii="宋体" w:hAnsi="宋体" w:eastAsia="宋体" w:cs="宋体"/>
      <w:b/>
      <w:color w:val="000000"/>
      <w:sz w:val="24"/>
      <w:szCs w:val="24"/>
      <w:u w:val="none"/>
    </w:rPr>
  </w:style>
  <w:style w:type="character" w:customStyle="1" w:styleId="136">
    <w:name w:val="font431"/>
    <w:basedOn w:val="48"/>
    <w:qFormat/>
    <w:uiPriority w:val="0"/>
    <w:rPr>
      <w:rFonts w:hint="default" w:ascii="Arial" w:hAnsi="Arial" w:cs="Arial"/>
      <w:b/>
      <w:color w:val="000000"/>
      <w:sz w:val="24"/>
      <w:szCs w:val="24"/>
      <w:u w:val="none"/>
    </w:rPr>
  </w:style>
  <w:style w:type="character" w:customStyle="1" w:styleId="137">
    <w:name w:val="font412"/>
    <w:basedOn w:val="48"/>
    <w:qFormat/>
    <w:uiPriority w:val="0"/>
    <w:rPr>
      <w:rFonts w:hint="default" w:ascii="Arial" w:hAnsi="Arial" w:cs="Arial"/>
      <w:color w:val="FF0000"/>
      <w:sz w:val="24"/>
      <w:szCs w:val="24"/>
      <w:u w:val="none"/>
    </w:rPr>
  </w:style>
  <w:style w:type="character" w:customStyle="1" w:styleId="138">
    <w:name w:val="font201"/>
    <w:basedOn w:val="48"/>
    <w:qFormat/>
    <w:uiPriority w:val="0"/>
    <w:rPr>
      <w:rFonts w:hint="eastAsia" w:ascii="宋体" w:hAnsi="宋体" w:eastAsia="宋体" w:cs="宋体"/>
      <w:color w:val="FF0000"/>
      <w:sz w:val="24"/>
      <w:szCs w:val="24"/>
      <w:u w:val="none"/>
    </w:rPr>
  </w:style>
  <w:style w:type="character" w:customStyle="1" w:styleId="139">
    <w:name w:val="font321"/>
    <w:basedOn w:val="48"/>
    <w:qFormat/>
    <w:uiPriority w:val="0"/>
    <w:rPr>
      <w:rFonts w:hint="eastAsia" w:ascii="宋体" w:hAnsi="宋体" w:eastAsia="宋体" w:cs="宋体"/>
      <w:color w:val="00CCFF"/>
      <w:sz w:val="24"/>
      <w:szCs w:val="24"/>
      <w:u w:val="none"/>
    </w:rPr>
  </w:style>
  <w:style w:type="character" w:customStyle="1" w:styleId="140">
    <w:name w:val="font401"/>
    <w:basedOn w:val="48"/>
    <w:qFormat/>
    <w:uiPriority w:val="0"/>
    <w:rPr>
      <w:rFonts w:ascii="仿宋_GB2312" w:eastAsia="仿宋_GB2312" w:cs="仿宋_GB2312"/>
      <w:color w:val="000000"/>
      <w:sz w:val="21"/>
      <w:szCs w:val="21"/>
      <w:u w:val="none"/>
    </w:rPr>
  </w:style>
  <w:style w:type="character" w:customStyle="1" w:styleId="141">
    <w:name w:val="font311"/>
    <w:basedOn w:val="48"/>
    <w:qFormat/>
    <w:uiPriority w:val="0"/>
    <w:rPr>
      <w:rFonts w:hint="eastAsia" w:ascii="宋体" w:hAnsi="宋体" w:eastAsia="宋体" w:cs="宋体"/>
      <w:color w:val="3366FF"/>
      <w:sz w:val="24"/>
      <w:szCs w:val="24"/>
      <w:u w:val="none"/>
    </w:rPr>
  </w:style>
  <w:style w:type="paragraph" w:customStyle="1" w:styleId="142">
    <w:name w:val="样式2"/>
    <w:basedOn w:val="32"/>
    <w:qFormat/>
    <w:uiPriority w:val="0"/>
    <w:pPr>
      <w:pBdr>
        <w:bottom w:val="thickThinSmallGap" w:color="auto" w:sz="24" w:space="1"/>
      </w:pBdr>
    </w:pPr>
  </w:style>
  <w:style w:type="character" w:customStyle="1" w:styleId="143">
    <w:name w:val="l-btn-left"/>
    <w:basedOn w:val="48"/>
    <w:qFormat/>
    <w:uiPriority w:val="0"/>
  </w:style>
  <w:style w:type="character" w:customStyle="1" w:styleId="144">
    <w:name w:val="l-btn-left1"/>
    <w:basedOn w:val="48"/>
    <w:qFormat/>
    <w:uiPriority w:val="0"/>
  </w:style>
  <w:style w:type="character" w:customStyle="1" w:styleId="145">
    <w:name w:val="l-btn-left2"/>
    <w:basedOn w:val="48"/>
    <w:qFormat/>
    <w:uiPriority w:val="0"/>
  </w:style>
  <w:style w:type="character" w:customStyle="1" w:styleId="146">
    <w:name w:val="l-btn-left3"/>
    <w:basedOn w:val="48"/>
    <w:qFormat/>
    <w:uiPriority w:val="0"/>
  </w:style>
  <w:style w:type="character" w:customStyle="1" w:styleId="147">
    <w:name w:val="l-btn-empty"/>
    <w:basedOn w:val="48"/>
    <w:qFormat/>
    <w:uiPriority w:val="0"/>
  </w:style>
  <w:style w:type="character" w:customStyle="1" w:styleId="148">
    <w:name w:val="l-btn-text"/>
    <w:basedOn w:val="48"/>
    <w:qFormat/>
    <w:uiPriority w:val="0"/>
    <w:rPr>
      <w:sz w:val="18"/>
      <w:szCs w:val="18"/>
      <w:vertAlign w:val="baseline"/>
    </w:rPr>
  </w:style>
  <w:style w:type="character" w:customStyle="1" w:styleId="149">
    <w:name w:val="l-btn-icon-left"/>
    <w:basedOn w:val="48"/>
    <w:qFormat/>
    <w:uiPriority w:val="0"/>
  </w:style>
  <w:style w:type="character" w:customStyle="1" w:styleId="150">
    <w:name w:val="l-btn-icon-right"/>
    <w:basedOn w:val="48"/>
    <w:qFormat/>
    <w:uiPriority w:val="0"/>
  </w:style>
  <w:style w:type="paragraph" w:customStyle="1" w:styleId="151">
    <w:name w:val="WPSOffice手动目录 1"/>
    <w:qFormat/>
    <w:uiPriority w:val="0"/>
    <w:rPr>
      <w:rFonts w:ascii="Times New Roman" w:hAnsi="Times New Roman" w:eastAsia="宋体" w:cs="Times New Roman"/>
      <w:lang w:val="en-US" w:eastAsia="zh-CN" w:bidi="ar-SA"/>
    </w:rPr>
  </w:style>
  <w:style w:type="paragraph" w:customStyle="1" w:styleId="15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53">
    <w:name w:val="Normal_0_1"/>
    <w:qFormat/>
    <w:uiPriority w:val="0"/>
    <w:rPr>
      <w:rFonts w:ascii="Times New Roman" w:hAnsi="Times New Roman" w:eastAsia="Times New Roman" w:cs="Times New Roman"/>
      <w:sz w:val="24"/>
      <w:szCs w:val="24"/>
      <w:lang w:val="en-US" w:eastAsia="zh-CN" w:bidi="ar-SA"/>
    </w:rPr>
  </w:style>
  <w:style w:type="character" w:customStyle="1" w:styleId="154">
    <w:name w:val="NormalCharacter"/>
    <w:semiHidden/>
    <w:qFormat/>
    <w:uiPriority w:val="0"/>
    <w:rPr>
      <w:kern w:val="2"/>
      <w:sz w:val="21"/>
      <w:szCs w:val="24"/>
      <w:lang w:val="en-US" w:eastAsia="zh-CN" w:bidi="ar-SA"/>
    </w:rPr>
  </w:style>
  <w:style w:type="paragraph" w:customStyle="1" w:styleId="155">
    <w:name w:val="正文_0"/>
    <w:next w:val="15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正文文本_0"/>
    <w:basedOn w:val="157"/>
    <w:qFormat/>
    <w:uiPriority w:val="0"/>
    <w:pPr>
      <w:spacing w:after="120"/>
    </w:pPr>
  </w:style>
  <w:style w:type="paragraph" w:customStyle="1" w:styleId="157">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8">
    <w:name w:val="正文_3"/>
    <w:next w:val="1"/>
    <w:qFormat/>
    <w:uiPriority w:val="0"/>
    <w:pPr>
      <w:widowControl w:val="0"/>
      <w:jc w:val="both"/>
    </w:pPr>
    <w:rPr>
      <w:rFonts w:ascii="Calibri" w:hAnsi="Calibri" w:eastAsia="宋体" w:cs="Times New Roman"/>
      <w:kern w:val="2"/>
      <w:sz w:val="21"/>
      <w:szCs w:val="22"/>
      <w:lang w:val="en-US" w:eastAsia="zh-CN" w:bidi="ar-SA"/>
    </w:rPr>
  </w:style>
  <w:style w:type="table" w:customStyle="1" w:styleId="159">
    <w:name w:val="网格型1"/>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60">
    <w:name w:val="font21"/>
    <w:basedOn w:val="48"/>
    <w:qFormat/>
    <w:uiPriority w:val="0"/>
    <w:rPr>
      <w:rFonts w:hint="eastAsia" w:ascii="宋体" w:hAnsi="宋体" w:eastAsia="宋体"/>
      <w:color w:val="000000"/>
      <w:sz w:val="21"/>
      <w:szCs w:val="21"/>
      <w:u w:val="none"/>
    </w:rPr>
  </w:style>
  <w:style w:type="character" w:customStyle="1" w:styleId="161">
    <w:name w:val="font11"/>
    <w:basedOn w:val="48"/>
    <w:qFormat/>
    <w:uiPriority w:val="0"/>
    <w:rPr>
      <w:rFonts w:hint="default" w:ascii="Times New Roman" w:hAnsi="Times New Roman" w:cs="Times New Roman"/>
      <w:color w:val="000000"/>
      <w:sz w:val="21"/>
      <w:szCs w:val="21"/>
      <w:u w:val="none"/>
    </w:rPr>
  </w:style>
  <w:style w:type="paragraph" w:customStyle="1" w:styleId="162">
    <w:name w:val="Normal_8_4"/>
    <w:basedOn w:val="1"/>
    <w:qFormat/>
    <w:uiPriority w:val="0"/>
    <w:rPr>
      <w:rFonts w:ascii="Calibri" w:hAnsi="Calibri" w:cs="宋体"/>
      <w:kern w:val="0"/>
      <w:sz w:val="24"/>
    </w:rPr>
  </w:style>
  <w:style w:type="paragraph" w:customStyle="1" w:styleId="163">
    <w:name w:val="Normal_8_2"/>
    <w:basedOn w:val="1"/>
    <w:qFormat/>
    <w:uiPriority w:val="0"/>
    <w:rPr>
      <w:rFonts w:ascii="Calibri" w:hAnsi="Calibri" w:cs="宋体"/>
      <w:kern w:val="0"/>
      <w:sz w:val="24"/>
    </w:rPr>
  </w:style>
  <w:style w:type="paragraph" w:customStyle="1" w:styleId="164">
    <w:name w:val="Normal_8_0"/>
    <w:basedOn w:val="1"/>
    <w:qFormat/>
    <w:uiPriority w:val="0"/>
    <w:rPr>
      <w:rFonts w:ascii="Calibri" w:hAnsi="Calibri" w:cs="宋体"/>
      <w:kern w:val="0"/>
      <w:sz w:val="24"/>
    </w:rPr>
  </w:style>
  <w:style w:type="paragraph" w:customStyle="1" w:styleId="165">
    <w:name w:val="Normal_8_1"/>
    <w:basedOn w:val="1"/>
    <w:qFormat/>
    <w:uiPriority w:val="0"/>
    <w:rPr>
      <w:rFonts w:ascii="Calibri" w:hAnsi="Calibri" w:cs="宋体"/>
      <w:kern w:val="0"/>
      <w:sz w:val="24"/>
    </w:rPr>
  </w:style>
  <w:style w:type="paragraph" w:customStyle="1" w:styleId="166">
    <w:name w:val="Normal_8_6"/>
    <w:basedOn w:val="1"/>
    <w:qFormat/>
    <w:uiPriority w:val="0"/>
    <w:rPr>
      <w:rFonts w:ascii="Calibri" w:hAnsi="Calibri" w:cs="宋体"/>
      <w:kern w:val="0"/>
      <w:sz w:val="24"/>
    </w:rPr>
  </w:style>
  <w:style w:type="paragraph" w:customStyle="1" w:styleId="167">
    <w:name w:val="Normal_8_3"/>
    <w:basedOn w:val="1"/>
    <w:qFormat/>
    <w:uiPriority w:val="0"/>
    <w:rPr>
      <w:rFonts w:ascii="Calibri" w:hAnsi="Calibri" w:cs="宋体"/>
      <w:kern w:val="0"/>
      <w:sz w:val="24"/>
    </w:rPr>
  </w:style>
  <w:style w:type="paragraph" w:customStyle="1" w:styleId="168">
    <w:name w:val="Normal_8_5"/>
    <w:basedOn w:val="1"/>
    <w:qFormat/>
    <w:uiPriority w:val="0"/>
    <w:rPr>
      <w:rFonts w:ascii="Calibri" w:hAnsi="Calibri" w:cs="宋体"/>
      <w:kern w:val="0"/>
      <w:sz w:val="24"/>
    </w:rPr>
  </w:style>
  <w:style w:type="paragraph" w:customStyle="1" w:styleId="169">
    <w:name w:val="Normal_8_7"/>
    <w:basedOn w:val="1"/>
    <w:qFormat/>
    <w:uiPriority w:val="0"/>
    <w:rPr>
      <w:rFonts w:ascii="Calibri" w:hAnsi="Calibri" w:cs="宋体"/>
      <w:kern w:val="0"/>
      <w:sz w:val="24"/>
    </w:rPr>
  </w:style>
  <w:style w:type="paragraph" w:customStyle="1" w:styleId="170">
    <w:name w:val="Normal_8_8"/>
    <w:basedOn w:val="1"/>
    <w:qFormat/>
    <w:uiPriority w:val="0"/>
    <w:rPr>
      <w:rFonts w:ascii="Calibri" w:hAnsi="Calibri" w:cs="宋体"/>
      <w:kern w:val="0"/>
      <w:sz w:val="24"/>
    </w:rPr>
  </w:style>
  <w:style w:type="paragraph" w:customStyle="1" w:styleId="171">
    <w:name w:val="Normal_8_9"/>
    <w:basedOn w:val="1"/>
    <w:qFormat/>
    <w:uiPriority w:val="0"/>
    <w:rPr>
      <w:rFonts w:ascii="Calibri" w:hAnsi="Calibri" w:cs="宋体"/>
      <w:kern w:val="0"/>
      <w:sz w:val="24"/>
    </w:rPr>
  </w:style>
  <w:style w:type="character" w:customStyle="1" w:styleId="172">
    <w:name w:val="font41"/>
    <w:basedOn w:val="48"/>
    <w:qFormat/>
    <w:uiPriority w:val="0"/>
    <w:rPr>
      <w:rFonts w:hint="eastAsia" w:ascii="宋体" w:hAnsi="宋体" w:eastAsia="宋体"/>
      <w:color w:val="000000"/>
      <w:sz w:val="20"/>
      <w:szCs w:val="20"/>
      <w:u w:val="none"/>
    </w:rPr>
  </w:style>
  <w:style w:type="paragraph" w:customStyle="1" w:styleId="173">
    <w:name w:val="Normal_0"/>
    <w:qFormat/>
    <w:uiPriority w:val="0"/>
    <w:rPr>
      <w:rFonts w:ascii="Times New Roman" w:hAnsi="Times New Roman" w:eastAsia="Times New Roman" w:cs="Times New Roman"/>
      <w:sz w:val="24"/>
      <w:szCs w:val="24"/>
      <w:lang w:val="en-US" w:eastAsia="zh-CN" w:bidi="ar-SA"/>
    </w:rPr>
  </w:style>
  <w:style w:type="character" w:customStyle="1" w:styleId="174">
    <w:name w:val="font31"/>
    <w:basedOn w:val="48"/>
    <w:qFormat/>
    <w:uiPriority w:val="0"/>
    <w:rPr>
      <w:rFonts w:hint="eastAsia" w:ascii="方正仿宋_GBK" w:eastAsia="方正仿宋_GBK"/>
      <w:color w:val="000000"/>
      <w:sz w:val="22"/>
      <w:szCs w:val="22"/>
      <w:u w:val="none"/>
    </w:rPr>
  </w:style>
  <w:style w:type="paragraph" w:customStyle="1" w:styleId="175">
    <w:name w:val="正文_9"/>
    <w:basedOn w:val="1"/>
    <w:qFormat/>
    <w:uiPriority w:val="0"/>
    <w:rPr>
      <w:rFonts w:ascii="Calibri" w:hAnsi="Calibri"/>
      <w:szCs w:val="22"/>
    </w:rPr>
  </w:style>
  <w:style w:type="paragraph" w:customStyle="1" w:styleId="176">
    <w:name w:val="正文_10_0"/>
    <w:basedOn w:val="1"/>
    <w:qFormat/>
    <w:uiPriority w:val="0"/>
    <w:rPr>
      <w:rFonts w:ascii="Calibri" w:hAnsi="Calibri"/>
      <w:szCs w:val="22"/>
    </w:rPr>
  </w:style>
  <w:style w:type="paragraph" w:customStyle="1" w:styleId="177">
    <w:name w:val="正文_0_0"/>
    <w:basedOn w:val="155"/>
    <w:qFormat/>
    <w:uiPriority w:val="0"/>
    <w:pPr>
      <w:widowControl w:val="0"/>
      <w:jc w:val="both"/>
    </w:pPr>
    <w:rPr>
      <w:kern w:val="2"/>
      <w:sz w:val="21"/>
      <w:szCs w:val="22"/>
      <w:lang w:val="en-US" w:eastAsia="zh-CN" w:bidi="ar-SA"/>
    </w:rPr>
  </w:style>
  <w:style w:type="paragraph" w:customStyle="1" w:styleId="178">
    <w:name w:val="Normal_0_2"/>
    <w:qFormat/>
    <w:uiPriority w:val="0"/>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61A85A-57BE-445B-8685-2B77C388A6F6}">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93</Pages>
  <Words>45702</Words>
  <Characters>48400</Characters>
  <Lines>1050</Lines>
  <Paragraphs>1077</Paragraphs>
  <TotalTime>17</TotalTime>
  <ScaleCrop>false</ScaleCrop>
  <LinksUpToDate>false</LinksUpToDate>
  <CharactersWithSpaces>51424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2021-04-27T07:58:00Z</dcterms:created>
  <dc:creator>admin</dc:creator>
  <cp:lastModifiedBy>TT</cp:lastModifiedBy>
  <cp:lastPrinted>2023-11-03T01:17:21Z</cp:lastPrinted>
  <dcterms:modified xsi:type="dcterms:W3CDTF">2023-11-03T01:36:29Z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77FE6D647A36443EA04797FD6517A2B2_13</vt:lpwstr>
  </property>
</Properties>
</file>