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outlineLvl w:val="0"/>
        <w:rPr>
          <w:rFonts w:hint="eastAsia" w:ascii="仿宋" w:hAnsi="仿宋" w:eastAsia="仿宋" w:cs="仿宋"/>
          <w:b/>
          <w:bCs/>
          <w:color w:val="auto"/>
          <w:kern w:val="2"/>
          <w:sz w:val="28"/>
          <w:szCs w:val="28"/>
          <w:lang w:val="en-US" w:eastAsia="zh-CN" w:bidi="ar"/>
        </w:rPr>
      </w:pPr>
      <w:bookmarkStart w:id="0" w:name="_Toc5582"/>
      <w:bookmarkStart w:id="1" w:name="_Toc20603"/>
      <w:bookmarkStart w:id="2" w:name="_Toc20832"/>
      <w:bookmarkStart w:id="3" w:name="_Toc9540"/>
      <w:r>
        <w:rPr>
          <w:rFonts w:hint="eastAsia" w:ascii="仿宋" w:hAnsi="仿宋" w:eastAsia="仿宋" w:cs="仿宋"/>
          <w:lang w:val="en-US" w:eastAsia="zh-CN"/>
        </w:rPr>
        <w:t>第五章  项目概述、技术参数及商务要求</w:t>
      </w:r>
      <w:bookmarkEnd w:id="0"/>
      <w:bookmarkEnd w:id="1"/>
      <w:bookmarkEnd w:id="2"/>
      <w:bookmarkEnd w:id="3"/>
    </w:p>
    <w:p>
      <w:pPr>
        <w:numPr>
          <w:ilvl w:val="0"/>
          <w:numId w:val="0"/>
        </w:numPr>
        <w:spacing w:after="120" w:line="360" w:lineRule="auto"/>
        <w:ind w:leftChars="228"/>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一、项目概况:</w:t>
      </w:r>
    </w:p>
    <w:p>
      <w:pPr>
        <w:pStyle w:val="8"/>
        <w:keepNext w:val="0"/>
        <w:keepLines w:val="0"/>
        <w:pageBreakBefore w:val="0"/>
        <w:kinsoku/>
        <w:overflowPunct/>
        <w:topLinePunct w:val="0"/>
        <w:autoSpaceDE/>
        <w:autoSpaceDN/>
        <w:bidi w:val="0"/>
        <w:adjustRightInd/>
        <w:snapToGrid w:val="0"/>
        <w:spacing w:line="400" w:lineRule="atLeast"/>
        <w:ind w:left="0" w:leftChars="0" w:firstLine="638" w:firstLineChars="228"/>
        <w:jc w:val="left"/>
        <w:textAlignment w:val="auto"/>
        <w:rPr>
          <w:rFonts w:hint="eastAsia" w:ascii="仿宋" w:hAnsi="仿宋" w:eastAsia="仿宋" w:cs="仿宋"/>
          <w:i w:val="0"/>
          <w:kern w:val="2"/>
          <w:sz w:val="28"/>
          <w:szCs w:val="28"/>
          <w:lang w:val="en-US" w:eastAsia="zh-CN" w:bidi="ar-SA"/>
        </w:rPr>
      </w:pPr>
      <w:r>
        <w:rPr>
          <w:rFonts w:hint="eastAsia" w:ascii="仿宋" w:hAnsi="仿宋" w:eastAsia="仿宋" w:cs="仿宋"/>
          <w:i w:val="0"/>
          <w:kern w:val="2"/>
          <w:sz w:val="28"/>
          <w:szCs w:val="28"/>
          <w:lang w:val="en-US" w:eastAsia="zh-CN" w:bidi="ar-SA"/>
        </w:rPr>
        <w:t>（一）项目基本情况</w:t>
      </w:r>
    </w:p>
    <w:p>
      <w:pPr>
        <w:pStyle w:val="8"/>
        <w:keepNext w:val="0"/>
        <w:keepLines w:val="0"/>
        <w:pageBreakBefore w:val="0"/>
        <w:kinsoku/>
        <w:overflowPunct/>
        <w:topLinePunct w:val="0"/>
        <w:autoSpaceDE/>
        <w:autoSpaceDN/>
        <w:bidi w:val="0"/>
        <w:adjustRightInd/>
        <w:snapToGrid w:val="0"/>
        <w:spacing w:line="400" w:lineRule="atLeast"/>
        <w:ind w:left="0" w:leftChars="0" w:firstLine="840" w:firstLineChars="300"/>
        <w:jc w:val="left"/>
        <w:textAlignment w:val="auto"/>
        <w:rPr>
          <w:rFonts w:hint="eastAsia" w:ascii="仿宋" w:hAnsi="仿宋" w:eastAsia="仿宋" w:cs="仿宋"/>
          <w:i w:val="0"/>
          <w:kern w:val="2"/>
          <w:sz w:val="28"/>
          <w:szCs w:val="28"/>
          <w:lang w:val="en-US" w:eastAsia="zh-CN" w:bidi="ar-SA"/>
        </w:rPr>
      </w:pPr>
      <w:r>
        <w:rPr>
          <w:rFonts w:hint="eastAsia" w:ascii="仿宋" w:hAnsi="仿宋" w:eastAsia="仿宋" w:cs="仿宋"/>
          <w:i w:val="0"/>
          <w:kern w:val="2"/>
          <w:sz w:val="28"/>
          <w:szCs w:val="28"/>
          <w:lang w:val="en-US" w:eastAsia="zh-CN" w:bidi="ar-SA"/>
        </w:rPr>
        <w:t>1.工程地点：南江县文庙小学</w:t>
      </w:r>
    </w:p>
    <w:p>
      <w:pPr>
        <w:keepNext w:val="0"/>
        <w:keepLines w:val="0"/>
        <w:widowControl/>
        <w:suppressLineNumbers w:val="0"/>
        <w:spacing w:line="360" w:lineRule="auto"/>
        <w:ind w:firstLine="840" w:firstLineChars="300"/>
        <w:jc w:val="left"/>
        <w:rPr>
          <w:rFonts w:hint="eastAsia" w:ascii="仿宋" w:hAnsi="仿宋" w:eastAsia="仿宋" w:cs="仿宋"/>
          <w:i w:val="0"/>
          <w:kern w:val="2"/>
          <w:sz w:val="28"/>
          <w:szCs w:val="28"/>
          <w:lang w:val="en-US" w:eastAsia="zh-CN" w:bidi="ar-SA"/>
        </w:rPr>
      </w:pPr>
      <w:r>
        <w:rPr>
          <w:rFonts w:hint="eastAsia" w:ascii="仿宋" w:hAnsi="仿宋" w:eastAsia="仿宋" w:cs="仿宋"/>
          <w:i w:val="0"/>
          <w:kern w:val="2"/>
          <w:sz w:val="28"/>
          <w:szCs w:val="28"/>
          <w:lang w:val="en-US" w:eastAsia="zh-CN" w:bidi="ar-SA"/>
        </w:rPr>
        <w:t>2.建设内容：本工程为南江县南江镇第二小学附设幼儿园活动场地维修工程。南江县文庙小学运动场建成于 2018 年 7月，目前现状为：悬浮地板跑道大面积脱落开裂、人工草皮底部脱落（2022年 6月29 日大风将草皮大面积掀起），四周水沟中树根丛生淤泥堵塞严重排水不畅，一遇降雨师生无法通行、雨后积水长期不能排出课外活动无法开展。本次维修主要集中于悬浮地板跑道更换、人工草皮清洗重铺、水沟清理及盖板更换。具体内容内容为招标控制价清单和施工图纸范围内全部内容（招标控制价清单和图纸另册）。</w:t>
      </w:r>
    </w:p>
    <w:p>
      <w:pPr>
        <w:ind w:firstLine="560" w:firstLineChars="200"/>
        <w:rPr>
          <w:rFonts w:hint="eastAsia" w:ascii="仿宋" w:hAnsi="仿宋" w:eastAsia="仿宋" w:cs="仿宋"/>
          <w:lang w:val="en-US" w:eastAsia="zh-CN"/>
        </w:rPr>
      </w:pPr>
      <w:r>
        <w:rPr>
          <w:rFonts w:hint="eastAsia" w:ascii="仿宋" w:hAnsi="仿宋" w:eastAsia="仿宋" w:cs="仿宋"/>
          <w:i w:val="0"/>
          <w:kern w:val="2"/>
          <w:sz w:val="28"/>
          <w:szCs w:val="28"/>
          <w:lang w:val="en-US" w:eastAsia="zh-CN" w:bidi="ar-SA"/>
        </w:rPr>
        <w:t>（二）采购标的</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58"/>
        <w:gridCol w:w="2134"/>
        <w:gridCol w:w="2340"/>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27"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序号</w:t>
            </w:r>
          </w:p>
        </w:tc>
        <w:tc>
          <w:tcPr>
            <w:tcW w:w="1960"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项目名称</w:t>
            </w:r>
          </w:p>
        </w:tc>
        <w:tc>
          <w:tcPr>
            <w:tcW w:w="2136"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单位</w:t>
            </w:r>
          </w:p>
        </w:tc>
        <w:tc>
          <w:tcPr>
            <w:tcW w:w="2342"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建设内容及规模</w:t>
            </w:r>
          </w:p>
        </w:tc>
        <w:tc>
          <w:tcPr>
            <w:tcW w:w="1264"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行业分类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827"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960"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zh-CN" w:eastAsia="zh-CN"/>
              </w:rPr>
              <w:t>南江县南江镇第二小学附设幼儿园活动场地维修工程</w:t>
            </w:r>
          </w:p>
        </w:tc>
        <w:tc>
          <w:tcPr>
            <w:tcW w:w="2136"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1项</w:t>
            </w:r>
          </w:p>
        </w:tc>
        <w:tc>
          <w:tcPr>
            <w:tcW w:w="2342"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招标控制价清单和施工图纸范围内全部内容</w:t>
            </w:r>
          </w:p>
        </w:tc>
        <w:tc>
          <w:tcPr>
            <w:tcW w:w="1264" w:type="dxa"/>
            <w:noWrap w:val="0"/>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建筑业</w:t>
            </w:r>
          </w:p>
        </w:tc>
      </w:tr>
    </w:tbl>
    <w:p>
      <w:pPr>
        <w:rPr>
          <w:rFonts w:hint="eastAsia" w:ascii="仿宋" w:hAnsi="仿宋" w:eastAsia="仿宋" w:cs="仿宋"/>
          <w:lang w:val="en-US" w:eastAsia="zh-CN"/>
        </w:rPr>
      </w:pPr>
    </w:p>
    <w:p>
      <w:pPr>
        <w:pStyle w:val="9"/>
        <w:keepNext w:val="0"/>
        <w:keepLines w:val="0"/>
        <w:pageBreakBefore w:val="0"/>
        <w:widowControl w:val="0"/>
        <w:kinsoku/>
        <w:wordWrap/>
        <w:overflowPunct/>
        <w:topLinePunct w:val="0"/>
        <w:autoSpaceDE/>
        <w:autoSpaceDN/>
        <w:bidi w:val="0"/>
        <w:adjustRightInd/>
        <w:snapToGrid w:val="0"/>
        <w:spacing w:line="500" w:lineRule="atLeast"/>
        <w:ind w:left="0" w:leftChars="0" w:firstLine="0" w:firstLineChars="0"/>
        <w:textAlignment w:val="auto"/>
        <w:rPr>
          <w:rFonts w:hint="eastAsia" w:ascii="仿宋" w:hAnsi="仿宋" w:eastAsia="仿宋" w:cs="仿宋"/>
          <w:sz w:val="28"/>
          <w:szCs w:val="28"/>
          <w:lang w:val="en-US" w:eastAsia="zh-CN"/>
        </w:rPr>
      </w:pPr>
      <w:r>
        <w:rPr>
          <w:rFonts w:hint="eastAsia" w:ascii="仿宋" w:hAnsi="仿宋" w:eastAsia="仿宋" w:cs="仿宋"/>
          <w:b/>
          <w:bCs/>
          <w:kern w:val="2"/>
          <w:sz w:val="28"/>
          <w:szCs w:val="28"/>
          <w:lang w:val="en-US" w:eastAsia="zh-CN" w:bidi="ar-SA"/>
        </w:rPr>
        <w:t>二、报价方式：</w:t>
      </w:r>
      <w:r>
        <w:rPr>
          <w:rFonts w:hint="eastAsia" w:ascii="仿宋" w:hAnsi="仿宋" w:eastAsia="仿宋" w:cs="仿宋"/>
          <w:kern w:val="2"/>
          <w:sz w:val="28"/>
          <w:szCs w:val="28"/>
          <w:lang w:val="en-US" w:eastAsia="zh-CN" w:bidi="ar-SA"/>
        </w:rPr>
        <w:t>实行总价及下浮比例报价，供应商不再进行逐项工程量清单格式计价报价，但须响应招标控制价清单的全部内容。第一轮报价可直接报出完成全部工程内容的总价，第二轮及多轮报价应按相关要求报出完成本工程的总价及下浮比例。项目合同单价按合同总价及最终下浮比例确定；报价以元为单位，按四舍五入保留两位小数。</w:t>
      </w:r>
    </w:p>
    <w:p>
      <w:pPr>
        <w:pStyle w:val="4"/>
        <w:keepNext w:val="0"/>
        <w:keepLines w:val="0"/>
        <w:numPr>
          <w:ilvl w:val="0"/>
          <w:numId w:val="0"/>
        </w:numPr>
        <w:spacing w:before="0" w:after="0" w:line="360" w:lineRule="auto"/>
        <w:jc w:val="left"/>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三、商务要求</w:t>
      </w:r>
    </w:p>
    <w:p>
      <w:pPr>
        <w:pStyle w:val="4"/>
        <w:keepNext w:val="0"/>
        <w:keepLines w:val="0"/>
        <w:numPr>
          <w:ilvl w:val="0"/>
          <w:numId w:val="0"/>
        </w:numPr>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b w:val="0"/>
          <w:bCs w:val="0"/>
          <w:sz w:val="24"/>
          <w:szCs w:val="24"/>
        </w:rPr>
        <w:t>1. 技术、服务、合同条款要求</w:t>
      </w:r>
    </w:p>
    <w:tbl>
      <w:tblPr>
        <w:tblStyle w:val="5"/>
        <w:tblW w:w="4998" w:type="pct"/>
        <w:jc w:val="center"/>
        <w:tblLayout w:type="autofit"/>
        <w:tblCellMar>
          <w:top w:w="0" w:type="dxa"/>
          <w:left w:w="108" w:type="dxa"/>
          <w:bottom w:w="0" w:type="dxa"/>
          <w:right w:w="108" w:type="dxa"/>
        </w:tblCellMar>
      </w:tblPr>
      <w:tblGrid>
        <w:gridCol w:w="987"/>
        <w:gridCol w:w="1744"/>
        <w:gridCol w:w="5788"/>
      </w:tblGrid>
      <w:tr>
        <w:tblPrEx>
          <w:tblCellMar>
            <w:top w:w="0" w:type="dxa"/>
            <w:left w:w="108" w:type="dxa"/>
            <w:bottom w:w="0" w:type="dxa"/>
            <w:right w:w="108" w:type="dxa"/>
          </w:tblCellMar>
        </w:tblPrEx>
        <w:trPr>
          <w:trHeight w:val="669"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023" w:type="pct"/>
            <w:tcBorders>
              <w:top w:val="single" w:color="auto" w:sz="4" w:space="0"/>
              <w:left w:val="nil"/>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b/>
                <w:bCs/>
                <w:sz w:val="24"/>
                <w:szCs w:val="24"/>
              </w:rPr>
            </w:pPr>
            <w:r>
              <w:rPr>
                <w:rFonts w:hint="eastAsia" w:ascii="仿宋" w:hAnsi="仿宋" w:eastAsia="仿宋" w:cs="仿宋"/>
                <w:b/>
                <w:bCs/>
                <w:sz w:val="24"/>
                <w:szCs w:val="24"/>
              </w:rPr>
              <w:t>项目</w:t>
            </w:r>
          </w:p>
        </w:tc>
        <w:tc>
          <w:tcPr>
            <w:tcW w:w="3396" w:type="pct"/>
            <w:tcBorders>
              <w:top w:val="single" w:color="auto" w:sz="4" w:space="0"/>
              <w:left w:val="nil"/>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b/>
                <w:bCs/>
                <w:sz w:val="24"/>
                <w:szCs w:val="24"/>
              </w:rPr>
            </w:pPr>
            <w:r>
              <w:rPr>
                <w:rFonts w:hint="eastAsia" w:ascii="仿宋" w:hAnsi="仿宋" w:eastAsia="仿宋" w:cs="仿宋"/>
                <w:b/>
                <w:bCs/>
                <w:sz w:val="24"/>
                <w:szCs w:val="24"/>
              </w:rPr>
              <w:t>要求</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sz w:val="24"/>
                <w:szCs w:val="24"/>
              </w:rPr>
            </w:pPr>
            <w:r>
              <w:rPr>
                <w:rFonts w:hint="eastAsia" w:ascii="仿宋" w:hAnsi="仿宋" w:eastAsia="仿宋" w:cs="仿宋"/>
                <w:sz w:val="24"/>
                <w:szCs w:val="24"/>
              </w:rPr>
              <w:t>1</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项目负责人（项目经理）</w:t>
            </w:r>
          </w:p>
        </w:tc>
        <w:tc>
          <w:tcPr>
            <w:tcW w:w="3396" w:type="pct"/>
            <w:tcBorders>
              <w:top w:val="single" w:color="auto" w:sz="4" w:space="0"/>
              <w:left w:val="nil"/>
              <w:bottom w:val="single" w:color="auto" w:sz="4" w:space="0"/>
              <w:right w:val="single" w:color="auto" w:sz="4" w:space="0"/>
            </w:tcBorders>
            <w:noWrap w:val="0"/>
            <w:vAlign w:val="center"/>
          </w:tcPr>
          <w:p>
            <w:pPr>
              <w:bidi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具有建筑工程二级及以上建造师资格、安全生产考核合格证B证，提供身份证及相关证书复印件。</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sz w:val="24"/>
                <w:szCs w:val="24"/>
              </w:rPr>
            </w:pPr>
            <w:r>
              <w:rPr>
                <w:rFonts w:hint="eastAsia" w:ascii="仿宋" w:hAnsi="仿宋" w:eastAsia="仿宋" w:cs="仿宋"/>
                <w:sz w:val="24"/>
                <w:szCs w:val="24"/>
              </w:rPr>
              <w:t>2</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技术负责人</w:t>
            </w:r>
          </w:p>
        </w:tc>
        <w:tc>
          <w:tcPr>
            <w:tcW w:w="3396" w:type="pct"/>
            <w:tcBorders>
              <w:top w:val="single" w:color="auto" w:sz="4" w:space="0"/>
              <w:left w:val="nil"/>
              <w:bottom w:val="single" w:color="auto" w:sz="4" w:space="0"/>
              <w:right w:val="single" w:color="auto" w:sz="4" w:space="0"/>
            </w:tcBorders>
            <w:noWrap w:val="0"/>
            <w:vAlign w:val="center"/>
          </w:tcPr>
          <w:p>
            <w:pPr>
              <w:bidi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具有建筑相关专业中级及以上技术职称，提供身份证及相关证书复印件。</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其它人员</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安全员、质检员、施工员各1名。提供相关资格证书及身份证复印件。</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工期</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工期总日历天数：</w:t>
            </w:r>
            <w:r>
              <w:rPr>
                <w:rFonts w:hint="eastAsia" w:ascii="仿宋" w:hAnsi="仿宋" w:eastAsia="仿宋" w:cs="仿宋"/>
                <w:sz w:val="24"/>
                <w:szCs w:val="24"/>
                <w:highlight w:val="none"/>
                <w:u w:val="single"/>
                <w:lang w:val="en-US" w:eastAsia="zh-CN"/>
              </w:rPr>
              <w:t>15</w:t>
            </w:r>
            <w:r>
              <w:rPr>
                <w:rFonts w:hint="eastAsia" w:ascii="仿宋" w:hAnsi="仿宋" w:eastAsia="仿宋" w:cs="仿宋"/>
                <w:sz w:val="24"/>
                <w:szCs w:val="24"/>
                <w:highlight w:val="none"/>
                <w:lang w:val="en-US" w:eastAsia="zh-CN"/>
              </w:rPr>
              <w:t>天。</w:t>
            </w:r>
          </w:p>
        </w:tc>
      </w:tr>
      <w:tr>
        <w:tblPrEx>
          <w:tblCellMar>
            <w:top w:w="0" w:type="dxa"/>
            <w:left w:w="108" w:type="dxa"/>
            <w:bottom w:w="0" w:type="dxa"/>
            <w:right w:w="108" w:type="dxa"/>
          </w:tblCellMar>
        </w:tblPrEx>
        <w:trPr>
          <w:trHeight w:val="841"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5</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缺陷责任期</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24个月。</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分包</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不允许</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价格调整</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8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不调整。</w:t>
            </w:r>
          </w:p>
        </w:tc>
      </w:tr>
      <w:tr>
        <w:tblPrEx>
          <w:tblCellMar>
            <w:top w:w="0" w:type="dxa"/>
            <w:left w:w="108" w:type="dxa"/>
            <w:bottom w:w="0" w:type="dxa"/>
            <w:right w:w="108" w:type="dxa"/>
          </w:tblCellMar>
        </w:tblPrEx>
        <w:trPr>
          <w:trHeight w:val="705"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履约保证金</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不收取履约保证金</w:t>
            </w:r>
          </w:p>
        </w:tc>
      </w:tr>
      <w:tr>
        <w:tblPrEx>
          <w:tblCellMar>
            <w:top w:w="0" w:type="dxa"/>
            <w:left w:w="108" w:type="dxa"/>
            <w:bottom w:w="0" w:type="dxa"/>
            <w:right w:w="108" w:type="dxa"/>
          </w:tblCellMar>
        </w:tblPrEx>
        <w:trPr>
          <w:trHeight w:val="858"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9</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付款方式</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按进度支付至实际完工工程量价款的80%，审计结束后，支付至结算金额的97%，其余3%作为质量保证金，缺陷责任期满后无质量问题无息全额支付。</w:t>
            </w:r>
          </w:p>
        </w:tc>
      </w:tr>
      <w:tr>
        <w:tblPrEx>
          <w:tblCellMar>
            <w:top w:w="0" w:type="dxa"/>
            <w:left w:w="108" w:type="dxa"/>
            <w:bottom w:w="0" w:type="dxa"/>
            <w:right w:w="108" w:type="dxa"/>
          </w:tblCellMar>
        </w:tblPrEx>
        <w:trPr>
          <w:trHeight w:val="881"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安全责任</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本项目实施过程中的安全责任由成交供应商全部负责，采购人不承担任何责任。</w:t>
            </w:r>
          </w:p>
        </w:tc>
      </w:tr>
      <w:tr>
        <w:tblPrEx>
          <w:tblCellMar>
            <w:top w:w="0" w:type="dxa"/>
            <w:left w:w="108" w:type="dxa"/>
            <w:bottom w:w="0" w:type="dxa"/>
            <w:right w:w="108" w:type="dxa"/>
          </w:tblCellMar>
        </w:tblPrEx>
        <w:trPr>
          <w:trHeight w:val="881"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报价组成</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包括材料费、人工费、机械费、运输费、安全文明费、规费、保险费、管理费、税费、检测费、合理的利润以及责任缺陷期相关的全部费用。</w:t>
            </w:r>
          </w:p>
        </w:tc>
      </w:tr>
      <w:tr>
        <w:tblPrEx>
          <w:tblCellMar>
            <w:top w:w="0" w:type="dxa"/>
            <w:left w:w="108" w:type="dxa"/>
            <w:bottom w:w="0" w:type="dxa"/>
            <w:right w:w="108" w:type="dxa"/>
          </w:tblCellMar>
        </w:tblPrEx>
        <w:trPr>
          <w:trHeight w:val="476" w:hRule="atLeast"/>
          <w:jc w:val="center"/>
        </w:trPr>
        <w:tc>
          <w:tcPr>
            <w:tcW w:w="579" w:type="pct"/>
            <w:tcBorders>
              <w:top w:val="single" w:color="auto" w:sz="4" w:space="0"/>
              <w:left w:val="single" w:color="auto" w:sz="4" w:space="0"/>
              <w:bottom w:val="single" w:color="auto" w:sz="4" w:space="0"/>
              <w:right w:val="single" w:color="auto" w:sz="4" w:space="0"/>
            </w:tcBorders>
            <w:noWrap w:val="0"/>
            <w:vAlign w:val="center"/>
          </w:tcPr>
          <w:p>
            <w:pPr>
              <w:spacing w:line="360" w:lineRule="auto"/>
              <w:ind w:right="21" w:rightChars="1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02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验收方法和标准</w:t>
            </w:r>
          </w:p>
        </w:tc>
        <w:tc>
          <w:tcPr>
            <w:tcW w:w="3396"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由采购人组织，成交供应商参与，严格按照建筑法律法规、《财政部关于进一步加强政府采购需求和履约验收管理的指导意见》（财库〔2016〕205号）《巴中市财政局关于进一步加强政府采购项目合同履约验收管理工作的通知》（巴财采〔2021〕21号）的要求进行验收。的要求、谈判文件规定的要求和响应文件承诺及合同约定的内容进行验收。</w:t>
            </w:r>
          </w:p>
        </w:tc>
      </w:tr>
    </w:tbl>
    <w:p>
      <w:pPr>
        <w:keepNext w:val="0"/>
        <w:keepLines w:val="0"/>
        <w:pageBreakBefore w:val="0"/>
        <w:widowControl/>
        <w:kinsoku/>
        <w:wordWrap/>
        <w:overflowPunct/>
        <w:topLinePunct w:val="0"/>
        <w:autoSpaceDE/>
        <w:autoSpaceDN/>
        <w:bidi w:val="0"/>
        <w:adjustRightInd/>
        <w:snapToGrid w:val="0"/>
        <w:spacing w:line="500" w:lineRule="atLeast"/>
        <w:ind w:firstLine="280" w:firstLineChars="1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漏项工程处理：施工过程中，发现工程量清单存在漏项工程的，该漏项工程作为本项目本章采购需求的组成部分，采购人和供应商可以按照《中华人民共和国采购法》的规定签订不超过成交金额百分之十的补充合同。</w:t>
      </w:r>
    </w:p>
    <w:p>
      <w:pPr>
        <w:keepNext w:val="0"/>
        <w:keepLines w:val="0"/>
        <w:pageBreakBefore w:val="0"/>
        <w:widowControl/>
        <w:kinsoku/>
        <w:wordWrap/>
        <w:overflowPunct/>
        <w:topLinePunct w:val="0"/>
        <w:autoSpaceDE/>
        <w:autoSpaceDN/>
        <w:bidi w:val="0"/>
        <w:adjustRightInd/>
        <w:snapToGrid w:val="0"/>
        <w:spacing w:line="500" w:lineRule="atLeast"/>
        <w:ind w:firstLine="280" w:firstLineChars="1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3.供应商针对本项目的施工，必须达到国家及行业现行技术规范标准，符合国家及行业验收合格标准。</w:t>
      </w:r>
    </w:p>
    <w:p>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iddenHorzOCl">
    <w:altName w:val="微软雅黑"/>
    <w:panose1 w:val="00000000000000000000"/>
    <w:charset w:val="86"/>
    <w:family w:val="swiss"/>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YmMyZjBlZGFlNDUwZjc4NjhkYTUzZWZhODJhMzYifQ=="/>
  </w:docVars>
  <w:rsids>
    <w:rsidRoot w:val="68B1434E"/>
    <w:rsid w:val="68B14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HiddenHorzOCl" w:hAnsi="Times New Roman" w:eastAsia="HiddenHorzOCl" w:cs="HiddenHorzOCl"/>
      <w:color w:val="000000"/>
      <w:sz w:val="24"/>
      <w:szCs w:val="24"/>
      <w:lang w:val="en-US" w:eastAsia="zh-CN" w:bidi="ar-SA"/>
    </w:rPr>
  </w:style>
  <w:style w:type="paragraph" w:customStyle="1" w:styleId="3">
    <w:name w:val="Char Char2 Char"/>
    <w:basedOn w:val="1"/>
    <w:qFormat/>
    <w:uiPriority w:val="0"/>
    <w:pPr>
      <w:keepNext/>
      <w:keepLines/>
      <w:pageBreakBefore/>
      <w:tabs>
        <w:tab w:val="left" w:pos="845"/>
      </w:tabs>
      <w:ind w:left="845" w:hanging="420"/>
    </w:pPr>
    <w:rPr>
      <w:rFonts w:ascii="Tahoma" w:hAnsi="Tahoma"/>
      <w:sz w:val="24"/>
      <w:szCs w:val="20"/>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引用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2022-08-18T01:03:00Z</dcterms:created>
  <dc:creator>土豆</dc:creator>
  <cp:lastModifiedBy>土豆</cp:lastModifiedBy>
  <dcterms:modified xsi:type="dcterms:W3CDTF">2022-08-18T01:03:31Z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CA12824D8CF4405898623107D85C72B7</vt:lpwstr>
  </property>
</Properties>
</file>