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pacing w:before="0" w:beforeAutospacing="0" w:after="0" w:afterAutospacing="0"/>
        <w:jc w:val="center"/>
        <w:rPr>
          <w:rFonts w:cs="宋体"/>
          <w:color w:val="auto"/>
          <w:sz w:val="72"/>
          <w:szCs w:val="72"/>
          <w:highlight w:val="none"/>
          <w:shd w:val="clear" w:color="auto" w:fill="FFFFFF"/>
        </w:rPr>
      </w:pPr>
      <w:bookmarkStart w:id="0" w:name="_GoBack"/>
    </w:p>
    <w:p>
      <w:pPr>
        <w:pStyle w:val="2"/>
        <w:widowControl/>
        <w:spacing w:before="0" w:beforeAutospacing="0" w:after="0" w:afterAutospacing="0"/>
        <w:jc w:val="center"/>
        <w:rPr>
          <w:rFonts w:cs="宋体"/>
          <w:color w:val="auto"/>
          <w:sz w:val="72"/>
          <w:szCs w:val="72"/>
          <w:highlight w:val="none"/>
        </w:rPr>
      </w:pPr>
      <w:r>
        <w:rPr>
          <w:rFonts w:cs="宋体"/>
          <w:color w:val="auto"/>
          <w:sz w:val="72"/>
          <w:szCs w:val="72"/>
          <w:highlight w:val="none"/>
          <w:shd w:val="clear" w:color="auto" w:fill="FFFFFF"/>
        </w:rPr>
        <w:t>福建省政府采购</w:t>
      </w:r>
    </w:p>
    <w:p>
      <w:pPr>
        <w:pStyle w:val="2"/>
        <w:widowControl/>
        <w:spacing w:before="0" w:beforeAutospacing="0" w:after="0" w:afterAutospacing="0"/>
        <w:jc w:val="center"/>
        <w:rPr>
          <w:rFonts w:cs="宋体"/>
          <w:color w:val="auto"/>
          <w:sz w:val="72"/>
          <w:szCs w:val="72"/>
          <w:highlight w:val="none"/>
        </w:rPr>
      </w:pPr>
      <w:r>
        <w:rPr>
          <w:rFonts w:cs="宋体"/>
          <w:color w:val="auto"/>
          <w:sz w:val="72"/>
          <w:szCs w:val="72"/>
          <w:highlight w:val="none"/>
          <w:shd w:val="clear" w:color="auto" w:fill="FFFFFF"/>
        </w:rPr>
        <w:t>货物和服务项目</w:t>
      </w:r>
    </w:p>
    <w:p>
      <w:pPr>
        <w:pStyle w:val="2"/>
        <w:widowControl/>
        <w:spacing w:before="0" w:beforeAutospacing="0" w:after="0" w:afterAutospacing="0"/>
        <w:jc w:val="center"/>
        <w:rPr>
          <w:rFonts w:cs="宋体"/>
          <w:color w:val="auto"/>
          <w:sz w:val="72"/>
          <w:szCs w:val="72"/>
          <w:highlight w:val="none"/>
        </w:rPr>
      </w:pPr>
      <w:r>
        <w:rPr>
          <w:rFonts w:cs="宋体"/>
          <w:color w:val="auto"/>
          <w:sz w:val="72"/>
          <w:szCs w:val="72"/>
          <w:highlight w:val="none"/>
          <w:shd w:val="clear" w:color="auto" w:fill="FFFFFF"/>
        </w:rPr>
        <w:t>公开招标文件</w:t>
      </w:r>
    </w:p>
    <w:p>
      <w:pPr>
        <w:pStyle w:val="4"/>
        <w:widowControl/>
        <w:spacing w:before="0" w:beforeAutospacing="0" w:after="0" w:afterAutospacing="0"/>
        <w:jc w:val="center"/>
        <w:rPr>
          <w:rFonts w:cs="宋体"/>
          <w:color w:val="auto"/>
          <w:sz w:val="32"/>
          <w:szCs w:val="32"/>
          <w:highlight w:val="none"/>
          <w:shd w:val="clear" w:color="auto" w:fill="FFFFFF"/>
        </w:rPr>
      </w:pPr>
    </w:p>
    <w:p>
      <w:pPr>
        <w:pStyle w:val="4"/>
        <w:widowControl/>
        <w:spacing w:before="0" w:beforeAutospacing="0" w:after="0" w:afterAutospacing="0"/>
        <w:jc w:val="center"/>
        <w:rPr>
          <w:rFonts w:hint="eastAsia" w:eastAsia="宋体" w:cs="宋体"/>
          <w:color w:val="auto"/>
          <w:sz w:val="32"/>
          <w:szCs w:val="32"/>
          <w:highlight w:val="none"/>
          <w:shd w:val="clear" w:color="auto" w:fill="FFFFFF"/>
          <w:lang w:eastAsia="zh-CN"/>
        </w:rPr>
      </w:pPr>
      <w:r>
        <w:rPr>
          <w:rFonts w:hint="eastAsia" w:cs="宋体"/>
          <w:color w:val="auto"/>
          <w:sz w:val="32"/>
          <w:szCs w:val="32"/>
          <w:highlight w:val="none"/>
          <w:shd w:val="clear" w:color="auto" w:fill="FFFFFF"/>
          <w:lang w:eastAsia="zh-CN"/>
        </w:rPr>
        <w:t>（</w:t>
      </w:r>
      <w:r>
        <w:rPr>
          <w:rFonts w:hint="eastAsia" w:cs="宋体"/>
          <w:color w:val="auto"/>
          <w:sz w:val="32"/>
          <w:szCs w:val="32"/>
          <w:highlight w:val="none"/>
          <w:shd w:val="clear" w:color="auto" w:fill="FFFFFF"/>
          <w:lang w:val="en-US" w:eastAsia="zh-CN"/>
        </w:rPr>
        <w:t>预公告稿</w:t>
      </w:r>
      <w:r>
        <w:rPr>
          <w:rFonts w:hint="eastAsia" w:cs="宋体"/>
          <w:color w:val="auto"/>
          <w:sz w:val="32"/>
          <w:szCs w:val="32"/>
          <w:highlight w:val="none"/>
          <w:shd w:val="clear" w:color="auto" w:fill="FFFFFF"/>
          <w:lang w:eastAsia="zh-CN"/>
        </w:rPr>
        <w:t>）</w:t>
      </w:r>
    </w:p>
    <w:p>
      <w:pPr>
        <w:pStyle w:val="4"/>
        <w:widowControl/>
        <w:spacing w:before="0" w:beforeAutospacing="0" w:after="0" w:afterAutospacing="0"/>
        <w:jc w:val="center"/>
        <w:rPr>
          <w:rFonts w:cs="宋体"/>
          <w:color w:val="auto"/>
          <w:sz w:val="32"/>
          <w:szCs w:val="32"/>
          <w:highlight w:val="none"/>
          <w:shd w:val="clear" w:color="auto" w:fill="FFFFFF"/>
        </w:rPr>
      </w:pPr>
    </w:p>
    <w:p>
      <w:pPr>
        <w:pStyle w:val="4"/>
        <w:widowControl/>
        <w:spacing w:before="0" w:beforeAutospacing="0" w:after="0" w:afterAutospacing="0"/>
        <w:jc w:val="center"/>
        <w:rPr>
          <w:rFonts w:cs="宋体"/>
          <w:color w:val="auto"/>
          <w:sz w:val="32"/>
          <w:szCs w:val="32"/>
          <w:highlight w:val="none"/>
          <w:shd w:val="clear" w:color="auto" w:fill="FFFFFF"/>
        </w:rPr>
      </w:pPr>
    </w:p>
    <w:p>
      <w:pPr>
        <w:pStyle w:val="4"/>
        <w:widowControl/>
        <w:spacing w:before="0" w:beforeAutospacing="0" w:after="0" w:afterAutospacing="0"/>
        <w:jc w:val="center"/>
        <w:rPr>
          <w:rFonts w:cs="宋体"/>
          <w:color w:val="auto"/>
          <w:sz w:val="32"/>
          <w:szCs w:val="32"/>
          <w:highlight w:val="none"/>
        </w:rPr>
      </w:pPr>
      <w:r>
        <w:rPr>
          <w:rFonts w:cs="宋体"/>
          <w:color w:val="auto"/>
          <w:sz w:val="32"/>
          <w:szCs w:val="32"/>
          <w:highlight w:val="none"/>
          <w:shd w:val="clear" w:color="auto" w:fill="FFFFFF"/>
        </w:rPr>
        <w:t>项目名称：数字集群无线通讯系统采购项目</w:t>
      </w:r>
    </w:p>
    <w:p>
      <w:pPr>
        <w:pStyle w:val="4"/>
        <w:widowControl/>
        <w:spacing w:before="0" w:beforeAutospacing="0" w:after="0" w:afterAutospacing="0"/>
        <w:jc w:val="center"/>
        <w:rPr>
          <w:rFonts w:cs="宋体"/>
          <w:color w:val="auto"/>
          <w:sz w:val="32"/>
          <w:szCs w:val="32"/>
          <w:highlight w:val="none"/>
        </w:rPr>
      </w:pPr>
      <w:r>
        <w:rPr>
          <w:rFonts w:cs="宋体"/>
          <w:color w:val="auto"/>
          <w:sz w:val="32"/>
          <w:szCs w:val="32"/>
          <w:highlight w:val="none"/>
          <w:shd w:val="clear" w:color="auto" w:fill="FFFFFF"/>
        </w:rPr>
        <w:t>备案编号：CGXM-2023-350001-14467[2023]09088</w:t>
      </w:r>
    </w:p>
    <w:p>
      <w:pPr>
        <w:pStyle w:val="4"/>
        <w:widowControl/>
        <w:spacing w:before="0" w:beforeAutospacing="0" w:after="0" w:afterAutospacing="0"/>
        <w:jc w:val="center"/>
        <w:rPr>
          <w:rFonts w:cs="宋体"/>
          <w:color w:val="auto"/>
          <w:sz w:val="32"/>
          <w:szCs w:val="32"/>
          <w:highlight w:val="none"/>
        </w:rPr>
      </w:pPr>
      <w:r>
        <w:rPr>
          <w:rFonts w:cs="宋体"/>
          <w:color w:val="auto"/>
          <w:sz w:val="32"/>
          <w:szCs w:val="32"/>
          <w:highlight w:val="none"/>
          <w:shd w:val="clear" w:color="auto" w:fill="FFFFFF"/>
        </w:rPr>
        <w:t>项目编号：[350001]FJXFZB[GK]2023058</w:t>
      </w:r>
    </w:p>
    <w:p>
      <w:pPr>
        <w:pStyle w:val="4"/>
        <w:widowControl/>
        <w:spacing w:before="0" w:beforeAutospacing="0" w:after="0" w:afterAutospacing="0"/>
        <w:jc w:val="center"/>
        <w:rPr>
          <w:rFonts w:cs="宋体"/>
          <w:color w:val="auto"/>
          <w:sz w:val="32"/>
          <w:szCs w:val="32"/>
          <w:highlight w:val="none"/>
          <w:shd w:val="clear" w:color="auto" w:fill="FFFFFF"/>
        </w:rPr>
      </w:pPr>
    </w:p>
    <w:p>
      <w:pPr>
        <w:pStyle w:val="4"/>
        <w:widowControl/>
        <w:spacing w:before="0" w:beforeAutospacing="0" w:after="0" w:afterAutospacing="0"/>
        <w:jc w:val="center"/>
        <w:rPr>
          <w:rFonts w:cs="宋体"/>
          <w:color w:val="auto"/>
          <w:sz w:val="32"/>
          <w:szCs w:val="32"/>
          <w:highlight w:val="none"/>
          <w:shd w:val="clear" w:color="auto" w:fill="FFFFFF"/>
        </w:rPr>
      </w:pPr>
    </w:p>
    <w:p>
      <w:pPr>
        <w:pStyle w:val="4"/>
        <w:widowControl/>
        <w:spacing w:before="0" w:beforeAutospacing="0" w:after="0" w:afterAutospacing="0"/>
        <w:jc w:val="center"/>
        <w:rPr>
          <w:rFonts w:cs="宋体"/>
          <w:color w:val="auto"/>
          <w:sz w:val="32"/>
          <w:szCs w:val="32"/>
          <w:highlight w:val="none"/>
          <w:shd w:val="clear" w:color="auto" w:fill="FFFFFF"/>
        </w:rPr>
      </w:pPr>
    </w:p>
    <w:p>
      <w:pPr>
        <w:pStyle w:val="4"/>
        <w:widowControl/>
        <w:spacing w:before="0" w:beforeAutospacing="0" w:after="0" w:afterAutospacing="0"/>
        <w:jc w:val="center"/>
        <w:rPr>
          <w:rFonts w:cs="宋体"/>
          <w:color w:val="auto"/>
          <w:sz w:val="32"/>
          <w:szCs w:val="32"/>
          <w:highlight w:val="none"/>
          <w:shd w:val="clear" w:color="auto" w:fill="FFFFFF"/>
        </w:rPr>
      </w:pPr>
    </w:p>
    <w:p>
      <w:pPr>
        <w:pStyle w:val="4"/>
        <w:widowControl/>
        <w:spacing w:before="0" w:beforeAutospacing="0" w:after="0" w:afterAutospacing="0"/>
        <w:jc w:val="center"/>
        <w:rPr>
          <w:rFonts w:cs="宋体"/>
          <w:color w:val="auto"/>
          <w:sz w:val="32"/>
          <w:szCs w:val="32"/>
          <w:highlight w:val="none"/>
        </w:rPr>
      </w:pPr>
      <w:r>
        <w:rPr>
          <w:rFonts w:cs="宋体"/>
          <w:color w:val="auto"/>
          <w:sz w:val="32"/>
          <w:szCs w:val="32"/>
          <w:highlight w:val="none"/>
          <w:shd w:val="clear" w:color="auto" w:fill="FFFFFF"/>
        </w:rPr>
        <w:t>采购人：福建省莆田监狱</w:t>
      </w:r>
    </w:p>
    <w:p>
      <w:pPr>
        <w:pStyle w:val="4"/>
        <w:widowControl/>
        <w:spacing w:before="0" w:beforeAutospacing="0" w:after="0" w:afterAutospacing="0"/>
        <w:jc w:val="center"/>
        <w:rPr>
          <w:rFonts w:cs="宋体"/>
          <w:color w:val="auto"/>
          <w:sz w:val="32"/>
          <w:szCs w:val="32"/>
          <w:highlight w:val="none"/>
        </w:rPr>
      </w:pPr>
      <w:r>
        <w:rPr>
          <w:rFonts w:cs="宋体"/>
          <w:color w:val="auto"/>
          <w:sz w:val="32"/>
          <w:szCs w:val="32"/>
          <w:highlight w:val="none"/>
          <w:shd w:val="clear" w:color="auto" w:fill="FFFFFF"/>
        </w:rPr>
        <w:t>代理机构：福建信发招标代理有限公司</w:t>
      </w:r>
    </w:p>
    <w:p>
      <w:pPr>
        <w:pStyle w:val="4"/>
        <w:widowControl/>
        <w:spacing w:before="0" w:beforeAutospacing="0" w:after="0" w:afterAutospacing="0"/>
        <w:jc w:val="center"/>
        <w:rPr>
          <w:rFonts w:cs="宋体"/>
          <w:color w:val="auto"/>
          <w:sz w:val="32"/>
          <w:szCs w:val="32"/>
          <w:highlight w:val="none"/>
        </w:rPr>
      </w:pPr>
      <w:r>
        <w:rPr>
          <w:rFonts w:cs="宋体"/>
          <w:color w:val="auto"/>
          <w:sz w:val="32"/>
          <w:szCs w:val="32"/>
          <w:highlight w:val="none"/>
          <w:shd w:val="clear" w:color="auto" w:fill="FFFFFF"/>
        </w:rPr>
        <w:t>编制时间：2023年</w:t>
      </w:r>
      <w:r>
        <w:rPr>
          <w:rFonts w:hint="eastAsia" w:cs="宋体"/>
          <w:color w:val="auto"/>
          <w:sz w:val="32"/>
          <w:szCs w:val="32"/>
          <w:highlight w:val="none"/>
          <w:shd w:val="clear" w:color="auto" w:fill="FFFFFF"/>
          <w:lang w:val="en-US" w:eastAsia="zh-CN"/>
        </w:rPr>
        <w:t>11</w:t>
      </w:r>
      <w:r>
        <w:rPr>
          <w:rFonts w:cs="宋体"/>
          <w:color w:val="auto"/>
          <w:sz w:val="32"/>
          <w:szCs w:val="32"/>
          <w:highlight w:val="none"/>
          <w:shd w:val="clear" w:color="auto" w:fill="FFFFFF"/>
        </w:rPr>
        <w:t>月</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第一章 投标邀请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福建信发招标代理有限公司 采用公开招标方式组织 数字集群无线通讯系统采购项目 （以下简称：“本项目”）的政府采购活动，现邀请供应商参加投标。</w:t>
      </w:r>
    </w:p>
    <w:p>
      <w:pPr>
        <w:pStyle w:val="4"/>
        <w:widowControl/>
        <w:spacing w:before="0" w:beforeAutospacing="0" w:after="0" w:afterAutospacing="0" w:line="360" w:lineRule="exact"/>
        <w:ind w:firstLine="420"/>
        <w:rPr>
          <w:rFonts w:cs="宋体"/>
          <w:color w:val="auto"/>
          <w:sz w:val="24"/>
          <w:szCs w:val="24"/>
          <w:highlight w:val="none"/>
        </w:rPr>
      </w:pPr>
      <w:r>
        <w:rPr>
          <w:rFonts w:cs="宋体"/>
          <w:color w:val="auto"/>
          <w:sz w:val="24"/>
          <w:szCs w:val="24"/>
          <w:highlight w:val="none"/>
          <w:shd w:val="clear" w:color="auto" w:fill="FFFFFF"/>
        </w:rPr>
        <w:t>1、备案编号：CGXM-2023-350001-14467[2023]09088</w:t>
      </w:r>
    </w:p>
    <w:p>
      <w:pPr>
        <w:pStyle w:val="4"/>
        <w:widowControl/>
        <w:spacing w:before="0" w:beforeAutospacing="0" w:after="0" w:afterAutospacing="0" w:line="360" w:lineRule="exact"/>
        <w:ind w:firstLine="420"/>
        <w:rPr>
          <w:rFonts w:cs="宋体"/>
          <w:color w:val="auto"/>
          <w:sz w:val="24"/>
          <w:szCs w:val="24"/>
          <w:highlight w:val="none"/>
        </w:rPr>
      </w:pPr>
      <w:r>
        <w:rPr>
          <w:rFonts w:cs="宋体"/>
          <w:color w:val="auto"/>
          <w:sz w:val="24"/>
          <w:szCs w:val="24"/>
          <w:highlight w:val="none"/>
          <w:shd w:val="clear" w:color="auto" w:fill="FFFFFF"/>
        </w:rPr>
        <w:t>2、项目编号：[350001]FJXFZB[GK]2023058</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3、预算金额、最高限价：详见《采购标的一览表》。</w:t>
      </w:r>
    </w:p>
    <w:p>
      <w:pPr>
        <w:pStyle w:val="4"/>
        <w:widowControl/>
        <w:spacing w:before="0" w:beforeAutospacing="0" w:after="0" w:afterAutospacing="0" w:line="360" w:lineRule="exact"/>
        <w:ind w:firstLine="420"/>
        <w:rPr>
          <w:rFonts w:cs="宋体"/>
          <w:color w:val="auto"/>
          <w:sz w:val="24"/>
          <w:szCs w:val="24"/>
          <w:highlight w:val="none"/>
        </w:rPr>
      </w:pPr>
      <w:r>
        <w:rPr>
          <w:rFonts w:cs="宋体"/>
          <w:color w:val="auto"/>
          <w:sz w:val="24"/>
          <w:szCs w:val="24"/>
          <w:highlight w:val="none"/>
          <w:shd w:val="clear" w:color="auto" w:fill="FFFFFF"/>
        </w:rPr>
        <w:t>4、招标内容及要求：详见《采购标的一览表》及招标文件第五章。</w:t>
      </w:r>
    </w:p>
    <w:p>
      <w:pPr>
        <w:pStyle w:val="4"/>
        <w:widowControl/>
        <w:spacing w:before="0" w:beforeAutospacing="0" w:after="0" w:afterAutospacing="0" w:line="360" w:lineRule="exact"/>
        <w:ind w:firstLine="420"/>
        <w:rPr>
          <w:rFonts w:cs="宋体"/>
          <w:color w:val="auto"/>
          <w:sz w:val="24"/>
          <w:szCs w:val="24"/>
          <w:highlight w:val="none"/>
        </w:rPr>
      </w:pPr>
      <w:r>
        <w:rPr>
          <w:rFonts w:cs="宋体"/>
          <w:color w:val="auto"/>
          <w:sz w:val="24"/>
          <w:szCs w:val="24"/>
          <w:highlight w:val="none"/>
          <w:shd w:val="clear" w:color="auto" w:fill="FFFFFF"/>
        </w:rPr>
        <w:t>5、需要落实的政府采购政策</w:t>
      </w:r>
    </w:p>
    <w:p>
      <w:pPr>
        <w:pStyle w:val="9"/>
        <w:widowControl/>
        <w:spacing w:before="0" w:beforeAutospacing="0" w:after="0" w:afterAutospacing="0" w:line="360" w:lineRule="exact"/>
        <w:ind w:firstLine="840"/>
        <w:rPr>
          <w:rFonts w:hint="eastAsia" w:ascii="宋体" w:hAnsi="宋体" w:cs="宋体"/>
          <w:color w:val="auto"/>
          <w:highlight w:val="none"/>
        </w:rPr>
      </w:pPr>
      <w:r>
        <w:rPr>
          <w:rFonts w:hint="eastAsia" w:ascii="宋体" w:hAnsi="宋体" w:cs="宋体"/>
          <w:color w:val="auto"/>
          <w:highlight w:val="none"/>
          <w:shd w:val="clear" w:color="auto" w:fill="FFFFFF"/>
        </w:rPr>
        <w:t>进口产品：不适用于本项目</w:t>
      </w:r>
    </w:p>
    <w:p>
      <w:pPr>
        <w:pStyle w:val="9"/>
        <w:widowControl/>
        <w:spacing w:before="0" w:beforeAutospacing="0" w:after="0" w:afterAutospacing="0" w:line="360" w:lineRule="exact"/>
        <w:ind w:firstLine="840"/>
        <w:rPr>
          <w:rFonts w:hint="eastAsia" w:ascii="宋体" w:hAnsi="宋体" w:cs="宋体"/>
          <w:color w:val="auto"/>
          <w:highlight w:val="none"/>
        </w:rPr>
      </w:pPr>
      <w:r>
        <w:rPr>
          <w:rFonts w:hint="eastAsia" w:ascii="宋体" w:hAnsi="宋体" w:cs="宋体"/>
          <w:color w:val="auto"/>
          <w:highlight w:val="none"/>
          <w:shd w:val="clear" w:color="auto" w:fill="FFFFFF"/>
        </w:rPr>
        <w:t>节能产品：适用于本项目</w:t>
      </w:r>
    </w:p>
    <w:p>
      <w:pPr>
        <w:pStyle w:val="9"/>
        <w:widowControl/>
        <w:spacing w:before="0" w:beforeAutospacing="0" w:after="0" w:afterAutospacing="0" w:line="360" w:lineRule="exact"/>
        <w:ind w:firstLine="840"/>
        <w:rPr>
          <w:rFonts w:hint="eastAsia" w:ascii="宋体" w:hAnsi="宋体" w:cs="宋体"/>
          <w:color w:val="auto"/>
          <w:highlight w:val="none"/>
        </w:rPr>
      </w:pPr>
      <w:r>
        <w:rPr>
          <w:rFonts w:hint="eastAsia" w:ascii="宋体" w:hAnsi="宋体" w:cs="宋体"/>
          <w:color w:val="auto"/>
          <w:highlight w:val="none"/>
          <w:shd w:val="clear" w:color="auto" w:fill="FFFFFF"/>
        </w:rPr>
        <w:t>环境标志产品：适用于本项目</w:t>
      </w:r>
    </w:p>
    <w:p>
      <w:pPr>
        <w:pStyle w:val="9"/>
        <w:widowControl/>
        <w:spacing w:before="0" w:beforeAutospacing="0" w:after="0" w:afterAutospacing="0" w:line="360" w:lineRule="exact"/>
        <w:ind w:firstLine="840"/>
        <w:rPr>
          <w:rFonts w:hint="eastAsia" w:ascii="宋体" w:hAnsi="宋体" w:cs="宋体"/>
          <w:color w:val="auto"/>
          <w:highlight w:val="none"/>
        </w:rPr>
      </w:pPr>
      <w:r>
        <w:rPr>
          <w:rFonts w:hint="eastAsia" w:ascii="宋体" w:hAnsi="宋体" w:cs="宋体"/>
          <w:color w:val="auto"/>
          <w:highlight w:val="none"/>
          <w:shd w:val="clear" w:color="auto" w:fill="FFFFFF"/>
        </w:rPr>
        <w:t>促进中小企业发展的相关政策：</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采购包1：不专门面向中小企业采购</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6、投标人的资格要求</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6.1法定条件：符合政府采购法第二十二条第一款规定的条件。</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6.2特定条件：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w:t>
      </w:r>
    </w:p>
    <w:tbl>
      <w:tblPr>
        <w:tblStyle w:val="10"/>
        <w:tblW w:w="5000" w:type="pct"/>
        <w:tblInd w:w="0" w:type="dxa"/>
        <w:tblLayout w:type="autofit"/>
        <w:tblCellMar>
          <w:top w:w="0" w:type="dxa"/>
          <w:left w:w="0" w:type="dxa"/>
          <w:bottom w:w="0" w:type="dxa"/>
          <w:right w:w="0" w:type="dxa"/>
        </w:tblCellMar>
      </w:tblPr>
      <w:tblGrid>
        <w:gridCol w:w="3899"/>
        <w:gridCol w:w="6087"/>
      </w:tblGrid>
      <w:tr>
        <w:tblPrEx>
          <w:tblCellMar>
            <w:top w:w="0" w:type="dxa"/>
            <w:left w:w="0" w:type="dxa"/>
            <w:bottom w:w="0" w:type="dxa"/>
            <w:right w:w="0" w:type="dxa"/>
          </w:tblCellMar>
        </w:tblPrEx>
        <w:tc>
          <w:tcPr>
            <w:tcW w:w="7829"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资格审查要求概况</w:t>
            </w:r>
          </w:p>
        </w:tc>
        <w:tc>
          <w:tcPr>
            <w:tcW w:w="9787"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评审点具体描述</w:t>
            </w:r>
          </w:p>
        </w:tc>
      </w:tr>
      <w:tr>
        <w:tblPrEx>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招标文件规定的其他资格证明文件（若有）</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投标人若所投产品属国家强制节能的，提供国家确定的认证机构出具的、处于有效期之内的节能产品认证证书复印件。</w:t>
            </w:r>
          </w:p>
        </w:tc>
      </w:tr>
    </w:tbl>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6.3是否接受联合体投标：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采购包1：不接受</w:t>
      </w:r>
    </w:p>
    <w:p>
      <w:pPr>
        <w:pStyle w:val="9"/>
        <w:widowControl/>
        <w:spacing w:before="0" w:beforeAutospacing="0" w:after="0" w:afterAutospacing="0" w:line="360" w:lineRule="exact"/>
        <w:ind w:firstLine="420"/>
        <w:jc w:val="both"/>
        <w:rPr>
          <w:rFonts w:hint="eastAsia" w:ascii="宋体" w:hAnsi="宋体" w:cs="宋体"/>
          <w:b/>
          <w:bCs/>
          <w:color w:val="auto"/>
          <w:highlight w:val="none"/>
        </w:rPr>
      </w:pPr>
      <w:r>
        <w:rPr>
          <w:rFonts w:hint="eastAsia" w:ascii="宋体" w:hAnsi="宋体" w:cs="宋体"/>
          <w:b/>
          <w:bCs/>
          <w:color w:val="auto"/>
          <w:highlight w:val="none"/>
          <w:shd w:val="clear" w:color="auto" w:fill="FFFFFF"/>
        </w:rPr>
        <w:t>※根据上述资格要求，电子投标文件中应提交的“投标人的资格及资信证明文件”详见招标文件第四章。</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7、招标文件的获取</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7.1、招标文件获取期限：详见招标公告或更正公告，若不一致，以更正公告为准。</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7.3、获取地点及方式：注册账号后，通过福建省政府采购网上公开信息系统以下载方式获取。</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7.4、招标文件售价：0元。</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8、投标截止</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8.1、投标截止时间：详见招标公告或更正公告，若不一致，以更正公告为准。</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8.2、投标人应在投标截止时间前按照福建省政府采购网上公开信息系统设定的操作流程将电子投标文件上传至福建省政府采购网上公开信息系统，否则投标将被拒绝。</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9、开标时间及地点</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详见招标公告或更正公告，若不一致，以更正公告为准。</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10、公告期限</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10.1、招标公告的公告期限：自财政部和福建省财政厅指定的政府采购信息发布媒体最先发布公告之日起5个工作日。</w:t>
      </w:r>
    </w:p>
    <w:p>
      <w:pPr>
        <w:pStyle w:val="9"/>
        <w:widowControl/>
        <w:spacing w:before="0" w:beforeAutospacing="0" w:after="0" w:afterAutospacing="0" w:line="360" w:lineRule="exact"/>
        <w:ind w:firstLine="840"/>
        <w:jc w:val="both"/>
        <w:rPr>
          <w:rFonts w:hint="eastAsia" w:ascii="宋体" w:hAnsi="宋体" w:cs="宋体"/>
          <w:color w:val="auto"/>
          <w:highlight w:val="none"/>
        </w:rPr>
      </w:pPr>
      <w:r>
        <w:rPr>
          <w:rFonts w:hint="eastAsia" w:ascii="宋体" w:hAnsi="宋体" w:cs="宋体"/>
          <w:color w:val="auto"/>
          <w:highlight w:val="none"/>
          <w:shd w:val="clear" w:color="auto" w:fill="FFFFFF"/>
        </w:rPr>
        <w:t>10.2、招标文件公告期限：招标文件随同招标公告一并发布，其公告期限与招标公告的公告期限保持一致。</w:t>
      </w:r>
    </w:p>
    <w:p>
      <w:pPr>
        <w:pStyle w:val="4"/>
        <w:widowControl/>
        <w:spacing w:before="0" w:beforeAutospacing="0" w:after="0" w:afterAutospacing="0" w:line="360" w:lineRule="exact"/>
        <w:ind w:firstLine="420"/>
        <w:rPr>
          <w:rFonts w:cs="宋体"/>
          <w:color w:val="auto"/>
          <w:sz w:val="24"/>
          <w:szCs w:val="24"/>
          <w:highlight w:val="none"/>
        </w:rPr>
      </w:pPr>
      <w:r>
        <w:rPr>
          <w:rFonts w:cs="宋体"/>
          <w:color w:val="auto"/>
          <w:sz w:val="24"/>
          <w:szCs w:val="24"/>
          <w:highlight w:val="none"/>
          <w:shd w:val="clear" w:color="auto" w:fill="FFFFFF"/>
        </w:rPr>
        <w:t>11、采购人：福建省莆田监狱</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地址： 福建省莆田市涵江区新涵大街2089号</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邮编： 351111</w:t>
      </w:r>
    </w:p>
    <w:p>
      <w:pPr>
        <w:pStyle w:val="9"/>
        <w:widowControl/>
        <w:spacing w:before="0" w:beforeAutospacing="0" w:after="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联系人： 郭警官</w:t>
      </w:r>
    </w:p>
    <w:p>
      <w:pPr>
        <w:pStyle w:val="9"/>
        <w:widowControl/>
        <w:spacing w:before="0" w:beforeAutospacing="0" w:after="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联系电话： 0594-3390775</w:t>
      </w:r>
    </w:p>
    <w:p>
      <w:pPr>
        <w:pStyle w:val="4"/>
        <w:widowControl/>
        <w:spacing w:before="0" w:beforeAutospacing="0" w:after="0" w:afterAutospacing="0" w:line="360" w:lineRule="exact"/>
        <w:ind w:firstLine="420"/>
        <w:rPr>
          <w:rFonts w:cs="宋体"/>
          <w:color w:val="auto"/>
          <w:sz w:val="24"/>
          <w:szCs w:val="24"/>
          <w:highlight w:val="none"/>
        </w:rPr>
      </w:pPr>
      <w:r>
        <w:rPr>
          <w:rFonts w:cs="宋体"/>
          <w:color w:val="auto"/>
          <w:sz w:val="24"/>
          <w:szCs w:val="24"/>
          <w:highlight w:val="none"/>
          <w:shd w:val="clear" w:color="auto" w:fill="FFFFFF"/>
        </w:rPr>
        <w:t>12、代理机构：福建信发招标代理有限公司</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地址： 福州市鼓楼区铜盘路466-3号大自然文化创意园5号楼4层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邮编： 350000</w:t>
      </w:r>
    </w:p>
    <w:p>
      <w:pPr>
        <w:pStyle w:val="9"/>
        <w:widowControl/>
        <w:spacing w:before="0" w:beforeAutospacing="0" w:after="0" w:afterAutospacing="0" w:line="360" w:lineRule="exact"/>
        <w:ind w:firstLine="420"/>
        <w:jc w:val="both"/>
        <w:rPr>
          <w:rFonts w:hint="default" w:ascii="宋体" w:hAnsi="宋体" w:eastAsia="宋体" w:cs="宋体"/>
          <w:color w:val="auto"/>
          <w:highlight w:val="none"/>
          <w:lang w:val="en-US" w:eastAsia="zh-CN"/>
        </w:rPr>
      </w:pPr>
      <w:r>
        <w:rPr>
          <w:rFonts w:hint="eastAsia" w:ascii="宋体" w:hAnsi="宋体" w:cs="宋体"/>
          <w:color w:val="auto"/>
          <w:highlight w:val="none"/>
          <w:shd w:val="clear" w:color="auto" w:fill="FFFFFF"/>
        </w:rPr>
        <w:t>联系人： 周灵珍</w:t>
      </w:r>
      <w:r>
        <w:rPr>
          <w:rFonts w:hint="eastAsia" w:ascii="宋体" w:hAnsi="宋体" w:cs="宋体"/>
          <w:color w:val="auto"/>
          <w:highlight w:val="none"/>
          <w:shd w:val="clear" w:color="auto" w:fill="FFFFFF"/>
          <w:lang w:eastAsia="zh-CN"/>
        </w:rPr>
        <w:t>、</w:t>
      </w:r>
      <w:r>
        <w:rPr>
          <w:rFonts w:hint="eastAsia" w:ascii="宋体" w:hAnsi="宋体" w:cs="宋体"/>
          <w:color w:val="auto"/>
          <w:highlight w:val="none"/>
          <w:shd w:val="clear" w:color="auto" w:fill="FFFFFF"/>
          <w:lang w:val="en-US" w:eastAsia="zh-CN"/>
        </w:rPr>
        <w:t>陈爱光、林娜</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联系电话： 0591-88002309</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附1：账户信息</w:t>
      </w:r>
    </w:p>
    <w:tbl>
      <w:tblPr>
        <w:tblStyle w:val="10"/>
        <w:tblW w:w="5000" w:type="pct"/>
        <w:tblInd w:w="0" w:type="dxa"/>
        <w:tblLayout w:type="autofit"/>
        <w:tblCellMar>
          <w:top w:w="0" w:type="dxa"/>
          <w:left w:w="0" w:type="dxa"/>
          <w:bottom w:w="0" w:type="dxa"/>
          <w:right w:w="0" w:type="dxa"/>
        </w:tblCellMar>
      </w:tblPr>
      <w:tblGrid>
        <w:gridCol w:w="9986"/>
      </w:tblGrid>
      <w:tr>
        <w:tc>
          <w:tcPr>
            <w:tcW w:w="5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jc w:val="center"/>
              <w:rPr>
                <w:rFonts w:hint="eastAsia" w:ascii="宋体" w:hAnsi="宋体" w:cs="宋体"/>
                <w:color w:val="auto"/>
                <w:highlight w:val="none"/>
              </w:rPr>
            </w:pPr>
            <w:r>
              <w:rPr>
                <w:rFonts w:hint="eastAsia" w:ascii="宋体" w:hAnsi="宋体" w:cs="宋体"/>
                <w:b/>
                <w:bCs/>
                <w:color w:val="auto"/>
                <w:highlight w:val="none"/>
              </w:rPr>
              <w:t>投标保证金账户</w:t>
            </w:r>
          </w:p>
        </w:tc>
      </w:tr>
      <w:tr>
        <w:tblPrEx>
          <w:tblCellMar>
            <w:top w:w="0" w:type="dxa"/>
            <w:left w:w="0" w:type="dxa"/>
            <w:bottom w:w="0" w:type="dxa"/>
            <w:right w:w="0" w:type="dxa"/>
          </w:tblCellMar>
        </w:tblPrEx>
        <w:tc>
          <w:tcPr>
            <w:tcW w:w="5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开户名称： 福建信发招标代理有限公司</w:t>
            </w:r>
          </w:p>
        </w:tc>
      </w:tr>
      <w:tr>
        <w:tblPrEx>
          <w:tblCellMar>
            <w:top w:w="0" w:type="dxa"/>
            <w:left w:w="0" w:type="dxa"/>
            <w:bottom w:w="0" w:type="dxa"/>
            <w:right w:w="0" w:type="dxa"/>
          </w:tblCellMar>
        </w:tblPrEx>
        <w:tc>
          <w:tcPr>
            <w:tcW w:w="5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开户银行：供应商在福建省政府采购网上公开信息系统获取招标文件后，根据其提示自行选择要缴交的投标保证金托管银行。</w:t>
            </w:r>
          </w:p>
        </w:tc>
      </w:tr>
      <w:tr>
        <w:tblPrEx>
          <w:tblCellMar>
            <w:top w:w="0" w:type="dxa"/>
            <w:left w:w="0" w:type="dxa"/>
            <w:bottom w:w="0" w:type="dxa"/>
            <w:right w:w="0" w:type="dxa"/>
          </w:tblCellMar>
        </w:tblPrEx>
        <w:tc>
          <w:tcPr>
            <w:tcW w:w="5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CellMar>
            <w:top w:w="0" w:type="dxa"/>
            <w:left w:w="0" w:type="dxa"/>
            <w:bottom w:w="0" w:type="dxa"/>
            <w:right w:w="0" w:type="dxa"/>
          </w:tblCellMar>
        </w:tblPrEx>
        <w:tc>
          <w:tcPr>
            <w:tcW w:w="5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特别提示</w:t>
            </w:r>
          </w:p>
        </w:tc>
      </w:tr>
      <w:tr>
        <w:tblPrEx>
          <w:tblCellMar>
            <w:top w:w="0" w:type="dxa"/>
            <w:left w:w="0" w:type="dxa"/>
            <w:bottom w:w="0" w:type="dxa"/>
            <w:right w:w="0" w:type="dxa"/>
          </w:tblCellMar>
        </w:tblPrEx>
        <w:tc>
          <w:tcPr>
            <w:tcW w:w="5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1、投标人应认真核对账户信息，将投标保证金汇入以上账户，并自行承担因汇错投标保证金而产生的一切后果。</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2、投标人在转账或电汇的凭证上应按照以下格式注明，以便核对：“（项目编号：***）的投标保证金”。</w:t>
            </w:r>
          </w:p>
        </w:tc>
      </w:tr>
    </w:tbl>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附2：采购标的一览表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采购包预算金额（元）: 2,000,000.00</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采购包最高限价（元）: 2,000,000.00</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采购包保证金金额（元）: 20,000.00</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98"/>
        <w:gridCol w:w="1997"/>
        <w:gridCol w:w="999"/>
        <w:gridCol w:w="1997"/>
        <w:gridCol w:w="999"/>
        <w:gridCol w:w="1997"/>
        <w:gridCol w:w="99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标的名称</w:t>
            </w:r>
          </w:p>
        </w:tc>
        <w:tc>
          <w:tcPr>
            <w:tcW w:w="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数量</w:t>
            </w: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标的金额 （元）</w:t>
            </w:r>
          </w:p>
        </w:tc>
        <w:tc>
          <w:tcPr>
            <w:tcW w:w="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计量单位</w:t>
            </w: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所属行业</w:t>
            </w:r>
          </w:p>
        </w:tc>
        <w:tc>
          <w:tcPr>
            <w:tcW w:w="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是否允许进口产品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数字集群无线通讯系统</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right"/>
              <w:rPr>
                <w:rFonts w:hint="eastAsia" w:ascii="宋体" w:hAnsi="宋体" w:cs="宋体"/>
                <w:color w:val="auto"/>
                <w:sz w:val="24"/>
                <w:highlight w:val="none"/>
              </w:rPr>
            </w:pPr>
            <w:r>
              <w:rPr>
                <w:rFonts w:hint="eastAsia" w:ascii="宋体" w:hAnsi="宋体" w:cs="宋体"/>
                <w:color w:val="auto"/>
                <w:kern w:val="0"/>
                <w:sz w:val="24"/>
                <w:highlight w:val="none"/>
                <w:lang w:bidi="ar"/>
              </w:rPr>
              <w:t>1.00</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right"/>
              <w:rPr>
                <w:rFonts w:hint="eastAsia" w:ascii="宋体" w:hAnsi="宋体" w:cs="宋体"/>
                <w:color w:val="auto"/>
                <w:sz w:val="24"/>
                <w:highlight w:val="none"/>
              </w:rPr>
            </w:pPr>
            <w:r>
              <w:rPr>
                <w:rFonts w:hint="eastAsia" w:ascii="宋体" w:hAnsi="宋体" w:cs="宋体"/>
                <w:color w:val="auto"/>
                <w:kern w:val="0"/>
                <w:sz w:val="24"/>
                <w:highlight w:val="none"/>
                <w:lang w:bidi="ar"/>
              </w:rPr>
              <w:t>2,000,000.00</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批</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工业</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否</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第二章 投标人须知前附表</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一、投标人须知前附表1</w:t>
      </w:r>
    </w:p>
    <w:tbl>
      <w:tblPr>
        <w:tblStyle w:val="10"/>
        <w:tblW w:w="5000" w:type="pct"/>
        <w:tblInd w:w="0" w:type="dxa"/>
        <w:tblLayout w:type="autofit"/>
        <w:tblCellMar>
          <w:top w:w="0" w:type="dxa"/>
          <w:left w:w="0" w:type="dxa"/>
          <w:bottom w:w="0" w:type="dxa"/>
          <w:right w:w="0" w:type="dxa"/>
        </w:tblCellMar>
      </w:tblPr>
      <w:tblGrid>
        <w:gridCol w:w="480"/>
        <w:gridCol w:w="840"/>
        <w:gridCol w:w="8666"/>
      </w:tblGrid>
      <w:tr>
        <w:tblPrEx>
          <w:tblCellMar>
            <w:top w:w="0" w:type="dxa"/>
            <w:left w:w="0" w:type="dxa"/>
            <w:bottom w:w="0" w:type="dxa"/>
            <w:right w:w="0" w:type="dxa"/>
          </w:tblCellMar>
        </w:tblPrEx>
        <w:tc>
          <w:tcPr>
            <w:tcW w:w="5000" w:type="pct"/>
            <w:gridSpan w:val="3"/>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特别提示：本表与招标文件对应章节的内容若不一致，以本表为准。</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序号</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招标文件</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（第三章）</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编列内容</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6.1</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是否组织现场考察或召开开标前答疑会：</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采购包1：不组织</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10.4</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投标文件的份数：</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（1）可读介质（光盘或U盘） 0 份：投标人应将其上传至福建省政府采购网上公开信息系统的电子投标文件在该可读介质中另存 0 份。</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（2）电子投标文件：详见投标人须知前附表2《关于电子招标投标活动的专门规定》。</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3</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10.7-（1）</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是否允许中标人将本项目的非主体、非关键性工作进行分包：</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采购包1：不允许合同分包；</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4</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10.8-（1）</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投标有效期：投标截止时间起 90 个日历日。</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5</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12.1</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确定中标候选人名单：</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采购包1：1名</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6</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12.2</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本项目中标人的确定（以采购包为单位）：</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 采购人应在政府采购招投标管理办法规定的时限内确定中标人。</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（2）若出现中标候选人并列情形，则按照下列方式确定中标人：</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①招标文件规定的方式：</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无</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②若本款第①点规定方式为“无”，则按照下列方式确定：</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无</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③若本款第①、②点规定方式均为“无”，则按照下列方式确定：随机抽取。</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（3）本项目确定的中标人家数：</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采购包1：1名</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7</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13.2</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合同签订时限： 自中标通知书发出之日起30个日历日内。</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8</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15.1-（2）</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质疑函原件应采用下列方式提交：书面形式。</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9</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15.4</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招标文件的质疑</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（1）潜在投标人可在质疑时效期间内对招标文件以书面形式提出质疑。</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（2）质疑时效期间：应在依法获取招标文件之日起7个工作日内向 福建信发招标代理有限公司 提出，依法获取招标文件的时间以福建省政府采购网上公开信息系统记载的为准。</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※除上述规定外，对招标文件提出的质疑还应符合招标文件第三章第15.1条的有关规定。</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10</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16.1</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监督管理部门： 福建省财政厅政府采购监督管理办公室 （仅限依法进行政府采购的货物或服务类项目）。</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11</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18.1</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财政部和福建省财政厅指定的政府采购信息发布媒体（以下简称：“指定媒体”）：</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（1）中国政府采购网，网址www.ccgp.gov.cn。</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（2）中国政府采购网福建分网（福建省政府采购网），网址zfcg.czt.fujian.gov.cn。</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※若出现上述指定媒体信息不一致情形，应以中国政府采购网福建分网（福建省政府采购网）发布的为准。</w:t>
            </w:r>
          </w:p>
        </w:tc>
      </w:tr>
      <w:tr>
        <w:tblPrEx>
          <w:tblCellMar>
            <w:top w:w="0" w:type="dxa"/>
            <w:left w:w="0" w:type="dxa"/>
            <w:bottom w:w="0" w:type="dxa"/>
            <w:right w:w="0" w:type="dxa"/>
          </w:tblCellMar>
        </w:tblPrEx>
        <w:tc>
          <w:tcPr>
            <w:tcW w:w="16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12</w:t>
            </w:r>
          </w:p>
        </w:tc>
        <w:tc>
          <w:tcPr>
            <w:tcW w:w="31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19</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其他事项：</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(1)本项目代理服务费：</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本项目收取代理服务费</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代理服务费用收取对象：中标/成交供应商</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代理服务费收费标准：1）以中标通知书规定的中标金额作为收费的计算基数，按差额定率累进法计算。2）收费费率标准：金额（万元）50以下，收费费率标准1％；金额（万元）50-100，收费费率标准0.9％；金额（万元）100-500，收费费率标准0.5％3）代理服务费的缴纳方式：a.中标人应在领取中标通知书的同时按规定的标准一次性向采购代理机构缴清代理服务费。b.代理服务费以银行转账、电汇、汇票或现金等付款方式缴纳。4）代理服务费缴交账号：开户名：福建信发招标代理有限公司开户行：福建海峡银行鼓楼支行账号：100026211970010002。</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(2)其他：</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19.1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 19.2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19.3信用记录查询及使用：1）信用记录查询渠道及截止时点：资格审查小组将在投标截止时间截止当日，通过“信用中国”网站(www.creditchina.gov.cn)、中国政府采购网(www.ccgp.gov.cn)查询投标人的信用记录，2）信用信息查询记录和证据留存的具体方式：资格审查小组将记录、打印各投标人的信用信息查询结果，与其他采购文件一并保存。3）信用信息的使用规则：依据《财政部关于在政府采购活动中查询及使用信用记录有关问题的通知》财库〔2016〕125号规定，对被列入失信被执行人、重大税收违法案件当事人名单、政府采购严重违法失信行为记录名单的投标人，其资格性审查不合格。 19.4接收质疑函的方式、联系部门、联系电话和通讯地址：(1)接收质疑函原件的方式：现场方式；(2)接收质疑函的联系部门：办公室；(3)接收质疑函的联系电话：0591-88002309；(4)接收质疑函的通讯地址：福州市鼓楼区铜盘路466-3号大自然文化创意园5号楼4层福建信发招标代理有限公司。 19.5投标无效条款:1）投标有效期不符合投标人须知前附表中表1第4项号规定的；2）出现第二章投标人须知前附表中表1第11项号中规定情形的；3）出现第二章投标人须知前附表中表2投标无效规定的；4）出现第三章投标人须知第9、10.6、10.8、10.9、10.11、10.12条款中投标无效规定的；5）出现第四章资格审查与评标中投标无效规定的；6）出现第五章招标内容及要求中投标无效规定或“★”标示的内容为负偏离的；7）出现第七章投标文件格式中投标无效规定的。 19.6关于“成立年限满1年及以上的投标人，提供经审计的上一年度的年度财务报告”补充说明：经审计的上一年度的年度财务报告是指经审计的2022年度财务报告复印件。 19.7投标人出现 《福建省财政厅关于电子化政府采购项目中视为串标情形认定与处理的指导意见》（闽财购〔2018〕30号）文中规定的视为串标情形的，其投标无效。 19.8 因疫情影响享受缓缴或免缴社保、税款的企业，无法提供招标文件要求的相关社保、税收缴纳证明材料的，须提供有关情况说明视同社保、税收缴纳证明材料提交完整。 19.9因疫情原因造成各类资格资质证书到期无法及时年审的，投标人可以提供相关管理部门政策，在投标时提交书面说明，若投标人提供了证据证明符合上述情形的，不影响其投标（或评审得分），否则，评标委员会可作出对其不利的评审。19.10本项目支持远程开标，投标人可通过远程线上参与开标，具体系统操作指南详见福建省政府采购网首页上相关操作手册。②本项目开标过程中解密及远程签章的操作时限均为30分钟，请投标人务必密切关注实时开标流程，完成远程解密、远程签章。③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④在开标过程中，因系统故障等导致无法继续进行开标的，投标人须配合等待故障处理，待故障解除后继续开标。</w:t>
            </w:r>
          </w:p>
        </w:tc>
      </w:tr>
      <w:tr>
        <w:tblPrEx>
          <w:tblCellMar>
            <w:top w:w="0" w:type="dxa"/>
            <w:left w:w="0" w:type="dxa"/>
            <w:bottom w:w="0" w:type="dxa"/>
            <w:right w:w="0" w:type="dxa"/>
          </w:tblCellMar>
        </w:tblPrEx>
        <w:tc>
          <w:tcPr>
            <w:tcW w:w="482" w:type="pct"/>
            <w:gridSpan w:val="2"/>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备注</w:t>
            </w:r>
          </w:p>
        </w:tc>
        <w:tc>
          <w:tcPr>
            <w:tcW w:w="4517"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后有投标人须知前附表2，请勿遗漏。</w:t>
            </w:r>
          </w:p>
        </w:tc>
      </w:tr>
    </w:tbl>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二、投标人须知前附表2</w:t>
      </w:r>
    </w:p>
    <w:tbl>
      <w:tblPr>
        <w:tblStyle w:val="10"/>
        <w:tblW w:w="5000" w:type="pct"/>
        <w:tblInd w:w="0" w:type="dxa"/>
        <w:tblLayout w:type="autofit"/>
        <w:tblCellMar>
          <w:top w:w="0" w:type="dxa"/>
          <w:left w:w="0" w:type="dxa"/>
          <w:bottom w:w="0" w:type="dxa"/>
          <w:right w:w="0" w:type="dxa"/>
        </w:tblCellMar>
      </w:tblPr>
      <w:tblGrid>
        <w:gridCol w:w="480"/>
        <w:gridCol w:w="9506"/>
      </w:tblGrid>
      <w:tr>
        <w:tblPrEx>
          <w:tblCellMar>
            <w:top w:w="0" w:type="dxa"/>
            <w:left w:w="0" w:type="dxa"/>
            <w:bottom w:w="0" w:type="dxa"/>
            <w:right w:w="0" w:type="dxa"/>
          </w:tblCellMar>
        </w:tblPrEx>
        <w:tc>
          <w:tcPr>
            <w:tcW w:w="5000" w:type="pct"/>
            <w:gridSpan w:val="2"/>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关于电子招标投标活动的专门规定</w:t>
            </w:r>
          </w:p>
        </w:tc>
      </w:tr>
      <w:tr>
        <w:tblPrEx>
          <w:tblCellMar>
            <w:top w:w="0" w:type="dxa"/>
            <w:left w:w="0" w:type="dxa"/>
            <w:bottom w:w="0" w:type="dxa"/>
            <w:right w:w="0" w:type="dxa"/>
          </w:tblCellMar>
        </w:tblPrEx>
        <w:tc>
          <w:tcPr>
            <w:tcW w:w="1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序号</w:t>
            </w:r>
          </w:p>
        </w:tc>
        <w:tc>
          <w:tcPr>
            <w:tcW w:w="483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编列内容</w:t>
            </w:r>
          </w:p>
        </w:tc>
      </w:tr>
      <w:tr>
        <w:tblPrEx>
          <w:tblCellMar>
            <w:top w:w="0" w:type="dxa"/>
            <w:left w:w="0" w:type="dxa"/>
            <w:bottom w:w="0" w:type="dxa"/>
            <w:right w:w="0" w:type="dxa"/>
          </w:tblCellMar>
        </w:tblPrEx>
        <w:tc>
          <w:tcPr>
            <w:tcW w:w="1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483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（1）电子招标投标活动的专门规定适用本项目电子招标投标活动。</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（2）将招标文件</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无</w:t>
            </w:r>
          </w:p>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的内容修正为下列内容：</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无</w:t>
            </w:r>
          </w:p>
          <w:p>
            <w:pPr>
              <w:keepNext w:val="0"/>
              <w:keepLines w:val="0"/>
              <w:widowControl/>
              <w:suppressLineNumbers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后适用本项目的电子招标投标活动。</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（3）将下列内容增列为招标文件的组成部分（以下简称：“增列内容”）适用本项目的电子招标投标活动，若增列内容与招标文件其他章节内容有冲突，应以增列内容为准：</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①电子招标投标活动的具体操作流程以福建省政府采购网上公开信息系统设定的为准。</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②关于电子投标文件：</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a.投标人应按照福建省政府采购网上公开信息系统设定的评审节点编制电子投标文件，否则资格审查小组、评标委员会将按照不利于投标人的内容进行认定。</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投标人应在投标截止时间前按照福建省政府采购网上公开信息系统设定的操作流程将电子投标文件1份上传至福建省政府采购网上公开信息系统。电子投标文件的分项报价一览表、投标客户端的分项报价一览表应保持一致，并以投标客户端的分项报价一览表为准。</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③关于证明材料或资料：</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b.若投标人提供注明“复印件无效”或“复印无效”的证明材料或资料，应结合上文a条款进行判定，若招标文件未要求投标人提供原件，投标人提供原件，复印件（含扫描件）均视为满足招标文件要求。</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④关于“全称”、“投标人代表签字”及“加盖单位公章”：</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a.在电子投标文件中，涉及“全称”和“投标人代表签字”的内容可使用打字录入方式完成。</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b.在电子投标文件中，涉及“加盖单位公章”的内容应使用投标人的CA证书完成，否则投标无效。</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c.在电子投标文件中，若投标人按照本增列内容第④点第b项规定加盖其单位公章，则出现无全称、或投标人代表未签字等情形，不视为投标无效。</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⑤关于投标人的CA证书：</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a.投标人的CA证书应在系统规定时间内使用CA证书进行电子投标文件的解密操作，逾期未解密的视为放弃投标。</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b.投标人的CA证书可采用信封（包括但不限于：信封、档案袋、文件袋等）作为外包装进行单独包装。外包装密封、不密封皆可。</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c.投标人的CA证书或外包装应标记“项目名称、项目编号、投标人的全称”等内容，以方便识别、使用。</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d.投标人的CA证书应能正常、有效使用，否则产生不利后果由投标人承担责任。</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⑥关于投标截止时间过后</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a.未按招标文件规定提交投标保证金的，其投标将按无效投标处理。</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b.有下列情形之一的，其投标无效,其保证金不予退还或通过投标保函进行索赔：</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b1不同投标人的电子投标文件具有相同内部识别码；</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b2不同投标人的投标保证金从同一单位或个人的账户转出；</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b3投标人的投标保证金同一采购包下有其他投标人提交的投标保证金；</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b4不同投标人存在串通投标的其他情形。</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⑧其他：</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无</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第三章 投标人须知</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一、总则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1、适用范围</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1.1适用于招标文件载明项目的政府采购活动（以下简称：“本次采购活动”）。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2、定义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2.1“采购标的”指招标文件载明的需要采购的货物或服务。</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2.2“潜在投标人”指按照招标文件第一章第7条规定获取招标文件且有意向参加本项目投标的供应商。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2.3“投标人”指按照招标文件第一章第7条规定获取招标文件并参加本项目投标的供应商。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2.4“单位负责人”指单位法定代表人或法律、法规规定代表单位行使职权的主要负责人。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2.5“投标人代表”指投标人的单位负责人或“单位负责人授权书”中载明的接受授权方。</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二、投标人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3、合格投标人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3.1一般规定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（1）投标人应遵守政府采购法及实施条例、政府采购招投标管理办法、政府采购质疑和投诉办法及财政部、福建省财政厅有关政府采购文件的规定，同时还应遵守有关法律、法规和规章的强制性规定。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（2）投标人的资格要求：详见招标文件第一章。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3.2若本项目接受联合体投标且投标人为联合体，则联合体各方应遵守本章第3.1条规定，同时还应遵守下列规定：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（1）联合体各方应提交联合体协议，联合体协议应符合招标文件规定。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（2）联合体各方不得再单独参加或与其他供应商另外组成联合体参加同一合同项下的投标。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（3）联合体各方应共同与采购人签订政府采购合同，就政府采购合同约定的事项对采购人承担连带责任。</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（5）联合体一方放弃中标的，视为联合体整体放弃中标，联合体各方承担连带责任。</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（6）如本项目不接受联合体投标而投标人为联合体的，或者本项目接受联合体投标但投标人组成的联合体不符合本章第3.2条规定的，投标无效。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4、投标费用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4.1除招标文件另有规定外，投标人应自行承担其参加本项目投标所涉及的一切费用。</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三、招标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5、招标文件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5.1招标文件由下述部分组成：</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（1）投标邀请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（2）投标人须知前附表（表1、2）</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（3）投标人须知</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（4）资格审查与评标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（5）招标内容及要求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（6）政府采购合同（参考文本）</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（7）电子投标文件格式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（8）按照招标文件规定作为招标文件组成部分的其他内容（若有）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5.2招标文件的澄清或修改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 福建信发招标代理有限公司 可对已发出的招标文件进行必要的澄清或修改，但不得对招标文件载明的采购标的和投标人的资格要求进行改变。</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（2）除本章第5.2条第（3）款规定情形外，澄清或修改的内容可能影响电子投标文件编制的， 福建信发招标代理有限公司 将在投标截止时间至少15个日历日前，在招标文件载明的指定媒体以更正公告的形式发布澄清或修改的内容。不足15个日历日的， 福建信发招标代理有限公司 将顺延投标截止时间及开标时间， 福建信发招标代理有限公司 和投标人受原投标截止时间及开标时间制约的所有权利和义务均延长至新的投标截止时间及开标时间。</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（3）澄清或修改的内容可能改变招标文件载明的采购标的和投标人的资格要求的，本次采购活动结束， 福建信发招标代理有限公司 将依法组织后续采购活动（包括但不限于：重新招标、采用其他方式采购等）。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6、现场考察或开标前答疑会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6.1是否组织现场考察或召开开标前答疑会：详见招标文件第二章。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7、更正公告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7.1若 福建信发招标代理有限公司 发布更正公告，则更正公告及其所发布的内容或信息（包括但不限于：招标文件的澄清或修改、现场考察或答疑会的有关事宜等）作为招标文件组成部分，对投标人具有约束力。</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7.2更正公告作为 福建信发招标代理有限公司 通知所有潜在投标人的书面形式。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8、终止公告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8.1若出现因重大变故导致采购任务取消情形， 福建信发招标代理有限公司 可终止招标并发布终止公告。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8.2终止公告作为 福建信发招标代理有限公司 通知所有潜在投标人的书面形式。</w:t>
      </w:r>
    </w:p>
    <w:p>
      <w:pPr>
        <w:pStyle w:val="4"/>
        <w:widowControl/>
        <w:spacing w:before="0" w:beforeAutospacing="0" w:after="0" w:afterAutospacing="0" w:line="360" w:lineRule="exact"/>
        <w:ind w:firstLine="420"/>
        <w:jc w:val="both"/>
        <w:rPr>
          <w:rFonts w:cs="宋体"/>
          <w:color w:val="auto"/>
          <w:sz w:val="24"/>
          <w:szCs w:val="24"/>
          <w:highlight w:val="none"/>
        </w:rPr>
      </w:pPr>
      <w:r>
        <w:rPr>
          <w:rFonts w:cs="宋体"/>
          <w:color w:val="auto"/>
          <w:sz w:val="24"/>
          <w:szCs w:val="24"/>
          <w:highlight w:val="none"/>
          <w:shd w:val="clear" w:color="auto" w:fill="FFFFFF"/>
        </w:rPr>
        <w:t>四、投标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9.1投标人可对招标文件载明的全部或部分采购包进行投标。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9.2投标人应对同一个采购包内的所有内容进行完整投标，否则投标无效。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9.3投标人代表只能接受一个投标人的授权参加投标，否则投标无效。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9.4单位负责人为同一人或存在直接控股、管理关系的不同供应商，不得同时参加同一合同项下的投标，否则投标无效。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9.5为本项目提供整体设计、规范编制或项目管理、监理、检测等服务的供应商，不得参加本项目除整体设计、规范编制和项目管理、监理、检测等服务外的采购活动，否则投标无效。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9.6列入失信被执行人、重大税收违法案件当事人名单、政府采购严重违法失信行为记录名单及其他不符合政府采购法第二十二条规定条件的供应商，不得参加投标，否则投标无效。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9.7有下列情形之一的，视为投标人串通投标，其投标无效：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（1）不同投标人的电子投标文件由同一单位或个人编制；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（2）不同投标人委托同一单位或个人办理投标事宜；</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（3）不同投标人的电子投标文件载明的项目管理成员或联系人员为同一人；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（4）不同投标人的电子投标文件异常一致或投标报价呈规律性差异；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（5）不同投标人的电子投标文件相互混装；</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（6）不同投标人的投标保证金从同一单位或个人的账户转出；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（7）有关法律、法规和规章及招标文件规定的其他串通投标情形。</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10、电子投标文件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10.1电子投标文件的编制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（1）投标人应先仔细阅读招标文件的全部内容后，再进行电子投标文件的编制。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（2）电子投标文件应按照本章第10.2条规定编制其组成部分。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（3）电子投标文件应满足招标文件提出的实质性要求和条件，并保证其所提交的全部资料是不可割离且真实、有效、准确、完整和不具有任何误导性的，否则造成不利后果由投标人承担责任。</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10.2电子投标文件由下述部分组成：</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（1）资格及资信证明部分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①投标函</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②投标人的资格及资信证明文件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③投标保证金</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（2）报价部分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①开标一览表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②投标分项报价表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③招标文件规定的价格扣除证明材料（若有）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④招标文件规定的加分证明材料（若有）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（3）技术商务部分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①标的说明一览表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②技术和服务要求响应表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③商务条件响应表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④投标人提交的其他资料（若有）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⑤招标文件规定作为电子投标文件组成部分的其他内容（若有）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10.3电子投标文件的语言</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（1）除招标文件另有规定外，电子投标文件应使用中文文本，若有不同文本，以中文文本为准。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10.4投标文件的份数：详见招标文件第二章。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10.5电子投标文件的格式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（1）除招标文件另有规定外，电子投标文件应使用招标文件第七章规定的格式。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（2）除招标文件另有规定外，电子投标文件应使用不能擦去的墨料或墨水打印、书写或复印。</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（3）除招标文件另有规定外，电子投标文件应使用人民币作为计量货币。</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（4）除招标文件另有规定外，签署、盖章应遵守下列规定：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①电子投标文件应加盖投标人的单位公章。若投标人代表为单位授权的委托代理人，应提供“单位授权书”。</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②电子投标文件应没有涂改或行间插字，除非这些改动是根据 福建信发招标代理有限公司 的指示进行的，或是为改正投标人造成的应修改的错误而进行的。若有前述改动，应按照下列规定之一对改动处进行处理：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a.投标人代表签字确认；</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b.加盖投标人的单位公章或校正章。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10.6投标报价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（1）投标报价超出最高限价将导致投标无效。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（2）最高限价由采购人根据价格测算情况，在预算金额的额度内合理设定。最高限价不得超出预算金额。</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（3）除招标文件另有规定外，电子投标文件不能出现任何选择性的投标报价，即每一个采购包和品目号的采购标的都只能有一个投标报价。任何选择性的投标报价将导致投标无效。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10.7分包</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（1）是否允许中标人将本项目的非主体、非关键性工作进行分包：详见招标文件第二章。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（3）招标文件允许中标人将非主体、非关键性工作进行分包的项目，有下列情形之一的，中标人不得分包：</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①电子投标文件中未载明分包承担主体；</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②电子投标文件载明的分包承担主体不具备相应资质条件；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③电子投标文件载明的分包承担主体拟再次分包；</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④享受中小企业扶持政策获得政府采购合同的，小微企业不得将合同分包给大中型企业，中型企业不得将合同分包给大型企业。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10.8投标有效期</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（1）招标文件载明的投标有效期：详见招标文件第二章。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（2）电子投标文件承诺的投标有效期不得少于招标文件载明的投标有效期，否则投标无效。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（3）根据本次采购活动的需要， 福建信发招标代理有限公司 可于投标有效期届满之前书面要求投标人延长投标有效期，投标人应在 福建信发招标代理有限公司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10.9投标保证金</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（1）投标保证金作为投标人按照招标文件规定履行相应投标责任、义务的约束及担保。</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（2）投标人以电子保函形式提交投标保证金的，保函的有效期应等于或长于电子投标文件承诺的投标有效期，否则投标无效。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（3）提交</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①投标人以汇款形式缴纳投标保证金的，应从其银行账户（基本存款账户）按照下列方式：公对公转账方式向招标文件载明的投标保证金账户提交投标保证金，具体金额详见招标文件第一章。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pPr>
        <w:widowControl/>
        <w:shd w:val="clear" w:color="auto" w:fill="FFFFFF"/>
        <w:spacing w:line="360" w:lineRule="exact"/>
        <w:ind w:firstLine="420"/>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t>③其他形式：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④若本项目接受联合体投标且投标人为联合体，则联合体中的牵头方应按照本章第10.9条第（3）款第①、②、③点规定提交投标保证金。</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※除招标文件另有规定外，未按照上述规定提交投标保证金将导致资格审查不合格。</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（4）退还</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①在投标截止时间前撤回已提交的电子投标文件的投标人，其投标保证金将在 福建信发招标代理有限公司 收到投标人书面撤回通知之日起5个工作日内退回原账户。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②未中标人的投标保证金将在中标通知书发出之日起5个工作日内退回原账户。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③中标人的投标保证金将在政府采购合同签订之日起5个工作日内退回原账户；合同签订之日以福建省政府采购网上公开信息系统记载的为准。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④终止招标的， 福建信发招标代理有限公司 将在终止公告发布之日起5个工作日内退回已收取的投标保证金及其在银行产生的孳息。</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⑤除招标文件另有规定外，质疑或投诉涉及的投标人，若投标保证金尚未退还，则待质疑或投诉处理完毕后不计利息原额退还。</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※本章第10.9条第（4）款第①、②、③点规定的投标保证金退还时限不包括因投标人自身原因导致无法及时退还而增加的时间。</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（6）有下列情形之一的，投标保证金将不予退还或通过投标保函进行索赔：</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①投标人串通投标；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②投标人提供虚假材料；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③投标人采取不正当手段诋毁、排挤其他投标人；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④投标截止时间后，投标人在投标有效期内撤销电子投标文件；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⑤招标文件规定的其他不予退还情形；</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⑥中标人有下列情形之一的：</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a.除不可抗力外，因中标人自身原因未在中标通知书要求的期限内与采购人签订政府采购合同；</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b.未按照招标文件、投标文件的约定签订政府采购合同或提交履约保证金。</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※若上述投标保证金不予退还情形给采购人（采购代理机构）造成损失，则投标人还要承担相应的赔偿责任。</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10.10电子投标文件的提交</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（1）一个投标人只能提交一个电子投标文件，并按照招标文件第一章规定在系统上完成上传、解密操作。</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10.11电子投标文件的补充、修改或撤回</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（1）投标截止时间前，投标人可对所提交的电子投标文件进行补充、修改或撤回，并书面通知 福建信发招标代理有限公司 。</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（2）补充、修改的内容应按照本章第10.5条第（4）款规定进行签署、盖章，并按照本章第10.10条规定提交，否则将被拒收。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※按照上述规定提交的补充、修改内容作为电子投标文件组成部分。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10.12除招标文件另有规定外，有下列情形之一的，投标无效：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（1）电子投标文件未按照招标文件要求签署、盖章；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（2）不符合招标文件中规定的资格要求；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（3）投标报价超过招标文件中规定的预算金额或最高限价；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（4）电子投标文件含有采购人不能接受的附加条件；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（5）有关法律、法规和规章及招标文件规定的其他无效情形。</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五、开标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11、开标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11.1 福建信发招标代理有限公司 将在招标文件载明的开标时间及地点主持召开开标会，并邀请投标人参加。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11.2开标会的主持人、唱标人、记录人及其他工作人员（若有）均由 福建信发招标代理有限公司 派出，现场监督人员（若有）可由有关方面派出。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11.4开标会应遵守下列规定：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（3）唱标结束后，参加现场开标会的投标人代表应对开标记录进行签字确认，通过远程参与开标流程的投标人须在系统远程签章开启后，在系统规定时间内对开标结果进行签章确认。</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（5）若投标人未到开标现场参加开标会，也未通过远程参加开标会的，视同认可开标结果。</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福建信发招标代理有限公司 提出任何疑义或要求（包括质疑）。</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11.5投标截止时间后，参加投标的投标人不足三家的，不进行开标。同时，本次采购活动结束， 福建信发招标代理有限公司 将依法组织后续采购活动（包括但不限于：重新招标、采用其他方式采购等）。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11.6投标截止时间后撤销投标的处理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投标截止时间后，投标人在投标有效期内撤销投标的，其撤销投标的行为无效。</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六、中标与政府采购合同</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12、中标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12.1本项目推荐的中标候选人家数：详见招标文件第二章。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12.2本项目中标人的确定：详见招标文件第二章。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12.3中标公告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（1）中标人确定之日起2个工作日内， 福建信发招标代理有限公司 将在招标文件载明的指定媒体以中标公告的形式发布中标结果。</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（2）中标公告的公告期限为1个工作日。</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12.4中标通知书</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（1）中标公告发布的同时， 福建信发招标代理有限公司 将向中标人发出中标通知书。</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（2）中标通知书发出后，采购人不得违法改变中标结果，中标人无正当理由不得放弃中标。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13、政府采购合同</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13.2签订时限：详见须知前附表1的13.2。</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13.3政府采购合同的履行、违约责任和解决争议的方法等适用民法典。</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13.4采购人与中标人应根据政府采购合同的约定依法履行合同义务。</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13.5政府采购合同履行过程中，采购人若需追加与合同标的相同的货物或服务，则追加采购金额不得超过原合同采购金额的10%。</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13.6中标人在政府采购合同履行过程中应遵守有关法律、法规和规章的强制性规定（即使前述强制性规定有可能在招标文件中未予列明）。</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七、询问、质疑与投诉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14、询问</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14.1潜在投标人或投标人对本次采购活动的有关事项若有疑问，可向 福建信发招标代理有限公司 提出询问， 福建信发招标代理有限公司 将按照政府采购法及实施条例的有关规定进行答复。</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15、质疑</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（1）对招标文件提出质疑的，质疑人应为潜在投标人，且两者的身份、名称等均应保持一致。对采购过程、结果提出质疑的，质疑人应为投标人，且两者的身份、名称等均应保持一致。</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（2）质疑人应按照招标文件第二章规定方式提交质疑函。</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（3）质疑函应包括下列主要内容：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①质疑人的基本信息，至少包括：全称、地址、邮政编码等；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②所质疑项目的基本信息，至少包括：项目编号、项目名称等；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③所质疑的具体事项（以下简称：“质疑事项”）；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④针对质疑事项提出的明确请求，前述明确请求指质疑人提出质疑的目的以及希望 福建信发招标代理有限公司 对其质疑作出的处理结果，如：暂停招标投标活动、修改招标文件、停止或纠正违法违规行为、中标结果无效、废标、重新招标等；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⑤针对质疑事项导致质疑人自身权益受到损害的必要证明材料，至少包括：</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a.质疑人代表的身份证明材料：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a2若本项目接受自然人投标且质疑人为自然人的，提供本人的身份证复印件。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b.其他证明材料（即事实依据和必要的法律依据）包括但不限于下列材料：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b1所质疑的具体事项是与自己有利害关系的证明材料；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b2质疑函所述事实存在的证明材料，如：采购文件、采购过程或中标结果违法违规或不符合采购文件要求等证明材料；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b3依法应终止采购程序的证明材料；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b4应重新采购的证明材料；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b5采购文件、采购过程或中标、成交结果损害自己合法权益的证明材料等；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⑥质疑人代表及其联系方法的信息，至少包括：姓名、手机、电子信箱、邮寄地址等。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⑦提出质疑的日期。</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※质疑人为法人或其他组织的，质疑函应由单位负责人或委托代理人签字或盖章，并加盖投标人的单位公章。质疑人为自然人的，质疑函应由本人签字。</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15.2对不符合本章第15.1条规定的质疑，将按照下列规定进行处理：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（1）不符合其中第（1）、（2）条规定的，书面告知质疑人不予受理及其理由。</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（2）不符合其中第（3）条规定的，书面告知质疑人修改、补充后在规定时限内重新提交质疑函。</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15.3对符合本章第15.1条规定的质疑，将按照政府采购法及实施条例、政府采购质疑和投诉办法的有关规定进行答复。</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15.4招标文件的质疑：详见招标文件第二章。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16、投诉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16.2投诉应有明确的请求和必要的证明材料，投诉的事项不得超出已质疑事项的范围。</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八、政府采购政策</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17、政府采购政策由财政部根据国家的经济和社会发展政策并会同国家有关部委制定，包括但不限于下列具体政策要求：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17.1进口产品指通过中国海关报关验放进入中国境内且产自关境外的产品，其中：</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（2）凡在海关特殊监管区域内企业生产或加工（包括从境外进口料件）销往境内其他地区的产品，不作为政府采购项下进口产品。</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（3）对从境外进入海关特殊监管区域，再经办理报关手续后从海关特殊监管区进入境内其他地区的产品，认定为进口产品。</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（4）招标文件列明不允许或未列明允许进口产品参加投标的，均视为拒绝进口产品参加投标。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（1）中小企业指符合下列条件的中型、小型、微型企业：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②符合中小企业划分标准的个体工商户，在政府采购活动中视同中小企业。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（2）在政府采购活动中，供应商提供的货物、工程或者服务符合下列情形的，享受本办法规定的中小企业扶持政策：</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①在货物采购项目中，货物由中小企业制造，即货物由中小企业生产且使用该中小企业商号或者注册商标；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②在工程采购项目中，工程由中小企业承建，即工程施工单位为中小企业；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③在服务采购项目中，服务由中小企业承接，即提供服务的人员为中小企业依照《中华人民共和国劳动合同法》订立劳动合同的从业人员。</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在货物采购项目中，供应商提供的货物既有中小企业制造货物，也有大型企业制造货物的，不享受本办法规定的中小企业扶持政策。</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以联合体形式参加政府采购活动，联合体各方均为中小企业的，联合体视同中小企业。其中，联合体各方均为小微企业的，联合体视同小微企业。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（3）投标人应当按照招标文件明确的采购标的对应行业的划分标准出具中小企业声明函。</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①监狱企业参加采购活动时，应提供由省级以上监狱管理局、戒毒管理局（含新疆生产建设兵团）出具的属于监狱企业的证明文件。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②监狱企业视同小型、微型企业。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（5）残疾人福利性单位指同时符合下列条件的单位：</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①安置的残疾人占本单位在职职工人数的比例不低于25%（含25%），并且安置的残疾人人数不少于10人（含10人）；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②依法与安置的每位残疾人签订了一年以上（含一年）的劳动合同或服务协议；</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③为安置的每位残疾人按月足额缴纳了基本养老保险、基本医疗保险、失业保险、工伤保险和生育保险等社会保险费；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④通过银行等金融机构向安置的每位残疾人，按月支付了不低于单位所在区县适用的经省级人民政府批准的月最低工资标准的工资；</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⑤提供本单位制造的货物、承担的工程或服务，或提供其他残疾人福利性单位制造的货物（不包括使用非残疾人福利性单位注册商标的货物）。</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17.4信用记录指由财政部确定的有关网站提供的相关主体信用信息。信用记录的查询及使用应符合财政部文件（财库[2016]125号）规定。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17.5为落实政府采购政策需满足的要求：详见招标文件第一章。</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九、本项目的有关信息</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18、本项目的有关信息，包括但不限于：招标公告、更正公告（若有）、招标文件、招标文件的澄清或修改（若有）、中标公告、终止公告（若有）、废标公告（若有）等都将在招标文件载明的指定媒体发布。</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18.1指定媒体：详见招标文件第二章。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18.2本项目的潜在投标人或投标人应随时关注指定媒体，否则产生不利后果由其自行承担。</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十、其他事项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19、其他事项：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19.2其他：详见招标文件第二章。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第四章 资格审查与评标</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一、资格审查</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1、开标结束后，由 福建信发招标代理有限公司 负责资格审查小组的组建及资格审查工作的组织。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1.1资格审查小组</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资格审查小组由3人组成，并负责具体审查事务， 其中由采购人派出的采购人代表至少1人， 由福建信发招标代理有限公司派出的工作人员至少1人， 其余1人可为采购人代表或福建信发招标代理有限公司的工作人员。</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1.2资格审查的依据是招标文件和电子投标文件。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1.3资格审查的范围及内容：电子投标文件（资格及资信证明部分），具体如下：</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（1）“投标函”；</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（2）“投标人的资格及资信证明文件”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①一般资格证明文件：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采购包1：</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42"/>
        <w:gridCol w:w="2012"/>
        <w:gridCol w:w="723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76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7046"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资格审查要求概况</w:t>
            </w:r>
          </w:p>
        </w:tc>
        <w:tc>
          <w:tcPr>
            <w:tcW w:w="880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评审点具体描述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单位授权书</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营业执照等证明文件</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提供财务状况报告(财务报告、或资信证明）</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依法缴纳税收证明材料</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依法缴纳社会保障资金证明材料</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6</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具备履行合同所必需设备和专业技术能力的声明函(若有)</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7</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参加采购活动前三年内在经营活动中没有重大违法记录的声明</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8</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信用记录查询结果</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9</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中小企业声明函（以资格条件落实中小企业扶持政策时适用 ）</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10</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联合体协议（若有）</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①招标文件接受联合体投标且投标人为联合体的，投标人应提供本协议；否则无须提供。 ②本协议由委托代理人签字或盖章的，应按照招标文件第七章载明的格式提供“单位授权书”。</w:t>
            </w:r>
          </w:p>
        </w:tc>
      </w:tr>
    </w:tbl>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※备注说明</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①投标人应根据自身实际情况提供上述资格要求的证明材料，格式可参考招标文件第七章提供。</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②投标人提供的相应证明材料复印件均应符合：内容完整、清晰、整洁，并由投标人加盖其单位公章。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②.其他资格证明文件：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w:t>
      </w:r>
    </w:p>
    <w:tbl>
      <w:tblPr>
        <w:tblStyle w:val="10"/>
        <w:tblW w:w="5000" w:type="pct"/>
        <w:tblInd w:w="0" w:type="dxa"/>
        <w:tblLayout w:type="autofit"/>
        <w:tblCellMar>
          <w:top w:w="0" w:type="dxa"/>
          <w:left w:w="0" w:type="dxa"/>
          <w:bottom w:w="0" w:type="dxa"/>
          <w:right w:w="0" w:type="dxa"/>
        </w:tblCellMar>
      </w:tblPr>
      <w:tblGrid>
        <w:gridCol w:w="3899"/>
        <w:gridCol w:w="6087"/>
      </w:tblGrid>
      <w:tr>
        <w:tblPrEx>
          <w:tblCellMar>
            <w:top w:w="0" w:type="dxa"/>
            <w:left w:w="0" w:type="dxa"/>
            <w:bottom w:w="0" w:type="dxa"/>
            <w:right w:w="0" w:type="dxa"/>
          </w:tblCellMar>
        </w:tblPrEx>
        <w:tc>
          <w:tcPr>
            <w:tcW w:w="7829"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资格审查要求概况</w:t>
            </w:r>
          </w:p>
        </w:tc>
        <w:tc>
          <w:tcPr>
            <w:tcW w:w="9787"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评审点具体描述</w:t>
            </w:r>
          </w:p>
        </w:tc>
      </w:tr>
      <w:tr>
        <w:tblPrEx>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招标文件规定的其他资格证明文件（若有）</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投标人若所投产品属国家强制节能的，提供国家确定的认证机构出具的、处于有效期之内的节能产品认证证书复印件。</w:t>
            </w:r>
          </w:p>
        </w:tc>
      </w:tr>
    </w:tbl>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（3）投标保证金。</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1.4有下列情形之一的，资格审查不合格：</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98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未按照招标文件规定提交投标保证金</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资格审查不合格项：无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2、资格审查情况不得私自外泄，有关信息由 福建信发招标代理有限公司 统一对外发布。</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3、资格审查合格的投标人不足三家的，不进行评标。同时，本次采购活动结束， 福建信发招标代理有限公司 将依法组织后续采购活动（包括但不限于：重新招标、采用其他方式采购等）。</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二、评标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4、资格审查结束后，由 福建信发招标代理有限公司 负责评标委员会的组建及评标工作的组织。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5、评标委员会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由采购人代表和评审专家两部分共5人组成， 其中由福建省政府采购评审专家库产生的评审专家4人， 由采购人派出的采购人代表1人。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5.2评标委员会负责具体评标事务，并按照下列原则依法独立履行有关职责：</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（1）评标应保护国家利益、社会公共利益和各方当事人合法权益，提高采购效益，保证项目质量。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（2）评标应遵循公平、公正、科学、严谨和择优原则。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（3）评标的依据是招标文件和电子投标文件。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（4）应按照招标文件规定推荐中标候选人或确定中标人。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（5）评标应遵守下列评标纪律：</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①评标情况不得私自外泄，有关信息由 福建信发招标代理有限公司 统一对外发布。</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②对 福建信发招标代理有限公司 或投标人提供的要求保密的资料，不得摘记翻印和外传。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③不得收受投标人或有关人员的任何礼物，不得串联鼓动其他人袒护某投标人。若与投标人存在利害关系，则应主动声明并回避。</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④全体评委应按照招标文件规定进行评标，一切认定事项应查有实据且不得弄虚作假。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⑤评标中应充分发扬民主，推荐中标候选人或确定中标人后要服从评标报告。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※对违反评标纪律的评委，将取消其评委资格，对评标工作造成严重损失者将予以通报批评乃至追究法律责任。</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6、评标程序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6.1评标前的准备工作</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（1）全体评委应认真审阅招标文件，了解评委应履行或遵守的职责、义务和评标纪律。</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（2）参加评标委员会的采购人代表可对本项目的背景和采购需求进行介绍，介绍材料应以书面形式提交（随采购文件一并存档），介绍内容不得含有歧视性、倾向性意见，不得超出招标文件所述范围。</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6.2符合性审查</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（1）评标委员会依据招标文件的实质性要求，对通过资格审查的电子投标文件进行符合性审查，以确定其是否满足招标文件的实质性要求。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（2）满足招标文件的实质性要求指电子投标文件对招标文件实质性要求的响应不存在重大偏差或保留。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（5）评标委员会对所有投标人都执行相同的程序和标准。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（6）有下列情形之一的，符合性审查不合格：</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①项目一般情形：</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378"/>
        <w:gridCol w:w="3673"/>
        <w:gridCol w:w="493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20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6606"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符合审查要求概况</w:t>
            </w:r>
          </w:p>
        </w:tc>
        <w:tc>
          <w:tcPr>
            <w:tcW w:w="880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评审点具体描述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情形1</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情形2</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情形3</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投标文件对招标文件实质性要求的响应存在重大偏离或保留。</w:t>
            </w:r>
          </w:p>
        </w:tc>
      </w:tr>
    </w:tbl>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②本项目规定的其他情形：</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技术符合性</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97"/>
        <w:gridCol w:w="798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投标文件的技术部分中出现报价部分的全部或部分的投标报价信息（或组成资料）。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属于招标文件规定评标委员会应否决其投标的情形。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投标人所投产品属于国家有强制性要求的(如3C认证、信息安全产品等)，投标文件中未提供相关的证明文件或证书复印件。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投标人技术项得分少于技术项总分50%的。</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商务符合性</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97"/>
        <w:gridCol w:w="798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投标文件的商务部分中出现报价部分的全部或部分的投标报价信息（或组成资料）。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投标人未在投标文件中完全响应招标文件第五章招标内容及要求中第“三、商务要求”全部条款的。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其他情形</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属于招标文件规定评标委员会应否决其投标的情形。</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附加符合性：无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价格符合性：无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6.3澄清有关问题</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（1）对通过符合性审查的电子投标文件中含义不明确、同类问题表述不一致或有明显文字和计算错误的内容，评标委员会将以书面形式要求投标人作出必要的澄清、说明或补正。</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（3）电子投标文件报价出现前后不一致的，除招标文件另有规定外，按照下列规定修正：</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①开标一览表内容与电子投标文件中相应内容不一致的，以开标一览表为准；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②大写金额和小写金额不一致的，以大写金额为准；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③单价金额小数点或百分比有明显错位的，以开标一览表的总价为准，并修改单价；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④总价金额与按照单价汇总金额不一致的，以单价金额计算结果为准。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※同时出现两种以上不一致的，按照前款规定的顺序修正。修正后的报价应按照本章第6.3条第（1）、（2）款规定经投标人确认后产生约束力，投标人不确认的，其投标无效。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（4）关于细微偏差</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②评标委员会将以书面形式要求存在细微偏差的投标人在评标委员会规定的时间内予以补正。若无法补正，则评标委员会将按照不利于投标人的内容进行认定。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（5）关于投标描述（即电子投标文件中描述的内容）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①投标描述前后不一致且不涉及证明材料的：按照本章第6.3条第（1）、（2）款规定执行。</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②投标描述与证明材料不一致或多份证明材料之间不一致的：</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a.评标委员会将要求投标人进行书面澄清，并按照不利于投标人的内容进行评标。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6.4比较与评价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（1）按照本章第7条载明的评标方法和标准，对符合性审查合格的电子投标文件进行比较与评价。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（2）关于相同品牌产品（政府采购服务类项目不适用本条款规定）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a.招标文件规定的方式：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b.招标文件未规定的，采取随机抽取方式确定，其他投标无效。</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a.招标文件规定的方式：</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b.招标文件未规定的，采取随机抽取方式确定，其他同品牌投标人不作为中标候选人。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③非单一产品采购项目，多家投标人提供的核心产品品牌相同的，按照本章第6.4条第（2）款第①、②规定处理。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（3）漏（缺）项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①招标文件中要求列入报价的费用（含配置、功能），漏（缺）项的报价视为已经包括在投标总价中。</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②对多报项及赠送项的价格评标时不予核减，全部进入评标价评议。</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6.5推荐中标候选人：详见本章第7.2条规定。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6.6编写评标报告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（1）评标报告由评标委员会负责编写。</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（2）评标报告应包括下列内容：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①招标公告刊登的媒体名称、开标日期和地点；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②投标人名单和评标委员会成员名单；</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③评标方法和标准；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④开标记录和评标情况及说明，包括无效投标人名单及原因；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⑤评标结果，包括中标候选人名单或确定的中标人；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⑥其他需要说明的情况，包括但不限于：评标过程中投标人的澄清、说明或补正，评委更换等。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6.8评委对需要共同认定的事项存在争议的，应按照少数服从多数的原则进行认定。持不同意见的评委应在评标报告上签署不同意见及理由，否则视为同意评标报告。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6.9在评标过程中发现投标人有下列情形之一的，评标委员会应认定其投标无效，并书面报告本项目监督管理部门：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（1）恶意串通（包括但不限于招标文件第三章第9.7条规定情形）；</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（2）妨碍其他投标人的竞争行为；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（3）损害采购人或其他投标人的合法权益。</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6.10评标过程中，有下列情形之一的，应予废标：</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（1）符合性审查合格的投标人不足三家的；</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（2）有关法律、法规和规章规定废标的情形。</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※若废标，则本次采购活动结束， 福建信发招标代理有限公司 将依法组织后续采购活动（包括但不限于：重新招标、采用其他方式采购等）。</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7、评标方法和标准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7.1评标方法：</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采购包1：综合评分法</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7.2评标标准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采购包1：综合评分法</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（1）投标文件满足招标文件全部实质性要求，且按照评审因素的量化指标评审得分（即评标总得分）最高的投标人为中标候选人。</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每个投标人的评标总得分FA＝F1×A1＋F2×A2＋F3×A3＋F4×A4（若有），其中：F1指价格项评审因素得分、F2指技术项评审因素得分、F3指商务项评审因素得分，A1指价格项评审因素所占的权重、A2指技术项评审因素所占的权重、A3指商务项评审因素所占的权重，A1+A2+A3=1、F1×A1＋F2×A2＋F3×A3=100分（满分时），F4×A4为加分项（即优先类节能产品、环境标志产品在采购活动中可享有的加分优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各项评审因素的设置如下：</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价格项（F1×A1）满分为40.00分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价格扣除的规则如下：</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526"/>
        <w:gridCol w:w="1357"/>
        <w:gridCol w:w="708"/>
        <w:gridCol w:w="639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3523"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项目</w:t>
            </w:r>
          </w:p>
        </w:tc>
        <w:tc>
          <w:tcPr>
            <w:tcW w:w="3523"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适用对象</w:t>
            </w:r>
          </w:p>
        </w:tc>
        <w:tc>
          <w:tcPr>
            <w:tcW w:w="176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比例</w:t>
            </w:r>
          </w:p>
        </w:tc>
        <w:tc>
          <w:tcPr>
            <w:tcW w:w="880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小型、微型企业，监狱企业，残疾人福利性单位</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投标人或者联合体均为小型、微型企业</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right"/>
              <w:rPr>
                <w:rFonts w:hint="eastAsia" w:ascii="宋体" w:hAnsi="宋体" w:cs="宋体"/>
                <w:color w:val="auto"/>
                <w:sz w:val="24"/>
                <w:highlight w:val="none"/>
              </w:rPr>
            </w:pPr>
            <w:r>
              <w:rPr>
                <w:rFonts w:hint="eastAsia" w:ascii="宋体" w:hAnsi="宋体" w:cs="宋体"/>
                <w:color w:val="auto"/>
                <w:kern w:val="0"/>
                <w:sz w:val="24"/>
                <w:highlight w:val="none"/>
                <w:lang w:bidi="ar"/>
              </w:rPr>
              <w:t>15.00%</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（1）《政府采购促进中小企业发展管理办法》、《关于进一步加大政府采购支持中小企业力度的通知》、《福建省财政厅关于进一步加大政府采购支持中小企业力度的通知》价格扣除： 根据《关于印发&lt;政府采购促进中小企业发展管理办法＞的通知》（财库〔2020〕46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根据《关于进一步加大政府采购支持中小企业力度的通知》（财库〔2022〕19号）、《福建省财政厅关于进一步加大政府采购支持中小企业力度的通知》（闽财规〔2022〕13号）等文件规定，本项目将对符合本办法规定的小微企业报价给予15%（工程项目为5%）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中小企业适用价格扣除办法时应提供《中小企业声明函》，否则不予价格扣除。 （2）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工程项目为5%）的评审价格扣除优惠。 （3）根据《财政部 民政部 中国残疾人联合会关于促进残疾人就业政府采购政策的通知》（财库〔2017〕141号）规定，符合规定的残疾人福利性单位参加政府采购活动视同小型、微型企业，提供《残疾人福利性单位声明函》并对声明的真实性负责，其报价享受15%（工程项目为5%）的评审价格扣除优惠。对残疾人福利性单位与其他组织组成联合体参与政府采购活动的，残疾人福利性单位的协议合同金额占总合同金额30%以上的，给予联合体合同金额5%（工程项目为2%）的价格扣除。残疾人福利性单位属于小型、微型企业的，不重复享受政策，按残疾人福利性单位价格扣除标准执行。残疾人福利性单位参与货物项目的，须在投标文件中写明具体哪些货物是由本单位制造，或者由其他残疾人福利性单位制造（不包括使用非残疾人福利性单位注册商标的货物），并对其进行标注。 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其他：无</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技术项（F2×A2）满分为50.00分</w:t>
      </w:r>
    </w:p>
    <w:tbl>
      <w:tblPr>
        <w:tblStyle w:val="10"/>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585"/>
        <w:gridCol w:w="882"/>
        <w:gridCol w:w="750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9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项目</w:t>
            </w:r>
          </w:p>
        </w:tc>
        <w:tc>
          <w:tcPr>
            <w:tcW w:w="44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分值</w:t>
            </w:r>
          </w:p>
        </w:tc>
        <w:tc>
          <w:tcPr>
            <w:tcW w:w="376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9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1、技术和服务要求响应情况</w:t>
            </w:r>
          </w:p>
        </w:tc>
        <w:tc>
          <w:tcPr>
            <w:tcW w:w="44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right"/>
              <w:rPr>
                <w:rFonts w:hint="eastAsia"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
              </w:rPr>
              <w:t>38.</w:t>
            </w:r>
            <w:r>
              <w:rPr>
                <w:rFonts w:hint="eastAsia" w:ascii="宋体" w:hAnsi="宋体" w:cs="宋体"/>
                <w:color w:val="auto"/>
                <w:kern w:val="0"/>
                <w:sz w:val="24"/>
                <w:szCs w:val="24"/>
                <w:highlight w:val="none"/>
                <w:lang w:val="en-US" w:eastAsia="zh-CN" w:bidi="ar"/>
              </w:rPr>
              <w:t>8</w:t>
            </w:r>
            <w:r>
              <w:rPr>
                <w:rFonts w:hint="eastAsia" w:ascii="宋体" w:hAnsi="宋体" w:eastAsia="宋体" w:cs="宋体"/>
                <w:color w:val="auto"/>
                <w:kern w:val="0"/>
                <w:sz w:val="24"/>
                <w:szCs w:val="24"/>
                <w:highlight w:val="none"/>
                <w:lang w:val="en-US" w:eastAsia="zh-CN" w:bidi="ar"/>
              </w:rPr>
              <w:t>0</w:t>
            </w:r>
          </w:p>
        </w:tc>
        <w:tc>
          <w:tcPr>
            <w:tcW w:w="376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根据投标人对招标文件“第五章招标内容及要求”中“二、技术和服务要求”中的</w:t>
            </w:r>
            <w:r>
              <w:rPr>
                <w:rFonts w:hint="eastAsia" w:ascii="宋体" w:hAnsi="宋体" w:eastAsia="宋体" w:cs="宋体"/>
                <w:color w:val="auto"/>
                <w:kern w:val="0"/>
                <w:sz w:val="24"/>
                <w:szCs w:val="24"/>
                <w:highlight w:val="none"/>
                <w:lang w:val="en-US" w:eastAsia="zh-CN" w:bidi="ar"/>
              </w:rPr>
              <w:t>60项</w:t>
            </w:r>
            <w:r>
              <w:rPr>
                <w:rFonts w:hint="eastAsia" w:ascii="宋体" w:hAnsi="宋体" w:cs="宋体"/>
                <w:color w:val="auto"/>
                <w:kern w:val="0"/>
                <w:sz w:val="24"/>
                <w:highlight w:val="none"/>
                <w:lang w:bidi="ar"/>
              </w:rPr>
              <w:t>【评标项】的响应情况，由评委进行评分，完全响应评标项要求的得</w:t>
            </w:r>
            <w:r>
              <w:rPr>
                <w:rFonts w:hint="eastAsia" w:ascii="宋体" w:hAnsi="宋体" w:eastAsia="宋体" w:cs="宋体"/>
                <w:color w:val="auto"/>
                <w:kern w:val="0"/>
                <w:sz w:val="24"/>
                <w:szCs w:val="24"/>
                <w:highlight w:val="none"/>
                <w:lang w:val="en-US" w:eastAsia="zh-CN" w:bidi="ar"/>
              </w:rPr>
              <w:t>38.</w:t>
            </w:r>
            <w:r>
              <w:rPr>
                <w:rFonts w:hint="eastAsia" w:ascii="宋体" w:hAnsi="宋体" w:cs="宋体"/>
                <w:color w:val="auto"/>
                <w:kern w:val="0"/>
                <w:sz w:val="24"/>
                <w:szCs w:val="24"/>
                <w:highlight w:val="none"/>
                <w:lang w:val="en-US" w:eastAsia="zh-CN" w:bidi="ar"/>
              </w:rPr>
              <w:t>8</w:t>
            </w:r>
            <w:r>
              <w:rPr>
                <w:rFonts w:hint="eastAsia" w:ascii="宋体" w:hAnsi="宋体" w:cs="宋体"/>
                <w:color w:val="auto"/>
                <w:kern w:val="0"/>
                <w:sz w:val="24"/>
                <w:highlight w:val="none"/>
                <w:lang w:bidi="ar"/>
              </w:rPr>
              <w:t>分；其中，①标注“★”的评标项（共</w:t>
            </w:r>
            <w:r>
              <w:rPr>
                <w:rFonts w:hint="eastAsia" w:ascii="宋体" w:hAnsi="宋体" w:cs="宋体"/>
                <w:color w:val="auto"/>
                <w:kern w:val="0"/>
                <w:sz w:val="24"/>
                <w:szCs w:val="24"/>
                <w:highlight w:val="none"/>
                <w:lang w:val="en-US" w:eastAsia="zh-CN" w:bidi="ar"/>
              </w:rPr>
              <w:t>2</w:t>
            </w:r>
            <w:r>
              <w:rPr>
                <w:rFonts w:hint="eastAsia" w:ascii="宋体" w:hAnsi="宋体" w:cs="宋体"/>
                <w:color w:val="auto"/>
                <w:kern w:val="0"/>
                <w:sz w:val="24"/>
                <w:highlight w:val="none"/>
                <w:lang w:bidi="ar"/>
              </w:rPr>
              <w:t>项）为不允许负偏离的实质性要求，若有负偏离的，其投标无效；②标注“</w:t>
            </w:r>
            <w:r>
              <w:rPr>
                <w:rFonts w:hint="eastAsia" w:ascii="宋体" w:hAnsi="宋体" w:cs="宋体"/>
                <w:color w:val="auto"/>
                <w:kern w:val="0"/>
                <w:sz w:val="24"/>
                <w:highlight w:val="none"/>
              </w:rPr>
              <w:t>▲</w:t>
            </w:r>
            <w:r>
              <w:rPr>
                <w:rFonts w:hint="eastAsia" w:ascii="宋体" w:hAnsi="宋体" w:cs="宋体"/>
                <w:color w:val="auto"/>
                <w:kern w:val="0"/>
                <w:sz w:val="24"/>
                <w:highlight w:val="none"/>
                <w:lang w:bidi="ar"/>
              </w:rPr>
              <w:t>”的【评标项】（共6项，计18分）每负偏离一项扣</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分</w:t>
            </w:r>
            <w:r>
              <w:rPr>
                <w:rFonts w:hint="eastAsia" w:ascii="宋体" w:hAnsi="宋体" w:cs="宋体"/>
                <w:color w:val="auto"/>
                <w:kern w:val="0"/>
                <w:sz w:val="24"/>
                <w:highlight w:val="none"/>
                <w:lang w:eastAsia="zh-CN" w:bidi="ar"/>
              </w:rPr>
              <w:t>；</w:t>
            </w:r>
            <w:r>
              <w:rPr>
                <w:rFonts w:hint="eastAsia" w:ascii="新宋体" w:hAnsi="新宋体" w:eastAsia="新宋体" w:cs="新宋体"/>
                <w:color w:val="auto"/>
                <w:kern w:val="0"/>
                <w:sz w:val="24"/>
                <w:highlight w:val="none"/>
                <w:lang w:bidi="ar"/>
              </w:rPr>
              <w:t>③</w:t>
            </w:r>
            <w:r>
              <w:rPr>
                <w:rFonts w:hint="eastAsia" w:ascii="宋体" w:hAnsi="宋体" w:cs="宋体"/>
                <w:color w:val="auto"/>
                <w:kern w:val="0"/>
                <w:sz w:val="24"/>
                <w:highlight w:val="none"/>
                <w:lang w:bidi="ar"/>
              </w:rPr>
              <w:t>其余未标注符号的【评标项】</w:t>
            </w:r>
            <w:r>
              <w:rPr>
                <w:rFonts w:hint="eastAsia" w:ascii="宋体" w:hAnsi="宋体" w:eastAsia="宋体" w:cs="宋体"/>
                <w:color w:val="auto"/>
                <w:kern w:val="0"/>
                <w:sz w:val="24"/>
                <w:szCs w:val="24"/>
                <w:highlight w:val="none"/>
                <w:lang w:val="en-US" w:eastAsia="zh-CN" w:bidi="ar"/>
              </w:rPr>
              <w:t>（共5</w:t>
            </w: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项，计20.</w:t>
            </w:r>
            <w:r>
              <w:rPr>
                <w:rFonts w:hint="eastAsia" w:ascii="宋体" w:hAnsi="宋体" w:cs="宋体"/>
                <w:color w:val="auto"/>
                <w:kern w:val="0"/>
                <w:sz w:val="24"/>
                <w:szCs w:val="24"/>
                <w:highlight w:val="none"/>
                <w:lang w:val="en-US" w:eastAsia="zh-CN" w:bidi="ar"/>
              </w:rPr>
              <w:t>8</w:t>
            </w:r>
            <w:r>
              <w:rPr>
                <w:rFonts w:hint="eastAsia" w:ascii="宋体" w:hAnsi="宋体" w:eastAsia="宋体" w:cs="宋体"/>
                <w:color w:val="auto"/>
                <w:kern w:val="0"/>
                <w:sz w:val="24"/>
                <w:szCs w:val="24"/>
                <w:highlight w:val="none"/>
                <w:lang w:val="en-US" w:eastAsia="zh-CN" w:bidi="ar"/>
              </w:rPr>
              <w:t>分</w:t>
            </w:r>
            <w:r>
              <w:rPr>
                <w:rFonts w:hint="eastAsia" w:ascii="宋体" w:hAnsi="宋体" w:cs="宋体"/>
                <w:color w:val="auto"/>
                <w:kern w:val="0"/>
                <w:sz w:val="24"/>
                <w:highlight w:val="none"/>
                <w:lang w:bidi="ar"/>
              </w:rPr>
              <w:t>）每负偏离一项扣0.4分，正偏离不加分。注：标有评标项序号(例如评标项1、评标项2）的指标项即为一项评标项要求，无论是否隶属于上一级编号，其评标项下技术要求若有任意内容负偏离的均按该项评标项负偏离处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9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2、生产计划及供货保障措施</w:t>
            </w:r>
          </w:p>
        </w:tc>
        <w:tc>
          <w:tcPr>
            <w:tcW w:w="44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2.</w:t>
            </w:r>
            <w:r>
              <w:rPr>
                <w:rFonts w:hint="eastAsia" w:ascii="宋体" w:hAnsi="宋体" w:cs="宋体"/>
                <w:color w:val="auto"/>
                <w:highlight w:val="none"/>
                <w:lang w:val="en-US" w:eastAsia="zh-CN" w:bidi="ar"/>
              </w:rPr>
              <w:t>2</w:t>
            </w:r>
            <w:r>
              <w:rPr>
                <w:rFonts w:hint="eastAsia" w:ascii="宋体" w:hAnsi="宋体" w:cs="宋体"/>
                <w:color w:val="auto"/>
                <w:highlight w:val="none"/>
                <w:lang w:bidi="ar"/>
              </w:rPr>
              <w:t>0</w:t>
            </w:r>
          </w:p>
        </w:tc>
        <w:tc>
          <w:tcPr>
            <w:tcW w:w="376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根据投标人提供的生产进度计划及供货保障措施方案情况，由评委进行评分：方案包含的要点齐全无缺漏项内容、思路清晰、充分考虑实际需求、针对性强、可实施性高、切合项目实际情况的得</w:t>
            </w:r>
            <w:r>
              <w:rPr>
                <w:rFonts w:hint="eastAsia" w:ascii="宋体" w:hAnsi="宋体" w:cs="宋体"/>
                <w:color w:val="auto"/>
                <w:highlight w:val="none"/>
                <w:lang w:bidi="ar"/>
              </w:rPr>
              <w:t>2.</w:t>
            </w:r>
            <w:r>
              <w:rPr>
                <w:rFonts w:hint="eastAsia" w:ascii="宋体" w:hAnsi="宋体" w:cs="宋体"/>
                <w:color w:val="auto"/>
                <w:highlight w:val="none"/>
                <w:lang w:val="en-US" w:eastAsia="zh-CN" w:bidi="ar"/>
              </w:rPr>
              <w:t>2</w:t>
            </w:r>
            <w:r>
              <w:rPr>
                <w:rFonts w:hint="eastAsia" w:ascii="宋体" w:hAnsi="宋体" w:cs="宋体"/>
                <w:color w:val="auto"/>
                <w:highlight w:val="none"/>
                <w:lang w:bidi="ar"/>
              </w:rPr>
              <w:t>分；</w:t>
            </w:r>
            <w:r>
              <w:rPr>
                <w:rFonts w:hint="eastAsia" w:ascii="宋体" w:hAnsi="宋体" w:cs="宋体"/>
                <w:color w:val="auto"/>
                <w:highlight w:val="none"/>
                <w:lang w:bidi="ar"/>
              </w:rPr>
              <w:t>方案包含的要点齐全无缺漏项内容、部分内容具体、合理、具有针对性、可实施、切合项目实际情况的得1.5分；方案包含的要点不齐全有缺漏项内容、仅笼统描述具体措施不够完整详细的得1分；未提供方案或内容存在明显错误、不适用于本项目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94"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3、设备质量性能</w:t>
            </w:r>
          </w:p>
        </w:tc>
        <w:tc>
          <w:tcPr>
            <w:tcW w:w="442"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3.00</w:t>
            </w:r>
          </w:p>
        </w:tc>
        <w:tc>
          <w:tcPr>
            <w:tcW w:w="3762"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根据投标人针对所投产品所提供的设备质量性能阐述方案（①质量保障方案、②供货保障）情况，佐证材料不仅限于技术参数描述、产品彩页、说明书、操作手册、实训指导书、产品合格证、检测报告等证明材料，由评委进行评分：方案完整、详细且最大限度满足采购需求的3分；方案部分完整且基本满足采购需求的得2分；方案仅笼统说明或与采购需求不符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94"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4、建设方案</w:t>
            </w:r>
          </w:p>
        </w:tc>
        <w:tc>
          <w:tcPr>
            <w:tcW w:w="442"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3.00</w:t>
            </w:r>
          </w:p>
        </w:tc>
        <w:tc>
          <w:tcPr>
            <w:tcW w:w="3762"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根据投标人针对本项目采购需求了解提供的建设方案情况，由评委进行评分：方案详细完整、可操作性强、能最大限度满足采购需求的得3分；方案部分完整、具有一定的可操作性、能基本满足采购需求的得2分；方案仅笼统说明或不具有可操作性或与采购需求不符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94"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5、技术实施方案</w:t>
            </w:r>
          </w:p>
        </w:tc>
        <w:tc>
          <w:tcPr>
            <w:tcW w:w="442"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3.00</w:t>
            </w:r>
          </w:p>
        </w:tc>
        <w:tc>
          <w:tcPr>
            <w:tcW w:w="3762" w:type="pct"/>
            <w:noWrap w:val="0"/>
            <w:vAlign w:val="top"/>
          </w:tcPr>
          <w:p>
            <w:pPr>
              <w:pStyle w:val="16"/>
              <w:keepNext w:val="0"/>
              <w:keepLines w:val="0"/>
              <w:suppressLineNumbers w:val="0"/>
              <w:spacing w:before="0" w:beforeAutospacing="0" w:after="0" w:afterAutospacing="0"/>
              <w:ind w:left="0" w:right="0"/>
              <w:jc w:val="both"/>
              <w:rPr>
                <w:rFonts w:hint="eastAsia" w:ascii="宋体" w:hAnsi="宋体" w:cs="宋体"/>
                <w:color w:val="auto"/>
                <w:highlight w:val="none"/>
                <w:lang w:bidi="ar"/>
              </w:rPr>
            </w:pPr>
            <w:r>
              <w:rPr>
                <w:rFonts w:hint="eastAsia" w:ascii="宋体" w:hAnsi="宋体" w:cs="宋体"/>
                <w:color w:val="auto"/>
                <w:highlight w:val="none"/>
                <w:lang w:bidi="ar"/>
              </w:rPr>
              <w:t>根据投标人针对本项目提供的技术实施方案（包含但不限于：人员整体配置、组织计划、工期保证措施等），由评委进行评分：方案详细完整、可操作性强、配置齐全且措施完善的得3分；方案部分完整、具有一定的可操作性、配置及措施基本满足采购需求的得2分；方案仅笼统说明或不具有可操作性或与采购需求不符的得1分；未提供的不得分。</w:t>
            </w:r>
          </w:p>
        </w:tc>
      </w:tr>
    </w:tbl>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商务项（F3×A3）满分为10.00分</w:t>
      </w:r>
    </w:p>
    <w:tbl>
      <w:tblPr>
        <w:tblStyle w:val="10"/>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559"/>
        <w:gridCol w:w="864"/>
        <w:gridCol w:w="755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8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项目</w:t>
            </w:r>
          </w:p>
        </w:tc>
        <w:tc>
          <w:tcPr>
            <w:tcW w:w="433"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分值</w:t>
            </w:r>
          </w:p>
        </w:tc>
        <w:tc>
          <w:tcPr>
            <w:tcW w:w="378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8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1、团队</w:t>
            </w:r>
          </w:p>
        </w:tc>
        <w:tc>
          <w:tcPr>
            <w:tcW w:w="433"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2.00</w:t>
            </w:r>
          </w:p>
        </w:tc>
        <w:tc>
          <w:tcPr>
            <w:tcW w:w="378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lang w:bidi="ar"/>
              </w:rPr>
              <w:t>投标人拟派本项目总负责人(1人)同时具备信息系统项目高级管理师、软件工程师、终端与业务专业中级职称的得2分，</w:t>
            </w:r>
            <w:r>
              <w:rPr>
                <w:rFonts w:hint="eastAsia" w:ascii="宋体" w:hAnsi="宋体" w:cs="宋体"/>
                <w:color w:val="auto"/>
                <w:highlight w:val="none"/>
                <w:lang w:val="en-US" w:eastAsia="zh-CN" w:bidi="ar"/>
              </w:rPr>
              <w:t>缺1项扣1分。</w:t>
            </w:r>
            <w:r>
              <w:rPr>
                <w:rFonts w:hint="eastAsia" w:ascii="宋体" w:hAnsi="宋体" w:eastAsia="宋体" w:cs="宋体"/>
                <w:color w:val="auto"/>
                <w:kern w:val="0"/>
                <w:sz w:val="24"/>
                <w:szCs w:val="24"/>
                <w:highlight w:val="none"/>
                <w:lang w:val="en-US" w:eastAsia="zh-CN" w:bidi="ar"/>
              </w:rPr>
              <w:t>注：须同时提供证书复印件以及投标人为其缴纳的投标截止时间前六个月（不含投标截止时间的当月）中任一月份的社会保障资金缴纳凭据复印件，否则不得分。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8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line="360" w:lineRule="exact"/>
              <w:ind w:left="0" w:right="0"/>
              <w:jc w:val="left"/>
              <w:rPr>
                <w:rFonts w:hint="default" w:ascii="宋体" w:hAnsi="宋体" w:cs="宋体"/>
                <w:color w:val="auto"/>
                <w:highlight w:val="none"/>
                <w:lang w:val="en-US" w:eastAsia="zh-CN"/>
              </w:rPr>
            </w:pPr>
            <w:r>
              <w:rPr>
                <w:rFonts w:hint="eastAsia" w:ascii="宋体" w:hAnsi="宋体" w:cs="宋体"/>
                <w:color w:val="auto"/>
                <w:highlight w:val="none"/>
                <w:lang w:val="en-US" w:eastAsia="zh-CN"/>
              </w:rPr>
              <w:t>2、业绩情况</w:t>
            </w:r>
          </w:p>
        </w:tc>
        <w:tc>
          <w:tcPr>
            <w:tcW w:w="433"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lang w:val="en-US" w:eastAsia="zh-CN"/>
              </w:rPr>
            </w:pPr>
            <w:r>
              <w:rPr>
                <w:rFonts w:hint="eastAsia" w:ascii="宋体" w:hAnsi="宋体" w:cs="宋体"/>
                <w:color w:val="auto"/>
                <w:highlight w:val="none"/>
                <w:lang w:val="en-US" w:eastAsia="zh-CN"/>
              </w:rPr>
              <w:t>2.00</w:t>
            </w:r>
          </w:p>
        </w:tc>
        <w:tc>
          <w:tcPr>
            <w:tcW w:w="378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lang w:val="en-US" w:eastAsia="zh-CN"/>
              </w:rPr>
            </w:pPr>
            <w:r>
              <w:rPr>
                <w:rFonts w:hint="eastAsia" w:ascii="宋体" w:hAnsi="宋体" w:cs="宋体"/>
                <w:color w:val="auto"/>
                <w:highlight w:val="none"/>
                <w:lang w:val="en-US" w:eastAsia="zh-CN"/>
              </w:rPr>
              <w:t>根据投标人提供2019年1月1日起至本项目投标截止时间止（日期以合同签订时间为准），由投标人已完成的对讲或通讯终端相关的业绩情况，由评委进行评分：每提供一份合格有效的业绩的得1分，满分2分。投标人须同时提供中标公告(提供相关网站中标公告的下载网页并注明网址)、中标通知书复印件、采购合同文本复印件以及能够证明该业绩项目已经采购人验收合格的相关证明文件复印件并提供业绩清单列表，未同时提供以上证明材料的本项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81"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lang w:val="en-US" w:eastAsia="zh-CN"/>
              </w:rPr>
              <w:t>3、企业实力</w:t>
            </w:r>
          </w:p>
        </w:tc>
        <w:tc>
          <w:tcPr>
            <w:tcW w:w="433"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2.00</w:t>
            </w:r>
          </w:p>
        </w:tc>
        <w:tc>
          <w:tcPr>
            <w:tcW w:w="3784" w:type="pct"/>
            <w:noWrap w:val="0"/>
            <w:vAlign w:val="top"/>
          </w:tcPr>
          <w:p>
            <w:pPr>
              <w:pStyle w:val="16"/>
              <w:keepNext w:val="0"/>
              <w:keepLines w:val="0"/>
              <w:suppressLineNumbers w:val="0"/>
              <w:spacing w:before="0" w:beforeAutospacing="0" w:after="0" w:afterAutospacing="0" w:line="360" w:lineRule="exact"/>
              <w:ind w:left="0" w:right="0"/>
              <w:jc w:val="both"/>
              <w:rPr>
                <w:rFonts w:hint="default" w:ascii="宋体" w:hAnsi="宋体" w:eastAsia="宋体" w:cs="宋体"/>
                <w:color w:val="auto"/>
                <w:highlight w:val="none"/>
                <w:lang w:val="en-US" w:eastAsia="zh-CN"/>
              </w:rPr>
            </w:pPr>
            <w:r>
              <w:rPr>
                <w:rFonts w:hint="eastAsia" w:ascii="宋体" w:hAnsi="宋体" w:cs="宋体"/>
                <w:color w:val="auto"/>
                <w:highlight w:val="none"/>
              </w:rPr>
              <w:t>投标人所</w:t>
            </w:r>
            <w:r>
              <w:rPr>
                <w:rFonts w:hint="eastAsia" w:ascii="宋体" w:hAnsi="宋体" w:cs="宋体"/>
                <w:color w:val="auto"/>
                <w:highlight w:val="none"/>
                <w:lang w:val="en-US" w:eastAsia="zh-CN"/>
              </w:rPr>
              <w:t>投</w:t>
            </w:r>
            <w:r>
              <w:rPr>
                <w:rFonts w:hint="eastAsia" w:ascii="宋体" w:hAnsi="宋体" w:cs="宋体"/>
                <w:color w:val="auto"/>
                <w:highlight w:val="none"/>
                <w:lang w:eastAsia="zh-CN"/>
              </w:rPr>
              <w:t>手持终端、基地台的</w:t>
            </w:r>
            <w:r>
              <w:rPr>
                <w:rFonts w:hint="eastAsia" w:ascii="宋体" w:hAnsi="宋体" w:cs="宋体"/>
                <w:color w:val="auto"/>
                <w:highlight w:val="none"/>
              </w:rPr>
              <w:t>生产厂家属于工业和信息化部认证的国家技术创新示范企业和国家级工业设计中心认证单位的得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每缺1项扣1分，</w:t>
            </w:r>
            <w:r>
              <w:rPr>
                <w:rFonts w:hint="eastAsia" w:ascii="宋体" w:hAnsi="宋体" w:cs="宋体"/>
                <w:color w:val="auto"/>
                <w:highlight w:val="none"/>
                <w:lang w:eastAsia="zh-CN"/>
              </w:rPr>
              <w:t>须</w:t>
            </w:r>
            <w:r>
              <w:rPr>
                <w:rFonts w:hint="eastAsia" w:ascii="宋体" w:hAnsi="宋体" w:cs="宋体"/>
                <w:color w:val="auto"/>
                <w:highlight w:val="none"/>
              </w:rPr>
              <w:t>提供证明文件</w:t>
            </w:r>
            <w:r>
              <w:rPr>
                <w:rFonts w:hint="eastAsia" w:ascii="宋体" w:hAnsi="宋体" w:cs="宋体"/>
                <w:color w:val="auto"/>
                <w:highlight w:val="none"/>
                <w:lang w:val="en-US" w:eastAsia="zh-CN"/>
              </w:rPr>
              <w:t>或网页截图（注明网址）</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81"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4、售后服务</w:t>
            </w:r>
          </w:p>
        </w:tc>
        <w:tc>
          <w:tcPr>
            <w:tcW w:w="433"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2.00</w:t>
            </w:r>
          </w:p>
        </w:tc>
        <w:tc>
          <w:tcPr>
            <w:tcW w:w="3784"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根据投标人提供的售后服务方案（包括但不限于售后服务机构、售后人员、售后服务期后维保服务收费标准等），由评委进行评分：</w:t>
            </w:r>
            <w:r>
              <w:rPr>
                <w:rFonts w:hint="eastAsia" w:ascii="宋体" w:hAnsi="宋体" w:cs="宋体"/>
                <w:color w:val="auto"/>
                <w:highlight w:val="none"/>
                <w:lang w:bidi="ar"/>
              </w:rPr>
              <w:t>方案包含的要点齐全无缺漏项内容、思路清晰、充分考虑实际需求、针对性强、可实施性高、切合项目实际情况的得2分；方案包含的要点齐全无缺漏项内容、部分内容具体、合理、具有针对性、可实施、切合项目实际情况的得1分；未提供方案或内容存在明显错误、不适用于本项目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81"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5、培训方案</w:t>
            </w:r>
          </w:p>
        </w:tc>
        <w:tc>
          <w:tcPr>
            <w:tcW w:w="433"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2.00</w:t>
            </w:r>
          </w:p>
        </w:tc>
        <w:tc>
          <w:tcPr>
            <w:tcW w:w="3784" w:type="pct"/>
            <w:noWrap w:val="0"/>
            <w:vAlign w:val="top"/>
          </w:tcPr>
          <w:p>
            <w:pPr>
              <w:pStyle w:val="16"/>
              <w:keepNext w:val="0"/>
              <w:keepLines w:val="0"/>
              <w:suppressLineNumbers w:val="0"/>
              <w:spacing w:before="0" w:beforeAutospacing="0" w:after="0" w:afterAutospacing="0" w:line="360" w:lineRule="exact"/>
              <w:ind w:left="0" w:right="0"/>
              <w:jc w:val="both"/>
              <w:rPr>
                <w:rFonts w:hint="eastAsia" w:ascii="宋体" w:hAnsi="宋体" w:cs="宋体"/>
                <w:color w:val="auto"/>
                <w:highlight w:val="none"/>
              </w:rPr>
            </w:pPr>
            <w:r>
              <w:rPr>
                <w:rFonts w:hint="eastAsia" w:ascii="宋体" w:hAnsi="宋体" w:cs="宋体"/>
                <w:color w:val="auto"/>
                <w:highlight w:val="none"/>
              </w:rPr>
              <w:t>根据投标人提供的培训服务方案（包括培训服务承诺、培训服务内容、培训人员安排、培</w:t>
            </w:r>
            <w:r>
              <w:rPr>
                <w:rFonts w:hint="eastAsia" w:ascii="宋体" w:hAnsi="宋体" w:cs="宋体"/>
                <w:color w:val="auto"/>
                <w:highlight w:val="none"/>
                <w:lang w:val="en-US" w:eastAsia="zh-CN"/>
              </w:rPr>
              <w:t xml:space="preserve">  </w:t>
            </w:r>
            <w:r>
              <w:rPr>
                <w:rFonts w:hint="eastAsia" w:ascii="宋体" w:hAnsi="宋体" w:cs="宋体"/>
                <w:color w:val="auto"/>
                <w:highlight w:val="none"/>
              </w:rPr>
              <w:t>训服务保障措施等方面）由评委进行评分：培训方案完整全面，培训计划安排合理、明确，培训人员配置专业齐全，培训服务保障措施得力的，得2分；培训方案、培训计划安排有欠缺，培训人员配置、培训服务保障措施有欠缺的，得 1分；提供的方案不符合本项目需求的或未提供的不得分</w:t>
            </w:r>
          </w:p>
        </w:tc>
      </w:tr>
    </w:tbl>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加分项（F4×A4）</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011"/>
        <w:gridCol w:w="743"/>
        <w:gridCol w:w="723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046"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项目</w:t>
            </w:r>
          </w:p>
        </w:tc>
        <w:tc>
          <w:tcPr>
            <w:tcW w:w="176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分值</w:t>
            </w:r>
          </w:p>
        </w:tc>
        <w:tc>
          <w:tcPr>
            <w:tcW w:w="880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节能、环境标志产品</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right"/>
              <w:rPr>
                <w:rFonts w:hint="eastAsia" w:ascii="宋体" w:hAnsi="宋体" w:cs="宋体"/>
                <w:color w:val="auto"/>
                <w:sz w:val="24"/>
                <w:highlight w:val="none"/>
              </w:rPr>
            </w:pPr>
            <w:r>
              <w:rPr>
                <w:rFonts w:hint="eastAsia" w:ascii="宋体" w:hAnsi="宋体" w:cs="宋体"/>
                <w:color w:val="auto"/>
                <w:kern w:val="0"/>
                <w:sz w:val="24"/>
                <w:highlight w:val="none"/>
                <w:lang w:bidi="ar"/>
              </w:rPr>
              <w:t>7.20</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1、根据财政部 发展改革委 生态环境部 市场监管总局印发《关于调整优化节能产品、环境标志产品政府采购执行机制的通知》(财库〔2019〕9号)的规定。依据国家确定的认证机构出具的、处于有效期之内的节能产品、环境标志产品认证证书，对获得证书的产品实施政府优先采购或强制采购。2、节能产品政府采购品目清单中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若节能产品政府采购品目清单有相应变更，以变更的为准），本次采购货物中如属政府强制采购节能产品的，投标人须提供国家确定的认证机构出具的、处于有效期之内的节能产品认证证书复印件，否则视为投标无效；3、节能、减排、环境标志产品评审优惠内容及幅度（属于国家强制节能的产品本项不再予以优惠）：同一采购包内的节能（非强制类产品）、减排、环境志产品报价总金额占本采购包报价总金额 20%（含20%）以下给予价格评标项标准总分值4%的加分，技术评标项标准总分值4%的加分；占本采购包报价总金额20%-50%（含50%）给予价格评标项标准总分值6%的加分，技术评标项标准总分值6%的加分；占本采购包报价总金额50%以上给予价格评标项标准总分值8%的加分，技术评标项标准总分值8%的加分。4、投标人在投标时必须对属于节能、环境标志产品单独在节能(非强制类产品)、环境标志产品统计表中填写，并提供产品的证明资料（国家确定的认证机构出具的、处于有效期之内的节能产品、环境标志产品认证证书复印件）附在报价部分(电子证明资料应上传在对应评分模块)且加盖投标人公章。未单独分项报价或未按规定提供产品的证明资料的不给予加分。若节能、环境标志产品仅是构成投标产品的部件、组件或零件的，则该投标产品不享受鼓励优惠政策。评标委员会审查此项响应性只根据投标文件本身的内容，而不寻求其他的外部证据。</w:t>
            </w:r>
          </w:p>
        </w:tc>
      </w:tr>
    </w:tbl>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（4）中标候选人排列规则顺序如下：</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a.按照评标总得分（FA）由高到低顺序排列。</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b.评标总得分（FA）相同的，按照评标价（即价格扣除后的投标报价）由低到高顺序排列。</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c.评标总得分（FA）且评标价（即价格扣除后的投标报价）相同的并列。</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8、其他规定</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8.1评标应全程保密且不得透露给任一投标人或与评标工作无关的人员。</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8.2评标将进行全程实时录音录像，录音录像资料随采购文件一并存档。</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8.3若投标人有任何试图干扰具体评标事务，影响评标委员会独立履行职责的行为，其投标无效且不予退还投标保证金或通过投标保函进行索赔。情节严重的，由财政部门列入不良行为记录。</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8.4其他：</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第五章 招标内容及要求</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一、项目概况（采购标的）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本项目为福建省莆田监狱数字集群无线通讯系统采购项目，投标人提供的所有产品必须通过合法渠道获得，具有在中国境内的合法使用权和用户保护权且为全新原装品牌货物。产品技术参数必须符合或优于国家及行业相关标准。</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投标人按采购包投标，对同一采购包内所有品目号内容投标时必须完整，评标与授标以采购包为单位。投标报价不得超出招标文件规定的最高限价。投标报价应包含投标货物所涉及的所有费用，包括货物制造、包装、运输、装卸、税金、保险、安装、搬运、调试、验收、培训、检验、保修等一切相关费用。</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投标人必须保证所投货物为生产厂家的正规合格产品，并按正规销售渠道供货且提供的所有产品具有在中国境内的合法使用权和用户保护权且为全新原装品牌产品，若投标人所投产品国家有强制性要求认证的，则投标人应提供通过认证的产品进行投标。投标人所提供的服务应符合国家相关法律法规。如因产品违反国家相关规定而产生的纠纷和责任，均由投标人负全责。若因此给采购人造成损失的，投标人还要负赔偿责任。 </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1.4本项目的核心产品◆：序号1 PDT数字集群基站。</w:t>
      </w:r>
    </w:p>
    <w:p>
      <w:pPr>
        <w:pStyle w:val="9"/>
        <w:widowControl/>
        <w:spacing w:before="0" w:beforeAutospacing="0" w:after="0" w:afterAutospacing="0" w:line="360" w:lineRule="exact"/>
        <w:ind w:firstLine="480"/>
        <w:rPr>
          <w:rStyle w:val="12"/>
          <w:rFonts w:hint="eastAsia" w:ascii="宋体" w:hAnsi="宋体" w:cs="宋体"/>
          <w:color w:val="auto"/>
          <w:highlight w:val="none"/>
          <w:shd w:val="clear" w:color="auto" w:fill="FFFFFF"/>
        </w:rPr>
      </w:pPr>
      <w:r>
        <w:rPr>
          <w:rStyle w:val="12"/>
          <w:rFonts w:hint="eastAsia" w:ascii="宋体" w:hAnsi="宋体" w:cs="宋体"/>
          <w:color w:val="auto"/>
          <w:highlight w:val="none"/>
          <w:shd w:val="clear" w:color="auto" w:fill="FFFFFF"/>
        </w:rPr>
        <w:t>1.5以下“三、商务要求”均为不允许负偏离的实质性条款，若负偏离则投标无效。</w:t>
      </w:r>
    </w:p>
    <w:p>
      <w:pPr>
        <w:pStyle w:val="9"/>
        <w:widowControl/>
        <w:spacing w:before="0" w:beforeAutospacing="0" w:after="0" w:afterAutospacing="0" w:line="360" w:lineRule="exact"/>
        <w:ind w:firstLine="480"/>
        <w:rPr>
          <w:rStyle w:val="12"/>
          <w:rFonts w:hint="eastAsia" w:ascii="宋体" w:hAnsi="宋体" w:cs="宋体"/>
          <w:color w:val="auto"/>
          <w:highlight w:val="none"/>
          <w:shd w:val="clear" w:color="auto" w:fill="FFFFFF"/>
        </w:rPr>
      </w:pPr>
    </w:p>
    <w:p>
      <w:pPr>
        <w:pStyle w:val="4"/>
        <w:widowControl/>
        <w:numPr>
          <w:ilvl w:val="0"/>
          <w:numId w:val="1"/>
        </w:numPr>
        <w:spacing w:before="0" w:beforeAutospacing="0" w:after="0" w:afterAutospacing="0" w:line="360" w:lineRule="exact"/>
        <w:jc w:val="both"/>
        <w:rPr>
          <w:rFonts w:cs="宋体"/>
          <w:color w:val="auto"/>
          <w:sz w:val="24"/>
          <w:szCs w:val="24"/>
          <w:highlight w:val="none"/>
          <w:shd w:val="clear" w:color="auto" w:fill="FFFFFF"/>
        </w:rPr>
      </w:pPr>
      <w:r>
        <w:rPr>
          <w:rFonts w:cs="宋体"/>
          <w:color w:val="auto"/>
          <w:sz w:val="24"/>
          <w:szCs w:val="24"/>
          <w:highlight w:val="none"/>
          <w:shd w:val="clear" w:color="auto" w:fill="FFFFFF"/>
        </w:rPr>
        <w:t>技术和服务要求（以“★”标示的内容为不允许负偏离的实质性要求）</w:t>
      </w:r>
    </w:p>
    <w:p>
      <w:pPr>
        <w:numPr>
          <w:ilvl w:val="0"/>
          <w:numId w:val="0"/>
        </w:numPr>
        <w:rPr>
          <w:rFonts w:hint="default" w:ascii="宋体" w:hAnsi="宋体" w:eastAsia="宋体" w:cs="宋体"/>
          <w:b/>
          <w:bCs/>
          <w:color w:val="auto"/>
          <w:kern w:val="0"/>
          <w:sz w:val="24"/>
          <w:szCs w:val="24"/>
          <w:highlight w:val="none"/>
          <w:shd w:val="clear" w:color="auto" w:fill="FFFFFF"/>
          <w:lang w:val="en-US" w:eastAsia="zh-CN" w:bidi="ar"/>
        </w:rPr>
      </w:pPr>
      <w:r>
        <w:rPr>
          <w:rFonts w:hint="eastAsia" w:ascii="宋体" w:hAnsi="宋体" w:eastAsia="宋体" w:cs="宋体"/>
          <w:b/>
          <w:bCs/>
          <w:color w:val="auto"/>
          <w:kern w:val="0"/>
          <w:sz w:val="24"/>
          <w:szCs w:val="24"/>
          <w:highlight w:val="none"/>
          <w:shd w:val="clear" w:color="auto" w:fill="FFFFFF"/>
          <w:lang w:val="en-US" w:eastAsia="zh-CN" w:bidi="ar"/>
        </w:rPr>
        <w:t>（1）</w:t>
      </w:r>
      <w:r>
        <w:rPr>
          <w:rFonts w:hint="eastAsia" w:ascii="宋体" w:hAnsi="宋体" w:cs="宋体"/>
          <w:b/>
          <w:bCs/>
          <w:color w:val="auto"/>
          <w:kern w:val="0"/>
          <w:sz w:val="24"/>
          <w:szCs w:val="24"/>
          <w:highlight w:val="none"/>
          <w:shd w:val="clear" w:color="auto" w:fill="FFFFFF"/>
          <w:lang w:val="en-US" w:eastAsia="zh-CN" w:bidi="ar"/>
        </w:rPr>
        <w:t>主要技术参数及要求</w:t>
      </w:r>
    </w:p>
    <w:tbl>
      <w:tblPr>
        <w:tblStyle w:val="10"/>
        <w:tblW w:w="5000" w:type="pct"/>
        <w:tblInd w:w="0" w:type="dxa"/>
        <w:tblLayout w:type="fixed"/>
        <w:tblCellMar>
          <w:top w:w="0" w:type="dxa"/>
          <w:left w:w="108" w:type="dxa"/>
          <w:bottom w:w="0" w:type="dxa"/>
          <w:right w:w="108" w:type="dxa"/>
        </w:tblCellMar>
      </w:tblPr>
      <w:tblGrid>
        <w:gridCol w:w="563"/>
        <w:gridCol w:w="847"/>
        <w:gridCol w:w="7153"/>
        <w:gridCol w:w="825"/>
        <w:gridCol w:w="574"/>
      </w:tblGrid>
      <w:tr>
        <w:tblPrEx>
          <w:tblCellMar>
            <w:top w:w="0" w:type="dxa"/>
            <w:left w:w="108" w:type="dxa"/>
            <w:bottom w:w="0" w:type="dxa"/>
            <w:right w:w="108" w:type="dxa"/>
          </w:tblCellMar>
        </w:tblPrEx>
        <w:trPr>
          <w:trHeight w:val="225" w:hRule="atLeast"/>
        </w:trPr>
        <w:tc>
          <w:tcPr>
            <w:tcW w:w="282"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top"/>
              <w:rPr>
                <w:rFonts w:hint="eastAsia" w:ascii="宋体" w:hAnsi="宋体" w:cs="宋体"/>
                <w:b/>
                <w:bCs/>
                <w:color w:val="auto"/>
                <w:sz w:val="24"/>
                <w:highlight w:val="none"/>
              </w:rPr>
            </w:pPr>
            <w:r>
              <w:rPr>
                <w:rFonts w:hint="eastAsia" w:ascii="宋体" w:hAnsi="宋体" w:cs="宋体"/>
                <w:b/>
                <w:bCs/>
                <w:color w:val="auto"/>
                <w:kern w:val="0"/>
                <w:sz w:val="24"/>
                <w:highlight w:val="none"/>
              </w:rPr>
              <w:t>序号</w:t>
            </w:r>
          </w:p>
        </w:tc>
        <w:tc>
          <w:tcPr>
            <w:tcW w:w="425" w:type="pct"/>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top"/>
              <w:rPr>
                <w:rFonts w:hint="eastAsia" w:ascii="宋体" w:hAnsi="宋体" w:cs="宋体"/>
                <w:b/>
                <w:bCs/>
                <w:color w:val="auto"/>
                <w:sz w:val="24"/>
                <w:highlight w:val="none"/>
              </w:rPr>
            </w:pPr>
            <w:r>
              <w:rPr>
                <w:rFonts w:hint="eastAsia" w:ascii="宋体" w:hAnsi="宋体" w:cs="宋体"/>
                <w:b/>
                <w:bCs/>
                <w:color w:val="auto"/>
                <w:kern w:val="0"/>
                <w:sz w:val="24"/>
                <w:highlight w:val="none"/>
              </w:rPr>
              <w:t>货物名</w:t>
            </w:r>
            <w:r>
              <w:rPr>
                <w:rStyle w:val="18"/>
                <w:rFonts w:cs="宋体"/>
                <w:color w:val="auto"/>
                <w:sz w:val="24"/>
                <w:szCs w:val="24"/>
                <w:highlight w:val="none"/>
              </w:rPr>
              <w:t>称</w:t>
            </w:r>
          </w:p>
        </w:tc>
        <w:tc>
          <w:tcPr>
            <w:tcW w:w="3590" w:type="pct"/>
            <w:tcBorders>
              <w:top w:val="single" w:color="000000" w:sz="8" w:space="0"/>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top"/>
              <w:rPr>
                <w:rFonts w:hint="eastAsia" w:ascii="宋体" w:hAnsi="宋体" w:cs="宋体"/>
                <w:b/>
                <w:bCs/>
                <w:color w:val="auto"/>
                <w:sz w:val="24"/>
                <w:highlight w:val="none"/>
              </w:rPr>
            </w:pPr>
            <w:r>
              <w:rPr>
                <w:rFonts w:hint="eastAsia" w:ascii="宋体" w:hAnsi="宋体" w:cs="宋体"/>
                <w:b/>
                <w:bCs/>
                <w:color w:val="auto"/>
                <w:kern w:val="0"/>
                <w:sz w:val="24"/>
                <w:highlight w:val="none"/>
              </w:rPr>
              <w:t>主要技术要求</w:t>
            </w:r>
          </w:p>
        </w:tc>
        <w:tc>
          <w:tcPr>
            <w:tcW w:w="414" w:type="pct"/>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数量</w:t>
            </w:r>
          </w:p>
        </w:tc>
        <w:tc>
          <w:tcPr>
            <w:tcW w:w="288" w:type="pct"/>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top"/>
              <w:rPr>
                <w:rFonts w:hint="eastAsia" w:ascii="宋体" w:hAnsi="宋体" w:cs="宋体"/>
                <w:b/>
                <w:bCs/>
                <w:color w:val="auto"/>
                <w:sz w:val="24"/>
                <w:highlight w:val="none"/>
              </w:rPr>
            </w:pPr>
            <w:r>
              <w:rPr>
                <w:rFonts w:hint="eastAsia" w:ascii="宋体" w:hAnsi="宋体" w:cs="宋体"/>
                <w:b/>
                <w:bCs/>
                <w:color w:val="auto"/>
                <w:kern w:val="0"/>
                <w:sz w:val="24"/>
                <w:highlight w:val="none"/>
              </w:rPr>
              <w:t>单位</w:t>
            </w:r>
          </w:p>
        </w:tc>
      </w:tr>
      <w:tr>
        <w:tblPrEx>
          <w:tblCellMar>
            <w:top w:w="0" w:type="dxa"/>
            <w:left w:w="108" w:type="dxa"/>
            <w:bottom w:w="0" w:type="dxa"/>
            <w:right w:w="108" w:type="dxa"/>
          </w:tblCellMar>
        </w:tblPrEx>
        <w:trPr>
          <w:trHeight w:val="1215" w:hRule="atLeast"/>
        </w:trPr>
        <w:tc>
          <w:tcPr>
            <w:tcW w:w="282" w:type="pct"/>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1</w:t>
            </w:r>
          </w:p>
        </w:tc>
        <w:tc>
          <w:tcPr>
            <w:tcW w:w="425" w:type="pct"/>
            <w:vMerge w:val="restart"/>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PDT数字集群基站</w:t>
            </w:r>
          </w:p>
        </w:tc>
        <w:tc>
          <w:tcPr>
            <w:tcW w:w="3590" w:type="pct"/>
            <w:tcBorders>
              <w:top w:val="single" w:color="000000" w:sz="8" w:space="0"/>
              <w:left w:val="single" w:color="000000" w:sz="8" w:space="0"/>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rPr>
              <w:t>★1、包含基站建设及辅助材料，采用一体机柜设计，设备有不少于</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个PDT数字集群信道机(含相关基站软件）、基站控制器、基站供电单元、</w:t>
            </w:r>
            <w:r>
              <w:rPr>
                <w:rFonts w:hint="eastAsia" w:ascii="宋体" w:hAnsi="宋体" w:cs="宋体"/>
                <w:color w:val="auto"/>
                <w:kern w:val="0"/>
                <w:sz w:val="24"/>
                <w:highlight w:val="none"/>
              </w:rPr>
              <w:t>基站风扇单元</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分路器单元、合路器单元、防雷保护器等。基于PDT数字集群标准，具备大区制、安全保密、互连互通、自主知识产权和模数平滑过渡等PDT特性。</w:t>
            </w:r>
          </w:p>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w:t>
            </w:r>
            <w:r>
              <w:rPr>
                <w:rFonts w:hint="default" w:ascii="宋体" w:hAnsi="宋体" w:eastAsia="宋体" w:cs="宋体"/>
                <w:color w:val="auto"/>
                <w:sz w:val="24"/>
                <w:szCs w:val="24"/>
                <w:highlight w:val="none"/>
              </w:rPr>
              <w:t>★2、PDT数字集群基站产品厂商数字集群通信系统通过国家权威机构的互联测试检测，</w:t>
            </w:r>
            <w:r>
              <w:rPr>
                <w:rFonts w:hint="default" w:ascii="宋体" w:hAnsi="宋体" w:eastAsia="宋体" w:cs="宋体"/>
                <w:b/>
                <w:bCs/>
                <w:color w:val="auto"/>
                <w:sz w:val="24"/>
                <w:szCs w:val="24"/>
                <w:highlight w:val="none"/>
              </w:rPr>
              <w:t>投标时须提供权威有效检测报告复印件</w:t>
            </w:r>
            <w:r>
              <w:rPr>
                <w:rFonts w:hint="eastAsia" w:ascii="宋体" w:hAnsi="宋体" w:eastAsia="宋体" w:cs="宋体"/>
                <w:b/>
                <w:bCs/>
                <w:color w:val="auto"/>
                <w:sz w:val="24"/>
                <w:szCs w:val="24"/>
                <w:highlight w:val="none"/>
                <w:lang w:eastAsia="zh-CN"/>
              </w:rPr>
              <w:t>。</w:t>
            </w:r>
          </w:p>
        </w:tc>
        <w:tc>
          <w:tcPr>
            <w:tcW w:w="414"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1</w:t>
            </w:r>
          </w:p>
        </w:tc>
        <w:tc>
          <w:tcPr>
            <w:tcW w:w="288"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套</w:t>
            </w:r>
          </w:p>
        </w:tc>
      </w:tr>
      <w:tr>
        <w:tblPrEx>
          <w:tblCellMar>
            <w:top w:w="0" w:type="dxa"/>
            <w:left w:w="108" w:type="dxa"/>
            <w:bottom w:w="0" w:type="dxa"/>
            <w:right w:w="108" w:type="dxa"/>
          </w:tblCellMar>
        </w:tblPrEx>
        <w:trPr>
          <w:trHeight w:val="90"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rPr>
              <w:t>2、发射：</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w:t>
            </w:r>
            <w:r>
              <w:rPr>
                <w:rFonts w:hint="eastAsia" w:ascii="宋体" w:hAnsi="宋体" w:cs="宋体"/>
                <w:color w:val="auto"/>
                <w:kern w:val="0"/>
                <w:sz w:val="24"/>
                <w:highlight w:val="none"/>
              </w:rPr>
              <w:t>每载频最大输出功率：≤47dBm</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（2）</w:t>
            </w:r>
            <w:r>
              <w:rPr>
                <w:rFonts w:hint="eastAsia" w:ascii="宋体" w:hAnsi="宋体" w:cs="宋体"/>
                <w:color w:val="auto"/>
                <w:kern w:val="0"/>
                <w:sz w:val="24"/>
                <w:highlight w:val="none"/>
              </w:rPr>
              <w:t>4FSK调制频偏误差：≤10.0%；</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（3）</w:t>
            </w:r>
            <w:r>
              <w:rPr>
                <w:rFonts w:hint="eastAsia" w:ascii="宋体" w:hAnsi="宋体" w:cs="宋体"/>
                <w:color w:val="auto"/>
                <w:kern w:val="0"/>
                <w:sz w:val="24"/>
                <w:highlight w:val="none"/>
              </w:rPr>
              <w:t>4FSK发射误码率：≤1×10-4；</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6</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（4）占用带宽：≤8.5kHz；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w:t>
            </w:r>
            <w:r>
              <w:rPr>
                <w:rFonts w:hint="eastAsia" w:ascii="宋体" w:hAnsi="宋体" w:cs="宋体"/>
                <w:color w:val="auto"/>
                <w:kern w:val="0"/>
                <w:sz w:val="24"/>
                <w:highlight w:val="none"/>
              </w:rPr>
              <w:t>最大调制限制：±3.15kHz；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8</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w:t>
            </w:r>
            <w:r>
              <w:rPr>
                <w:rFonts w:hint="eastAsia" w:ascii="宋体" w:hAnsi="宋体" w:cs="宋体"/>
                <w:color w:val="auto"/>
                <w:kern w:val="0"/>
                <w:sz w:val="24"/>
                <w:highlight w:val="none"/>
              </w:rPr>
              <w:t>频率误差：±1×10-6；</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9</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w:t>
            </w:r>
            <w:r>
              <w:rPr>
                <w:rFonts w:hint="eastAsia" w:ascii="宋体" w:hAnsi="宋体" w:cs="宋体"/>
                <w:color w:val="auto"/>
                <w:kern w:val="0"/>
                <w:sz w:val="24"/>
                <w:highlight w:val="none"/>
              </w:rPr>
              <w:t>互调衰减：≤–50dB；</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1157"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仿宋" w:hAnsi="仿宋" w:eastAsia="仿宋" w:cs="仿宋"/>
                <w:color w:val="auto"/>
                <w:kern w:val="0"/>
                <w:sz w:val="22"/>
                <w:szCs w:val="22"/>
                <w:highlight w:val="none"/>
                <w:lang w:bidi="ar"/>
              </w:rPr>
            </w:pPr>
            <w:r>
              <w:rPr>
                <w:rFonts w:hint="eastAsia" w:ascii="宋体" w:hAnsi="宋体" w:cs="宋体"/>
                <w:color w:val="auto"/>
                <w:kern w:val="0"/>
                <w:sz w:val="24"/>
                <w:highlight w:val="none"/>
                <w:lang w:bidi="ar"/>
              </w:rPr>
              <w:t>【评标项10】</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w:t>
            </w:r>
            <w:r>
              <w:rPr>
                <w:rFonts w:hint="eastAsia" w:ascii="宋体" w:hAnsi="宋体" w:cs="宋体"/>
                <w:color w:val="auto"/>
                <w:kern w:val="0"/>
                <w:sz w:val="24"/>
                <w:highlight w:val="none"/>
              </w:rPr>
              <w:t>邻道功率比(ACPR)：≤–60dB（F0±12.5kHz）、≤–70dB（F0±25.0kHz）；</w:t>
            </w:r>
          </w:p>
          <w:p>
            <w:pPr>
              <w:keepNext w:val="0"/>
              <w:keepLines w:val="0"/>
              <w:widowControl/>
              <w:suppressLineNumbers w:val="0"/>
              <w:spacing w:before="0" w:beforeAutospacing="0" w:after="0" w:afterAutospacing="0" w:line="360" w:lineRule="exact"/>
              <w:ind w:left="0" w:right="0"/>
              <w:jc w:val="left"/>
              <w:textAlignment w:val="center"/>
              <w:rPr>
                <w:rFonts w:hint="eastAsia" w:ascii="仿宋" w:hAnsi="仿宋" w:eastAsia="仿宋" w:cs="仿宋"/>
                <w:color w:val="auto"/>
                <w:kern w:val="0"/>
                <w:sz w:val="22"/>
                <w:szCs w:val="22"/>
                <w:highlight w:val="none"/>
                <w:lang w:eastAsia="zh-CN" w:bidi="ar"/>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（9）</w:t>
            </w:r>
            <w:r>
              <w:rPr>
                <w:rFonts w:hint="eastAsia" w:ascii="宋体" w:hAnsi="宋体" w:cs="宋体"/>
                <w:color w:val="auto"/>
                <w:kern w:val="0"/>
                <w:sz w:val="24"/>
                <w:highlight w:val="none"/>
              </w:rPr>
              <w:t>发射杂散：≤–36dBm（9kHz～1GHz）、≤–30dBm（1GHz～12.75GHz）。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rPr>
              <w:t>3、接收：</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（1）接收灵敏度：≤–118dBm；</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（2）互调响应抑制：≥70dB；</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（3）阻塞：≥84dB；</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（4）互调响应抑制：≥70dB；</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6</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（5）共信道抑制：≥–12dB；</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（6）邻道选择性：≥60dB；</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rPr>
          <w:trHeight w:val="4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line="360" w:lineRule="exact"/>
              <w:ind w:left="0" w:right="0"/>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8</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（7）传导杂散：≤–57dBm（9kHz～1GHz）、≤–47dBm7.（1GHz～12.75GHz）。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495" w:hRule="atLeast"/>
        </w:trPr>
        <w:tc>
          <w:tcPr>
            <w:tcW w:w="282" w:type="pct"/>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2</w:t>
            </w:r>
          </w:p>
        </w:tc>
        <w:tc>
          <w:tcPr>
            <w:tcW w:w="425"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PDT数字集群手持终端普通版</w:t>
            </w: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【评标项1</w:t>
            </w:r>
            <w:r>
              <w:rPr>
                <w:rFonts w:hint="eastAsia" w:ascii="宋体" w:hAnsi="宋体" w:cs="宋体"/>
                <w:color w:val="auto"/>
                <w:kern w:val="0"/>
                <w:sz w:val="24"/>
                <w:highlight w:val="none"/>
                <w:lang w:val="en-US" w:eastAsia="zh-CN" w:bidi="ar"/>
              </w:rPr>
              <w:t>9</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1、终端具有</w:t>
            </w:r>
            <w:r>
              <w:rPr>
                <w:rStyle w:val="19"/>
                <w:rFonts w:ascii="宋体" w:hAnsi="宋体" w:eastAsia="宋体" w:cs="宋体"/>
                <w:color w:val="auto"/>
                <w:sz w:val="24"/>
                <w:szCs w:val="24"/>
                <w:highlight w:val="none"/>
              </w:rPr>
              <w:t>中华人民共和国工业和信息化部颁发的《无线电发射设备型号核准证</w:t>
            </w:r>
            <w:r>
              <w:rPr>
                <w:rStyle w:val="20"/>
                <w:rFonts w:ascii="宋体" w:hAnsi="宋体" w:eastAsia="宋体" w:cs="宋体"/>
                <w:color w:val="auto"/>
                <w:sz w:val="24"/>
                <w:szCs w:val="24"/>
                <w:highlight w:val="none"/>
              </w:rPr>
              <w:t>》，</w:t>
            </w:r>
            <w:r>
              <w:rPr>
                <w:rStyle w:val="20"/>
                <w:rFonts w:ascii="宋体" w:hAnsi="宋体" w:eastAsia="宋体" w:cs="宋体"/>
                <w:b/>
                <w:bCs/>
                <w:color w:val="auto"/>
                <w:sz w:val="24"/>
                <w:szCs w:val="24"/>
                <w:highlight w:val="none"/>
              </w:rPr>
              <w:t>需提供有效的证书复印件；</w:t>
            </w:r>
          </w:p>
        </w:tc>
        <w:tc>
          <w:tcPr>
            <w:tcW w:w="414"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val="en-US" w:eastAsia="zh-CN"/>
              </w:rPr>
              <w:t>4</w:t>
            </w:r>
            <w:r>
              <w:rPr>
                <w:rFonts w:hint="eastAsia" w:ascii="宋体" w:hAnsi="宋体" w:cs="宋体"/>
                <w:b/>
                <w:bCs/>
                <w:color w:val="auto"/>
                <w:kern w:val="0"/>
                <w:sz w:val="24"/>
                <w:highlight w:val="none"/>
              </w:rPr>
              <w:t>90</w:t>
            </w:r>
          </w:p>
        </w:tc>
        <w:tc>
          <w:tcPr>
            <w:tcW w:w="288"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台</w:t>
            </w:r>
          </w:p>
        </w:tc>
      </w:tr>
      <w:tr>
        <w:tblPrEx>
          <w:tblCellMar>
            <w:top w:w="0" w:type="dxa"/>
            <w:left w:w="108" w:type="dxa"/>
            <w:bottom w:w="0" w:type="dxa"/>
            <w:right w:w="108" w:type="dxa"/>
          </w:tblCellMar>
        </w:tblPrEx>
        <w:trPr>
          <w:trHeight w:val="73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20</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2、终端具备多种工作模式，能够在不同的网络制式下正常使用，适应不同的应用场景，至少具备模拟常规、模拟集群、数字常规和数字集群等4种工作模式。</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73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3、终端支持越区切换功能，当语音通话过程中，当终端检测下行信道质量较差，立即检查邻站信号。当邻站信号满足切换条件，会切换到邻站继续发射。能够实现待机、接收、发射状态下的越区；</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4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4、金属边框设计，全屏幕及全键盘功能，增强操作的准确性，确保优良的定位性能。</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5、支持NVOC声码器。</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4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6、具有专用的紧急报警按键，出现紧急情况时能够紧急警报，且终端设备具有倒放报警功能。</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4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7、终端设备能够减少由于终端近距离通话而产生的啸声，从而提高语音音质。</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4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6</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8、具有可靠性及耐用性，符合国军标(GJB)，能够在各种恶劣的工作环境中发挥优异性能。</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9、频率范围：350MHz－390MHz。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8</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10、信道数：≥1024个。</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【评标项2</w:t>
            </w:r>
            <w:r>
              <w:rPr>
                <w:rFonts w:hint="eastAsia" w:ascii="宋体" w:hAnsi="宋体" w:cs="宋体"/>
                <w:color w:val="auto"/>
                <w:kern w:val="0"/>
                <w:sz w:val="24"/>
                <w:highlight w:val="none"/>
                <w:lang w:val="en-US" w:eastAsia="zh-CN" w:bidi="ar"/>
              </w:rPr>
              <w:t>9</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11、信道间隔：12.5KHz。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30</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12、电池容量：标配电池≥2000mAh（锂电池）。</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4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13、对讲机整体尺寸</w:t>
            </w:r>
            <w:r>
              <w:rPr>
                <w:rStyle w:val="19"/>
                <w:rFonts w:ascii="宋体" w:hAnsi="宋体" w:eastAsia="宋体" w:cs="宋体"/>
                <w:color w:val="auto"/>
                <w:sz w:val="24"/>
                <w:szCs w:val="24"/>
                <w:highlight w:val="none"/>
              </w:rPr>
              <w:t>≤</w:t>
            </w:r>
            <w:r>
              <w:rPr>
                <w:rStyle w:val="20"/>
                <w:rFonts w:ascii="宋体" w:hAnsi="宋体" w:eastAsia="宋体" w:cs="宋体"/>
                <w:color w:val="auto"/>
                <w:sz w:val="24"/>
                <w:szCs w:val="24"/>
                <w:highlight w:val="none"/>
              </w:rPr>
              <w:t>120x55x30mm（高×宽×深）（带标配电池，不带天线），重量</w:t>
            </w:r>
            <w:r>
              <w:rPr>
                <w:rStyle w:val="19"/>
                <w:rFonts w:ascii="宋体" w:hAnsi="宋体" w:eastAsia="宋体" w:cs="宋体"/>
                <w:color w:val="auto"/>
                <w:sz w:val="24"/>
                <w:szCs w:val="24"/>
                <w:highlight w:val="none"/>
              </w:rPr>
              <w:t>≤</w:t>
            </w:r>
            <w:r>
              <w:rPr>
                <w:rStyle w:val="20"/>
                <w:rFonts w:ascii="宋体" w:hAnsi="宋体" w:eastAsia="宋体" w:cs="宋体"/>
                <w:color w:val="auto"/>
                <w:sz w:val="24"/>
                <w:szCs w:val="24"/>
                <w:highlight w:val="none"/>
              </w:rPr>
              <w:t>320g（带标配电池和天线）。</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nil"/>
              <w:bottom w:val="nil"/>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14、防水防尘等级：≥IP67等级。</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90" w:hRule="atLeast"/>
        </w:trPr>
        <w:tc>
          <w:tcPr>
            <w:tcW w:w="282" w:type="pct"/>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3</w:t>
            </w:r>
          </w:p>
        </w:tc>
        <w:tc>
          <w:tcPr>
            <w:tcW w:w="425" w:type="pct"/>
            <w:vMerge w:val="restart"/>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PDT数字集群基地台</w:t>
            </w:r>
          </w:p>
        </w:tc>
        <w:tc>
          <w:tcPr>
            <w:tcW w:w="3590" w:type="pct"/>
            <w:tcBorders>
              <w:top w:val="single" w:color="000000" w:sz="8" w:space="0"/>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1、基地台具有</w:t>
            </w:r>
            <w:r>
              <w:rPr>
                <w:rStyle w:val="19"/>
                <w:rFonts w:ascii="宋体" w:hAnsi="宋体" w:eastAsia="宋体" w:cs="宋体"/>
                <w:color w:val="auto"/>
                <w:sz w:val="24"/>
                <w:szCs w:val="24"/>
                <w:highlight w:val="none"/>
              </w:rPr>
              <w:t>中华人民共和国工业和信息化部颁发的《无线电发射设备型号核准证》</w:t>
            </w:r>
            <w:r>
              <w:rPr>
                <w:rStyle w:val="19"/>
                <w:rFonts w:ascii="宋体" w:hAnsi="宋体" w:cs="宋体"/>
                <w:color w:val="auto"/>
                <w:sz w:val="24"/>
                <w:szCs w:val="24"/>
                <w:highlight w:val="none"/>
              </w:rPr>
              <w:t>；</w:t>
            </w:r>
            <w:r>
              <w:rPr>
                <w:rStyle w:val="20"/>
                <w:rFonts w:ascii="宋体" w:hAnsi="宋体" w:eastAsia="宋体" w:cs="宋体"/>
                <w:b/>
                <w:bCs/>
                <w:color w:val="auto"/>
                <w:sz w:val="24"/>
                <w:szCs w:val="24"/>
                <w:highlight w:val="none"/>
              </w:rPr>
              <w:t>需提供有效的证书复印件</w:t>
            </w:r>
            <w:r>
              <w:rPr>
                <w:rStyle w:val="20"/>
                <w:rFonts w:ascii="宋体" w:hAnsi="宋体" w:cs="宋体"/>
                <w:b/>
                <w:bCs/>
                <w:color w:val="auto"/>
                <w:sz w:val="24"/>
                <w:szCs w:val="24"/>
                <w:highlight w:val="none"/>
              </w:rPr>
              <w:t>。</w:t>
            </w:r>
          </w:p>
        </w:tc>
        <w:tc>
          <w:tcPr>
            <w:tcW w:w="414"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2</w:t>
            </w:r>
          </w:p>
        </w:tc>
        <w:tc>
          <w:tcPr>
            <w:tcW w:w="288"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台</w:t>
            </w:r>
          </w:p>
        </w:tc>
      </w:tr>
      <w:tr>
        <w:tblPrEx>
          <w:tblCellMar>
            <w:top w:w="0" w:type="dxa"/>
            <w:left w:w="108" w:type="dxa"/>
            <w:bottom w:w="0" w:type="dxa"/>
            <w:right w:w="108" w:type="dxa"/>
          </w:tblCellMar>
        </w:tblPrEx>
        <w:trPr>
          <w:trHeight w:val="73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2、基地台须具备多种工作模式，能够在不同的网络制式下正常使用，适应不同的应用场景，至少具备模拟常规、模拟集群、数字常规和数字集群等4种工作模式。</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563"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▲3、要求内置蓝牙模块，能够支持蓝牙耳机、手咪等多种配件，</w:t>
            </w:r>
            <w:r>
              <w:rPr>
                <w:rFonts w:hint="eastAsia" w:ascii="宋体" w:hAnsi="宋体" w:cs="宋体"/>
                <w:color w:val="auto"/>
                <w:sz w:val="24"/>
                <w:highlight w:val="none"/>
              </w:rPr>
              <w:t>蓝牙协议版本≥BlutoothV5.0</w:t>
            </w:r>
          </w:p>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6</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▲4、要求支持智能降噪功能，不限于噪音源的方向，能保证对讲机在嘈杂环境下能提供清晰的语音，噪声抑制能力≥25dB；</w:t>
            </w:r>
            <w:r>
              <w:rPr>
                <w:rFonts w:hint="eastAsia" w:ascii="宋体" w:hAnsi="宋体" w:cs="宋体"/>
                <w:b/>
                <w:bCs/>
                <w:color w:val="auto"/>
                <w:sz w:val="24"/>
                <w:highlight w:val="none"/>
              </w:rPr>
              <w:t>需提供国家认可的第三方检测机构出具的检测报告复印件并加盖投标人公章；</w:t>
            </w:r>
          </w:p>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▲5、要求采用≥2.4寸彩色LCD显示屏，强光下可视，具有≥十排文字显示。</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8</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6、超过500个的组呼联系人和个呼联系人，方便日常应用。</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【评标项3</w:t>
            </w:r>
            <w:r>
              <w:rPr>
                <w:rFonts w:hint="eastAsia" w:ascii="宋体" w:hAnsi="宋体" w:cs="宋体"/>
                <w:color w:val="auto"/>
                <w:kern w:val="0"/>
                <w:sz w:val="24"/>
                <w:highlight w:val="none"/>
                <w:lang w:val="en-US" w:eastAsia="zh-CN" w:bidi="ar"/>
              </w:rPr>
              <w:t>9</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7、支持NVOC声码器。</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40</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8、频率范围：350MHz－390MHz。信道数：≥1024个。</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9、防水防尘等级：≥IP54等级。</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5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▲10、基地台直流电源须具备低噪声的特点，使用时产生的噪声</w:t>
            </w:r>
            <w:r>
              <w:rPr>
                <w:rStyle w:val="19"/>
                <w:rFonts w:ascii="宋体" w:hAnsi="宋体" w:eastAsia="宋体" w:cs="宋体"/>
                <w:color w:val="auto"/>
                <w:sz w:val="24"/>
                <w:szCs w:val="24"/>
                <w:highlight w:val="none"/>
              </w:rPr>
              <w:t>≤</w:t>
            </w:r>
            <w:r>
              <w:rPr>
                <w:rStyle w:val="20"/>
                <w:rFonts w:ascii="宋体" w:hAnsi="宋体" w:eastAsia="宋体" w:cs="宋体"/>
                <w:color w:val="auto"/>
                <w:sz w:val="24"/>
                <w:szCs w:val="24"/>
                <w:highlight w:val="none"/>
              </w:rPr>
              <w:t>40分贝。</w:t>
            </w:r>
            <w:r>
              <w:rPr>
                <w:rFonts w:hint="eastAsia" w:ascii="宋体" w:hAnsi="宋体" w:cs="宋体"/>
                <w:b/>
                <w:bCs/>
                <w:color w:val="auto"/>
                <w:sz w:val="24"/>
                <w:highlight w:val="none"/>
              </w:rPr>
              <w:t>需提供国家认可的第三方检测机构出具的检测报告复印件并加盖投标人公章</w:t>
            </w:r>
            <w:r>
              <w:rPr>
                <w:rFonts w:hint="eastAsia" w:ascii="宋体" w:hAnsi="宋体" w:cs="宋体"/>
                <w:color w:val="auto"/>
                <w:sz w:val="24"/>
                <w:highlight w:val="none"/>
              </w:rPr>
              <w:t>；</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395" w:hRule="atLeast"/>
        </w:trPr>
        <w:tc>
          <w:tcPr>
            <w:tcW w:w="282" w:type="pct"/>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4</w:t>
            </w:r>
          </w:p>
        </w:tc>
        <w:tc>
          <w:tcPr>
            <w:tcW w:w="425" w:type="pct"/>
            <w:vMerge w:val="restart"/>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PDT数字集群手持终端隐藏版</w:t>
            </w:r>
          </w:p>
        </w:tc>
        <w:tc>
          <w:tcPr>
            <w:tcW w:w="3590" w:type="pct"/>
            <w:tcBorders>
              <w:top w:val="single" w:color="000000" w:sz="8" w:space="0"/>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1、终端具有中华人民共和国工业和信息化部颁发的《无线电发射设备型号核准证》，</w:t>
            </w:r>
            <w:r>
              <w:rPr>
                <w:rFonts w:hint="eastAsia" w:ascii="宋体" w:hAnsi="宋体" w:cs="宋体"/>
                <w:b/>
                <w:bCs/>
                <w:color w:val="auto"/>
                <w:kern w:val="0"/>
                <w:sz w:val="24"/>
                <w:highlight w:val="none"/>
              </w:rPr>
              <w:t>需提供有效的证书复印件；</w:t>
            </w:r>
          </w:p>
        </w:tc>
        <w:tc>
          <w:tcPr>
            <w:tcW w:w="414"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10</w:t>
            </w:r>
          </w:p>
        </w:tc>
        <w:tc>
          <w:tcPr>
            <w:tcW w:w="288" w:type="pct"/>
            <w:vMerge w:val="restart"/>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rPr>
              <w:t>台</w:t>
            </w: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2、对讲机支持PDT数字集群/PDT数字常规/模拟集群/模拟常规4种模式；</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3、对讲机质量可靠，坚固耐用，要求防尘防水能力出色，不低于IP67防护等级；</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3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6</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▲4、对讲机须在恶劣的工作环境中都可以发挥优异性能，通过湿热循环测试、正弦扫频振动测试、机械冲击测试和跌落测试；</w:t>
            </w:r>
            <w:r>
              <w:rPr>
                <w:rFonts w:hint="eastAsia" w:ascii="宋体" w:hAnsi="宋体" w:cs="宋体"/>
                <w:b/>
                <w:bCs/>
                <w:color w:val="auto"/>
                <w:sz w:val="24"/>
                <w:highlight w:val="none"/>
              </w:rPr>
              <w:t>需提供国家认可的第三方检测机构出具的检测报告复印件并加盖投标人公章</w:t>
            </w:r>
            <w:r>
              <w:rPr>
                <w:rFonts w:hint="eastAsia" w:ascii="宋体" w:hAnsi="宋体" w:cs="宋体"/>
                <w:color w:val="auto"/>
                <w:sz w:val="24"/>
                <w:highlight w:val="none"/>
              </w:rPr>
              <w:t>；</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3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5、尺寸（带标配电池，不带天线）≤120×60×23mm，重量≤270g，电池容量≥1400mAh；</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8</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▲6、对讲机具有可弯曲柔性对讲机天线，便于携带和隐藏；</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【评标项4</w:t>
            </w:r>
            <w:r>
              <w:rPr>
                <w:rFonts w:hint="eastAsia" w:ascii="宋体" w:hAnsi="宋体" w:cs="宋体"/>
                <w:color w:val="auto"/>
                <w:kern w:val="0"/>
                <w:sz w:val="24"/>
                <w:highlight w:val="none"/>
                <w:lang w:val="en-US" w:eastAsia="zh-CN" w:bidi="ar"/>
              </w:rPr>
              <w:t>9</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7、对讲机具备功率上报功能、电量上报功能，场强上报功能；</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3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50</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8、对讲机具备接收现有350兆警用数字集群（PDT）通信系统下发的空口写频指令，支持远程写频数字电台的频率、组属性、用户信息、功率设置等相关参数。</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9、频率范围：350-400MHz；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10、对讲机组呼容量≥1024，组群数量≥64，每个组群可添加组数≥128；</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11、信道间隔：12.5KHz/20KHz/25KHz；</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12、输出功率：1-4W；</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13、工作温度范围：-30℃～+60℃，储存温度范围：-40℃～+85℃；</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6</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14、需具备倒放触发告警功能；</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15、采用不低于1.8寸彩色半透半反TFT显示屏，强光下可视；</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8</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16、内置蓝牙，可连接蓝牙耳机和蓝牙PTT按键；</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39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nil"/>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【评标项5</w:t>
            </w:r>
            <w:r>
              <w:rPr>
                <w:rFonts w:hint="eastAsia" w:ascii="宋体" w:hAnsi="宋体" w:cs="宋体"/>
                <w:color w:val="auto"/>
                <w:kern w:val="0"/>
                <w:sz w:val="24"/>
                <w:highlight w:val="none"/>
                <w:lang w:val="en-US" w:eastAsia="zh-CN" w:bidi="ar"/>
              </w:rPr>
              <w:t>9</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17、支持在菜单中选择日间/夜间模式，具备屏幕的亮度调节功能，能够满足不同使用条件；</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r>
        <w:tblPrEx>
          <w:tblCellMar>
            <w:top w:w="0" w:type="dxa"/>
            <w:left w:w="108" w:type="dxa"/>
            <w:bottom w:w="0" w:type="dxa"/>
            <w:right w:w="108" w:type="dxa"/>
          </w:tblCellMar>
        </w:tblPrEx>
        <w:trPr>
          <w:trHeight w:val="205" w:hRule="atLeast"/>
        </w:trPr>
        <w:tc>
          <w:tcPr>
            <w:tcW w:w="282" w:type="pct"/>
            <w:vMerge w:val="continue"/>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425" w:type="pct"/>
            <w:vMerge w:val="continue"/>
            <w:tcBorders>
              <w:top w:val="nil"/>
              <w:left w:val="nil"/>
              <w:bottom w:val="single" w:color="000000" w:sz="8" w:space="0"/>
              <w:right w:val="nil"/>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3590" w:type="pct"/>
            <w:tcBorders>
              <w:top w:val="nil"/>
              <w:left w:val="single" w:color="000000" w:sz="8" w:space="0"/>
              <w:bottom w:val="single" w:color="000000" w:sz="8" w:space="0"/>
              <w:right w:val="single" w:color="000000" w:sz="8" w:space="0"/>
            </w:tcBorders>
            <w:noWrap w:val="0"/>
            <w:vAlign w:val="top"/>
          </w:tcPr>
          <w:p>
            <w:pPr>
              <w:keepNext w:val="0"/>
              <w:keepLines w:val="0"/>
              <w:widowControl/>
              <w:suppressLineNumbers w:val="0"/>
              <w:spacing w:before="0" w:beforeAutospacing="0" w:after="0" w:afterAutospacing="0" w:line="360" w:lineRule="exact"/>
              <w:ind w:left="0" w:right="0"/>
              <w:textAlignment w:val="top"/>
              <w:rPr>
                <w:rFonts w:hint="eastAsia" w:ascii="宋体" w:hAnsi="宋体" w:cs="宋体"/>
                <w:color w:val="auto"/>
                <w:sz w:val="24"/>
                <w:highlight w:val="none"/>
              </w:rPr>
            </w:pPr>
            <w:r>
              <w:rPr>
                <w:rFonts w:hint="eastAsia" w:ascii="宋体" w:hAnsi="宋体" w:cs="宋体"/>
                <w:color w:val="auto"/>
                <w:kern w:val="0"/>
                <w:sz w:val="24"/>
                <w:highlight w:val="none"/>
                <w:lang w:bidi="ar"/>
              </w:rPr>
              <w:t>【评标项</w:t>
            </w:r>
            <w:r>
              <w:rPr>
                <w:rFonts w:hint="eastAsia" w:ascii="宋体" w:hAnsi="宋体" w:cs="宋体"/>
                <w:color w:val="auto"/>
                <w:kern w:val="0"/>
                <w:sz w:val="24"/>
                <w:highlight w:val="none"/>
                <w:lang w:val="en-US" w:eastAsia="zh-CN" w:bidi="ar"/>
              </w:rPr>
              <w:t>60</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rPr>
              <w:t>18、支持360度无极性旋钮，选组旋钮支持无限循环选组功能；</w:t>
            </w:r>
          </w:p>
        </w:tc>
        <w:tc>
          <w:tcPr>
            <w:tcW w:w="414"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c>
          <w:tcPr>
            <w:tcW w:w="288" w:type="pct"/>
            <w:vMerge w:val="continue"/>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line="360" w:lineRule="exact"/>
              <w:ind w:left="0" w:right="0"/>
              <w:jc w:val="left"/>
              <w:rPr>
                <w:rFonts w:hint="eastAsia" w:ascii="宋体" w:hAnsi="宋体" w:cs="宋体"/>
                <w:b/>
                <w:bCs/>
                <w:color w:val="auto"/>
                <w:sz w:val="24"/>
                <w:highlight w:val="none"/>
              </w:rPr>
            </w:pPr>
          </w:p>
        </w:tc>
      </w:tr>
    </w:tbl>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三、商务要求（以“★”标示的内容为不允许负偏离的实质性要求）</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采购包1：</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97"/>
        <w:gridCol w:w="999"/>
        <w:gridCol w:w="1498"/>
        <w:gridCol w:w="649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参数性质</w:t>
            </w:r>
          </w:p>
        </w:tc>
        <w:tc>
          <w:tcPr>
            <w:tcW w:w="75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类型</w:t>
            </w:r>
          </w:p>
        </w:tc>
        <w:tc>
          <w:tcPr>
            <w:tcW w:w="325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交货地点</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采购人指定地点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交货时间</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自合同签订之日起30日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交货条件</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验收合格后，交付采购人使用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是否邀请投标人验收</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不邀请投标人验收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履约验收方式</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1、期次1，说明：按招标文件及合同要求执行。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6</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widowControl/>
              <w:suppressLineNumbers w:val="0"/>
              <w:wordWrap w:val="0"/>
              <w:spacing w:before="0" w:beforeAutospacing="0" w:after="0" w:afterAutospacing="0" w:line="360" w:lineRule="exact"/>
              <w:ind w:left="0" w:right="0"/>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合同支付方式</w:t>
            </w:r>
          </w:p>
        </w:tc>
        <w:tc>
          <w:tcPr>
            <w:tcW w:w="0" w:type="auto"/>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eastAsia="宋体" w:cs="宋体"/>
                <w:color w:val="auto"/>
                <w:highlight w:val="none"/>
                <w:lang w:val="en-US" w:eastAsia="zh-CN"/>
              </w:rPr>
            </w:pPr>
            <w:r>
              <w:rPr>
                <w:rFonts w:hint="eastAsia" w:ascii="宋体" w:hAnsi="宋体" w:cs="宋体"/>
                <w:color w:val="auto"/>
                <w:highlight w:val="none"/>
              </w:rPr>
              <w:t>1、</w:t>
            </w:r>
            <w:r>
              <w:rPr>
                <w:rFonts w:hint="eastAsia" w:ascii="宋体" w:hAnsi="宋体" w:cs="宋体"/>
                <w:color w:val="auto"/>
                <w:highlight w:val="none"/>
                <w:lang w:val="en-US" w:eastAsia="zh-CN"/>
              </w:rPr>
              <w:t>项目货物全部进场且现场清点验收无误后，</w:t>
            </w:r>
            <w:r>
              <w:rPr>
                <w:rFonts w:hint="eastAsia" w:ascii="宋体" w:hAnsi="宋体" w:cs="宋体"/>
                <w:color w:val="auto"/>
                <w:highlight w:val="none"/>
              </w:rPr>
              <w:t>采购人在收到中标人提交的相关报销票据后，达到付款条件起15日内，支付合同总金额的</w:t>
            </w:r>
            <w:r>
              <w:rPr>
                <w:rFonts w:hint="eastAsia" w:ascii="宋体" w:hAnsi="宋体" w:cs="宋体"/>
                <w:color w:val="auto"/>
                <w:highlight w:val="none"/>
                <w:lang w:val="en-US" w:eastAsia="zh-CN"/>
              </w:rPr>
              <w:t>6</w:t>
            </w:r>
            <w:r>
              <w:rPr>
                <w:rFonts w:hint="eastAsia" w:ascii="宋体" w:hAnsi="宋体" w:cs="宋体"/>
                <w:color w:val="auto"/>
                <w:highlight w:val="none"/>
              </w:rPr>
              <w:t>0%</w:t>
            </w:r>
            <w:r>
              <w:rPr>
                <w:rFonts w:hint="eastAsia" w:ascii="宋体" w:hAnsi="宋体" w:cs="宋体"/>
                <w:color w:val="auto"/>
                <w:highlight w:val="none"/>
                <w:lang w:eastAsia="zh-CN"/>
              </w:rPr>
              <w:t>。</w:t>
            </w:r>
          </w:p>
          <w:p>
            <w:pPr>
              <w:pStyle w:val="9"/>
              <w:keepNext w:val="0"/>
              <w:keepLines w:val="0"/>
              <w:widowControl/>
              <w:suppressLineNumbers w:val="0"/>
              <w:wordWrap w:val="0"/>
              <w:spacing w:before="0" w:beforeAutospacing="0" w:after="0" w:afterAutospacing="0" w:line="360" w:lineRule="exact"/>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2、</w:t>
            </w:r>
            <w:r>
              <w:rPr>
                <w:rFonts w:hint="eastAsia" w:ascii="宋体" w:hAnsi="宋体" w:cs="宋体"/>
                <w:color w:val="auto"/>
                <w:highlight w:val="none"/>
              </w:rPr>
              <w:t>项目终验合格并收到中标人向采购人提交正式等额发票等相关材料，采购人在收到中标人提交的相关报销票据后，达到付款条件起15日内，支付合同总金额的</w:t>
            </w:r>
            <w:r>
              <w:rPr>
                <w:rFonts w:hint="eastAsia" w:ascii="宋体" w:hAnsi="宋体" w:cs="宋体"/>
                <w:color w:val="auto"/>
                <w:highlight w:val="none"/>
                <w:lang w:val="en-US" w:eastAsia="zh-CN"/>
              </w:rPr>
              <w:t>4</w:t>
            </w:r>
            <w:r>
              <w:rPr>
                <w:rFonts w:hint="eastAsia" w:ascii="宋体" w:hAnsi="宋体" w:cs="宋体"/>
                <w:color w:val="auto"/>
                <w:highlight w:val="none"/>
              </w:rPr>
              <w:t>0%</w:t>
            </w:r>
            <w:r>
              <w:rPr>
                <w:rFonts w:hint="eastAsia" w:ascii="宋体" w:hAnsi="宋体" w:cs="宋体"/>
                <w:color w:val="auto"/>
                <w:highlight w:val="none"/>
                <w:lang w:eastAsia="zh-CN"/>
              </w:rPr>
              <w:t>。</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履约保证金</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采购包1：缴纳</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本采购包履约保证金为合同金额的</w:t>
      </w:r>
      <w:r>
        <w:rPr>
          <w:rFonts w:hint="eastAsia" w:ascii="宋体" w:hAnsi="宋体" w:cs="宋体"/>
          <w:color w:val="auto"/>
          <w:highlight w:val="none"/>
          <w:shd w:val="clear" w:color="auto" w:fill="FFFFFF"/>
          <w:lang w:val="en-US" w:eastAsia="zh-CN"/>
        </w:rPr>
        <w:t>10</w:t>
      </w:r>
      <w:r>
        <w:rPr>
          <w:rFonts w:hint="eastAsia" w:ascii="宋体" w:hAnsi="宋体" w:cs="宋体"/>
          <w:color w:val="auto"/>
          <w:highlight w:val="none"/>
          <w:shd w:val="clear" w:color="auto" w:fill="FFFFFF"/>
        </w:rPr>
        <w:t>.0%</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说明：中标人需在合同签订前向采购人支付合同总金额的</w:t>
      </w:r>
      <w:r>
        <w:rPr>
          <w:rFonts w:hint="eastAsia" w:ascii="宋体" w:hAnsi="宋体" w:cs="宋体"/>
          <w:color w:val="auto"/>
          <w:highlight w:val="none"/>
          <w:shd w:val="clear" w:color="auto" w:fill="FFFFFF"/>
          <w:lang w:val="en-US" w:eastAsia="zh-CN"/>
        </w:rPr>
        <w:t>10</w:t>
      </w:r>
      <w:r>
        <w:rPr>
          <w:rFonts w:hint="eastAsia" w:ascii="宋体" w:hAnsi="宋体" w:cs="宋体"/>
          <w:color w:val="auto"/>
          <w:highlight w:val="none"/>
          <w:shd w:val="clear" w:color="auto" w:fill="FFFFFF"/>
        </w:rPr>
        <w:t>%作为履约保证金。根据福建省财政厅《关于运用政府采购政策促进中小企业发展的通知》（闽采购〔2020〕11号）关于“非专门面向中小企业的政府采购项目，采购人、采购代理机构应当在履约保证金的收取比例上给予中小微企业合同金额5%以内的差异化支持”的要求，若中标人为中型、小型企业的应向采购人缴纳合同总金额</w:t>
      </w:r>
      <w:r>
        <w:rPr>
          <w:rFonts w:hint="eastAsia" w:ascii="宋体" w:hAnsi="宋体" w:cs="宋体"/>
          <w:color w:val="auto"/>
          <w:highlight w:val="none"/>
          <w:shd w:val="clear" w:color="auto" w:fill="FFFFFF"/>
          <w:lang w:val="en-US" w:eastAsia="zh-CN"/>
        </w:rPr>
        <w:t>5</w:t>
      </w:r>
      <w:r>
        <w:rPr>
          <w:rFonts w:hint="eastAsia" w:ascii="宋体" w:hAnsi="宋体" w:cs="宋体"/>
          <w:color w:val="auto"/>
          <w:highlight w:val="none"/>
          <w:shd w:val="clear" w:color="auto" w:fill="FFFFFF"/>
        </w:rPr>
        <w:t>%的履约保证金。若中标人为微型企业（含残疾人、监狱企业）的应向采购人缴纳合同总金额</w:t>
      </w:r>
      <w:r>
        <w:rPr>
          <w:rFonts w:hint="eastAsia" w:ascii="宋体" w:hAnsi="宋体" w:cs="宋体"/>
          <w:color w:val="auto"/>
          <w:highlight w:val="none"/>
          <w:shd w:val="clear" w:color="auto" w:fill="FFFFFF"/>
          <w:lang w:val="en-US" w:eastAsia="zh-CN"/>
        </w:rPr>
        <w:t>4</w:t>
      </w:r>
      <w:r>
        <w:rPr>
          <w:rFonts w:hint="eastAsia" w:ascii="宋体" w:hAnsi="宋体" w:cs="宋体"/>
          <w:color w:val="auto"/>
          <w:highlight w:val="none"/>
          <w:shd w:val="clear" w:color="auto" w:fill="FFFFFF"/>
        </w:rPr>
        <w:t>%的履约保证金。履约保证金以支票、汇票、本票或者金融机构、担保机构出具的保函等非现金形式向采购人缴交，如中标人未按合同有关规定履行其义务，采购人有权扣除履约保证金，用以补偿。该履约保证金在合同约定全部事项（含售后维保期）履行完毕，经采购人确认双方无未了事项后，采购人在收到中标人书面申请30日内无息退还。</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其他商务要求</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lang w:bidi="ar"/>
        </w:rPr>
        <w:t>★</w:t>
      </w:r>
      <w:r>
        <w:rPr>
          <w:rFonts w:hint="eastAsia" w:ascii="宋体" w:hAnsi="宋体" w:cs="宋体"/>
          <w:color w:val="auto"/>
          <w:highlight w:val="none"/>
          <w:shd w:val="clear" w:color="auto" w:fill="FFFFFF"/>
        </w:rPr>
        <w:t>其他商务要求如下</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8.安装、调试及培训要求：</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8.1货物包装方式</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8.1.1包装：货物交货时应按国家有关标准要求进行包装。</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8.1.2方式：包装必须与运输方式相适应，包装方式的确定及包装费用均由中标人负责；由于不适当的包装而造成货物在运输过程中有任何损坏由中标人负责。</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注：包装应足以承受整个过程中的运输、转运、装卸、储存等，充分考虑到运输途中的各种情况(如暴露于恶劣气候等)和项目所在地的气候特点，以及露天存放的需要。</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8.2安装、调试</w:t>
      </w:r>
    </w:p>
    <w:p>
      <w:pPr>
        <w:pStyle w:val="9"/>
        <w:widowControl/>
        <w:spacing w:before="0" w:beforeAutospacing="0" w:after="0" w:afterAutospacing="0" w:line="360" w:lineRule="exact"/>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8.2.1设备到达现场后，中标人应在接到采购人通知在规定时间内派技术人员到现场进行安装，建成后系统应满足监狱日常的语音呼叫需求，如若不能满足，中标人应免费提供相关设备直至满足监狱日常的语音呼叫需求，并负责调试至验收合格。投标人应以包括货物所涉及的有关项目的所有费用进行报价，包括调试合格的一切辅材和本次采购项目的安装费、改造费用（涉及改造，可自行现场勘察）。所有报价均应已包含国家规定的所有税费。投标人应自行核算项目正常、合法运作及使用所必需的费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8.2.2中标人应在合同规定的安装期内完成该项工作,中标人需完成到货、安装、调试，否则每逾期1天罚款人民币2000元整，逾期罚款不超过中标金额的10%。如因中标人责任而造成延期，所有因延期而产生的费用由中标人承担。</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8.2.3中标人接到采购人通知供货后，按要求将采购人所采购的货物送到采购人指定地点，并安装调试完毕。包括途中运输、搬运、保管、保险、税收、施工、差旅、住宿等所有费用，风险均由供货人承担。</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8.3 培训</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8.3.1中标人应根据货物特点，免费对采购人技术人员、管理人员进行操作、维修、保养等方面的专业培训，直至能独立操作。采购人委派的专业技术人员培训所需费用均由中标人承担。采购人有权提出更换不具备新仪器专业知识和操作的中标人专业技术人员，中标人应根据现场需要，重新选派采购人认可的专业技术人员。</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8.3.2提供现场培训，可根据采购人需求举办不定期培训，帮助用户提高日常基本维护技能和系统的操作、管理满足工作的需要。</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9.验收要求</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9.1所提供的货物必须是全新原装未启封的设备（未经使用且未经二次销售，外观无刮、碰痕迹，并有下列明显标记：名 称、品 牌型号、制造商 标 识、产地、出厂日期、生产序列号等）。设备的制造标准及技术规范等有关资料必须符合国家相关标准、规范要求。如中标人提供的货物存在技术缺陷或事故隐患造成采购人或任何第三方人身、财产损害的，中标人应当对该损害承担全部法律责任。如造成采购人损失的，中标人视为违约，应当赔偿采购人的全部损失。</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9.1.1验收标准</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货物应按生产厂家的产品出厂检验标准及国家和行业验收规范要求及招标文件、合同中的相关条款进行数量及质量的验收。</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9.1.2验收步骤</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第一步：出厂检验。中标人需提供设备、发货清单和计划，发货计划应经采购人认可后实施。中标人负责所提供产品的出厂检验，保证产品原产地和技术指标的真实性、完整性、合法性，并负责将产品送达交货地点，并向采购人提供设备制造厂的质量合格证书。采购人在货物（含软件）到货后，将按合同规定对所交货物进行清点、核对和商检。若发现原包装破损或保修条款不满足要求，采购人有权不予接收，并要求中标人无条件免费重新更换，并按合同条款的有关规定执行。</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第二步：初验收。货物送至采购人安装现场后，由中标人和采购人共同对货物的数量、基本质量、外包装等根据本章节的有关规定逐项检验，如发现有不符合本章节规定的设备，中标人应免费更换，且更换及运输的费用由中标人承担。</w:t>
      </w:r>
    </w:p>
    <w:p>
      <w:pPr>
        <w:pStyle w:val="9"/>
        <w:widowControl/>
        <w:spacing w:before="0" w:beforeAutospacing="0" w:after="0" w:afterAutospacing="0" w:line="360" w:lineRule="exact"/>
        <w:ind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第三步：试运行。货物安装完毕后，中标人应对货物的整体性能和功能进行测试，试运行期间，出现的任何问题，应由中标人及时处理修正。测试结果必须符合合同中的相关条款，中标人应向采购人提供自检记录。</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第四步：最终验收。试运行并测试合格后，中标人向采购人提请最终验收，采购人将按照政府采购合同规定的技术、服务、安全标准，再组织对中标人履约情况进行验收，并出具验收书。验收书应当包括每一项技术、服务、安全标准的履约情况。验收结果经双方确认后，双方代表必须按规定的验收交接单上的项目对照本合同填好验收结果并签名。验收过程中，若发现货物质量有问题中标人应无条件免费更换，并无条件对更换后的货物重新检测并调试直至验收合格交付使用。在此期间，中标人在采购人现场进行安装、调试、集成、试运行直至验收所发生的一切费用由中标人承担且已含在投标总价中。</w:t>
      </w:r>
    </w:p>
    <w:p>
      <w:pPr>
        <w:pStyle w:val="9"/>
        <w:widowControl/>
        <w:spacing w:before="0" w:beforeAutospacing="0" w:after="0" w:afterAutospacing="0" w:line="360" w:lineRule="exact"/>
        <w:ind w:firstLine="480"/>
        <w:jc w:val="both"/>
        <w:rPr>
          <w:rFonts w:hint="eastAsia" w:ascii="宋体" w:hAnsi="宋体" w:cs="宋体"/>
          <w:color w:val="auto"/>
          <w:highlight w:val="none"/>
        </w:rPr>
      </w:pPr>
      <w:r>
        <w:rPr>
          <w:rFonts w:hint="eastAsia" w:ascii="宋体" w:hAnsi="宋体" w:cs="宋体"/>
          <w:color w:val="auto"/>
          <w:highlight w:val="none"/>
          <w:shd w:val="clear" w:color="auto" w:fill="FFFFFF"/>
        </w:rPr>
        <w:t>10、售后服务要求</w:t>
      </w:r>
    </w:p>
    <w:p>
      <w:pPr>
        <w:pStyle w:val="9"/>
        <w:widowControl/>
        <w:spacing w:before="0" w:beforeAutospacing="0" w:after="0" w:afterAutospacing="0" w:line="360" w:lineRule="exact"/>
        <w:ind w:firstLine="480"/>
        <w:jc w:val="both"/>
        <w:rPr>
          <w:rFonts w:hint="eastAsia" w:ascii="宋体" w:hAnsi="宋体" w:cs="宋体"/>
          <w:color w:val="auto"/>
          <w:highlight w:val="none"/>
        </w:rPr>
      </w:pPr>
      <w:r>
        <w:rPr>
          <w:rFonts w:hint="eastAsia" w:ascii="宋体" w:hAnsi="宋体" w:cs="宋体"/>
          <w:color w:val="auto"/>
          <w:highlight w:val="none"/>
          <w:shd w:val="clear" w:color="auto" w:fill="FFFFFF"/>
        </w:rPr>
        <w:t>10.1所有货物均要求免费售后维保期为验收合格后至少三年内保修及上门服务；从正式验收合格交付使用之日算起；在维保期内出现故障，中标人应免费提供咨询、更换损坏的零件和维修服务。</w:t>
      </w:r>
    </w:p>
    <w:p>
      <w:pPr>
        <w:pStyle w:val="9"/>
        <w:widowControl/>
        <w:spacing w:before="0" w:beforeAutospacing="0" w:after="0" w:afterAutospacing="0" w:line="360" w:lineRule="exact"/>
        <w:ind w:firstLine="480"/>
        <w:jc w:val="both"/>
        <w:rPr>
          <w:rFonts w:hint="eastAsia" w:ascii="宋体" w:hAnsi="宋体" w:cs="宋体"/>
          <w:color w:val="auto"/>
          <w:highlight w:val="none"/>
        </w:rPr>
      </w:pPr>
      <w:r>
        <w:rPr>
          <w:rFonts w:hint="eastAsia" w:ascii="宋体" w:hAnsi="宋体" w:cs="宋体"/>
          <w:color w:val="auto"/>
          <w:highlight w:val="none"/>
          <w:shd w:val="clear" w:color="auto" w:fill="FFFFFF"/>
        </w:rPr>
        <w:t>10.2在免费售后维保期设备运行发生故障时中标人在接到采购人故障通知后2小时内响应，并在8小时内派工程师到达现场，免费负责修理或更换有缺陷的零部件或整机，如48小时内无法修复的设备，应提供备品供采购人临时使用。</w:t>
      </w:r>
    </w:p>
    <w:p>
      <w:pPr>
        <w:pStyle w:val="9"/>
        <w:widowControl/>
        <w:spacing w:before="0" w:beforeAutospacing="0" w:after="0" w:afterAutospacing="0" w:line="360" w:lineRule="exact"/>
        <w:ind w:firstLine="42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10.</w:t>
      </w:r>
      <w:r>
        <w:rPr>
          <w:rFonts w:hint="eastAsia" w:ascii="宋体" w:hAnsi="宋体" w:cs="宋体"/>
          <w:color w:val="auto"/>
          <w:highlight w:val="none"/>
          <w:shd w:val="clear" w:color="auto" w:fill="FFFFFF"/>
        </w:rPr>
        <w:t>3</w:t>
      </w:r>
      <w:r>
        <w:rPr>
          <w:rFonts w:hint="eastAsia" w:ascii="宋体" w:hAnsi="宋体" w:cs="宋体"/>
          <w:color w:val="auto"/>
          <w:highlight w:val="none"/>
          <w:shd w:val="clear" w:color="auto" w:fill="FFFFFF"/>
        </w:rPr>
        <w:t>免费售后维保期结束后，中标人仍应负责对设备提供售后服务，必要时进行定期维护和修理。</w:t>
      </w:r>
    </w:p>
    <w:p>
      <w:pPr>
        <w:pStyle w:val="9"/>
        <w:widowControl/>
        <w:spacing w:before="0" w:beforeAutospacing="0" w:after="0" w:afterAutospacing="0" w:line="360" w:lineRule="exact"/>
        <w:ind w:firstLine="480"/>
        <w:jc w:val="both"/>
        <w:rPr>
          <w:rFonts w:hint="eastAsia" w:ascii="宋体" w:hAnsi="宋体" w:cs="宋体"/>
          <w:color w:val="auto"/>
          <w:highlight w:val="none"/>
        </w:rPr>
      </w:pPr>
      <w:r>
        <w:rPr>
          <w:rFonts w:hint="eastAsia" w:ascii="宋体" w:hAnsi="宋体" w:cs="宋体"/>
          <w:color w:val="auto"/>
          <w:highlight w:val="none"/>
          <w:shd w:val="clear" w:color="auto" w:fill="FFFFFF"/>
        </w:rPr>
        <w:t>10.4投标人可视自身能力，在投标文件中提供更优、更合理的维修服务承诺。</w:t>
      </w:r>
    </w:p>
    <w:p>
      <w:pPr>
        <w:pStyle w:val="9"/>
        <w:widowControl/>
        <w:spacing w:before="0" w:beforeAutospacing="0" w:after="0" w:afterAutospacing="0" w:line="360" w:lineRule="exact"/>
        <w:ind w:firstLine="480"/>
        <w:jc w:val="both"/>
        <w:rPr>
          <w:rFonts w:hint="eastAsia" w:ascii="宋体" w:hAnsi="宋体" w:cs="宋体"/>
          <w:color w:val="auto"/>
          <w:highlight w:val="none"/>
        </w:rPr>
      </w:pPr>
      <w:r>
        <w:rPr>
          <w:rFonts w:hint="eastAsia" w:ascii="宋体" w:hAnsi="宋体" w:cs="宋体"/>
          <w:color w:val="auto"/>
          <w:highlight w:val="none"/>
          <w:shd w:val="clear" w:color="auto" w:fill="FFFFFF"/>
        </w:rPr>
        <w:t>11、违约责任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11.1逾期交货违约责任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（1）因中标人原因逾期交货或安装调试完毕的，中标人应以如下方式向采购人支付逾期违约金（不可抗力除外）：</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（2）从安装调试完毕之日起，每逾期一天支付2000元逾期违约金；不够一天的时间计为一天，不可抗力因素除外。逾期违约金的上限为合同总价10%。</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（3）违约金直接从履约保证金中扣除，不足部分，中标人应自收到采购人通知之日起30日内缴纳。</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11.2货物质量违约责任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中标人提供的货物质量不符合合同（或中标人投标文件）约定的，中标人应无条件予以配合免费退货换货，因退换货不及时影响采购人工作的，发现一次，中标人应向采购人支付合同约定的履约保证金的违约金；因产品质量问题造成采购人或任何第三方损害的，中标人应承担一切损害赔偿、法律责任，采购人有权单方解除合同，不予退还中标人的履约保证金。违约金可直接从履约保证金中扣除，不足部分中标人还须向采购人缴纳；违约金不足以弥补给采购人造成的损失的，中标人还应承担相应的赔偿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11.3货物故障维修违约责任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如因产品质量问题使采购人设备出现故障，中标人在售后维保期内接到采购人维修电话通知后4小时内响应，并在12小时内到达现场，免费负责修理或更换有缺陷的零部件或整机，如果中标人无法按时提供上门维修或更换服务的，采购人有权请第三方进行维修，产生的费用从中标人的履约保证金中扣除；同时中标人应向采购人支付逾期违约金，违约金为逾期每日2000元。因中标人产品质量问题导致采购人人身或财产损失的，中标人应予以赔偿。违约金直接从履约保证金中扣除，不足部分，中标人应自收到采购人通知之日起30日内缴纳。</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11.4分包/转包违约责任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中标人不得将本项目进行分包或转包，如发现经查实，采购人有权单方解除合同并不予退还履约保证金，中标人还须向采购人支付本合同金额10%的违约金。违约金直接从履约保证金中扣除，不足部分，中标人应自收到采购人通知之日起30日内缴纳。</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11.5进入监管区有关违约责任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中标人进入采购人监管区的工作人员必须遵守采购人的工作制度和监管安全规定、保密规定，服从采购人人员的指挥，不得泄密。</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11.6诉讼相关费用承担</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若因中标人未履行本合同项下义务导致采购人所产生的一切损失（包括但不限于人身财产的损失、律师费、诉讼费、保全费、鉴定费等），均由中标人承担赔偿责任。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11.7其他招标文件中未列明的违约责任，待采购人与中标人签订合同时，由双方协商订立。</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12、违约终止合同</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12.1在合同履行期间，若遇政府部门或上级单位出台有关该项目的政策调整，继续履行合同将违反相关政策文件要求的，采购人须提前15日通知中标人终止合同，因此造成的合同解除采购人不承担违约责任。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12.2有下列情形之一，采购人有权单方解除合同并不退还履约保证金，中标人还需向采购人支付本合同金额20%的违约金：</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12.2.1中标人合同期出现3次及以上迟延交货；</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12.2.2中标人一次迟延交货超过3天的；</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12.2.3中标人提供的货物质量不符合合同约定且拒绝退货退换货的；</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12.2.4中标人合同期出现3次以上提供的货物质量不符合合同约定的；</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12.2.5中标人无故拒绝履行本合同；</w:t>
      </w:r>
    </w:p>
    <w:p>
      <w:pPr>
        <w:pStyle w:val="9"/>
        <w:widowControl/>
        <w:spacing w:before="0" w:beforeAutospacing="0" w:after="0" w:afterAutospacing="0" w:line="360" w:lineRule="exact"/>
        <w:ind w:firstLine="470"/>
        <w:rPr>
          <w:rFonts w:hint="eastAsia" w:ascii="宋体" w:hAnsi="宋体" w:cs="宋体"/>
          <w:color w:val="auto"/>
          <w:highlight w:val="none"/>
        </w:rPr>
      </w:pPr>
      <w:r>
        <w:rPr>
          <w:rFonts w:hint="eastAsia" w:ascii="宋体" w:hAnsi="宋体" w:cs="宋体"/>
          <w:color w:val="auto"/>
          <w:highlight w:val="none"/>
          <w:shd w:val="clear" w:color="auto" w:fill="FFFFFF"/>
        </w:rPr>
        <w:t>12.2.6若中标人配送货品存在假冒伪劣产品、质量缺陷产品、以劣充优、以假充真等情况；违约金直接从履约保证金中扣除，不足部分，中标人应自收到采购人通知之日起30日内缴纳。</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13、不可抗力</w:t>
      </w:r>
    </w:p>
    <w:p>
      <w:pPr>
        <w:pStyle w:val="9"/>
        <w:widowControl/>
        <w:spacing w:before="0" w:beforeAutospacing="0" w:after="0" w:afterAutospacing="0" w:line="360" w:lineRule="exact"/>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13.1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13.2本招标文件中的不可抗力指不能预见、不能避免并不能克服的客观情况。包括但不限于：自然灾害如地震、台风、洪水、火灾；政府行为、法律规定或其适用的变化或者其他任何无法预见、避免或者控制的事件。</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14、专利权及知识产权</w:t>
      </w:r>
    </w:p>
    <w:p>
      <w:pPr>
        <w:pStyle w:val="9"/>
        <w:widowControl/>
        <w:spacing w:before="0" w:beforeAutospacing="0" w:after="0" w:afterAutospacing="0" w:line="360" w:lineRule="exact"/>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14.1中标人提供的采购标的应符合国家知识产权法律、法规的规定且非假冒伪劣品；中标人还应保证采购人不受到第三方关于侵犯知识产权及专 利权、商 标权或工业设 计权等知识产权方面的指控，若任何第三方提出此方面指控均与采购人无关，中标人应与第三方交涉，并承担可能发生的一切法律责任、费用和后果；若采购人因此而遭致损失，则投标人应赔偿该损失。</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14.2若中标人提供的采购标的不符合国家知识产权法律、法规的规定或被有关主管机关认定为假冒伪劣品，则中标人招标资格将被取消；采购人还将按照有关法律、法规和规章的规定进行处理，具体如下：中标人必须保证所提供的产品具有独立的知识产权，保证采购人在使用中标人所提供的产品时不受任何专 利或版权等方面的侵权困扰，如出现类似纠纷，投标人应对由此产生的后果负全部责任，并赔偿采购人由此而造成的全部损失；中标人必须对技术、商务、招标要求等如实响应，如出现虚假应标被证实的，采购人将要求供货人赔偿合同金额30%的违约金，如产生其它影响和后果的，采购人保留进一步要求供货人赔偿的权利。</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15、保密条款</w:t>
      </w:r>
    </w:p>
    <w:p>
      <w:pPr>
        <w:pStyle w:val="9"/>
        <w:widowControl/>
        <w:spacing w:before="0" w:beforeAutospacing="0" w:after="0" w:afterAutospacing="0" w:line="360" w:lineRule="exact"/>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16.1中标人应当对本项目的内容、因履行本项目或在本项目执行期间知悉的或收到的采购人的财务、技术、产品信息或其他工作上的文件资料、工作内容等予以保密，不得向本任何第三方披露，严格履行保密义务。</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16.2投标人违反本条约定泄露采购人的涉密信息的，应承担相应的法律责任，造成采购人损失的，投标人应当依法承担赔偿责任。</w:t>
      </w:r>
    </w:p>
    <w:p>
      <w:pPr>
        <w:pStyle w:val="9"/>
        <w:widowControl/>
        <w:spacing w:before="0" w:beforeAutospacing="0" w:after="0" w:afterAutospacing="0" w:line="360" w:lineRule="exact"/>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16.3本条款不因合同届满或解除而失效。</w:t>
      </w:r>
    </w:p>
    <w:p>
      <w:pPr>
        <w:pStyle w:val="9"/>
        <w:widowControl/>
        <w:spacing w:before="0" w:beforeAutospacing="0" w:after="0" w:afterAutospacing="0" w:line="360" w:lineRule="exact"/>
        <w:ind w:firstLine="480"/>
        <w:rPr>
          <w:rFonts w:hint="eastAsia" w:ascii="宋体" w:hAnsi="宋体" w:cs="宋体"/>
          <w:color w:val="auto"/>
          <w:highlight w:val="none"/>
        </w:rPr>
      </w:pPr>
      <w:r>
        <w:rPr>
          <w:rFonts w:hint="eastAsia" w:ascii="宋体" w:hAnsi="宋体" w:cs="宋体"/>
          <w:color w:val="auto"/>
          <w:highlight w:val="none"/>
          <w:shd w:val="clear" w:color="auto" w:fill="FFFFFF"/>
        </w:rPr>
        <w:t>17、廉政条款</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投标人及其工作人员不得有以任何形式行贿采购人工作人员的行为，若发现经被核查属实的，采购人有权解除合同且不退还履约保证金，情节严重的，投标人及其工作人员还要承担相应的法律责任；采购人及其工作人员不得索要或接受投标人的礼金及吃请等，如有违反廉政纪律等行为的，依据有关规定给予党纪、政纪或组织处理；情节严重的，还应承担相应的法律责任。</w:t>
      </w:r>
    </w:p>
    <w:p>
      <w:pPr>
        <w:pStyle w:val="4"/>
        <w:widowControl/>
        <w:spacing w:before="0" w:beforeAutospacing="0" w:after="0" w:afterAutospacing="0" w:line="360" w:lineRule="exact"/>
        <w:jc w:val="both"/>
        <w:rPr>
          <w:rFonts w:cs="宋体"/>
          <w:color w:val="auto"/>
          <w:sz w:val="24"/>
          <w:szCs w:val="24"/>
          <w:highlight w:val="none"/>
        </w:rPr>
      </w:pPr>
      <w:r>
        <w:rPr>
          <w:rFonts w:cs="宋体"/>
          <w:color w:val="auto"/>
          <w:sz w:val="24"/>
          <w:szCs w:val="24"/>
          <w:highlight w:val="none"/>
          <w:shd w:val="clear" w:color="auto" w:fill="FFFFFF"/>
        </w:rPr>
        <w:t>四、其他事项</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1、除招标文件另有规定外，若出现有关法律、法规和规章有强制性规定但招标文件未列明的情形，则投标人应按照有关法律、法规和规章强制性规定执行。</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2、其他：</w:t>
      </w:r>
    </w:p>
    <w:p>
      <w:pPr>
        <w:pStyle w:val="9"/>
        <w:widowControl/>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第六章 政府采购合同</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参考文本</w:t>
      </w:r>
    </w:p>
    <w:p>
      <w:pPr>
        <w:pStyle w:val="9"/>
        <w:widowControl/>
        <w:wordWrap w:val="0"/>
        <w:spacing w:before="0" w:beforeAutospacing="0" w:after="0" w:afterAutospacing="0" w:line="360" w:lineRule="exact"/>
        <w:ind w:firstLine="420"/>
        <w:jc w:val="right"/>
        <w:rPr>
          <w:rFonts w:hint="eastAsia" w:ascii="宋体" w:hAnsi="宋体" w:cs="宋体"/>
          <w:b/>
          <w:bCs/>
          <w:color w:val="auto"/>
          <w:highlight w:val="none"/>
        </w:rPr>
      </w:pPr>
      <w:r>
        <w:rPr>
          <w:rFonts w:hint="eastAsia" w:ascii="宋体" w:hAnsi="宋体" w:cs="宋体"/>
          <w:b/>
          <w:bCs/>
          <w:color w:val="auto"/>
          <w:highlight w:val="none"/>
          <w:shd w:val="clear" w:color="auto" w:fill="FFFFFF"/>
        </w:rPr>
        <w:t>合同编号：</w:t>
      </w:r>
    </w:p>
    <w:p>
      <w:pPr>
        <w:pStyle w:val="3"/>
        <w:widowControl/>
        <w:wordWrap w:val="0"/>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福建省政府采购合同（货物类）</w:t>
      </w:r>
    </w:p>
    <w:p>
      <w:pPr>
        <w:pStyle w:val="5"/>
        <w:widowControl/>
        <w:wordWrap w:val="0"/>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编制说明</w:t>
      </w:r>
    </w:p>
    <w:p>
      <w:pPr>
        <w:widowControl/>
        <w:shd w:val="clear" w:color="auto" w:fill="FFFFFF"/>
        <w:wordWrap w:val="0"/>
        <w:spacing w:line="360" w:lineRule="exact"/>
        <w:rPr>
          <w:rFonts w:hint="eastAsia" w:ascii="宋体" w:hAnsi="宋体" w:cs="宋体"/>
          <w:color w:val="auto"/>
          <w:sz w:val="24"/>
          <w:highlight w:val="none"/>
        </w:rPr>
      </w:pP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1.签订合同应遵守《中华人民共和国政府采购法》及其实施条例、《中华人民共和国民法典》等法律法规及其他有关规定。</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2.签订合同时，采购人与中标(成交)人应结合采购文件规定填列相应内容。采购文件已有约定的，双方均不得对约定进行变更或调整；采购文件未作规定的，双方可通过友好协商进行约定。</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3.政府有关主管部门对若干合同有规范文本的，可使用相应合同文本。</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4.本合同范本仅供参考，采购人应当根据采购项目的实际需求对合同条款进行修改、补充。</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甲方： 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住所地： 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联系人： 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联系电话：___________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传真：___________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电子邮箱：___________</w:t>
      </w:r>
    </w:p>
    <w:p>
      <w:pPr>
        <w:widowControl/>
        <w:spacing w:line="360" w:lineRule="exact"/>
        <w:jc w:val="left"/>
        <w:rPr>
          <w:rFonts w:hint="eastAsia" w:ascii="宋体" w:hAnsi="宋体" w:cs="宋体"/>
          <w:color w:val="auto"/>
          <w:sz w:val="24"/>
          <w:highlight w:val="none"/>
        </w:rPr>
      </w:pP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乙方： 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住所地： 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联系人：___________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联系电话：___________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传真：___________</w:t>
      </w:r>
    </w:p>
    <w:p>
      <w:pPr>
        <w:pStyle w:val="9"/>
        <w:widowControl/>
        <w:wordWrap w:val="0"/>
        <w:spacing w:before="0" w:beforeAutospacing="0" w:after="0" w:afterAutospacing="0" w:line="360" w:lineRule="exact"/>
        <w:jc w:val="both"/>
        <w:rPr>
          <w:rFonts w:hint="eastAsia" w:ascii="宋体" w:hAnsi="宋体" w:cs="宋体"/>
          <w:color w:val="auto"/>
          <w:highlight w:val="none"/>
        </w:rPr>
      </w:pPr>
      <w:r>
        <w:rPr>
          <w:rFonts w:hint="eastAsia" w:ascii="宋体" w:hAnsi="宋体" w:cs="宋体"/>
          <w:color w:val="auto"/>
          <w:highlight w:val="none"/>
          <w:shd w:val="clear" w:color="auto" w:fill="FFFFFF"/>
        </w:rPr>
        <w:t>电子邮箱：___________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根据项目编号为________ 的 ___________项目（以下简称：“本项目”）的采购结果，遵循平等、自愿、公平和诚实信用的原则，双方签署本合同，具体内容如下：</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一、合同组成部分</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1.1本合同条款及附件；</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1.2采购文件及其附件、补充文件；</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1.3乙方的响应文件及其附件、补充文件；</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1.4其他文件或材料：</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二、合同标的</w:t>
      </w:r>
    </w:p>
    <w:p>
      <w:pPr>
        <w:widowControl/>
        <w:spacing w:line="360" w:lineRule="exact"/>
        <w:jc w:val="left"/>
        <w:rPr>
          <w:rFonts w:hint="eastAsia" w:ascii="宋体" w:hAnsi="宋体" w:cs="宋体"/>
          <w:color w:val="auto"/>
          <w:sz w:val="24"/>
          <w:highlight w:val="none"/>
        </w:rPr>
      </w:pP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三、合同金额</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3.1合同总价：人民币（大写）_________ 元（￥_________元）；</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3.2合同总价组成：___________；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3.3其他需说明事项：___________；</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四、合同标的交付</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4.1交付时间：___________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4.2交付地点：___________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4.3交付条件：___________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4.4供货要求：</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(2)乙方提供的全部货物均应采用标准保护措施进行包装，除采购文件中的采购需求另有要求外，乙方所提供的货物包装应当参照财政部办公厅等联合印发的《关于印发&lt;商品包装政府采购需求标准（试行）&gt;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若乙方提供的采购标的不符合国家知识产权法律、法规的规定或被有关主管机关认定为假冒伪劣品，则乙方中标或成交资格将被取消；甲方还将按照有关法律、法规和规章的规定进行处理，具体如下：</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（4）其他供货要求：</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五、质量标准及要求</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5.1质量标准及要求</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（2）其他质量要求</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5.2节能环保产品要求</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5.3质量保证范围、质量保证期及售后服务</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（1）质量保证范围：___________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（2）本合同乙方所供应的货物质量保证期自验收合格之日起{_______月。</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（3）售后服务应按法律法规和采购文件约定执行，具体如下：</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5.4商品安全责任</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商品安全责任应按照法律法规和采购文件的规定执行，具体如下：</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六、安装调试、验收及退、换货</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6.1安装调试、验收应按照采购文件、乙方响应文件的规定或约定进行，具体如下：</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6.2本项目是否邀请其他投标人参与验收：</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 不邀请。  邀请，具体如下：</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6.3本项目是否邀请专家参与验收：</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 不邀请。  邀请，具体如下：</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6.4本项目是否邀请国家认可的质量检测机构参与验收：</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 不邀请。  邀请，具体如下：</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6.5履约验收：___________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6.6退、换货：___________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6.7其他：</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七、资金支付方式、条件和时间</w:t>
      </w:r>
    </w:p>
    <w:p>
      <w:pPr>
        <w:widowControl/>
        <w:spacing w:line="360" w:lineRule="exact"/>
        <w:jc w:val="left"/>
        <w:rPr>
          <w:rFonts w:hint="eastAsia" w:ascii="宋体" w:hAnsi="宋体" w:cs="宋体"/>
          <w:color w:val="auto"/>
          <w:sz w:val="24"/>
          <w:highlight w:val="none"/>
        </w:rPr>
      </w:pP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八、履约保证金</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□有，□无。具体如下违约：（按照采购文件规定填写）。</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8.1乙方向甲方缴纳人民币 元（大写： ）作为本合同的履约保证金。</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8.2履约保证金缴纳形式：支票/汇票/电汇/保函等非现金形式。</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8.3履约保证金退还： （根据实际情况填写） 。</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九、合同期限</w:t>
      </w:r>
    </w:p>
    <w:p>
      <w:pPr>
        <w:widowControl/>
        <w:spacing w:line="360" w:lineRule="exact"/>
        <w:jc w:val="left"/>
        <w:rPr>
          <w:rFonts w:hint="eastAsia" w:ascii="宋体" w:hAnsi="宋体" w:cs="宋体"/>
          <w:color w:val="auto"/>
          <w:sz w:val="24"/>
          <w:highlight w:val="none"/>
        </w:rPr>
      </w:pP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十、违约责任</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10.1甲方违约责任</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（1）甲方无正当理由拒收乙方交付的合格产品的，甲方向乙方偿付拒收货款总值_____的违约金</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（2）甲方无故逾期验收和办理合同款项支付手续的,甲方应按逾期付款总额每日_______向乙方支付违约金。</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（3）其他违约情形</w:t>
      </w:r>
    </w:p>
    <w:p>
      <w:pPr>
        <w:widowControl/>
        <w:shd w:val="clear" w:color="auto" w:fill="FFFFFF"/>
        <w:wordWrap w:val="0"/>
        <w:spacing w:line="360" w:lineRule="exac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t>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10.2乙方违约责任</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（1）乙方逾期履行服务的，乙方应按逾期交付总额每日_______向甲方支付违约金，由甲方从待付货款中扣除。乙方无正当理由逾期超过约定日期_______仍不能交付的，视为“乙方不按合同约定履约”；</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（2）乙方所交付的产品不符合合同规定及《采购文件》规定标准的，甲方有权拒收，乙方愿意更换产品但逾期交货的，按乙方逾期交货处理。乙方拒绝更换产品的，视为“乙方不按合同约定履约”；</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（3）乙方不按合同约定履约的，甲方可以解除采购合同，并对乙方已缴纳的履约保证金作“不予退还”处理。同时，乙方还须按向甲方支付违约金：</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（4）其他违约情形</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十一、不可抗力事件处理</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十二、保密条款</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12.1对于在采购和合同履行过程中所获悉的属于保密的内容，甲、乙双方均负有保密义务。</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12.2其他</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十三、解决争议的方法</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13.1甲、乙双方协商解决。</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13.2若协商解决不成，双方明确按以下第__方式解决：</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 1、提交仲裁委员会仲裁，具体如下：</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 2、向人民法院提起诉讼，具体如下：</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十四、合同其他条款</w:t>
      </w:r>
    </w:p>
    <w:p>
      <w:pPr>
        <w:widowControl/>
        <w:spacing w:line="360" w:lineRule="exact"/>
        <w:jc w:val="left"/>
        <w:rPr>
          <w:rFonts w:hint="eastAsia" w:ascii="宋体" w:hAnsi="宋体" w:cs="宋体"/>
          <w:color w:val="auto"/>
          <w:sz w:val="24"/>
          <w:highlight w:val="none"/>
        </w:rPr>
      </w:pP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十五、其他约定</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15.1合同文件与本合同具有同等法律效力。</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15.3本合同未尽事宜，遵照《中华人民共和国民法典》有关条文执行。</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15.4本合同正本一式_______份，具有同等法律效力，甲方、乙方各执_______份；副本_______份，_______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15.5本合同已用于政府采购合同融资，为本项目提供合同融资的金融机构为：_______，甲乙双方应当按照融资合同的约定进行资金使用及款项支付。</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中标（成交）供应商应于采购合同签订之日起_______内，向发放政采贷的金融机构提交政府采购中标（成交）通知书和政府采购合同，贷款金额以政府采购合同金额为限。</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15.6其他</w:t>
      </w:r>
    </w:p>
    <w:p>
      <w:pPr>
        <w:pStyle w:val="5"/>
        <w:widowControl/>
        <w:wordWrap w:val="0"/>
        <w:spacing w:before="0" w:beforeAutospacing="0" w:after="0" w:afterAutospacing="0" w:line="360" w:lineRule="exact"/>
        <w:rPr>
          <w:rFonts w:cs="宋体"/>
          <w:color w:val="auto"/>
          <w:highlight w:val="none"/>
        </w:rPr>
      </w:pPr>
      <w:r>
        <w:rPr>
          <w:rFonts w:cs="宋体"/>
          <w:color w:val="auto"/>
          <w:highlight w:val="none"/>
          <w:shd w:val="clear" w:color="auto" w:fill="FFFFFF"/>
        </w:rPr>
        <w:t>十六、合同附件</w:t>
      </w:r>
    </w:p>
    <w:p>
      <w:pPr>
        <w:widowControl/>
        <w:spacing w:line="360" w:lineRule="exact"/>
        <w:jc w:val="left"/>
        <w:rPr>
          <w:rFonts w:hint="eastAsia" w:ascii="宋体" w:hAnsi="宋体" w:cs="宋体"/>
          <w:color w:val="auto"/>
          <w:sz w:val="24"/>
          <w:highlight w:val="none"/>
        </w:rPr>
      </w:pP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甲方（采购人）：</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法定（授权）代表人：</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纳税人识别号：</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开户银行：</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账号：</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乙方（中标或成交人）：</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法定（授权）代表人：</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纳税人识别号：</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开户银行：</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账号：</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签订地点：__________</w:t>
      </w:r>
    </w:p>
    <w:p>
      <w:pPr>
        <w:pStyle w:val="9"/>
        <w:widowControl/>
        <w:wordWrap w:val="0"/>
        <w:spacing w:before="0" w:beforeAutospacing="0" w:after="0" w:afterAutospacing="0" w:line="360" w:lineRule="exact"/>
        <w:ind w:firstLine="420"/>
        <w:jc w:val="both"/>
        <w:rPr>
          <w:rFonts w:hint="eastAsia" w:ascii="宋体" w:hAnsi="宋体" w:cs="宋体"/>
          <w:color w:val="auto"/>
          <w:highlight w:val="none"/>
        </w:rPr>
      </w:pPr>
      <w:r>
        <w:rPr>
          <w:rFonts w:hint="eastAsia" w:ascii="宋体" w:hAnsi="宋体" w:cs="宋体"/>
          <w:color w:val="auto"/>
          <w:highlight w:val="none"/>
          <w:shd w:val="clear" w:color="auto" w:fill="FFFFFF"/>
        </w:rPr>
        <w:t>签订日期：___年___月___日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第七章 电子投标文件格式</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编制说明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1、除招标文件另有规定外，本章中：</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1.1涉及投标人的“全称”：</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（1）不接受联合体投标的，指投标人的全称。</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（2）接受联合体投标且投标人为联合体的，指牵头方的全称并加注（联合体牵头方），即应表述为：“牵头方的全称（联合体牵头方）”。</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1.2涉及投标人“加盖单位公章”：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（1）不接受联合体投标的，指加盖投标人的单位公章。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（2）接受联合体投标且投标人为联合体的，指加盖联合体牵头方的单位公章。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1.3涉及“投标人代表签字”：</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（1）不接受联合体投标的，指由投标人的单位负责人或其授权的委托代理人签字，由委托代理人签字的，应提供“单位授权书”。</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（2）接受联合体投标且投标人为联合体的，指由联合体牵头方的单位负责人或其授权的委托代理人签字，由委托代理人签字的，应提供“单位授权书”。</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1.4“其他组织”指合伙企业、非企业专业服务机构、个体工商户、农村承包经营户等。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1.5“自然人”指具有完全民事行为能力、能够承担民事责任和义务的中国公民。</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2、除招标文件另有规定外，本章中“投标人的资格及资信证明文件”：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2.1投标人应按照招标文件第四章第1.3条第（2）款规定及本章规定进行编制，如有必要，可增加附页，附页作为资格及资信文件的组成部分。</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2.2接受联合体投标且投标人为联合体的，联合体中的各方均应按照本章第2.1条规定提交相应的全部资料。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3、投标人对电子投标文件的索引应编制页码。</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4、本章提供格式仅供参考，投标人应根据自身实际情况制作电子投标文件。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封面格式(资格及资信证明部分)</w:t>
      </w:r>
    </w:p>
    <w:p>
      <w:pPr>
        <w:pStyle w:val="2"/>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福建省政府采购投标文件</w:t>
      </w:r>
    </w:p>
    <w:p>
      <w:pPr>
        <w:pStyle w:val="2"/>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（资格及资信证明部分）</w:t>
      </w:r>
    </w:p>
    <w:p>
      <w:pPr>
        <w:widowControl/>
        <w:shd w:val="clear" w:color="auto" w:fill="FFFFFF"/>
        <w:spacing w:line="360" w:lineRule="exact"/>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br w:type="textWrapping"/>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（填写正本或副本）</w:t>
      </w:r>
    </w:p>
    <w:p>
      <w:pPr>
        <w:widowControl/>
        <w:spacing w:line="360" w:lineRule="exact"/>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br w:type="textWrapping"/>
      </w:r>
      <w:r>
        <w:rPr>
          <w:rFonts w:hint="eastAsia" w:ascii="宋体" w:hAnsi="宋体" w:cs="宋体"/>
          <w:color w:val="auto"/>
          <w:kern w:val="0"/>
          <w:sz w:val="24"/>
          <w:highlight w:val="none"/>
          <w:shd w:val="clear" w:color="auto" w:fill="FFFFFF"/>
          <w:lang w:bidi="ar"/>
        </w:rPr>
        <w:br w:type="textWrapping"/>
      </w:r>
      <w:r>
        <w:rPr>
          <w:rFonts w:hint="eastAsia" w:ascii="宋体" w:hAnsi="宋体" w:cs="宋体"/>
          <w:color w:val="auto"/>
          <w:kern w:val="0"/>
          <w:sz w:val="24"/>
          <w:highlight w:val="none"/>
          <w:shd w:val="clear" w:color="auto" w:fill="FFFFFF"/>
          <w:lang w:bidi="ar"/>
        </w:rPr>
        <w:br w:type="textWrapping"/>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（项目名称：（由投标人填写）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（备案编号：（由投标人填写）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（项目编号：（由投标人填写）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（所投采购包：（由投标人填写）</w:t>
      </w:r>
    </w:p>
    <w:p>
      <w:pPr>
        <w:widowControl/>
        <w:spacing w:line="360" w:lineRule="exact"/>
        <w:jc w:val="left"/>
        <w:rPr>
          <w:rFonts w:hint="eastAsia" w:ascii="宋体" w:hAnsi="宋体" w:cs="宋体"/>
          <w:color w:val="auto"/>
          <w:sz w:val="24"/>
          <w:highlight w:val="none"/>
        </w:rPr>
      </w:pP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投标人：（填写“全称”）</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（由投标人填写）年（由投标人填写）月</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索引</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一、投标函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二、投标人的资格及资信证明文件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三、投标保证金</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资格及资信证明部分中不得出现报价部分的全部或部分的投标报价信息（或组成资料），否则资格审查不合格。（联合体协议及分包意向协议中的比例规定，不适用本条款）</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一、投标函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兹收到贵单位关于</w:t>
      </w:r>
      <w:r>
        <w:rPr>
          <w:rFonts w:hint="eastAsia" w:ascii="宋体" w:hAnsi="宋体" w:cs="宋体"/>
          <w:color w:val="auto"/>
          <w:highlight w:val="none"/>
          <w:u w:val="single"/>
          <w:shd w:val="clear" w:color="auto" w:fill="FFFFFF"/>
        </w:rPr>
        <w:t>（填写“项目名称”） </w:t>
      </w:r>
      <w:r>
        <w:rPr>
          <w:rFonts w:hint="eastAsia" w:ascii="宋体" w:hAnsi="宋体" w:cs="宋体"/>
          <w:color w:val="auto"/>
          <w:highlight w:val="none"/>
          <w:shd w:val="clear" w:color="auto" w:fill="FFFFFF"/>
        </w:rPr>
        <w:t>项目</w:t>
      </w:r>
      <w:r>
        <w:rPr>
          <w:rFonts w:hint="eastAsia" w:ascii="宋体" w:hAnsi="宋体" w:cs="宋体"/>
          <w:color w:val="auto"/>
          <w:highlight w:val="none"/>
          <w:u w:val="single"/>
          <w:shd w:val="clear" w:color="auto" w:fill="FFFFFF"/>
        </w:rPr>
        <w:t>（项目编号：　　　　　） </w:t>
      </w:r>
      <w:r>
        <w:rPr>
          <w:rFonts w:hint="eastAsia" w:ascii="宋体" w:hAnsi="宋体" w:cs="宋体"/>
          <w:color w:val="auto"/>
          <w:highlight w:val="none"/>
          <w:shd w:val="clear" w:color="auto" w:fill="FFFFFF"/>
        </w:rPr>
        <w:t>的投标邀请，本投标人代表</w:t>
      </w:r>
      <w:r>
        <w:rPr>
          <w:rFonts w:hint="eastAsia" w:ascii="宋体" w:hAnsi="宋体" w:cs="宋体"/>
          <w:color w:val="auto"/>
          <w:highlight w:val="none"/>
          <w:u w:val="single"/>
          <w:shd w:val="clear" w:color="auto" w:fill="FFFFFF"/>
        </w:rPr>
        <w:t>（填写“全名”） </w:t>
      </w:r>
      <w:r>
        <w:rPr>
          <w:rFonts w:hint="eastAsia" w:ascii="宋体" w:hAnsi="宋体" w:cs="宋体"/>
          <w:color w:val="auto"/>
          <w:highlight w:val="none"/>
          <w:shd w:val="clear" w:color="auto" w:fill="FFFFFF"/>
        </w:rPr>
        <w:t>已获得我方正式授权并代表投标人（填写“全称”）参加投标，并提交电子投标文件。我方提交的全部电子投标文件由下述部分组成：</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（1）资格及资信证明部分</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①投标函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②投标人的资格及资信证明文件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③投标保证金</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（2）报价部分</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①开标一览表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②投标分项报价表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③招标文件规定的价格扣除证明材料（若有）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④招标文件规定的加分证明材料（若有）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（3）技术商务部分</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①标的说明一览表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②技术和服务要求响应表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③商务条件响应表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④投标人提交的其他资料（若有）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根据本函，本投标人代表宣布我方保证遵守招标文件的全部规定，同时：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1、确认：</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1.1所投采购包的投标报价详见“开标一览表”及“投标分项报价表”。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1.2我方已详细审查全部招标文件[包括但不限于：有关附件（若有）、澄清或修改（若有）等]，并自行承担因对全部招标文件理解不正确或误解而产生的相应后果和责任。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2、承诺及声明：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2.1我方具备招标文件第一章载明的“投标人的资格要求”且符合招标文件第三章载明的“二、投标人”之规定，否则投标无效。</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2.2我方提交的电子投标文件各组成部分的全部内容及资料是不可割离且真实、有效、准确、完整和不具有任何误导性的，否则产生不利后果由我方承担责任。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2.3我方提供的标的价格不高于同期市场价格，否则产生不利后果由我方承担责任。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2.4投标保证金：若出现招标文件第三章规定的不予退还情形，同意贵单位不予退还。</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2.5投标有效期：按照招标文件第三章规定执行，并在招标文件第二章载明的期限内保持有效。</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2.6若中标，将按照招标文件、我方电子投标文件及政府采购合同履行责任和义务。</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2.7若贵单位要求，我方同意提供与本项目投标有关的一切资料、数据或文件，并完全理解贵单位不一定要接受最低的投标报价或收到的任何投标。</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2.8我方承诺电子投标文件所提供的全部资料真实可靠，并接受评标委员会、采购人、采购代理机构、监管部门进一步审查其中任何资料真实性的要求。</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2.9除招标文件另有规定外，对于贵单位按照下述联络方式发出的任何信息或通知，均视为我方已收悉前述信息或通知的全部内容：</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通信地址：                                        </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邮编：                                           </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联系方法：（包括但不限于：联系人、联系电话、手机、传真、电子邮箱等）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投标人：（全称并加盖单位公章）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日期：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二、投标人的资格及资信证明文件</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二-1单位授权书（若有）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我方的单位负责人</w:t>
      </w:r>
      <w:r>
        <w:rPr>
          <w:rFonts w:hint="eastAsia" w:ascii="宋体" w:hAnsi="宋体" w:cs="宋体"/>
          <w:color w:val="auto"/>
          <w:highlight w:val="none"/>
          <w:u w:val="single"/>
          <w:shd w:val="clear" w:color="auto" w:fill="FFFFFF"/>
        </w:rPr>
        <w:t>（填写“单位负责人全名”）</w:t>
      </w:r>
      <w:r>
        <w:rPr>
          <w:rFonts w:hint="eastAsia" w:ascii="宋体" w:hAnsi="宋体" w:cs="宋体"/>
          <w:color w:val="auto"/>
          <w:highlight w:val="none"/>
          <w:shd w:val="clear" w:color="auto" w:fill="FFFFFF"/>
        </w:rPr>
        <w:t>授权</w:t>
      </w:r>
      <w:r>
        <w:rPr>
          <w:rFonts w:hint="eastAsia" w:ascii="宋体" w:hAnsi="宋体" w:cs="宋体"/>
          <w:color w:val="auto"/>
          <w:highlight w:val="none"/>
          <w:u w:val="single"/>
          <w:shd w:val="clear" w:color="auto" w:fill="FFFFFF"/>
        </w:rPr>
        <w:t>（填写“投标人代表全名”）</w:t>
      </w:r>
      <w:r>
        <w:rPr>
          <w:rFonts w:hint="eastAsia" w:ascii="宋体" w:hAnsi="宋体" w:cs="宋体"/>
          <w:color w:val="auto"/>
          <w:highlight w:val="none"/>
          <w:shd w:val="clear" w:color="auto" w:fill="FFFFFF"/>
        </w:rPr>
        <w:t>为投标人代表，代表我方参加</w:t>
      </w:r>
      <w:r>
        <w:rPr>
          <w:rFonts w:hint="eastAsia" w:ascii="宋体" w:hAnsi="宋体" w:cs="宋体"/>
          <w:color w:val="auto"/>
          <w:highlight w:val="none"/>
          <w:u w:val="single"/>
          <w:shd w:val="clear" w:color="auto" w:fill="FFFFFF"/>
        </w:rPr>
        <w:t>（填写“项目名称”）</w:t>
      </w:r>
      <w:r>
        <w:rPr>
          <w:rFonts w:hint="eastAsia" w:ascii="宋体" w:hAnsi="宋体" w:cs="宋体"/>
          <w:color w:val="auto"/>
          <w:highlight w:val="none"/>
          <w:shd w:val="clear" w:color="auto" w:fill="FFFFFF"/>
        </w:rPr>
        <w:t>项目（项目编号：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投标人代表无转委权。特此授权。</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（以下无正文）</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单位负责人：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身份证号：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手机：</w:t>
      </w:r>
      <w:r>
        <w:rPr>
          <w:rFonts w:hint="eastAsia" w:ascii="宋体" w:hAnsi="宋体" w:cs="宋体"/>
          <w:color w:val="auto"/>
          <w:highlight w:val="none"/>
          <w:u w:val="single"/>
          <w:shd w:val="clear" w:color="auto" w:fill="FFFFFF"/>
        </w:rPr>
        <w:t>　　　　　</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投标人代表：</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身份证号：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手机：</w:t>
      </w:r>
      <w:r>
        <w:rPr>
          <w:rFonts w:hint="eastAsia" w:ascii="宋体" w:hAnsi="宋体" w:cs="宋体"/>
          <w:color w:val="auto"/>
          <w:highlight w:val="none"/>
          <w:u w:val="single"/>
          <w:shd w:val="clear" w:color="auto" w:fill="FFFFFF"/>
        </w:rPr>
        <w:t>　　　　　</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授权方</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签署日期：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附：单位负责人、投标人代表的身份证正反面复印件</w:t>
      </w:r>
    </w:p>
    <w:p>
      <w:pPr>
        <w:pStyle w:val="9"/>
        <w:widowControl/>
        <w:spacing w:before="0" w:beforeAutospacing="0" w:after="0" w:afterAutospacing="0" w:line="360" w:lineRule="exact"/>
        <w:ind w:firstLine="420"/>
        <w:jc w:val="center"/>
        <w:rPr>
          <w:rFonts w:hint="eastAsia" w:ascii="宋体" w:hAnsi="宋体" w:cs="宋体"/>
          <w:color w:val="auto"/>
          <w:highlight w:val="none"/>
        </w:rPr>
      </w:pPr>
      <w:r>
        <w:rPr>
          <w:rFonts w:hint="eastAsia" w:ascii="宋体" w:hAnsi="宋体" w:cs="宋体"/>
          <w:color w:val="auto"/>
          <w:highlight w:val="none"/>
          <w:shd w:val="clear" w:color="auto" w:fill="FFFFFF"/>
        </w:rPr>
        <w:t>要求：真实有效且内容完整、清晰、整洁。</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1、企业（银行、保险、石油石化、电力、电信等行业除外）、事业单位和社会团体法人的“单位负责人”指法定代表人，即与实际提交的“营业执照等证明文件”载明的一致。</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3、投标人（自然人除外）：若投标人代表为单位授权的委托代理人，应提供本授权书；若投标人代表为单位负责人，应在此项下提交其身份证正反面复印件，可不提供本授权书。</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4、投标人为自然人的，可不填写本授权书。</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二-2营业执照等证明文件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）投标人为法人（包括企业、事业单位和社会团体）的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现附上由</w:t>
      </w:r>
      <w:r>
        <w:rPr>
          <w:rFonts w:hint="eastAsia" w:ascii="宋体" w:hAnsi="宋体" w:cs="宋体"/>
          <w:color w:val="auto"/>
          <w:highlight w:val="none"/>
          <w:u w:val="single"/>
          <w:shd w:val="clear" w:color="auto" w:fill="FFFFFF"/>
        </w:rPr>
        <w:t>（（填写“签发机关全称”）</w:t>
      </w:r>
      <w:r>
        <w:rPr>
          <w:rFonts w:hint="eastAsia" w:ascii="宋体" w:hAnsi="宋体" w:cs="宋体"/>
          <w:color w:val="auto"/>
          <w:highlight w:val="none"/>
          <w:shd w:val="clear" w:color="auto" w:fill="FFFFFF"/>
        </w:rPr>
        <w:t>签发的我方统一社会信用代码（请填写法人的具体证照名称）复印件，该证明材料真实有效，否则我方负全部责任。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）投标人为非法人（包括其他组织、自然人）的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□现附上由</w:t>
      </w:r>
      <w:r>
        <w:rPr>
          <w:rFonts w:hint="eastAsia" w:ascii="宋体" w:hAnsi="宋体" w:cs="宋体"/>
          <w:color w:val="auto"/>
          <w:highlight w:val="none"/>
          <w:u w:val="single"/>
          <w:shd w:val="clear" w:color="auto" w:fill="FFFFFF"/>
        </w:rPr>
        <w:t>（（填写“签发机关全称”）</w:t>
      </w:r>
      <w:r>
        <w:rPr>
          <w:rFonts w:hint="eastAsia" w:ascii="宋体" w:hAnsi="宋体" w:cs="宋体"/>
          <w:color w:val="auto"/>
          <w:highlight w:val="none"/>
          <w:shd w:val="clear" w:color="auto" w:fill="FFFFFF"/>
        </w:rPr>
        <w:t>签发的我方（请填写非自然人的非法人的具体证照名称）复印件，该证明材料真实有效，否则我方负全部责任。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□现附上由</w:t>
      </w:r>
      <w:r>
        <w:rPr>
          <w:rFonts w:hint="eastAsia" w:ascii="宋体" w:hAnsi="宋体" w:cs="宋体"/>
          <w:color w:val="auto"/>
          <w:highlight w:val="none"/>
          <w:u w:val="single"/>
          <w:shd w:val="clear" w:color="auto" w:fill="FFFFFF"/>
        </w:rPr>
        <w:t>（（填写“签发机关全称”）</w:t>
      </w:r>
      <w:r>
        <w:rPr>
          <w:rFonts w:hint="eastAsia" w:ascii="宋体" w:hAnsi="宋体" w:cs="宋体"/>
          <w:color w:val="auto"/>
          <w:highlight w:val="none"/>
          <w:shd w:val="clear" w:color="auto" w:fill="FFFFFF"/>
        </w:rPr>
        <w:t>签发的我方（请填写自然人的身份证件名称）复印件，该证明材料真实有效，否则我方负全部责任。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1、请投标人按照实际情况编制填写，在相应的（）中打“√”并选择相应的“□”（若有）后，再按照本格式的要求提供相应证明材料的复印件。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二-3财务状况报告（财务报告、或资信证明）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）投标人提供财务报告的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□企业适用：现附上我方</w:t>
      </w:r>
      <w:r>
        <w:rPr>
          <w:rFonts w:hint="eastAsia" w:ascii="宋体" w:hAnsi="宋体" w:cs="宋体"/>
          <w:color w:val="auto"/>
          <w:highlight w:val="none"/>
          <w:u w:val="single"/>
          <w:shd w:val="clear" w:color="auto" w:fill="FFFFFF"/>
        </w:rPr>
        <w:t>（填写“具体的年度、或半年度、季度”）</w:t>
      </w:r>
      <w:r>
        <w:rPr>
          <w:rFonts w:hint="eastAsia" w:ascii="宋体" w:hAnsi="宋体" w:cs="宋体"/>
          <w:color w:val="auto"/>
          <w:highlight w:val="none"/>
          <w:shd w:val="clear" w:color="auto" w:fill="FFFFFF"/>
        </w:rPr>
        <w:t>财务报告复印件，包括资产负债表、利润表、现金流量表、所有者权益变动表（若有）及其附注（若有）、会计师事务所营业执照和注册会计师资格证书，上述证明材料真实有效，否则我方负全部责任。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□事业单位适用：现附上我方</w:t>
      </w:r>
      <w:r>
        <w:rPr>
          <w:rFonts w:hint="eastAsia" w:ascii="宋体" w:hAnsi="宋体" w:cs="宋体"/>
          <w:color w:val="auto"/>
          <w:highlight w:val="none"/>
          <w:u w:val="single"/>
          <w:shd w:val="clear" w:color="auto" w:fill="FFFFFF"/>
        </w:rPr>
        <w:t>（填写“具体的年度、或半年度、或季度”）</w:t>
      </w:r>
      <w:r>
        <w:rPr>
          <w:rFonts w:hint="eastAsia" w:ascii="宋体" w:hAnsi="宋体" w:cs="宋体"/>
          <w:color w:val="auto"/>
          <w:highlight w:val="none"/>
          <w:shd w:val="clear" w:color="auto" w:fill="FFFFFF"/>
        </w:rPr>
        <w:t>财务报告复印件，包括资产负债表、收入支出表（或收入费用表）、财政补助收入支出表（若有）、会计师事务所营业执照和注册会计师资格证书，上述证明材料真实有效，否则我方负全部责任。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□社会团体、民办非企适用：现附上我方</w:t>
      </w:r>
      <w:r>
        <w:rPr>
          <w:rFonts w:hint="eastAsia" w:ascii="宋体" w:hAnsi="宋体" w:cs="宋体"/>
          <w:color w:val="auto"/>
          <w:highlight w:val="none"/>
          <w:u w:val="single"/>
          <w:shd w:val="clear" w:color="auto" w:fill="FFFFFF"/>
        </w:rPr>
        <w:t>（填写“具体的年度、或半年度、或季度”）</w:t>
      </w:r>
      <w:r>
        <w:rPr>
          <w:rFonts w:hint="eastAsia" w:ascii="宋体" w:hAnsi="宋体" w:cs="宋体"/>
          <w:color w:val="auto"/>
          <w:highlight w:val="none"/>
          <w:shd w:val="clear" w:color="auto" w:fill="FFFFFF"/>
        </w:rPr>
        <w:t>财务报告复印件，包括资产负债表、业务活动表、现金流量表、会计师事务所营业执照和注册会计师资格证书，上述证明材料真实有效，否则我方负全部责任。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）投标人提供资信证明的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□非自然人适用（包括企业、事业单位、社会团体和其他组织）：现附上我方银行：</w:t>
      </w:r>
      <w:r>
        <w:rPr>
          <w:rFonts w:hint="eastAsia" w:ascii="宋体" w:hAnsi="宋体" w:cs="宋体"/>
          <w:color w:val="auto"/>
          <w:highlight w:val="none"/>
          <w:u w:val="single"/>
          <w:shd w:val="clear" w:color="auto" w:fill="FFFFFF"/>
        </w:rPr>
        <w:t>（填写“开户银行全称”）</w:t>
      </w:r>
      <w:r>
        <w:rPr>
          <w:rFonts w:hint="eastAsia" w:ascii="宋体" w:hAnsi="宋体" w:cs="宋体"/>
          <w:color w:val="auto"/>
          <w:highlight w:val="none"/>
          <w:shd w:val="clear" w:color="auto" w:fill="FFFFFF"/>
        </w:rPr>
        <w:t>出具的资信证明复印件，上述证明材料真实有效，否则我方负全部责任。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□自然人适用：现附上我方银行</w:t>
      </w:r>
      <w:r>
        <w:rPr>
          <w:rFonts w:hint="eastAsia" w:ascii="宋体" w:hAnsi="宋体" w:cs="宋体"/>
          <w:color w:val="auto"/>
          <w:highlight w:val="none"/>
          <w:u w:val="single"/>
          <w:shd w:val="clear" w:color="auto" w:fill="FFFFFF"/>
        </w:rPr>
        <w:t>：（填写自然人的“个人账户的开户银行全称”）</w:t>
      </w:r>
      <w:r>
        <w:rPr>
          <w:rFonts w:hint="eastAsia" w:ascii="宋体" w:hAnsi="宋体" w:cs="宋体"/>
          <w:color w:val="auto"/>
          <w:highlight w:val="none"/>
          <w:shd w:val="clear" w:color="auto" w:fill="FFFFFF"/>
        </w:rPr>
        <w:t>出具的资信证明复印件，上述证明材料真实有效，否则我方负全部责任。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1、请投标人按照实际情况编制填写，在相应的（）中打“√”并选择相应的“□”（若有）后，再按照本格式的要求提供相应证明材料的复印件。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2、投标人提供的财务报告复印件（成立年限按照投标截止时间推算）应符合下列规定：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2.1成立年限满1年及以上的投标人，提供经审计的招标文件规定的年度财务报告。</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2.2成立年限满半年但不足1年的投标人，提供该半年度中任一季度的季度财务报告或该半年度的半年度财务报告。</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二-4依法缴纳税收证明材料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1、依法缴纳税收的投标人</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）法人（包括企业、事业单位和社会团体）的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现附上自</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至</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期间我方缴纳（包括但不限于税务机关出具的专用收据、税收缴纳证明或税收代缴银行的缴款收讫凭证）等税收凭据复印件，上述证明材料真实有效，否则我方负全部责任。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）非法人（包括其他组织、自然人）的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现附上自</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至</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期间我方缴纳（包括但不限于税务机关出具的专用收据、税收缴纳证明或税收代缴银行的缴款收讫凭证）等税收凭据复印件，上述证明材料真实有效，否则我方负全部责任。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2、依法免税的投标人</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1、请投标人按照实际情况编制填写，在相应的（）中打“√”，并按照本格式的要求提供相应证明材料的复印件。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2、投标人提供的税收缴纳凭据复印件应符合下列规定：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2.1投标截止时间前（不含投标截止时间的当月）已依法缴纳税收的投标人，提供投标截止时间前六个月（不含投标截止时间的当月）中任一月份的税收缴纳凭据复印件。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2.2投标截止时间的当月成立的投标人，视同满足本项资格条件要求。</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3、若为依法免税范围的投标人，提供依法免税证明材料的，视同满足本项资格条件要求。</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二-5依法缴纳社会保障资金证明材料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1、依法缴纳社会保障资金的投标人</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）法人（包括企业、事业单位和社会团体）的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现附上自</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至</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我方缴纳的社会保险凭据（限：税务机关/社会保障资金管理机关的专用收据或社会保险缴纳清单，或社会保险的银行缴款收讫凭证）复印件，上述证明材料真实有效，否则我方负全部责任。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）非法人（包括其他组织、自然人）的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自</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至</w:t>
      </w:r>
      <w:r>
        <w:rPr>
          <w:rFonts w:hint="eastAsia" w:ascii="宋体" w:hAnsi="宋体" w:cs="宋体"/>
          <w:color w:val="auto"/>
          <w:highlight w:val="none"/>
          <w:u w:val="single"/>
          <w:shd w:val="clear" w:color="auto" w:fill="FFFFFF"/>
        </w:rPr>
        <w:t>　　年　　月　　日</w:t>
      </w:r>
      <w:r>
        <w:rPr>
          <w:rFonts w:hint="eastAsia" w:ascii="宋体" w:hAnsi="宋体" w:cs="宋体"/>
          <w:color w:val="auto"/>
          <w:highlight w:val="none"/>
          <w:shd w:val="clear" w:color="auto" w:fill="FFFFFF"/>
        </w:rPr>
        <w:t>我方缴纳的社会保险凭据（限：税务机关/社会保障资金管理机关的专用收据或社会保险缴纳清单，或社会保险的银行缴款收讫凭证）复印件，上述证明材料真实有效，否则我方负全部责任。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2、依法不需要缴纳或暂缓缴纳社会保障资金的投标人</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）现附上我方依法不需要缴纳或暂缓缴纳社会保障资金证明材料复印件，上述证明材料真实有效，否则我方负全部责任。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1、请投标人按照实际情况编制填写，在相应的（）中打“√”，并按照本格式的要求提供相应证明材料的复印件。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2、投标人提供的社会保障资金缴纳凭据复印件应符合下列规定：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2.1投标截止时间前（不含投标截止时间的当月）已依法缴纳社会保障资金的投标人，提供投标截止时间前六个月（不含投标截止时间的当月）中任一月份的社会保障资金缴纳凭据复印件。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2.2投标截止时间的当月成立的投标人，视同满足本项资格条件要求。</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3、若为依法不需要缴纳或暂缓缴纳社会保障资金的投标人，提供依法不需要缴纳或暂缓缴纳社会保障资金证明材料的，视同满足本项资格条件要求。</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二-6具备履行合同所必需设备和专业技术能力的声明函（若有）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我方具备履行合同所必需的设备和专业技术能力，否则产生不利后果由我方承担责任。</w:t>
      </w:r>
    </w:p>
    <w:p>
      <w:pPr>
        <w:pStyle w:val="9"/>
        <w:widowControl/>
        <w:spacing w:before="0" w:beforeAutospacing="0" w:after="0" w:afterAutospacing="0" w:line="360" w:lineRule="exact"/>
        <w:ind w:firstLine="840"/>
        <w:rPr>
          <w:rFonts w:hint="eastAsia" w:ascii="宋体" w:hAnsi="宋体" w:cs="宋体"/>
          <w:color w:val="auto"/>
          <w:highlight w:val="none"/>
        </w:rPr>
      </w:pPr>
      <w:r>
        <w:rPr>
          <w:rFonts w:hint="eastAsia" w:ascii="宋体" w:hAnsi="宋体" w:cs="宋体"/>
          <w:color w:val="auto"/>
          <w:highlight w:val="none"/>
          <w:shd w:val="clear" w:color="auto" w:fill="FFFFFF"/>
        </w:rPr>
        <w:t>特此声明。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1、招标文件未要求投标人提供“具备履行合同所必需的设备和专业技术能力专项证明材料”的，投标人应提供本声明函。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2、招标文件要求投标人提供“具备履行合同所必需的设备和专业技术能力专项证明材料”的，投标人可不提供本声明函。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3、请投标人根据实际情况如实声明，否则视为提供虚假材料。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二-7参加采购活动前三年内在经营活动中没有重大违法记录书面声明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9"/>
        <w:widowControl/>
        <w:spacing w:before="0" w:beforeAutospacing="0" w:after="0" w:afterAutospacing="0" w:line="360" w:lineRule="exact"/>
        <w:ind w:firstLine="840"/>
        <w:rPr>
          <w:rFonts w:hint="eastAsia" w:ascii="宋体" w:hAnsi="宋体" w:cs="宋体"/>
          <w:color w:val="auto"/>
          <w:highlight w:val="none"/>
        </w:rPr>
      </w:pPr>
      <w:r>
        <w:rPr>
          <w:rFonts w:hint="eastAsia" w:ascii="宋体" w:hAnsi="宋体" w:cs="宋体"/>
          <w:color w:val="auto"/>
          <w:highlight w:val="none"/>
          <w:shd w:val="clear" w:color="auto" w:fill="FFFFFF"/>
        </w:rPr>
        <w:t>特此声明。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请投标人根据实际情况如实声明，否则视为提供虚假材料。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二-8信用记录查询提示</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1、由资格审查小组通过网站查询并打印投标人的信用记录。</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二-9中小企业声明函</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（以资格条件落实中小企业扶持政策时适用，若有）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中小企业声明函（货物）</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FFFFFF"/>
        </w:rPr>
        <w:t>（单位名称）</w:t>
      </w:r>
      <w:r>
        <w:rPr>
          <w:rFonts w:hint="eastAsia" w:ascii="宋体" w:hAnsi="宋体" w:cs="宋体"/>
          <w:color w:val="auto"/>
          <w:highlight w:val="none"/>
          <w:shd w:val="clear" w:color="auto" w:fill="FFFFFF"/>
        </w:rPr>
        <w:t>的</w:t>
      </w:r>
      <w:r>
        <w:rPr>
          <w:rFonts w:hint="eastAsia" w:ascii="宋体" w:hAnsi="宋体" w:cs="宋体"/>
          <w:color w:val="auto"/>
          <w:highlight w:val="none"/>
          <w:u w:val="single"/>
          <w:shd w:val="clear" w:color="auto" w:fill="FFFFFF"/>
        </w:rPr>
        <w:t>（项目名称）</w:t>
      </w:r>
      <w:r>
        <w:rPr>
          <w:rFonts w:hint="eastAsia" w:ascii="宋体" w:hAnsi="宋体" w:cs="宋体"/>
          <w:color w:val="auto"/>
          <w:highlight w:val="none"/>
          <w:shd w:val="clear" w:color="auto" w:fill="FFFFFF"/>
        </w:rPr>
        <w:t>采购活动，提供的货物全部由符合政策要求的中小企业制造。相关企业（含联合体中的中小企业、签订分包意向协议的中小企业）的具体情况如下：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行业；制造商为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万元1，属于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行业；制造商为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以上企业，不属于大企业的分支机构，不存在控股股东为大企业的情形，也不存在与大企业的负责人为同一人的情形。</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本企业对上述声明内容的真实性负责。如有虚假，将依法承担相应责任。</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1、从业人员、营业收入、资产总额填报上一年度数据，无上一年度数据的新成立企业可不填报。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中小企业声明函（工程、服务）</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FFFFFF"/>
        </w:rPr>
        <w:t>（单位名称）</w:t>
      </w:r>
      <w:r>
        <w:rPr>
          <w:rFonts w:hint="eastAsia" w:ascii="宋体" w:hAnsi="宋体" w:cs="宋体"/>
          <w:color w:val="auto"/>
          <w:highlight w:val="none"/>
          <w:shd w:val="clear" w:color="auto" w:fill="FFFFFF"/>
        </w:rPr>
        <w:t>的</w:t>
      </w:r>
      <w:r>
        <w:rPr>
          <w:rFonts w:hint="eastAsia" w:ascii="宋体" w:hAnsi="宋体" w:cs="宋体"/>
          <w:color w:val="auto"/>
          <w:highlight w:val="none"/>
          <w:u w:val="single"/>
          <w:shd w:val="clear" w:color="auto" w:fill="FFFFFF"/>
        </w:rPr>
        <w:t>（项目名称）</w:t>
      </w:r>
      <w:r>
        <w:rPr>
          <w:rFonts w:hint="eastAsia" w:ascii="宋体" w:hAnsi="宋体" w:cs="宋体"/>
          <w:color w:val="auto"/>
          <w:highlight w:val="none"/>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w:t>
      </w:r>
      <w:r>
        <w:rPr>
          <w:rFonts w:hint="eastAsia" w:ascii="宋体" w:hAnsi="宋体" w:cs="宋体"/>
          <w:color w:val="auto"/>
          <w:highlight w:val="none"/>
          <w:u w:val="single"/>
          <w:shd w:val="clear" w:color="auto" w:fill="FFFFFF"/>
        </w:rPr>
        <w:t>（标的名称）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万元1，属于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w:t>
      </w:r>
      <w:r>
        <w:rPr>
          <w:rFonts w:hint="eastAsia" w:ascii="宋体" w:hAnsi="宋体" w:cs="宋体"/>
          <w:color w:val="auto"/>
          <w:highlight w:val="none"/>
          <w:u w:val="single"/>
          <w:shd w:val="clear" w:color="auto" w:fill="FFFFFF"/>
        </w:rPr>
        <w:t>（标的名称）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以上企业，不属于大企业的分支机构，不存在控股股东为大企业的情形，也不存在与大企业的负责人为同一人的情形。</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本企业对上述声明内容的真实性负责。如有虚假，将依法承担相应责任。</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1、从业人员、营业收入、资产总额填报上一年度数据，无上一年度数据的新成立企业可不填报。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残疾人福利性单位声明函</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（以资格条件落实中小企业扶持政策时适用，若有）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）由本投标人承建的（填写“所投采购包、品目号”）工程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）由本投标人承接的（填写“所投采购包、品目号”）服务；</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本投标人对上述声明的真实性负责。如有虚假，将依法承担相应责任。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备注：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1、请投标人按照实际情况编制填写本声明函，并在相应的（）中打“√”。</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2、若《残疾人福利性单位声明函》内容不真实，视为提供虚假材料。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监狱企业证明材料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投标人为监狱企业，提供本单位制造的货物（承接的服务），并在电子投标文件中提供省级以上监狱管理局、戒毒管理局（含新疆生产建设兵团）出具的属于监狱企业的证明文件。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二-10联合体协议（若有）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兹有</w:t>
      </w:r>
      <w:r>
        <w:rPr>
          <w:rFonts w:hint="eastAsia" w:ascii="宋体" w:hAnsi="宋体" w:cs="宋体"/>
          <w:color w:val="auto"/>
          <w:highlight w:val="none"/>
          <w:u w:val="single"/>
          <w:shd w:val="clear" w:color="auto" w:fill="FFFFFF"/>
        </w:rPr>
        <w:t>（填写“联合体中各方的全称”，各方的全称之间请用“、”分割）</w:t>
      </w:r>
      <w:r>
        <w:rPr>
          <w:rFonts w:hint="eastAsia" w:ascii="宋体" w:hAnsi="宋体" w:cs="宋体"/>
          <w:color w:val="auto"/>
          <w:highlight w:val="none"/>
          <w:shd w:val="clear" w:color="auto" w:fill="FFFFFF"/>
        </w:rPr>
        <w:t>自愿组成联合体，共同参加</w:t>
      </w:r>
      <w:r>
        <w:rPr>
          <w:rFonts w:hint="eastAsia" w:ascii="宋体" w:hAnsi="宋体" w:cs="宋体"/>
          <w:color w:val="auto"/>
          <w:highlight w:val="none"/>
          <w:u w:val="single"/>
          <w:shd w:val="clear" w:color="auto" w:fill="FFFFFF"/>
        </w:rPr>
        <w:t>（填写“项目名称”）</w:t>
      </w:r>
      <w:r>
        <w:rPr>
          <w:rFonts w:hint="eastAsia" w:ascii="宋体" w:hAnsi="宋体" w:cs="宋体"/>
          <w:color w:val="auto"/>
          <w:highlight w:val="none"/>
          <w:shd w:val="clear" w:color="auto" w:fill="FFFFFF"/>
        </w:rPr>
        <w:t> 项目（项目编号：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）的投标。现就联合体参加本项目投标的有关事宜达成下列协议：</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一、联合体各方应承担的工作和义务具体如下：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1、牵头方（全称）：</w:t>
      </w:r>
      <w:r>
        <w:rPr>
          <w:rFonts w:hint="eastAsia" w:ascii="宋体" w:hAnsi="宋体" w:cs="宋体"/>
          <w:color w:val="auto"/>
          <w:highlight w:val="none"/>
          <w:u w:val="single"/>
          <w:shd w:val="clear" w:color="auto" w:fill="FFFFFF"/>
        </w:rPr>
        <w:t>（填写“工作及义务的具体内容”） </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2、成员方：</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2.1（成员一的全称）：</w:t>
      </w:r>
      <w:r>
        <w:rPr>
          <w:rFonts w:hint="eastAsia" w:ascii="宋体" w:hAnsi="宋体" w:cs="宋体"/>
          <w:color w:val="auto"/>
          <w:highlight w:val="none"/>
          <w:u w:val="single"/>
          <w:shd w:val="clear" w:color="auto" w:fill="FFFFFF"/>
        </w:rPr>
        <w:t>（填写“工作及义务的具体内容”）</w:t>
      </w:r>
      <w:r>
        <w:rPr>
          <w:rFonts w:hint="eastAsia" w:ascii="宋体" w:hAnsi="宋体" w:cs="宋体"/>
          <w:color w:val="auto"/>
          <w:highlight w:val="none"/>
          <w:shd w:val="clear" w:color="auto" w:fill="FFFFFF"/>
        </w:rPr>
        <w:t> ；</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二、联合体各方的合同金额占比，具体如下：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1.牵头方（</w:t>
      </w:r>
      <w:r>
        <w:rPr>
          <w:rFonts w:hint="eastAsia" w:ascii="宋体" w:hAnsi="宋体" w:cs="宋体"/>
          <w:color w:val="auto"/>
          <w:highlight w:val="none"/>
          <w:u w:val="single"/>
          <w:shd w:val="clear" w:color="auto" w:fill="FFFFFF"/>
        </w:rPr>
        <w:t> 全称</w:t>
      </w:r>
      <w:r>
        <w:rPr>
          <w:rFonts w:hint="eastAsia" w:ascii="宋体" w:hAnsi="宋体" w:cs="宋体"/>
          <w:color w:val="auto"/>
          <w:highlight w:val="none"/>
          <w:shd w:val="clear" w:color="auto" w:fill="FFFFFF"/>
        </w:rPr>
        <w:t> ）的合同金额占合同总额的</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2.成员方：</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2.1（</w:t>
      </w:r>
      <w:r>
        <w:rPr>
          <w:rFonts w:hint="eastAsia" w:ascii="宋体" w:hAnsi="宋体" w:cs="宋体"/>
          <w:color w:val="auto"/>
          <w:highlight w:val="none"/>
          <w:u w:val="single"/>
          <w:shd w:val="clear" w:color="auto" w:fill="FFFFFF"/>
        </w:rPr>
        <w:t> 成员1的全称 </w:t>
      </w:r>
      <w:r>
        <w:rPr>
          <w:rFonts w:hint="eastAsia" w:ascii="宋体" w:hAnsi="宋体" w:cs="宋体"/>
          <w:color w:val="auto"/>
          <w:highlight w:val="none"/>
          <w:shd w:val="clear" w:color="auto" w:fill="FFFFFF"/>
        </w:rPr>
        <w:t>）的合同金额占合同总额的</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三、联合体各方约定：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1、由</w:t>
      </w:r>
      <w:r>
        <w:rPr>
          <w:rFonts w:hint="eastAsia" w:ascii="宋体" w:hAnsi="宋体" w:cs="宋体"/>
          <w:color w:val="auto"/>
          <w:highlight w:val="none"/>
          <w:u w:val="single"/>
          <w:shd w:val="clear" w:color="auto" w:fill="FFFFFF"/>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2、联合体各方约定由</w:t>
      </w:r>
      <w:r>
        <w:rPr>
          <w:rFonts w:hint="eastAsia" w:ascii="宋体" w:hAnsi="宋体" w:cs="宋体"/>
          <w:color w:val="auto"/>
          <w:highlight w:val="none"/>
          <w:u w:val="single"/>
          <w:shd w:val="clear" w:color="auto" w:fill="FFFFFF"/>
        </w:rPr>
        <w:t>（填写“牵头方的全称”）代表联合体办理投标保证金事宜。</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四、若中标，牵头方将代表联合体与采购人就合同签订事宜进行协商；若协商一致，则联合体各方将共同与采购人签订政府采购合同，并就政府采购合同约定的事项对采购人承担连带责任。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五、本协议自签署之日起生效，政府采购合同履行完毕后自动失效。</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六、本协议一式</w:t>
      </w:r>
      <w:r>
        <w:rPr>
          <w:rFonts w:hint="eastAsia" w:ascii="宋体" w:hAnsi="宋体" w:cs="宋体"/>
          <w:color w:val="auto"/>
          <w:highlight w:val="none"/>
          <w:u w:val="single"/>
          <w:shd w:val="clear" w:color="auto" w:fill="FFFFFF"/>
        </w:rPr>
        <w:t>（填写具体份数）</w:t>
      </w:r>
      <w:r>
        <w:rPr>
          <w:rFonts w:hint="eastAsia" w:ascii="宋体" w:hAnsi="宋体" w:cs="宋体"/>
          <w:color w:val="auto"/>
          <w:highlight w:val="none"/>
          <w:shd w:val="clear" w:color="auto" w:fill="FFFFFF"/>
        </w:rPr>
        <w:t>份，联合体各方各执一份，电子投标文件中提交一份。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（以下无正文）</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牵头方：</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法定代表人或其委托代理人：</w:t>
      </w:r>
      <w:r>
        <w:rPr>
          <w:rFonts w:hint="eastAsia" w:ascii="宋体" w:hAnsi="宋体" w:cs="宋体"/>
          <w:color w:val="auto"/>
          <w:highlight w:val="none"/>
          <w:u w:val="single"/>
          <w:shd w:val="clear" w:color="auto" w:fill="FFFFFF"/>
        </w:rPr>
        <w:t> （签字或盖章）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成员一：</w:t>
      </w:r>
      <w:r>
        <w:rPr>
          <w:rFonts w:hint="eastAsia" w:ascii="宋体" w:hAnsi="宋体" w:cs="宋体"/>
          <w:color w:val="auto"/>
          <w:highlight w:val="none"/>
          <w:u w:val="single"/>
          <w:shd w:val="clear" w:color="auto" w:fill="FFFFFF"/>
        </w:rPr>
        <w:t>（全称并加盖成员一的单位公章）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法定代表人或其委托代理人：</w:t>
      </w:r>
      <w:r>
        <w:rPr>
          <w:rFonts w:hint="eastAsia" w:ascii="宋体" w:hAnsi="宋体" w:cs="宋体"/>
          <w:color w:val="auto"/>
          <w:highlight w:val="none"/>
          <w:u w:val="single"/>
          <w:shd w:val="clear" w:color="auto" w:fill="FFFFFF"/>
        </w:rPr>
        <w:t> （签字或盖章）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成员**：</w:t>
      </w:r>
      <w:r>
        <w:rPr>
          <w:rFonts w:hint="eastAsia" w:ascii="宋体" w:hAnsi="宋体" w:cs="宋体"/>
          <w:color w:val="auto"/>
          <w:highlight w:val="none"/>
          <w:u w:val="single"/>
          <w:shd w:val="clear" w:color="auto" w:fill="FFFFFF"/>
        </w:rPr>
        <w:t>（全称并加盖成员**的单位公章）</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法定代表人或其委托代理人：</w:t>
      </w:r>
      <w:r>
        <w:rPr>
          <w:rFonts w:hint="eastAsia" w:ascii="宋体" w:hAnsi="宋体" w:cs="宋体"/>
          <w:color w:val="auto"/>
          <w:highlight w:val="none"/>
          <w:u w:val="single"/>
          <w:shd w:val="clear" w:color="auto" w:fill="FFFFFF"/>
        </w:rPr>
        <w:t> （签字或盖章）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签署日期：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1、招标文件接受联合体投标且投标人为联合体的，投标人应提供本协议；否则无须提供。</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2、本协议由委托代理人签字或盖章的，应按照本章载明的格式提供“单位授权书”。</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3、在以联合体形式落实中小企业预留份额项目中，投标人除了要提供《中小企业声明函》，还需提供本协议。</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二-11分包意向协议（若有）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甲方（总包方）：</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（即本项目的投标人）</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乙方（分包方）：</w:t>
      </w:r>
      <w:r>
        <w:rPr>
          <w:rFonts w:hint="eastAsia" w:ascii="宋体" w:hAnsi="宋体" w:cs="宋体"/>
          <w:color w:val="auto"/>
          <w:highlight w:val="none"/>
          <w:u w:val="single"/>
          <w:shd w:val="clear" w:color="auto" w:fill="FFFFFF"/>
        </w:rPr>
        <w:t>　　　　　　　</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兹有甲方参加</w:t>
      </w:r>
      <w:r>
        <w:rPr>
          <w:rFonts w:hint="eastAsia" w:ascii="宋体" w:hAnsi="宋体" w:cs="宋体"/>
          <w:color w:val="auto"/>
          <w:highlight w:val="none"/>
          <w:u w:val="single"/>
          <w:shd w:val="clear" w:color="auto" w:fill="FFFFFF"/>
        </w:rPr>
        <w:t>（填写“项目名称”）</w:t>
      </w:r>
      <w:r>
        <w:rPr>
          <w:rFonts w:hint="eastAsia" w:ascii="宋体" w:hAnsi="宋体" w:cs="宋体"/>
          <w:color w:val="auto"/>
          <w:highlight w:val="none"/>
          <w:shd w:val="clear" w:color="auto" w:fill="FFFFFF"/>
        </w:rPr>
        <w:t> 项目（项目编号：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）的政府采购活动。甲方期望将采购项目的部分采购标的分包给乙方完成，而乙方保证能够向甲方提供本协议项下的采购标的，甲、乙双方就合同分包的有关事宜达成下列协议：</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一、分包标的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u w:val="single"/>
          <w:shd w:val="clear" w:color="auto" w:fill="FFFFFF"/>
        </w:rPr>
        <w:t>（根据双方的意向填写，可以是表格或文字描述）。</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二、分包合同金额占比</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分包合同价占投标总价的比例：</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三、其他条款</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10"/>
        <w:tblW w:w="4999" w:type="pct"/>
        <w:tblInd w:w="0" w:type="dxa"/>
        <w:tblLayout w:type="autofit"/>
        <w:tblCellMar>
          <w:top w:w="0" w:type="dxa"/>
          <w:left w:w="0" w:type="dxa"/>
          <w:bottom w:w="0" w:type="dxa"/>
          <w:right w:w="0" w:type="dxa"/>
        </w:tblCellMar>
      </w:tblPr>
      <w:tblGrid>
        <w:gridCol w:w="4990"/>
        <w:gridCol w:w="4994"/>
      </w:tblGrid>
      <w:tr>
        <w:tblPrEx>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甲方：</w:t>
            </w:r>
          </w:p>
        </w:tc>
        <w:tc>
          <w:tcPr>
            <w:tcW w:w="2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乙方：</w:t>
            </w:r>
          </w:p>
        </w:tc>
      </w:tr>
      <w:tr>
        <w:tblPrEx>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住所：</w:t>
            </w:r>
          </w:p>
        </w:tc>
        <w:tc>
          <w:tcPr>
            <w:tcW w:w="2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住所：</w:t>
            </w:r>
          </w:p>
        </w:tc>
      </w:tr>
      <w:tr>
        <w:tblPrEx>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单位负责人或委托代理人：</w:t>
            </w:r>
          </w:p>
        </w:tc>
        <w:tc>
          <w:tcPr>
            <w:tcW w:w="2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单位负责人或委托代理人：</w:t>
            </w:r>
          </w:p>
        </w:tc>
      </w:tr>
      <w:tr>
        <w:tblPrEx>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联系方法：</w:t>
            </w:r>
          </w:p>
        </w:tc>
        <w:tc>
          <w:tcPr>
            <w:tcW w:w="2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联系方法：</w:t>
            </w:r>
          </w:p>
        </w:tc>
      </w:tr>
      <w:tr>
        <w:tblPrEx>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开户银行：</w:t>
            </w:r>
          </w:p>
        </w:tc>
        <w:tc>
          <w:tcPr>
            <w:tcW w:w="2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开户银行：</w:t>
            </w:r>
          </w:p>
        </w:tc>
      </w:tr>
      <w:tr>
        <w:tblPrEx>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账号：</w:t>
            </w:r>
          </w:p>
        </w:tc>
        <w:tc>
          <w:tcPr>
            <w:tcW w:w="25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账号：</w:t>
            </w:r>
          </w:p>
        </w:tc>
      </w:tr>
      <w:tr>
        <w:tblPrEx>
          <w:tblCellMar>
            <w:top w:w="0" w:type="dxa"/>
            <w:left w:w="0" w:type="dxa"/>
            <w:bottom w:w="0" w:type="dxa"/>
            <w:right w:w="0" w:type="dxa"/>
          </w:tblCellMar>
        </w:tblPrEx>
        <w:tc>
          <w:tcPr>
            <w:tcW w:w="5000" w:type="pct"/>
            <w:gridSpan w:val="2"/>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jc w:val="right"/>
              <w:rPr>
                <w:rFonts w:hint="eastAsia" w:ascii="宋体" w:hAnsi="宋体" w:cs="宋体"/>
                <w:color w:val="auto"/>
                <w:highlight w:val="none"/>
              </w:rPr>
            </w:pPr>
            <w:r>
              <w:rPr>
                <w:rFonts w:hint="eastAsia" w:ascii="宋体" w:hAnsi="宋体" w:cs="宋体"/>
                <w:color w:val="auto"/>
                <w:highlight w:val="none"/>
              </w:rPr>
              <w:t>签订地点：</w:t>
            </w:r>
            <w:r>
              <w:rPr>
                <w:rFonts w:hint="eastAsia" w:ascii="宋体" w:hAnsi="宋体" w:cs="宋体"/>
                <w:color w:val="auto"/>
                <w:highlight w:val="none"/>
                <w:u w:val="single"/>
              </w:rPr>
              <w:t>　　　　　　　　　　</w:t>
            </w:r>
          </w:p>
          <w:p>
            <w:pPr>
              <w:pStyle w:val="9"/>
              <w:keepNext w:val="0"/>
              <w:keepLines w:val="0"/>
              <w:widowControl/>
              <w:suppressLineNumbers w:val="0"/>
              <w:wordWrap w:val="0"/>
              <w:spacing w:before="0" w:beforeAutospacing="0" w:after="0" w:afterAutospacing="0" w:line="360" w:lineRule="exact"/>
              <w:jc w:val="right"/>
              <w:rPr>
                <w:rFonts w:hint="eastAsia" w:ascii="宋体" w:hAnsi="宋体" w:cs="宋体"/>
                <w:color w:val="auto"/>
                <w:highlight w:val="none"/>
              </w:rPr>
            </w:pPr>
            <w:r>
              <w:rPr>
                <w:rFonts w:hint="eastAsia" w:ascii="宋体" w:hAnsi="宋体" w:cs="宋体"/>
                <w:color w:val="auto"/>
                <w:highlight w:val="none"/>
              </w:rPr>
              <w:t>签约日期：</w:t>
            </w:r>
            <w:r>
              <w:rPr>
                <w:rFonts w:hint="eastAsia" w:ascii="宋体" w:hAnsi="宋体" w:cs="宋体"/>
                <w:color w:val="auto"/>
                <w:highlight w:val="none"/>
                <w:u w:val="single"/>
              </w:rPr>
              <w:t>　　年　　月　　日</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1.招标文件接受合同分包且投标人拟将合同分包的，应提供本协议；否则无须提供。</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2.本协议由委托代理人签字或盖章的，应按照本章载明的格式提供“单位授权书”。</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3.在以合同分包形式落实中小企业预留份额项目中，投标人除了要提供《中小企业声明函》，还需提供本协议。</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二-12其他资格证明文件（若有）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二-12-①具备履行合同所必需设备和专业技术能力专项证明材料（若有）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（采购人或采购代理机构）</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现附上我方具备履行合同所必需的设备和专业技术能力的专项证明材料复印件（具体附后），上述证明材料真实有效，否则我方负全部责任。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1、招标文件要求投标人提供“具备履行合同所必需的设备和专业技术能力专项证明材料”的，投标人应按照招标文件规定在此项下提供相应证明材料复印件。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2、投标人提供的相应证明材料复印件均应符合：内容完整、清晰、整洁，并由投标人加盖其单位公章。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二-12-②招标文件规定的其他资格证明文件（若有）</w:t>
      </w:r>
    </w:p>
    <w:p>
      <w:pPr>
        <w:pStyle w:val="9"/>
        <w:widowControl/>
        <w:spacing w:before="0" w:beforeAutospacing="0" w:after="0" w:afterAutospacing="0" w:line="360" w:lineRule="exact"/>
        <w:ind w:firstLine="420"/>
        <w:jc w:val="center"/>
        <w:rPr>
          <w:rFonts w:hint="eastAsia" w:ascii="宋体" w:hAnsi="宋体" w:cs="宋体"/>
          <w:color w:val="auto"/>
          <w:highlight w:val="none"/>
        </w:rPr>
      </w:pPr>
      <w:r>
        <w:rPr>
          <w:rFonts w:hint="eastAsia" w:ascii="宋体" w:hAnsi="宋体" w:cs="宋体"/>
          <w:color w:val="auto"/>
          <w:highlight w:val="none"/>
          <w:shd w:val="clear" w:color="auto" w:fill="FFFFFF"/>
        </w:rPr>
        <w:t>编制说明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除招标文件另有规定外，招标文件要求提交的除前述资格证明文件外的其他资格证明文件（若有）加盖投标人的单位公章后应在此项下提交。</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三、投标保证金</w:t>
      </w:r>
    </w:p>
    <w:p>
      <w:pPr>
        <w:pStyle w:val="9"/>
        <w:widowControl/>
        <w:spacing w:before="0" w:beforeAutospacing="0" w:after="0" w:afterAutospacing="0" w:line="360" w:lineRule="exact"/>
        <w:ind w:firstLine="420"/>
        <w:jc w:val="center"/>
        <w:rPr>
          <w:rFonts w:hint="eastAsia" w:ascii="宋体" w:hAnsi="宋体" w:cs="宋体"/>
          <w:color w:val="auto"/>
          <w:highlight w:val="none"/>
        </w:rPr>
      </w:pPr>
      <w:r>
        <w:rPr>
          <w:rFonts w:hint="eastAsia" w:ascii="宋体" w:hAnsi="宋体" w:cs="宋体"/>
          <w:color w:val="auto"/>
          <w:highlight w:val="none"/>
          <w:shd w:val="clear" w:color="auto" w:fill="FFFFFF"/>
        </w:rPr>
        <w:t>编制说明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1、在此项下提交的“投标保证金”材料可使用转账凭证复印件或从福建省政府采购网上公开信息系统中下载的有关原始页面的打印件。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2、投标保证金是否已提交的认定按照招标文件第三章规定执行。</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封面格式(报价部分)</w:t>
      </w:r>
    </w:p>
    <w:p>
      <w:pPr>
        <w:pStyle w:val="2"/>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福建省政府采购投标文件</w:t>
      </w:r>
    </w:p>
    <w:p>
      <w:pPr>
        <w:pStyle w:val="2"/>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（报价部分）</w:t>
      </w:r>
    </w:p>
    <w:p>
      <w:pPr>
        <w:widowControl/>
        <w:spacing w:line="360" w:lineRule="exact"/>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br w:type="textWrapping"/>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（填写正本或副本）</w:t>
      </w:r>
    </w:p>
    <w:p>
      <w:pPr>
        <w:widowControl/>
        <w:spacing w:line="360" w:lineRule="exact"/>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br w:type="textWrapping"/>
      </w:r>
      <w:r>
        <w:rPr>
          <w:rFonts w:hint="eastAsia" w:ascii="宋体" w:hAnsi="宋体" w:cs="宋体"/>
          <w:color w:val="auto"/>
          <w:kern w:val="0"/>
          <w:sz w:val="24"/>
          <w:highlight w:val="none"/>
          <w:shd w:val="clear" w:color="auto" w:fill="FFFFFF"/>
          <w:lang w:bidi="ar"/>
        </w:rPr>
        <w:br w:type="textWrapping"/>
      </w:r>
      <w:r>
        <w:rPr>
          <w:rFonts w:hint="eastAsia" w:ascii="宋体" w:hAnsi="宋体" w:cs="宋体"/>
          <w:color w:val="auto"/>
          <w:kern w:val="0"/>
          <w:sz w:val="24"/>
          <w:highlight w:val="none"/>
          <w:shd w:val="clear" w:color="auto" w:fill="FFFFFF"/>
          <w:lang w:bidi="ar"/>
        </w:rPr>
        <w:br w:type="textWrapping"/>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（项目名称：（由投标人填写）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（备案编号：（由投标人填写）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（项目编号：（由投标人填写）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（所投采购包：（由投标人填写）</w:t>
      </w:r>
    </w:p>
    <w:p>
      <w:pPr>
        <w:widowControl/>
        <w:spacing w:line="360" w:lineRule="exact"/>
        <w:jc w:val="left"/>
        <w:rPr>
          <w:rFonts w:hint="eastAsia" w:ascii="宋体" w:hAnsi="宋体" w:cs="宋体"/>
          <w:color w:val="auto"/>
          <w:sz w:val="24"/>
          <w:highlight w:val="none"/>
        </w:rPr>
      </w:pP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投标人：（填写“全称”）</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（由投标人填写）年（由投标人填写）月</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索引</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一、开标一览表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二、投标分项报价表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三、招标文件规定的价格扣除证明材料（若有）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四、招标文件规定的加分证明材料（若有）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一、开标一览表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0"/>
        <w:tblW w:w="4998" w:type="pct"/>
        <w:tblInd w:w="0" w:type="dxa"/>
        <w:tblLayout w:type="autofit"/>
        <w:tblCellMar>
          <w:top w:w="0" w:type="dxa"/>
          <w:left w:w="0" w:type="dxa"/>
          <w:bottom w:w="0" w:type="dxa"/>
          <w:right w:w="0" w:type="dxa"/>
        </w:tblCellMar>
      </w:tblPr>
      <w:tblGrid>
        <w:gridCol w:w="775"/>
        <w:gridCol w:w="2325"/>
        <w:gridCol w:w="1162"/>
        <w:gridCol w:w="5720"/>
      </w:tblGrid>
      <w:tr>
        <w:tblPrEx>
          <w:tblCellMar>
            <w:top w:w="0" w:type="dxa"/>
            <w:left w:w="0" w:type="dxa"/>
            <w:bottom w:w="0" w:type="dxa"/>
            <w:right w:w="0" w:type="dxa"/>
          </w:tblCellMar>
        </w:tblPrEx>
        <w:tc>
          <w:tcPr>
            <w:tcW w:w="38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w:t>
            </w:r>
          </w:p>
        </w:tc>
        <w:tc>
          <w:tcPr>
            <w:tcW w:w="116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投标报价</w:t>
            </w:r>
          </w:p>
        </w:tc>
        <w:tc>
          <w:tcPr>
            <w:tcW w:w="58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投标保证金</w:t>
            </w:r>
          </w:p>
        </w:tc>
        <w:tc>
          <w:tcPr>
            <w:tcW w:w="286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备注</w:t>
            </w:r>
          </w:p>
        </w:tc>
      </w:tr>
      <w:tr>
        <w:tblPrEx>
          <w:tblCellMar>
            <w:top w:w="0" w:type="dxa"/>
            <w:left w:w="0" w:type="dxa"/>
            <w:bottom w:w="0" w:type="dxa"/>
            <w:right w:w="0" w:type="dxa"/>
          </w:tblCellMar>
        </w:tblPrEx>
        <w:tc>
          <w:tcPr>
            <w:tcW w:w="38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116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投标总价（大写金额）：</w:t>
            </w:r>
            <w:r>
              <w:rPr>
                <w:rFonts w:hint="eastAsia" w:ascii="宋体" w:hAnsi="宋体" w:cs="宋体"/>
                <w:color w:val="auto"/>
                <w:highlight w:val="none"/>
                <w:u w:val="single"/>
              </w:rPr>
              <w:t>　　　　　　　　</w:t>
            </w:r>
          </w:p>
        </w:tc>
        <w:tc>
          <w:tcPr>
            <w:tcW w:w="58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2864" w:type="pct"/>
            <w:vMerge w:val="restar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a.&gt;投标报价的明细：详见《投标分项报价表》。</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b.&gt;招标文件规定的价格扣除证明材料（若有）：详见报价部分。</w:t>
            </w:r>
          </w:p>
        </w:tc>
      </w:tr>
      <w:tr>
        <w:tblPrEx>
          <w:tblCellMar>
            <w:top w:w="0" w:type="dxa"/>
            <w:left w:w="0" w:type="dxa"/>
            <w:bottom w:w="0" w:type="dxa"/>
            <w:right w:w="0" w:type="dxa"/>
          </w:tblCellMar>
        </w:tblPrEx>
        <w:tc>
          <w:tcPr>
            <w:tcW w:w="38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116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投标总价（大写金额）：</w:t>
            </w:r>
            <w:r>
              <w:rPr>
                <w:rFonts w:hint="eastAsia" w:ascii="宋体" w:hAnsi="宋体" w:cs="宋体"/>
                <w:color w:val="auto"/>
                <w:highlight w:val="none"/>
                <w:u w:val="single"/>
              </w:rPr>
              <w:t>　　　　　　　　</w:t>
            </w:r>
          </w:p>
        </w:tc>
        <w:tc>
          <w:tcPr>
            <w:tcW w:w="58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2864" w:type="pct"/>
            <w:vMerge w:val="continue"/>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1.1投标人应按照本表格式填写所投的采购包的“投标报价”。</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1.2本表中列示的“采购包”应与《投标分项报价表》中列示的“采购包”保持一致，即：若本表中列示的“采购包”为“1”时，《投标分项报价表》中列示的“采购包”亦应为“1”，以此类推。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1.3“大写金额”指“投标报价”应用“壹、贰、叁、肆、伍、陆、柒、捌、玖、拾、佰、仟、万、亿、元、角、分、零”等进行填写。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二、投标分项报价表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0"/>
        <w:tblW w:w="4998" w:type="pct"/>
        <w:tblInd w:w="0" w:type="dxa"/>
        <w:tblLayout w:type="autofit"/>
        <w:tblCellMar>
          <w:top w:w="0" w:type="dxa"/>
          <w:left w:w="0" w:type="dxa"/>
          <w:bottom w:w="0" w:type="dxa"/>
          <w:right w:w="0" w:type="dxa"/>
        </w:tblCellMar>
      </w:tblPr>
      <w:tblGrid>
        <w:gridCol w:w="997"/>
        <w:gridCol w:w="997"/>
        <w:gridCol w:w="1249"/>
        <w:gridCol w:w="749"/>
        <w:gridCol w:w="997"/>
        <w:gridCol w:w="1747"/>
        <w:gridCol w:w="749"/>
        <w:gridCol w:w="1747"/>
        <w:gridCol w:w="750"/>
      </w:tblGrid>
      <w:tr>
        <w:tblPrEx>
          <w:tblCellMar>
            <w:top w:w="0" w:type="dxa"/>
            <w:left w:w="0" w:type="dxa"/>
            <w:bottom w:w="0" w:type="dxa"/>
            <w:right w:w="0" w:type="dxa"/>
          </w:tblCellMar>
        </w:tblPrEx>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w:t>
            </w: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品目号</w:t>
            </w:r>
          </w:p>
        </w:tc>
        <w:tc>
          <w:tcPr>
            <w:tcW w:w="62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投标标的</w:t>
            </w: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规格</w:t>
            </w: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来源地</w:t>
            </w: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单价（现场）</w:t>
            </w: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数量</w:t>
            </w: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总价（现场）</w:t>
            </w: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备注</w:t>
            </w:r>
          </w:p>
        </w:tc>
      </w:tr>
      <w:tr>
        <w:tblPrEx>
          <w:tblCellMar>
            <w:top w:w="0" w:type="dxa"/>
            <w:left w:w="0" w:type="dxa"/>
            <w:bottom w:w="0" w:type="dxa"/>
            <w:right w:w="0" w:type="dxa"/>
          </w:tblCellMar>
        </w:tblPrEx>
        <w:tc>
          <w:tcPr>
            <w:tcW w:w="499" w:type="pct"/>
            <w:vMerge w:val="restar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62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499" w:type="pct"/>
            <w:vMerge w:val="continue"/>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62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62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9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7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37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1.2“投标标的”为货物的：“规格”项下应填写货物制造厂商赋予的品牌（属于节能、环保清单产品的货物，填写的品牌名称应与清单载明的品牌名称保持一致）及具体型号。“来源地”应填写货物的原产地。</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1.3“投标标的”为服务的：“规格”项下应填写服务提供者提供的服务标准及品牌（若有）。“来源地”应填写服务提供者的所在地。</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1.4同一采购包中，“单价（现场）”×“数量”=“总价（现场）”，全部品目号“总价（现场）”的合计金额应与《开标一览表》中相应采购包列示的“投标总价”保持一致。</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1.5若招标文件要求投标人对“备品备件价格、专用工具价格、技术服务费、安装调试费、检验培训费、运输费、保险费、税收”等进行报价的，请在本表的“备注”项下填写。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三、招标文件规定的价格扣除证明材料（若有）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三-1优先类节能产品、环境标志产品价格扣除证明材料（若有）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三-1-①优先类节能产品、环境标志产品统计表（价格扣除适用，若有）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0"/>
        <w:tblW w:w="4999" w:type="pct"/>
        <w:tblInd w:w="0" w:type="dxa"/>
        <w:tblLayout w:type="autofit"/>
        <w:tblCellMar>
          <w:top w:w="0" w:type="dxa"/>
          <w:left w:w="0" w:type="dxa"/>
          <w:bottom w:w="0" w:type="dxa"/>
          <w:right w:w="0" w:type="dxa"/>
        </w:tblCellMar>
      </w:tblPr>
      <w:tblGrid>
        <w:gridCol w:w="647"/>
        <w:gridCol w:w="1202"/>
        <w:gridCol w:w="1504"/>
        <w:gridCol w:w="2107"/>
        <w:gridCol w:w="903"/>
        <w:gridCol w:w="2107"/>
        <w:gridCol w:w="1514"/>
      </w:tblGrid>
      <w:tr>
        <w:tblPrEx>
          <w:tblCellMar>
            <w:top w:w="0" w:type="dxa"/>
            <w:left w:w="0" w:type="dxa"/>
            <w:bottom w:w="0" w:type="dxa"/>
            <w:right w:w="0" w:type="dxa"/>
          </w:tblCellMar>
        </w:tblPrEx>
        <w:tc>
          <w:tcPr>
            <w:tcW w:w="32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675" w:type="pct"/>
            <w:gridSpan w:val="6"/>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jc w:val="center"/>
              <w:rPr>
                <w:rFonts w:hint="eastAsia" w:ascii="宋体" w:hAnsi="宋体" w:cs="宋体"/>
                <w:color w:val="auto"/>
                <w:highlight w:val="none"/>
              </w:rPr>
            </w:pPr>
            <w:r>
              <w:rPr>
                <w:rFonts w:hint="eastAsia" w:ascii="宋体" w:hAnsi="宋体" w:cs="宋体"/>
                <w:color w:val="auto"/>
                <w:highlight w:val="none"/>
              </w:rPr>
              <w:t>本采购包内属于节能、环境标志产品的情况</w:t>
            </w:r>
          </w:p>
        </w:tc>
      </w:tr>
      <w:tr>
        <w:tblPrEx>
          <w:tblCellMar>
            <w:top w:w="0" w:type="dxa"/>
            <w:left w:w="0" w:type="dxa"/>
            <w:bottom w:w="0" w:type="dxa"/>
            <w:right w:w="0" w:type="dxa"/>
          </w:tblCellMar>
        </w:tblPrEx>
        <w:tc>
          <w:tcPr>
            <w:tcW w:w="32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w:t>
            </w:r>
          </w:p>
        </w:tc>
        <w:tc>
          <w:tcPr>
            <w:tcW w:w="60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品目号</w:t>
            </w:r>
          </w:p>
        </w:tc>
        <w:tc>
          <w:tcPr>
            <w:tcW w:w="753"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货物名称</w:t>
            </w:r>
          </w:p>
        </w:tc>
        <w:tc>
          <w:tcPr>
            <w:tcW w:w="10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单价（现场）</w:t>
            </w:r>
          </w:p>
        </w:tc>
        <w:tc>
          <w:tcPr>
            <w:tcW w:w="45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数量</w:t>
            </w:r>
          </w:p>
        </w:tc>
        <w:tc>
          <w:tcPr>
            <w:tcW w:w="10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总价（现场）</w:t>
            </w:r>
          </w:p>
        </w:tc>
        <w:tc>
          <w:tcPr>
            <w:tcW w:w="7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认证种类</w:t>
            </w:r>
          </w:p>
        </w:tc>
      </w:tr>
      <w:tr>
        <w:tblPrEx>
          <w:tblCellMar>
            <w:top w:w="0" w:type="dxa"/>
            <w:left w:w="0" w:type="dxa"/>
            <w:bottom w:w="0" w:type="dxa"/>
            <w:right w:w="0" w:type="dxa"/>
          </w:tblCellMar>
        </w:tblPrEx>
        <w:tc>
          <w:tcPr>
            <w:tcW w:w="324" w:type="pct"/>
            <w:vMerge w:val="restar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60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753"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5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324" w:type="pct"/>
            <w:vMerge w:val="continue"/>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60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753"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52"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55"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32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备注</w:t>
            </w:r>
          </w:p>
        </w:tc>
        <w:tc>
          <w:tcPr>
            <w:tcW w:w="4675" w:type="pct"/>
            <w:gridSpan w:val="6"/>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a.采购包内属于节能、环境标志产品的报价总金额：</w:t>
            </w:r>
            <w:r>
              <w:rPr>
                <w:rFonts w:hint="eastAsia" w:ascii="宋体" w:hAnsi="宋体" w:cs="宋体"/>
                <w:color w:val="auto"/>
                <w:highlight w:val="none"/>
                <w:u w:val="single"/>
              </w:rPr>
              <w:t>　　　　　</w:t>
            </w:r>
            <w:r>
              <w:rPr>
                <w:rFonts w:hint="eastAsia" w:ascii="宋体" w:hAnsi="宋体" w:cs="宋体"/>
                <w:color w:val="auto"/>
                <w:highlight w:val="none"/>
              </w:rPr>
              <w:t>；</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b.采购包投标总价（报价总金额）：</w:t>
            </w:r>
            <w:r>
              <w:rPr>
                <w:rFonts w:hint="eastAsia" w:ascii="宋体" w:hAnsi="宋体" w:cs="宋体"/>
                <w:color w:val="auto"/>
                <w:highlight w:val="none"/>
                <w:u w:val="single"/>
              </w:rPr>
              <w:t>　　　　　</w:t>
            </w:r>
            <w:r>
              <w:rPr>
                <w:rFonts w:hint="eastAsia" w:ascii="宋体" w:hAnsi="宋体" w:cs="宋体"/>
                <w:color w:val="auto"/>
                <w:highlight w:val="none"/>
              </w:rPr>
              <w:t>；</w:t>
            </w:r>
          </w:p>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c.“采购包内属于节能、环境标志产品的报价总金额”占“采购包投标总价（报价总金额）”的比例（以%列示）：</w:t>
            </w:r>
            <w:r>
              <w:rPr>
                <w:rFonts w:hint="eastAsia" w:ascii="宋体" w:hAnsi="宋体" w:cs="宋体"/>
                <w:color w:val="auto"/>
                <w:highlight w:val="none"/>
                <w:u w:val="single"/>
              </w:rPr>
              <w:t>　　　　　</w:t>
            </w:r>
            <w:r>
              <w:rPr>
                <w:rFonts w:hint="eastAsia" w:ascii="宋体" w:hAnsi="宋体" w:cs="宋体"/>
                <w:color w:val="auto"/>
                <w:highlight w:val="none"/>
              </w:rPr>
              <w:t>；</w:t>
            </w: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1、对节能、环境标志产品计算价格扣除时，只依据电子投标文件“三-1-②优先类节能产品、环境标志产品证明材料（价格扣除适用，若有）”。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2、本表以采购包为单位，不同采购包请分别填写；同一采购包请按照其品目号顺序分别填写。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3、具体统计、计算：</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3.1若节能、环境标志产品仅是构成投标产品的部件、组件或零件，则该投标产品不享受鼓励优惠政策。同一品目中各认证证书不重复计算价格扣除。强制类节能产品不享受价格扣除。</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3.2计算结果若除不尽，可四舍五入保留到小数点后两位。</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3.3投标人应按照招标文件要求认真统计、计算，否则评标委员会不予认定。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3.4若无节能、环境标志产品，不填写本表，否则，视为提供虚假材料。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三-1-②优先类节能产品、环境标志产品证明材料（价格扣除适用，若有）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三-2小型、微型企业产品等价格扣除证明材料（若有）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三-2-①中小企业声明函（价格扣除适用，若有）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中小企业声明函（货物）</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FFFFFF"/>
        </w:rPr>
        <w:t>（单位名称）</w:t>
      </w:r>
      <w:r>
        <w:rPr>
          <w:rFonts w:hint="eastAsia" w:ascii="宋体" w:hAnsi="宋体" w:cs="宋体"/>
          <w:color w:val="auto"/>
          <w:highlight w:val="none"/>
          <w:shd w:val="clear" w:color="auto" w:fill="FFFFFF"/>
        </w:rPr>
        <w:t>的</w:t>
      </w:r>
      <w:r>
        <w:rPr>
          <w:rFonts w:hint="eastAsia" w:ascii="宋体" w:hAnsi="宋体" w:cs="宋体"/>
          <w:color w:val="auto"/>
          <w:highlight w:val="none"/>
          <w:u w:val="single"/>
          <w:shd w:val="clear" w:color="auto" w:fill="FFFFFF"/>
        </w:rPr>
        <w:t>（项目名称）</w:t>
      </w:r>
      <w:r>
        <w:rPr>
          <w:rFonts w:hint="eastAsia" w:ascii="宋体" w:hAnsi="宋体" w:cs="宋体"/>
          <w:color w:val="auto"/>
          <w:highlight w:val="none"/>
          <w:shd w:val="clear" w:color="auto" w:fill="FFFFFF"/>
        </w:rPr>
        <w:t>采购活动，提供的货物全部由符合政策要求的中小企业制造。相关企业（含联合体中的中小企业、签订分包意向协议的中小企业）的具体情况如下：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行业；制造商为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w:t>
      </w:r>
      <w:r>
        <w:rPr>
          <w:rFonts w:hint="eastAsia" w:ascii="宋体" w:hAnsi="宋体" w:cs="宋体"/>
          <w:color w:val="auto"/>
          <w:highlight w:val="none"/>
          <w:shd w:val="clear" w:color="auto" w:fill="FFFFFF"/>
          <w:vertAlign w:val="superscript"/>
        </w:rPr>
        <w:t>1</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行业；制造商为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以上企业，不属于大企业的分支机构，不存在控股股东为大企业的情形，也不存在与大企业的负责人为同一人的情形。</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本企业对上述声明内容的真实性负责。如有虚假，将依法承担相应责任。</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1、从业人员、营业收入、资产总额填报上一年度数据，无上一年度数据的新成立企业可不填报。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中小企业声明函（工程、服务）</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FFFFFF"/>
        </w:rPr>
        <w:t>（单位名称）</w:t>
      </w:r>
      <w:r>
        <w:rPr>
          <w:rFonts w:hint="eastAsia" w:ascii="宋体" w:hAnsi="宋体" w:cs="宋体"/>
          <w:color w:val="auto"/>
          <w:highlight w:val="none"/>
          <w:shd w:val="clear" w:color="auto" w:fill="FFFFFF"/>
        </w:rPr>
        <w:t>的</w:t>
      </w:r>
      <w:r>
        <w:rPr>
          <w:rFonts w:hint="eastAsia" w:ascii="宋体" w:hAnsi="宋体" w:cs="宋体"/>
          <w:color w:val="auto"/>
          <w:highlight w:val="none"/>
          <w:u w:val="single"/>
          <w:shd w:val="clear" w:color="auto" w:fill="FFFFFF"/>
        </w:rPr>
        <w:t>（项目名称）</w:t>
      </w:r>
      <w:r>
        <w:rPr>
          <w:rFonts w:hint="eastAsia" w:ascii="宋体" w:hAnsi="宋体" w:cs="宋体"/>
          <w:color w:val="auto"/>
          <w:highlight w:val="none"/>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w:t>
      </w:r>
      <w:r>
        <w:rPr>
          <w:rFonts w:hint="eastAsia" w:ascii="宋体" w:hAnsi="宋体" w:cs="宋体"/>
          <w:color w:val="auto"/>
          <w:highlight w:val="none"/>
          <w:u w:val="single"/>
          <w:shd w:val="clear" w:color="auto" w:fill="FFFFFF"/>
        </w:rPr>
        <w:t>（标的名称）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w:t>
      </w:r>
      <w:r>
        <w:rPr>
          <w:rFonts w:hint="eastAsia" w:ascii="宋体" w:hAnsi="宋体" w:cs="宋体"/>
          <w:color w:val="auto"/>
          <w:highlight w:val="none"/>
          <w:shd w:val="clear" w:color="auto" w:fill="FFFFFF"/>
          <w:vertAlign w:val="superscript"/>
        </w:rPr>
        <w:t>1</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w:t>
      </w:r>
      <w:r>
        <w:rPr>
          <w:rFonts w:hint="eastAsia" w:ascii="宋体" w:hAnsi="宋体" w:cs="宋体"/>
          <w:color w:val="auto"/>
          <w:highlight w:val="none"/>
          <w:u w:val="single"/>
          <w:shd w:val="clear" w:color="auto" w:fill="FFFFFF"/>
        </w:rPr>
        <w:t>（标的名称）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以上企业，不属于大企业的分支机构，不存在控股股东为大企业的情形，也不存在与大企业的负责人为同一人的情形。</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本企业对上述声明内容的真实性负责。如有虚假，将依法承担相应责任。</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1、从业人员、营业收入、资产总额填报上一年度数据，无上一年度数据的新成立企业可不填报。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三-2-②小型、微型企业等证明材料（价格扣除适用，若有）</w:t>
      </w:r>
    </w:p>
    <w:p>
      <w:pPr>
        <w:pStyle w:val="9"/>
        <w:widowControl/>
        <w:spacing w:before="0" w:beforeAutospacing="0" w:after="0" w:afterAutospacing="0" w:line="360" w:lineRule="exact"/>
        <w:ind w:firstLine="420"/>
        <w:jc w:val="center"/>
        <w:rPr>
          <w:rFonts w:hint="eastAsia" w:ascii="宋体" w:hAnsi="宋体" w:cs="宋体"/>
          <w:color w:val="auto"/>
          <w:highlight w:val="none"/>
        </w:rPr>
      </w:pPr>
      <w:r>
        <w:rPr>
          <w:rFonts w:hint="eastAsia" w:ascii="宋体" w:hAnsi="宋体" w:cs="宋体"/>
          <w:color w:val="auto"/>
          <w:highlight w:val="none"/>
          <w:shd w:val="clear" w:color="auto" w:fill="FFFFFF"/>
        </w:rPr>
        <w:t>编制说明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1、投标人应按照招标文件要求提供相应证明材料，证明材料应与《中小企业声明函》的内容相一致，否则视为《中小企业声明函》内容不真实。</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2、投标人为监狱企业的，根据其提供的由省级以上监狱管理局、戒毒管理局（含新疆生产建设兵团）出具的属于监狱企业的证明文件进行认定，监狱企业视同小型、微型企业。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3、投标人为残疾人福利性单位的，根据其提供的《残疾人福利性单位声明函》（格式附后）进行认定，残疾人福利性单位视同小型、微型企业。残疾人福利性单位属于小型、微型企业的，不重复享受政策。</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残疾人福利性单位声明函（价格扣除适用，若有）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）由本投标人承建的（填写“所投采购包、品目号”）工程</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）由本投标人承接的（填写“所投采购包、品目号”）服务；</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本投标人对上述声明的真实性负责。如有虚假，将依法承担相应责任。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备注：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1、请投标人按照实际情况编制填写本声明函，并在相应的（）中打“√”。</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2、若《残疾人福利性单位声明函》内容不真实，视为提供虚假材料。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监狱企业证明材料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投标人为监狱企业，提供本单位制造的货物（承接的服务），并在电子投标文件中提供省级以上监狱管理局、戒毒管理局（含新疆生产建设兵团）出具的属于监狱企业的证明文件。</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三-3招标文件规定的其他价格扣除证明材料（若有）</w:t>
      </w:r>
    </w:p>
    <w:p>
      <w:pPr>
        <w:pStyle w:val="9"/>
        <w:widowControl/>
        <w:spacing w:before="0" w:beforeAutospacing="0" w:after="0" w:afterAutospacing="0" w:line="360" w:lineRule="exact"/>
        <w:ind w:firstLine="420"/>
        <w:jc w:val="center"/>
        <w:rPr>
          <w:rFonts w:hint="eastAsia" w:ascii="宋体" w:hAnsi="宋体" w:cs="宋体"/>
          <w:color w:val="auto"/>
          <w:highlight w:val="none"/>
        </w:rPr>
      </w:pPr>
      <w:r>
        <w:rPr>
          <w:rFonts w:hint="eastAsia" w:ascii="宋体" w:hAnsi="宋体" w:cs="宋体"/>
          <w:color w:val="auto"/>
          <w:highlight w:val="none"/>
          <w:shd w:val="clear" w:color="auto" w:fill="FFFFFF"/>
        </w:rPr>
        <w:t>编制说明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若投标人可享受招标文件规定的除“节能（非强制类）、环境标志产品价格扣除”及“小型、微型企业产品等价格扣除”外的其他价格扣除优惠，则投标人应按照招标文件要求提供相应证明材料。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四、招标文件规定的加分证明材料（若有）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四-1优先类节能产品、环境标志产品加分证明材料（若有）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四-1-①优先类节能产品、环境标志产品统计表（加分适用，若有）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0"/>
        <w:tblW w:w="4999" w:type="pct"/>
        <w:tblInd w:w="0" w:type="dxa"/>
        <w:tblLayout w:type="autofit"/>
        <w:tblCellMar>
          <w:top w:w="0" w:type="dxa"/>
          <w:left w:w="0" w:type="dxa"/>
          <w:bottom w:w="0" w:type="dxa"/>
          <w:right w:w="0" w:type="dxa"/>
        </w:tblCellMar>
      </w:tblPr>
      <w:tblGrid>
        <w:gridCol w:w="1140"/>
        <w:gridCol w:w="1140"/>
        <w:gridCol w:w="1426"/>
        <w:gridCol w:w="1997"/>
        <w:gridCol w:w="855"/>
        <w:gridCol w:w="1997"/>
        <w:gridCol w:w="1429"/>
      </w:tblGrid>
      <w:tr>
        <w:tblPrEx>
          <w:tblCellMar>
            <w:top w:w="0" w:type="dxa"/>
            <w:left w:w="0" w:type="dxa"/>
            <w:bottom w:w="0" w:type="dxa"/>
            <w:right w:w="0" w:type="dxa"/>
          </w:tblCellMar>
        </w:tblPrEx>
        <w:tc>
          <w:tcPr>
            <w:tcW w:w="57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428" w:type="pct"/>
            <w:gridSpan w:val="6"/>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jc w:val="center"/>
              <w:rPr>
                <w:rFonts w:hint="eastAsia" w:ascii="宋体" w:hAnsi="宋体" w:cs="宋体"/>
                <w:color w:val="auto"/>
                <w:highlight w:val="none"/>
              </w:rPr>
            </w:pPr>
            <w:r>
              <w:rPr>
                <w:rFonts w:hint="eastAsia" w:ascii="宋体" w:hAnsi="宋体" w:cs="宋体"/>
                <w:color w:val="auto"/>
                <w:highlight w:val="none"/>
              </w:rPr>
              <w:t>本采购包内属于节能、环境标志产品的情况</w:t>
            </w:r>
          </w:p>
        </w:tc>
      </w:tr>
      <w:tr>
        <w:tblPrEx>
          <w:tblCellMar>
            <w:top w:w="0" w:type="dxa"/>
            <w:left w:w="0" w:type="dxa"/>
            <w:bottom w:w="0" w:type="dxa"/>
            <w:right w:w="0" w:type="dxa"/>
          </w:tblCellMar>
        </w:tblPrEx>
        <w:tc>
          <w:tcPr>
            <w:tcW w:w="57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w:t>
            </w:r>
          </w:p>
        </w:tc>
        <w:tc>
          <w:tcPr>
            <w:tcW w:w="57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品目号</w:t>
            </w:r>
          </w:p>
        </w:tc>
        <w:tc>
          <w:tcPr>
            <w:tcW w:w="71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货物名称</w:t>
            </w: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单价（现场）</w:t>
            </w:r>
          </w:p>
        </w:tc>
        <w:tc>
          <w:tcPr>
            <w:tcW w:w="42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数量</w:t>
            </w: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总价（现场）</w:t>
            </w:r>
          </w:p>
        </w:tc>
        <w:tc>
          <w:tcPr>
            <w:tcW w:w="71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认证种类</w:t>
            </w:r>
          </w:p>
        </w:tc>
      </w:tr>
      <w:tr>
        <w:tblPrEx>
          <w:tblCellMar>
            <w:top w:w="0" w:type="dxa"/>
            <w:left w:w="0" w:type="dxa"/>
            <w:bottom w:w="0" w:type="dxa"/>
            <w:right w:w="0" w:type="dxa"/>
          </w:tblCellMar>
        </w:tblPrEx>
        <w:tc>
          <w:tcPr>
            <w:tcW w:w="571" w:type="pct"/>
            <w:vMerge w:val="restar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57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71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2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1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571" w:type="pct"/>
            <w:vMerge w:val="continue"/>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71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42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000"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14"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1、对节能、环境标志产品计算价格扣除时，只依据电子投标文件“四-1-②优先类节能产品、环境标志产品加分证明材料（加分适用，若有）”。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2、本表以采购包为单位，不同采购包请分别填写；同一采购包请按照其品目号顺序分别填写。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3、具体统计、计算：</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3.1若节能、环境标志产品仅是构成投标产品的部件、组件或零件，则该投标产品不享受鼓励优惠政策。同一品目中各认证证书不重复计算价格扣除。强制类节能产品不享受价格扣除。</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3.2计算结果若除不尽，可四舍五入保留到小数点后两位。</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3.3投标人应按照招标文件要求认真统计、计算，否则评标委员会不予认定。</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3.4若无节能、环境标志产品，不填写本表，否则，视为提供虚假材料。</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br w:type="page"/>
      </w:r>
      <w:r>
        <w:rPr>
          <w:rFonts w:cs="宋体"/>
          <w:color w:val="auto"/>
          <w:highlight w:val="none"/>
          <w:shd w:val="clear" w:color="auto" w:fill="FFFFFF"/>
        </w:rPr>
        <w:t>四-1-②优先类节能产品、环境标志产品证明材料（加分适用，若有）</w:t>
      </w:r>
    </w:p>
    <w:p>
      <w:pPr>
        <w:pStyle w:val="5"/>
        <w:widowControl/>
        <w:spacing w:before="0" w:beforeAutospacing="0" w:after="0" w:afterAutospacing="0" w:line="360" w:lineRule="exact"/>
        <w:jc w:val="center"/>
        <w:rPr>
          <w:rFonts w:cs="宋体"/>
          <w:color w:val="auto"/>
          <w:highlight w:val="none"/>
        </w:rPr>
      </w:pPr>
      <w:r>
        <w:rPr>
          <w:rFonts w:cs="宋体"/>
          <w:color w:val="auto"/>
          <w:highlight w:val="none"/>
          <w:shd w:val="clear" w:color="auto" w:fill="FFFFFF"/>
        </w:rPr>
        <w:t>四-2招标文件规定的其他加分证明材料（若有）</w:t>
      </w:r>
    </w:p>
    <w:p>
      <w:pPr>
        <w:pStyle w:val="9"/>
        <w:widowControl/>
        <w:spacing w:before="0" w:beforeAutospacing="0" w:after="0" w:afterAutospacing="0" w:line="360" w:lineRule="exact"/>
        <w:ind w:firstLine="420"/>
        <w:jc w:val="center"/>
        <w:rPr>
          <w:rFonts w:hint="eastAsia" w:ascii="宋体" w:hAnsi="宋体" w:cs="宋体"/>
          <w:color w:val="auto"/>
          <w:highlight w:val="none"/>
        </w:rPr>
      </w:pPr>
      <w:r>
        <w:rPr>
          <w:rFonts w:hint="eastAsia" w:ascii="宋体" w:hAnsi="宋体" w:cs="宋体"/>
          <w:color w:val="auto"/>
          <w:highlight w:val="none"/>
          <w:shd w:val="clear" w:color="auto" w:fill="FFFFFF"/>
        </w:rPr>
        <w:t>编制说明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若投标人可享受招标文件规定的除“优先类节能产品、环境标志产品加分”外的其他加分优惠，则投标人应按照招标文件要求提供相应证明材料。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封面格式(技术商务部分)</w:t>
      </w:r>
    </w:p>
    <w:p>
      <w:pPr>
        <w:pStyle w:val="2"/>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福建省政府采购投标文件</w:t>
      </w:r>
    </w:p>
    <w:p>
      <w:pPr>
        <w:pStyle w:val="2"/>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（技术商务部分）</w:t>
      </w:r>
    </w:p>
    <w:p>
      <w:pPr>
        <w:widowControl/>
        <w:spacing w:line="360" w:lineRule="exact"/>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br w:type="textWrapping"/>
      </w:r>
    </w:p>
    <w:p>
      <w:pPr>
        <w:pStyle w:val="3"/>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（填写正本或副本）</w:t>
      </w:r>
    </w:p>
    <w:p>
      <w:pPr>
        <w:widowControl/>
        <w:spacing w:line="360" w:lineRule="exact"/>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br w:type="textWrapping"/>
      </w:r>
      <w:r>
        <w:rPr>
          <w:rFonts w:hint="eastAsia" w:ascii="宋体" w:hAnsi="宋体" w:cs="宋体"/>
          <w:color w:val="auto"/>
          <w:kern w:val="0"/>
          <w:sz w:val="24"/>
          <w:highlight w:val="none"/>
          <w:shd w:val="clear" w:color="auto" w:fill="FFFFFF"/>
          <w:lang w:bidi="ar"/>
        </w:rPr>
        <w:br w:type="textWrapping"/>
      </w:r>
      <w:r>
        <w:rPr>
          <w:rFonts w:hint="eastAsia" w:ascii="宋体" w:hAnsi="宋体" w:cs="宋体"/>
          <w:color w:val="auto"/>
          <w:kern w:val="0"/>
          <w:sz w:val="24"/>
          <w:highlight w:val="none"/>
          <w:shd w:val="clear" w:color="auto" w:fill="FFFFFF"/>
          <w:lang w:bidi="ar"/>
        </w:rPr>
        <w:br w:type="textWrapping"/>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（项目名称：（由投标人填写）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（备案编号：（由投标人填写）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（项目编号：（由投标人填写）</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（所投采购包：（由投标人填写）</w:t>
      </w:r>
    </w:p>
    <w:p>
      <w:pPr>
        <w:widowControl/>
        <w:spacing w:line="360" w:lineRule="exact"/>
        <w:jc w:val="left"/>
        <w:rPr>
          <w:rFonts w:hint="eastAsia" w:ascii="宋体" w:hAnsi="宋体" w:cs="宋体"/>
          <w:color w:val="auto"/>
          <w:sz w:val="24"/>
          <w:highlight w:val="none"/>
        </w:rPr>
      </w:pP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投标人：（填写“全称”）</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t>（由投标人填写）年（由投标人填写）月</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索引</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一、标的说明一览表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二、技术和服务要求响应表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三、商务条件响应表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四、投标人提交的其他资料（若有）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技术商务部分中不得出现报价部分的全部或部分的投标报价信息（或组成资料），否则符合性审查不合格。</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一、标的说明一览表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tbl>
      <w:tblPr>
        <w:tblStyle w:val="10"/>
        <w:tblW w:w="4998" w:type="pct"/>
        <w:tblInd w:w="0" w:type="dxa"/>
        <w:tblLayout w:type="autofit"/>
        <w:tblCellMar>
          <w:top w:w="0" w:type="dxa"/>
          <w:left w:w="0" w:type="dxa"/>
          <w:bottom w:w="0" w:type="dxa"/>
          <w:right w:w="0" w:type="dxa"/>
        </w:tblCellMar>
      </w:tblPr>
      <w:tblGrid>
        <w:gridCol w:w="1535"/>
        <w:gridCol w:w="1537"/>
        <w:gridCol w:w="1920"/>
        <w:gridCol w:w="1151"/>
        <w:gridCol w:w="1151"/>
        <w:gridCol w:w="1537"/>
        <w:gridCol w:w="1151"/>
      </w:tblGrid>
      <w:tr>
        <w:tblPrEx>
          <w:tblCellMar>
            <w:top w:w="0" w:type="dxa"/>
            <w:left w:w="0" w:type="dxa"/>
            <w:bottom w:w="0" w:type="dxa"/>
            <w:right w:w="0" w:type="dxa"/>
          </w:tblCellMar>
        </w:tblPrEx>
        <w:tc>
          <w:tcPr>
            <w:tcW w:w="76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w:t>
            </w: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品目号</w:t>
            </w: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投标标的</w:t>
            </w: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数量</w:t>
            </w: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规格</w:t>
            </w: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来源地</w:t>
            </w: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备注</w:t>
            </w:r>
          </w:p>
        </w:tc>
      </w:tr>
      <w:tr>
        <w:tblPrEx>
          <w:tblCellMar>
            <w:top w:w="0" w:type="dxa"/>
            <w:left w:w="0" w:type="dxa"/>
            <w:bottom w:w="0" w:type="dxa"/>
            <w:right w:w="0" w:type="dxa"/>
          </w:tblCellMar>
        </w:tblPrEx>
        <w:tc>
          <w:tcPr>
            <w:tcW w:w="768" w:type="pct"/>
            <w:vMerge w:val="restar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noWrap w:val="0"/>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768" w:type="pct"/>
            <w:vMerge w:val="continue"/>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noWrap w:val="0"/>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76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576" w:type="pct"/>
            <w:noWrap w:val="0"/>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1.1“采购包”、“品目号”、“投标标的”及“数量”应与招标文件《采购标的一览表》中的有关内容（“采购包”、“品目号”、“采购标的”及“数量”）保持一致。</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1.3“投标标的”为服务的：“规格”项下应填写服务提供者提供的服务标准及品牌（若有）。“来源地”应填写服务提供者的所在地。“备注”项下应填写关于服务标准所涵盖的具体项目或内容的说明等。</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3、电子投标文件中涉及“投标标的”、“数量”、“规格”、“来源地”的内容若不一致，应以本表为准。</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二、技术和服务要求响应表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tbl>
      <w:tblPr>
        <w:tblStyle w:val="10"/>
        <w:tblW w:w="4998" w:type="pct"/>
        <w:tblInd w:w="0" w:type="dxa"/>
        <w:tblLayout w:type="autofit"/>
        <w:tblCellMar>
          <w:top w:w="0" w:type="dxa"/>
          <w:left w:w="0" w:type="dxa"/>
          <w:bottom w:w="0" w:type="dxa"/>
          <w:right w:w="0" w:type="dxa"/>
        </w:tblCellMar>
      </w:tblPr>
      <w:tblGrid>
        <w:gridCol w:w="1376"/>
        <w:gridCol w:w="1376"/>
        <w:gridCol w:w="2755"/>
        <w:gridCol w:w="1720"/>
        <w:gridCol w:w="2755"/>
      </w:tblGrid>
      <w:tr>
        <w:tblPrEx>
          <w:tblCellMar>
            <w:top w:w="0" w:type="dxa"/>
            <w:left w:w="0" w:type="dxa"/>
            <w:bottom w:w="0" w:type="dxa"/>
            <w:right w:w="0" w:type="dxa"/>
          </w:tblCellMar>
        </w:tblPrEx>
        <w:tc>
          <w:tcPr>
            <w:tcW w:w="68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w:t>
            </w:r>
          </w:p>
        </w:tc>
        <w:tc>
          <w:tcPr>
            <w:tcW w:w="68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品目号</w:t>
            </w: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技术和服务要求</w:t>
            </w:r>
          </w:p>
        </w:tc>
        <w:tc>
          <w:tcPr>
            <w:tcW w:w="8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投标响应</w:t>
            </w: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是否偏离及说明</w:t>
            </w:r>
          </w:p>
        </w:tc>
      </w:tr>
      <w:tr>
        <w:tblPrEx>
          <w:tblCellMar>
            <w:top w:w="0" w:type="dxa"/>
            <w:left w:w="0" w:type="dxa"/>
            <w:bottom w:w="0" w:type="dxa"/>
            <w:right w:w="0" w:type="dxa"/>
          </w:tblCellMar>
        </w:tblPrEx>
        <w:tc>
          <w:tcPr>
            <w:tcW w:w="689" w:type="pct"/>
            <w:vMerge w:val="restar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68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689" w:type="pct"/>
            <w:vMerge w:val="continue"/>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68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68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68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8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37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1.1“技术和服务要求”项下填写的内容应与招标文件第五章“技术和服务要求”的内容保持一致。</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1.3“是否偏离及说明”项下应按下列规定填写：优于的，填写“正偏离”；符合的，填写“无偏离”；低于的，填写“负偏离”。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三、商务条件响应表</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tbl>
      <w:tblPr>
        <w:tblStyle w:val="10"/>
        <w:tblW w:w="4998" w:type="pct"/>
        <w:tblInd w:w="0" w:type="dxa"/>
        <w:tblLayout w:type="autofit"/>
        <w:tblCellMar>
          <w:top w:w="0" w:type="dxa"/>
          <w:left w:w="0" w:type="dxa"/>
          <w:bottom w:w="0" w:type="dxa"/>
          <w:right w:w="0" w:type="dxa"/>
        </w:tblCellMar>
      </w:tblPr>
      <w:tblGrid>
        <w:gridCol w:w="1534"/>
        <w:gridCol w:w="1536"/>
        <w:gridCol w:w="1920"/>
        <w:gridCol w:w="1920"/>
        <w:gridCol w:w="3072"/>
      </w:tblGrid>
      <w:tr>
        <w:tblPrEx>
          <w:tblCellMar>
            <w:top w:w="0" w:type="dxa"/>
            <w:left w:w="0" w:type="dxa"/>
            <w:bottom w:w="0" w:type="dxa"/>
            <w:right w:w="0" w:type="dxa"/>
          </w:tblCellMar>
        </w:tblPrEx>
        <w:tc>
          <w:tcPr>
            <w:tcW w:w="76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采购包</w:t>
            </w: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品目号</w:t>
            </w: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商务条件</w:t>
            </w: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投标响应</w:t>
            </w:r>
          </w:p>
        </w:tc>
        <w:tc>
          <w:tcPr>
            <w:tcW w:w="153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是否偏离及说明</w:t>
            </w:r>
          </w:p>
        </w:tc>
      </w:tr>
      <w:tr>
        <w:tblPrEx>
          <w:tblCellMar>
            <w:top w:w="0" w:type="dxa"/>
            <w:left w:w="0" w:type="dxa"/>
            <w:bottom w:w="0" w:type="dxa"/>
            <w:right w:w="0" w:type="dxa"/>
          </w:tblCellMar>
        </w:tblPrEx>
        <w:tc>
          <w:tcPr>
            <w:tcW w:w="768" w:type="pct"/>
            <w:vMerge w:val="restar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*-1</w:t>
            </w: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53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768" w:type="pct"/>
            <w:vMerge w:val="continue"/>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53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r>
        <w:tblPrEx>
          <w:tblCellMar>
            <w:top w:w="0" w:type="dxa"/>
            <w:left w:w="0" w:type="dxa"/>
            <w:bottom w:w="0" w:type="dxa"/>
            <w:right w:w="0" w:type="dxa"/>
          </w:tblCellMar>
        </w:tblPrEx>
        <w:tc>
          <w:tcPr>
            <w:tcW w:w="76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pStyle w:val="9"/>
              <w:keepNext w:val="0"/>
              <w:keepLines w:val="0"/>
              <w:widowControl/>
              <w:suppressLineNumbers w:val="0"/>
              <w:wordWrap w:val="0"/>
              <w:spacing w:before="0" w:beforeAutospacing="0" w:after="0" w:afterAutospacing="0" w:line="360" w:lineRule="exact"/>
              <w:rPr>
                <w:rFonts w:hint="eastAsia" w:ascii="宋体" w:hAnsi="宋体" w:cs="宋体"/>
                <w:color w:val="auto"/>
                <w:highlight w:val="none"/>
              </w:rPr>
            </w:pPr>
            <w:r>
              <w:rPr>
                <w:rFonts w:hint="eastAsia" w:ascii="宋体" w:hAnsi="宋体" w:cs="宋体"/>
                <w:color w:val="auto"/>
                <w:highlight w:val="none"/>
              </w:rPr>
              <w:t>…</w:t>
            </w:r>
          </w:p>
        </w:tc>
        <w:tc>
          <w:tcPr>
            <w:tcW w:w="769"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961"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c>
          <w:tcPr>
            <w:tcW w:w="1538" w:type="pct"/>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pPr>
              <w:keepNext w:val="0"/>
              <w:keepLines w:val="0"/>
              <w:suppressLineNumbers w:val="0"/>
              <w:spacing w:before="0" w:beforeAutospacing="0" w:after="0" w:afterAutospacing="0" w:line="360" w:lineRule="exact"/>
              <w:ind w:left="0" w:right="0"/>
              <w:rPr>
                <w:rFonts w:hint="eastAsia" w:ascii="宋体" w:hAnsi="宋体" w:cs="宋体"/>
                <w:color w:val="auto"/>
                <w:sz w:val="24"/>
                <w:highlight w:val="none"/>
              </w:rPr>
            </w:pPr>
          </w:p>
        </w:tc>
      </w:tr>
    </w:tbl>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※注意：</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1.1“商务条件”项下填写的内容应与招标文件第五章“商务条件”的内容保持一致。</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1.2“投标响应”项下应填写具体的响应内容并与“商务条件”项下填写的内容逐项对应；对“商务条件”项下涉及“≥或＞”、“≤或＜”及某个区间值范围内的内容，应填写具体的数值。</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1.3“是否偏离及说明”项下应按下列规定填写：优于的，填写“正偏离”；符合的，填写“无偏离”；低于的，填写“负偏离”。</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9"/>
        <w:widowControl/>
        <w:spacing w:before="0" w:beforeAutospacing="0" w:after="0" w:afterAutospacing="0" w:line="360" w:lineRule="exact"/>
        <w:ind w:firstLine="420"/>
        <w:jc w:val="right"/>
        <w:rPr>
          <w:rFonts w:hint="eastAsia"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年　　月　　日</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0" w:beforeAutospacing="0" w:after="0" w:afterAutospacing="0" w:line="360" w:lineRule="exact"/>
        <w:jc w:val="center"/>
        <w:rPr>
          <w:rFonts w:cs="宋体"/>
          <w:color w:val="auto"/>
          <w:sz w:val="24"/>
          <w:szCs w:val="24"/>
          <w:highlight w:val="none"/>
        </w:rPr>
      </w:pPr>
      <w:r>
        <w:rPr>
          <w:rFonts w:cs="宋体"/>
          <w:color w:val="auto"/>
          <w:sz w:val="24"/>
          <w:szCs w:val="24"/>
          <w:highlight w:val="none"/>
          <w:shd w:val="clear" w:color="auto" w:fill="FFFFFF"/>
        </w:rPr>
        <w:br w:type="page"/>
      </w:r>
      <w:r>
        <w:rPr>
          <w:rFonts w:cs="宋体"/>
          <w:color w:val="auto"/>
          <w:sz w:val="24"/>
          <w:szCs w:val="24"/>
          <w:highlight w:val="none"/>
          <w:shd w:val="clear" w:color="auto" w:fill="FFFFFF"/>
        </w:rPr>
        <w:t>四、投标人提交的其他资料（若有）</w:t>
      </w:r>
    </w:p>
    <w:p>
      <w:pPr>
        <w:pStyle w:val="9"/>
        <w:widowControl/>
        <w:spacing w:before="0" w:beforeAutospacing="0" w:after="0" w:afterAutospacing="0" w:line="360" w:lineRule="exact"/>
        <w:ind w:firstLine="420"/>
        <w:jc w:val="center"/>
        <w:rPr>
          <w:rFonts w:hint="eastAsia" w:ascii="宋体" w:hAnsi="宋体" w:cs="宋体"/>
          <w:color w:val="auto"/>
          <w:highlight w:val="none"/>
        </w:rPr>
      </w:pPr>
      <w:r>
        <w:rPr>
          <w:rFonts w:hint="eastAsia" w:ascii="宋体" w:hAnsi="宋体" w:cs="宋体"/>
          <w:color w:val="auto"/>
          <w:highlight w:val="none"/>
          <w:shd w:val="clear" w:color="auto" w:fill="FFFFFF"/>
        </w:rPr>
        <w:t>编制说明</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1、招标文件要求提交的除“资格及资信证明部分”、“报价部分”外的其他证明材料或资料加盖投标人的单位公章后应在此项下提交。</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2、招标文件要求投标人提供方案（包括但不限于：组织、实施、技术、服务方案等）的，投标人应在此项下提交。</w:t>
      </w:r>
    </w:p>
    <w:p>
      <w:pPr>
        <w:pStyle w:val="9"/>
        <w:widowControl/>
        <w:spacing w:before="0" w:beforeAutospacing="0" w:after="0" w:afterAutospacing="0" w:line="360" w:lineRule="exact"/>
        <w:ind w:firstLine="420"/>
        <w:rPr>
          <w:rFonts w:hint="eastAsia" w:ascii="宋体" w:hAnsi="宋体" w:cs="宋体"/>
          <w:color w:val="auto"/>
          <w:highlight w:val="none"/>
        </w:rPr>
      </w:pPr>
      <w:r>
        <w:rPr>
          <w:rFonts w:hint="eastAsia" w:ascii="宋体" w:hAnsi="宋体" w:cs="宋体"/>
          <w:color w:val="auto"/>
          <w:highlight w:val="none"/>
          <w:shd w:val="clear" w:color="auto" w:fill="FFFFFF"/>
        </w:rPr>
        <w:t>3、除招标文件另有规定外，投标人认为需要提交的其他证明材料或资料加盖投标人的单位公章后应在此项下提交。</w:t>
      </w:r>
    </w:p>
    <w:p>
      <w:pPr>
        <w:widowControl/>
        <w:shd w:val="clear" w:color="auto" w:fill="FFFFFF"/>
        <w:spacing w:line="360" w:lineRule="exact"/>
        <w:jc w:val="left"/>
        <w:rPr>
          <w:rFonts w:hint="eastAsia" w:ascii="宋体" w:hAnsi="宋体" w:cs="宋体"/>
          <w:color w:val="auto"/>
          <w:sz w:val="24"/>
          <w:highlight w:val="none"/>
        </w:rPr>
      </w:pPr>
      <w:r>
        <w:rPr>
          <w:rFonts w:hint="eastAsia" w:ascii="宋体" w:hAnsi="宋体" w:cs="宋体"/>
          <w:color w:val="auto"/>
          <w:kern w:val="0"/>
          <w:sz w:val="24"/>
          <w:highlight w:val="none"/>
          <w:shd w:val="clear" w:color="auto" w:fill="FFFFFF"/>
          <w:lang w:bidi="ar"/>
        </w:rPr>
        <w:t> 附件 </w:t>
      </w:r>
    </w:p>
    <w:p>
      <w:pPr>
        <w:spacing w:line="360" w:lineRule="exact"/>
        <w:rPr>
          <w:rFonts w:hint="eastAsia" w:ascii="宋体" w:hAnsi="宋体" w:cs="宋体"/>
          <w:color w:val="auto"/>
          <w:sz w:val="24"/>
          <w:highlight w:val="none"/>
        </w:rPr>
      </w:pPr>
    </w:p>
    <w:bookmarkEnd w:id="0"/>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abs>
        <w:tab w:val="clear" w:pos="4153"/>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4725" cy="296545"/>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974725" cy="296545"/>
                      </a:xfrm>
                      <a:prstGeom prst="rect">
                        <a:avLst/>
                      </a:prstGeom>
                      <a:noFill/>
                      <a:ln>
                        <a:noFill/>
                      </a:ln>
                    </wps:spPr>
                    <wps:txbx>
                      <w:txbxContent>
                        <w:p>
                          <w:pPr>
                            <w:pStyle w:val="7"/>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23.35pt;width:76.75pt;mso-position-horizontal:center;mso-position-horizontal-relative:margin;mso-wrap-style:none;z-index:251659264;mso-width-relative:page;mso-height-relative:page;" filled="f" stroked="f" coordsize="21600,21600" o:gfxdata="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ouOoXSAAAABAEAAA8AAAAAAAAAAQAgAAAAIgAAAGRycy9k&#10;b3ducmV2LnhtbFBLAQIUABQAAAAIAIdO4kCkVDpvzwEAAJoDAAAOAAAAAAAAAAEAIAAAACEBAABk&#10;cnMvZTJvRG9jLnhtbFBLBQYAAAAABgAGAFkBAABiBQAAAAA=&#10;">
              <v:fill on="f" focussize="0,0"/>
              <v:stroke on="f"/>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91009F"/>
    <w:multiLevelType w:val="singleLevel"/>
    <w:tmpl w:val="2491009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1M2IzY2ExMmNlNjNmMTc5ODYxOGE1YzdhNTU2NTMifQ=="/>
  </w:docVars>
  <w:rsids>
    <w:rsidRoot w:val="00172147"/>
    <w:rsid w:val="00172147"/>
    <w:rsid w:val="001961B4"/>
    <w:rsid w:val="02027144"/>
    <w:rsid w:val="06F1028E"/>
    <w:rsid w:val="094523C3"/>
    <w:rsid w:val="09B329F7"/>
    <w:rsid w:val="0AA73160"/>
    <w:rsid w:val="0E6B30AE"/>
    <w:rsid w:val="15C435C7"/>
    <w:rsid w:val="17BC3509"/>
    <w:rsid w:val="193D7721"/>
    <w:rsid w:val="1D821595"/>
    <w:rsid w:val="21897C7F"/>
    <w:rsid w:val="24EA203E"/>
    <w:rsid w:val="29BC09F5"/>
    <w:rsid w:val="2F411B3D"/>
    <w:rsid w:val="302465BE"/>
    <w:rsid w:val="383F45D6"/>
    <w:rsid w:val="394C730D"/>
    <w:rsid w:val="3D496762"/>
    <w:rsid w:val="3E0C72CD"/>
    <w:rsid w:val="3E6F037F"/>
    <w:rsid w:val="43316CDE"/>
    <w:rsid w:val="43711156"/>
    <w:rsid w:val="456B71F2"/>
    <w:rsid w:val="4F826102"/>
    <w:rsid w:val="51486FFE"/>
    <w:rsid w:val="57582765"/>
    <w:rsid w:val="57B37E0D"/>
    <w:rsid w:val="597966EE"/>
    <w:rsid w:val="59F73FA9"/>
    <w:rsid w:val="5D283D51"/>
    <w:rsid w:val="5DB0747B"/>
    <w:rsid w:val="63080089"/>
    <w:rsid w:val="67171D11"/>
    <w:rsid w:val="6C63365B"/>
    <w:rsid w:val="6E260822"/>
    <w:rsid w:val="78E55F35"/>
    <w:rsid w:val="7DC664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1">
    <w:name w:val="Default Paragraph Font"/>
    <w:semiHidden/>
    <w:qFormat/>
    <w:uiPriority w:val="0"/>
  </w:style>
  <w:style w:type="table" w:default="1" w:styleId="1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customStyle="1" w:styleId="14">
    <w:name w:val="_Style 13"/>
    <w:basedOn w:val="1"/>
    <w:next w:val="1"/>
    <w:qFormat/>
    <w:uiPriority w:val="0"/>
    <w:pPr>
      <w:pBdr>
        <w:bottom w:val="single" w:color="auto" w:sz="6" w:space="1"/>
      </w:pBdr>
      <w:jc w:val="center"/>
    </w:pPr>
    <w:rPr>
      <w:rFonts w:ascii="Arial" w:eastAsia="宋体"/>
      <w:vanish/>
      <w:sz w:val="16"/>
    </w:rPr>
  </w:style>
  <w:style w:type="paragraph" w:customStyle="1" w:styleId="15">
    <w:name w:val="_Style 14"/>
    <w:basedOn w:val="1"/>
    <w:next w:val="1"/>
    <w:qFormat/>
    <w:uiPriority w:val="0"/>
    <w:pPr>
      <w:pBdr>
        <w:top w:val="single" w:color="auto" w:sz="6" w:space="1"/>
      </w:pBdr>
      <w:jc w:val="center"/>
    </w:pPr>
    <w:rPr>
      <w:rFonts w:ascii="Arial" w:eastAsia="宋体"/>
      <w:vanish/>
      <w:sz w:val="16"/>
    </w:rPr>
  </w:style>
  <w:style w:type="paragraph" w:customStyle="1" w:styleId="16">
    <w:name w:val="null3"/>
    <w:basedOn w:val="1"/>
    <w:qFormat/>
    <w:uiPriority w:val="0"/>
    <w:pPr>
      <w:widowControl/>
      <w:jc w:val="left"/>
    </w:pPr>
    <w:rPr>
      <w:kern w:val="0"/>
      <w:sz w:val="24"/>
      <w:szCs w:val="24"/>
    </w:rPr>
  </w:style>
  <w:style w:type="character" w:customStyle="1" w:styleId="17">
    <w:name w:val="18"/>
    <w:basedOn w:val="11"/>
    <w:qFormat/>
    <w:uiPriority w:val="0"/>
    <w:rPr>
      <w:rFonts w:hint="default" w:ascii="Calibri" w:hAnsi="Calibri"/>
      <w:b/>
      <w:bCs/>
      <w:color w:val="000000"/>
      <w:sz w:val="16"/>
      <w:szCs w:val="16"/>
    </w:rPr>
  </w:style>
  <w:style w:type="character" w:customStyle="1" w:styleId="18">
    <w:name w:val="17"/>
    <w:basedOn w:val="11"/>
    <w:qFormat/>
    <w:uiPriority w:val="0"/>
    <w:rPr>
      <w:rFonts w:hint="eastAsia" w:ascii="宋体" w:hAnsi="宋体" w:eastAsia="宋体"/>
      <w:b/>
      <w:bCs/>
      <w:color w:val="000000"/>
      <w:sz w:val="16"/>
      <w:szCs w:val="16"/>
    </w:rPr>
  </w:style>
  <w:style w:type="character" w:customStyle="1" w:styleId="19">
    <w:name w:val="16"/>
    <w:basedOn w:val="11"/>
    <w:qFormat/>
    <w:uiPriority w:val="0"/>
    <w:rPr>
      <w:rFonts w:hint="eastAsia" w:ascii="仿宋" w:hAnsi="仿宋" w:eastAsia="仿宋"/>
      <w:color w:val="000000"/>
      <w:sz w:val="18"/>
      <w:szCs w:val="18"/>
    </w:rPr>
  </w:style>
  <w:style w:type="character" w:customStyle="1" w:styleId="20">
    <w:name w:val="15"/>
    <w:basedOn w:val="11"/>
    <w:qFormat/>
    <w:uiPriority w:val="0"/>
    <w:rPr>
      <w:rFonts w:hint="eastAsia" w:ascii="仿宋" w:hAnsi="仿宋" w:eastAsia="仿宋"/>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89</Pages>
  <Words>8909</Words>
  <Characters>50782</Characters>
  <Lines>423</Lines>
  <Paragraphs>119</Paragraphs>
  <TotalTime>13</TotalTime>
  <ScaleCrop>false</ScaleCrop>
  <LinksUpToDate>false</LinksUpToDate>
  <CharactersWithSpaces>59572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2023-10-11T05:43:00Z</dcterms:created>
  <dc:creator>Administrator</dc:creator>
  <cp:lastModifiedBy>_ Single°</cp:lastModifiedBy>
  <cp:lastPrinted>2023-10-16T00:26:00Z</cp:lastPrinted>
  <dcterms:modified xsi:type="dcterms:W3CDTF">2023-11-02T08:33:34Z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6D7B8D33D3ED4167AF97B87C56A5BC37_13</vt:lpwstr>
  </property>
</Properties>
</file>