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CEC0A">
      <w:pPr>
        <w:autoSpaceDE w:val="0"/>
        <w:autoSpaceDN w:val="0"/>
        <w:adjustRightInd w:val="0"/>
        <w:spacing w:line="360" w:lineRule="auto"/>
        <w:ind w:firstLine="2650" w:firstLineChars="600"/>
        <w:outlineLvl w:val="0"/>
        <w:rPr>
          <w:rFonts w:ascii="Times New Roman" w:hAnsi="Times New Roman" w:eastAsia="宋体" w:cs="Times New Roman"/>
          <w:b/>
          <w:bCs/>
          <w:kern w:val="0"/>
          <w:sz w:val="44"/>
          <w:szCs w:val="44"/>
          <w:lang w:val="zh-CN"/>
        </w:rPr>
      </w:pPr>
      <w:r>
        <w:rPr>
          <w:rFonts w:ascii="Times New Roman" w:hAnsi="Times New Roman" w:eastAsia="宋体" w:cs="Times New Roman"/>
          <w:b/>
          <w:bCs/>
          <w:kern w:val="0"/>
          <w:sz w:val="44"/>
          <w:szCs w:val="44"/>
          <w:lang w:val="zh-CN"/>
        </w:rPr>
        <w:t>第四章 项目需求</w:t>
      </w:r>
      <w:bookmarkStart w:id="0" w:name="OLE_LINK1"/>
    </w:p>
    <w:bookmarkEnd w:id="0"/>
    <w:p w14:paraId="56C82069">
      <w:pPr>
        <w:widowControl w:val="0"/>
        <w:spacing w:before="240" w:after="60" w:line="360" w:lineRule="auto"/>
        <w:ind w:left="1047" w:right="708" w:rightChars="337" w:hanging="905"/>
        <w:jc w:val="both"/>
        <w:outlineLvl w:val="9"/>
        <w:rPr>
          <w:rFonts w:ascii="Times New Roman" w:hAnsi="Times New Roman" w:eastAsia="宋体" w:cs="Times New Roman"/>
          <w:b/>
          <w:bCs/>
          <w:color w:val="000000"/>
          <w:kern w:val="2"/>
          <w:sz w:val="24"/>
          <w:szCs w:val="24"/>
          <w:lang w:val="en-US" w:eastAsia="zh-CN" w:bidi="ar-SA"/>
        </w:rPr>
      </w:pPr>
    </w:p>
    <w:p w14:paraId="569041BF">
      <w:pPr>
        <w:adjustRightInd w:val="0"/>
        <w:snapToGrid w:val="0"/>
        <w:outlineLvl w:val="1"/>
        <w:rPr>
          <w:rFonts w:ascii="Times New Roman" w:hAnsi="Times New Roman" w:eastAsia="宋体" w:cs="Times New Roman"/>
          <w:b/>
          <w:color w:val="000000"/>
          <w:sz w:val="30"/>
          <w:szCs w:val="30"/>
        </w:rPr>
      </w:pPr>
      <w:r>
        <w:rPr>
          <w:rFonts w:ascii="Times New Roman" w:hAnsi="Times New Roman" w:eastAsia="宋体" w:cs="Times New Roman"/>
          <w:b/>
          <w:color w:val="000000"/>
          <w:sz w:val="30"/>
          <w:szCs w:val="30"/>
        </w:rPr>
        <w:t>一、货物需求一览表</w:t>
      </w:r>
    </w:p>
    <w:p w14:paraId="773721E9">
      <w:pPr>
        <w:adjustRightInd w:val="0"/>
        <w:snapToGrid w:val="0"/>
        <w:rPr>
          <w:rFonts w:ascii="Times New Roman" w:hAnsi="Times New Roman" w:eastAsia="宋体" w:cs="Times New Roman"/>
          <w:b/>
          <w:color w:val="000000"/>
          <w:sz w:val="30"/>
          <w:szCs w:val="30"/>
        </w:rPr>
      </w:pPr>
    </w:p>
    <w:tbl>
      <w:tblPr>
        <w:tblStyle w:val="2"/>
        <w:tblW w:w="7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1"/>
        <w:gridCol w:w="3590"/>
        <w:gridCol w:w="2097"/>
      </w:tblGrid>
      <w:tr w14:paraId="590E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551" w:type="dxa"/>
            <w:tcBorders>
              <w:top w:val="single" w:color="auto" w:sz="4" w:space="0"/>
              <w:left w:val="single" w:color="auto" w:sz="4" w:space="0"/>
              <w:bottom w:val="single" w:color="auto" w:sz="4" w:space="0"/>
              <w:right w:val="single" w:color="auto" w:sz="4" w:space="0"/>
            </w:tcBorders>
            <w:shd w:val="clear" w:color="auto" w:fill="EEECE1"/>
            <w:vAlign w:val="center"/>
          </w:tcPr>
          <w:p w14:paraId="191CEC92">
            <w:pPr>
              <w:jc w:val="center"/>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包号</w:t>
            </w:r>
          </w:p>
        </w:tc>
        <w:tc>
          <w:tcPr>
            <w:tcW w:w="3590" w:type="dxa"/>
            <w:tcBorders>
              <w:top w:val="single" w:color="auto" w:sz="4" w:space="0"/>
              <w:left w:val="single" w:color="auto" w:sz="4" w:space="0"/>
              <w:bottom w:val="single" w:color="auto" w:sz="4" w:space="0"/>
              <w:right w:val="single" w:color="auto" w:sz="4" w:space="0"/>
            </w:tcBorders>
            <w:shd w:val="clear" w:color="auto" w:fill="EEECE1"/>
            <w:vAlign w:val="center"/>
          </w:tcPr>
          <w:p w14:paraId="05AC5983">
            <w:pPr>
              <w:jc w:val="center"/>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货物名称</w:t>
            </w:r>
          </w:p>
        </w:tc>
        <w:tc>
          <w:tcPr>
            <w:tcW w:w="2097" w:type="dxa"/>
            <w:tcBorders>
              <w:top w:val="single" w:color="auto" w:sz="4" w:space="0"/>
              <w:left w:val="single" w:color="auto" w:sz="4" w:space="0"/>
              <w:bottom w:val="single" w:color="auto" w:sz="4" w:space="0"/>
              <w:right w:val="single" w:color="auto" w:sz="4" w:space="0"/>
            </w:tcBorders>
            <w:shd w:val="clear" w:color="auto" w:fill="EEECE1"/>
            <w:vAlign w:val="center"/>
          </w:tcPr>
          <w:p w14:paraId="3FF29A1B">
            <w:pPr>
              <w:jc w:val="center"/>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数量</w:t>
            </w:r>
          </w:p>
        </w:tc>
      </w:tr>
      <w:tr w14:paraId="7160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551" w:type="dxa"/>
            <w:tcBorders>
              <w:top w:val="single" w:color="auto" w:sz="4" w:space="0"/>
              <w:left w:val="single" w:color="auto" w:sz="4" w:space="0"/>
              <w:right w:val="single" w:color="auto" w:sz="4" w:space="0"/>
            </w:tcBorders>
            <w:vAlign w:val="center"/>
          </w:tcPr>
          <w:p w14:paraId="2A038683">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w:t>
            </w:r>
          </w:p>
        </w:tc>
        <w:tc>
          <w:tcPr>
            <w:tcW w:w="3590" w:type="dxa"/>
            <w:tcBorders>
              <w:top w:val="single" w:color="auto" w:sz="4" w:space="0"/>
              <w:left w:val="single" w:color="auto" w:sz="4" w:space="0"/>
              <w:bottom w:val="single" w:color="auto" w:sz="4" w:space="0"/>
              <w:right w:val="single" w:color="auto" w:sz="4" w:space="0"/>
            </w:tcBorders>
            <w:vAlign w:val="center"/>
          </w:tcPr>
          <w:p w14:paraId="644C1ABE">
            <w:pPr>
              <w:jc w:val="center"/>
              <w:rPr>
                <w:rFonts w:ascii="Times New Roman" w:hAnsi="Times New Roman" w:eastAsia="宋体" w:cs="Times New Roman"/>
                <w:color w:val="000000"/>
                <w:sz w:val="24"/>
                <w:szCs w:val="24"/>
              </w:rPr>
            </w:pPr>
            <w:r>
              <w:rPr>
                <w:rFonts w:hint="eastAsia" w:ascii="Times New Roman" w:hAnsi="Times New Roman" w:eastAsia="宋体" w:cs="Times New Roman"/>
                <w:b/>
                <w:kern w:val="0"/>
                <w:sz w:val="24"/>
                <w:szCs w:val="24"/>
              </w:rPr>
              <w:t>流式细胞分析仪</w:t>
            </w:r>
          </w:p>
        </w:tc>
        <w:tc>
          <w:tcPr>
            <w:tcW w:w="2097" w:type="dxa"/>
            <w:tcBorders>
              <w:top w:val="single" w:color="auto" w:sz="4" w:space="0"/>
              <w:left w:val="single" w:color="auto" w:sz="4" w:space="0"/>
              <w:bottom w:val="single" w:color="auto" w:sz="4" w:space="0"/>
              <w:right w:val="single" w:color="auto" w:sz="4" w:space="0"/>
            </w:tcBorders>
            <w:vAlign w:val="center"/>
          </w:tcPr>
          <w:p w14:paraId="56AACBFB">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1套</w:t>
            </w:r>
          </w:p>
        </w:tc>
      </w:tr>
    </w:tbl>
    <w:p w14:paraId="13449302">
      <w:pPr>
        <w:adjustRightInd w:val="0"/>
        <w:snapToGrid w:val="0"/>
        <w:jc w:val="center"/>
        <w:rPr>
          <w:rFonts w:ascii="Times New Roman" w:hAnsi="Times New Roman" w:eastAsia="宋体" w:cs="Times New Roman"/>
          <w:b/>
          <w:color w:val="000000"/>
          <w:sz w:val="30"/>
          <w:szCs w:val="30"/>
        </w:rPr>
      </w:pPr>
    </w:p>
    <w:p w14:paraId="48C87F2E">
      <w:pPr>
        <w:adjustRightInd w:val="0"/>
        <w:snapToGrid w:val="0"/>
        <w:jc w:val="center"/>
        <w:rPr>
          <w:rFonts w:ascii="Times New Roman" w:hAnsi="Times New Roman" w:eastAsia="宋体" w:cs="Times New Roman"/>
          <w:b/>
          <w:color w:val="000000"/>
          <w:sz w:val="30"/>
          <w:szCs w:val="30"/>
        </w:rPr>
      </w:pPr>
    </w:p>
    <w:p w14:paraId="4EC3DE2D">
      <w:p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注：</w:t>
      </w:r>
    </w:p>
    <w:p w14:paraId="4B2F55B7">
      <w:p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1、投标人须对上述投标内容中完整的一包或几包进行投标，不完整的投标将视为非响应性投标予以拒绝。</w:t>
      </w:r>
    </w:p>
    <w:p w14:paraId="71F82080">
      <w:pPr>
        <w:spacing w:line="360" w:lineRule="auto"/>
        <w:rPr>
          <w:rFonts w:ascii="Times New Roman" w:hAnsi="Times New Roman" w:eastAsia="宋体" w:cs="Times New Roman"/>
          <w:color w:val="000000"/>
          <w:sz w:val="24"/>
          <w:szCs w:val="24"/>
        </w:rPr>
      </w:pPr>
    </w:p>
    <w:p w14:paraId="5703B23A">
      <w:pPr>
        <w:ind w:left="420" w:firstLine="560" w:firstLineChars="200"/>
        <w:rPr>
          <w:rFonts w:ascii="Times New Roman" w:hAnsi="Times New Roman" w:eastAsia="宋体" w:cs="Times New Roman"/>
          <w:color w:val="000000"/>
          <w:sz w:val="28"/>
          <w:szCs w:val="24"/>
        </w:rPr>
      </w:pPr>
    </w:p>
    <w:p w14:paraId="43D95248">
      <w:pPr>
        <w:spacing w:line="360" w:lineRule="auto"/>
        <w:ind w:left="600" w:hanging="600"/>
        <w:outlineLvl w:val="1"/>
        <w:rPr>
          <w:rFonts w:ascii="Times New Roman" w:hAnsi="Times New Roman" w:eastAsia="宋体" w:cs="Times New Roman"/>
          <w:b/>
          <w:color w:val="000000"/>
          <w:sz w:val="30"/>
          <w:szCs w:val="30"/>
        </w:rPr>
      </w:pPr>
      <w:r>
        <w:rPr>
          <w:rFonts w:ascii="Times New Roman" w:hAnsi="Times New Roman" w:eastAsia="宋体" w:cs="Times New Roman"/>
          <w:b/>
          <w:color w:val="000000"/>
          <w:sz w:val="30"/>
          <w:szCs w:val="30"/>
        </w:rPr>
        <w:t>二、总  则</w:t>
      </w:r>
    </w:p>
    <w:p w14:paraId="03366DA0">
      <w:pPr>
        <w:adjustRightInd w:val="0"/>
        <w:snapToGrid w:val="0"/>
        <w:spacing w:line="360" w:lineRule="auto"/>
        <w:rPr>
          <w:rFonts w:ascii="Times New Roman" w:hAnsi="Times New Roman" w:eastAsia="宋体" w:cs="Times New Roman"/>
          <w:b/>
          <w:sz w:val="28"/>
          <w:szCs w:val="28"/>
        </w:rPr>
      </w:pPr>
      <w:bookmarkStart w:id="1" w:name="_Hlk108442230"/>
      <w:r>
        <w:rPr>
          <w:rFonts w:ascii="Times New Roman" w:hAnsi="Times New Roman" w:eastAsia="宋体" w:cs="Times New Roman"/>
          <w:b/>
          <w:sz w:val="28"/>
          <w:szCs w:val="28"/>
        </w:rPr>
        <w:t>1、投标要求</w:t>
      </w:r>
    </w:p>
    <w:p w14:paraId="5A1841F4">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1.1  投标人在准备投标书时，务必在所提供的商品的技术规格文件中，标明型号、商标名称、目录号。</w:t>
      </w:r>
    </w:p>
    <w:p w14:paraId="6FA71BA3">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8DC1F91">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1.3  投标人提供的产品样本，必须是“原件”而非复印件，图表、简图、电路图以及印刷电路板图等都应清晰易读。买方有权不付任何附加费用复制这些资料以供参考。</w:t>
      </w:r>
    </w:p>
    <w:p w14:paraId="2FB3F87C">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6507BCC">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2、评标标准</w:t>
      </w:r>
    </w:p>
    <w:p w14:paraId="78AA1746">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304BD44A">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681BD819">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2.3  为便于用户进行接收仪器的准备工作，卖方应在合同生效后</w:t>
      </w:r>
      <w:r>
        <w:rPr>
          <w:rFonts w:ascii="Times New Roman" w:hAnsi="Times New Roman" w:eastAsia="宋体" w:cs="Times New Roman"/>
          <w:b/>
          <w:sz w:val="24"/>
          <w:szCs w:val="24"/>
        </w:rPr>
        <w:t>60</w:t>
      </w:r>
      <w:r>
        <w:rPr>
          <w:rFonts w:ascii="Times New Roman" w:hAnsi="Times New Roman" w:eastAsia="宋体" w:cs="Times New Roman"/>
          <w:sz w:val="24"/>
          <w:szCs w:val="24"/>
        </w:rPr>
        <w:t>天内向用户提供一套完整的使用说明书、操作手册、维修及安装说明等文件。另一套完整上述资料应在交货时随货包装提供给用户，这些费用应计入投标价中。</w:t>
      </w:r>
    </w:p>
    <w:p w14:paraId="0F3E2049">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2.4  关于设备的安装调试，如果有必要的安装准备条件，卖方应在合同生效后一个月内向买方提出详细的要求或计划。安装调试的费用应计入投标价中，并应单独列出，供评标使用。</w:t>
      </w:r>
    </w:p>
    <w:p w14:paraId="5D6944E5">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2.5  制造厂家提供的培训指的是涉及货物的基本原理、操作使用和保养维修等有关内容的培训。培训教员的培训费、旅费、食宿费等费用和培训场地费及培训资料费均应由卖方支付。</w:t>
      </w:r>
    </w:p>
    <w:p w14:paraId="2A84DDC2">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3、工作条件</w:t>
      </w:r>
    </w:p>
    <w:p w14:paraId="463C29C7">
      <w:pPr>
        <w:spacing w:after="312" w:afterLines="10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除非在技术规格中另有说明，所有仪器、设备和系统都应符合下列要求： </w:t>
      </w:r>
    </w:p>
    <w:p w14:paraId="0D1B8A04">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3.1  适于在气温为摄氏</w:t>
      </w:r>
      <w:r>
        <w:rPr>
          <w:rFonts w:ascii="Times New Roman" w:hAnsi="Times New Roman" w:eastAsia="宋体" w:cs="Times New Roman"/>
          <w:b/>
          <w:sz w:val="24"/>
          <w:szCs w:val="24"/>
        </w:rPr>
        <w:t>-40℃～＋50℃</w:t>
      </w:r>
      <w:r>
        <w:rPr>
          <w:rFonts w:ascii="Times New Roman" w:hAnsi="Times New Roman" w:eastAsia="宋体" w:cs="Times New Roman"/>
          <w:sz w:val="24"/>
          <w:szCs w:val="24"/>
        </w:rPr>
        <w:t>和相对湿度为</w:t>
      </w:r>
      <w:r>
        <w:rPr>
          <w:rFonts w:ascii="Times New Roman" w:hAnsi="Times New Roman" w:eastAsia="宋体" w:cs="Times New Roman"/>
          <w:b/>
          <w:sz w:val="24"/>
          <w:szCs w:val="24"/>
        </w:rPr>
        <w:t>90％</w:t>
      </w:r>
      <w:r>
        <w:rPr>
          <w:rFonts w:ascii="Times New Roman" w:hAnsi="Times New Roman" w:eastAsia="宋体" w:cs="Times New Roman"/>
          <w:sz w:val="24"/>
          <w:szCs w:val="24"/>
        </w:rPr>
        <w:t>的环境条件下运输和贮存。</w:t>
      </w:r>
    </w:p>
    <w:p w14:paraId="748A834E">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3.2  适于在电源</w:t>
      </w:r>
      <w:r>
        <w:rPr>
          <w:rFonts w:ascii="Times New Roman" w:hAnsi="Times New Roman" w:eastAsia="宋体" w:cs="Times New Roman"/>
          <w:b/>
          <w:sz w:val="24"/>
          <w:szCs w:val="24"/>
        </w:rPr>
        <w:t>220V（</w:t>
      </w:r>
      <w:r>
        <w:rPr>
          <w:rFonts w:ascii="Times New Roman" w:hAnsi="Times New Roman" w:eastAsia="宋体" w:cs="Times New Roman"/>
          <w:b/>
          <w:sz w:val="24"/>
          <w:szCs w:val="24"/>
        </w:rPr>
        <w:sym w:font="Symbol" w:char="F0B1"/>
      </w:r>
      <w:r>
        <w:rPr>
          <w:rFonts w:ascii="Times New Roman" w:hAnsi="Times New Roman" w:eastAsia="宋体" w:cs="Times New Roman"/>
          <w:b/>
          <w:sz w:val="24"/>
          <w:szCs w:val="24"/>
        </w:rPr>
        <w:t>10％）/50Hz</w:t>
      </w:r>
      <w:r>
        <w:rPr>
          <w:rFonts w:ascii="Times New Roman" w:hAnsi="Times New Roman" w:eastAsia="宋体" w:cs="Times New Roman"/>
          <w:sz w:val="24"/>
          <w:szCs w:val="24"/>
        </w:rPr>
        <w:t>、气温摄氏</w:t>
      </w:r>
      <w:r>
        <w:rPr>
          <w:rFonts w:ascii="Times New Roman" w:hAnsi="Times New Roman" w:eastAsia="宋体" w:cs="Times New Roman"/>
          <w:b/>
          <w:sz w:val="24"/>
          <w:szCs w:val="24"/>
        </w:rPr>
        <w:t>+15℃～＋30℃</w:t>
      </w:r>
      <w:r>
        <w:rPr>
          <w:rFonts w:ascii="Times New Roman" w:hAnsi="Times New Roman" w:eastAsia="宋体" w:cs="Times New Roman"/>
          <w:sz w:val="24"/>
          <w:szCs w:val="24"/>
        </w:rPr>
        <w:t>和相对湿度小于</w:t>
      </w:r>
      <w:r>
        <w:rPr>
          <w:rFonts w:ascii="Times New Roman" w:hAnsi="Times New Roman" w:eastAsia="宋体" w:cs="Times New Roman"/>
          <w:b/>
          <w:sz w:val="24"/>
          <w:szCs w:val="24"/>
        </w:rPr>
        <w:t>80％</w:t>
      </w:r>
      <w:r>
        <w:rPr>
          <w:rFonts w:ascii="Times New Roman" w:hAnsi="Times New Roman" w:eastAsia="宋体" w:cs="Times New Roman"/>
          <w:sz w:val="24"/>
          <w:szCs w:val="24"/>
        </w:rPr>
        <w:t>的环境条件下运行。</w:t>
      </w:r>
      <w:r>
        <w:rPr>
          <w:rFonts w:ascii="Times New Roman" w:hAnsi="Times New Roman" w:eastAsia="宋体" w:cs="Times New Roman"/>
          <w:b/>
          <w:sz w:val="24"/>
          <w:szCs w:val="24"/>
        </w:rPr>
        <w:t>能够连续正常工作。</w:t>
      </w:r>
    </w:p>
    <w:p w14:paraId="00DC4EF6">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3.3  配置符合中国有关标准要求的插头，如果没有这样的插头，则需提供适当的转换插座。</w:t>
      </w:r>
    </w:p>
    <w:p w14:paraId="1ECDDE27">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3.4  如产品达不到上述要求，投标人应注明其偏差。如仪器设备需要特殊工作条件（如水、电源、磁场强度、温度、湿度、动强度等）投标人应在投标书中加以说明。</w:t>
      </w:r>
    </w:p>
    <w:p w14:paraId="5AD04D24">
      <w:pPr>
        <w:rPr>
          <w:rFonts w:ascii="Times New Roman" w:hAnsi="Times New Roman" w:eastAsia="宋体" w:cs="Times New Roman"/>
          <w:b/>
          <w:bCs/>
          <w:kern w:val="44"/>
          <w:sz w:val="24"/>
          <w:szCs w:val="24"/>
        </w:rPr>
      </w:pPr>
    </w:p>
    <w:p w14:paraId="042C54A8">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4、验收标准</w:t>
      </w:r>
    </w:p>
    <w:p w14:paraId="33B8627C">
      <w:pPr>
        <w:spacing w:after="312" w:afterLines="10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除非在技术规格中另有说明，所有仪器、设备和系统按下列要求进行验收： </w:t>
      </w:r>
    </w:p>
    <w:p w14:paraId="43A70464">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4.1  仪器设备运抵安装现场后，买方将与卖方共同开箱验收, 如卖方届时不派人来, 则验收结果应以买方的验收报告为最终验收结果。验收时发现短缺、破损, 买方有权要求卖方负责更换。</w:t>
      </w:r>
    </w:p>
    <w:p w14:paraId="796045E5">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7D664CA9">
      <w:pPr>
        <w:spacing w:line="360" w:lineRule="auto"/>
        <w:ind w:left="554" w:hanging="554" w:hangingChars="231"/>
        <w:rPr>
          <w:rFonts w:ascii="Times New Roman" w:hAnsi="Times New Roman" w:eastAsia="宋体" w:cs="Times New Roman"/>
          <w:b/>
          <w:sz w:val="24"/>
          <w:szCs w:val="24"/>
        </w:rPr>
      </w:pPr>
      <w:r>
        <w:rPr>
          <w:rFonts w:ascii="Times New Roman" w:hAnsi="Times New Roman" w:eastAsia="宋体" w:cs="Times New Roman"/>
          <w:sz w:val="24"/>
          <w:szCs w:val="24"/>
        </w:rPr>
        <w:t>4.3  验收由采购人、中标人及相关人员依国家有关标准、合同及有关附件要求进行，验收完毕由采购人及中标人在验收报告上签名。</w:t>
      </w:r>
    </w:p>
    <w:p w14:paraId="5897F3F1">
      <w:pPr>
        <w:adjustRightInd w:val="0"/>
        <w:snapToGrid w:val="0"/>
        <w:spacing w:line="360" w:lineRule="auto"/>
        <w:rPr>
          <w:rFonts w:ascii="Times New Roman" w:hAnsi="Times New Roman" w:eastAsia="宋体" w:cs="Times New Roman"/>
          <w:b/>
          <w:sz w:val="24"/>
          <w:szCs w:val="24"/>
        </w:rPr>
      </w:pPr>
      <w:r>
        <w:rPr>
          <w:rFonts w:ascii="Times New Roman" w:hAnsi="Times New Roman" w:eastAsia="宋体" w:cs="Times New Roman"/>
          <w:b/>
          <w:bCs/>
          <w:sz w:val="24"/>
          <w:szCs w:val="24"/>
        </w:rPr>
        <w:t>5、本采购需求书中标注“★”号技术条款的为实质性要求，不满足其投标将视为无效投标被拒绝。</w:t>
      </w:r>
    </w:p>
    <w:p w14:paraId="58764AD4">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6、如在具体技术规格中有本总则不一致之处，以具体技术规格中的要求为准。</w:t>
      </w:r>
    </w:p>
    <w:bookmarkEnd w:id="1"/>
    <w:p w14:paraId="4D217E88">
      <w:pPr>
        <w:widowControl/>
        <w:snapToGrid w:val="0"/>
        <w:spacing w:line="360" w:lineRule="auto"/>
        <w:jc w:val="center"/>
        <w:rPr>
          <w:rFonts w:ascii="Times New Roman" w:hAnsi="Times New Roman" w:eastAsia="宋体" w:cs="Times New Roman"/>
          <w:b/>
          <w:sz w:val="32"/>
          <w:szCs w:val="32"/>
        </w:rPr>
      </w:pPr>
      <w:r>
        <w:rPr>
          <w:rFonts w:ascii="Times New Roman" w:hAnsi="Times New Roman" w:eastAsia="宋体" w:cs="Times New Roman"/>
          <w:b/>
          <w:sz w:val="32"/>
          <w:szCs w:val="32"/>
        </w:rPr>
        <w:br w:type="page"/>
      </w:r>
    </w:p>
    <w:p w14:paraId="1900073E">
      <w:pPr>
        <w:widowControl/>
        <w:snapToGrid w:val="0"/>
        <w:spacing w:line="360" w:lineRule="auto"/>
        <w:outlineLvl w:val="1"/>
        <w:rPr>
          <w:rFonts w:ascii="Times New Roman" w:hAnsi="Times New Roman" w:eastAsia="宋体" w:cs="Times New Roman"/>
          <w:b/>
          <w:sz w:val="32"/>
          <w:szCs w:val="32"/>
        </w:rPr>
      </w:pPr>
      <w:r>
        <w:rPr>
          <w:rFonts w:ascii="Times New Roman" w:hAnsi="Times New Roman" w:eastAsia="宋体" w:cs="Times New Roman"/>
          <w:b/>
          <w:sz w:val="32"/>
          <w:szCs w:val="32"/>
        </w:rPr>
        <w:t>三、具体要求：</w:t>
      </w:r>
    </w:p>
    <w:p w14:paraId="31229537">
      <w:pPr>
        <w:widowControl w:val="0"/>
        <w:spacing w:before="240" w:after="60" w:line="360" w:lineRule="auto"/>
        <w:ind w:right="708" w:rightChars="337"/>
        <w:jc w:val="both"/>
        <w:outlineLvl w:val="2"/>
        <w:rPr>
          <w:rFonts w:ascii="Times New Roman" w:hAnsi="Times New Roman" w:eastAsia="宋体" w:cs="Times New Roman"/>
          <w:b/>
          <w:bCs/>
          <w:color w:val="000000"/>
          <w:kern w:val="2"/>
          <w:sz w:val="28"/>
          <w:szCs w:val="28"/>
          <w:lang w:val="en-US" w:eastAsia="zh-CN" w:bidi="ar-SA"/>
        </w:rPr>
      </w:pPr>
      <w:r>
        <w:rPr>
          <w:rFonts w:ascii="Times New Roman" w:hAnsi="Times New Roman" w:eastAsia="宋体" w:cs="Times New Roman"/>
          <w:b/>
          <w:bCs/>
          <w:color w:val="000000"/>
          <w:kern w:val="2"/>
          <w:sz w:val="28"/>
          <w:szCs w:val="28"/>
          <w:lang w:val="en-US" w:eastAsia="zh-CN" w:bidi="ar-SA"/>
        </w:rPr>
        <w:t>《一》技</w:t>
      </w:r>
      <w:r>
        <w:rPr>
          <w:rFonts w:ascii="Times New Roman" w:hAnsi="Times New Roman" w:eastAsia="宋体" w:cs="Times New Roman"/>
          <w:b/>
          <w:bCs/>
          <w:kern w:val="2"/>
          <w:sz w:val="28"/>
          <w:szCs w:val="28"/>
          <w:lang w:val="en-US" w:eastAsia="zh-CN" w:bidi="ar-SA"/>
        </w:rPr>
        <w:t>术要求</w:t>
      </w:r>
      <w:r>
        <w:rPr>
          <w:rFonts w:ascii="Times New Roman" w:hAnsi="Times New Roman" w:eastAsia="宋体" w:cs="Times New Roman"/>
          <w:b/>
          <w:bCs/>
          <w:kern w:val="2"/>
          <w:sz w:val="24"/>
          <w:szCs w:val="36"/>
          <w:lang w:val="en-US" w:eastAsia="zh-CN" w:bidi="ar-SA"/>
        </w:rPr>
        <w:t>（以下内容需逐条进行响应或应答）</w:t>
      </w:r>
    </w:p>
    <w:p w14:paraId="16C32198">
      <w:pPr>
        <w:widowControl/>
        <w:snapToGrid w:val="0"/>
        <w:spacing w:line="360" w:lineRule="auto"/>
        <w:rPr>
          <w:rFonts w:ascii="Times New Roman" w:hAnsi="Times New Roman" w:eastAsia="宋体" w:cs="Times New Roman"/>
          <w:b/>
          <w:color w:val="000000"/>
          <w:sz w:val="24"/>
          <w:szCs w:val="24"/>
        </w:rPr>
      </w:pPr>
      <w:r>
        <w:rPr>
          <w:rFonts w:ascii="Times New Roman" w:hAnsi="Times New Roman" w:eastAsia="宋体" w:cs="Times New Roman"/>
          <w:color w:val="000000"/>
          <w:kern w:val="0"/>
          <w:sz w:val="24"/>
          <w:szCs w:val="24"/>
          <w:lang w:val="zh-CN"/>
        </w:rPr>
        <w:t>★</w:t>
      </w:r>
      <w:r>
        <w:rPr>
          <w:rFonts w:ascii="Times New Roman" w:hAnsi="Times New Roman" w:eastAsia="宋体" w:cs="Times New Roman"/>
          <w:b/>
          <w:color w:val="000000"/>
          <w:sz w:val="24"/>
          <w:szCs w:val="24"/>
        </w:rPr>
        <w:t>1、配置清单及零配件（包括专用工具）：</w:t>
      </w:r>
    </w:p>
    <w:tbl>
      <w:tblPr>
        <w:tblStyle w:val="2"/>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023"/>
        <w:gridCol w:w="992"/>
        <w:gridCol w:w="1953"/>
      </w:tblGrid>
      <w:tr w14:paraId="550A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56EC8A0D">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序号</w:t>
            </w:r>
          </w:p>
        </w:tc>
        <w:tc>
          <w:tcPr>
            <w:tcW w:w="4281" w:type="dxa"/>
          </w:tcPr>
          <w:p w14:paraId="4B78F9A7">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名称</w:t>
            </w:r>
          </w:p>
        </w:tc>
        <w:tc>
          <w:tcPr>
            <w:tcW w:w="1023" w:type="dxa"/>
          </w:tcPr>
          <w:p w14:paraId="7B0E48D7">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单位</w:t>
            </w:r>
          </w:p>
        </w:tc>
        <w:tc>
          <w:tcPr>
            <w:tcW w:w="992" w:type="dxa"/>
          </w:tcPr>
          <w:p w14:paraId="6E0D63C1">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数量</w:t>
            </w:r>
          </w:p>
        </w:tc>
        <w:tc>
          <w:tcPr>
            <w:tcW w:w="1953" w:type="dxa"/>
          </w:tcPr>
          <w:p w14:paraId="12B8C280">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备注</w:t>
            </w:r>
          </w:p>
        </w:tc>
      </w:tr>
      <w:tr w14:paraId="2103B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0ACA883C">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1</w:t>
            </w:r>
          </w:p>
        </w:tc>
        <w:tc>
          <w:tcPr>
            <w:tcW w:w="4281" w:type="dxa"/>
          </w:tcPr>
          <w:p w14:paraId="16D92544">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全光谱流式细胞分析仪主机</w:t>
            </w:r>
          </w:p>
        </w:tc>
        <w:tc>
          <w:tcPr>
            <w:tcW w:w="1023" w:type="dxa"/>
          </w:tcPr>
          <w:p w14:paraId="23774F69">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台</w:t>
            </w:r>
          </w:p>
        </w:tc>
        <w:tc>
          <w:tcPr>
            <w:tcW w:w="992" w:type="dxa"/>
          </w:tcPr>
          <w:p w14:paraId="332E4158">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1</w:t>
            </w:r>
          </w:p>
        </w:tc>
        <w:tc>
          <w:tcPr>
            <w:tcW w:w="1953" w:type="dxa"/>
          </w:tcPr>
          <w:p w14:paraId="108D8A6A">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主机，含样本针，质保六年</w:t>
            </w:r>
          </w:p>
        </w:tc>
      </w:tr>
      <w:tr w14:paraId="5A56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266593D7">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2</w:t>
            </w:r>
          </w:p>
        </w:tc>
        <w:tc>
          <w:tcPr>
            <w:tcW w:w="4281" w:type="dxa"/>
          </w:tcPr>
          <w:p w14:paraId="21E578CC">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服务器工作站及操作软件系统</w:t>
            </w:r>
          </w:p>
        </w:tc>
        <w:tc>
          <w:tcPr>
            <w:tcW w:w="1023" w:type="dxa"/>
          </w:tcPr>
          <w:p w14:paraId="7B57EDD7">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套</w:t>
            </w:r>
          </w:p>
        </w:tc>
        <w:tc>
          <w:tcPr>
            <w:tcW w:w="992" w:type="dxa"/>
          </w:tcPr>
          <w:p w14:paraId="774C5919">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1</w:t>
            </w:r>
          </w:p>
        </w:tc>
        <w:tc>
          <w:tcPr>
            <w:tcW w:w="1953" w:type="dxa"/>
          </w:tcPr>
          <w:p w14:paraId="470307FF">
            <w:pPr>
              <w:widowControl/>
              <w:snapToGrid w:val="0"/>
              <w:spacing w:before="156" w:beforeLines="50" w:line="360" w:lineRule="auto"/>
              <w:jc w:val="center"/>
              <w:rPr>
                <w:rFonts w:hint="eastAsia" w:ascii="宋体" w:hAnsi="宋体" w:eastAsia="宋体" w:cs="Times New Roman"/>
                <w:color w:val="000000"/>
                <w:sz w:val="24"/>
                <w:szCs w:val="22"/>
              </w:rPr>
            </w:pPr>
          </w:p>
        </w:tc>
      </w:tr>
      <w:tr w14:paraId="5AFD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479768FE">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3</w:t>
            </w:r>
          </w:p>
        </w:tc>
        <w:tc>
          <w:tcPr>
            <w:tcW w:w="4281" w:type="dxa"/>
          </w:tcPr>
          <w:p w14:paraId="16A3B1AA">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高通量自动上样器</w:t>
            </w:r>
          </w:p>
        </w:tc>
        <w:tc>
          <w:tcPr>
            <w:tcW w:w="1023" w:type="dxa"/>
          </w:tcPr>
          <w:p w14:paraId="20E394FC">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个</w:t>
            </w:r>
          </w:p>
        </w:tc>
        <w:tc>
          <w:tcPr>
            <w:tcW w:w="992" w:type="dxa"/>
          </w:tcPr>
          <w:p w14:paraId="55D7534C">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1</w:t>
            </w:r>
          </w:p>
        </w:tc>
        <w:tc>
          <w:tcPr>
            <w:tcW w:w="1953" w:type="dxa"/>
          </w:tcPr>
          <w:p w14:paraId="40A37CF3">
            <w:pPr>
              <w:widowControl/>
              <w:snapToGrid w:val="0"/>
              <w:spacing w:before="156" w:beforeLines="50" w:line="360" w:lineRule="auto"/>
              <w:jc w:val="center"/>
              <w:rPr>
                <w:rFonts w:hint="eastAsia" w:ascii="宋体" w:hAnsi="宋体" w:eastAsia="宋体" w:cs="Times New Roman"/>
                <w:color w:val="000000"/>
                <w:sz w:val="24"/>
                <w:szCs w:val="22"/>
              </w:rPr>
            </w:pPr>
          </w:p>
        </w:tc>
      </w:tr>
      <w:tr w14:paraId="18DCC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4405946A">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4</w:t>
            </w:r>
          </w:p>
        </w:tc>
        <w:tc>
          <w:tcPr>
            <w:tcW w:w="4281" w:type="dxa"/>
          </w:tcPr>
          <w:p w14:paraId="251B7C27">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质控校准微球</w:t>
            </w:r>
          </w:p>
        </w:tc>
        <w:tc>
          <w:tcPr>
            <w:tcW w:w="1023" w:type="dxa"/>
          </w:tcPr>
          <w:p w14:paraId="2A76AF3F">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支</w:t>
            </w:r>
          </w:p>
        </w:tc>
        <w:tc>
          <w:tcPr>
            <w:tcW w:w="992" w:type="dxa"/>
          </w:tcPr>
          <w:p w14:paraId="262DDDE1">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5</w:t>
            </w:r>
          </w:p>
        </w:tc>
        <w:tc>
          <w:tcPr>
            <w:tcW w:w="1953" w:type="dxa"/>
          </w:tcPr>
          <w:p w14:paraId="48A5B9FC">
            <w:pPr>
              <w:widowControl/>
              <w:snapToGrid w:val="0"/>
              <w:spacing w:before="156" w:beforeLines="50" w:line="360" w:lineRule="auto"/>
              <w:jc w:val="center"/>
              <w:rPr>
                <w:rFonts w:hint="eastAsia" w:ascii="宋体" w:hAnsi="宋体" w:eastAsia="宋体" w:cs="Times New Roman"/>
                <w:color w:val="000000"/>
                <w:sz w:val="24"/>
                <w:szCs w:val="22"/>
              </w:rPr>
            </w:pPr>
          </w:p>
        </w:tc>
      </w:tr>
      <w:tr w14:paraId="705B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693280A3">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5</w:t>
            </w:r>
          </w:p>
        </w:tc>
        <w:tc>
          <w:tcPr>
            <w:tcW w:w="4281" w:type="dxa"/>
          </w:tcPr>
          <w:p w14:paraId="517DD849">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八峰微球</w:t>
            </w:r>
          </w:p>
        </w:tc>
        <w:tc>
          <w:tcPr>
            <w:tcW w:w="1023" w:type="dxa"/>
          </w:tcPr>
          <w:p w14:paraId="63DF5803">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支</w:t>
            </w:r>
          </w:p>
        </w:tc>
        <w:tc>
          <w:tcPr>
            <w:tcW w:w="992" w:type="dxa"/>
          </w:tcPr>
          <w:p w14:paraId="0A404FB9">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5</w:t>
            </w:r>
          </w:p>
        </w:tc>
        <w:tc>
          <w:tcPr>
            <w:tcW w:w="1953" w:type="dxa"/>
          </w:tcPr>
          <w:p w14:paraId="603F1D82">
            <w:pPr>
              <w:widowControl/>
              <w:snapToGrid w:val="0"/>
              <w:spacing w:before="156" w:beforeLines="50" w:line="360" w:lineRule="auto"/>
              <w:jc w:val="center"/>
              <w:rPr>
                <w:rFonts w:hint="eastAsia" w:ascii="宋体" w:hAnsi="宋体" w:eastAsia="宋体" w:cs="Times New Roman"/>
                <w:color w:val="000000"/>
                <w:sz w:val="24"/>
                <w:szCs w:val="22"/>
              </w:rPr>
            </w:pPr>
          </w:p>
        </w:tc>
      </w:tr>
      <w:tr w14:paraId="742B0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125FA173">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6</w:t>
            </w:r>
          </w:p>
        </w:tc>
        <w:tc>
          <w:tcPr>
            <w:tcW w:w="4281" w:type="dxa"/>
          </w:tcPr>
          <w:p w14:paraId="79C17C22">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专用工作桌和椅子</w:t>
            </w:r>
          </w:p>
        </w:tc>
        <w:tc>
          <w:tcPr>
            <w:tcW w:w="1023" w:type="dxa"/>
          </w:tcPr>
          <w:p w14:paraId="0EC42FDF">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套</w:t>
            </w:r>
          </w:p>
        </w:tc>
        <w:tc>
          <w:tcPr>
            <w:tcW w:w="992" w:type="dxa"/>
          </w:tcPr>
          <w:p w14:paraId="176D39E2">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1</w:t>
            </w:r>
          </w:p>
        </w:tc>
        <w:tc>
          <w:tcPr>
            <w:tcW w:w="1953" w:type="dxa"/>
          </w:tcPr>
          <w:p w14:paraId="54524B99">
            <w:pPr>
              <w:widowControl/>
              <w:snapToGrid w:val="0"/>
              <w:spacing w:before="156" w:beforeLines="50" w:line="360" w:lineRule="auto"/>
              <w:jc w:val="center"/>
              <w:rPr>
                <w:rFonts w:hint="eastAsia" w:ascii="宋体" w:hAnsi="宋体" w:eastAsia="宋体" w:cs="Times New Roman"/>
                <w:color w:val="000000"/>
                <w:sz w:val="24"/>
                <w:szCs w:val="22"/>
              </w:rPr>
            </w:pPr>
          </w:p>
        </w:tc>
      </w:tr>
      <w:tr w14:paraId="4B91E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59" w:type="dxa"/>
          </w:tcPr>
          <w:p w14:paraId="3162F1C1">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7</w:t>
            </w:r>
          </w:p>
        </w:tc>
        <w:tc>
          <w:tcPr>
            <w:tcW w:w="4281" w:type="dxa"/>
          </w:tcPr>
          <w:p w14:paraId="3BE13A14">
            <w:pPr>
              <w:widowControl/>
              <w:snapToGrid w:val="0"/>
              <w:spacing w:before="156" w:beforeLines="50" w:line="360" w:lineRule="auto"/>
              <w:jc w:val="left"/>
              <w:rPr>
                <w:rFonts w:hint="eastAsia" w:ascii="宋体" w:hAnsi="宋体" w:eastAsia="宋体" w:cs="Times New Roman"/>
                <w:color w:val="000000"/>
                <w:sz w:val="24"/>
                <w:szCs w:val="22"/>
              </w:rPr>
            </w:pPr>
            <w:r>
              <w:rPr>
                <w:rFonts w:hint="eastAsia" w:ascii="宋体" w:hAnsi="宋体" w:eastAsia="宋体" w:cs="Times New Roman"/>
                <w:color w:val="000000"/>
                <w:sz w:val="24"/>
                <w:szCs w:val="20"/>
              </w:rPr>
              <w:t>流式管（100支/箱）</w:t>
            </w:r>
          </w:p>
        </w:tc>
        <w:tc>
          <w:tcPr>
            <w:tcW w:w="1023" w:type="dxa"/>
          </w:tcPr>
          <w:p w14:paraId="4A7DD740">
            <w:pPr>
              <w:widowControl/>
              <w:snapToGrid w:val="0"/>
              <w:spacing w:before="156" w:beforeLines="50" w:line="360" w:lineRule="auto"/>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  箱</w:t>
            </w:r>
          </w:p>
        </w:tc>
        <w:tc>
          <w:tcPr>
            <w:tcW w:w="992" w:type="dxa"/>
          </w:tcPr>
          <w:p w14:paraId="58B77EC0">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2</w:t>
            </w:r>
          </w:p>
        </w:tc>
        <w:tc>
          <w:tcPr>
            <w:tcW w:w="1953" w:type="dxa"/>
          </w:tcPr>
          <w:p w14:paraId="1286770D">
            <w:pPr>
              <w:widowControl w:val="0"/>
              <w:tabs>
                <w:tab w:val="right" w:leader="dot" w:pos="9180"/>
              </w:tabs>
              <w:spacing w:line="360" w:lineRule="auto"/>
              <w:ind w:left="0"/>
              <w:jc w:val="left"/>
              <w:rPr>
                <w:rFonts w:ascii="Calibri" w:hAnsi="Calibri" w:eastAsia="宋体" w:cs="Times New Roman"/>
                <w:smallCaps/>
                <w:kern w:val="2"/>
                <w:sz w:val="21"/>
                <w:szCs w:val="24"/>
                <w:lang w:val="en-US" w:eastAsia="zh-CN" w:bidi="ar-SA"/>
              </w:rPr>
            </w:pPr>
          </w:p>
        </w:tc>
      </w:tr>
      <w:tr w14:paraId="2786C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371A2BF5">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8</w:t>
            </w:r>
          </w:p>
        </w:tc>
        <w:tc>
          <w:tcPr>
            <w:tcW w:w="4281" w:type="dxa"/>
          </w:tcPr>
          <w:p w14:paraId="02152ECC">
            <w:pPr>
              <w:widowControl/>
              <w:snapToGrid w:val="0"/>
              <w:spacing w:before="156" w:beforeLines="50" w:line="360" w:lineRule="auto"/>
              <w:jc w:val="left"/>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清洗液</w:t>
            </w:r>
          </w:p>
        </w:tc>
        <w:tc>
          <w:tcPr>
            <w:tcW w:w="1023" w:type="dxa"/>
          </w:tcPr>
          <w:p w14:paraId="01B104F5">
            <w:pPr>
              <w:widowControl/>
              <w:snapToGrid w:val="0"/>
              <w:spacing w:before="156" w:beforeLines="50" w:line="360" w:lineRule="auto"/>
              <w:ind w:firstLine="240" w:firstLineChars="100"/>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瓶</w:t>
            </w:r>
          </w:p>
        </w:tc>
        <w:tc>
          <w:tcPr>
            <w:tcW w:w="992" w:type="dxa"/>
          </w:tcPr>
          <w:p w14:paraId="7F17CAFF">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bCs/>
                <w:color w:val="000000"/>
                <w:sz w:val="24"/>
                <w:szCs w:val="22"/>
              </w:rPr>
              <w:t>10</w:t>
            </w:r>
          </w:p>
        </w:tc>
        <w:tc>
          <w:tcPr>
            <w:tcW w:w="1953" w:type="dxa"/>
          </w:tcPr>
          <w:p w14:paraId="4ED39EFA">
            <w:pPr>
              <w:widowControl/>
              <w:snapToGrid w:val="0"/>
              <w:spacing w:before="156" w:beforeLines="50" w:line="360" w:lineRule="auto"/>
              <w:jc w:val="center"/>
              <w:rPr>
                <w:rFonts w:ascii="Calibri" w:hAnsi="Calibri" w:eastAsia="宋体" w:cs="Times New Roman"/>
                <w:szCs w:val="22"/>
              </w:rPr>
            </w:pPr>
          </w:p>
        </w:tc>
      </w:tr>
      <w:tr w14:paraId="4D97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tcPr>
          <w:p w14:paraId="78E322FE">
            <w:pPr>
              <w:widowControl/>
              <w:snapToGrid w:val="0"/>
              <w:spacing w:before="156" w:beforeLines="50" w:line="360" w:lineRule="auto"/>
              <w:jc w:val="center"/>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9</w:t>
            </w:r>
          </w:p>
        </w:tc>
        <w:tc>
          <w:tcPr>
            <w:tcW w:w="4281" w:type="dxa"/>
          </w:tcPr>
          <w:p w14:paraId="3CC25173">
            <w:pPr>
              <w:widowControl/>
              <w:snapToGrid w:val="0"/>
              <w:spacing w:before="156" w:beforeLines="50" w:line="360" w:lineRule="auto"/>
              <w:jc w:val="left"/>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UPS电源</w:t>
            </w:r>
          </w:p>
        </w:tc>
        <w:tc>
          <w:tcPr>
            <w:tcW w:w="1023" w:type="dxa"/>
          </w:tcPr>
          <w:p w14:paraId="05BB8744">
            <w:pPr>
              <w:widowControl/>
              <w:snapToGrid w:val="0"/>
              <w:spacing w:before="156" w:beforeLines="50" w:line="360" w:lineRule="auto"/>
              <w:ind w:firstLine="240" w:firstLineChars="100"/>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个</w:t>
            </w:r>
          </w:p>
        </w:tc>
        <w:tc>
          <w:tcPr>
            <w:tcW w:w="992" w:type="dxa"/>
          </w:tcPr>
          <w:p w14:paraId="0640F10E">
            <w:pPr>
              <w:widowControl/>
              <w:snapToGrid w:val="0"/>
              <w:spacing w:before="156" w:beforeLines="50" w:line="360" w:lineRule="auto"/>
              <w:jc w:val="center"/>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t>1</w:t>
            </w:r>
          </w:p>
        </w:tc>
        <w:tc>
          <w:tcPr>
            <w:tcW w:w="1953" w:type="dxa"/>
          </w:tcPr>
          <w:p w14:paraId="046C6627">
            <w:pPr>
              <w:widowControl/>
              <w:snapToGrid w:val="0"/>
              <w:spacing w:before="156" w:beforeLines="50" w:line="360" w:lineRule="auto"/>
              <w:jc w:val="center"/>
              <w:rPr>
                <w:rFonts w:ascii="Calibri" w:hAnsi="Calibri" w:eastAsia="宋体" w:cs="Times New Roman"/>
                <w:szCs w:val="22"/>
              </w:rPr>
            </w:pPr>
          </w:p>
        </w:tc>
      </w:tr>
    </w:tbl>
    <w:p w14:paraId="4DABAC91">
      <w:pPr>
        <w:widowControl/>
        <w:snapToGrid w:val="0"/>
        <w:spacing w:before="156" w:beforeLines="50" w:after="156" w:afterLines="50"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2、技术性能指标</w:t>
      </w:r>
    </w:p>
    <w:tbl>
      <w:tblPr>
        <w:tblStyle w:val="2"/>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6193"/>
      </w:tblGrid>
      <w:tr w14:paraId="309AE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vAlign w:val="center"/>
          </w:tcPr>
          <w:p w14:paraId="4E081D7A">
            <w:pPr>
              <w:widowControl/>
              <w:spacing w:line="360" w:lineRule="auto"/>
              <w:jc w:val="center"/>
              <w:rPr>
                <w:rFonts w:ascii="Calibri" w:hAnsi="Calibri" w:eastAsia="宋体" w:cs="Times New Roman"/>
                <w:b/>
                <w:color w:val="000000"/>
                <w:sz w:val="24"/>
                <w:szCs w:val="24"/>
              </w:rPr>
            </w:pPr>
            <w:r>
              <w:rPr>
                <w:rFonts w:ascii="Calibri" w:hAnsi="宋体" w:eastAsia="宋体" w:cs="Times New Roman"/>
                <w:b/>
                <w:color w:val="000000"/>
                <w:sz w:val="24"/>
                <w:szCs w:val="24"/>
              </w:rPr>
              <w:t>编号</w:t>
            </w:r>
          </w:p>
        </w:tc>
        <w:tc>
          <w:tcPr>
            <w:tcW w:w="2038" w:type="dxa"/>
            <w:vAlign w:val="center"/>
          </w:tcPr>
          <w:p w14:paraId="285FB341">
            <w:pPr>
              <w:widowControl/>
              <w:spacing w:line="360" w:lineRule="auto"/>
              <w:jc w:val="center"/>
              <w:rPr>
                <w:rFonts w:ascii="Calibri" w:hAnsi="Calibri" w:eastAsia="宋体" w:cs="Times New Roman"/>
                <w:b/>
                <w:color w:val="000000"/>
                <w:sz w:val="24"/>
                <w:szCs w:val="24"/>
              </w:rPr>
            </w:pPr>
            <w:r>
              <w:rPr>
                <w:rFonts w:ascii="Calibri" w:hAnsi="宋体" w:eastAsia="宋体" w:cs="Times New Roman"/>
                <w:b/>
                <w:color w:val="000000"/>
                <w:sz w:val="24"/>
                <w:szCs w:val="24"/>
              </w:rPr>
              <w:t>招标技术指标名称</w:t>
            </w:r>
          </w:p>
        </w:tc>
        <w:tc>
          <w:tcPr>
            <w:tcW w:w="6193" w:type="dxa"/>
            <w:vAlign w:val="center"/>
          </w:tcPr>
          <w:p w14:paraId="7A6C8799">
            <w:pPr>
              <w:widowControl/>
              <w:spacing w:line="360" w:lineRule="auto"/>
              <w:jc w:val="center"/>
              <w:rPr>
                <w:rFonts w:ascii="Calibri" w:hAnsi="Calibri" w:eastAsia="宋体" w:cs="Times New Roman"/>
                <w:b/>
                <w:color w:val="000000"/>
                <w:sz w:val="24"/>
                <w:szCs w:val="24"/>
              </w:rPr>
            </w:pPr>
            <w:r>
              <w:rPr>
                <w:rFonts w:ascii="Calibri" w:hAnsi="宋体" w:eastAsia="宋体" w:cs="Times New Roman"/>
                <w:b/>
                <w:color w:val="000000"/>
                <w:sz w:val="24"/>
                <w:szCs w:val="24"/>
              </w:rPr>
              <w:t>招标技术指标值</w:t>
            </w:r>
          </w:p>
        </w:tc>
      </w:tr>
      <w:tr w14:paraId="6096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vAlign w:val="center"/>
          </w:tcPr>
          <w:p w14:paraId="40C07160">
            <w:pPr>
              <w:widowControl/>
              <w:spacing w:line="360" w:lineRule="auto"/>
              <w:jc w:val="center"/>
              <w:rPr>
                <w:rFonts w:ascii="Calibri" w:hAnsi="Calibri" w:eastAsia="宋体" w:cs="Times New Roman"/>
                <w:color w:val="000000"/>
                <w:sz w:val="24"/>
                <w:szCs w:val="24"/>
              </w:rPr>
            </w:pPr>
            <w:r>
              <w:rPr>
                <w:rFonts w:ascii="Calibri" w:hAnsi="Calibri" w:eastAsia="宋体" w:cs="Times New Roman"/>
                <w:color w:val="000000"/>
                <w:sz w:val="24"/>
                <w:szCs w:val="24"/>
              </w:rPr>
              <w:t>1</w:t>
            </w:r>
          </w:p>
        </w:tc>
        <w:tc>
          <w:tcPr>
            <w:tcW w:w="2038" w:type="dxa"/>
            <w:vAlign w:val="center"/>
          </w:tcPr>
          <w:p w14:paraId="31CA45E5">
            <w:pPr>
              <w:widowControl/>
              <w:spacing w:line="360" w:lineRule="auto"/>
              <w:ind w:firstLine="120" w:firstLineChars="50"/>
              <w:rPr>
                <w:rFonts w:ascii="Calibri" w:hAnsi="Calibri" w:eastAsia="宋体" w:cs="Times New Roman"/>
                <w:color w:val="000000"/>
                <w:sz w:val="24"/>
                <w:szCs w:val="24"/>
              </w:rPr>
            </w:pPr>
            <w:r>
              <w:rPr>
                <w:rFonts w:ascii="Calibri" w:hAnsi="宋体" w:eastAsia="宋体" w:cs="Times New Roman"/>
                <w:color w:val="000000"/>
                <w:sz w:val="24"/>
                <w:szCs w:val="24"/>
              </w:rPr>
              <w:t>应用范围和要求</w:t>
            </w:r>
          </w:p>
        </w:tc>
        <w:tc>
          <w:tcPr>
            <w:tcW w:w="6193" w:type="dxa"/>
            <w:vAlign w:val="center"/>
          </w:tcPr>
          <w:p w14:paraId="37E829C0">
            <w:pPr>
              <w:spacing w:line="360" w:lineRule="auto"/>
              <w:rPr>
                <w:rFonts w:hint="eastAsia" w:ascii="宋体" w:hAnsi="宋体" w:eastAsia="宋体" w:cs="Times New Roman"/>
                <w:color w:val="000000"/>
                <w:sz w:val="24"/>
                <w:szCs w:val="22"/>
              </w:rPr>
            </w:pPr>
            <w:r>
              <w:rPr>
                <w:rFonts w:hint="eastAsia" w:ascii="宋体" w:hAnsi="宋体" w:eastAsia="宋体" w:cs="Times New Roman"/>
                <w:bCs/>
                <w:color w:val="000000"/>
                <w:sz w:val="24"/>
                <w:szCs w:val="24"/>
              </w:rPr>
              <w:t>用于细胞学和微颗粒分析使用，可测量细胞大小，内部颗粒的形状，可检测细胞表面和细胞内抗原，细胞内DNA含量和荧光蛋白表达等。可对群体细胞在单细胞水平上进行分析，在短时间内检测分析大量细胞，并收集、储存和处理数据，进行多参数定量分析。</w:t>
            </w:r>
          </w:p>
        </w:tc>
      </w:tr>
      <w:tr w14:paraId="7F69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vAlign w:val="center"/>
          </w:tcPr>
          <w:p w14:paraId="0658A9D6">
            <w:pPr>
              <w:widowControl/>
              <w:spacing w:line="360" w:lineRule="auto"/>
              <w:jc w:val="center"/>
              <w:rPr>
                <w:rFonts w:ascii="Calibri" w:hAnsi="Calibri" w:eastAsia="宋体" w:cs="Times New Roman"/>
                <w:color w:val="000000"/>
                <w:sz w:val="24"/>
                <w:szCs w:val="24"/>
              </w:rPr>
            </w:pPr>
            <w:r>
              <w:rPr>
                <w:rFonts w:ascii="Calibri" w:hAnsi="Calibri" w:eastAsia="宋体" w:cs="Times New Roman"/>
                <w:color w:val="000000"/>
                <w:sz w:val="24"/>
                <w:szCs w:val="24"/>
              </w:rPr>
              <w:t>2</w:t>
            </w:r>
          </w:p>
        </w:tc>
        <w:tc>
          <w:tcPr>
            <w:tcW w:w="2038" w:type="dxa"/>
            <w:vMerge w:val="restart"/>
            <w:vAlign w:val="center"/>
          </w:tcPr>
          <w:p w14:paraId="12783649">
            <w:pPr>
              <w:widowControl/>
              <w:spacing w:line="360" w:lineRule="auto"/>
              <w:ind w:firstLine="120" w:firstLineChars="50"/>
              <w:rPr>
                <w:rFonts w:ascii="Calibri" w:hAnsi="Calibri" w:eastAsia="宋体" w:cs="Times New Roman"/>
                <w:color w:val="000000"/>
                <w:sz w:val="24"/>
                <w:szCs w:val="24"/>
              </w:rPr>
            </w:pPr>
            <w:r>
              <w:rPr>
                <w:rFonts w:ascii="Calibri" w:hAnsi="宋体" w:eastAsia="宋体" w:cs="Times New Roman"/>
                <w:color w:val="000000"/>
                <w:sz w:val="24"/>
                <w:szCs w:val="24"/>
              </w:rPr>
              <w:t>性能指标</w:t>
            </w:r>
          </w:p>
        </w:tc>
        <w:tc>
          <w:tcPr>
            <w:tcW w:w="6193" w:type="dxa"/>
            <w:vAlign w:val="center"/>
          </w:tcPr>
          <w:p w14:paraId="28C74332">
            <w:pPr>
              <w:spacing w:line="360" w:lineRule="auto"/>
              <w:rPr>
                <w:rFonts w:hint="eastAsia" w:ascii="宋体" w:hAnsi="宋体" w:eastAsia="宋体" w:cs="Times New Roman"/>
                <w:bCs/>
                <w:color w:val="000000"/>
                <w:sz w:val="24"/>
                <w:szCs w:val="24"/>
              </w:rPr>
            </w:pPr>
            <w:r>
              <w:rPr>
                <w:rFonts w:hint="eastAsia" w:ascii="Calibri" w:hAnsi="Calibri" w:eastAsia="宋体" w:cs="宋体"/>
                <w:color w:val="000000"/>
                <w:kern w:val="0"/>
                <w:sz w:val="24"/>
                <w:szCs w:val="22"/>
              </w:rPr>
              <w:t>★</w:t>
            </w:r>
            <w:r>
              <w:rPr>
                <w:rFonts w:ascii="宋体" w:hAnsi="宋体" w:eastAsia="宋体" w:cs="Times New Roman"/>
                <w:bCs/>
                <w:color w:val="000000"/>
                <w:sz w:val="24"/>
                <w:szCs w:val="24"/>
              </w:rPr>
              <w:t>1.</w:t>
            </w:r>
            <w:r>
              <w:rPr>
                <w:rFonts w:hint="eastAsia" w:ascii="宋体" w:hAnsi="宋体" w:eastAsia="宋体" w:cs="Times New Roman"/>
                <w:bCs/>
                <w:color w:val="000000"/>
                <w:sz w:val="24"/>
                <w:szCs w:val="24"/>
              </w:rPr>
              <w:t>激发光：≥5个激光器， 波长包括：349或355nm，405 nm, 488 nm, 561nm和637或638或640nm，所有激光均为空间立体激发，后续可升级至不少于6激光空间立体激发</w:t>
            </w:r>
          </w:p>
        </w:tc>
      </w:tr>
      <w:tr w14:paraId="0147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12A83F58">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5B92C0E6">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27FF1EA8">
            <w:pPr>
              <w:spacing w:line="360" w:lineRule="auto"/>
              <w:rPr>
                <w:rFonts w:ascii="Calibri" w:hAnsi="Calibri" w:eastAsia="宋体" w:cs="宋体"/>
                <w:color w:val="000000"/>
                <w:kern w:val="0"/>
                <w:sz w:val="24"/>
                <w:szCs w:val="22"/>
              </w:rPr>
            </w:pPr>
            <w:bookmarkStart w:id="2" w:name="OLE_LINK3"/>
            <w:r>
              <w:rPr>
                <w:rFonts w:hint="eastAsia" w:ascii="宋体" w:hAnsi="宋体" w:eastAsia="宋体" w:cs="宋体"/>
                <w:b/>
                <w:bCs/>
                <w:color w:val="000000"/>
                <w:kern w:val="0"/>
                <w:sz w:val="24"/>
                <w:szCs w:val="24"/>
              </w:rPr>
              <w:t>▲</w:t>
            </w:r>
            <w:bookmarkEnd w:id="2"/>
            <w:r>
              <w:rPr>
                <w:rFonts w:hint="eastAsia" w:ascii="宋体" w:hAnsi="宋体" w:eastAsia="宋体" w:cs="宋体"/>
                <w:color w:val="000000"/>
                <w:kern w:val="0"/>
                <w:sz w:val="24"/>
                <w:szCs w:val="22"/>
              </w:rPr>
              <w:t>2. 激光器功率：</w:t>
            </w:r>
            <w:r>
              <w:rPr>
                <w:rFonts w:hint="eastAsia" w:ascii="宋体" w:hAnsi="宋体" w:eastAsia="宋体" w:cs="宋体"/>
                <w:bCs/>
                <w:color w:val="000000"/>
                <w:sz w:val="24"/>
                <w:szCs w:val="24"/>
              </w:rPr>
              <w:t>349或355nm ≥50mW, 405nm ≥100mW, 488 nm ≥100mW, 561nm≥100mW，637或638或640nm≥100mW</w:t>
            </w:r>
            <w:r>
              <w:rPr>
                <w:rFonts w:hint="eastAsia" w:ascii="宋体" w:hAnsi="宋体" w:eastAsia="宋体" w:cs="宋体"/>
                <w:b/>
                <w:bCs/>
                <w:kern w:val="0"/>
                <w:sz w:val="24"/>
                <w:szCs w:val="24"/>
                <w:lang w:bidi="ar"/>
              </w:rPr>
              <w:t>【需提供制造商公开发布的官方技术资料（如产品彩页、白皮书、官方网站技术规格页面打印件）或第三方检测机构出具的检测报告】</w:t>
            </w:r>
          </w:p>
        </w:tc>
      </w:tr>
      <w:tr w14:paraId="3D57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3EFAFCD3">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3DC1EE77">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53E618EE">
            <w:pPr>
              <w:spacing w:line="360" w:lineRule="auto"/>
              <w:rPr>
                <w:rFonts w:hint="eastAsia" w:ascii="宋体" w:hAnsi="宋体" w:eastAsia="宋体" w:cs="Times New Roman"/>
                <w:bCs/>
                <w:color w:val="000000"/>
                <w:sz w:val="24"/>
                <w:szCs w:val="24"/>
              </w:rPr>
            </w:pPr>
            <w:r>
              <w:rPr>
                <w:rFonts w:ascii="Calibri" w:hAnsi="Calibri" w:eastAsia="宋体" w:cs="Times New Roman"/>
                <w:b/>
                <w:bCs/>
                <w:color w:val="000000"/>
                <w:kern w:val="0"/>
                <w:sz w:val="24"/>
                <w:szCs w:val="24"/>
                <w:lang w:val="zh-CN"/>
              </w:rPr>
              <w:t>▲</w:t>
            </w:r>
            <w:r>
              <w:rPr>
                <w:rFonts w:hint="eastAsia" w:ascii="宋体" w:hAnsi="宋体" w:eastAsia="宋体" w:cs="Times New Roman"/>
                <w:bCs/>
                <w:color w:val="000000"/>
                <w:sz w:val="24"/>
                <w:szCs w:val="24"/>
              </w:rPr>
              <w:t>3</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荧光通道：至少配备</w:t>
            </w:r>
            <w:r>
              <w:rPr>
                <w:rFonts w:ascii="宋体" w:hAnsi="宋体" w:eastAsia="宋体" w:cs="Times New Roman"/>
                <w:bCs/>
                <w:color w:val="000000"/>
                <w:sz w:val="24"/>
                <w:szCs w:val="24"/>
              </w:rPr>
              <w:t>147</w:t>
            </w:r>
            <w:r>
              <w:rPr>
                <w:rFonts w:hint="eastAsia" w:ascii="宋体" w:hAnsi="宋体" w:eastAsia="宋体" w:cs="Times New Roman"/>
                <w:bCs/>
                <w:color w:val="000000"/>
                <w:sz w:val="24"/>
                <w:szCs w:val="24"/>
              </w:rPr>
              <w:t xml:space="preserve">个荧光通道，每个通道电压单独可调。 </w:t>
            </w:r>
          </w:p>
        </w:tc>
      </w:tr>
      <w:tr w14:paraId="002B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58C4EFB8">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162D441B">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619A869D">
            <w:pPr>
              <w:widowControl/>
              <w:tabs>
                <w:tab w:val="left" w:pos="1220"/>
              </w:tabs>
              <w:spacing w:line="360" w:lineRule="auto"/>
              <w:jc w:val="left"/>
              <w:rPr>
                <w:rFonts w:hint="eastAsia" w:ascii="宋体" w:hAnsi="宋体" w:eastAsia="宋体" w:cs="Times New Roman"/>
                <w:bCs/>
                <w:color w:val="000000"/>
                <w:sz w:val="24"/>
                <w:szCs w:val="24"/>
              </w:rPr>
            </w:pPr>
            <w:r>
              <w:rPr>
                <w:rFonts w:ascii="Calibri" w:hAnsi="Calibri" w:eastAsia="宋体" w:cs="Times New Roman"/>
                <w:b/>
                <w:bCs/>
                <w:color w:val="000000"/>
                <w:kern w:val="0"/>
                <w:sz w:val="24"/>
                <w:szCs w:val="24"/>
                <w:lang w:val="zh-CN"/>
              </w:rPr>
              <w:t>▲</w:t>
            </w:r>
            <w:r>
              <w:rPr>
                <w:rFonts w:hint="eastAsia" w:ascii="宋体" w:hAnsi="宋体" w:eastAsia="宋体" w:cs="Times New Roman"/>
                <w:bCs/>
                <w:color w:val="000000"/>
                <w:sz w:val="24"/>
                <w:szCs w:val="24"/>
              </w:rPr>
              <w:t>4</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检测参数：每个细胞可同时检测至少149个参数，包括147个荧光参数，2个散射光参数</w:t>
            </w:r>
            <w:bookmarkStart w:id="3" w:name="OLE_LINK2"/>
            <w:r>
              <w:rPr>
                <w:rFonts w:ascii="Calibri" w:hAnsi="Calibri" w:eastAsia="宋体" w:cs="Times New Roman"/>
                <w:b/>
                <w:bCs/>
                <w:kern w:val="0"/>
                <w:sz w:val="24"/>
                <w:szCs w:val="24"/>
                <w:lang w:bidi="ar"/>
              </w:rPr>
              <w:t>【需提供制造商公开发布的官方技术资料（如产品彩页、白皮书、官方网站技术规格页面打印件）或</w:t>
            </w:r>
            <w:r>
              <w:rPr>
                <w:rFonts w:hint="eastAsia" w:ascii="Calibri" w:hAnsi="Calibri" w:eastAsia="宋体" w:cs="Times New Roman"/>
                <w:b/>
                <w:bCs/>
                <w:kern w:val="0"/>
                <w:sz w:val="24"/>
                <w:szCs w:val="24"/>
                <w:lang w:bidi="ar"/>
              </w:rPr>
              <w:t>第三方</w:t>
            </w:r>
            <w:r>
              <w:rPr>
                <w:rFonts w:ascii="Calibri" w:hAnsi="Calibri" w:eastAsia="宋体" w:cs="Times New Roman"/>
                <w:b/>
                <w:bCs/>
                <w:kern w:val="0"/>
                <w:sz w:val="24"/>
                <w:szCs w:val="24"/>
                <w:lang w:bidi="ar"/>
              </w:rPr>
              <w:t>检测机构出具的检测报告】</w:t>
            </w:r>
            <w:bookmarkEnd w:id="3"/>
          </w:p>
        </w:tc>
      </w:tr>
      <w:tr w14:paraId="03D6E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12A3ADFC">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2C565858">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0787E7DE">
            <w:pPr>
              <w:widowControl/>
              <w:tabs>
                <w:tab w:val="left" w:pos="1220"/>
              </w:tabs>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5</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虚拟滤光片功能：可为每种荧光素自由分配多个检测通道的组合。</w:t>
            </w:r>
          </w:p>
        </w:tc>
      </w:tr>
      <w:tr w14:paraId="16A3D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vAlign w:val="center"/>
          </w:tcPr>
          <w:p w14:paraId="66A8CABA">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4761CE8">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723FDA3A">
            <w:pPr>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6</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数据分辨率：数字化信号采集频率≥60MHz ，高度分辨率</w:t>
            </w:r>
            <w:bookmarkStart w:id="4" w:name="OLE_LINK4"/>
            <w:r>
              <w:rPr>
                <w:rFonts w:hint="eastAsia" w:ascii="宋体" w:hAnsi="宋体" w:eastAsia="宋体" w:cs="Times New Roman"/>
                <w:bCs/>
                <w:color w:val="000000"/>
                <w:sz w:val="24"/>
                <w:szCs w:val="24"/>
              </w:rPr>
              <w:t>≥</w:t>
            </w:r>
            <w:bookmarkEnd w:id="4"/>
            <w:r>
              <w:rPr>
                <w:rFonts w:hint="eastAsia" w:ascii="宋体" w:hAnsi="宋体" w:eastAsia="宋体" w:cs="Times New Roman"/>
                <w:bCs/>
                <w:color w:val="000000"/>
                <w:sz w:val="24"/>
                <w:szCs w:val="24"/>
              </w:rPr>
              <w:t>20bit，面积分辨率≥32bit，动态范围不低于10</w:t>
            </w:r>
            <w:r>
              <w:rPr>
                <w:rFonts w:hint="eastAsia" w:ascii="宋体" w:hAnsi="宋体" w:eastAsia="宋体" w:cs="Times New Roman"/>
                <w:bCs/>
                <w:color w:val="000000"/>
                <w:sz w:val="32"/>
                <w:szCs w:val="32"/>
                <w:vertAlign w:val="superscript"/>
              </w:rPr>
              <w:t xml:space="preserve">6 </w:t>
            </w:r>
            <w:r>
              <w:rPr>
                <w:rFonts w:hint="eastAsia" w:ascii="宋体" w:hAnsi="宋体" w:eastAsia="宋体" w:cs="Times New Roman"/>
                <w:bCs/>
                <w:color w:val="000000"/>
                <w:sz w:val="24"/>
                <w:szCs w:val="24"/>
              </w:rPr>
              <w:t>。</w:t>
            </w:r>
          </w:p>
        </w:tc>
      </w:tr>
      <w:tr w14:paraId="195B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276CD086">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14887575">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520EB5A3">
            <w:pPr>
              <w:widowControl/>
              <w:tabs>
                <w:tab w:val="left" w:pos="1220"/>
              </w:tabs>
              <w:spacing w:line="360" w:lineRule="auto"/>
              <w:jc w:val="left"/>
              <w:rPr>
                <w:rFonts w:hint="eastAsia" w:ascii="宋体" w:hAnsi="宋体" w:eastAsia="宋体" w:cs="Times New Roman"/>
                <w:bCs/>
                <w:color w:val="000000"/>
                <w:sz w:val="24"/>
                <w:szCs w:val="24"/>
              </w:rPr>
            </w:pPr>
            <w:r>
              <w:rPr>
                <w:rFonts w:hint="eastAsia" w:ascii="Calibri" w:hAnsi="Calibri" w:eastAsia="宋体" w:cs="宋体"/>
                <w:color w:val="000000"/>
                <w:kern w:val="0"/>
                <w:sz w:val="24"/>
                <w:szCs w:val="22"/>
              </w:rPr>
              <w:t>★</w:t>
            </w:r>
            <w:r>
              <w:rPr>
                <w:rFonts w:hint="eastAsia" w:ascii="宋体" w:hAnsi="宋体" w:eastAsia="宋体" w:cs="Times New Roman"/>
                <w:bCs/>
                <w:color w:val="000000"/>
                <w:sz w:val="24"/>
                <w:szCs w:val="24"/>
              </w:rPr>
              <w:t>7</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全光谱信号检测和处理：每个激光器对应独立的分光模块，对荧光素光谱检测范围可覆盖 365nm-840nm范围，软件内置光谱库，通过调用参照光谱数据，可实现多重荧光染料自动拆分，无需调节补偿，且不受检测器电压调节影响。</w:t>
            </w:r>
          </w:p>
        </w:tc>
      </w:tr>
      <w:tr w14:paraId="1E3D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543CB3AA">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37C550A2">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27B32275">
            <w:pPr>
              <w:widowControl/>
              <w:tabs>
                <w:tab w:val="left" w:pos="1220"/>
              </w:tabs>
              <w:spacing w:line="360" w:lineRule="auto"/>
              <w:jc w:val="left"/>
              <w:rPr>
                <w:rFonts w:ascii="Calibri" w:hAnsi="Calibri" w:eastAsia="宋体" w:cs="宋体"/>
                <w:color w:val="000000"/>
                <w:kern w:val="0"/>
                <w:sz w:val="24"/>
                <w:szCs w:val="22"/>
              </w:rPr>
            </w:pPr>
            <w:r>
              <w:rPr>
                <w:rFonts w:hint="eastAsia" w:ascii="宋体" w:hAnsi="宋体" w:eastAsia="宋体" w:cs="宋体"/>
                <w:color w:val="000000"/>
                <w:kern w:val="0"/>
                <w:sz w:val="24"/>
                <w:szCs w:val="24"/>
              </w:rPr>
              <w:t xml:space="preserve">▲8. </w:t>
            </w:r>
            <w:r>
              <w:rPr>
                <w:rFonts w:hint="eastAsia" w:ascii="宋体" w:hAnsi="宋体" w:eastAsia="宋体" w:cs="Times New Roman"/>
                <w:bCs/>
                <w:color w:val="000000"/>
                <w:sz w:val="24"/>
                <w:szCs w:val="24"/>
              </w:rPr>
              <w:t>光谱分光方式：分光模块采用光栅分光</w:t>
            </w:r>
          </w:p>
        </w:tc>
      </w:tr>
      <w:tr w14:paraId="036A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3D44DD9F">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15F6F089">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3D766E18">
            <w:pPr>
              <w:widowControl/>
              <w:tabs>
                <w:tab w:val="left" w:pos="1220"/>
              </w:tabs>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eastAsia="宋体" w:cs="Times New Roman"/>
                <w:bCs/>
                <w:color w:val="000000"/>
                <w:sz w:val="24"/>
                <w:szCs w:val="24"/>
              </w:rPr>
              <w:t>9荧光光谱检测器：利用光电倍增管PMT检测器，并行收集荧光光谱信号。</w:t>
            </w:r>
          </w:p>
        </w:tc>
      </w:tr>
      <w:tr w14:paraId="5DBF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2270FC30">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63877389">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5E682E27">
            <w:pPr>
              <w:widowControl/>
              <w:tabs>
                <w:tab w:val="left" w:pos="1220"/>
              </w:tabs>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10</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自发荧光检测：支持检测细胞自发荧光光谱，并将其作为独立的参数进行解析, 支持同时解析多种自发荧光。</w:t>
            </w:r>
          </w:p>
        </w:tc>
      </w:tr>
      <w:tr w14:paraId="6533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vAlign w:val="center"/>
          </w:tcPr>
          <w:p w14:paraId="14563745">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4A9315A7">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07B27B5E">
            <w:pPr>
              <w:widowControl/>
              <w:tabs>
                <w:tab w:val="left" w:pos="1220"/>
              </w:tabs>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11</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最大检测速率：≥40,000 eps。</w:t>
            </w:r>
          </w:p>
        </w:tc>
      </w:tr>
      <w:tr w14:paraId="6C53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vAlign w:val="center"/>
          </w:tcPr>
          <w:p w14:paraId="02094AEA">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398BA283">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3CE65B93">
            <w:pPr>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12</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样本体积流速：≥200 µL/min，且连续可调。</w:t>
            </w:r>
          </w:p>
        </w:tc>
      </w:tr>
      <w:tr w14:paraId="644D3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8" w:hRule="atLeast"/>
          <w:jc w:val="center"/>
        </w:trPr>
        <w:tc>
          <w:tcPr>
            <w:tcW w:w="825" w:type="dxa"/>
            <w:vMerge w:val="continue"/>
            <w:vAlign w:val="center"/>
          </w:tcPr>
          <w:p w14:paraId="6CD23992">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57F783F5">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4D8E39D3">
            <w:pPr>
              <w:widowControl/>
              <w:tabs>
                <w:tab w:val="left" w:pos="1220"/>
              </w:tabs>
              <w:spacing w:line="360" w:lineRule="auto"/>
              <w:jc w:val="left"/>
              <w:rPr>
                <w:rFonts w:hint="eastAsia" w:ascii="宋体" w:hAnsi="宋体" w:eastAsia="宋体" w:cs="Times New Roman"/>
                <w:bCs/>
                <w:color w:val="000000"/>
                <w:sz w:val="24"/>
                <w:szCs w:val="24"/>
              </w:rPr>
            </w:pPr>
            <w:r>
              <w:rPr>
                <w:rFonts w:ascii="宋体" w:hAnsi="宋体" w:eastAsia="宋体" w:cs="Times New Roman"/>
                <w:bCs/>
                <w:color w:val="000000"/>
                <w:sz w:val="24"/>
                <w:szCs w:val="24"/>
              </w:rPr>
              <w:t>1</w:t>
            </w:r>
            <w:r>
              <w:rPr>
                <w:rFonts w:hint="eastAsia" w:ascii="宋体" w:hAnsi="宋体" w:eastAsia="宋体" w:cs="Times New Roman"/>
                <w:bCs/>
                <w:color w:val="000000"/>
                <w:sz w:val="24"/>
                <w:szCs w:val="24"/>
              </w:rPr>
              <w:t>3</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 xml:space="preserve"> SSC散射光检测灵敏度：</w:t>
            </w:r>
            <w:r>
              <w:rPr>
                <w:rFonts w:hint="eastAsia" w:ascii="宋体" w:hAnsi="宋体" w:eastAsia="宋体" w:cs="Times New Roman"/>
                <w:color w:val="000000"/>
                <w:sz w:val="24"/>
                <w:szCs w:val="24"/>
              </w:rPr>
              <w:t>≤</w:t>
            </w:r>
            <w:r>
              <w:rPr>
                <w:rFonts w:hint="eastAsia" w:ascii="宋体" w:hAnsi="宋体" w:eastAsia="宋体" w:cs="Times New Roman"/>
                <w:bCs/>
                <w:color w:val="000000"/>
                <w:sz w:val="24"/>
                <w:szCs w:val="24"/>
              </w:rPr>
              <w:t>0.16。</w:t>
            </w:r>
          </w:p>
        </w:tc>
      </w:tr>
      <w:tr w14:paraId="5BE8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vAlign w:val="center"/>
          </w:tcPr>
          <w:p w14:paraId="0207933B">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7A7F37B">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0134A69B">
            <w:pPr>
              <w:spacing w:line="360" w:lineRule="auto"/>
              <w:jc w:val="left"/>
              <w:rPr>
                <w:rFonts w:hint="eastAsia" w:ascii="宋体" w:hAnsi="宋体" w:eastAsia="宋体" w:cs="Times New Roman"/>
                <w:color w:val="000000"/>
                <w:sz w:val="24"/>
                <w:szCs w:val="24"/>
              </w:rPr>
            </w:pPr>
            <w:r>
              <w:rPr>
                <w:rFonts w:hint="eastAsia" w:ascii="Calibri" w:hAnsi="Calibri" w:eastAsia="宋体" w:cs="宋体"/>
                <w:color w:val="000000"/>
                <w:kern w:val="0"/>
                <w:sz w:val="24"/>
                <w:szCs w:val="22"/>
              </w:rPr>
              <w:t>★</w:t>
            </w:r>
            <w:r>
              <w:rPr>
                <w:rFonts w:ascii="宋体" w:hAnsi="宋体" w:eastAsia="宋体" w:cs="Times New Roman"/>
                <w:color w:val="000000"/>
                <w:sz w:val="24"/>
                <w:szCs w:val="24"/>
              </w:rPr>
              <w:t>1</w:t>
            </w:r>
            <w:r>
              <w:rPr>
                <w:rFonts w:hint="eastAsia" w:ascii="宋体" w:hAnsi="宋体" w:eastAsia="宋体" w:cs="Times New Roman"/>
                <w:color w:val="000000"/>
                <w:sz w:val="24"/>
                <w:szCs w:val="24"/>
              </w:rPr>
              <w:t>4</w:t>
            </w:r>
            <w:r>
              <w:rPr>
                <w:rFonts w:ascii="宋体" w:hAnsi="宋体" w:eastAsia="宋体" w:cs="Times New Roman"/>
                <w:color w:val="000000"/>
                <w:sz w:val="24"/>
                <w:szCs w:val="24"/>
              </w:rPr>
              <w:t>.</w:t>
            </w:r>
            <w:r>
              <w:rPr>
                <w:rFonts w:hint="eastAsia" w:ascii="宋体" w:hAnsi="宋体" w:eastAsia="宋体" w:cs="Times New Roman"/>
                <w:color w:val="000000"/>
                <w:sz w:val="24"/>
                <w:szCs w:val="24"/>
              </w:rPr>
              <w:t>荧光灵敏度：FITC≤60 MESF，PE≤8MESF，APC≤10MESF。</w:t>
            </w:r>
          </w:p>
        </w:tc>
      </w:tr>
      <w:tr w14:paraId="1D7F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vAlign w:val="center"/>
          </w:tcPr>
          <w:p w14:paraId="793309B4">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36083F91">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757B7D35">
            <w:pPr>
              <w:spacing w:line="360" w:lineRule="auto"/>
              <w:jc w:val="left"/>
              <w:rPr>
                <w:rFonts w:hint="eastAsia" w:ascii="宋体" w:hAnsi="宋体" w:eastAsia="宋体" w:cs="Times New Roman"/>
                <w:color w:val="000000"/>
                <w:sz w:val="24"/>
                <w:szCs w:val="24"/>
              </w:rPr>
            </w:pPr>
            <w:r>
              <w:rPr>
                <w:rFonts w:hint="eastAsia" w:ascii="Calibri" w:hAnsi="Calibri" w:eastAsia="宋体" w:cs="宋体"/>
                <w:color w:val="000000"/>
                <w:kern w:val="0"/>
                <w:sz w:val="24"/>
                <w:szCs w:val="22"/>
              </w:rPr>
              <w:t>★</w:t>
            </w:r>
            <w:r>
              <w:rPr>
                <w:rFonts w:ascii="宋体" w:hAnsi="宋体" w:eastAsia="宋体" w:cs="Times New Roman"/>
                <w:color w:val="000000"/>
                <w:sz w:val="24"/>
                <w:szCs w:val="24"/>
              </w:rPr>
              <w:t>1</w:t>
            </w:r>
            <w:r>
              <w:rPr>
                <w:rFonts w:hint="eastAsia" w:ascii="宋体" w:hAnsi="宋体" w:eastAsia="宋体" w:cs="Times New Roman"/>
                <w:color w:val="000000"/>
                <w:sz w:val="24"/>
                <w:szCs w:val="24"/>
              </w:rPr>
              <w:t>5</w:t>
            </w:r>
            <w:r>
              <w:rPr>
                <w:rFonts w:ascii="宋体" w:hAnsi="宋体" w:eastAsia="宋体" w:cs="Times New Roman"/>
                <w:color w:val="000000"/>
                <w:sz w:val="24"/>
                <w:szCs w:val="24"/>
              </w:rPr>
              <w:t>.</w:t>
            </w:r>
            <w:r>
              <w:rPr>
                <w:rFonts w:hint="eastAsia" w:ascii="宋体" w:hAnsi="宋体" w:eastAsia="宋体" w:cs="Times New Roman"/>
                <w:color w:val="000000"/>
                <w:sz w:val="24"/>
                <w:szCs w:val="24"/>
              </w:rPr>
              <w:t>荧光分辨率：CV&lt;3%。</w:t>
            </w:r>
          </w:p>
        </w:tc>
      </w:tr>
      <w:tr w14:paraId="111B0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vAlign w:val="center"/>
          </w:tcPr>
          <w:p w14:paraId="3765475B">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436F4054">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1E03C14A">
            <w:pPr>
              <w:spacing w:line="360" w:lineRule="auto"/>
              <w:jc w:val="left"/>
              <w:rPr>
                <w:rFonts w:hint="eastAsia" w:ascii="宋体" w:hAnsi="宋体" w:eastAsia="宋体" w:cs="Times New Roman"/>
                <w:color w:val="000000"/>
                <w:sz w:val="24"/>
                <w:szCs w:val="24"/>
              </w:rPr>
            </w:pPr>
            <w:r>
              <w:rPr>
                <w:rFonts w:ascii="宋体" w:hAnsi="宋体" w:eastAsia="宋体" w:cs="Times New Roman"/>
                <w:color w:val="000000"/>
                <w:sz w:val="24"/>
                <w:szCs w:val="24"/>
              </w:rPr>
              <w:t>1</w:t>
            </w:r>
            <w:r>
              <w:rPr>
                <w:rFonts w:hint="eastAsia" w:ascii="宋体" w:hAnsi="宋体" w:eastAsia="宋体" w:cs="Times New Roman"/>
                <w:color w:val="000000"/>
                <w:sz w:val="24"/>
                <w:szCs w:val="24"/>
              </w:rPr>
              <w:t>6.自动式上样器：配备高通量自动上样器。</w:t>
            </w:r>
          </w:p>
        </w:tc>
      </w:tr>
      <w:tr w14:paraId="3F6A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vAlign w:val="center"/>
          </w:tcPr>
          <w:p w14:paraId="54FBAE9D">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56669334">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382A0762">
            <w:pPr>
              <w:spacing w:line="360" w:lineRule="auto"/>
              <w:jc w:val="left"/>
              <w:rPr>
                <w:rFonts w:hint="eastAsia" w:ascii="宋体" w:hAnsi="宋体" w:eastAsia="宋体" w:cs="Times New Roman"/>
                <w:color w:val="000000"/>
                <w:sz w:val="24"/>
                <w:szCs w:val="24"/>
              </w:rPr>
            </w:pPr>
            <w:r>
              <w:rPr>
                <w:rFonts w:hint="eastAsia" w:ascii="宋体" w:hAnsi="宋体" w:eastAsia="宋体" w:cs="宋体"/>
                <w:color w:val="000000"/>
                <w:kern w:val="0"/>
                <w:sz w:val="24"/>
                <w:szCs w:val="24"/>
              </w:rPr>
              <w:t>▲</w:t>
            </w:r>
            <w:r>
              <w:rPr>
                <w:rFonts w:ascii="宋体" w:hAnsi="宋体" w:eastAsia="宋体" w:cs="Times New Roman"/>
                <w:color w:val="000000"/>
                <w:sz w:val="24"/>
                <w:szCs w:val="24"/>
              </w:rPr>
              <w:t>1</w:t>
            </w:r>
            <w:r>
              <w:rPr>
                <w:rFonts w:hint="eastAsia" w:ascii="宋体" w:hAnsi="宋体" w:eastAsia="宋体" w:cs="Times New Roman"/>
                <w:color w:val="000000"/>
                <w:sz w:val="24"/>
                <w:szCs w:val="24"/>
              </w:rPr>
              <w:t>7</w:t>
            </w:r>
            <w:r>
              <w:rPr>
                <w:rFonts w:ascii="宋体" w:hAnsi="宋体" w:eastAsia="宋体" w:cs="Times New Roman"/>
                <w:color w:val="000000"/>
                <w:sz w:val="24"/>
                <w:szCs w:val="24"/>
              </w:rPr>
              <w:t>.</w:t>
            </w:r>
            <w:r>
              <w:rPr>
                <w:rFonts w:hint="eastAsia" w:ascii="宋体" w:hAnsi="宋体" w:eastAsia="宋体" w:cs="Times New Roman"/>
                <w:color w:val="000000"/>
                <w:sz w:val="24"/>
                <w:szCs w:val="24"/>
              </w:rPr>
              <w:t>上样装置规格：支持96孔板(standard, half deep及deep规格), 384孔板，≥24个5mL流式管。</w:t>
            </w:r>
          </w:p>
        </w:tc>
      </w:tr>
      <w:tr w14:paraId="49D4F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vAlign w:val="center"/>
          </w:tcPr>
          <w:p w14:paraId="6511D40A">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800627D">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41CF53F7">
            <w:pPr>
              <w:spacing w:line="360" w:lineRule="auto"/>
              <w:jc w:val="left"/>
              <w:rPr>
                <w:rFonts w:hint="eastAsia" w:ascii="宋体" w:hAnsi="宋体" w:eastAsia="宋体" w:cs="Times New Roman"/>
                <w:color w:val="000000"/>
                <w:sz w:val="24"/>
                <w:szCs w:val="24"/>
              </w:rPr>
            </w:pPr>
            <w:r>
              <w:rPr>
                <w:rFonts w:ascii="宋体" w:hAnsi="宋体" w:eastAsia="宋体" w:cs="Times New Roman"/>
                <w:color w:val="000000"/>
                <w:sz w:val="24"/>
                <w:szCs w:val="24"/>
              </w:rPr>
              <w:t>1</w:t>
            </w:r>
            <w:r>
              <w:rPr>
                <w:rFonts w:hint="eastAsia" w:ascii="宋体" w:hAnsi="宋体" w:eastAsia="宋体" w:cs="Times New Roman"/>
                <w:color w:val="000000"/>
                <w:sz w:val="24"/>
                <w:szCs w:val="24"/>
              </w:rPr>
              <w:t>8</w:t>
            </w:r>
            <w:r>
              <w:rPr>
                <w:rFonts w:ascii="宋体" w:hAnsi="宋体" w:eastAsia="宋体" w:cs="Times New Roman"/>
                <w:color w:val="000000"/>
                <w:sz w:val="24"/>
                <w:szCs w:val="24"/>
              </w:rPr>
              <w:t>.</w:t>
            </w:r>
            <w:r>
              <w:rPr>
                <w:rFonts w:hint="eastAsia" w:ascii="宋体" w:hAnsi="宋体" w:eastAsia="宋体" w:cs="Times New Roman"/>
                <w:color w:val="000000"/>
                <w:sz w:val="24"/>
                <w:szCs w:val="24"/>
              </w:rPr>
              <w:t>混匀功能：上样针具备主动式搅拌混匀功能，避免不同孔样本因混匀次数不同而导致的检测结果不一致，同时支持样本检测和混匀平行同步进行。</w:t>
            </w:r>
          </w:p>
        </w:tc>
      </w:tr>
      <w:tr w14:paraId="68BA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vAlign w:val="center"/>
          </w:tcPr>
          <w:p w14:paraId="0AEC746C">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2C3B1519">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71A52CF5">
            <w:pPr>
              <w:spacing w:line="360" w:lineRule="auto"/>
              <w:jc w:val="left"/>
              <w:rPr>
                <w:rFonts w:hint="eastAsia" w:ascii="宋体" w:hAnsi="宋体" w:eastAsia="宋体" w:cs="Times New Roman"/>
                <w:color w:val="000000"/>
                <w:sz w:val="24"/>
                <w:szCs w:val="24"/>
              </w:rPr>
            </w:pPr>
            <w:r>
              <w:rPr>
                <w:rFonts w:ascii="宋体" w:hAnsi="宋体" w:eastAsia="宋体" w:cs="Times New Roman"/>
                <w:color w:val="000000"/>
                <w:sz w:val="24"/>
                <w:szCs w:val="24"/>
              </w:rPr>
              <w:t>1</w:t>
            </w:r>
            <w:r>
              <w:rPr>
                <w:rFonts w:hint="eastAsia" w:ascii="宋体" w:hAnsi="宋体" w:eastAsia="宋体" w:cs="Times New Roman"/>
                <w:color w:val="000000"/>
                <w:sz w:val="24"/>
                <w:szCs w:val="24"/>
              </w:rPr>
              <w:t>9</w:t>
            </w:r>
            <w:r>
              <w:rPr>
                <w:rFonts w:ascii="宋体" w:hAnsi="宋体" w:eastAsia="宋体" w:cs="Times New Roman"/>
                <w:color w:val="000000"/>
                <w:sz w:val="24"/>
                <w:szCs w:val="24"/>
              </w:rPr>
              <w:t>.</w:t>
            </w:r>
            <w:r>
              <w:rPr>
                <w:rFonts w:hint="eastAsia" w:ascii="宋体" w:hAnsi="宋体" w:eastAsia="宋体" w:cs="Times New Roman"/>
                <w:color w:val="000000"/>
                <w:sz w:val="24"/>
                <w:szCs w:val="24"/>
              </w:rPr>
              <w:t>样本温度控制：自动上样器具备主动式制冷功能，确保前后样本检测结果一致，降低样本间残留。</w:t>
            </w:r>
          </w:p>
        </w:tc>
      </w:tr>
      <w:tr w14:paraId="4A74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vAlign w:val="center"/>
          </w:tcPr>
          <w:p w14:paraId="59D0B429">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369C6A01">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299B6B6D">
            <w:pPr>
              <w:spacing w:line="360" w:lineRule="auto"/>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20</w:t>
            </w:r>
            <w:r>
              <w:rPr>
                <w:rFonts w:ascii="宋体" w:hAnsi="宋体" w:eastAsia="宋体" w:cs="Times New Roman"/>
                <w:color w:val="000000"/>
                <w:sz w:val="24"/>
                <w:szCs w:val="24"/>
              </w:rPr>
              <w:t>.</w:t>
            </w:r>
            <w:r>
              <w:rPr>
                <w:rFonts w:hint="eastAsia" w:ascii="宋体" w:hAnsi="宋体" w:eastAsia="宋体" w:cs="Times New Roman"/>
                <w:color w:val="000000"/>
                <w:sz w:val="24"/>
                <w:szCs w:val="24"/>
              </w:rPr>
              <w:t>样本间残留率：&lt;0.1%。</w:t>
            </w:r>
          </w:p>
        </w:tc>
      </w:tr>
      <w:tr w14:paraId="4FDA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vAlign w:val="center"/>
          </w:tcPr>
          <w:p w14:paraId="053C6CF2">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A2C28F9">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0B2CC6FB">
            <w:pPr>
              <w:widowControl/>
              <w:tabs>
                <w:tab w:val="left" w:pos="1220"/>
              </w:tabs>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21</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自动化清洗模式：配有专门的清洗装置，可以对上样针所有部位同步进行内外管清洗和废液抽吸；支持自动上样针反冲（以去除样本残留）、自动排气泡（以排除管路堵塞），自动关机清洗。</w:t>
            </w:r>
          </w:p>
        </w:tc>
      </w:tr>
      <w:tr w14:paraId="1935E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vAlign w:val="center"/>
          </w:tcPr>
          <w:p w14:paraId="022FB03E">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A88F8EF">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73C2F4CA">
            <w:pPr>
              <w:spacing w:line="360" w:lineRule="auto"/>
              <w:jc w:val="lef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22</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数据处理：采用加权最小平方和方法对多色荧光光谱进行拆分，较最小平方和算法具有更高的精确度和更小的扩散误差。</w:t>
            </w:r>
          </w:p>
        </w:tc>
      </w:tr>
      <w:tr w14:paraId="3937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vAlign w:val="center"/>
          </w:tcPr>
          <w:p w14:paraId="43C4F772">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655B6C3">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51515BB0">
            <w:pPr>
              <w:spacing w:line="360" w:lineRule="auto"/>
              <w:jc w:val="left"/>
              <w:rPr>
                <w:rFonts w:hint="eastAsia" w:ascii="宋体" w:hAnsi="宋体" w:eastAsia="宋体" w:cs="Times New Roman"/>
                <w:bCs/>
                <w:color w:val="000000"/>
                <w:sz w:val="24"/>
                <w:szCs w:val="24"/>
              </w:rPr>
            </w:pPr>
            <w:r>
              <w:rPr>
                <w:rFonts w:hint="eastAsia" w:ascii="Calibri" w:hAnsi="Calibri" w:eastAsia="宋体" w:cs="宋体"/>
                <w:color w:val="000000"/>
                <w:kern w:val="0"/>
                <w:sz w:val="24"/>
                <w:szCs w:val="22"/>
              </w:rPr>
              <w:t>▲</w:t>
            </w:r>
            <w:r>
              <w:rPr>
                <w:rFonts w:ascii="宋体" w:hAnsi="宋体" w:eastAsia="宋体" w:cs="Times New Roman"/>
                <w:bCs/>
                <w:color w:val="000000"/>
                <w:sz w:val="24"/>
                <w:szCs w:val="24"/>
              </w:rPr>
              <w:t>2</w:t>
            </w:r>
            <w:r>
              <w:rPr>
                <w:rFonts w:hint="eastAsia" w:ascii="宋体" w:hAnsi="宋体" w:eastAsia="宋体" w:cs="Times New Roman"/>
                <w:bCs/>
                <w:color w:val="000000"/>
                <w:sz w:val="24"/>
                <w:szCs w:val="24"/>
              </w:rPr>
              <w:t>3</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仪器随机的软件免密开放安装，可以成功免费安装在不少于20台电脑上，提高仪器使用效率，便于数据共享。</w:t>
            </w:r>
          </w:p>
        </w:tc>
      </w:tr>
      <w:tr w14:paraId="6574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vAlign w:val="center"/>
          </w:tcPr>
          <w:p w14:paraId="193A889B">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75975D46">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4AE244C2">
            <w:pPr>
              <w:spacing w:line="360" w:lineRule="auto"/>
              <w:jc w:val="left"/>
              <w:rPr>
                <w:rFonts w:hint="eastAsia" w:ascii="宋体" w:hAnsi="宋体" w:eastAsia="宋体" w:cs="Times New Roman"/>
                <w:bCs/>
                <w:color w:val="000000"/>
                <w:sz w:val="24"/>
                <w:szCs w:val="24"/>
              </w:rPr>
            </w:pPr>
            <w:r>
              <w:rPr>
                <w:rFonts w:ascii="宋体" w:hAnsi="宋体" w:eastAsia="宋体" w:cs="Times New Roman"/>
                <w:bCs/>
                <w:color w:val="000000"/>
                <w:sz w:val="24"/>
                <w:szCs w:val="24"/>
              </w:rPr>
              <w:t>2</w:t>
            </w:r>
            <w:r>
              <w:rPr>
                <w:rFonts w:hint="eastAsia" w:ascii="宋体" w:hAnsi="宋体" w:eastAsia="宋体" w:cs="Times New Roman"/>
                <w:bCs/>
                <w:color w:val="000000"/>
                <w:sz w:val="24"/>
                <w:szCs w:val="24"/>
              </w:rPr>
              <w:t>4</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软件系统支持数据获取和分析，可以同时进行多任务（即样本采集和数据分析可同时进行，互不干扰）。</w:t>
            </w:r>
          </w:p>
        </w:tc>
      </w:tr>
      <w:tr w14:paraId="7C177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vAlign w:val="center"/>
          </w:tcPr>
          <w:p w14:paraId="47A7048B">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6D662B79">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039EBF24">
            <w:pPr>
              <w:spacing w:line="360" w:lineRule="auto"/>
              <w:jc w:val="left"/>
              <w:rPr>
                <w:rFonts w:hint="eastAsia" w:ascii="宋体" w:hAnsi="宋体" w:eastAsia="宋体" w:cs="Times New Roman"/>
                <w:bCs/>
                <w:color w:val="000000"/>
                <w:sz w:val="24"/>
                <w:szCs w:val="24"/>
              </w:rPr>
            </w:pPr>
            <w:r>
              <w:rPr>
                <w:rFonts w:ascii="宋体" w:hAnsi="宋体" w:eastAsia="宋体" w:cs="Times New Roman"/>
                <w:bCs/>
                <w:color w:val="000000"/>
                <w:sz w:val="24"/>
                <w:szCs w:val="24"/>
              </w:rPr>
              <w:t>2</w:t>
            </w:r>
            <w:r>
              <w:rPr>
                <w:rFonts w:hint="eastAsia" w:ascii="宋体" w:hAnsi="宋体" w:eastAsia="宋体" w:cs="Times New Roman"/>
                <w:bCs/>
                <w:color w:val="000000"/>
                <w:sz w:val="24"/>
                <w:szCs w:val="24"/>
              </w:rPr>
              <w:t>5</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支持导出数据文件格式：FCS3.0 或3.1可在第三方软件上进行分析。</w:t>
            </w:r>
          </w:p>
        </w:tc>
      </w:tr>
      <w:tr w14:paraId="39D0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vAlign w:val="center"/>
          </w:tcPr>
          <w:p w14:paraId="2B3F5005">
            <w:pPr>
              <w:widowControl/>
              <w:spacing w:line="360" w:lineRule="auto"/>
              <w:jc w:val="center"/>
              <w:rPr>
                <w:rFonts w:ascii="Calibri" w:hAnsi="Calibri" w:eastAsia="宋体" w:cs="Times New Roman"/>
                <w:color w:val="000000"/>
                <w:sz w:val="24"/>
                <w:szCs w:val="24"/>
              </w:rPr>
            </w:pPr>
          </w:p>
        </w:tc>
        <w:tc>
          <w:tcPr>
            <w:tcW w:w="2038" w:type="dxa"/>
            <w:vMerge w:val="continue"/>
            <w:vAlign w:val="center"/>
          </w:tcPr>
          <w:p w14:paraId="36ED9414">
            <w:pPr>
              <w:widowControl/>
              <w:spacing w:line="360" w:lineRule="auto"/>
              <w:ind w:firstLine="120" w:firstLineChars="50"/>
              <w:rPr>
                <w:rFonts w:hint="eastAsia" w:ascii="Calibri" w:hAnsi="宋体" w:eastAsia="宋体" w:cs="Times New Roman"/>
                <w:color w:val="000000"/>
                <w:sz w:val="24"/>
                <w:szCs w:val="24"/>
              </w:rPr>
            </w:pPr>
          </w:p>
        </w:tc>
        <w:tc>
          <w:tcPr>
            <w:tcW w:w="6193" w:type="dxa"/>
            <w:vAlign w:val="center"/>
          </w:tcPr>
          <w:p w14:paraId="535688F3">
            <w:pPr>
              <w:widowControl/>
              <w:tabs>
                <w:tab w:val="left" w:pos="1220"/>
              </w:tabs>
              <w:spacing w:line="360" w:lineRule="auto"/>
              <w:jc w:val="left"/>
              <w:rPr>
                <w:rFonts w:hint="eastAsia" w:ascii="宋体" w:hAnsi="宋体" w:eastAsia="宋体" w:cs="Times New Roman"/>
                <w:bCs/>
                <w:color w:val="000000"/>
                <w:sz w:val="24"/>
                <w:szCs w:val="24"/>
              </w:rPr>
            </w:pPr>
            <w:r>
              <w:rPr>
                <w:rFonts w:ascii="宋体" w:hAnsi="宋体" w:eastAsia="宋体" w:cs="Times New Roman"/>
                <w:bCs/>
                <w:color w:val="000000"/>
                <w:sz w:val="24"/>
                <w:szCs w:val="24"/>
              </w:rPr>
              <w:t>2</w:t>
            </w:r>
            <w:r>
              <w:rPr>
                <w:rFonts w:hint="eastAsia" w:ascii="宋体" w:hAnsi="宋体" w:eastAsia="宋体" w:cs="Times New Roman"/>
                <w:bCs/>
                <w:color w:val="000000"/>
                <w:sz w:val="24"/>
                <w:szCs w:val="24"/>
              </w:rPr>
              <w:t>6</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rPr>
              <w:t>电脑工作站配置不低于</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：Intel Xeon Gold 6248 2.5GHz,(3.9GHz Turbo, 20C处理器； 256GB (8x32GB) DDR4 2666MHz内存； 8TB硬盘；Microsoft Windows 11 Pro for Workstations，31.5英寸4K高清显示器。</w:t>
            </w:r>
          </w:p>
        </w:tc>
      </w:tr>
    </w:tbl>
    <w:p w14:paraId="14FA917D">
      <w:pPr>
        <w:spacing w:line="360" w:lineRule="auto"/>
        <w:rPr>
          <w:rFonts w:ascii="Times New Roman" w:hAnsi="Times New Roman" w:eastAsia="宋体" w:cs="Times New Roman"/>
          <w:b/>
          <w:sz w:val="30"/>
          <w:szCs w:val="30"/>
        </w:rPr>
      </w:pPr>
      <w:r>
        <w:rPr>
          <w:rFonts w:ascii="Times New Roman" w:hAnsi="Times New Roman" w:eastAsia="宋体" w:cs="Times New Roman"/>
          <w:b/>
          <w:sz w:val="30"/>
          <w:szCs w:val="30"/>
        </w:rPr>
        <w:br w:type="page"/>
      </w:r>
    </w:p>
    <w:p w14:paraId="6BAC1E95">
      <w:pPr>
        <w:widowControl/>
        <w:snapToGrid w:val="0"/>
        <w:spacing w:before="156" w:beforeLines="50" w:line="360" w:lineRule="auto"/>
        <w:outlineLvl w:val="2"/>
        <w:rPr>
          <w:rFonts w:ascii="Times New Roman" w:hAnsi="Times New Roman" w:eastAsia="宋体" w:cs="Times New Roman"/>
          <w:b/>
          <w:sz w:val="30"/>
          <w:szCs w:val="30"/>
        </w:rPr>
      </w:pPr>
      <w:r>
        <w:rPr>
          <w:rFonts w:ascii="Times New Roman" w:hAnsi="Times New Roman" w:eastAsia="宋体" w:cs="Times New Roman"/>
          <w:b/>
          <w:sz w:val="30"/>
          <w:szCs w:val="30"/>
        </w:rPr>
        <w:t>《二》商务要求：</w:t>
      </w:r>
    </w:p>
    <w:p w14:paraId="451E207B">
      <w:pPr>
        <w:autoSpaceDE w:val="0"/>
        <w:autoSpaceDN w:val="0"/>
        <w:adjustRightInd w:val="0"/>
        <w:spacing w:line="360" w:lineRule="auto"/>
        <w:ind w:left="425" w:hanging="425"/>
        <w:rPr>
          <w:rFonts w:ascii="Times New Roman" w:hAnsi="Times New Roman" w:eastAsia="宋体" w:cs="Times New Roman"/>
          <w:color w:val="000000"/>
          <w:kern w:val="0"/>
          <w:sz w:val="24"/>
          <w:szCs w:val="24"/>
        </w:rPr>
      </w:pPr>
      <w:r>
        <w:rPr>
          <w:rFonts w:ascii="Times New Roman" w:hAnsi="Times New Roman" w:eastAsia="宋体" w:cs="Times New Roman"/>
          <w:b/>
          <w:bCs/>
          <w:color w:val="000000"/>
          <w:kern w:val="0"/>
          <w:sz w:val="24"/>
          <w:szCs w:val="24"/>
          <w:lang w:val="zh-CN"/>
        </w:rPr>
        <w:t>★1、交货地点：</w:t>
      </w:r>
      <w:r>
        <w:rPr>
          <w:rFonts w:ascii="Times New Roman" w:hAnsi="Times New Roman" w:eastAsia="宋体" w:cs="Times New Roman"/>
          <w:color w:val="000000"/>
          <w:kern w:val="0"/>
          <w:sz w:val="24"/>
          <w:szCs w:val="24"/>
          <w:lang w:val="zh-CN"/>
        </w:rPr>
        <w:t>广州市生物岛螺旋二路15号</w:t>
      </w:r>
      <w:r>
        <w:rPr>
          <w:rFonts w:hint="eastAsia" w:ascii="Times New Roman" w:hAnsi="Times New Roman" w:eastAsia="宋体" w:cs="Times New Roman"/>
          <w:color w:val="000000"/>
          <w:kern w:val="0"/>
          <w:sz w:val="24"/>
          <w:szCs w:val="24"/>
        </w:rPr>
        <w:t>大设施</w:t>
      </w:r>
      <w:r>
        <w:rPr>
          <w:rFonts w:ascii="Times New Roman" w:hAnsi="Times New Roman" w:eastAsia="宋体" w:cs="Times New Roman"/>
          <w:color w:val="000000"/>
          <w:kern w:val="0"/>
          <w:sz w:val="24"/>
          <w:szCs w:val="24"/>
          <w:lang w:val="zh-CN"/>
        </w:rPr>
        <w:t>研发楼</w:t>
      </w:r>
    </w:p>
    <w:p w14:paraId="2FD0ED52">
      <w:pPr>
        <w:tabs>
          <w:tab w:val="left" w:pos="42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lang w:val="zh-CN"/>
        </w:rPr>
      </w:pPr>
      <w:r>
        <w:rPr>
          <w:rFonts w:ascii="Times New Roman" w:hAnsi="Times New Roman" w:eastAsia="宋体" w:cs="Times New Roman"/>
          <w:b/>
          <w:bCs/>
          <w:color w:val="000000"/>
          <w:kern w:val="0"/>
          <w:sz w:val="24"/>
          <w:szCs w:val="24"/>
          <w:lang w:val="zh-CN"/>
        </w:rPr>
        <w:t>★2、交货期：</w:t>
      </w:r>
      <w:r>
        <w:rPr>
          <w:rFonts w:ascii="Times New Roman" w:hAnsi="Times New Roman" w:eastAsia="宋体" w:cs="Times New Roman"/>
          <w:color w:val="000000"/>
          <w:kern w:val="0"/>
          <w:sz w:val="24"/>
          <w:szCs w:val="24"/>
        </w:rPr>
        <w:t>国产产品在签订合同</w:t>
      </w:r>
      <w:r>
        <w:rPr>
          <w:rFonts w:hint="eastAsia" w:ascii="Times New Roman" w:hAnsi="Times New Roman" w:eastAsia="宋体" w:cs="Times New Roman"/>
          <w:color w:val="000000"/>
          <w:kern w:val="0"/>
          <w:sz w:val="24"/>
          <w:szCs w:val="24"/>
        </w:rPr>
        <w:t>1</w:t>
      </w:r>
      <w:r>
        <w:rPr>
          <w:rFonts w:ascii="Times New Roman" w:hAnsi="Times New Roman" w:eastAsia="宋体" w:cs="Times New Roman"/>
          <w:color w:val="000000"/>
          <w:kern w:val="0"/>
          <w:sz w:val="24"/>
          <w:szCs w:val="24"/>
        </w:rPr>
        <w:t>个月</w:t>
      </w:r>
      <w:r>
        <w:rPr>
          <w:rFonts w:hint="eastAsia" w:ascii="Times New Roman" w:hAnsi="Times New Roman" w:eastAsia="宋体" w:cs="Times New Roman"/>
          <w:color w:val="000000"/>
          <w:kern w:val="0"/>
          <w:sz w:val="24"/>
          <w:szCs w:val="24"/>
        </w:rPr>
        <w:t>内</w:t>
      </w:r>
      <w:r>
        <w:rPr>
          <w:rFonts w:ascii="Times New Roman" w:hAnsi="Times New Roman" w:eastAsia="宋体" w:cs="Times New Roman"/>
          <w:color w:val="000000"/>
          <w:kern w:val="0"/>
          <w:sz w:val="24"/>
          <w:szCs w:val="24"/>
        </w:rPr>
        <w:t>交货；进口产品在</w:t>
      </w:r>
      <w:r>
        <w:rPr>
          <w:rFonts w:ascii="Times New Roman" w:hAnsi="Times New Roman" w:eastAsia="宋体" w:cs="Times New Roman"/>
          <w:color w:val="000000"/>
          <w:kern w:val="0"/>
          <w:sz w:val="24"/>
          <w:szCs w:val="24"/>
        </w:rPr>
        <w:t>办理免税</w:t>
      </w:r>
      <w:r>
        <w:rPr>
          <w:rFonts w:ascii="Times New Roman" w:hAnsi="Times New Roman" w:eastAsia="宋体" w:cs="Times New Roman"/>
          <w:color w:val="000000"/>
          <w:kern w:val="0"/>
          <w:sz w:val="24"/>
          <w:szCs w:val="24"/>
          <w:lang w:val="de-DE"/>
        </w:rPr>
        <w:t>后的</w:t>
      </w:r>
      <w:r>
        <w:rPr>
          <w:rFonts w:hint="eastAsia" w:ascii="Times New Roman" w:hAnsi="Times New Roman" w:eastAsia="宋体" w:cs="Times New Roman"/>
          <w:color w:val="000000"/>
          <w:kern w:val="0"/>
          <w:sz w:val="24"/>
          <w:szCs w:val="24"/>
        </w:rPr>
        <w:t>3</w:t>
      </w:r>
      <w:r>
        <w:rPr>
          <w:rFonts w:ascii="Times New Roman" w:hAnsi="Times New Roman" w:eastAsia="宋体" w:cs="Times New Roman"/>
          <w:color w:val="000000"/>
          <w:kern w:val="0"/>
          <w:sz w:val="24"/>
          <w:szCs w:val="24"/>
        </w:rPr>
        <w:t>月</w:t>
      </w:r>
      <w:r>
        <w:rPr>
          <w:rFonts w:ascii="Times New Roman" w:hAnsi="Times New Roman" w:eastAsia="宋体" w:cs="Times New Roman"/>
          <w:color w:val="000000"/>
          <w:kern w:val="0"/>
          <w:sz w:val="24"/>
          <w:szCs w:val="24"/>
          <w:lang w:val="de-DE"/>
        </w:rPr>
        <w:t>内</w:t>
      </w:r>
      <w:r>
        <w:rPr>
          <w:rFonts w:ascii="Times New Roman" w:hAnsi="Times New Roman" w:eastAsia="宋体" w:cs="Times New Roman"/>
          <w:color w:val="000000"/>
          <w:kern w:val="0"/>
          <w:sz w:val="24"/>
          <w:szCs w:val="24"/>
          <w:lang w:val="zh-CN"/>
        </w:rPr>
        <w:t>交货。</w:t>
      </w:r>
    </w:p>
    <w:p w14:paraId="7D2D2612">
      <w:pPr>
        <w:tabs>
          <w:tab w:val="left" w:pos="420"/>
        </w:tabs>
        <w:autoSpaceDE w:val="0"/>
        <w:autoSpaceDN w:val="0"/>
        <w:adjustRightInd w:val="0"/>
        <w:spacing w:line="360" w:lineRule="auto"/>
        <w:ind w:left="425" w:hanging="425"/>
        <w:rPr>
          <w:rFonts w:ascii="Times New Roman" w:hAnsi="Times New Roman" w:eastAsia="宋体" w:cs="Times New Roman"/>
          <w:color w:val="000000"/>
          <w:sz w:val="24"/>
          <w:szCs w:val="24"/>
          <w:lang w:val="zh-CN"/>
        </w:rPr>
      </w:pPr>
      <w:r>
        <w:rPr>
          <w:rFonts w:ascii="Times New Roman" w:hAnsi="Times New Roman" w:eastAsia="宋体" w:cs="Times New Roman"/>
          <w:b/>
          <w:bCs/>
          <w:color w:val="000000"/>
          <w:kern w:val="0"/>
          <w:sz w:val="24"/>
          <w:szCs w:val="24"/>
          <w:lang w:val="zh-CN"/>
        </w:rPr>
        <w:t>★</w:t>
      </w:r>
      <w:r>
        <w:rPr>
          <w:rFonts w:ascii="Times New Roman" w:hAnsi="Times New Roman" w:eastAsia="宋体" w:cs="Times New Roman"/>
          <w:b/>
          <w:bCs/>
          <w:color w:val="000000"/>
          <w:sz w:val="24"/>
          <w:szCs w:val="24"/>
          <w:lang w:val="zh-CN"/>
        </w:rPr>
        <w:t>3、</w:t>
      </w:r>
      <w:r>
        <w:rPr>
          <w:rFonts w:ascii="Times New Roman" w:hAnsi="Times New Roman" w:eastAsia="宋体" w:cs="Times New Roman"/>
          <w:b/>
          <w:bCs/>
          <w:color w:val="000000"/>
          <w:kern w:val="0"/>
          <w:sz w:val="24"/>
          <w:szCs w:val="24"/>
          <w:lang w:val="zh-CN"/>
        </w:rPr>
        <w:t>报价方式及要求：</w:t>
      </w:r>
    </w:p>
    <w:p w14:paraId="481A8516">
      <w:pPr>
        <w:tabs>
          <w:tab w:val="left" w:pos="420"/>
        </w:tabs>
        <w:autoSpaceDE w:val="0"/>
        <w:autoSpaceDN w:val="0"/>
        <w:adjustRightInd w:val="0"/>
        <w:spacing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w:t>
      </w:r>
      <w:r>
        <w:rPr>
          <w:rFonts w:ascii="Times New Roman" w:hAnsi="Times New Roman" w:eastAsia="宋体" w:cs="Times New Roman"/>
          <w:color w:val="000000"/>
          <w:sz w:val="24"/>
          <w:szCs w:val="24"/>
        </w:rPr>
        <w:t>1</w:t>
      </w:r>
      <w:r>
        <w:rPr>
          <w:rFonts w:ascii="Times New Roman" w:hAnsi="Times New Roman" w:eastAsia="宋体" w:cs="Times New Roman"/>
          <w:color w:val="000000"/>
          <w:sz w:val="24"/>
          <w:szCs w:val="24"/>
          <w:lang w:val="zh-CN"/>
        </w:rPr>
        <w:t>）</w:t>
      </w:r>
      <w:r>
        <w:rPr>
          <w:rFonts w:ascii="Times New Roman" w:hAnsi="Times New Roman" w:eastAsia="宋体" w:cs="Times New Roman"/>
          <w:color w:val="000000"/>
          <w:sz w:val="24"/>
          <w:szCs w:val="24"/>
        </w:rPr>
        <w:t>本项目允许采购进口产品参与投标，不拒绝投标人选用国产产品参与投标（进口产品是指通过中国海关报关验放进入中国境内且产自关境外的产品）。</w:t>
      </w:r>
      <w:r>
        <w:rPr>
          <w:rFonts w:ascii="Times New Roman" w:hAnsi="Times New Roman" w:eastAsia="宋体" w:cs="Times New Roman"/>
          <w:sz w:val="24"/>
          <w:szCs w:val="24"/>
        </w:rPr>
        <w:t>进口产品与服务报CIP指定交货地点人民币</w:t>
      </w:r>
      <w:r>
        <w:rPr>
          <w:rFonts w:ascii="Times New Roman" w:hAnsi="Times New Roman" w:eastAsia="宋体" w:cs="Times New Roman"/>
          <w:sz w:val="24"/>
          <w:szCs w:val="24"/>
          <w:lang w:eastAsia="zh"/>
        </w:rPr>
        <w:t>免税</w:t>
      </w:r>
      <w:r>
        <w:rPr>
          <w:rFonts w:ascii="Times New Roman" w:hAnsi="Times New Roman" w:eastAsia="宋体" w:cs="Times New Roman"/>
          <w:sz w:val="24"/>
          <w:szCs w:val="24"/>
        </w:rPr>
        <w:t>价（不含关税、增值税），外贸代理费、清关杂费等由中标人承担；</w:t>
      </w:r>
      <w:r>
        <w:rPr>
          <w:rFonts w:ascii="Times New Roman" w:hAnsi="Times New Roman" w:eastAsia="宋体" w:cs="Times New Roman"/>
          <w:bCs/>
          <w:sz w:val="24"/>
          <w:szCs w:val="24"/>
        </w:rPr>
        <w:t>对原产于境外的产品，进口时在正常科创免税之外，中国政府加征的特殊关税由中标人承担。</w:t>
      </w:r>
    </w:p>
    <w:p w14:paraId="3C708345">
      <w:pPr>
        <w:tabs>
          <w:tab w:val="left" w:pos="420"/>
        </w:tabs>
        <w:autoSpaceDE w:val="0"/>
        <w:autoSpaceDN w:val="0"/>
        <w:adjustRightInd w:val="0"/>
        <w:spacing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w:t>
      </w:r>
      <w:r>
        <w:rPr>
          <w:rFonts w:ascii="Times New Roman" w:hAnsi="Times New Roman" w:eastAsia="宋体" w:cs="Times New Roman"/>
          <w:color w:val="000000"/>
          <w:sz w:val="24"/>
          <w:szCs w:val="24"/>
        </w:rPr>
        <w:t>2</w:t>
      </w:r>
      <w:r>
        <w:rPr>
          <w:rFonts w:ascii="Times New Roman" w:hAnsi="Times New Roman" w:eastAsia="宋体" w:cs="Times New Roman"/>
          <w:color w:val="000000"/>
          <w:sz w:val="24"/>
          <w:szCs w:val="24"/>
          <w:lang w:val="zh-CN"/>
        </w:rPr>
        <w:t>）</w:t>
      </w:r>
      <w:r>
        <w:rPr>
          <w:rFonts w:ascii="Times New Roman" w:hAnsi="Times New Roman" w:eastAsia="宋体" w:cs="Times New Roman"/>
          <w:sz w:val="24"/>
          <w:szCs w:val="24"/>
        </w:rPr>
        <w:t>国产产品与服务报项目现场交货人民币</w:t>
      </w:r>
      <w:r>
        <w:rPr>
          <w:rFonts w:ascii="Times New Roman" w:hAnsi="Times New Roman" w:eastAsia="宋体" w:cs="Times New Roman"/>
          <w:sz w:val="24"/>
          <w:szCs w:val="24"/>
          <w:lang w:eastAsia="zh"/>
        </w:rPr>
        <w:t>含税</w:t>
      </w:r>
      <w:r>
        <w:rPr>
          <w:rFonts w:ascii="Times New Roman" w:hAnsi="Times New Roman" w:eastAsia="宋体" w:cs="Times New Roman"/>
          <w:sz w:val="24"/>
          <w:szCs w:val="24"/>
        </w:rPr>
        <w:t>价。</w:t>
      </w:r>
      <w:r>
        <w:rPr>
          <w:rFonts w:ascii="Times New Roman" w:hAnsi="Times New Roman" w:eastAsia="宋体" w:cs="Times New Roman"/>
          <w:color w:val="000000"/>
          <w:sz w:val="24"/>
          <w:szCs w:val="24"/>
          <w:lang w:val="zh-CN"/>
        </w:rPr>
        <w:t>投标价包含仪器设备的价款、包装、税费、运输、装卸、安装、调试、技术指导、培训、咨询、服务、保险、检测、验收合格交付使用之前以及技术和售后服务等其他各项有关费用。</w:t>
      </w:r>
    </w:p>
    <w:p w14:paraId="4368C595">
      <w:pPr>
        <w:tabs>
          <w:tab w:val="left" w:pos="420"/>
        </w:tabs>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sz w:val="24"/>
          <w:szCs w:val="24"/>
        </w:rPr>
        <w:t>在中国关境内提供的进口产品及其有关服务的报项目现场人民币</w:t>
      </w:r>
      <w:r>
        <w:rPr>
          <w:rFonts w:ascii="Times New Roman" w:hAnsi="Times New Roman" w:eastAsia="宋体" w:cs="Times New Roman"/>
          <w:kern w:val="0"/>
          <w:sz w:val="24"/>
          <w:szCs w:val="24"/>
        </w:rPr>
        <w:t>含税</w:t>
      </w:r>
      <w:r>
        <w:rPr>
          <w:rFonts w:ascii="Times New Roman" w:hAnsi="Times New Roman" w:eastAsia="宋体" w:cs="Times New Roman"/>
          <w:sz w:val="24"/>
          <w:szCs w:val="24"/>
        </w:rPr>
        <w:t>价。报价中需包括向中华人民共和国政府缴纳的进口环节税、运输费、保险费以及所有至项目现场的其他相关费用。</w:t>
      </w:r>
      <w:r>
        <w:rPr>
          <w:rFonts w:ascii="Times New Roman" w:hAnsi="Times New Roman" w:eastAsia="宋体" w:cs="Times New Roman"/>
          <w:kern w:val="0"/>
          <w:sz w:val="24"/>
          <w:szCs w:val="24"/>
        </w:rPr>
        <w:t>采购人不再另行支付其他任何费用。</w:t>
      </w:r>
    </w:p>
    <w:p w14:paraId="2570C4F7">
      <w:pPr>
        <w:widowControl/>
        <w:tabs>
          <w:tab w:val="left" w:pos="900"/>
        </w:tabs>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（3）在中国境内的海关特殊监管区域内生产或加工销往境内其他地区的产品，不视为政府采购项下的进口产品，但报价要求同（1）。</w:t>
      </w:r>
    </w:p>
    <w:p w14:paraId="7240F76B">
      <w:pPr>
        <w:tabs>
          <w:tab w:val="left" w:pos="420"/>
        </w:tabs>
        <w:autoSpaceDE w:val="0"/>
        <w:autoSpaceDN w:val="0"/>
        <w:adjustRightInd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4）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4160ACD9">
      <w:pPr>
        <w:tabs>
          <w:tab w:val="left" w:pos="420"/>
        </w:tabs>
        <w:autoSpaceDE w:val="0"/>
        <w:autoSpaceDN w:val="0"/>
        <w:adjustRightInd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（5）投标报价不得超过采购预算（如有最高限价则不得超出最高限价）。</w:t>
      </w:r>
    </w:p>
    <w:p w14:paraId="34D3C6BE">
      <w:pPr>
        <w:tabs>
          <w:tab w:val="left" w:pos="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rPr>
      </w:pPr>
      <w:r>
        <w:rPr>
          <w:rFonts w:ascii="Times New Roman" w:hAnsi="Times New Roman" w:eastAsia="宋体" w:cs="Times New Roman"/>
          <w:b/>
          <w:bCs/>
          <w:color w:val="000000"/>
          <w:kern w:val="0"/>
          <w:sz w:val="24"/>
          <w:szCs w:val="24"/>
          <w:lang w:val="zh-CN"/>
        </w:rPr>
        <w:t>★4、</w:t>
      </w:r>
      <w:r>
        <w:rPr>
          <w:rFonts w:ascii="Times New Roman" w:hAnsi="Times New Roman" w:eastAsia="宋体" w:cs="Times New Roman"/>
          <w:b/>
          <w:bCs/>
          <w:color w:val="000000"/>
          <w:kern w:val="0"/>
          <w:sz w:val="24"/>
          <w:szCs w:val="24"/>
        </w:rPr>
        <w:t>进</w:t>
      </w:r>
      <w:r>
        <w:rPr>
          <w:rFonts w:ascii="Times New Roman" w:hAnsi="Times New Roman" w:eastAsia="宋体" w:cs="Times New Roman"/>
          <w:b/>
          <w:bCs/>
          <w:color w:val="000000"/>
          <w:kern w:val="0"/>
          <w:sz w:val="24"/>
          <w:szCs w:val="24"/>
          <w:lang w:val="zh-CN"/>
        </w:rPr>
        <w:t>口产品必须提供原厂有效授权</w:t>
      </w:r>
      <w:r>
        <w:rPr>
          <w:rFonts w:ascii="Times New Roman" w:hAnsi="Times New Roman" w:eastAsia="宋体" w:cs="Times New Roman"/>
          <w:b/>
          <w:bCs/>
          <w:color w:val="000000"/>
          <w:kern w:val="0"/>
          <w:sz w:val="24"/>
          <w:szCs w:val="24"/>
        </w:rPr>
        <w:t>书。国产产品无需提供。</w:t>
      </w:r>
    </w:p>
    <w:p w14:paraId="3B7C2C8F">
      <w:pPr>
        <w:tabs>
          <w:tab w:val="left" w:pos="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lang w:val="zh-CN"/>
        </w:rPr>
      </w:pPr>
      <w:r>
        <w:rPr>
          <w:rFonts w:ascii="Times New Roman" w:hAnsi="Times New Roman" w:eastAsia="宋体" w:cs="Times New Roman"/>
          <w:b/>
          <w:bCs/>
          <w:color w:val="000000"/>
          <w:kern w:val="0"/>
          <w:sz w:val="24"/>
          <w:szCs w:val="24"/>
          <w:lang w:val="zh-CN"/>
        </w:rPr>
        <w:t>★5、付款方式：</w:t>
      </w:r>
    </w:p>
    <w:p w14:paraId="25C63302">
      <w:pPr>
        <w:tabs>
          <w:tab w:val="left" w:pos="0"/>
        </w:tabs>
        <w:autoSpaceDE w:val="0"/>
        <w:autoSpaceDN w:val="0"/>
        <w:adjustRightInd w:val="0"/>
        <w:spacing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对于国产产品，100%凭用户代表签字并加盖单位公章后的验收报告支付；</w:t>
      </w:r>
    </w:p>
    <w:p w14:paraId="3F9F8B06">
      <w:pPr>
        <w:tabs>
          <w:tab w:val="left" w:pos="0"/>
        </w:tabs>
        <w:autoSpaceDE w:val="0"/>
        <w:autoSpaceDN w:val="0"/>
        <w:adjustRightInd w:val="0"/>
        <w:spacing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对于进口产品，采用即期不可撤销信用证等国际贸易支付条件支付：</w:t>
      </w:r>
    </w:p>
    <w:p w14:paraId="66A540F7">
      <w:pPr>
        <w:tabs>
          <w:tab w:val="left" w:pos="0"/>
        </w:tabs>
        <w:autoSpaceDE w:val="0"/>
        <w:autoSpaceDN w:val="0"/>
        <w:adjustRightInd w:val="0"/>
        <w:spacing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      </w:t>
      </w:r>
      <w:r>
        <w:rPr>
          <w:rFonts w:ascii="Times New Roman" w:hAnsi="Times New Roman" w:eastAsia="宋体" w:cs="Times New Roman"/>
          <w:color w:val="000000"/>
          <w:sz w:val="24"/>
          <w:szCs w:val="24"/>
        </w:rPr>
        <w:t>8</w:t>
      </w:r>
      <w:r>
        <w:rPr>
          <w:rFonts w:ascii="Times New Roman" w:hAnsi="Times New Roman" w:eastAsia="宋体" w:cs="Times New Roman"/>
          <w:color w:val="000000"/>
          <w:sz w:val="24"/>
          <w:szCs w:val="24"/>
          <w:lang w:val="zh-CN"/>
        </w:rPr>
        <w:t>0%凭合同要求单据支付；</w:t>
      </w:r>
    </w:p>
    <w:p w14:paraId="6CBA3120">
      <w:pPr>
        <w:tabs>
          <w:tab w:val="left" w:pos="0"/>
        </w:tabs>
        <w:autoSpaceDE w:val="0"/>
        <w:autoSpaceDN w:val="0"/>
        <w:adjustRightInd w:val="0"/>
        <w:spacing w:line="360" w:lineRule="auto"/>
        <w:rPr>
          <w:rFonts w:ascii="Times New Roman" w:hAnsi="Times New Roman" w:eastAsia="宋体" w:cs="Times New Roman"/>
          <w:color w:val="000000"/>
          <w:kern w:val="0"/>
          <w:sz w:val="24"/>
          <w:szCs w:val="24"/>
        </w:rPr>
      </w:pPr>
      <w:r>
        <w:rPr>
          <w:rFonts w:ascii="Times New Roman" w:hAnsi="Times New Roman" w:eastAsia="宋体" w:cs="Times New Roman"/>
          <w:color w:val="000000"/>
          <w:sz w:val="24"/>
          <w:szCs w:val="24"/>
          <w:lang w:val="zh-CN"/>
        </w:rPr>
        <w:t xml:space="preserve">      </w:t>
      </w:r>
      <w:r>
        <w:rPr>
          <w:rFonts w:ascii="Times New Roman" w:hAnsi="Times New Roman" w:eastAsia="宋体" w:cs="Times New Roman"/>
          <w:color w:val="000000"/>
          <w:sz w:val="24"/>
          <w:szCs w:val="24"/>
        </w:rPr>
        <w:t>2</w:t>
      </w:r>
      <w:r>
        <w:rPr>
          <w:rFonts w:ascii="Times New Roman" w:hAnsi="Times New Roman" w:eastAsia="宋体" w:cs="Times New Roman"/>
          <w:color w:val="000000"/>
          <w:sz w:val="24"/>
          <w:szCs w:val="24"/>
          <w:lang w:val="zh-CN"/>
        </w:rPr>
        <w:t>0%凭用户代表签字并加盖单位公章后的验收报告支付。</w:t>
      </w:r>
    </w:p>
    <w:p w14:paraId="3DFB79F5">
      <w:pPr>
        <w:tabs>
          <w:tab w:val="left" w:pos="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lang w:val="zh-CN"/>
        </w:rPr>
      </w:pPr>
      <w:r>
        <w:rPr>
          <w:rFonts w:ascii="Times New Roman" w:hAnsi="Times New Roman" w:eastAsia="宋体" w:cs="Times New Roman"/>
          <w:b/>
          <w:bCs/>
          <w:color w:val="000000"/>
          <w:kern w:val="0"/>
          <w:sz w:val="24"/>
          <w:szCs w:val="24"/>
          <w:lang w:val="zh-CN"/>
        </w:rPr>
        <w:t>6、质保</w:t>
      </w:r>
      <w:r>
        <w:rPr>
          <w:rFonts w:ascii="Times New Roman" w:hAnsi="Times New Roman" w:eastAsia="宋体" w:cs="Times New Roman"/>
          <w:b/>
          <w:bCs/>
          <w:color w:val="000000"/>
          <w:kern w:val="0"/>
          <w:sz w:val="24"/>
          <w:szCs w:val="24"/>
        </w:rPr>
        <w:t>及</w:t>
      </w:r>
      <w:r>
        <w:rPr>
          <w:rFonts w:ascii="Times New Roman" w:hAnsi="Times New Roman" w:eastAsia="宋体" w:cs="Times New Roman"/>
          <w:b/>
          <w:bCs/>
          <w:color w:val="000000"/>
          <w:kern w:val="0"/>
          <w:sz w:val="24"/>
          <w:szCs w:val="24"/>
          <w:lang w:val="zh-CN"/>
        </w:rPr>
        <w:t>售后服务</w:t>
      </w:r>
      <w:r>
        <w:rPr>
          <w:rFonts w:ascii="Times New Roman" w:hAnsi="Times New Roman" w:eastAsia="宋体" w:cs="Times New Roman"/>
          <w:b/>
          <w:bCs/>
          <w:color w:val="000000"/>
          <w:kern w:val="0"/>
          <w:sz w:val="24"/>
          <w:szCs w:val="24"/>
        </w:rPr>
        <w:t>要求</w:t>
      </w:r>
      <w:r>
        <w:rPr>
          <w:rFonts w:ascii="Times New Roman" w:hAnsi="Times New Roman" w:eastAsia="宋体" w:cs="Times New Roman"/>
          <w:b/>
          <w:bCs/>
          <w:color w:val="000000"/>
          <w:kern w:val="0"/>
          <w:sz w:val="24"/>
          <w:szCs w:val="24"/>
          <w:lang w:val="zh-CN"/>
        </w:rPr>
        <w:t>：</w:t>
      </w:r>
    </w:p>
    <w:p w14:paraId="7382840B">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投标人需为本项目配备足够的售后服务力量，具有国内本地化的服务团队。</w:t>
      </w:r>
    </w:p>
    <w:p w14:paraId="7110843E">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投标人售后服务响应时间：电话响应时间要求8小时内，到场响应时间要求2个工作日内（指从接到报障至到达故障现场的时间）。</w:t>
      </w:r>
    </w:p>
    <w:p w14:paraId="21AE2E3E">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投标人免费提供技术支持热线电话，满足24小时热线服务。</w:t>
      </w:r>
    </w:p>
    <w:p w14:paraId="3230D3C5">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投标人免费提供email技术支持，并且在24小时内回复。</w:t>
      </w:r>
    </w:p>
    <w:p w14:paraId="1638FED7">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kern w:val="0"/>
          <w:sz w:val="24"/>
          <w:szCs w:val="24"/>
          <w:lang w:val="zh-CN"/>
        </w:rPr>
        <w:t>★</w:t>
      </w:r>
      <w:r>
        <w:rPr>
          <w:rFonts w:ascii="Times New Roman" w:hAnsi="Times New Roman" w:eastAsia="宋体" w:cs="Times New Roman"/>
          <w:color w:val="000000"/>
          <w:sz w:val="24"/>
          <w:szCs w:val="24"/>
        </w:rPr>
        <w:t>投标人提供仪器设备的免费保修期</w:t>
      </w:r>
      <w:r>
        <w:rPr>
          <w:rFonts w:hint="eastAsia" w:ascii="Times New Roman" w:hAnsi="Times New Roman" w:eastAsia="宋体" w:cs="Times New Roman"/>
          <w:color w:val="000000"/>
          <w:sz w:val="24"/>
          <w:szCs w:val="24"/>
        </w:rPr>
        <w:t>5</w:t>
      </w:r>
      <w:r>
        <w:rPr>
          <w:rFonts w:ascii="Times New Roman" w:hAnsi="Times New Roman" w:eastAsia="宋体" w:cs="Times New Roman"/>
          <w:color w:val="000000"/>
          <w:sz w:val="24"/>
          <w:szCs w:val="24"/>
        </w:rPr>
        <w:t>年</w:t>
      </w:r>
      <w:r>
        <w:rPr>
          <w:rFonts w:hint="eastAsia" w:ascii="Times New Roman" w:hAnsi="Times New Roman" w:eastAsia="宋体" w:cs="Times New Roman"/>
          <w:color w:val="000000"/>
          <w:sz w:val="24"/>
          <w:szCs w:val="24"/>
        </w:rPr>
        <w:t>（其中全光谱流式细胞分析仪主机，含样本针，质保期六年）</w:t>
      </w:r>
      <w:r>
        <w:rPr>
          <w:rFonts w:ascii="Times New Roman" w:hAnsi="Times New Roman" w:eastAsia="宋体" w:cs="Times New Roman"/>
          <w:color w:val="000000"/>
          <w:sz w:val="24"/>
          <w:szCs w:val="24"/>
        </w:rPr>
        <w:t>（保修期内免费维修并更换除消耗品以外的零部件，维修人员的路费、食宿等自理）。</w:t>
      </w:r>
    </w:p>
    <w:p w14:paraId="23954284">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投标人提供该设备的技术使用说明书及外购配件仪器说明书，并指导在使用该设备时的操作注意事项等。</w:t>
      </w:r>
    </w:p>
    <w:p w14:paraId="30259593">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kern w:val="0"/>
          <w:sz w:val="24"/>
          <w:szCs w:val="24"/>
          <w:lang w:val="zh-CN"/>
        </w:rPr>
        <w:t>★</w:t>
      </w:r>
      <w:r>
        <w:rPr>
          <w:rFonts w:ascii="Times New Roman" w:hAnsi="Times New Roman" w:eastAsia="宋体" w:cs="Times New Roman"/>
          <w:color w:val="000000"/>
          <w:sz w:val="24"/>
          <w:szCs w:val="24"/>
        </w:rPr>
        <w:t>投标人提供配套软件五年内免费升级服务。</w:t>
      </w:r>
    </w:p>
    <w:p w14:paraId="2CE7F727">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kern w:val="0"/>
          <w:sz w:val="24"/>
          <w:szCs w:val="24"/>
          <w:lang w:val="zh-CN"/>
        </w:rPr>
        <w:t>★</w:t>
      </w:r>
      <w:r>
        <w:rPr>
          <w:rFonts w:ascii="Times New Roman" w:hAnsi="Times New Roman" w:eastAsia="宋体" w:cs="Times New Roman"/>
          <w:color w:val="000000"/>
          <w:sz w:val="24"/>
          <w:szCs w:val="24"/>
        </w:rPr>
        <w:t>验收后，根据甲方需要搬迁的，提供第二次免费搬运、保险服务及后续的安装调试服务</w:t>
      </w:r>
      <w:r>
        <w:rPr>
          <w:rFonts w:hint="eastAsia" w:ascii="Times New Roman" w:hAnsi="Times New Roman" w:eastAsia="宋体" w:cs="Times New Roman"/>
          <w:color w:val="000000"/>
          <w:sz w:val="24"/>
          <w:szCs w:val="24"/>
        </w:rPr>
        <w:t>，报价应包含在总价中</w:t>
      </w:r>
      <w:r>
        <w:rPr>
          <w:rFonts w:ascii="Times New Roman" w:hAnsi="Times New Roman" w:eastAsia="宋体" w:cs="Times New Roman"/>
          <w:color w:val="000000"/>
          <w:sz w:val="24"/>
          <w:szCs w:val="24"/>
        </w:rPr>
        <w:t>。</w:t>
      </w:r>
    </w:p>
    <w:p w14:paraId="5A016956">
      <w:pPr>
        <w:widowControl/>
        <w:numPr>
          <w:ilvl w:val="0"/>
          <w:numId w:val="1"/>
        </w:numPr>
        <w:tabs>
          <w:tab w:val="left" w:pos="420"/>
          <w:tab w:val="clear" w:pos="1500"/>
        </w:tabs>
        <w:spacing w:before="156" w:beforeLines="50"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kern w:val="0"/>
          <w:sz w:val="24"/>
          <w:szCs w:val="24"/>
          <w:lang w:val="zh-CN"/>
        </w:rPr>
        <w:t>★</w:t>
      </w:r>
      <w:r>
        <w:rPr>
          <w:rFonts w:hint="eastAsia" w:ascii="Times New Roman" w:hAnsi="Times New Roman" w:eastAsia="宋体" w:cs="Times New Roman"/>
          <w:color w:val="000000"/>
          <w:sz w:val="24"/>
          <w:szCs w:val="24"/>
        </w:rPr>
        <w:t>保修期满前 1个月内投标人应负责一次免费全面检查，并写出正式报告，如发现潜在问题，应负责排除。</w:t>
      </w:r>
    </w:p>
    <w:p w14:paraId="0332DDBD">
      <w:pPr>
        <w:spacing w:line="360" w:lineRule="auto"/>
        <w:rPr>
          <w:rFonts w:ascii="Times New Roman" w:hAnsi="Times New Roman" w:eastAsia="宋体" w:cs="Times New Roman"/>
          <w:color w:val="000000"/>
          <w:sz w:val="24"/>
          <w:szCs w:val="24"/>
          <w:lang w:val="zh-CN"/>
        </w:rPr>
      </w:pPr>
    </w:p>
    <w:p w14:paraId="517158CD">
      <w:pPr>
        <w:widowControl/>
        <w:spacing w:line="360" w:lineRule="auto"/>
        <w:ind w:left="425" w:hanging="425"/>
        <w:rPr>
          <w:rFonts w:ascii="Times New Roman" w:hAnsi="Times New Roman" w:eastAsia="宋体" w:cs="Times New Roman"/>
          <w:b/>
          <w:color w:val="000000"/>
          <w:sz w:val="24"/>
          <w:szCs w:val="24"/>
        </w:rPr>
      </w:pPr>
      <w:r>
        <w:rPr>
          <w:rFonts w:ascii="Times New Roman" w:hAnsi="Times New Roman" w:eastAsia="宋体" w:cs="Times New Roman"/>
          <w:b/>
          <w:bCs/>
          <w:color w:val="000000"/>
          <w:sz w:val="24"/>
          <w:szCs w:val="24"/>
        </w:rPr>
        <w:t>7、</w:t>
      </w:r>
      <w:r>
        <w:rPr>
          <w:rFonts w:ascii="Times New Roman" w:hAnsi="Times New Roman" w:eastAsia="宋体" w:cs="Times New Roman"/>
          <w:b/>
          <w:color w:val="000000"/>
          <w:sz w:val="24"/>
          <w:szCs w:val="24"/>
        </w:rPr>
        <w:t>培训要求：</w:t>
      </w:r>
    </w:p>
    <w:p w14:paraId="046892B6">
      <w:pPr>
        <w:tabs>
          <w:tab w:val="left" w:pos="420"/>
        </w:tabs>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（1）为保证投标人所提供的仪器设备安全、可靠运行，便于采购人的运行维护，必须对采购人培训合格的维护和管理人员。</w:t>
      </w:r>
    </w:p>
    <w:p w14:paraId="3AD0F941">
      <w:pPr>
        <w:tabs>
          <w:tab w:val="left" w:pos="420"/>
        </w:tabs>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（2）投标人负责对采购人提供至少一次现场技术培训，以便工作人员在培训后能熟练地掌握系统的维护工作，并能及时排除大部分的系统障碍。</w:t>
      </w:r>
    </w:p>
    <w:p w14:paraId="7DF701BC">
      <w:pPr>
        <w:tabs>
          <w:tab w:val="left" w:pos="420"/>
        </w:tabs>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（3）至少一次厂家工程师到采购人现场培训；必要时提供培训资料及课件，培训至采购人可以熟练操作为止。</w:t>
      </w:r>
    </w:p>
    <w:p w14:paraId="080A824F">
      <w:pPr>
        <w:tabs>
          <w:tab w:val="left" w:pos="42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lang w:val="zh-CN"/>
        </w:rPr>
      </w:pPr>
      <w:r>
        <w:rPr>
          <w:rFonts w:ascii="Times New Roman" w:hAnsi="Times New Roman" w:eastAsia="宋体" w:cs="Times New Roman"/>
          <w:b/>
          <w:bCs/>
          <w:color w:val="000000"/>
          <w:kern w:val="0"/>
          <w:sz w:val="24"/>
          <w:szCs w:val="24"/>
          <w:lang w:val="zh-CN"/>
        </w:rPr>
        <w:t>8、运输及包装方式的要求</w:t>
      </w:r>
    </w:p>
    <w:p w14:paraId="1635D1AA">
      <w:pPr>
        <w:autoSpaceDE w:val="0"/>
        <w:autoSpaceDN w:val="0"/>
        <w:adjustRightInd w:val="0"/>
        <w:spacing w:line="360" w:lineRule="auto"/>
        <w:ind w:firstLine="480" w:firstLineChars="200"/>
        <w:rPr>
          <w:rFonts w:ascii="Times New Roman" w:hAnsi="Times New Roman" w:eastAsia="宋体" w:cs="Times New Roman"/>
          <w:color w:val="000000"/>
          <w:kern w:val="0"/>
          <w:sz w:val="24"/>
          <w:szCs w:val="24"/>
          <w:lang w:val="zh-CN"/>
        </w:rPr>
      </w:pPr>
      <w:r>
        <w:rPr>
          <w:rFonts w:ascii="Times New Roman" w:hAnsi="Times New Roman" w:eastAsia="宋体" w:cs="Times New Roman"/>
          <w:color w:val="000000"/>
          <w:kern w:val="0"/>
          <w:sz w:val="24"/>
          <w:szCs w:val="24"/>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29B92CBE">
      <w:pPr>
        <w:tabs>
          <w:tab w:val="left" w:pos="42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lang w:val="zh-CN"/>
        </w:rPr>
      </w:pPr>
      <w:r>
        <w:rPr>
          <w:rFonts w:ascii="Times New Roman" w:hAnsi="Times New Roman" w:eastAsia="宋体" w:cs="Times New Roman"/>
          <w:b/>
          <w:bCs/>
          <w:color w:val="000000"/>
          <w:kern w:val="0"/>
          <w:sz w:val="24"/>
          <w:szCs w:val="24"/>
          <w:lang w:val="zh-CN"/>
        </w:rPr>
        <w:t>9、安装、调试及验收：</w:t>
      </w:r>
    </w:p>
    <w:p w14:paraId="3FF64187">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1</w:t>
      </w:r>
      <w:r>
        <w:rPr>
          <w:rFonts w:ascii="Times New Roman" w:hAnsi="Times New Roman" w:eastAsia="宋体" w:cs="Times New Roman"/>
          <w:sz w:val="24"/>
          <w:szCs w:val="24"/>
          <w:lang w:val="zh-CN"/>
        </w:rPr>
        <w:t>）</w:t>
      </w:r>
      <w:r>
        <w:rPr>
          <w:rFonts w:ascii="Times New Roman" w:hAnsi="Times New Roman" w:eastAsia="宋体" w:cs="Times New Roman"/>
          <w:sz w:val="24"/>
          <w:szCs w:val="24"/>
        </w:rPr>
        <w:t>合同签订后15天内，中标人应</w:t>
      </w:r>
      <w:r>
        <w:rPr>
          <w:rFonts w:ascii="Times New Roman" w:hAnsi="Times New Roman" w:eastAsia="宋体" w:cs="Times New Roman"/>
          <w:sz w:val="24"/>
          <w:szCs w:val="24"/>
          <w:lang w:val="zh-CN"/>
        </w:rPr>
        <w:t>提供</w:t>
      </w:r>
      <w:r>
        <w:rPr>
          <w:rFonts w:ascii="Times New Roman" w:hAnsi="Times New Roman" w:eastAsia="宋体" w:cs="Times New Roman"/>
          <w:sz w:val="24"/>
          <w:szCs w:val="24"/>
        </w:rPr>
        <w:t>仪器安装前对实验室的具体安装</w:t>
      </w:r>
      <w:r>
        <w:rPr>
          <w:rFonts w:ascii="Times New Roman" w:hAnsi="Times New Roman" w:eastAsia="宋体" w:cs="Times New Roman"/>
          <w:sz w:val="24"/>
          <w:szCs w:val="24"/>
          <w:lang w:val="zh-CN"/>
        </w:rPr>
        <w:t>条件</w:t>
      </w:r>
      <w:r>
        <w:rPr>
          <w:rFonts w:ascii="Times New Roman" w:hAnsi="Times New Roman" w:eastAsia="宋体" w:cs="Times New Roman"/>
          <w:sz w:val="24"/>
          <w:szCs w:val="24"/>
        </w:rPr>
        <w:t>要求</w:t>
      </w:r>
      <w:r>
        <w:rPr>
          <w:rFonts w:ascii="Times New Roman" w:hAnsi="Times New Roman" w:eastAsia="宋体" w:cs="Times New Roman"/>
          <w:sz w:val="24"/>
          <w:szCs w:val="24"/>
          <w:lang w:val="zh-CN"/>
        </w:rPr>
        <w:t>，</w:t>
      </w:r>
      <w:r>
        <w:rPr>
          <w:rFonts w:ascii="Times New Roman" w:hAnsi="Times New Roman" w:eastAsia="宋体" w:cs="Times New Roman"/>
          <w:sz w:val="24"/>
          <w:szCs w:val="24"/>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653C9CFA">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2</w:t>
      </w:r>
      <w:r>
        <w:rPr>
          <w:rFonts w:ascii="Times New Roman" w:hAnsi="Times New Roman" w:eastAsia="宋体" w:cs="Times New Roman"/>
          <w:sz w:val="24"/>
          <w:szCs w:val="24"/>
          <w:lang w:val="zh-CN"/>
        </w:rPr>
        <w:t xml:space="preserve">）仪器设备运抵安装现场后，采购人将与中标人共同开箱验收, 如中标人届时不派人来, 则验收结果应以采购人的验收报告为最终验收结果。验收时发现短缺、破损, 采购人有权要求中标人立即补发和负责更换。 </w:t>
      </w:r>
    </w:p>
    <w:p w14:paraId="615F00DB">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3</w:t>
      </w:r>
      <w:r>
        <w:rPr>
          <w:rFonts w:ascii="Times New Roman" w:hAnsi="Times New Roman" w:eastAsia="宋体" w:cs="Times New Roman"/>
          <w:sz w:val="24"/>
          <w:szCs w:val="24"/>
          <w:lang w:val="zh-CN"/>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14B0A9D4">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4</w:t>
      </w:r>
      <w:r>
        <w:rPr>
          <w:rFonts w:ascii="Times New Roman" w:hAnsi="Times New Roman" w:eastAsia="宋体" w:cs="Times New Roman"/>
          <w:sz w:val="24"/>
          <w:szCs w:val="24"/>
          <w:lang w:val="zh-CN"/>
        </w:rPr>
        <w:t>）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w:t>
      </w:r>
      <w:r>
        <w:rPr>
          <w:rFonts w:ascii="Times New Roman" w:hAnsi="Times New Roman" w:eastAsia="宋体" w:cs="Times New Roman"/>
          <w:bCs/>
          <w:kern w:val="0"/>
          <w:sz w:val="24"/>
          <w:szCs w:val="24"/>
          <w:lang w:val="zh-CN"/>
        </w:rPr>
        <w:t>以上都包含在总价中，无需采购人另行支付费用。</w:t>
      </w:r>
      <w:r>
        <w:rPr>
          <w:rFonts w:ascii="Times New Roman" w:hAnsi="Times New Roman" w:eastAsia="宋体" w:cs="Times New Roman"/>
          <w:sz w:val="24"/>
          <w:szCs w:val="24"/>
          <w:lang w:val="zh-CN"/>
        </w:rPr>
        <w:t xml:space="preserve">  </w:t>
      </w:r>
    </w:p>
    <w:p w14:paraId="586FDC71">
      <w:pPr>
        <w:widowControl w:val="0"/>
        <w:spacing w:after="0" w:line="360" w:lineRule="auto"/>
        <w:ind w:left="0" w:leftChars="0" w:firstLine="0" w:firstLineChars="0"/>
        <w:jc w:val="both"/>
        <w:rPr>
          <w:rFonts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b/>
          <w:bCs/>
          <w:color w:val="000000"/>
          <w:kern w:val="0"/>
          <w:sz w:val="24"/>
          <w:szCs w:val="24"/>
          <w:lang w:val="zh-CN" w:eastAsia="zh-CN" w:bidi="ar-SA"/>
        </w:rPr>
        <w:t>（5）</w:t>
      </w:r>
      <w:r>
        <w:rPr>
          <w:rFonts w:ascii="Times New Roman" w:hAnsi="Times New Roman" w:eastAsia="宋体" w:cs="Times New Roman"/>
          <w:b/>
          <w:bCs/>
          <w:color w:val="000000"/>
          <w:kern w:val="0"/>
          <w:sz w:val="24"/>
          <w:szCs w:val="24"/>
          <w:lang w:val="zh-CN" w:eastAsia="zh-CN" w:bidi="ar-SA"/>
        </w:rPr>
        <w:t>★</w:t>
      </w:r>
      <w:r>
        <w:rPr>
          <w:rFonts w:ascii="Times New Roman" w:hAnsi="Times New Roman" w:eastAsia="宋体" w:cs="Times New Roman"/>
          <w:color w:val="000000"/>
          <w:kern w:val="0"/>
          <w:sz w:val="24"/>
          <w:szCs w:val="24"/>
          <w:lang w:val="en-US" w:eastAsia="zh-CN" w:bidi="ar-SA"/>
        </w:rPr>
        <w:t>在仪器安装调试即培训完成后的3个月内，</w:t>
      </w:r>
      <w:r>
        <w:rPr>
          <w:rFonts w:hint="eastAsia" w:ascii="Times New Roman" w:hAnsi="Times New Roman" w:eastAsia="宋体" w:cs="Times New Roman"/>
          <w:color w:val="000000"/>
          <w:kern w:val="0"/>
          <w:sz w:val="24"/>
          <w:szCs w:val="24"/>
          <w:lang w:val="en-US" w:eastAsia="zh-CN" w:bidi="ar-SA"/>
        </w:rPr>
        <w:t>采购人</w:t>
      </w:r>
      <w:r>
        <w:rPr>
          <w:rFonts w:ascii="Times New Roman" w:hAnsi="Times New Roman" w:eastAsia="宋体" w:cs="Times New Roman"/>
          <w:color w:val="000000"/>
          <w:kern w:val="0"/>
          <w:sz w:val="24"/>
          <w:szCs w:val="24"/>
          <w:lang w:val="en-US" w:eastAsia="zh-CN" w:bidi="ar-SA"/>
        </w:rPr>
        <w:t>负责组织专家组(专家组须由5名及以上相关领域高级职称以上专家组成</w:t>
      </w:r>
      <w:r>
        <w:rPr>
          <w:rFonts w:hint="eastAsia" w:ascii="Times New Roman" w:hAnsi="Times New Roman" w:eastAsia="宋体" w:cs="Times New Roman"/>
          <w:color w:val="000000"/>
          <w:kern w:val="0"/>
          <w:sz w:val="24"/>
          <w:szCs w:val="24"/>
          <w:lang w:val="en-US" w:eastAsia="zh-CN" w:bidi="ar-SA"/>
        </w:rPr>
        <w:t>，其中第三方专家至少2名</w:t>
      </w:r>
      <w:r>
        <w:rPr>
          <w:rFonts w:ascii="Times New Roman" w:hAnsi="Times New Roman" w:eastAsia="宋体" w:cs="Times New Roman"/>
          <w:color w:val="000000"/>
          <w:kern w:val="0"/>
          <w:sz w:val="24"/>
          <w:szCs w:val="24"/>
          <w:lang w:val="en-US" w:eastAsia="zh-CN" w:bidi="ar-SA"/>
        </w:rPr>
        <w:t>)按合同约定的技术指标对标的货物进行技术验收。技术验收工作相关费用由</w:t>
      </w:r>
      <w:r>
        <w:rPr>
          <w:rFonts w:hint="eastAsia" w:ascii="Times New Roman" w:hAnsi="Times New Roman" w:eastAsia="宋体" w:cs="Times New Roman"/>
          <w:color w:val="000000"/>
          <w:kern w:val="0"/>
          <w:sz w:val="24"/>
          <w:szCs w:val="24"/>
          <w:lang w:val="en-US" w:eastAsia="zh-CN" w:bidi="ar-SA"/>
        </w:rPr>
        <w:t>中标人</w:t>
      </w:r>
      <w:r>
        <w:rPr>
          <w:rFonts w:ascii="Times New Roman" w:hAnsi="Times New Roman" w:eastAsia="宋体" w:cs="Times New Roman"/>
          <w:color w:val="000000"/>
          <w:kern w:val="0"/>
          <w:sz w:val="24"/>
          <w:szCs w:val="24"/>
          <w:lang w:val="en-US" w:eastAsia="zh-CN" w:bidi="ar-SA"/>
        </w:rPr>
        <w:t>承担。</w:t>
      </w:r>
    </w:p>
    <w:p w14:paraId="5668BE41">
      <w:pPr>
        <w:widowControl w:val="0"/>
        <w:tabs>
          <w:tab w:val="right" w:leader="dot" w:pos="9180"/>
        </w:tabs>
        <w:spacing w:line="360" w:lineRule="auto"/>
        <w:ind w:left="210"/>
        <w:jc w:val="left"/>
        <w:rPr>
          <w:rFonts w:ascii="Calibri" w:hAnsi="Calibri" w:eastAsia="宋体" w:cs="Times New Roman"/>
          <w:smallCaps/>
          <w:kern w:val="2"/>
          <w:sz w:val="21"/>
          <w:szCs w:val="24"/>
          <w:lang w:val="zh-CN" w:eastAsia="zh-CN" w:bidi="ar-SA"/>
        </w:rPr>
      </w:pPr>
    </w:p>
    <w:p w14:paraId="0B57B056">
      <w:pPr>
        <w:rPr>
          <w:rFonts w:ascii="Times New Roman" w:hAnsi="Times New Roman" w:eastAsia="宋体" w:cs="Times New Roman"/>
          <w:szCs w:val="22"/>
          <w:lang w:val="zh-CN"/>
        </w:rPr>
      </w:pPr>
    </w:p>
    <w:p w14:paraId="3E149C39">
      <w:pPr>
        <w:tabs>
          <w:tab w:val="left" w:pos="420"/>
        </w:tabs>
        <w:autoSpaceDE w:val="0"/>
        <w:autoSpaceDN w:val="0"/>
        <w:adjustRightInd w:val="0"/>
        <w:spacing w:line="360" w:lineRule="auto"/>
        <w:ind w:left="425" w:hanging="425"/>
        <w:rPr>
          <w:rFonts w:ascii="Times New Roman" w:hAnsi="Times New Roman" w:eastAsia="宋体" w:cs="Times New Roman"/>
          <w:b/>
          <w:bCs/>
          <w:color w:val="000000"/>
          <w:kern w:val="0"/>
          <w:sz w:val="24"/>
          <w:szCs w:val="24"/>
          <w:lang w:val="zh-CN"/>
        </w:rPr>
      </w:pPr>
      <w:r>
        <w:rPr>
          <w:rFonts w:ascii="Times New Roman" w:hAnsi="Times New Roman" w:eastAsia="宋体" w:cs="Times New Roman"/>
          <w:b/>
          <w:bCs/>
          <w:color w:val="000000"/>
          <w:kern w:val="0"/>
          <w:sz w:val="24"/>
          <w:szCs w:val="24"/>
          <w:lang w:val="zh-CN"/>
        </w:rPr>
        <w:t>10、质量及知识产权要求</w:t>
      </w:r>
    </w:p>
    <w:p w14:paraId="37BA0D66">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1</w:t>
      </w:r>
      <w:r>
        <w:rPr>
          <w:rFonts w:ascii="Times New Roman" w:hAnsi="Times New Roman" w:eastAsia="宋体" w:cs="Times New Roman"/>
          <w:sz w:val="24"/>
          <w:szCs w:val="24"/>
          <w:lang w:val="zh-CN"/>
        </w:rPr>
        <w:t>）投标人提供完好、全新的原包装产品（包括零配件），随机技术资料齐全。产品符合国家质量检测标准，必须具有生产日期、厂名、厂址、产品合格证等。进口产品须提供海关进货单（复印件备查）。</w:t>
      </w:r>
    </w:p>
    <w:p w14:paraId="77A0E1F6">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（2）</w:t>
      </w:r>
      <w:r>
        <w:rPr>
          <w:rFonts w:ascii="Times New Roman" w:hAnsi="Times New Roman" w:eastAsia="宋体" w:cs="Times New Roman"/>
          <w:sz w:val="24"/>
          <w:szCs w:val="24"/>
          <w:lang w:val="zh-CN"/>
        </w:rPr>
        <w:t>采购人在中国使用该货物或货物的任何一部分时，免受第三方提出的侵犯其专利权、商标权或工业设计权等知识产权的起诉或司法干预。如果发生上述起诉或干预，则其法律责任均由投标人负责。</w:t>
      </w:r>
    </w:p>
    <w:p w14:paraId="72098763">
      <w:pPr>
        <w:tabs>
          <w:tab w:val="left" w:pos="420"/>
        </w:tabs>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（3）知识产权归属：投标人应承诺基于本次招标项目如产生新的技术成果及知识产权归招标人所有。</w:t>
      </w:r>
    </w:p>
    <w:p w14:paraId="729BC5E4">
      <w:pPr>
        <w:widowControl w:val="0"/>
        <w:spacing w:before="240" w:after="60" w:line="360" w:lineRule="auto"/>
        <w:ind w:left="1047" w:right="708" w:rightChars="337" w:hanging="905"/>
        <w:jc w:val="both"/>
        <w:outlineLvl w:val="9"/>
        <w:rPr>
          <w:rFonts w:ascii="Times New Roman" w:hAnsi="Times New Roman" w:eastAsia="宋体" w:cs="Times New Roman"/>
          <w:b/>
          <w:bCs/>
          <w:color w:val="000000"/>
          <w:kern w:val="2"/>
          <w:sz w:val="24"/>
          <w:szCs w:val="24"/>
          <w:lang w:val="en-US" w:eastAsia="zh-CN" w:bidi="ar-SA"/>
        </w:rPr>
      </w:pPr>
    </w:p>
    <w:p w14:paraId="052DE041">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8053D9"/>
    <w:rsid w:val="5D805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2025-12-25T10:00:00Z</dcterms:created>
  <dc:creator>MJ</dc:creator>
  <cp:lastModifiedBy>MJ</cp:lastModifiedBy>
  <dcterms:modified xsi:type="dcterms:W3CDTF">2025-12-25T10:00:34Z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53EEC314BC33475DABED78B4368ECCCD_11</vt:lpwstr>
  </property>
  <property fmtid="{D5CDD505-2E9C-101B-9397-08002B2CF9AE}" pid="4" name="KSOTemplateDocerSaveRecord">
    <vt:lpwstr>eyJoZGlkIjoiNTllZjI4Y2IyNGIwMDYxOGQ1MzFmYzNiOTIzNDViOGIiLCJ1c2VySWQiOiIyMTI3NjUxMTMifQ==</vt:lpwstr>
  </property>
</Properties>
</file>