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04D5B2">
      <w:pPr>
        <w:adjustRightInd w:val="0"/>
        <w:snapToGrid w:val="0"/>
        <w:spacing w:after="156" w:afterLines="50" w:line="360" w:lineRule="auto"/>
        <w:jc w:val="center"/>
        <w:outlineLvl w:val="0"/>
        <w:rPr>
          <w:rFonts w:hint="eastAsia" w:ascii="黑体" w:hAnsi="Times New Roman" w:eastAsia="黑体" w:cs="Times New Roman"/>
          <w:b/>
          <w:color w:val="auto"/>
          <w:kern w:val="44"/>
          <w:sz w:val="48"/>
          <w:szCs w:val="20"/>
          <w:highlight w:val="none"/>
        </w:rPr>
      </w:pPr>
      <w:bookmarkStart w:id="0" w:name="_Toc129880039"/>
      <w:r>
        <w:rPr>
          <w:rFonts w:hint="eastAsia" w:ascii="宋体" w:hAnsi="宋体" w:eastAsia="宋体" w:cs="Times New Roman"/>
          <w:b/>
          <w:color w:val="auto"/>
          <w:sz w:val="30"/>
          <w:szCs w:val="30"/>
          <w:highlight w:val="none"/>
        </w:rPr>
        <w:t>第八部分 采购需求</w:t>
      </w:r>
      <w:bookmarkEnd w:id="0"/>
    </w:p>
    <w:p w14:paraId="217F9B44">
      <w:pPr>
        <w:adjustRightInd w:val="0"/>
        <w:snapToGrid w:val="0"/>
        <w:spacing w:before="156" w:beforeLines="50" w:after="156" w:afterLines="50" w:line="360" w:lineRule="auto"/>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货物需求一览表</w:t>
      </w:r>
    </w:p>
    <w:tbl>
      <w:tblPr>
        <w:tblStyle w:val="3"/>
        <w:tblW w:w="79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2585"/>
      </w:tblGrid>
      <w:tr w14:paraId="4262D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5197C36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包号</w:t>
            </w:r>
          </w:p>
        </w:tc>
        <w:tc>
          <w:tcPr>
            <w:tcW w:w="2640" w:type="dxa"/>
            <w:noWrap w:val="0"/>
            <w:vAlign w:val="center"/>
          </w:tcPr>
          <w:p w14:paraId="699430B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货物名称</w:t>
            </w:r>
          </w:p>
        </w:tc>
        <w:tc>
          <w:tcPr>
            <w:tcW w:w="635" w:type="dxa"/>
            <w:noWrap w:val="0"/>
            <w:vAlign w:val="center"/>
          </w:tcPr>
          <w:p w14:paraId="499A65B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320" w:type="dxa"/>
            <w:noWrap w:val="0"/>
            <w:vAlign w:val="center"/>
          </w:tcPr>
          <w:p w14:paraId="404C920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交货期</w:t>
            </w:r>
          </w:p>
        </w:tc>
        <w:tc>
          <w:tcPr>
            <w:tcW w:w="2585" w:type="dxa"/>
            <w:noWrap w:val="0"/>
            <w:vAlign w:val="center"/>
          </w:tcPr>
          <w:p w14:paraId="5B3C6F1E">
            <w:pPr>
              <w:jc w:val="center"/>
              <w:rPr>
                <w:rFonts w:hint="eastAsia" w:ascii="宋体" w:hAnsi="宋体" w:eastAsia="宋体" w:cs="宋体"/>
                <w:color w:val="auto"/>
                <w:sz w:val="24"/>
                <w:highlight w:val="none"/>
                <w:shd w:val="pct10" w:color="auto" w:fill="FFFFFF"/>
              </w:rPr>
            </w:pPr>
            <w:r>
              <w:rPr>
                <w:rFonts w:hint="eastAsia" w:ascii="宋体" w:hAnsi="宋体" w:eastAsia="宋体" w:cs="宋体"/>
                <w:color w:val="auto"/>
                <w:sz w:val="24"/>
                <w:highlight w:val="none"/>
              </w:rPr>
              <w:t>项目现场（交货地点）</w:t>
            </w:r>
          </w:p>
        </w:tc>
      </w:tr>
      <w:tr w14:paraId="13C52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235A3D8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640" w:type="dxa"/>
            <w:noWrap w:val="0"/>
            <w:vAlign w:val="center"/>
          </w:tcPr>
          <w:p w14:paraId="0B306691">
            <w:pPr>
              <w:jc w:val="center"/>
              <w:rPr>
                <w:rFonts w:hint="eastAsia" w:ascii="宋体" w:hAnsi="宋体" w:eastAsia="宋体" w:cs="宋体"/>
                <w:color w:val="auto"/>
                <w:sz w:val="24"/>
                <w:highlight w:val="none"/>
              </w:rPr>
            </w:pPr>
            <w:r>
              <w:rPr>
                <w:rFonts w:hint="eastAsia" w:ascii="Times New Roman" w:hAnsi="Times New Roman" w:eastAsia="宋体" w:cs="Times New Roman"/>
                <w:color w:val="auto"/>
                <w:sz w:val="24"/>
                <w:szCs w:val="32"/>
                <w:highlight w:val="none"/>
              </w:rPr>
              <w:t>超临界萃取系统</w:t>
            </w:r>
          </w:p>
        </w:tc>
        <w:tc>
          <w:tcPr>
            <w:tcW w:w="635" w:type="dxa"/>
            <w:noWrap w:val="0"/>
            <w:vAlign w:val="center"/>
          </w:tcPr>
          <w:p w14:paraId="28F0A69D">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1套</w:t>
            </w:r>
          </w:p>
        </w:tc>
        <w:tc>
          <w:tcPr>
            <w:tcW w:w="1320" w:type="dxa"/>
            <w:noWrap w:val="0"/>
            <w:vAlign w:val="center"/>
          </w:tcPr>
          <w:p w14:paraId="4459B24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合同签订后30天内交货</w:t>
            </w:r>
          </w:p>
        </w:tc>
        <w:tc>
          <w:tcPr>
            <w:tcW w:w="2585" w:type="dxa"/>
            <w:noWrap w:val="0"/>
            <w:vAlign w:val="center"/>
          </w:tcPr>
          <w:p w14:paraId="5A79E34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中国科学院昆明植物研究所指定地点</w:t>
            </w:r>
          </w:p>
        </w:tc>
      </w:tr>
    </w:tbl>
    <w:p w14:paraId="49CEF66C">
      <w:pPr>
        <w:rPr>
          <w:rFonts w:hint="eastAsia" w:ascii="Bookman Old Style" w:hAnsi="Bookman Old Style" w:eastAsia="宋体" w:cs="Times New Roman"/>
          <w:color w:val="auto"/>
          <w:sz w:val="24"/>
          <w:highlight w:val="none"/>
        </w:rPr>
      </w:pPr>
      <w:r>
        <w:rPr>
          <w:rFonts w:hint="eastAsia" w:ascii="Times New Roman" w:hAnsi="Times New Roman" w:eastAsia="宋体" w:cs="Times New Roman"/>
          <w:color w:val="auto"/>
          <w:sz w:val="24"/>
          <w:highlight w:val="none"/>
        </w:rPr>
        <w:t>注：投标人须对上述投标内容中完整的一包进行投标，</w:t>
      </w:r>
      <w:r>
        <w:rPr>
          <w:rFonts w:hint="eastAsia" w:ascii="Bookman Old Style" w:hAnsi="Bookman Old Style" w:eastAsia="宋体" w:cs="Times New Roman"/>
          <w:color w:val="auto"/>
          <w:sz w:val="24"/>
          <w:highlight w:val="none"/>
        </w:rPr>
        <w:t>不完整的投标将视为非响应性投标予以拒绝。</w:t>
      </w:r>
    </w:p>
    <w:p w14:paraId="694B85F1">
      <w:pPr>
        <w:adjustRightInd w:val="0"/>
        <w:snapToGrid w:val="0"/>
        <w:rPr>
          <w:rFonts w:hint="eastAsia" w:ascii="宋体" w:hAnsi="宋体" w:eastAsia="宋体" w:cs="Times New Roman"/>
          <w:color w:val="auto"/>
          <w:szCs w:val="21"/>
          <w:highlight w:val="none"/>
        </w:rPr>
      </w:pPr>
    </w:p>
    <w:p w14:paraId="7A63D761">
      <w:pPr>
        <w:adjustRightInd w:val="0"/>
        <w:snapToGrid w:val="0"/>
        <w:rPr>
          <w:rFonts w:hint="eastAsia" w:ascii="宋体" w:hAnsi="宋体" w:eastAsia="宋体" w:cs="Times New Roman"/>
          <w:color w:val="auto"/>
          <w:szCs w:val="21"/>
          <w:highlight w:val="none"/>
        </w:rPr>
      </w:pPr>
    </w:p>
    <w:p w14:paraId="722F2E7B">
      <w:pPr>
        <w:adjustRightInd w:val="0"/>
        <w:snapToGrid w:val="0"/>
        <w:rPr>
          <w:rFonts w:hint="eastAsia" w:ascii="宋体" w:hAnsi="宋体" w:eastAsia="宋体" w:cs="Times New Roman"/>
          <w:color w:val="auto"/>
          <w:szCs w:val="21"/>
          <w:highlight w:val="none"/>
        </w:rPr>
      </w:pPr>
    </w:p>
    <w:p w14:paraId="380E5581">
      <w:pPr>
        <w:adjustRightInd w:val="0"/>
        <w:snapToGrid w:val="0"/>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30"/>
          <w:szCs w:val="30"/>
          <w:highlight w:val="none"/>
        </w:rPr>
        <w:br w:type="page"/>
      </w:r>
      <w:r>
        <w:rPr>
          <w:rFonts w:hint="eastAsia" w:ascii="宋体" w:hAnsi="宋体" w:eastAsia="宋体" w:cs="Times New Roman"/>
          <w:b/>
          <w:color w:val="auto"/>
          <w:sz w:val="28"/>
          <w:szCs w:val="28"/>
          <w:highlight w:val="none"/>
        </w:rPr>
        <w:t>一、总则</w:t>
      </w:r>
    </w:p>
    <w:p w14:paraId="33E5377E">
      <w:pPr>
        <w:adjustRightInd w:val="0"/>
        <w:snapToGrid w:val="0"/>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w:t>
      </w:r>
      <w:r>
        <w:rPr>
          <w:rFonts w:hint="eastAsia" w:ascii="宋体" w:hAnsi="宋体" w:eastAsia="宋体" w:cs="Times New Roman"/>
          <w:b/>
          <w:color w:val="auto"/>
          <w:sz w:val="28"/>
          <w:szCs w:val="28"/>
          <w:highlight w:val="none"/>
        </w:rPr>
        <w:t>、投标要求</w:t>
      </w:r>
    </w:p>
    <w:p w14:paraId="493C38EC">
      <w:pPr>
        <w:spacing w:line="360" w:lineRule="auto"/>
        <w:ind w:left="554" w:hanging="554" w:hangingChars="231"/>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1.1 </w:t>
      </w:r>
      <w:r>
        <w:rPr>
          <w:rFonts w:hint="eastAsia" w:ascii="宋体" w:hAnsi="宋体" w:eastAsia="宋体" w:cs="Times New Roman"/>
          <w:color w:val="auto"/>
          <w:sz w:val="24"/>
          <w:highlight w:val="none"/>
        </w:rPr>
        <w:t xml:space="preserve"> 投标人在准备投标书时，务必在所提供的商品的技术规格文件中，标明型号、商标名称、目录号。</w:t>
      </w:r>
    </w:p>
    <w:p w14:paraId="52B899CF">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55EBC22">
      <w:pPr>
        <w:spacing w:line="360" w:lineRule="auto"/>
        <w:ind w:left="554" w:hanging="554" w:hangingChars="231"/>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1.3  </w:t>
      </w:r>
      <w:r>
        <w:rPr>
          <w:rFonts w:hint="eastAsia" w:ascii="Times New Roman" w:hAnsi="Times New Roman" w:eastAsia="宋体" w:cs="Times New Roman"/>
          <w:color w:val="auto"/>
          <w:sz w:val="24"/>
          <w:highlight w:val="none"/>
        </w:rPr>
        <w:t>投标人提供的</w:t>
      </w:r>
      <w:r>
        <w:rPr>
          <w:rFonts w:hint="eastAsia" w:ascii="宋体" w:hAnsi="Times New Roman" w:eastAsia="宋体" w:cs="Times New Roman"/>
          <w:color w:val="auto"/>
          <w:sz w:val="24"/>
          <w:highlight w:val="none"/>
        </w:rPr>
        <w:t>产品</w:t>
      </w:r>
      <w:r>
        <w:rPr>
          <w:rFonts w:hint="eastAsia" w:ascii="Times New Roman" w:hAnsi="Times New Roman" w:eastAsia="宋体" w:cs="Times New Roman"/>
          <w:color w:val="auto"/>
          <w:sz w:val="24"/>
          <w:highlight w:val="none"/>
        </w:rPr>
        <w:t>样品，必须是“原件”而非复印件，</w:t>
      </w:r>
      <w:r>
        <w:rPr>
          <w:rFonts w:hint="eastAsia" w:ascii="宋体" w:hAnsi="Times New Roman" w:eastAsia="宋体" w:cs="Times New Roman"/>
          <w:color w:val="auto"/>
          <w:sz w:val="24"/>
          <w:highlight w:val="none"/>
        </w:rPr>
        <w:t>图表、简图、电路图以及印刷电路板图等都应</w:t>
      </w:r>
      <w:r>
        <w:rPr>
          <w:rFonts w:hint="eastAsia" w:ascii="Times New Roman" w:hAnsi="Times New Roman" w:eastAsia="宋体" w:cs="Times New Roman"/>
          <w:color w:val="auto"/>
          <w:sz w:val="24"/>
          <w:highlight w:val="none"/>
        </w:rPr>
        <w:t>清晰易读。买方有权</w:t>
      </w:r>
      <w:r>
        <w:rPr>
          <w:rFonts w:hint="eastAsia" w:ascii="宋体" w:hAnsi="Times New Roman" w:eastAsia="宋体" w:cs="Times New Roman"/>
          <w:color w:val="auto"/>
          <w:sz w:val="24"/>
          <w:highlight w:val="none"/>
        </w:rPr>
        <w:t>不付任何附加费用</w:t>
      </w:r>
      <w:r>
        <w:rPr>
          <w:rFonts w:hint="eastAsia" w:ascii="Times New Roman" w:hAnsi="Times New Roman" w:eastAsia="宋体" w:cs="Times New Roman"/>
          <w:color w:val="auto"/>
          <w:sz w:val="24"/>
          <w:highlight w:val="none"/>
        </w:rPr>
        <w:t>复制这些资料</w:t>
      </w:r>
      <w:r>
        <w:rPr>
          <w:rFonts w:hint="eastAsia" w:ascii="宋体" w:hAnsi="Times New Roman" w:eastAsia="宋体" w:cs="Times New Roman"/>
          <w:color w:val="auto"/>
          <w:sz w:val="24"/>
          <w:highlight w:val="none"/>
        </w:rPr>
        <w:t>以供参考。</w:t>
      </w:r>
    </w:p>
    <w:p w14:paraId="3176A243">
      <w:pPr>
        <w:spacing w:line="360" w:lineRule="auto"/>
        <w:ind w:left="554" w:hanging="554" w:hangingChars="231"/>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7DD66AB">
      <w:pPr>
        <w:adjustRightInd w:val="0"/>
        <w:snapToGrid w:val="0"/>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2、评标标准</w:t>
      </w:r>
    </w:p>
    <w:p w14:paraId="339FD873">
      <w:pPr>
        <w:spacing w:line="360" w:lineRule="auto"/>
        <w:ind w:left="554" w:hanging="554" w:hangingChars="231"/>
        <w:rPr>
          <w:rFonts w:hint="eastAsia" w:ascii="宋体" w:hAnsi="Times New Roman"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 xml:space="preserve">1  </w:t>
      </w:r>
      <w:r>
        <w:rPr>
          <w:rFonts w:hint="eastAsia" w:ascii="Times New Roman" w:hAnsi="Times New Roman" w:eastAsia="宋体" w:cs="Times New Roman"/>
          <w:color w:val="auto"/>
          <w:sz w:val="24"/>
          <w:highlight w:val="none"/>
        </w:rPr>
        <w:t>除招标文件中指定的附件和专用工具外，</w:t>
      </w:r>
      <w:r>
        <w:rPr>
          <w:rFonts w:hint="eastAsia" w:ascii="宋体" w:hAnsi="Times New Roman" w:eastAsia="宋体" w:cs="Times New Roman"/>
          <w:color w:val="auto"/>
          <w:sz w:val="24"/>
          <w:highlight w:val="none"/>
        </w:rPr>
        <w:t>投标人应提供仪器设备的正常运行和常规保养所需的全套标准附件、专用工具</w:t>
      </w:r>
      <w:r>
        <w:rPr>
          <w:rFonts w:hint="eastAsia" w:ascii="Times New Roman" w:hAnsi="Times New Roman" w:eastAsia="宋体" w:cs="Times New Roman"/>
          <w:color w:val="auto"/>
          <w:sz w:val="24"/>
          <w:highlight w:val="none"/>
        </w:rPr>
        <w:t>和消耗品</w:t>
      </w:r>
      <w:r>
        <w:rPr>
          <w:rFonts w:hint="eastAsia" w:ascii="宋体" w:hAnsi="Times New Roman" w:eastAsia="宋体" w:cs="Times New Roman"/>
          <w:color w:val="auto"/>
          <w:sz w:val="24"/>
          <w:highlight w:val="none"/>
        </w:rPr>
        <w:t>。投标人在投标书中需列出这些附件和工具的数量和单价的清单，这些附件和工具的报价的总值需计入投标价中。</w:t>
      </w:r>
    </w:p>
    <w:p w14:paraId="1E3A6644">
      <w:pPr>
        <w:spacing w:line="360" w:lineRule="auto"/>
        <w:ind w:left="554" w:hanging="554" w:hangingChars="231"/>
        <w:rPr>
          <w:rFonts w:hint="eastAsia"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 xml:space="preserve">2.2  </w:t>
      </w:r>
      <w:r>
        <w:rPr>
          <w:rFonts w:hint="eastAsia" w:ascii="Times New Roman" w:hAnsi="Times New Roman" w:eastAsia="宋体" w:cs="Times New Roman"/>
          <w:color w:val="auto"/>
          <w:sz w:val="24"/>
          <w:highlight w:val="none"/>
        </w:rPr>
        <w:t>对于标书</w:t>
      </w:r>
      <w:r>
        <w:rPr>
          <w:rFonts w:hint="eastAsia" w:ascii="宋体" w:hAnsi="Times New Roman" w:eastAsia="宋体" w:cs="Times New Roman"/>
          <w:color w:val="auto"/>
          <w:sz w:val="24"/>
          <w:highlight w:val="none"/>
        </w:rPr>
        <w:t>技术规范中已列</w:t>
      </w:r>
      <w:r>
        <w:rPr>
          <w:rFonts w:hint="eastAsia" w:ascii="Times New Roman" w:hAnsi="Times New Roman" w:eastAsia="宋体" w:cs="Times New Roman"/>
          <w:color w:val="auto"/>
          <w:sz w:val="24"/>
          <w:highlight w:val="none"/>
        </w:rPr>
        <w:t>出的作为查询选件的附件、零配件、专用工具和消耗品，投标书中</w:t>
      </w:r>
      <w:r>
        <w:rPr>
          <w:rFonts w:hint="eastAsia" w:ascii="宋体" w:hAnsi="Times New Roman" w:eastAsia="宋体" w:cs="Times New Roman"/>
          <w:color w:val="auto"/>
          <w:sz w:val="24"/>
          <w:highlight w:val="none"/>
        </w:rPr>
        <w:t>应列明其数量、单价、总价供买方参考。投标人也可推荐买方没有要求的附件或专用工具作为选件，并列明其数量、单价、总价供买方参考。选件价格不计入评标价中。</w:t>
      </w:r>
    </w:p>
    <w:p w14:paraId="2555D612">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2.3  为便于用户进行接收仪器的准备工作，卖方应在合同生效后</w:t>
      </w:r>
      <w:r>
        <w:rPr>
          <w:rFonts w:hint="eastAsia" w:ascii="宋体" w:hAnsi="宋体" w:eastAsia="宋体" w:cs="Times New Roman"/>
          <w:b/>
          <w:color w:val="auto"/>
          <w:sz w:val="24"/>
          <w:highlight w:val="none"/>
        </w:rPr>
        <w:t>60</w:t>
      </w:r>
      <w:r>
        <w:rPr>
          <w:rFonts w:hint="eastAsia" w:ascii="宋体" w:hAnsi="宋体" w:eastAsia="宋体" w:cs="Times New Roman"/>
          <w:color w:val="auto"/>
          <w:sz w:val="24"/>
          <w:highlight w:val="none"/>
        </w:rPr>
        <w:t>天内向用户提供一套完整的使用说明书、操作手册、维修及安装说明等文件。另一套完整上述资料应在交货时随货包装提供给用户，这些费用应计入投标价中。</w:t>
      </w:r>
    </w:p>
    <w:p w14:paraId="62642BDF">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4</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6E5C6C18">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54111DFC">
      <w:pPr>
        <w:adjustRightInd w:val="0"/>
        <w:snapToGrid w:val="0"/>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3、工作条件</w:t>
      </w:r>
    </w:p>
    <w:p w14:paraId="661D9645">
      <w:pPr>
        <w:spacing w:after="312" w:afterLines="10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除非在技术规格中另有说明，所有仪器、设备和系统都应符合下列要求：</w:t>
      </w:r>
      <w:r>
        <w:rPr>
          <w:rFonts w:ascii="宋体" w:hAnsi="宋体" w:eastAsia="宋体" w:cs="Times New Roman"/>
          <w:color w:val="auto"/>
          <w:sz w:val="24"/>
          <w:highlight w:val="none"/>
        </w:rPr>
        <w:t xml:space="preserve"> </w:t>
      </w:r>
    </w:p>
    <w:p w14:paraId="586BB965">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3.1  适于在气温为摄氏</w:t>
      </w:r>
      <w:r>
        <w:rPr>
          <w:rFonts w:ascii="宋体" w:hAnsi="宋体" w:eastAsia="宋体" w:cs="Times New Roman"/>
          <w:b/>
          <w:color w:val="auto"/>
          <w:sz w:val="24"/>
          <w:highlight w:val="none"/>
        </w:rPr>
        <w:t>-40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和相对湿度为</w:t>
      </w:r>
      <w:r>
        <w:rPr>
          <w:rFonts w:ascii="宋体" w:hAnsi="宋体" w:eastAsia="宋体" w:cs="Times New Roman"/>
          <w:b/>
          <w:color w:val="auto"/>
          <w:sz w:val="24"/>
          <w:highlight w:val="none"/>
        </w:rPr>
        <w:t>90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的环境条件下运输和贮存。</w:t>
      </w:r>
    </w:p>
    <w:p w14:paraId="0B3B8DC4">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3.2  适于在电源</w:t>
      </w:r>
      <w:r>
        <w:rPr>
          <w:rFonts w:ascii="宋体" w:hAnsi="宋体" w:eastAsia="宋体" w:cs="Times New Roman"/>
          <w:b/>
          <w:color w:val="auto"/>
          <w:sz w:val="24"/>
          <w:highlight w:val="none"/>
        </w:rPr>
        <w:t>380V</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sym w:font="Symbol" w:char="F0B1"/>
      </w:r>
      <w:r>
        <w:rPr>
          <w:rFonts w:ascii="宋体" w:hAnsi="宋体" w:eastAsia="宋体" w:cs="Times New Roman"/>
          <w:b/>
          <w:color w:val="auto"/>
          <w:sz w:val="24"/>
          <w:highlight w:val="none"/>
        </w:rPr>
        <w:t>10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/50Hz</w:t>
      </w:r>
      <w:r>
        <w:rPr>
          <w:rFonts w:hint="eastAsia" w:ascii="宋体" w:hAnsi="宋体" w:eastAsia="宋体" w:cs="Times New Roman"/>
          <w:color w:val="auto"/>
          <w:sz w:val="24"/>
          <w:highlight w:val="none"/>
        </w:rPr>
        <w:t>、气温摄氏</w:t>
      </w:r>
      <w:r>
        <w:rPr>
          <w:rFonts w:hint="eastAsia" w:ascii="宋体" w:hAnsi="宋体" w:eastAsia="宋体" w:cs="Times New Roman"/>
          <w:b/>
          <w:color w:val="auto"/>
          <w:sz w:val="24"/>
          <w:highlight w:val="none"/>
        </w:rPr>
        <w:t>+1</w:t>
      </w:r>
      <w:r>
        <w:rPr>
          <w:rFonts w:ascii="宋体" w:hAnsi="宋体" w:eastAsia="宋体" w:cs="Times New Roman"/>
          <w:b/>
          <w:color w:val="auto"/>
          <w:sz w:val="24"/>
          <w:highlight w:val="none"/>
        </w:rPr>
        <w:t>5</w:t>
      </w:r>
      <w:r>
        <w:rPr>
          <w:rFonts w:hint="eastAsia" w:ascii="宋体" w:hAnsi="宋体" w:eastAsia="宋体" w:cs="Times New Roman"/>
          <w:b/>
          <w:color w:val="auto"/>
          <w:sz w:val="24"/>
          <w:highlight w:val="none"/>
        </w:rPr>
        <w:t>℃～＋3</w:t>
      </w:r>
      <w:r>
        <w:rPr>
          <w:rFonts w:ascii="宋体" w:hAnsi="宋体" w:eastAsia="宋体" w:cs="Times New Roman"/>
          <w:b/>
          <w:color w:val="auto"/>
          <w:sz w:val="24"/>
          <w:highlight w:val="none"/>
        </w:rPr>
        <w:t>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和相对湿度小于</w:t>
      </w:r>
      <w:r>
        <w:rPr>
          <w:rFonts w:ascii="宋体" w:hAnsi="宋体" w:eastAsia="宋体" w:cs="Times New Roman"/>
          <w:b/>
          <w:color w:val="auto"/>
          <w:sz w:val="24"/>
          <w:highlight w:val="none"/>
        </w:rPr>
        <w:t>8</w:t>
      </w:r>
      <w:r>
        <w:rPr>
          <w:rFonts w:hint="eastAsia" w:ascii="宋体" w:hAnsi="宋体" w:eastAsia="宋体" w:cs="Times New Roman"/>
          <w:b/>
          <w:color w:val="auto"/>
          <w:sz w:val="24"/>
          <w:highlight w:val="none"/>
        </w:rPr>
        <w:t>0％</w:t>
      </w:r>
      <w:r>
        <w:rPr>
          <w:rFonts w:hint="eastAsia" w:ascii="宋体" w:hAnsi="宋体" w:eastAsia="宋体" w:cs="Times New Roman"/>
          <w:color w:val="auto"/>
          <w:sz w:val="24"/>
          <w:highlight w:val="none"/>
        </w:rPr>
        <w:t>的环境条件下运行。</w:t>
      </w:r>
      <w:r>
        <w:rPr>
          <w:rFonts w:hint="eastAsia" w:ascii="宋体" w:hAnsi="宋体" w:eastAsia="宋体" w:cs="Times New Roman"/>
          <w:b/>
          <w:color w:val="auto"/>
          <w:sz w:val="24"/>
          <w:highlight w:val="none"/>
        </w:rPr>
        <w:t>能够连续正常工作。</w:t>
      </w:r>
    </w:p>
    <w:p w14:paraId="7AE29C81">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3.3  配置三相五线制 10平方的电缆一根，耐受设备功率20KW。</w:t>
      </w:r>
    </w:p>
    <w:p w14:paraId="6A56DBC8">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3.4  如产品达不到上述要求，投标人应注明其偏差。如仪器设备需要特殊工作条件（如水、电源、磁场强度、温度、湿度、动强度等）投标人应在投标书中加以说明。</w:t>
      </w:r>
    </w:p>
    <w:p w14:paraId="2C815AE1">
      <w:pPr>
        <w:rPr>
          <w:rFonts w:hint="eastAsia" w:ascii="Times New Roman" w:hAnsi="Times New Roman" w:eastAsia="黑体" w:cs="Times New Roman"/>
          <w:b/>
          <w:bCs/>
          <w:color w:val="auto"/>
          <w:kern w:val="44"/>
          <w:sz w:val="24"/>
          <w:highlight w:val="none"/>
        </w:rPr>
      </w:pPr>
    </w:p>
    <w:p w14:paraId="50B759A4">
      <w:pPr>
        <w:adjustRightInd w:val="0"/>
        <w:snapToGrid w:val="0"/>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4、验收标准</w:t>
      </w:r>
    </w:p>
    <w:p w14:paraId="65D321A2">
      <w:pPr>
        <w:spacing w:after="312" w:afterLines="10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除非另有说明，所有仪器、设备和系统按下列要求进行验收：</w:t>
      </w:r>
      <w:r>
        <w:rPr>
          <w:rFonts w:ascii="宋体" w:hAnsi="宋体" w:eastAsia="宋体" w:cs="Times New Roman"/>
          <w:color w:val="auto"/>
          <w:sz w:val="24"/>
          <w:highlight w:val="none"/>
        </w:rPr>
        <w:t xml:space="preserve"> </w:t>
      </w:r>
    </w:p>
    <w:p w14:paraId="34DE711F">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4.1  仪器设备运抵安装现场后，买方将与卖方共同开箱验收</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如卖方届时不派人来</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则验收结果应以买方的验收报告为最终验收结果。验收时发现短缺、破损</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买方有权要求卖方负责更换。</w:t>
      </w:r>
    </w:p>
    <w:p w14:paraId="5E89908D">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  </w:t>
      </w:r>
      <w:r>
        <w:rPr>
          <w:rFonts w:hint="eastAsia" w:ascii="Times New Roman" w:hAnsi="Times New Roman" w:eastAsia="宋体" w:cs="Times New Roman"/>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37AEF9C3">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  </w:t>
      </w:r>
      <w:r>
        <w:rPr>
          <w:rFonts w:ascii="宋体" w:hAnsi="宋体" w:eastAsia="宋体" w:cs="Times New Roman"/>
          <w:color w:val="auto"/>
          <w:sz w:val="24"/>
          <w:highlight w:val="none"/>
        </w:rPr>
        <w:t>验收由采购人、中标人及相关人员依国家有关标准、合同及有关附件要求进行，验收完毕由采购人及中标人在验收报告上签名。</w:t>
      </w:r>
    </w:p>
    <w:p w14:paraId="72B83E5C">
      <w:pPr>
        <w:pStyle w:val="2"/>
        <w:spacing w:line="360" w:lineRule="auto"/>
        <w:ind w:left="410" w:hanging="410" w:hangingChars="170"/>
        <w:rPr>
          <w:rFonts w:hint="eastAsia" w:hAnsi="宋体" w:eastAsia="宋体" w:cs="Times New Roman"/>
          <w:b/>
          <w:color w:val="auto"/>
          <w:sz w:val="24"/>
          <w:szCs w:val="24"/>
          <w:highlight w:val="none"/>
        </w:rPr>
      </w:pPr>
    </w:p>
    <w:p w14:paraId="5D4FC47B">
      <w:pPr>
        <w:adjustRightInd w:val="0"/>
        <w:snapToGrid w:val="0"/>
        <w:spacing w:line="360" w:lineRule="auto"/>
        <w:rPr>
          <w:rFonts w:hint="eastAsia" w:ascii="Times New Roman" w:hAnsi="宋体" w:eastAsia="宋体" w:cs="Times New Roman"/>
          <w:b/>
          <w:color w:val="auto"/>
          <w:sz w:val="24"/>
          <w:highlight w:val="none"/>
        </w:rPr>
      </w:pPr>
      <w:r>
        <w:rPr>
          <w:rFonts w:hint="eastAsia" w:ascii="Times New Roman" w:hAnsi="Times New Roman" w:eastAsia="宋体" w:cs="Times New Roman"/>
          <w:b/>
          <w:bCs/>
          <w:color w:val="auto"/>
          <w:sz w:val="24"/>
          <w:highlight w:val="none"/>
        </w:rPr>
        <w:t>5、本采购需求书中标注“*”号技术条款的为实质性要求，不满足其投标将视为无效投标被拒绝。</w:t>
      </w:r>
    </w:p>
    <w:p w14:paraId="186D39FE">
      <w:pPr>
        <w:adjustRightInd w:val="0"/>
        <w:snapToGrid w:val="0"/>
        <w:spacing w:line="360" w:lineRule="auto"/>
        <w:rPr>
          <w:rFonts w:hint="eastAsia" w:ascii="宋体" w:hAnsi="宋体" w:eastAsia="宋体" w:cs="Times New Roman"/>
          <w:b/>
          <w:color w:val="auto"/>
          <w:sz w:val="24"/>
          <w:highlight w:val="none"/>
        </w:rPr>
      </w:pPr>
    </w:p>
    <w:p w14:paraId="6A34ADE5">
      <w:pPr>
        <w:adjustRightInd w:val="0"/>
        <w:snapToGrid w:val="0"/>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6、如在具体规格要求中有本总则不一致之处，以具体规格中的要求为准。</w:t>
      </w:r>
    </w:p>
    <w:p w14:paraId="01C10005">
      <w:pPr>
        <w:adjustRightInd w:val="0"/>
        <w:snapToGrid w:val="0"/>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28"/>
          <w:highlight w:val="none"/>
        </w:rPr>
        <w:br w:type="page"/>
      </w:r>
      <w:r>
        <w:rPr>
          <w:rFonts w:hint="eastAsia" w:ascii="宋体" w:hAnsi="宋体" w:eastAsia="宋体" w:cs="Times New Roman"/>
          <w:b/>
          <w:color w:val="auto"/>
          <w:sz w:val="28"/>
          <w:szCs w:val="28"/>
          <w:highlight w:val="none"/>
        </w:rPr>
        <w:t>二、具体规格要求</w:t>
      </w:r>
    </w:p>
    <w:p w14:paraId="0FFB807B">
      <w:pPr>
        <w:numPr>
          <w:ilvl w:val="0"/>
          <w:numId w:val="1"/>
        </w:numPr>
        <w:ind w:left="0" w:firstLine="0"/>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技术要求：</w:t>
      </w:r>
    </w:p>
    <w:p w14:paraId="06A8B16D">
      <w:pPr>
        <w:numPr>
          <w:ilvl w:val="0"/>
          <w:numId w:val="2"/>
        </w:numPr>
        <w:spacing w:line="360" w:lineRule="auto"/>
        <w:ind w:left="360" w:hanging="36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设备用途：</w:t>
      </w:r>
    </w:p>
    <w:p w14:paraId="4551CBCB">
      <w:pPr>
        <w:spacing w:line="360" w:lineRule="auto"/>
        <w:ind w:firstLine="480" w:firstLineChars="200"/>
        <w:rPr>
          <w:rFonts w:hint="eastAsia" w:ascii="宋体" w:hAnsi="宋体" w:eastAsia="宋体" w:cs="Times New Roman"/>
          <w:color w:val="auto"/>
          <w:sz w:val="24"/>
          <w:highlight w:val="none"/>
        </w:rPr>
      </w:pPr>
      <w:r>
        <w:rPr>
          <w:rFonts w:hint="eastAsia" w:ascii="Times New Roman" w:hAnsi="Times New Roman" w:eastAsia="宋体" w:cs="Times New Roman"/>
          <w:color w:val="auto"/>
          <w:sz w:val="24"/>
          <w:highlight w:val="none"/>
        </w:rPr>
        <w:t>设备为工业化多功能萃取专用设备，利用超临界</w:t>
      </w:r>
      <w:r>
        <w:rPr>
          <w:rFonts w:ascii="Times New Roman" w:hAnsi="Times New Roman" w:eastAsia="宋体" w:cs="Times New Roman"/>
          <w:color w:val="auto"/>
          <w:sz w:val="24"/>
          <w:highlight w:val="none"/>
        </w:rPr>
        <w:t xml:space="preserve"> CO₂</w:t>
      </w:r>
      <w:r>
        <w:rPr>
          <w:rFonts w:hint="eastAsia" w:ascii="Times New Roman" w:hAnsi="Times New Roman" w:eastAsia="宋体" w:cs="Times New Roman"/>
          <w:color w:val="auto"/>
          <w:sz w:val="24"/>
          <w:highlight w:val="none"/>
        </w:rPr>
        <w:t>的溶解、渗透及分离特性，实现植物、中药材、食品原料等物料中脂溶性、弱脂溶性有效成分的高效萃取与初步分离；全程低温密闭操作，可最大程度保留目标成分活性，无有机溶剂残留，适配医药、食品、保健品、天然提取物等行业的工业化连续生产需求，可根据物料特性灵活调节工艺参数，满足不同成分的萃取要求。</w:t>
      </w:r>
    </w:p>
    <w:p w14:paraId="305389AD">
      <w:pPr>
        <w:numPr>
          <w:ilvl w:val="0"/>
          <w:numId w:val="2"/>
        </w:numPr>
        <w:spacing w:line="360" w:lineRule="auto"/>
        <w:ind w:left="360" w:hanging="360"/>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技术规格：</w:t>
      </w:r>
    </w:p>
    <w:p w14:paraId="6449347E">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 萃取釜</w:t>
      </w:r>
    </w:p>
    <w:p w14:paraId="7B548A2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容积：≥【5】L（可根据实际需求调整，投标人可提供推荐规格）；</w:t>
      </w:r>
    </w:p>
    <w:p w14:paraId="1F066FC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工作压力：≥【50】MPa（设计压力【52.5】MPa）；</w:t>
      </w:r>
    </w:p>
    <w:p w14:paraId="5C43A097">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 工作温度：≥【80】℃（设计温度≥【85】℃）；</w:t>
      </w:r>
    </w:p>
    <w:p w14:paraId="41BCF7C8">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材质：釜体采用【304不锈钢】（或更优材质），内壁抛光处理，粗糙度≤【Ra0.8】μm；</w:t>
      </w:r>
    </w:p>
    <w:p w14:paraId="2C70103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 结构：采用快开式结构，密封性能良好，配备安全阀、压力表、温度传感器等安全监测装置；</w:t>
      </w:r>
    </w:p>
    <w:p w14:paraId="68D0956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 加热方式：采用【水夹套加热】，加热功率≥【5】kW，温度控制精度≤±【1】℃。</w:t>
      </w:r>
    </w:p>
    <w:p w14:paraId="699FF195">
      <w:pPr>
        <w:spacing w:line="360" w:lineRule="auto"/>
        <w:rPr>
          <w:rFonts w:hint="eastAsia" w:ascii="宋体" w:hAnsi="宋体" w:eastAsia="宋体" w:cs="Times New Roman"/>
          <w:color w:val="auto"/>
          <w:sz w:val="24"/>
          <w:highlight w:val="none"/>
        </w:rPr>
      </w:pPr>
    </w:p>
    <w:p w14:paraId="6DEFEE0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 分离釜</w:t>
      </w:r>
    </w:p>
    <w:p w14:paraId="64A6C6B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容积：1#分离釜≥【3】L，2#、3#分离釜≥【2】L；</w:t>
      </w:r>
    </w:p>
    <w:p w14:paraId="07FD2D3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工作压力：1#分离釜≥【28】MPa，2#、3#分离釜≥【18】MPa（设计压力分别为【30】MPa、【20】MPa）；</w:t>
      </w:r>
    </w:p>
    <w:p w14:paraId="7B806DF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 工作温度：≥【80】℃，温度控制精度≤±【1】℃；</w:t>
      </w:r>
    </w:p>
    <w:p w14:paraId="5A293D4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材质：与萃取釜一致，内壁抛光处理；</w:t>
      </w:r>
    </w:p>
    <w:p w14:paraId="779C5218">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 结构：配备分离插管，便于物料收集，配备压力、温度监测装置；</w:t>
      </w:r>
    </w:p>
    <w:p w14:paraId="2BEB8B9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 加热方式：夹套加热，1#分离加热功率≥【3】kW，2#、3#分离分离加热功率≥【2】kW/台。</w:t>
      </w:r>
    </w:p>
    <w:p w14:paraId="47DB66AE">
      <w:pPr>
        <w:spacing w:line="360" w:lineRule="auto"/>
        <w:rPr>
          <w:rFonts w:hint="eastAsia" w:ascii="宋体" w:hAnsi="宋体" w:eastAsia="宋体" w:cs="Times New Roman"/>
          <w:color w:val="auto"/>
          <w:sz w:val="24"/>
          <w:highlight w:val="none"/>
        </w:rPr>
      </w:pPr>
    </w:p>
    <w:p w14:paraId="30330168">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1.3 增压系统</w:t>
      </w:r>
    </w:p>
    <w:p w14:paraId="78052E8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增压泵：采用高压柱塞泵，流量≥【50】L/h，压力调节范围【0-50】MPa；CO2流量5-50L可调（控制频率）夹带剂0.27-2.7L可调（控制频率）；</w:t>
      </w:r>
    </w:p>
    <w:p w14:paraId="40E43BA0">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精度：压力控制精度≤±【0.2】MPa，流量稳定，无泄漏；</w:t>
      </w:r>
    </w:p>
    <w:p w14:paraId="6BB61409">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 材质：泵头采用耐高压、耐腐蚀材质，密封性能良好；</w:t>
      </w:r>
    </w:p>
    <w:p w14:paraId="0CFCC53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配备：电机功率≥【2.2】kW，具备过载保护、故障报警功能。</w:t>
      </w:r>
    </w:p>
    <w:p w14:paraId="770AC75E">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 配备：泵头冷却系统。</w:t>
      </w:r>
    </w:p>
    <w:p w14:paraId="215E305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#6.隔膜真空泵，泵头数为4/级数为3，大抽速≥4.6 m3/h；真空控制器界面清晰、易于操作，内部装有放气阀，耐化学腐蚀；仪器系统极限真空（绝压）mbar/torr：1.5 / 1.1；极限真空（绝压），使用气镇mbar/torr：3 / 2.2；真空泵大出气口压力（绝压）bar：</w:t>
      </w:r>
    </w:p>
    <w:p w14:paraId="630C9F11">
      <w:pPr>
        <w:spacing w:line="360" w:lineRule="auto"/>
        <w:rPr>
          <w:rFonts w:hint="eastAsia" w:ascii="宋体" w:hAnsi="宋体" w:eastAsia="宋体" w:cs="Times New Roman"/>
          <w:color w:val="auto"/>
          <w:sz w:val="24"/>
          <w:highlight w:val="none"/>
        </w:rPr>
      </w:pPr>
    </w:p>
    <w:p w14:paraId="13CFD298">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1.4 换热系统</w:t>
      </w:r>
    </w:p>
    <w:p w14:paraId="0F187570">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换热器类型：采用盘管换热器；</w:t>
      </w:r>
    </w:p>
    <w:p w14:paraId="15CE8AA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换热面积：≥【1.1】㎡；</w:t>
      </w:r>
    </w:p>
    <w:p w14:paraId="48EA190C">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 材质：耐腐蚀不锈钢，换热效率高，压力损失小；</w:t>
      </w:r>
    </w:p>
    <w:p w14:paraId="6AFABF1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配备：温度调节装置，确保CO₂温度稳定。</w:t>
      </w:r>
    </w:p>
    <w:p w14:paraId="44D83FBB">
      <w:pPr>
        <w:spacing w:line="360" w:lineRule="auto"/>
        <w:rPr>
          <w:rFonts w:hint="eastAsia" w:ascii="宋体" w:hAnsi="宋体" w:eastAsia="宋体" w:cs="Times New Roman"/>
          <w:color w:val="auto"/>
          <w:sz w:val="24"/>
          <w:highlight w:val="none"/>
        </w:rPr>
      </w:pPr>
    </w:p>
    <w:p w14:paraId="233C0098">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1.5 控制系统</w:t>
      </w:r>
    </w:p>
    <w:p w14:paraId="7B119DD2">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控制方式：采用PLC自动化控制系统，配备触摸屏操作界面，可实现手动/自动切换，自动模式可实现一键升压萃取功能；</w:t>
      </w:r>
    </w:p>
    <w:p w14:paraId="35475B60">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监控功能：可实时监控萃取釜、分离釜的压力、温度、CO₂流量、压力等参数，数据可实时显示、记录、查询；</w:t>
      </w:r>
    </w:p>
    <w:p w14:paraId="352799C7">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 报警功能：当设备运行参数超出设定范围时，可自动报警，并切断相关设备电源（可手动复位）；</w:t>
      </w:r>
    </w:p>
    <w:p w14:paraId="612768F6">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数据存储：可存储至少【1月】的运行数据，支持1GU盘导出；</w:t>
      </w:r>
    </w:p>
    <w:p w14:paraId="263136F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 安全保护：具备超压、超温、过载、泄漏等安全保护功能，确保设备安全运行。</w:t>
      </w:r>
    </w:p>
    <w:p w14:paraId="406AA82C">
      <w:pPr>
        <w:spacing w:line="360" w:lineRule="auto"/>
        <w:rPr>
          <w:rFonts w:hint="eastAsia" w:ascii="宋体" w:hAnsi="宋体" w:eastAsia="宋体" w:cs="Times New Roman"/>
          <w:color w:val="auto"/>
          <w:sz w:val="24"/>
          <w:highlight w:val="none"/>
        </w:rPr>
      </w:pPr>
    </w:p>
    <w:p w14:paraId="10A31B3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1.6 管路与阀门</w:t>
      </w:r>
    </w:p>
    <w:p w14:paraId="5013EE06">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管路材质：采用【304不锈钢】，管路直径根据流量合理设计，无泄漏；</w:t>
      </w:r>
    </w:p>
    <w:p w14:paraId="5C3C6536">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阀门：采用高压球阀或针阀，材质与管路一致，密封性能良好，操作灵活，使用寿命长；</w:t>
      </w:r>
    </w:p>
    <w:p w14:paraId="1C02D5B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 管路布置：合理、整洁，便于维护和检修，配备压力表、温度计等监测装置；</w:t>
      </w:r>
    </w:p>
    <w:p w14:paraId="2E1947F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压力控制阀门，与PLC连锁并控制，自动控制精度±0.2MPa。</w:t>
      </w:r>
    </w:p>
    <w:p w14:paraId="46EE027C">
      <w:pPr>
        <w:spacing w:line="360" w:lineRule="auto"/>
        <w:rPr>
          <w:rFonts w:hint="eastAsia" w:ascii="宋体" w:hAnsi="宋体" w:eastAsia="宋体" w:cs="Times New Roman"/>
          <w:color w:val="auto"/>
          <w:sz w:val="24"/>
          <w:highlight w:val="none"/>
        </w:rPr>
      </w:pPr>
    </w:p>
    <w:p w14:paraId="1BD694C2">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1.7 安全保护装置</w:t>
      </w:r>
    </w:p>
    <w:p w14:paraId="40A409BA">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各高压设备均配备安全阀、压力表（经校验合格），安全阀起跳压力符合设计要求；</w:t>
      </w:r>
    </w:p>
    <w:p w14:paraId="0150B19C">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电气系统具备接地、防雷、过载保护功能，符合国家电气安全标准；</w:t>
      </w:r>
    </w:p>
    <w:p w14:paraId="615554F1">
      <w:pPr>
        <w:spacing w:line="360" w:lineRule="auto"/>
        <w:rPr>
          <w:rFonts w:hint="eastAsia" w:ascii="宋体" w:hAnsi="宋体" w:eastAsia="宋体" w:cs="Times New Roman"/>
          <w:color w:val="auto"/>
          <w:sz w:val="24"/>
          <w:highlight w:val="none"/>
        </w:rPr>
      </w:pPr>
    </w:p>
    <w:p w14:paraId="095C9612">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1.8配置要求</w:t>
      </w:r>
    </w:p>
    <w:p w14:paraId="2DA8B37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 容器‌</w:t>
      </w:r>
    </w:p>
    <w:p w14:paraId="31AE6FD3">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萃取釜‌：设计压力52.5MPa，最高工作压力50MPa，工作温度室温-80℃可调，釜体容积5L，配两个固体物料筒，卡箍结构。数量：1。备注：釜体材料为304不锈钢。带加热夹套及保温层。在萃取釜出口端设置安全阀，每个萃取釜的进、出口处均设置现场压力测量点，自动调节确保萃取釜内压力始终在萃取工艺参数范围内。萃取温度测量点在萃取釜出口处。</w:t>
      </w:r>
    </w:p>
    <w:p w14:paraId="6218EB8A">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分离釜1‌：容积3L，设计压力30MPa，最高工作压力28MPa，工作温度室温-80℃可调。数量：1。备注：釜体材料为304不锈钢。容器外设有水夹套及保温层。在容器出口端设置安全阀、排空口、现场压力传感器、温度检测点，容器顶部设置伸入式切向进气。</w:t>
      </w:r>
    </w:p>
    <w:p w14:paraId="4ACD3F25">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分离釜2、3‌：容积2L，设计压力20MPa，最高工作压力18MPa，工作温度室温-80℃可调。数量：2。备注：釜体材料为304不锈钢。容器外设有水夹套及保温层。在容器出口端设置安全阀、排空口、现场压力传感器、温度检测点，容器顶部设置伸入式切向进气。</w:t>
      </w:r>
    </w:p>
    <w:p w14:paraId="2D33E5B7">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‌缓冲罐‌：1L，设计压力52.5MPa。数量：1。</w:t>
      </w:r>
    </w:p>
    <w:p w14:paraId="6B0A2AD3">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‌过滤器‌：3L，设计压力16MPa。数量：1。备注：可拆卸，内有料蓝装填过滤材料。</w:t>
      </w:r>
    </w:p>
    <w:p w14:paraId="25143552">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 阀门‌</w:t>
      </w:r>
    </w:p>
    <w:p w14:paraId="5AF76403">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‌自动控制阀‌：50MPa 30MPa。数量：2。备注：控制萃取及分离1压力，控制精度±0.2MPa。</w:t>
      </w:r>
    </w:p>
    <w:p w14:paraId="5A62AA10">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‌高压截止阀‌：压力5~50MPa。数量：按流程配置。备注：材质304。</w:t>
      </w:r>
    </w:p>
    <w:p w14:paraId="61625140">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‌球阀‌：压力5~16MPa。备注：材质304。</w:t>
      </w:r>
    </w:p>
    <w:p w14:paraId="667FC0C2">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‌安全阀‌：压力5~50MPa。备注：材质304。</w:t>
      </w:r>
    </w:p>
    <w:p w14:paraId="1B3B69C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‌止回阀‌：压力5~50MPa。备注：材质304。</w:t>
      </w:r>
    </w:p>
    <w:p w14:paraId="516749D9">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 管路管件‌</w:t>
      </w:r>
    </w:p>
    <w:p w14:paraId="1A711AA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‌高压管道‌：304不锈钢。备注：50MPa 萃取管道。</w:t>
      </w:r>
    </w:p>
    <w:p w14:paraId="70A2D444">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‌低压管道‌：304不锈钢。备注：30MPa 分离管道。</w:t>
      </w:r>
    </w:p>
    <w:p w14:paraId="7EFB1475">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‌管件‌：弯头、变径、三通、四通接头、螺栓、螺母、安全阀。</w:t>
      </w:r>
    </w:p>
    <w:p w14:paraId="17256323">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泵类‌</w:t>
      </w:r>
    </w:p>
    <w:p w14:paraId="5927B166">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‌CO2高压泵‌：最高流量50L/h，出口压力50MPa。数量：1。备注：流量变频调节，泵头带冷却系统，过流材质304。</w:t>
      </w:r>
    </w:p>
    <w:p w14:paraId="253AB22E">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‌携带剂泵‌：最高流量2.7L/h，出口压力10MPa。数量：1。备注：流量变频调节，过流材质304。</w:t>
      </w:r>
    </w:p>
    <w:p w14:paraId="4C3FE088">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‌循环水泵‌：按流程配置。备注：防腐泵头。</w:t>
      </w:r>
    </w:p>
    <w:p w14:paraId="599CAA43">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‌隔膜真空泵‌：配置真空控制器。数量：1。备注：泵头数为4/级数为3，大抽速≥4.6 m3/h；真空控制器界面清晰、易于操作，内部装有放气阀，耐化学腐蚀；仪器系统极限真空（绝压）mbar/torr：1.5 / 1.1；极限真空（绝压），使用气镇mbar/torr：3 / 2.2；12、真空泵大出气口压力（绝压）bar：</w:t>
      </w:r>
    </w:p>
    <w:p w14:paraId="7D58C10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 制冷系统‌</w:t>
      </w:r>
    </w:p>
    <w:p w14:paraId="4EC306E3">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‌冷机‌：满足参数需求。数量：1。备注：风冷机组。</w:t>
      </w:r>
    </w:p>
    <w:p w14:paraId="52E37D07">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‌冷凝器‌：设计压力18MPa，工作压力16MPa。数量：1。备注：材料：304。</w:t>
      </w:r>
    </w:p>
    <w:p w14:paraId="513A522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 加热系统‌</w:t>
      </w:r>
    </w:p>
    <w:p w14:paraId="3F53873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‌萃取加热器‌：设计压力52.5MPa，最高工作压力50MPa，工作温度室温-85℃。数量：1套。备注：材料: 304。</w:t>
      </w:r>
    </w:p>
    <w:p w14:paraId="63A9B76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‌分离加热器‌：设计压力30/20MPa，最高工作压力28/18MPa，工作温度室温-85℃。数量：3套。备注：材料：304。</w:t>
      </w:r>
    </w:p>
    <w:p w14:paraId="49C3D263">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 控制系统、仪器仪表‌</w:t>
      </w:r>
    </w:p>
    <w:p w14:paraId="3645B5C0">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‌PLC‌：智能控制并显示压力、温度、流量等参数显示。数量：1套。备注：含控制软件，智能控制温度、压力、流量等技术参数，连锁控制压力保护、温度保护等安全模块。</w:t>
      </w:r>
    </w:p>
    <w:p w14:paraId="68FA98AC">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‌触摸屏‌：15寸。数量：1。备注：支持报表数据导出。</w:t>
      </w:r>
    </w:p>
    <w:p w14:paraId="35ABB737">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‌低压电器‌：含断路器、接触器、变频器等。数量：1。备注：变频器2台。</w:t>
      </w:r>
    </w:p>
    <w:p w14:paraId="35C20AF8">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‌流量计‌：10MPa、5-50L/h。数量：1。备注：显示瞬时流量和累积流量。</w:t>
      </w:r>
    </w:p>
    <w:p w14:paraId="2C42F697">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‌压力变送器‌：0~100MPa。数量：按流程配置。备注：精度等级0.5。</w:t>
      </w:r>
    </w:p>
    <w:p w14:paraId="7A402D87">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‌温度变送器‌：0~100℃。备注：精度等级0.5。</w:t>
      </w:r>
    </w:p>
    <w:p w14:paraId="09529F95">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‌电接点压力表‌：0~100MPa。备注：精度等级1.5。</w:t>
      </w:r>
    </w:p>
    <w:p w14:paraId="31AFB89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‌控制电缆‌：RVVP。数量：1套。备注：屏蔽电缆。</w:t>
      </w:r>
    </w:p>
    <w:p w14:paraId="56CF59DF">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 配电系统‌</w:t>
      </w:r>
    </w:p>
    <w:p w14:paraId="6F7C9576">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‌配电柜‌：含接线铜排，进线塑壳等。数量：1套。</w:t>
      </w:r>
    </w:p>
    <w:p w14:paraId="77535F1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‌动力电缆‌：VV。数量：1套。备注：用户安装到设备总开关。</w:t>
      </w:r>
    </w:p>
    <w:p w14:paraId="3C913B1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 气瓶支架‌：2只钢瓶架，304不锈钢。数量：1套。备注：钢瓶加热，带超压保护。</w:t>
      </w:r>
    </w:p>
    <w:p w14:paraId="057B224C">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 设备支架‌：材质为304不锈钢。数量：1套。</w:t>
      </w:r>
    </w:p>
    <w:p w14:paraId="3905304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 保温‌：釜体及管道均有必要的保温。数量：1套。</w:t>
      </w:r>
    </w:p>
    <w:p w14:paraId="1FBF7F16">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12. 色谱柱：制备四根，固定相十八烷基，粒径15um一根，粒径5um三根，分离方式反相，尺寸20mm×25cm。分析色谱柱一根，4.6 x 250 mm，5 µm，400 bar. 未封端 C18 固定相带有大量二异丁基侧链，在低至 pH 1 的低 pH 条件下提供良好的稳定性，避免在苛刻的流动相中发生降解。配备原料完成灵芝孢子油不饱和酸萃取率≥28%，完成一次实验室过氧化氢熏蒸工作，保证实验清洁无菌。</w:t>
      </w:r>
    </w:p>
    <w:p w14:paraId="415D2A5C">
      <w:pPr>
        <w:spacing w:line="360" w:lineRule="auto"/>
        <w:rPr>
          <w:rFonts w:ascii="宋体" w:hAnsi="宋体" w:eastAsia="宋体" w:cs="Times New Roman"/>
          <w:color w:val="auto"/>
          <w:sz w:val="24"/>
          <w:highlight w:val="none"/>
        </w:rPr>
      </w:pPr>
    </w:p>
    <w:p w14:paraId="340D0EEC">
      <w:pP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（二）质保及售后服务：</w:t>
      </w:r>
    </w:p>
    <w:p w14:paraId="163DBD1B">
      <w:pPr>
        <w:spacing w:line="360" w:lineRule="auto"/>
        <w:rPr>
          <w:rFonts w:hint="eastAsia" w:ascii="宋体" w:hAnsi="宋体" w:eastAsia="宋体" w:cs="Times New Roman"/>
          <w:color w:val="auto"/>
          <w:sz w:val="24"/>
          <w:highlight w:val="none"/>
        </w:rPr>
      </w:pPr>
      <w:bookmarkStart w:id="1" w:name="_Hlk225855362"/>
      <w:r>
        <w:rPr>
          <w:rFonts w:hint="eastAsia" w:ascii="宋体" w:hAnsi="宋体" w:eastAsia="宋体" w:cs="Times New Roman"/>
          <w:color w:val="auto"/>
          <w:sz w:val="24"/>
          <w:highlight w:val="none"/>
        </w:rPr>
        <w:t>1.整机及配套设备质保期不少于12个月，质保期从仪器验收合格签字之日起计算。在质保期内供货仪器公司负责对其提供的设备整机进行维修和系统维护，不再收取任何费用（法定不可抗力造成的故障，易损件除外）。</w:t>
      </w:r>
    </w:p>
    <w:p w14:paraId="14B740F5">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2.技术培训：供货仪器公司技术工程师免费上门为用户提供现场培训，确保用户掌握仪器的基本操作及日常维护与保养，培训时间不少于1个工作日；</w:t>
      </w:r>
    </w:p>
    <w:p w14:paraId="6C314A0D">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3.维修响应时间：维修人员接到报修通知后须在24小时内响应，48小时内提供有效故障解决方案并及时进行维修处理，在3个工作日内到达现场。</w:t>
      </w:r>
      <w:bookmarkEnd w:id="1"/>
    </w:p>
    <w:p w14:paraId="11B38548">
      <w:pPr>
        <w:spacing w:line="360" w:lineRule="auto"/>
        <w:ind w:firstLine="480" w:firstLineChars="200"/>
        <w:rPr>
          <w:rFonts w:hint="eastAsia" w:ascii="Times New Roman" w:hAnsi="Times New Roman" w:eastAsia="宋体" w:cs="Times New Roman"/>
          <w:color w:val="auto"/>
          <w:sz w:val="24"/>
          <w:highlight w:val="none"/>
        </w:rPr>
      </w:pPr>
    </w:p>
    <w:p w14:paraId="488EE6D0">
      <w:bookmarkStart w:id="2" w:name="_GoBack"/>
      <w:bookmarkEnd w:id="2"/>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3C077F"/>
    <w:multiLevelType w:val="multilevel"/>
    <w:tmpl w:val="4E3C077F"/>
    <w:lvl w:ilvl="0" w:tentative="0">
      <w:start w:val="1"/>
      <w:numFmt w:val="decimal"/>
      <w:lvlText w:val="%1."/>
      <w:lvlJc w:val="left"/>
      <w:pPr>
        <w:tabs>
          <w:tab w:val="left" w:pos="360"/>
        </w:tabs>
        <w:ind w:left="360" w:hanging="360"/>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1">
    <w:nsid w:val="79E4735A"/>
    <w:multiLevelType w:val="multilevel"/>
    <w:tmpl w:val="79E4735A"/>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CD113C"/>
    <w:rsid w:val="12CD11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2026-04-24T07:30:00Z</dcterms:created>
  <dc:creator>顾嘉宁</dc:creator>
  <cp:lastModifiedBy>顾嘉宁</cp:lastModifiedBy>
  <dcterms:modified xsi:type="dcterms:W3CDTF">2026-04-24T07:30:43Z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08F1975318A74FC499D02DB6FAE6BEE9_11</vt:lpwstr>
  </property>
  <property fmtid="{D5CDD505-2E9C-101B-9397-08002B2CF9AE}" pid="4" name="KSOTemplateDocerSaveRecord">
    <vt:lpwstr>eyJoZGlkIjoiOTg1NGMxOWRhMzA3ZGUzYjhlOTc4ZDJkYzJjOTE5MGUiLCJ1c2VySWQiOiIxNjYzMDExNDYwIn0=</vt:lpwstr>
  </property>
</Properties>
</file>