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9328"/>
      </w:tblGrid>
      <w:tr w14:paraId="7A049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noWrap w:val="0"/>
            <w:tcMar>
              <w:top w:w="15" w:type="dxa"/>
              <w:left w:w="15" w:type="dxa"/>
              <w:bottom w:w="15" w:type="dxa"/>
              <w:right w:w="15" w:type="dxa"/>
            </w:tcMar>
            <w:vAlign w:val="center"/>
          </w:tcPr>
          <w:p w14:paraId="23075CDB">
            <w:pPr>
              <w:keepNext w:val="0"/>
              <w:keepLines w:val="0"/>
              <w:pageBreakBefore w:val="0"/>
              <w:widowControl/>
              <w:kinsoku/>
              <w:wordWrap/>
              <w:overflowPunct/>
              <w:topLinePunct w:val="0"/>
              <w:autoSpaceDE/>
              <w:autoSpaceDN/>
              <w:bidi w:val="0"/>
              <w:adjustRightInd/>
              <w:snapToGrid/>
              <w:spacing w:before="157" w:beforeLines="50" w:after="157" w:afterLines="50" w:line="360" w:lineRule="auto"/>
              <w:ind w:firstLine="0"/>
              <w:jc w:val="center"/>
              <w:textAlignment w:val="auto"/>
              <w:rPr>
                <w:rStyle w:val="3"/>
                <w:rFonts w:hint="eastAsia" w:ascii="宋体" w:hAnsi="宋体" w:eastAsia="宋体" w:cs="宋体"/>
                <w:b w:val="0"/>
                <w:bCs w:val="0"/>
                <w:i w:val="0"/>
                <w:iCs w:val="0"/>
                <w:smallCaps w:val="0"/>
                <w:kern w:val="0"/>
                <w:sz w:val="27"/>
                <w:szCs w:val="27"/>
              </w:rPr>
            </w:pPr>
            <w:bookmarkStart w:id="0" w:name="_GoBack"/>
            <w:r>
              <w:rPr>
                <w:rStyle w:val="3"/>
                <w:rFonts w:hint="eastAsia" w:ascii="宋体" w:hAnsi="宋体" w:eastAsia="宋体" w:cs="宋体"/>
                <w:b/>
                <w:bCs/>
                <w:i w:val="0"/>
                <w:iCs w:val="0"/>
                <w:smallCaps w:val="0"/>
                <w:kern w:val="0"/>
                <w:sz w:val="28"/>
                <w:szCs w:val="28"/>
              </w:rPr>
              <w:t>广西交通职业技术学院综合交通产教融合实训基地项目施工招标公告</w:t>
            </w:r>
            <w:bookmarkEnd w:id="0"/>
          </w:p>
        </w:tc>
      </w:tr>
      <w:tr w14:paraId="093AC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noWrap w:val="0"/>
            <w:tcMar>
              <w:top w:w="15" w:type="dxa"/>
              <w:left w:w="15" w:type="dxa"/>
              <w:bottom w:w="15" w:type="dxa"/>
              <w:right w:w="15" w:type="dxa"/>
            </w:tcMar>
            <w:vAlign w:val="center"/>
          </w:tcPr>
          <w:p w14:paraId="5009057F">
            <w:pPr>
              <w:widowControl/>
              <w:spacing w:line="360" w:lineRule="auto"/>
              <w:jc w:val="left"/>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bCs/>
                <w:i w:val="0"/>
                <w:iCs w:val="0"/>
                <w:smallCaps w:val="0"/>
                <w:kern w:val="0"/>
                <w:sz w:val="24"/>
                <w:szCs w:val="24"/>
              </w:rPr>
              <w:t>1.招标条件</w:t>
            </w:r>
          </w:p>
        </w:tc>
      </w:tr>
      <w:tr w14:paraId="3B16B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noWrap w:val="0"/>
            <w:tcMar>
              <w:top w:w="15" w:type="dxa"/>
              <w:left w:w="15" w:type="dxa"/>
              <w:bottom w:w="15" w:type="dxa"/>
              <w:right w:w="15" w:type="dxa"/>
            </w:tcMar>
            <w:vAlign w:val="center"/>
          </w:tcPr>
          <w:p w14:paraId="20ADD115">
            <w:pPr>
              <w:widowControl/>
              <w:spacing w:line="360" w:lineRule="auto"/>
              <w:jc w:val="left"/>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    本招标项目</w:t>
            </w:r>
            <w:r>
              <w:rPr>
                <w:rStyle w:val="3"/>
                <w:rFonts w:hint="eastAsia" w:ascii="宋体" w:hAnsi="宋体" w:eastAsia="宋体" w:cs="宋体"/>
                <w:b/>
                <w:bCs/>
                <w:i w:val="0"/>
                <w:iCs w:val="0"/>
                <w:smallCaps w:val="0"/>
                <w:kern w:val="0"/>
                <w:sz w:val="24"/>
                <w:szCs w:val="24"/>
              </w:rPr>
              <w:t>广西交通职业技术学院综合交通产教融合实训基地项目</w:t>
            </w:r>
            <w:r>
              <w:rPr>
                <w:rStyle w:val="3"/>
                <w:rFonts w:hint="eastAsia" w:ascii="宋体" w:hAnsi="宋体" w:eastAsia="宋体" w:cs="宋体"/>
                <w:b w:val="0"/>
                <w:bCs w:val="0"/>
                <w:i w:val="0"/>
                <w:iCs w:val="0"/>
                <w:smallCaps w:val="0"/>
                <w:kern w:val="0"/>
                <w:sz w:val="24"/>
                <w:szCs w:val="24"/>
              </w:rPr>
              <w:t xml:space="preserve"> 已由</w:t>
            </w:r>
            <w:r>
              <w:rPr>
                <w:rStyle w:val="3"/>
                <w:rFonts w:hint="eastAsia" w:ascii="宋体" w:hAnsi="宋体" w:eastAsia="宋体" w:cs="宋体"/>
                <w:b/>
                <w:bCs/>
                <w:i w:val="0"/>
                <w:iCs w:val="0"/>
                <w:smallCaps w:val="0"/>
                <w:kern w:val="0"/>
                <w:sz w:val="24"/>
                <w:szCs w:val="24"/>
              </w:rPr>
              <w:t>广西壮族自治区发展和改革委员会</w:t>
            </w:r>
            <w:r>
              <w:rPr>
                <w:rStyle w:val="3"/>
                <w:rFonts w:hint="eastAsia" w:ascii="宋体" w:hAnsi="宋体" w:eastAsia="宋体" w:cs="宋体"/>
                <w:b w:val="0"/>
                <w:bCs w:val="0"/>
                <w:i w:val="0"/>
                <w:iCs w:val="0"/>
                <w:smallCaps w:val="0"/>
                <w:kern w:val="0"/>
                <w:sz w:val="24"/>
                <w:szCs w:val="24"/>
              </w:rPr>
              <w:t>以广西壮族自治区发展和改革委员会关于广西交通职业技术学院综合交通产教融合实训基地项目初步设计的批复【桂发改社会【2024】663号】、项目代码2312-450000-04-01-760422批准建设。 招标人为</w:t>
            </w:r>
            <w:r>
              <w:rPr>
                <w:rStyle w:val="3"/>
                <w:rFonts w:hint="eastAsia" w:ascii="宋体" w:hAnsi="宋体" w:eastAsia="宋体" w:cs="宋体"/>
                <w:b/>
                <w:bCs/>
                <w:i w:val="0"/>
                <w:iCs w:val="0"/>
                <w:smallCaps w:val="0"/>
                <w:kern w:val="0"/>
                <w:sz w:val="24"/>
                <w:szCs w:val="24"/>
              </w:rPr>
              <w:t>广西交通职业技术学院</w:t>
            </w:r>
            <w:r>
              <w:rPr>
                <w:rStyle w:val="3"/>
                <w:rFonts w:hint="eastAsia" w:ascii="宋体" w:hAnsi="宋体" w:eastAsia="宋体" w:cs="宋体"/>
                <w:b w:val="0"/>
                <w:bCs w:val="0"/>
                <w:i w:val="0"/>
                <w:iCs w:val="0"/>
                <w:smallCaps w:val="0"/>
                <w:kern w:val="0"/>
                <w:sz w:val="24"/>
                <w:szCs w:val="24"/>
              </w:rPr>
              <w:t>, 建设资金来自</w:t>
            </w:r>
            <w:r>
              <w:rPr>
                <w:rStyle w:val="3"/>
                <w:rFonts w:hint="eastAsia" w:ascii="宋体" w:hAnsi="宋体" w:eastAsia="宋体" w:cs="宋体"/>
                <w:b/>
                <w:bCs/>
                <w:i w:val="0"/>
                <w:iCs w:val="0"/>
                <w:smallCaps w:val="0"/>
                <w:kern w:val="0"/>
                <w:sz w:val="24"/>
                <w:szCs w:val="24"/>
              </w:rPr>
              <w:t>财政资金</w:t>
            </w:r>
            <w:r>
              <w:rPr>
                <w:rStyle w:val="3"/>
                <w:rFonts w:hint="eastAsia" w:ascii="宋体" w:hAnsi="宋体" w:eastAsia="宋体" w:cs="宋体"/>
                <w:b w:val="0"/>
                <w:bCs w:val="0"/>
                <w:i w:val="0"/>
                <w:iCs w:val="0"/>
                <w:smallCaps w:val="0"/>
                <w:kern w:val="0"/>
                <w:sz w:val="24"/>
                <w:szCs w:val="24"/>
              </w:rPr>
              <w:t xml:space="preserve"> ，项目出资比例为： </w:t>
            </w:r>
          </w:p>
        </w:tc>
      </w:tr>
      <w:tr w14:paraId="76DE6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noWrap w:val="0"/>
            <w:tcMar>
              <w:top w:w="15" w:type="dxa"/>
              <w:left w:w="15" w:type="dxa"/>
              <w:bottom w:w="15" w:type="dxa"/>
              <w:right w:w="15" w:type="dxa"/>
            </w:tcMar>
            <w:vAlign w:val="center"/>
          </w:tcPr>
          <w:tbl>
            <w:tblPr>
              <w:tblStyle w:val="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2752"/>
              <w:gridCol w:w="1928"/>
              <w:gridCol w:w="949"/>
              <w:gridCol w:w="1848"/>
              <w:gridCol w:w="1173"/>
              <w:gridCol w:w="648"/>
            </w:tblGrid>
            <w:tr w14:paraId="0BE7B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auto" w:sz="6" w:space="0"/>
                    <w:left w:val="single" w:color="auto" w:sz="6" w:space="0"/>
                    <w:bottom w:val="single" w:color="808080" w:sz="6" w:space="0"/>
                    <w:right w:val="single" w:color="808080" w:sz="6" w:space="0"/>
                  </w:tcBorders>
                  <w:noWrap w:val="0"/>
                  <w:tcMar>
                    <w:top w:w="15" w:type="dxa"/>
                    <w:left w:w="15" w:type="dxa"/>
                    <w:bottom w:w="15" w:type="dxa"/>
                    <w:right w:w="15" w:type="dxa"/>
                  </w:tcMar>
                  <w:vAlign w:val="center"/>
                </w:tcPr>
                <w:p w14:paraId="428B07FF">
                  <w:pPr>
                    <w:widowControl/>
                    <w:spacing w:line="270" w:lineRule="atLeast"/>
                    <w:jc w:val="center"/>
                    <w:rPr>
                      <w:rStyle w:val="3"/>
                      <w:rFonts w:hint="eastAsia" w:ascii="宋体" w:hAnsi="宋体" w:eastAsia="宋体" w:cs="宋体"/>
                      <w:b w:val="0"/>
                      <w:bCs w:val="0"/>
                      <w:i w:val="0"/>
                      <w:iCs w:val="0"/>
                      <w:smallCaps w:val="0"/>
                      <w:kern w:val="0"/>
                      <w:sz w:val="21"/>
                      <w:szCs w:val="21"/>
                    </w:rPr>
                  </w:pPr>
                  <w:r>
                    <w:rPr>
                      <w:rStyle w:val="3"/>
                      <w:rFonts w:hint="eastAsia" w:ascii="宋体" w:hAnsi="宋体" w:eastAsia="宋体" w:cs="宋体"/>
                      <w:b/>
                      <w:bCs/>
                      <w:i w:val="0"/>
                      <w:iCs w:val="0"/>
                      <w:smallCaps w:val="0"/>
                      <w:kern w:val="0"/>
                      <w:sz w:val="21"/>
                      <w:szCs w:val="21"/>
                    </w:rPr>
                    <w:t>国有资金</w:t>
                  </w:r>
                </w:p>
              </w:tc>
              <w:tc>
                <w:tcPr>
                  <w:tcW w:w="0" w:type="auto"/>
                  <w:tcBorders>
                    <w:top w:val="single" w:color="auto" w:sz="6" w:space="0"/>
                    <w:bottom w:val="single" w:color="808080" w:sz="6" w:space="0"/>
                    <w:right w:val="single" w:color="808080" w:sz="6" w:space="0"/>
                  </w:tcBorders>
                  <w:noWrap w:val="0"/>
                  <w:tcMar>
                    <w:top w:w="15" w:type="dxa"/>
                    <w:left w:w="15" w:type="dxa"/>
                    <w:bottom w:w="15" w:type="dxa"/>
                    <w:right w:w="15" w:type="dxa"/>
                  </w:tcMar>
                  <w:vAlign w:val="center"/>
                </w:tcPr>
                <w:p w14:paraId="4FE6F552">
                  <w:pPr>
                    <w:widowControl/>
                    <w:spacing w:line="270" w:lineRule="atLeast"/>
                    <w:jc w:val="center"/>
                    <w:rPr>
                      <w:rStyle w:val="3"/>
                      <w:rFonts w:hint="eastAsia" w:ascii="宋体" w:hAnsi="宋体" w:eastAsia="宋体" w:cs="宋体"/>
                      <w:b w:val="0"/>
                      <w:bCs w:val="0"/>
                      <w:i w:val="0"/>
                      <w:iCs w:val="0"/>
                      <w:smallCaps w:val="0"/>
                      <w:kern w:val="0"/>
                      <w:sz w:val="21"/>
                      <w:szCs w:val="21"/>
                    </w:rPr>
                  </w:pPr>
                  <w:r>
                    <w:rPr>
                      <w:rStyle w:val="3"/>
                      <w:rFonts w:hint="eastAsia" w:ascii="宋体" w:hAnsi="宋体" w:eastAsia="宋体" w:cs="宋体"/>
                      <w:b/>
                      <w:bCs/>
                      <w:i w:val="0"/>
                      <w:iCs w:val="0"/>
                      <w:smallCaps w:val="0"/>
                      <w:kern w:val="0"/>
                      <w:sz w:val="21"/>
                      <w:szCs w:val="21"/>
                    </w:rPr>
                    <w:t>0.0万元</w:t>
                  </w:r>
                </w:p>
              </w:tc>
              <w:tc>
                <w:tcPr>
                  <w:tcW w:w="0" w:type="auto"/>
                  <w:tcBorders>
                    <w:top w:val="single" w:color="auto" w:sz="6" w:space="0"/>
                    <w:bottom w:val="single" w:color="808080" w:sz="6" w:space="0"/>
                    <w:right w:val="single" w:color="808080" w:sz="6" w:space="0"/>
                  </w:tcBorders>
                  <w:noWrap w:val="0"/>
                  <w:tcMar>
                    <w:top w:w="15" w:type="dxa"/>
                    <w:left w:w="15" w:type="dxa"/>
                    <w:bottom w:w="15" w:type="dxa"/>
                    <w:right w:w="15" w:type="dxa"/>
                  </w:tcMar>
                  <w:vAlign w:val="center"/>
                </w:tcPr>
                <w:p w14:paraId="49CE700D">
                  <w:pPr>
                    <w:widowControl/>
                    <w:spacing w:line="270" w:lineRule="atLeast"/>
                    <w:jc w:val="center"/>
                    <w:rPr>
                      <w:rStyle w:val="3"/>
                      <w:rFonts w:hint="eastAsia" w:ascii="宋体" w:hAnsi="宋体" w:eastAsia="宋体" w:cs="宋体"/>
                      <w:b w:val="0"/>
                      <w:bCs w:val="0"/>
                      <w:i w:val="0"/>
                      <w:iCs w:val="0"/>
                      <w:smallCaps w:val="0"/>
                      <w:kern w:val="0"/>
                      <w:sz w:val="21"/>
                      <w:szCs w:val="21"/>
                    </w:rPr>
                  </w:pPr>
                  <w:r>
                    <w:rPr>
                      <w:rStyle w:val="3"/>
                      <w:rFonts w:hint="eastAsia" w:ascii="宋体" w:hAnsi="宋体" w:eastAsia="宋体" w:cs="宋体"/>
                      <w:b/>
                      <w:bCs/>
                      <w:i w:val="0"/>
                      <w:iCs w:val="0"/>
                      <w:smallCaps w:val="0"/>
                      <w:kern w:val="0"/>
                      <w:sz w:val="21"/>
                      <w:szCs w:val="21"/>
                    </w:rPr>
                    <w:t>0.0%</w:t>
                  </w:r>
                </w:p>
              </w:tc>
              <w:tc>
                <w:tcPr>
                  <w:tcW w:w="0" w:type="auto"/>
                  <w:tcBorders>
                    <w:top w:val="single" w:color="auto" w:sz="6" w:space="0"/>
                    <w:bottom w:val="single" w:color="808080" w:sz="6" w:space="0"/>
                    <w:right w:val="single" w:color="808080" w:sz="6" w:space="0"/>
                  </w:tcBorders>
                  <w:noWrap w:val="0"/>
                  <w:tcMar>
                    <w:top w:w="15" w:type="dxa"/>
                    <w:left w:w="15" w:type="dxa"/>
                    <w:bottom w:w="15" w:type="dxa"/>
                    <w:right w:w="15" w:type="dxa"/>
                  </w:tcMar>
                  <w:vAlign w:val="center"/>
                </w:tcPr>
                <w:p w14:paraId="6EE291F4">
                  <w:pPr>
                    <w:widowControl/>
                    <w:spacing w:line="270" w:lineRule="atLeast"/>
                    <w:jc w:val="center"/>
                    <w:rPr>
                      <w:rStyle w:val="3"/>
                      <w:rFonts w:hint="eastAsia" w:ascii="宋体" w:hAnsi="宋体" w:eastAsia="宋体" w:cs="宋体"/>
                      <w:b w:val="0"/>
                      <w:bCs w:val="0"/>
                      <w:i w:val="0"/>
                      <w:iCs w:val="0"/>
                      <w:smallCaps w:val="0"/>
                      <w:kern w:val="0"/>
                      <w:sz w:val="21"/>
                      <w:szCs w:val="21"/>
                    </w:rPr>
                  </w:pPr>
                  <w:r>
                    <w:rPr>
                      <w:rStyle w:val="3"/>
                      <w:rFonts w:hint="eastAsia" w:ascii="宋体" w:hAnsi="宋体" w:eastAsia="宋体" w:cs="宋体"/>
                      <w:b/>
                      <w:bCs/>
                      <w:i w:val="0"/>
                      <w:iCs w:val="0"/>
                      <w:smallCaps w:val="0"/>
                      <w:kern w:val="0"/>
                      <w:sz w:val="21"/>
                      <w:szCs w:val="21"/>
                    </w:rPr>
                    <w:t>私有资金</w:t>
                  </w:r>
                </w:p>
              </w:tc>
              <w:tc>
                <w:tcPr>
                  <w:tcW w:w="0" w:type="auto"/>
                  <w:tcBorders>
                    <w:top w:val="single" w:color="auto" w:sz="6" w:space="0"/>
                    <w:bottom w:val="single" w:color="808080" w:sz="6" w:space="0"/>
                    <w:right w:val="single" w:color="808080" w:sz="6" w:space="0"/>
                  </w:tcBorders>
                  <w:noWrap w:val="0"/>
                  <w:tcMar>
                    <w:top w:w="15" w:type="dxa"/>
                    <w:left w:w="15" w:type="dxa"/>
                    <w:bottom w:w="15" w:type="dxa"/>
                    <w:right w:w="15" w:type="dxa"/>
                  </w:tcMar>
                  <w:vAlign w:val="center"/>
                </w:tcPr>
                <w:p w14:paraId="1C93AC25">
                  <w:pPr>
                    <w:widowControl/>
                    <w:spacing w:line="270" w:lineRule="atLeast"/>
                    <w:jc w:val="center"/>
                    <w:rPr>
                      <w:rStyle w:val="3"/>
                      <w:rFonts w:hint="eastAsia" w:ascii="宋体" w:hAnsi="宋体" w:eastAsia="宋体" w:cs="宋体"/>
                      <w:b w:val="0"/>
                      <w:bCs w:val="0"/>
                      <w:i w:val="0"/>
                      <w:iCs w:val="0"/>
                      <w:smallCaps w:val="0"/>
                      <w:kern w:val="0"/>
                      <w:sz w:val="21"/>
                      <w:szCs w:val="21"/>
                    </w:rPr>
                  </w:pPr>
                  <w:r>
                    <w:rPr>
                      <w:rStyle w:val="3"/>
                      <w:rFonts w:hint="eastAsia" w:ascii="宋体" w:hAnsi="宋体" w:eastAsia="宋体" w:cs="宋体"/>
                      <w:b/>
                      <w:bCs/>
                      <w:i w:val="0"/>
                      <w:iCs w:val="0"/>
                      <w:smallCaps w:val="0"/>
                      <w:kern w:val="0"/>
                      <w:sz w:val="21"/>
                      <w:szCs w:val="21"/>
                    </w:rPr>
                    <w:t>0.0万元</w:t>
                  </w:r>
                </w:p>
              </w:tc>
              <w:tc>
                <w:tcPr>
                  <w:tcW w:w="0" w:type="auto"/>
                  <w:tcBorders>
                    <w:top w:val="single" w:color="auto" w:sz="6" w:space="0"/>
                    <w:bottom w:val="single" w:color="808080" w:sz="6" w:space="0"/>
                    <w:right w:val="single" w:color="808080" w:sz="6" w:space="0"/>
                  </w:tcBorders>
                  <w:noWrap w:val="0"/>
                  <w:tcMar>
                    <w:top w:w="15" w:type="dxa"/>
                    <w:left w:w="15" w:type="dxa"/>
                    <w:bottom w:w="15" w:type="dxa"/>
                    <w:right w:w="15" w:type="dxa"/>
                  </w:tcMar>
                  <w:vAlign w:val="center"/>
                </w:tcPr>
                <w:p w14:paraId="44FEFE0B">
                  <w:pPr>
                    <w:widowControl/>
                    <w:spacing w:line="270" w:lineRule="atLeast"/>
                    <w:jc w:val="center"/>
                    <w:rPr>
                      <w:rStyle w:val="3"/>
                      <w:rFonts w:hint="eastAsia" w:ascii="宋体" w:hAnsi="宋体" w:eastAsia="宋体" w:cs="宋体"/>
                      <w:b w:val="0"/>
                      <w:bCs w:val="0"/>
                      <w:i w:val="0"/>
                      <w:iCs w:val="0"/>
                      <w:smallCaps w:val="0"/>
                      <w:kern w:val="0"/>
                      <w:sz w:val="21"/>
                      <w:szCs w:val="21"/>
                    </w:rPr>
                  </w:pPr>
                  <w:r>
                    <w:rPr>
                      <w:rStyle w:val="3"/>
                      <w:rFonts w:hint="eastAsia" w:ascii="宋体" w:hAnsi="宋体" w:eastAsia="宋体" w:cs="宋体"/>
                      <w:b/>
                      <w:bCs/>
                      <w:i w:val="0"/>
                      <w:iCs w:val="0"/>
                      <w:smallCaps w:val="0"/>
                      <w:kern w:val="0"/>
                      <w:sz w:val="21"/>
                      <w:szCs w:val="21"/>
                    </w:rPr>
                    <w:t>0.0%</w:t>
                  </w:r>
                </w:p>
              </w:tc>
            </w:tr>
            <w:tr w14:paraId="5CFC8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left w:val="single" w:color="auto" w:sz="6" w:space="0"/>
                    <w:bottom w:val="single" w:color="808080" w:sz="6" w:space="0"/>
                    <w:right w:val="single" w:color="808080" w:sz="6" w:space="0"/>
                  </w:tcBorders>
                  <w:noWrap w:val="0"/>
                  <w:tcMar>
                    <w:top w:w="15" w:type="dxa"/>
                    <w:left w:w="15" w:type="dxa"/>
                    <w:bottom w:w="15" w:type="dxa"/>
                    <w:right w:w="15" w:type="dxa"/>
                  </w:tcMar>
                  <w:vAlign w:val="center"/>
                </w:tcPr>
                <w:p w14:paraId="2E70D306">
                  <w:pPr>
                    <w:widowControl/>
                    <w:spacing w:line="270" w:lineRule="atLeast"/>
                    <w:jc w:val="center"/>
                    <w:rPr>
                      <w:rStyle w:val="3"/>
                      <w:rFonts w:hint="eastAsia" w:ascii="宋体" w:hAnsi="宋体" w:eastAsia="宋体" w:cs="宋体"/>
                      <w:b w:val="0"/>
                      <w:bCs w:val="0"/>
                      <w:i w:val="0"/>
                      <w:iCs w:val="0"/>
                      <w:smallCaps w:val="0"/>
                      <w:kern w:val="0"/>
                      <w:sz w:val="21"/>
                      <w:szCs w:val="21"/>
                    </w:rPr>
                  </w:pPr>
                  <w:r>
                    <w:rPr>
                      <w:rStyle w:val="3"/>
                      <w:rFonts w:hint="eastAsia" w:ascii="宋体" w:hAnsi="宋体" w:eastAsia="宋体" w:cs="宋体"/>
                      <w:b/>
                      <w:bCs/>
                      <w:i w:val="0"/>
                      <w:iCs w:val="0"/>
                      <w:smallCaps w:val="0"/>
                      <w:kern w:val="0"/>
                      <w:sz w:val="21"/>
                      <w:szCs w:val="21"/>
                    </w:rPr>
                    <w:t>外国政府及组织投资</w:t>
                  </w:r>
                </w:p>
              </w:tc>
              <w:tc>
                <w:tcPr>
                  <w:tcW w:w="0" w:type="auto"/>
                  <w:tcBorders>
                    <w:bottom w:val="single" w:color="808080" w:sz="6" w:space="0"/>
                    <w:right w:val="single" w:color="808080" w:sz="6" w:space="0"/>
                  </w:tcBorders>
                  <w:noWrap w:val="0"/>
                  <w:tcMar>
                    <w:top w:w="15" w:type="dxa"/>
                    <w:left w:w="15" w:type="dxa"/>
                    <w:bottom w:w="15" w:type="dxa"/>
                    <w:right w:w="15" w:type="dxa"/>
                  </w:tcMar>
                  <w:vAlign w:val="center"/>
                </w:tcPr>
                <w:p w14:paraId="2C6B95EB">
                  <w:pPr>
                    <w:widowControl/>
                    <w:spacing w:line="270" w:lineRule="atLeast"/>
                    <w:jc w:val="center"/>
                    <w:rPr>
                      <w:rStyle w:val="3"/>
                      <w:rFonts w:hint="eastAsia" w:ascii="宋体" w:hAnsi="宋体" w:eastAsia="宋体" w:cs="宋体"/>
                      <w:b w:val="0"/>
                      <w:bCs w:val="0"/>
                      <w:i w:val="0"/>
                      <w:iCs w:val="0"/>
                      <w:smallCaps w:val="0"/>
                      <w:kern w:val="0"/>
                      <w:sz w:val="21"/>
                      <w:szCs w:val="21"/>
                    </w:rPr>
                  </w:pPr>
                  <w:r>
                    <w:rPr>
                      <w:rStyle w:val="3"/>
                      <w:rFonts w:hint="eastAsia" w:ascii="宋体" w:hAnsi="宋体" w:eastAsia="宋体" w:cs="宋体"/>
                      <w:b/>
                      <w:bCs/>
                      <w:i w:val="0"/>
                      <w:iCs w:val="0"/>
                      <w:smallCaps w:val="0"/>
                      <w:kern w:val="0"/>
                      <w:sz w:val="21"/>
                      <w:szCs w:val="21"/>
                    </w:rPr>
                    <w:t>0.0万元</w:t>
                  </w:r>
                </w:p>
              </w:tc>
              <w:tc>
                <w:tcPr>
                  <w:tcW w:w="0" w:type="auto"/>
                  <w:tcBorders>
                    <w:bottom w:val="single" w:color="808080" w:sz="6" w:space="0"/>
                    <w:right w:val="single" w:color="808080" w:sz="6" w:space="0"/>
                  </w:tcBorders>
                  <w:noWrap w:val="0"/>
                  <w:tcMar>
                    <w:top w:w="15" w:type="dxa"/>
                    <w:left w:w="15" w:type="dxa"/>
                    <w:bottom w:w="15" w:type="dxa"/>
                    <w:right w:w="15" w:type="dxa"/>
                  </w:tcMar>
                  <w:vAlign w:val="center"/>
                </w:tcPr>
                <w:p w14:paraId="34EA7AE2">
                  <w:pPr>
                    <w:widowControl/>
                    <w:spacing w:line="270" w:lineRule="atLeast"/>
                    <w:jc w:val="center"/>
                    <w:rPr>
                      <w:rStyle w:val="3"/>
                      <w:rFonts w:hint="eastAsia" w:ascii="宋体" w:hAnsi="宋体" w:eastAsia="宋体" w:cs="宋体"/>
                      <w:b w:val="0"/>
                      <w:bCs w:val="0"/>
                      <w:i w:val="0"/>
                      <w:iCs w:val="0"/>
                      <w:smallCaps w:val="0"/>
                      <w:kern w:val="0"/>
                      <w:sz w:val="21"/>
                      <w:szCs w:val="21"/>
                    </w:rPr>
                  </w:pPr>
                  <w:r>
                    <w:rPr>
                      <w:rStyle w:val="3"/>
                      <w:rFonts w:hint="eastAsia" w:ascii="宋体" w:hAnsi="宋体" w:eastAsia="宋体" w:cs="宋体"/>
                      <w:b/>
                      <w:bCs/>
                      <w:i w:val="0"/>
                      <w:iCs w:val="0"/>
                      <w:smallCaps w:val="0"/>
                      <w:kern w:val="0"/>
                      <w:sz w:val="21"/>
                      <w:szCs w:val="21"/>
                    </w:rPr>
                    <w:t>0.0%</w:t>
                  </w:r>
                </w:p>
              </w:tc>
              <w:tc>
                <w:tcPr>
                  <w:tcW w:w="0" w:type="auto"/>
                  <w:tcBorders>
                    <w:bottom w:val="single" w:color="808080" w:sz="6" w:space="0"/>
                    <w:right w:val="single" w:color="808080" w:sz="6" w:space="0"/>
                  </w:tcBorders>
                  <w:noWrap w:val="0"/>
                  <w:tcMar>
                    <w:top w:w="15" w:type="dxa"/>
                    <w:left w:w="15" w:type="dxa"/>
                    <w:bottom w:w="15" w:type="dxa"/>
                    <w:right w:w="15" w:type="dxa"/>
                  </w:tcMar>
                  <w:vAlign w:val="center"/>
                </w:tcPr>
                <w:p w14:paraId="6D2B0341">
                  <w:pPr>
                    <w:widowControl/>
                    <w:spacing w:line="270" w:lineRule="atLeast"/>
                    <w:jc w:val="center"/>
                    <w:rPr>
                      <w:rStyle w:val="3"/>
                      <w:rFonts w:hint="eastAsia" w:ascii="宋体" w:hAnsi="宋体" w:eastAsia="宋体" w:cs="宋体"/>
                      <w:b w:val="0"/>
                      <w:bCs w:val="0"/>
                      <w:i w:val="0"/>
                      <w:iCs w:val="0"/>
                      <w:smallCaps w:val="0"/>
                      <w:kern w:val="0"/>
                      <w:sz w:val="21"/>
                      <w:szCs w:val="21"/>
                    </w:rPr>
                  </w:pPr>
                  <w:r>
                    <w:rPr>
                      <w:rStyle w:val="3"/>
                      <w:rFonts w:hint="eastAsia" w:ascii="宋体" w:hAnsi="宋体" w:eastAsia="宋体" w:cs="宋体"/>
                      <w:b/>
                      <w:bCs/>
                      <w:i w:val="0"/>
                      <w:iCs w:val="0"/>
                      <w:smallCaps w:val="0"/>
                      <w:kern w:val="0"/>
                      <w:sz w:val="21"/>
                      <w:szCs w:val="21"/>
                    </w:rPr>
                    <w:t>境外私人投资</w:t>
                  </w:r>
                </w:p>
              </w:tc>
              <w:tc>
                <w:tcPr>
                  <w:tcW w:w="0" w:type="auto"/>
                  <w:tcBorders>
                    <w:bottom w:val="single" w:color="808080" w:sz="6" w:space="0"/>
                    <w:right w:val="single" w:color="808080" w:sz="6" w:space="0"/>
                  </w:tcBorders>
                  <w:noWrap w:val="0"/>
                  <w:tcMar>
                    <w:top w:w="15" w:type="dxa"/>
                    <w:left w:w="15" w:type="dxa"/>
                    <w:bottom w:w="15" w:type="dxa"/>
                    <w:right w:w="15" w:type="dxa"/>
                  </w:tcMar>
                  <w:vAlign w:val="center"/>
                </w:tcPr>
                <w:p w14:paraId="61EDD582">
                  <w:pPr>
                    <w:widowControl/>
                    <w:spacing w:line="270" w:lineRule="atLeast"/>
                    <w:jc w:val="center"/>
                    <w:rPr>
                      <w:rStyle w:val="3"/>
                      <w:rFonts w:hint="eastAsia" w:ascii="宋体" w:hAnsi="宋体" w:eastAsia="宋体" w:cs="宋体"/>
                      <w:b w:val="0"/>
                      <w:bCs w:val="0"/>
                      <w:i w:val="0"/>
                      <w:iCs w:val="0"/>
                      <w:smallCaps w:val="0"/>
                      <w:kern w:val="0"/>
                      <w:sz w:val="21"/>
                      <w:szCs w:val="21"/>
                    </w:rPr>
                  </w:pPr>
                  <w:r>
                    <w:rPr>
                      <w:rStyle w:val="3"/>
                      <w:rFonts w:hint="eastAsia" w:ascii="宋体" w:hAnsi="宋体" w:eastAsia="宋体" w:cs="宋体"/>
                      <w:b/>
                      <w:bCs/>
                      <w:i w:val="0"/>
                      <w:iCs w:val="0"/>
                      <w:smallCaps w:val="0"/>
                      <w:kern w:val="0"/>
                      <w:sz w:val="21"/>
                      <w:szCs w:val="21"/>
                    </w:rPr>
                    <w:t>0.0万元</w:t>
                  </w:r>
                </w:p>
              </w:tc>
              <w:tc>
                <w:tcPr>
                  <w:tcW w:w="0" w:type="auto"/>
                  <w:tcBorders>
                    <w:bottom w:val="single" w:color="808080" w:sz="6" w:space="0"/>
                    <w:right w:val="single" w:color="808080" w:sz="6" w:space="0"/>
                  </w:tcBorders>
                  <w:noWrap w:val="0"/>
                  <w:tcMar>
                    <w:top w:w="15" w:type="dxa"/>
                    <w:left w:w="15" w:type="dxa"/>
                    <w:bottom w:w="15" w:type="dxa"/>
                    <w:right w:w="15" w:type="dxa"/>
                  </w:tcMar>
                  <w:vAlign w:val="center"/>
                </w:tcPr>
                <w:p w14:paraId="5EDF0135">
                  <w:pPr>
                    <w:widowControl/>
                    <w:spacing w:line="270" w:lineRule="atLeast"/>
                    <w:jc w:val="center"/>
                    <w:rPr>
                      <w:rStyle w:val="3"/>
                      <w:rFonts w:hint="eastAsia" w:ascii="宋体" w:hAnsi="宋体" w:eastAsia="宋体" w:cs="宋体"/>
                      <w:b w:val="0"/>
                      <w:bCs w:val="0"/>
                      <w:i w:val="0"/>
                      <w:iCs w:val="0"/>
                      <w:smallCaps w:val="0"/>
                      <w:kern w:val="0"/>
                      <w:sz w:val="21"/>
                      <w:szCs w:val="21"/>
                    </w:rPr>
                  </w:pPr>
                  <w:r>
                    <w:rPr>
                      <w:rStyle w:val="3"/>
                      <w:rFonts w:hint="eastAsia" w:ascii="宋体" w:hAnsi="宋体" w:eastAsia="宋体" w:cs="宋体"/>
                      <w:b/>
                      <w:bCs/>
                      <w:i w:val="0"/>
                      <w:iCs w:val="0"/>
                      <w:smallCaps w:val="0"/>
                      <w:kern w:val="0"/>
                      <w:sz w:val="21"/>
                      <w:szCs w:val="21"/>
                    </w:rPr>
                    <w:t>0.0%</w:t>
                  </w:r>
                </w:p>
              </w:tc>
            </w:tr>
            <w:tr w14:paraId="19617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left w:val="single" w:color="auto" w:sz="6" w:space="0"/>
                    <w:bottom w:val="single" w:color="808080" w:sz="6" w:space="0"/>
                    <w:right w:val="single" w:color="808080" w:sz="6" w:space="0"/>
                  </w:tcBorders>
                  <w:noWrap w:val="0"/>
                  <w:tcMar>
                    <w:top w:w="15" w:type="dxa"/>
                    <w:left w:w="15" w:type="dxa"/>
                    <w:bottom w:w="15" w:type="dxa"/>
                    <w:right w:w="15" w:type="dxa"/>
                  </w:tcMar>
                  <w:vAlign w:val="center"/>
                </w:tcPr>
                <w:p w14:paraId="2FAA50B3">
                  <w:pPr>
                    <w:widowControl/>
                    <w:spacing w:line="270" w:lineRule="atLeast"/>
                    <w:jc w:val="center"/>
                    <w:rPr>
                      <w:rStyle w:val="3"/>
                      <w:rFonts w:hint="eastAsia" w:ascii="宋体" w:hAnsi="宋体" w:eastAsia="宋体" w:cs="宋体"/>
                      <w:b w:val="0"/>
                      <w:bCs w:val="0"/>
                      <w:i w:val="0"/>
                      <w:iCs w:val="0"/>
                      <w:smallCaps w:val="0"/>
                      <w:kern w:val="0"/>
                      <w:sz w:val="21"/>
                      <w:szCs w:val="21"/>
                    </w:rPr>
                  </w:pPr>
                  <w:r>
                    <w:rPr>
                      <w:rStyle w:val="3"/>
                      <w:rFonts w:hint="eastAsia" w:ascii="宋体" w:hAnsi="宋体" w:eastAsia="宋体" w:cs="宋体"/>
                      <w:b/>
                      <w:bCs/>
                      <w:i w:val="0"/>
                      <w:iCs w:val="0"/>
                      <w:smallCaps w:val="0"/>
                      <w:kern w:val="0"/>
                      <w:sz w:val="21"/>
                      <w:szCs w:val="21"/>
                    </w:rPr>
                    <w:t>财政资金</w:t>
                  </w:r>
                </w:p>
              </w:tc>
              <w:tc>
                <w:tcPr>
                  <w:tcW w:w="0" w:type="auto"/>
                  <w:tcBorders>
                    <w:bottom w:val="single" w:color="808080" w:sz="6" w:space="0"/>
                    <w:right w:val="single" w:color="808080" w:sz="6" w:space="0"/>
                  </w:tcBorders>
                  <w:noWrap w:val="0"/>
                  <w:tcMar>
                    <w:top w:w="15" w:type="dxa"/>
                    <w:left w:w="15" w:type="dxa"/>
                    <w:bottom w:w="15" w:type="dxa"/>
                    <w:right w:w="15" w:type="dxa"/>
                  </w:tcMar>
                  <w:vAlign w:val="center"/>
                </w:tcPr>
                <w:p w14:paraId="3CC5AD78">
                  <w:pPr>
                    <w:widowControl/>
                    <w:spacing w:line="270" w:lineRule="atLeast"/>
                    <w:jc w:val="center"/>
                    <w:rPr>
                      <w:rStyle w:val="3"/>
                      <w:rFonts w:hint="eastAsia" w:ascii="宋体" w:hAnsi="宋体" w:eastAsia="宋体" w:cs="宋体"/>
                      <w:b w:val="0"/>
                      <w:bCs w:val="0"/>
                      <w:i w:val="0"/>
                      <w:iCs w:val="0"/>
                      <w:smallCaps w:val="0"/>
                      <w:kern w:val="0"/>
                      <w:sz w:val="21"/>
                      <w:szCs w:val="21"/>
                    </w:rPr>
                  </w:pPr>
                  <w:r>
                    <w:rPr>
                      <w:rStyle w:val="3"/>
                      <w:rFonts w:hint="eastAsia" w:ascii="宋体" w:hAnsi="宋体" w:eastAsia="宋体" w:cs="宋体"/>
                      <w:b/>
                      <w:bCs/>
                      <w:i w:val="0"/>
                      <w:iCs w:val="0"/>
                      <w:smallCaps w:val="0"/>
                      <w:kern w:val="0"/>
                      <w:sz w:val="21"/>
                      <w:szCs w:val="21"/>
                    </w:rPr>
                    <w:t>11059.08万元</w:t>
                  </w:r>
                </w:p>
              </w:tc>
              <w:tc>
                <w:tcPr>
                  <w:tcW w:w="0" w:type="auto"/>
                  <w:tcBorders>
                    <w:bottom w:val="single" w:color="808080" w:sz="6" w:space="0"/>
                    <w:right w:val="single" w:color="808080" w:sz="6" w:space="0"/>
                  </w:tcBorders>
                  <w:noWrap w:val="0"/>
                  <w:tcMar>
                    <w:top w:w="15" w:type="dxa"/>
                    <w:left w:w="15" w:type="dxa"/>
                    <w:bottom w:w="15" w:type="dxa"/>
                    <w:right w:w="15" w:type="dxa"/>
                  </w:tcMar>
                  <w:vAlign w:val="center"/>
                </w:tcPr>
                <w:p w14:paraId="1B77C0B5">
                  <w:pPr>
                    <w:widowControl/>
                    <w:spacing w:line="270" w:lineRule="atLeast"/>
                    <w:jc w:val="center"/>
                    <w:rPr>
                      <w:rStyle w:val="3"/>
                      <w:rFonts w:hint="eastAsia" w:ascii="宋体" w:hAnsi="宋体" w:eastAsia="宋体" w:cs="宋体"/>
                      <w:b w:val="0"/>
                      <w:bCs w:val="0"/>
                      <w:i w:val="0"/>
                      <w:iCs w:val="0"/>
                      <w:smallCaps w:val="0"/>
                      <w:kern w:val="0"/>
                      <w:sz w:val="21"/>
                      <w:szCs w:val="21"/>
                    </w:rPr>
                  </w:pPr>
                  <w:r>
                    <w:rPr>
                      <w:rStyle w:val="3"/>
                      <w:rFonts w:hint="eastAsia" w:ascii="宋体" w:hAnsi="宋体" w:eastAsia="宋体" w:cs="宋体"/>
                      <w:b/>
                      <w:bCs/>
                      <w:i w:val="0"/>
                      <w:iCs w:val="0"/>
                      <w:smallCaps w:val="0"/>
                      <w:kern w:val="0"/>
                      <w:sz w:val="21"/>
                      <w:szCs w:val="21"/>
                    </w:rPr>
                    <w:t>100.0%</w:t>
                  </w:r>
                </w:p>
              </w:tc>
              <w:tc>
                <w:tcPr>
                  <w:tcW w:w="0" w:type="auto"/>
                  <w:tcBorders>
                    <w:bottom w:val="single" w:color="808080" w:sz="6" w:space="0"/>
                    <w:right w:val="single" w:color="808080" w:sz="6" w:space="0"/>
                  </w:tcBorders>
                  <w:noWrap w:val="0"/>
                  <w:tcMar>
                    <w:top w:w="15" w:type="dxa"/>
                    <w:left w:w="15" w:type="dxa"/>
                    <w:bottom w:w="15" w:type="dxa"/>
                    <w:right w:w="15" w:type="dxa"/>
                  </w:tcMar>
                  <w:vAlign w:val="center"/>
                </w:tcPr>
                <w:p w14:paraId="209F6141">
                  <w:pPr>
                    <w:widowControl/>
                    <w:spacing w:line="270" w:lineRule="atLeast"/>
                    <w:jc w:val="center"/>
                    <w:rPr>
                      <w:rStyle w:val="3"/>
                      <w:rFonts w:hint="eastAsia" w:ascii="宋体" w:hAnsi="宋体" w:eastAsia="宋体" w:cs="宋体"/>
                      <w:b w:val="0"/>
                      <w:bCs w:val="0"/>
                      <w:i w:val="0"/>
                      <w:iCs w:val="0"/>
                      <w:smallCaps w:val="0"/>
                      <w:kern w:val="0"/>
                      <w:sz w:val="21"/>
                      <w:szCs w:val="21"/>
                    </w:rPr>
                  </w:pPr>
                  <w:r>
                    <w:rPr>
                      <w:rStyle w:val="3"/>
                      <w:rFonts w:hint="eastAsia" w:ascii="宋体" w:hAnsi="宋体" w:eastAsia="宋体" w:cs="宋体"/>
                      <w:b/>
                      <w:bCs/>
                      <w:i w:val="0"/>
                      <w:iCs w:val="0"/>
                      <w:smallCaps w:val="0"/>
                      <w:kern w:val="0"/>
                      <w:sz w:val="21"/>
                      <w:szCs w:val="21"/>
                    </w:rPr>
                    <w:t>其他</w:t>
                  </w:r>
                </w:p>
              </w:tc>
              <w:tc>
                <w:tcPr>
                  <w:tcW w:w="0" w:type="auto"/>
                  <w:tcBorders>
                    <w:bottom w:val="single" w:color="808080" w:sz="6" w:space="0"/>
                    <w:right w:val="single" w:color="808080" w:sz="6" w:space="0"/>
                  </w:tcBorders>
                  <w:noWrap w:val="0"/>
                  <w:tcMar>
                    <w:top w:w="15" w:type="dxa"/>
                    <w:left w:w="15" w:type="dxa"/>
                    <w:bottom w:w="15" w:type="dxa"/>
                    <w:right w:w="15" w:type="dxa"/>
                  </w:tcMar>
                  <w:vAlign w:val="center"/>
                </w:tcPr>
                <w:p w14:paraId="25927FE9">
                  <w:pPr>
                    <w:widowControl/>
                    <w:spacing w:line="270" w:lineRule="atLeast"/>
                    <w:jc w:val="center"/>
                    <w:rPr>
                      <w:rStyle w:val="3"/>
                      <w:rFonts w:hint="eastAsia" w:ascii="宋体" w:hAnsi="宋体" w:eastAsia="宋体" w:cs="宋体"/>
                      <w:b w:val="0"/>
                      <w:bCs w:val="0"/>
                      <w:i w:val="0"/>
                      <w:iCs w:val="0"/>
                      <w:smallCaps w:val="0"/>
                      <w:kern w:val="0"/>
                      <w:sz w:val="21"/>
                      <w:szCs w:val="21"/>
                    </w:rPr>
                  </w:pPr>
                  <w:r>
                    <w:rPr>
                      <w:rStyle w:val="3"/>
                      <w:rFonts w:hint="eastAsia" w:ascii="宋体" w:hAnsi="宋体" w:eastAsia="宋体" w:cs="宋体"/>
                      <w:b/>
                      <w:bCs/>
                      <w:i w:val="0"/>
                      <w:iCs w:val="0"/>
                      <w:smallCaps w:val="0"/>
                      <w:kern w:val="0"/>
                      <w:sz w:val="21"/>
                      <w:szCs w:val="21"/>
                    </w:rPr>
                    <w:t>0.0万元</w:t>
                  </w:r>
                </w:p>
              </w:tc>
              <w:tc>
                <w:tcPr>
                  <w:tcW w:w="0" w:type="auto"/>
                  <w:tcBorders>
                    <w:bottom w:val="single" w:color="808080" w:sz="6" w:space="0"/>
                    <w:right w:val="single" w:color="808080" w:sz="6" w:space="0"/>
                  </w:tcBorders>
                  <w:noWrap w:val="0"/>
                  <w:tcMar>
                    <w:top w:w="15" w:type="dxa"/>
                    <w:left w:w="15" w:type="dxa"/>
                    <w:bottom w:w="15" w:type="dxa"/>
                    <w:right w:w="15" w:type="dxa"/>
                  </w:tcMar>
                  <w:vAlign w:val="center"/>
                </w:tcPr>
                <w:p w14:paraId="70343600">
                  <w:pPr>
                    <w:widowControl/>
                    <w:spacing w:line="270" w:lineRule="atLeast"/>
                    <w:jc w:val="center"/>
                    <w:rPr>
                      <w:rStyle w:val="3"/>
                      <w:rFonts w:hint="eastAsia" w:ascii="宋体" w:hAnsi="宋体" w:eastAsia="宋体" w:cs="宋体"/>
                      <w:b w:val="0"/>
                      <w:bCs w:val="0"/>
                      <w:i w:val="0"/>
                      <w:iCs w:val="0"/>
                      <w:smallCaps w:val="0"/>
                      <w:kern w:val="0"/>
                      <w:sz w:val="21"/>
                      <w:szCs w:val="21"/>
                    </w:rPr>
                  </w:pPr>
                  <w:r>
                    <w:rPr>
                      <w:rStyle w:val="3"/>
                      <w:rFonts w:hint="eastAsia" w:ascii="宋体" w:hAnsi="宋体" w:eastAsia="宋体" w:cs="宋体"/>
                      <w:b/>
                      <w:bCs/>
                      <w:i w:val="0"/>
                      <w:iCs w:val="0"/>
                      <w:smallCaps w:val="0"/>
                      <w:kern w:val="0"/>
                      <w:sz w:val="21"/>
                      <w:szCs w:val="21"/>
                    </w:rPr>
                    <w:t>0.0%</w:t>
                  </w:r>
                </w:p>
              </w:tc>
            </w:tr>
          </w:tbl>
          <w:p w14:paraId="14307728">
            <w:pPr>
              <w:widowControl w:val="0"/>
              <w:jc w:val="both"/>
              <w:rPr>
                <w:rStyle w:val="3"/>
                <w:rFonts w:hint="eastAsia" w:ascii="宋体" w:hAnsi="宋体" w:eastAsia="宋体" w:cs="宋体"/>
                <w:b w:val="0"/>
                <w:bCs w:val="0"/>
                <w:i w:val="0"/>
                <w:iCs w:val="0"/>
                <w:smallCaps w:val="0"/>
                <w:kern w:val="0"/>
                <w:sz w:val="27"/>
                <w:szCs w:val="27"/>
              </w:rPr>
            </w:pPr>
          </w:p>
        </w:tc>
      </w:tr>
      <w:tr w14:paraId="37FDF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noWrap w:val="0"/>
            <w:tcMar>
              <w:top w:w="15" w:type="dxa"/>
              <w:left w:w="15" w:type="dxa"/>
              <w:bottom w:w="15" w:type="dxa"/>
              <w:right w:w="15" w:type="dxa"/>
            </w:tcMar>
            <w:vAlign w:val="center"/>
          </w:tcPr>
          <w:p w14:paraId="2AB20A3F">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项目已具备招标条件，现对该项目的施工进行公开招标。</w:t>
            </w:r>
          </w:p>
        </w:tc>
      </w:tr>
      <w:tr w14:paraId="3AB67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noWrap w:val="0"/>
            <w:tcMar>
              <w:top w:w="15" w:type="dxa"/>
              <w:left w:w="15" w:type="dxa"/>
              <w:bottom w:w="15" w:type="dxa"/>
              <w:right w:w="15" w:type="dxa"/>
            </w:tcMar>
            <w:vAlign w:val="center"/>
          </w:tcPr>
          <w:p w14:paraId="0C539067">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bCs/>
                <w:i w:val="0"/>
                <w:iCs w:val="0"/>
                <w:smallCaps w:val="0"/>
                <w:kern w:val="0"/>
                <w:sz w:val="24"/>
                <w:szCs w:val="24"/>
              </w:rPr>
              <w:t>2.项目概况与招标范围</w:t>
            </w:r>
          </w:p>
        </w:tc>
      </w:tr>
      <w:tr w14:paraId="2DF52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noWrap w:val="0"/>
            <w:tcMar>
              <w:top w:w="15" w:type="dxa"/>
              <w:left w:w="15" w:type="dxa"/>
              <w:bottom w:w="15" w:type="dxa"/>
              <w:right w:w="15" w:type="dxa"/>
            </w:tcMar>
            <w:vAlign w:val="center"/>
          </w:tcPr>
          <w:p w14:paraId="2D912C18">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    项目招标编号：</w:t>
            </w:r>
            <w:r>
              <w:rPr>
                <w:rStyle w:val="3"/>
                <w:rFonts w:hint="eastAsia" w:ascii="宋体" w:hAnsi="宋体" w:eastAsia="宋体" w:cs="宋体"/>
                <w:b/>
                <w:bCs/>
                <w:i w:val="0"/>
                <w:iCs w:val="0"/>
                <w:smallCaps w:val="0"/>
                <w:kern w:val="0"/>
                <w:sz w:val="24"/>
                <w:szCs w:val="24"/>
              </w:rPr>
              <w:t>E4500002802004752001</w:t>
            </w:r>
            <w:r>
              <w:rPr>
                <w:rStyle w:val="3"/>
                <w:rFonts w:hint="eastAsia" w:ascii="宋体" w:hAnsi="宋体" w:eastAsia="宋体" w:cs="宋体"/>
                <w:b w:val="0"/>
                <w:bCs w:val="0"/>
                <w:i w:val="0"/>
                <w:iCs w:val="0"/>
                <w:smallCaps w:val="0"/>
                <w:kern w:val="0"/>
                <w:sz w:val="24"/>
                <w:szCs w:val="24"/>
              </w:rPr>
              <w:t xml:space="preserve"> </w:t>
            </w:r>
            <w:r>
              <w:rPr>
                <w:rStyle w:val="3"/>
                <w:rFonts w:hint="eastAsia" w:ascii="宋体" w:hAnsi="宋体" w:eastAsia="宋体" w:cs="宋体"/>
                <w:b w:val="0"/>
                <w:bCs w:val="0"/>
                <w:i w:val="0"/>
                <w:iCs w:val="0"/>
                <w:smallCaps w:val="0"/>
                <w:kern w:val="0"/>
                <w:sz w:val="24"/>
                <w:szCs w:val="24"/>
              </w:rPr>
              <w:br w:type="textWrapping"/>
            </w:r>
            <w:r>
              <w:rPr>
                <w:rStyle w:val="3"/>
                <w:rFonts w:hint="eastAsia" w:ascii="宋体" w:hAnsi="宋体" w:eastAsia="宋体" w:cs="宋体"/>
                <w:b w:val="0"/>
                <w:bCs w:val="0"/>
                <w:i w:val="0"/>
                <w:iCs w:val="0"/>
                <w:smallCaps w:val="0"/>
                <w:kern w:val="0"/>
                <w:sz w:val="24"/>
                <w:szCs w:val="24"/>
              </w:rPr>
              <w:t>    报建号（如有）：</w:t>
            </w:r>
            <w:r>
              <w:rPr>
                <w:rStyle w:val="3"/>
                <w:rFonts w:hint="eastAsia" w:ascii="宋体" w:hAnsi="宋体" w:eastAsia="宋体" w:cs="宋体"/>
                <w:b/>
                <w:bCs/>
                <w:i w:val="0"/>
                <w:iCs w:val="0"/>
                <w:smallCaps w:val="0"/>
                <w:kern w:val="0"/>
                <w:sz w:val="24"/>
                <w:szCs w:val="24"/>
              </w:rPr>
              <w:t>无</w:t>
            </w:r>
            <w:r>
              <w:rPr>
                <w:rStyle w:val="3"/>
                <w:rFonts w:hint="eastAsia" w:ascii="宋体" w:hAnsi="宋体" w:eastAsia="宋体" w:cs="宋体"/>
                <w:b w:val="0"/>
                <w:bCs w:val="0"/>
                <w:i w:val="0"/>
                <w:iCs w:val="0"/>
                <w:smallCaps w:val="0"/>
                <w:kern w:val="0"/>
                <w:sz w:val="24"/>
                <w:szCs w:val="24"/>
              </w:rPr>
              <w:t xml:space="preserve"> </w:t>
            </w:r>
            <w:r>
              <w:rPr>
                <w:rStyle w:val="3"/>
                <w:rFonts w:hint="eastAsia" w:ascii="宋体" w:hAnsi="宋体" w:eastAsia="宋体" w:cs="宋体"/>
                <w:b w:val="0"/>
                <w:bCs w:val="0"/>
                <w:i w:val="0"/>
                <w:iCs w:val="0"/>
                <w:smallCaps w:val="0"/>
                <w:kern w:val="0"/>
                <w:sz w:val="24"/>
                <w:szCs w:val="24"/>
              </w:rPr>
              <w:br w:type="textWrapping"/>
            </w:r>
            <w:r>
              <w:rPr>
                <w:rStyle w:val="3"/>
                <w:rFonts w:hint="eastAsia" w:ascii="宋体" w:hAnsi="宋体" w:eastAsia="宋体" w:cs="宋体"/>
                <w:b w:val="0"/>
                <w:bCs w:val="0"/>
                <w:i w:val="0"/>
                <w:iCs w:val="0"/>
                <w:smallCaps w:val="0"/>
                <w:kern w:val="0"/>
                <w:sz w:val="24"/>
                <w:szCs w:val="24"/>
              </w:rPr>
              <w:t>    建设地点：</w:t>
            </w:r>
            <w:r>
              <w:rPr>
                <w:rStyle w:val="3"/>
                <w:rFonts w:hint="eastAsia" w:ascii="宋体" w:hAnsi="宋体" w:eastAsia="宋体" w:cs="宋体"/>
                <w:b/>
                <w:bCs/>
                <w:i w:val="0"/>
                <w:iCs w:val="0"/>
                <w:smallCaps w:val="0"/>
                <w:kern w:val="0"/>
                <w:sz w:val="24"/>
                <w:szCs w:val="24"/>
              </w:rPr>
              <w:t>广西壮族自治区南宁市兴宁区昆仑大道1258号，广西交通职业技术学院昆仑校区内</w:t>
            </w:r>
            <w:r>
              <w:rPr>
                <w:rStyle w:val="3"/>
                <w:rFonts w:hint="eastAsia" w:ascii="宋体" w:hAnsi="宋体" w:eastAsia="宋体" w:cs="宋体"/>
                <w:b w:val="0"/>
                <w:bCs w:val="0"/>
                <w:i w:val="0"/>
                <w:iCs w:val="0"/>
                <w:smallCaps w:val="0"/>
                <w:kern w:val="0"/>
                <w:sz w:val="24"/>
                <w:szCs w:val="24"/>
              </w:rPr>
              <w:t xml:space="preserve"> </w:t>
            </w:r>
            <w:r>
              <w:rPr>
                <w:rStyle w:val="3"/>
                <w:rFonts w:hint="eastAsia" w:ascii="宋体" w:hAnsi="宋体" w:eastAsia="宋体" w:cs="宋体"/>
                <w:b w:val="0"/>
                <w:bCs w:val="0"/>
                <w:i w:val="0"/>
                <w:iCs w:val="0"/>
                <w:smallCaps w:val="0"/>
                <w:kern w:val="0"/>
                <w:sz w:val="24"/>
                <w:szCs w:val="24"/>
              </w:rPr>
              <w:br w:type="textWrapping"/>
            </w:r>
            <w:r>
              <w:rPr>
                <w:rStyle w:val="3"/>
                <w:rFonts w:hint="eastAsia" w:ascii="宋体" w:hAnsi="宋体" w:eastAsia="宋体" w:cs="宋体"/>
                <w:b w:val="0"/>
                <w:bCs w:val="0"/>
                <w:i w:val="0"/>
                <w:iCs w:val="0"/>
                <w:smallCaps w:val="0"/>
                <w:kern w:val="0"/>
                <w:sz w:val="24"/>
                <w:szCs w:val="24"/>
              </w:rPr>
              <w:t>    建设规模：</w:t>
            </w:r>
            <w:r>
              <w:rPr>
                <w:rStyle w:val="3"/>
                <w:rFonts w:hint="eastAsia" w:ascii="宋体" w:hAnsi="宋体" w:eastAsia="宋体" w:cs="宋体"/>
                <w:b/>
                <w:bCs/>
                <w:i w:val="0"/>
                <w:iCs w:val="0"/>
                <w:smallCaps w:val="0"/>
                <w:kern w:val="0"/>
                <w:sz w:val="24"/>
                <w:szCs w:val="24"/>
              </w:rPr>
              <w:t>项目为新建2栋实训教学楼，地上建筑面积37474.31平方米，地下建筑面积3694.54平方米，总建筑面积41168.85平方米。其中中国-东盟交通工匠学院教学楼总建筑面积为27802.26平方米，地上9层，地下1层，建筑高度36米；东盟产教实训基地教学楼总建筑面积为13366.59平方米，地上5层，地下1层，建筑高度22米。本项目单跨跨度最大为13.8米。</w:t>
            </w:r>
            <w:r>
              <w:rPr>
                <w:rStyle w:val="3"/>
                <w:rFonts w:hint="eastAsia" w:ascii="宋体" w:hAnsi="宋体" w:eastAsia="宋体" w:cs="宋体"/>
                <w:b w:val="0"/>
                <w:bCs w:val="0"/>
                <w:i w:val="0"/>
                <w:iCs w:val="0"/>
                <w:smallCaps w:val="0"/>
                <w:kern w:val="0"/>
                <w:sz w:val="24"/>
                <w:szCs w:val="24"/>
              </w:rPr>
              <w:t xml:space="preserve"> </w:t>
            </w:r>
            <w:r>
              <w:rPr>
                <w:rStyle w:val="3"/>
                <w:rFonts w:hint="eastAsia" w:ascii="宋体" w:hAnsi="宋体" w:eastAsia="宋体" w:cs="宋体"/>
                <w:b w:val="0"/>
                <w:bCs w:val="0"/>
                <w:i w:val="0"/>
                <w:iCs w:val="0"/>
                <w:smallCaps w:val="0"/>
                <w:kern w:val="0"/>
                <w:sz w:val="24"/>
                <w:szCs w:val="24"/>
              </w:rPr>
              <w:br w:type="textWrapping"/>
            </w:r>
            <w:r>
              <w:rPr>
                <w:rStyle w:val="3"/>
                <w:rFonts w:hint="eastAsia" w:ascii="宋体" w:hAnsi="宋体" w:eastAsia="宋体" w:cs="宋体"/>
                <w:b w:val="0"/>
                <w:bCs w:val="0"/>
                <w:i w:val="0"/>
                <w:iCs w:val="0"/>
                <w:smallCaps w:val="0"/>
                <w:kern w:val="0"/>
                <w:sz w:val="24"/>
                <w:szCs w:val="24"/>
              </w:rPr>
              <w:t>    合同估算价：</w:t>
            </w:r>
            <w:r>
              <w:rPr>
                <w:rStyle w:val="3"/>
                <w:rFonts w:hint="eastAsia" w:ascii="宋体" w:hAnsi="宋体" w:eastAsia="宋体" w:cs="宋体"/>
                <w:b/>
                <w:bCs/>
                <w:i w:val="0"/>
                <w:iCs w:val="0"/>
                <w:smallCaps w:val="0"/>
                <w:kern w:val="0"/>
                <w:sz w:val="24"/>
                <w:szCs w:val="24"/>
              </w:rPr>
              <w:t>11059.08万元</w:t>
            </w:r>
            <w:r>
              <w:rPr>
                <w:rStyle w:val="3"/>
                <w:rFonts w:hint="eastAsia" w:ascii="宋体" w:hAnsi="宋体" w:eastAsia="宋体" w:cs="宋体"/>
                <w:b w:val="0"/>
                <w:bCs w:val="0"/>
                <w:i w:val="0"/>
                <w:iCs w:val="0"/>
                <w:smallCaps w:val="0"/>
                <w:kern w:val="0"/>
                <w:sz w:val="24"/>
                <w:szCs w:val="24"/>
              </w:rPr>
              <w:t xml:space="preserve"> </w:t>
            </w:r>
            <w:r>
              <w:rPr>
                <w:rStyle w:val="3"/>
                <w:rFonts w:hint="eastAsia" w:ascii="宋体" w:hAnsi="宋体" w:eastAsia="宋体" w:cs="宋体"/>
                <w:b w:val="0"/>
                <w:bCs w:val="0"/>
                <w:i w:val="0"/>
                <w:iCs w:val="0"/>
                <w:smallCaps w:val="0"/>
                <w:kern w:val="0"/>
                <w:sz w:val="24"/>
                <w:szCs w:val="24"/>
              </w:rPr>
              <w:br w:type="textWrapping"/>
            </w:r>
            <w:r>
              <w:rPr>
                <w:rStyle w:val="3"/>
                <w:rFonts w:hint="eastAsia" w:ascii="宋体" w:hAnsi="宋体" w:eastAsia="宋体" w:cs="宋体"/>
                <w:b w:val="0"/>
                <w:bCs w:val="0"/>
                <w:i w:val="0"/>
                <w:iCs w:val="0"/>
                <w:smallCaps w:val="0"/>
                <w:kern w:val="0"/>
                <w:sz w:val="24"/>
                <w:szCs w:val="24"/>
              </w:rPr>
              <w:t>    要求工期：</w:t>
            </w:r>
            <w:r>
              <w:rPr>
                <w:rStyle w:val="3"/>
                <w:rFonts w:hint="eastAsia" w:ascii="宋体" w:hAnsi="宋体" w:eastAsia="宋体" w:cs="宋体"/>
                <w:b/>
                <w:bCs/>
                <w:i w:val="0"/>
                <w:iCs w:val="0"/>
                <w:smallCaps w:val="0"/>
                <w:kern w:val="0"/>
                <w:sz w:val="24"/>
                <w:szCs w:val="24"/>
              </w:rPr>
              <w:t>657</w:t>
            </w:r>
            <w:r>
              <w:rPr>
                <w:rStyle w:val="3"/>
                <w:rFonts w:hint="eastAsia" w:ascii="宋体" w:hAnsi="宋体" w:eastAsia="宋体" w:cs="宋体"/>
                <w:b w:val="0"/>
                <w:bCs w:val="0"/>
                <w:i w:val="0"/>
                <w:iCs w:val="0"/>
                <w:smallCaps w:val="0"/>
                <w:kern w:val="0"/>
                <w:sz w:val="24"/>
                <w:szCs w:val="24"/>
              </w:rPr>
              <w:t>日历天，定额工期</w:t>
            </w:r>
            <w:r>
              <w:rPr>
                <w:rStyle w:val="3"/>
                <w:rFonts w:hint="eastAsia" w:ascii="宋体" w:hAnsi="宋体" w:eastAsia="宋体" w:cs="宋体"/>
                <w:b/>
                <w:bCs/>
                <w:i w:val="0"/>
                <w:iCs w:val="0"/>
                <w:smallCaps w:val="0"/>
                <w:kern w:val="0"/>
                <w:sz w:val="24"/>
                <w:szCs w:val="24"/>
              </w:rPr>
              <w:t>657</w:t>
            </w:r>
            <w:r>
              <w:rPr>
                <w:rStyle w:val="3"/>
                <w:rFonts w:hint="eastAsia" w:ascii="宋体" w:hAnsi="宋体" w:eastAsia="宋体" w:cs="宋体"/>
                <w:b w:val="0"/>
                <w:bCs w:val="0"/>
                <w:i w:val="0"/>
                <w:iCs w:val="0"/>
                <w:smallCaps w:val="0"/>
                <w:kern w:val="0"/>
                <w:sz w:val="24"/>
                <w:szCs w:val="24"/>
              </w:rPr>
              <w:t xml:space="preserve">日历天 </w:t>
            </w:r>
            <w:r>
              <w:rPr>
                <w:rStyle w:val="3"/>
                <w:rFonts w:hint="eastAsia" w:ascii="宋体" w:hAnsi="宋体" w:eastAsia="宋体" w:cs="宋体"/>
                <w:b/>
                <w:bCs/>
                <w:i w:val="0"/>
                <w:iCs w:val="0"/>
                <w:smallCaps w:val="0"/>
                <w:kern w:val="0"/>
                <w:sz w:val="24"/>
                <w:szCs w:val="24"/>
              </w:rPr>
              <w:t>【备注：建筑安装工程定额工期应按《建筑安装工程工期定额（TY01-89-2016）》确定，工期压缩时，宜组织专家论证，且在招标工程量清单中增设提前竣工（赶工补偿）费项目清单】。</w:t>
            </w:r>
            <w:r>
              <w:rPr>
                <w:rStyle w:val="3"/>
                <w:rFonts w:hint="eastAsia" w:ascii="宋体" w:hAnsi="宋体" w:eastAsia="宋体" w:cs="宋体"/>
                <w:b/>
                <w:bCs/>
                <w:i w:val="0"/>
                <w:iCs w:val="0"/>
                <w:smallCaps w:val="0"/>
                <w:kern w:val="0"/>
                <w:sz w:val="24"/>
                <w:szCs w:val="24"/>
              </w:rPr>
              <w:br w:type="textWrapping"/>
            </w:r>
            <w:r>
              <w:rPr>
                <w:rStyle w:val="3"/>
                <w:rFonts w:hint="eastAsia" w:ascii="宋体" w:hAnsi="宋体" w:eastAsia="宋体" w:cs="宋体"/>
                <w:b w:val="0"/>
                <w:bCs w:val="0"/>
                <w:i w:val="0"/>
                <w:iCs w:val="0"/>
                <w:smallCaps w:val="0"/>
                <w:kern w:val="0"/>
                <w:sz w:val="24"/>
                <w:szCs w:val="24"/>
              </w:rPr>
              <w:t>    招标范围：</w:t>
            </w:r>
            <w:r>
              <w:rPr>
                <w:rStyle w:val="3"/>
                <w:rFonts w:hint="eastAsia" w:ascii="宋体" w:hAnsi="宋体" w:eastAsia="宋体" w:cs="宋体"/>
                <w:b/>
                <w:bCs/>
                <w:i w:val="0"/>
                <w:iCs w:val="0"/>
                <w:smallCaps w:val="0"/>
                <w:kern w:val="0"/>
                <w:sz w:val="24"/>
                <w:szCs w:val="24"/>
              </w:rPr>
              <w:t>主要包括建筑工程、安装工程、给排水工程、电气工程、消防工程及相关附属配套设施等。具体详见招标人发布的施工设计图纸、工程量清单及招标控制价。</w:t>
            </w:r>
            <w:r>
              <w:rPr>
                <w:rStyle w:val="3"/>
                <w:rFonts w:hint="eastAsia" w:ascii="宋体" w:hAnsi="宋体" w:eastAsia="宋体" w:cs="宋体"/>
                <w:b w:val="0"/>
                <w:bCs w:val="0"/>
                <w:i w:val="0"/>
                <w:iCs w:val="0"/>
                <w:smallCaps w:val="0"/>
                <w:kern w:val="0"/>
                <w:sz w:val="24"/>
                <w:szCs w:val="24"/>
              </w:rPr>
              <w:t xml:space="preserve"> </w:t>
            </w:r>
            <w:r>
              <w:rPr>
                <w:rStyle w:val="3"/>
                <w:rFonts w:hint="eastAsia" w:ascii="宋体" w:hAnsi="宋体" w:eastAsia="宋体" w:cs="宋体"/>
                <w:b w:val="0"/>
                <w:bCs w:val="0"/>
                <w:i w:val="0"/>
                <w:iCs w:val="0"/>
                <w:smallCaps w:val="0"/>
                <w:kern w:val="0"/>
                <w:sz w:val="24"/>
                <w:szCs w:val="24"/>
              </w:rPr>
              <w:br w:type="textWrapping"/>
            </w:r>
            <w:r>
              <w:rPr>
                <w:rStyle w:val="3"/>
                <w:rFonts w:hint="eastAsia" w:ascii="宋体" w:hAnsi="宋体" w:eastAsia="宋体" w:cs="宋体"/>
                <w:b w:val="0"/>
                <w:bCs w:val="0"/>
                <w:i w:val="0"/>
                <w:iCs w:val="0"/>
                <w:smallCaps w:val="0"/>
                <w:kern w:val="0"/>
                <w:sz w:val="24"/>
                <w:szCs w:val="24"/>
              </w:rPr>
              <w:t>    标段划分：</w:t>
            </w:r>
            <w:r>
              <w:rPr>
                <w:rStyle w:val="3"/>
                <w:rFonts w:hint="eastAsia" w:ascii="宋体" w:hAnsi="宋体" w:eastAsia="宋体" w:cs="宋体"/>
                <w:b/>
                <w:bCs/>
                <w:i w:val="0"/>
                <w:iCs w:val="0"/>
                <w:smallCaps w:val="0"/>
                <w:kern w:val="0"/>
                <w:sz w:val="24"/>
                <w:szCs w:val="24"/>
              </w:rPr>
              <w:t>标段(包)编号：E4500002802004752001001，标段(包)名称：广西交通职业技术学院综合交通产教融合实训基地项目</w:t>
            </w:r>
            <w:r>
              <w:rPr>
                <w:rStyle w:val="3"/>
                <w:rFonts w:hint="eastAsia" w:ascii="宋体" w:hAnsi="宋体" w:eastAsia="宋体" w:cs="宋体"/>
                <w:b w:val="0"/>
                <w:bCs w:val="0"/>
                <w:i w:val="0"/>
                <w:iCs w:val="0"/>
                <w:smallCaps w:val="0"/>
                <w:kern w:val="0"/>
                <w:sz w:val="24"/>
                <w:szCs w:val="24"/>
              </w:rPr>
              <w:t xml:space="preserve"> </w:t>
            </w:r>
            <w:r>
              <w:rPr>
                <w:rStyle w:val="3"/>
                <w:rFonts w:hint="eastAsia" w:ascii="宋体" w:hAnsi="宋体" w:eastAsia="宋体" w:cs="宋体"/>
                <w:b w:val="0"/>
                <w:bCs w:val="0"/>
                <w:i w:val="0"/>
                <w:iCs w:val="0"/>
                <w:smallCaps w:val="0"/>
                <w:kern w:val="0"/>
                <w:sz w:val="24"/>
                <w:szCs w:val="24"/>
              </w:rPr>
              <w:br w:type="textWrapping"/>
            </w:r>
            <w:r>
              <w:rPr>
                <w:rStyle w:val="3"/>
                <w:rFonts w:hint="eastAsia" w:ascii="宋体" w:hAnsi="宋体" w:eastAsia="宋体" w:cs="宋体"/>
                <w:b w:val="0"/>
                <w:bCs w:val="0"/>
                <w:i w:val="0"/>
                <w:iCs w:val="0"/>
                <w:smallCaps w:val="0"/>
                <w:kern w:val="0"/>
                <w:sz w:val="24"/>
                <w:szCs w:val="24"/>
              </w:rPr>
              <w:t>    设计单位：</w:t>
            </w:r>
            <w:r>
              <w:rPr>
                <w:rStyle w:val="3"/>
                <w:rFonts w:hint="eastAsia" w:ascii="宋体" w:hAnsi="宋体" w:eastAsia="宋体" w:cs="宋体"/>
                <w:b/>
                <w:bCs/>
                <w:i w:val="0"/>
                <w:iCs w:val="0"/>
                <w:smallCaps w:val="0"/>
                <w:kern w:val="0"/>
                <w:sz w:val="24"/>
                <w:szCs w:val="24"/>
              </w:rPr>
              <w:t>广西华信工程设计股份有限公司</w:t>
            </w:r>
            <w:r>
              <w:rPr>
                <w:rStyle w:val="3"/>
                <w:rFonts w:hint="eastAsia" w:ascii="宋体" w:hAnsi="宋体" w:eastAsia="宋体" w:cs="宋体"/>
                <w:b/>
                <w:bCs/>
                <w:i w:val="0"/>
                <w:iCs w:val="0"/>
                <w:smallCaps w:val="0"/>
                <w:kern w:val="0"/>
                <w:sz w:val="24"/>
                <w:szCs w:val="24"/>
              </w:rPr>
              <w:br w:type="textWrapping"/>
            </w:r>
            <w:r>
              <w:rPr>
                <w:rStyle w:val="3"/>
                <w:rFonts w:hint="eastAsia" w:ascii="宋体" w:hAnsi="宋体" w:eastAsia="宋体" w:cs="宋体"/>
                <w:b w:val="0"/>
                <w:bCs w:val="0"/>
                <w:i w:val="0"/>
                <w:iCs w:val="0"/>
                <w:smallCaps w:val="0"/>
                <w:kern w:val="0"/>
                <w:sz w:val="24"/>
                <w:szCs w:val="24"/>
              </w:rPr>
              <w:t>    勘察单位：</w:t>
            </w:r>
            <w:r>
              <w:rPr>
                <w:rStyle w:val="3"/>
                <w:rFonts w:hint="eastAsia" w:ascii="宋体" w:hAnsi="宋体" w:eastAsia="宋体" w:cs="宋体"/>
                <w:b/>
                <w:bCs/>
                <w:i w:val="0"/>
                <w:iCs w:val="0"/>
                <w:smallCaps w:val="0"/>
                <w:kern w:val="0"/>
                <w:sz w:val="24"/>
                <w:szCs w:val="24"/>
              </w:rPr>
              <w:t>广西有色勘察设计研究院</w:t>
            </w:r>
          </w:p>
        </w:tc>
      </w:tr>
      <w:tr w14:paraId="6D405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noWrap w:val="0"/>
            <w:tcMar>
              <w:top w:w="15" w:type="dxa"/>
              <w:left w:w="15" w:type="dxa"/>
              <w:bottom w:w="15" w:type="dxa"/>
              <w:right w:w="15" w:type="dxa"/>
            </w:tcMar>
            <w:vAlign w:val="center"/>
          </w:tcPr>
          <w:p w14:paraId="69300351">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bCs/>
                <w:i w:val="0"/>
                <w:iCs w:val="0"/>
                <w:smallCaps w:val="0"/>
                <w:kern w:val="0"/>
                <w:sz w:val="24"/>
                <w:szCs w:val="24"/>
              </w:rPr>
              <w:t>3.投标人资格要求</w:t>
            </w:r>
          </w:p>
        </w:tc>
      </w:tr>
      <w:tr w14:paraId="5C00C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noWrap w:val="0"/>
            <w:tcMar>
              <w:top w:w="15" w:type="dxa"/>
              <w:left w:w="15" w:type="dxa"/>
              <w:bottom w:w="15" w:type="dxa"/>
              <w:right w:w="15" w:type="dxa"/>
            </w:tcMar>
            <w:vAlign w:val="center"/>
          </w:tcPr>
          <w:p w14:paraId="39A65948">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 xml:space="preserve">    3.1 本次招标要求投标人须已办理“桂建云”入库手续并处于有效状态， 具备建筑工程施工总承包三级（含）以上资质 </w:t>
            </w:r>
            <w:r>
              <w:rPr>
                <w:rStyle w:val="3"/>
                <w:rFonts w:hint="eastAsia" w:ascii="宋体" w:hAnsi="宋体" w:eastAsia="宋体" w:cs="宋体"/>
                <w:b/>
                <w:bCs/>
                <w:i w:val="0"/>
                <w:iCs w:val="0"/>
                <w:smallCaps w:val="0"/>
                <w:kern w:val="0"/>
                <w:sz w:val="24"/>
                <w:szCs w:val="24"/>
              </w:rPr>
              <w:t xml:space="preserve">【备注：1、招标人应当根据国家法律法规对企业资质等级许可的相关规定以及招标项目特点，合理设置企业资质等级， 不得提高资质等级要求；资质设置为施工总承包已可满足项目建设要求的，不得额外同时设置专业承包资质； 2、轨道交通、隧道、综合管廊、大型桥梁项目招标时，注册地在广西的建筑业企业与区外建筑业企业采用联合体形式参与投标的，联合体资质按最高的企业计取； 3、/】 </w:t>
            </w:r>
            <w:r>
              <w:rPr>
                <w:rStyle w:val="3"/>
                <w:rFonts w:hint="eastAsia" w:ascii="宋体" w:hAnsi="宋体" w:eastAsia="宋体" w:cs="宋体"/>
                <w:b w:val="0"/>
                <w:bCs w:val="0"/>
                <w:i w:val="0"/>
                <w:iCs w:val="0"/>
                <w:smallCaps w:val="0"/>
                <w:kern w:val="0"/>
                <w:sz w:val="24"/>
                <w:szCs w:val="24"/>
              </w:rPr>
              <w:t xml:space="preserve">，并在人员、设备、资金等方面具备相应的施工能力。 其中，投标人拟派项目经理须具备建筑工程专业二级以上（含本级）注册建造师执业资格 </w:t>
            </w:r>
            <w:r>
              <w:rPr>
                <w:rStyle w:val="3"/>
                <w:rFonts w:hint="eastAsia" w:ascii="宋体" w:hAnsi="宋体" w:eastAsia="宋体" w:cs="宋体"/>
                <w:b/>
                <w:bCs/>
                <w:i w:val="0"/>
                <w:iCs w:val="0"/>
                <w:smallCaps w:val="0"/>
                <w:kern w:val="0"/>
                <w:sz w:val="24"/>
                <w:szCs w:val="24"/>
              </w:rPr>
              <w:t>【备注：招标人应当根据项目规模，按照注册建造师执业工程规模标准，合理设置注册建造师等级，不应提高资格要求】</w:t>
            </w:r>
            <w:r>
              <w:rPr>
                <w:rStyle w:val="3"/>
                <w:rFonts w:hint="eastAsia" w:ascii="宋体" w:hAnsi="宋体" w:eastAsia="宋体" w:cs="宋体"/>
                <w:b w:val="0"/>
                <w:bCs w:val="0"/>
                <w:i w:val="0"/>
                <w:iCs w:val="0"/>
                <w:smallCaps w:val="0"/>
                <w:kern w:val="0"/>
                <w:sz w:val="24"/>
                <w:szCs w:val="24"/>
              </w:rPr>
              <w:t xml:space="preserve"> ，已录入桂建云并处于有效状态，具备有效的安全生产考核合格证书（B类）。 本项目不接受有在建、已中标未开工或已列为其他项目中标候选人第一名的建造师作为项目经理（符合《广西壮族自治区建筑市场诚信卡管理暂行办法》第十六条第一款及桂建管﹝2016﹞70号、桂建管〔2019〕26号和桂建管〔2020〕11号文除外）。</w:t>
            </w:r>
            <w:r>
              <w:rPr>
                <w:rStyle w:val="3"/>
                <w:rFonts w:hint="eastAsia" w:ascii="宋体" w:hAnsi="宋体" w:eastAsia="宋体" w:cs="宋体"/>
                <w:b w:val="0"/>
                <w:bCs w:val="0"/>
                <w:i w:val="0"/>
                <w:iCs w:val="0"/>
                <w:smallCaps w:val="0"/>
                <w:kern w:val="0"/>
                <w:sz w:val="24"/>
                <w:szCs w:val="24"/>
              </w:rPr>
              <w:br w:type="textWrapping"/>
            </w:r>
            <w:r>
              <w:rPr>
                <w:rStyle w:val="3"/>
                <w:rFonts w:hint="eastAsia" w:ascii="宋体" w:hAnsi="宋体" w:eastAsia="宋体" w:cs="宋体"/>
                <w:b w:val="0"/>
                <w:bCs w:val="0"/>
                <w:i w:val="0"/>
                <w:iCs w:val="0"/>
                <w:smallCaps w:val="0"/>
                <w:kern w:val="0"/>
                <w:sz w:val="24"/>
                <w:szCs w:val="24"/>
              </w:rPr>
              <w:t xml:space="preserve">    3.2业绩要求： 无要求。 </w:t>
            </w:r>
            <w:r>
              <w:rPr>
                <w:rStyle w:val="3"/>
                <w:rFonts w:hint="eastAsia" w:ascii="宋体" w:hAnsi="宋体" w:eastAsia="宋体" w:cs="宋体"/>
                <w:b w:val="0"/>
                <w:bCs w:val="0"/>
                <w:i w:val="0"/>
                <w:iCs w:val="0"/>
                <w:smallCaps w:val="0"/>
                <w:kern w:val="0"/>
                <w:sz w:val="24"/>
                <w:szCs w:val="24"/>
              </w:rPr>
              <w:br w:type="textWrapping"/>
            </w:r>
            <w:r>
              <w:rPr>
                <w:rStyle w:val="3"/>
                <w:rFonts w:hint="eastAsia" w:ascii="宋体" w:hAnsi="宋体" w:eastAsia="宋体" w:cs="宋体"/>
                <w:b w:val="0"/>
                <w:bCs w:val="0"/>
                <w:i w:val="0"/>
                <w:iCs w:val="0"/>
                <w:smallCaps w:val="0"/>
                <w:kern w:val="0"/>
                <w:sz w:val="24"/>
                <w:szCs w:val="24"/>
              </w:rPr>
              <w:t xml:space="preserve">    3.3 本次招标不接受联合体投标。 </w:t>
            </w:r>
            <w:r>
              <w:rPr>
                <w:rStyle w:val="3"/>
                <w:rFonts w:hint="eastAsia" w:ascii="宋体" w:hAnsi="宋体" w:eastAsia="宋体" w:cs="宋体"/>
                <w:b w:val="0"/>
                <w:bCs w:val="0"/>
                <w:i w:val="0"/>
                <w:iCs w:val="0"/>
                <w:smallCaps w:val="0"/>
                <w:kern w:val="0"/>
                <w:sz w:val="24"/>
                <w:szCs w:val="24"/>
              </w:rPr>
              <w:br w:type="textWrapping"/>
            </w:r>
            <w:r>
              <w:rPr>
                <w:rStyle w:val="3"/>
                <w:rFonts w:hint="eastAsia" w:ascii="宋体" w:hAnsi="宋体" w:eastAsia="宋体" w:cs="宋体"/>
                <w:b w:val="0"/>
                <w:bCs w:val="0"/>
                <w:i w:val="0"/>
                <w:iCs w:val="0"/>
                <w:smallCaps w:val="0"/>
                <w:kern w:val="0"/>
                <w:sz w:val="24"/>
                <w:szCs w:val="24"/>
              </w:rPr>
              <w:t>    3.4各投标人可就本招标项目的所有标段进行投标，并允许中标其中所有标段（由招标人事先确定）。 但投标人应就不同标段派出不同的项目经理和项目专职安全生产管理人员，否则同一项目经理或项目专职安全生产管理人员所投其它标段作否决投标处理 （符合桂建管﹝2016﹞70号、桂建管〔2020〕11号文除外）</w:t>
            </w:r>
          </w:p>
        </w:tc>
      </w:tr>
      <w:tr w14:paraId="1E025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noWrap w:val="0"/>
            <w:tcMar>
              <w:top w:w="15" w:type="dxa"/>
              <w:left w:w="15" w:type="dxa"/>
              <w:bottom w:w="15" w:type="dxa"/>
              <w:right w:w="15" w:type="dxa"/>
            </w:tcMar>
            <w:vAlign w:val="center"/>
          </w:tcPr>
          <w:p w14:paraId="5636C7C3">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 xml:space="preserve">    3.5根据最高人民法院等9部门《关于在招标投标活动中对失信被执行人实施联合惩戒的通知》（法〔2016〕285号）规定， 投标人（如为联合体时，联合体中有一个或一个以上成员属于失信被执行人的，联合体视为失信被执行人）、 拟派项目经理不得为失信被执行人（以评标阶段通过“信用中国”网站（www.creditchina.gov.cn）查询的结果为准）。 </w:t>
            </w:r>
            <w:r>
              <w:rPr>
                <w:rStyle w:val="3"/>
                <w:rFonts w:hint="eastAsia" w:ascii="宋体" w:hAnsi="宋体" w:eastAsia="宋体" w:cs="宋体"/>
                <w:b w:val="0"/>
                <w:bCs w:val="0"/>
                <w:i w:val="0"/>
                <w:iCs w:val="0"/>
                <w:smallCaps w:val="0"/>
                <w:kern w:val="0"/>
                <w:sz w:val="24"/>
                <w:szCs w:val="24"/>
              </w:rPr>
              <w:br w:type="textWrapping"/>
            </w:r>
            <w:r>
              <w:rPr>
                <w:rStyle w:val="3"/>
                <w:rFonts w:hint="eastAsia" w:ascii="宋体" w:hAnsi="宋体" w:eastAsia="宋体" w:cs="宋体"/>
                <w:b w:val="0"/>
                <w:bCs w:val="0"/>
                <w:i w:val="0"/>
                <w:iCs w:val="0"/>
                <w:smallCaps w:val="0"/>
                <w:kern w:val="0"/>
                <w:sz w:val="24"/>
                <w:szCs w:val="24"/>
              </w:rPr>
              <w:t xml:space="preserve">在评标阶段通过全国建筑市场监管公共服务平台（http://jzsc.mohurd.gov.cn/home）查询投标人（如为联合体时，联合体中任一个成员）、 拟派项目经理被列为企业或个人诚信不良、黑名单、失信联合惩戒的，依法对其投标活动予以限制。 </w:t>
            </w:r>
            <w:r>
              <w:rPr>
                <w:rStyle w:val="3"/>
                <w:rFonts w:hint="eastAsia" w:ascii="宋体" w:hAnsi="宋体" w:eastAsia="宋体" w:cs="宋体"/>
                <w:b w:val="0"/>
                <w:bCs w:val="0"/>
                <w:i w:val="0"/>
                <w:iCs w:val="0"/>
                <w:smallCaps w:val="0"/>
                <w:kern w:val="0"/>
                <w:sz w:val="24"/>
                <w:szCs w:val="24"/>
              </w:rPr>
              <w:br w:type="textWrapping"/>
            </w:r>
            <w:r>
              <w:rPr>
                <w:rStyle w:val="3"/>
                <w:rFonts w:hint="eastAsia" w:ascii="宋体" w:hAnsi="宋体" w:eastAsia="宋体" w:cs="宋体"/>
                <w:b w:val="0"/>
                <w:bCs w:val="0"/>
                <w:i w:val="0"/>
                <w:iCs w:val="0"/>
                <w:smallCaps w:val="0"/>
                <w:kern w:val="0"/>
                <w:sz w:val="24"/>
                <w:szCs w:val="24"/>
              </w:rPr>
              <w:t xml:space="preserve">近三年内投标人或其法定代表人不得有行贿犯罪行为（以评标阶段通过“中国裁判文书”网站（https://wenshu.court.gov.cn）查询结果为准）。 </w:t>
            </w:r>
          </w:p>
        </w:tc>
      </w:tr>
      <w:tr w14:paraId="67787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noWrap w:val="0"/>
            <w:tcMar>
              <w:top w:w="15" w:type="dxa"/>
              <w:left w:w="15" w:type="dxa"/>
              <w:bottom w:w="15" w:type="dxa"/>
              <w:right w:w="15" w:type="dxa"/>
            </w:tcMar>
            <w:vAlign w:val="center"/>
          </w:tcPr>
          <w:p w14:paraId="45856B3E">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    3.6投标人信息以“桂建云”为准。</w:t>
            </w:r>
          </w:p>
        </w:tc>
      </w:tr>
      <w:tr w14:paraId="52BB6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noWrap w:val="0"/>
            <w:tcMar>
              <w:top w:w="15" w:type="dxa"/>
              <w:left w:w="15" w:type="dxa"/>
              <w:bottom w:w="15" w:type="dxa"/>
              <w:right w:w="15" w:type="dxa"/>
            </w:tcMar>
            <w:vAlign w:val="center"/>
          </w:tcPr>
          <w:p w14:paraId="7F77DB31">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    3.7 本项目属于政府采购工程项目：</w:t>
            </w:r>
            <w:r>
              <w:rPr>
                <w:rStyle w:val="3"/>
                <w:rFonts w:hint="eastAsia" w:ascii="宋体" w:hAnsi="宋体" w:eastAsia="宋体" w:cs="宋体"/>
                <w:b w:val="0"/>
                <w:bCs w:val="0"/>
                <w:i w:val="0"/>
                <w:iCs w:val="0"/>
                <w:smallCaps w:val="0"/>
                <w:kern w:val="0"/>
                <w:sz w:val="24"/>
                <w:szCs w:val="24"/>
              </w:rPr>
              <w:br w:type="textWrapping"/>
            </w:r>
            <w:r>
              <w:rPr>
                <w:rStyle w:val="3"/>
                <w:rFonts w:hint="eastAsia" w:ascii="宋体" w:hAnsi="宋体" w:eastAsia="宋体" w:cs="宋体"/>
                <w:b w:val="0"/>
                <w:bCs w:val="0"/>
                <w:i w:val="0"/>
                <w:iCs w:val="0"/>
                <w:smallCaps w:val="0"/>
                <w:kern w:val="0"/>
                <w:sz w:val="24"/>
                <w:szCs w:val="24"/>
              </w:rPr>
              <w:t>标段为未预留份额专门面向中小企业采购的项目，落实政府采购政策需满足的资格要求：无。</w:t>
            </w:r>
          </w:p>
        </w:tc>
      </w:tr>
      <w:tr w14:paraId="60CE89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noWrap w:val="0"/>
            <w:tcMar>
              <w:top w:w="15" w:type="dxa"/>
              <w:left w:w="15" w:type="dxa"/>
              <w:bottom w:w="15" w:type="dxa"/>
              <w:right w:w="15" w:type="dxa"/>
            </w:tcMar>
            <w:vAlign w:val="center"/>
          </w:tcPr>
          <w:p w14:paraId="5785DD59">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bCs/>
                <w:i w:val="0"/>
                <w:iCs w:val="0"/>
                <w:smallCaps w:val="0"/>
                <w:kern w:val="0"/>
                <w:sz w:val="24"/>
                <w:szCs w:val="24"/>
              </w:rPr>
              <w:t>4.招标文件的获取</w:t>
            </w:r>
          </w:p>
        </w:tc>
      </w:tr>
      <w:tr w14:paraId="76487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noWrap w:val="0"/>
            <w:tcMar>
              <w:top w:w="15" w:type="dxa"/>
              <w:left w:w="15" w:type="dxa"/>
              <w:bottom w:w="15" w:type="dxa"/>
              <w:right w:w="15" w:type="dxa"/>
            </w:tcMar>
            <w:vAlign w:val="center"/>
          </w:tcPr>
          <w:p w14:paraId="51A54EE2">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   请于2024年11月15日 11时30分至投标文件递交的截止时间止（不少于20日），由潜在投标人登录全国公共资源交易平台（广西壮族自治区）免费下载招标文件。</w:t>
            </w:r>
          </w:p>
        </w:tc>
      </w:tr>
      <w:tr w14:paraId="74417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noWrap w:val="0"/>
            <w:tcMar>
              <w:top w:w="15" w:type="dxa"/>
              <w:left w:w="15" w:type="dxa"/>
              <w:bottom w:w="15" w:type="dxa"/>
              <w:right w:w="15" w:type="dxa"/>
            </w:tcMar>
            <w:vAlign w:val="center"/>
          </w:tcPr>
          <w:p w14:paraId="593FFE37">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bCs/>
                <w:i w:val="0"/>
                <w:iCs w:val="0"/>
                <w:smallCaps w:val="0"/>
                <w:kern w:val="0"/>
                <w:sz w:val="24"/>
                <w:szCs w:val="24"/>
              </w:rPr>
              <w:t>5.投标文件的提交及不见面开标说明</w:t>
            </w:r>
          </w:p>
        </w:tc>
      </w:tr>
      <w:tr w14:paraId="2A08B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noWrap w:val="0"/>
            <w:tcMar>
              <w:top w:w="15" w:type="dxa"/>
              <w:left w:w="15" w:type="dxa"/>
              <w:bottom w:w="15" w:type="dxa"/>
              <w:right w:w="15" w:type="dxa"/>
            </w:tcMar>
            <w:vAlign w:val="center"/>
          </w:tcPr>
          <w:p w14:paraId="745CD571">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  </w:t>
            </w:r>
            <w:r>
              <w:rPr>
                <w:rStyle w:val="3"/>
                <w:rFonts w:hint="eastAsia" w:ascii="宋体" w:hAnsi="宋体" w:cs="宋体"/>
                <w:b w:val="0"/>
                <w:bCs w:val="0"/>
                <w:i w:val="0"/>
                <w:iCs w:val="0"/>
                <w:smallCaps w:val="0"/>
                <w:kern w:val="0"/>
                <w:sz w:val="24"/>
                <w:szCs w:val="24"/>
                <w:lang w:val="en-US" w:eastAsia="zh-CN"/>
              </w:rPr>
              <w:t xml:space="preserve"> </w:t>
            </w:r>
            <w:r>
              <w:rPr>
                <w:rStyle w:val="3"/>
                <w:rFonts w:hint="eastAsia" w:ascii="宋体" w:hAnsi="宋体" w:eastAsia="宋体" w:cs="宋体"/>
                <w:b w:val="0"/>
                <w:bCs w:val="0"/>
                <w:i w:val="0"/>
                <w:iCs w:val="0"/>
                <w:smallCaps w:val="0"/>
                <w:kern w:val="0"/>
                <w:sz w:val="24"/>
                <w:szCs w:val="24"/>
              </w:rPr>
              <w:t>5.1投标文件应通过全国公共资源交易平台（广西壮族自治区）http://ggzy.jgswj.gxzf.gov.cn/提交， 截止时间（投标截止时间，下同）为2024年12月06日09时30分。</w:t>
            </w:r>
            <w:r>
              <w:rPr>
                <w:rStyle w:val="3"/>
                <w:rFonts w:hint="eastAsia" w:ascii="宋体" w:hAnsi="宋体" w:eastAsia="宋体" w:cs="宋体"/>
                <w:b w:val="0"/>
                <w:bCs w:val="0"/>
                <w:i w:val="0"/>
                <w:iCs w:val="0"/>
                <w:smallCaps w:val="0"/>
                <w:kern w:val="0"/>
                <w:sz w:val="24"/>
                <w:szCs w:val="24"/>
              </w:rPr>
              <w:br w:type="textWrapping"/>
            </w:r>
            <w:r>
              <w:rPr>
                <w:rStyle w:val="3"/>
                <w:rFonts w:hint="eastAsia" w:ascii="宋体" w:hAnsi="宋体" w:eastAsia="宋体" w:cs="宋体"/>
                <w:b w:val="0"/>
                <w:bCs w:val="0"/>
                <w:i w:val="0"/>
                <w:iCs w:val="0"/>
                <w:smallCaps w:val="0"/>
                <w:kern w:val="0"/>
                <w:sz w:val="24"/>
                <w:szCs w:val="24"/>
              </w:rPr>
              <w:t>  </w:t>
            </w:r>
            <w:r>
              <w:rPr>
                <w:rStyle w:val="3"/>
                <w:rFonts w:hint="eastAsia" w:ascii="宋体" w:hAnsi="宋体" w:cs="宋体"/>
                <w:b w:val="0"/>
                <w:bCs w:val="0"/>
                <w:i w:val="0"/>
                <w:iCs w:val="0"/>
                <w:smallCaps w:val="0"/>
                <w:kern w:val="0"/>
                <w:sz w:val="24"/>
                <w:szCs w:val="24"/>
                <w:lang w:val="en-US" w:eastAsia="zh-CN"/>
              </w:rPr>
              <w:t xml:space="preserve"> </w:t>
            </w:r>
            <w:r>
              <w:rPr>
                <w:rStyle w:val="3"/>
                <w:rFonts w:hint="eastAsia" w:ascii="宋体" w:hAnsi="宋体" w:eastAsia="宋体" w:cs="宋体"/>
                <w:b w:val="0"/>
                <w:bCs w:val="0"/>
                <w:i w:val="0"/>
                <w:iCs w:val="0"/>
                <w:smallCaps w:val="0"/>
                <w:kern w:val="0"/>
                <w:sz w:val="24"/>
                <w:szCs w:val="24"/>
              </w:rPr>
              <w:t>5.2 投标人须在投标截止前将加密的投标文件（含弹出的输入框中需填写的专职投标员、拟投入的项目主要管理人员身份证信息）通过全国公共资源交易平台（广西壮族自治区）http://ggzy.jgswj.gxzf.gov.cn/成功上传。 投标截止公布投标人名单后，由招标代理机构点击进入投标人签到、投标文件解密环节，签到、解密时间为60分钟。在签到、解密时间结束前投标人须通过广西壮族自治区网上开标子系统（http://202.103.240.162:8072/BidOpening） 使用专职投标员个人CA锁签到，使用加密投标文件的CA锁解密投标文件（如专职投标员到现场参加网上开标的，需持本人身份证原件或公安系统生成的电子身份证现场核验；如法定代表人到现场参加网上开标的，需持本人身份证原件或公安系统生成的电子身份证及本企业专职投标员的身份证复印件现场核验）， 并通过广西壮族自治区网上开标子系统自动验证有效，否则，视为投标人撤销其投标文件。（注：投标单位在制作电子投标文件过程中，须在弹出的输入框中填写专职投标员及拟投入的项目主要管理人员身份证信息并仔细确认。）投标人拟投入项目经理被标注为注册状态异常的，拟投入的项目经理本人须持本人身份证原件（或公安系统生成的电子身份证）出席开标会现场，否则招标人有权拒绝该投标人投标</w:t>
            </w:r>
            <w:r>
              <w:rPr>
                <w:rStyle w:val="3"/>
                <w:rFonts w:hint="eastAsia" w:ascii="宋体" w:hAnsi="宋体" w:eastAsia="宋体" w:cs="宋体"/>
                <w:b w:val="0"/>
                <w:bCs w:val="0"/>
                <w:i w:val="0"/>
                <w:iCs w:val="0"/>
                <w:smallCaps w:val="0"/>
                <w:kern w:val="0"/>
                <w:sz w:val="24"/>
                <w:szCs w:val="24"/>
              </w:rPr>
              <w:br w:type="textWrapping"/>
            </w:r>
            <w:r>
              <w:rPr>
                <w:rStyle w:val="3"/>
                <w:rFonts w:hint="eastAsia" w:ascii="宋体" w:hAnsi="宋体" w:eastAsia="宋体" w:cs="宋体"/>
                <w:b w:val="0"/>
                <w:bCs w:val="0"/>
                <w:i w:val="0"/>
                <w:iCs w:val="0"/>
                <w:smallCaps w:val="0"/>
                <w:kern w:val="0"/>
                <w:sz w:val="24"/>
                <w:szCs w:val="24"/>
              </w:rPr>
              <w:t>   5.3广西壮族自治区网上开标子系统（不见面）登录方式：各投标人使用IE浏览器（IE11版本）打开登录页面（登录地址：http://202.103.240.162:8072/BidOpening），使用CA锁或“桂交易移动CA”登录。使用“桂交易移动CA”投标的操作流程，详见</w:t>
            </w:r>
            <w:r>
              <w:rPr>
                <w:rStyle w:val="3"/>
                <w:rFonts w:hint="eastAsia" w:ascii="宋体" w:hAnsi="宋体" w:eastAsia="宋体" w:cs="宋体"/>
                <w:b w:val="0"/>
                <w:bCs w:val="0"/>
                <w:i w:val="0"/>
                <w:iCs w:val="0"/>
                <w:smallCaps w:val="0"/>
                <w:kern w:val="0"/>
                <w:sz w:val="24"/>
                <w:szCs w:val="24"/>
              </w:rPr>
              <w:fldChar w:fldCharType="begin"/>
            </w:r>
            <w:r>
              <w:rPr>
                <w:rStyle w:val="3"/>
                <w:rFonts w:hint="eastAsia" w:ascii="宋体" w:hAnsi="宋体" w:eastAsia="宋体" w:cs="宋体"/>
                <w:b w:val="0"/>
                <w:bCs w:val="0"/>
                <w:i w:val="0"/>
                <w:iCs w:val="0"/>
                <w:smallCaps w:val="0"/>
                <w:kern w:val="0"/>
                <w:sz w:val="24"/>
                <w:szCs w:val="24"/>
              </w:rPr>
              <w:instrText xml:space="preserve"> HYPERLINK "http://ggzy.jgswj.gxzf.gov.cn/gxggzy/gywm/004021/004021001/20211123/185f3a63-1ec6-4c75-a0c9-4aeedfdacda9.html" \t "_blank" </w:instrText>
            </w:r>
            <w:r>
              <w:rPr>
                <w:rStyle w:val="3"/>
                <w:rFonts w:hint="eastAsia" w:ascii="宋体" w:hAnsi="宋体" w:eastAsia="宋体" w:cs="宋体"/>
                <w:b w:val="0"/>
                <w:bCs w:val="0"/>
                <w:i w:val="0"/>
                <w:iCs w:val="0"/>
                <w:smallCaps w:val="0"/>
                <w:kern w:val="0"/>
                <w:sz w:val="24"/>
                <w:szCs w:val="24"/>
              </w:rPr>
              <w:fldChar w:fldCharType="separate"/>
            </w:r>
            <w:r>
              <w:rPr>
                <w:rStyle w:val="3"/>
                <w:rFonts w:hint="eastAsia" w:ascii="宋体" w:hAnsi="宋体" w:eastAsia="宋体" w:cs="宋体"/>
                <w:b w:val="0"/>
                <w:bCs w:val="0"/>
                <w:i w:val="0"/>
                <w:iCs w:val="0"/>
                <w:smallCaps w:val="0"/>
                <w:color w:val="0000EE"/>
                <w:kern w:val="0"/>
                <w:sz w:val="24"/>
                <w:szCs w:val="24"/>
                <w:u w:val="single"/>
              </w:rPr>
              <w:t>“桂交易移动CA”APP下载</w:t>
            </w:r>
            <w:r>
              <w:rPr>
                <w:rStyle w:val="3"/>
                <w:rFonts w:hint="eastAsia" w:ascii="宋体" w:hAnsi="宋体" w:eastAsia="宋体" w:cs="宋体"/>
                <w:b w:val="0"/>
                <w:bCs w:val="0"/>
                <w:i w:val="0"/>
                <w:iCs w:val="0"/>
                <w:smallCaps w:val="0"/>
                <w:color w:val="0000EE"/>
                <w:kern w:val="0"/>
                <w:sz w:val="24"/>
                <w:szCs w:val="24"/>
                <w:u w:val="single"/>
              </w:rPr>
              <w:fldChar w:fldCharType="end"/>
            </w:r>
            <w:r>
              <w:rPr>
                <w:rStyle w:val="3"/>
                <w:rFonts w:hint="eastAsia" w:ascii="宋体" w:hAnsi="宋体" w:eastAsia="宋体" w:cs="宋体"/>
                <w:b w:val="0"/>
                <w:bCs w:val="0"/>
                <w:i w:val="0"/>
                <w:iCs w:val="0"/>
                <w:smallCaps w:val="0"/>
                <w:color w:val="0000EE"/>
                <w:kern w:val="0"/>
                <w:sz w:val="24"/>
                <w:szCs w:val="24"/>
                <w:u w:val="single"/>
              </w:rPr>
              <w:br w:type="textWrapping"/>
            </w:r>
            <w:r>
              <w:rPr>
                <w:rStyle w:val="3"/>
                <w:rFonts w:hint="eastAsia" w:ascii="宋体" w:hAnsi="宋体" w:eastAsia="宋体" w:cs="宋体"/>
                <w:b w:val="0"/>
                <w:bCs w:val="0"/>
                <w:i w:val="0"/>
                <w:iCs w:val="0"/>
                <w:smallCaps w:val="0"/>
                <w:kern w:val="0"/>
                <w:sz w:val="24"/>
                <w:szCs w:val="24"/>
              </w:rPr>
              <w:t xml:space="preserve">   5.4以“桂交易移动CA”制作的投标文件，只能用生成投标文件时加密投标文件的“桂交易移动CA”证书解密。以CA锁制作的投标文件，只能用生成投标文件时加密投标文件CA证书解密。 </w:t>
            </w:r>
          </w:p>
        </w:tc>
      </w:tr>
      <w:tr w14:paraId="2E923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noWrap w:val="0"/>
            <w:tcMar>
              <w:top w:w="15" w:type="dxa"/>
              <w:left w:w="15" w:type="dxa"/>
              <w:bottom w:w="15" w:type="dxa"/>
              <w:right w:w="15" w:type="dxa"/>
            </w:tcMar>
            <w:vAlign w:val="center"/>
          </w:tcPr>
          <w:p w14:paraId="2277BDED">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bCs/>
                <w:i w:val="0"/>
                <w:iCs w:val="0"/>
                <w:smallCaps w:val="0"/>
                <w:kern w:val="0"/>
                <w:sz w:val="24"/>
                <w:szCs w:val="24"/>
              </w:rPr>
              <w:t>6.评标方式</w:t>
            </w:r>
          </w:p>
        </w:tc>
      </w:tr>
      <w:tr w14:paraId="0D1A3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noWrap w:val="0"/>
            <w:tcMar>
              <w:top w:w="15" w:type="dxa"/>
              <w:left w:w="15" w:type="dxa"/>
              <w:bottom w:w="15" w:type="dxa"/>
              <w:right w:w="15" w:type="dxa"/>
            </w:tcMar>
            <w:vAlign w:val="center"/>
          </w:tcPr>
          <w:p w14:paraId="40E8DE9D">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   本次招标广西交通职业技术学院综合交通产教融合实训基地项目采用综合评估法</w:t>
            </w:r>
          </w:p>
        </w:tc>
      </w:tr>
      <w:tr w14:paraId="0463E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noWrap w:val="0"/>
            <w:tcMar>
              <w:top w:w="15" w:type="dxa"/>
              <w:left w:w="15" w:type="dxa"/>
              <w:bottom w:w="15" w:type="dxa"/>
              <w:right w:w="15" w:type="dxa"/>
            </w:tcMar>
            <w:vAlign w:val="center"/>
          </w:tcPr>
          <w:p w14:paraId="68942B99">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bCs/>
                <w:i w:val="0"/>
                <w:iCs w:val="0"/>
                <w:smallCaps w:val="0"/>
                <w:kern w:val="0"/>
                <w:sz w:val="24"/>
                <w:szCs w:val="24"/>
              </w:rPr>
              <w:t>7.预付款和进度款支付方式</w:t>
            </w:r>
          </w:p>
        </w:tc>
      </w:tr>
      <w:tr w14:paraId="0745D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noWrap w:val="0"/>
            <w:tcMar>
              <w:top w:w="15" w:type="dxa"/>
              <w:left w:w="15" w:type="dxa"/>
              <w:bottom w:w="15" w:type="dxa"/>
              <w:right w:w="15" w:type="dxa"/>
            </w:tcMar>
            <w:vAlign w:val="center"/>
          </w:tcPr>
          <w:p w14:paraId="09458AA4">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   预付款支付比例或金额：合同价款扣除安全文明施工费、发包人材料设备价款、暂估专业工程、暂列金额后的30%。发包人支付预付款前，承包人须按照招标文件附件格式开具预付款保函给发包人。【备注：政府投资项目应严格执行工程预付款制度，工程预付款应不低于合同总价（扣除暂列金额）的10%（最高不超过30%，并与工程进度款分期按约定比例抵扣）】</w:t>
            </w:r>
            <w:r>
              <w:rPr>
                <w:rStyle w:val="3"/>
                <w:rFonts w:hint="eastAsia" w:ascii="宋体" w:hAnsi="宋体" w:eastAsia="宋体" w:cs="宋体"/>
                <w:b w:val="0"/>
                <w:bCs w:val="0"/>
                <w:i w:val="0"/>
                <w:iCs w:val="0"/>
                <w:smallCaps w:val="0"/>
                <w:kern w:val="0"/>
                <w:sz w:val="24"/>
                <w:szCs w:val="24"/>
              </w:rPr>
              <w:br w:type="textWrapping"/>
            </w:r>
            <w:r>
              <w:rPr>
                <w:rStyle w:val="3"/>
                <w:rFonts w:hint="eastAsia" w:ascii="宋体" w:hAnsi="宋体" w:eastAsia="宋体" w:cs="宋体"/>
                <w:b w:val="0"/>
                <w:bCs w:val="0"/>
                <w:i w:val="0"/>
                <w:iCs w:val="0"/>
                <w:smallCaps w:val="0"/>
                <w:kern w:val="0"/>
                <w:sz w:val="24"/>
                <w:szCs w:val="24"/>
              </w:rPr>
              <w:t>  </w:t>
            </w:r>
            <w:r>
              <w:rPr>
                <w:rStyle w:val="3"/>
                <w:rFonts w:hint="eastAsia" w:ascii="宋体" w:hAnsi="宋体" w:cs="宋体"/>
                <w:b w:val="0"/>
                <w:bCs w:val="0"/>
                <w:i w:val="0"/>
                <w:iCs w:val="0"/>
                <w:smallCaps w:val="0"/>
                <w:kern w:val="0"/>
                <w:sz w:val="24"/>
                <w:szCs w:val="24"/>
                <w:lang w:val="en-US" w:eastAsia="zh-CN"/>
              </w:rPr>
              <w:t xml:space="preserve"> </w:t>
            </w:r>
            <w:r>
              <w:rPr>
                <w:rStyle w:val="3"/>
                <w:rFonts w:hint="eastAsia" w:ascii="宋体" w:hAnsi="宋体" w:eastAsia="宋体" w:cs="宋体"/>
                <w:b w:val="0"/>
                <w:bCs w:val="0"/>
                <w:i w:val="0"/>
                <w:iCs w:val="0"/>
                <w:smallCaps w:val="0"/>
                <w:kern w:val="0"/>
                <w:sz w:val="24"/>
                <w:szCs w:val="24"/>
              </w:rPr>
              <w:t xml:space="preserve">进度款支付方式：合同内按工程计量周期内完成工程量的80%，合同外按工程计量周期完成工程量的80%。【政府机关、事业单位、国有企业建设工程进度款支付应不低于已完成工程价款的80%，含尚未抵扣的工程预付款。】 </w:t>
            </w:r>
          </w:p>
        </w:tc>
      </w:tr>
      <w:tr w14:paraId="580BA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noWrap w:val="0"/>
            <w:tcMar>
              <w:top w:w="15" w:type="dxa"/>
              <w:left w:w="15" w:type="dxa"/>
              <w:bottom w:w="15" w:type="dxa"/>
              <w:right w:w="15" w:type="dxa"/>
            </w:tcMar>
            <w:vAlign w:val="center"/>
          </w:tcPr>
          <w:p w14:paraId="7F1B84F6">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bCs/>
                <w:i w:val="0"/>
                <w:iCs w:val="0"/>
                <w:smallCaps w:val="0"/>
                <w:kern w:val="0"/>
                <w:sz w:val="24"/>
                <w:szCs w:val="24"/>
              </w:rPr>
              <w:t>8.发布媒介</w:t>
            </w:r>
          </w:p>
        </w:tc>
      </w:tr>
      <w:tr w14:paraId="37730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noWrap w:val="0"/>
            <w:tcMar>
              <w:top w:w="15" w:type="dxa"/>
              <w:left w:w="15" w:type="dxa"/>
              <w:bottom w:w="15" w:type="dxa"/>
              <w:right w:w="15" w:type="dxa"/>
            </w:tcMar>
            <w:vAlign w:val="center"/>
          </w:tcPr>
          <w:p w14:paraId="11B70DC2">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 xml:space="preserve">    本次招标公告同时在广西壮族自治区招标投标公共服务平台（http://zbtb.gxi.gov.cn:9000/）、全国公共资源交易平台（广西壮族自治区）（http://ggzy.jgswj.gxzf.gov.cn/）、中国政府采购网（http://www.ccgp.gov.cn/）、广西壮族自治区政府采购网（http://www.ccgp-guangxi.gov.cn/site/home）网站（公告发布媒介包含但不限于上述媒介）发布。 </w:t>
            </w:r>
          </w:p>
        </w:tc>
      </w:tr>
      <w:tr w14:paraId="05730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noWrap w:val="0"/>
            <w:tcMar>
              <w:top w:w="15" w:type="dxa"/>
              <w:left w:w="15" w:type="dxa"/>
              <w:bottom w:w="15" w:type="dxa"/>
              <w:right w:w="15" w:type="dxa"/>
            </w:tcMar>
            <w:vAlign w:val="center"/>
          </w:tcPr>
          <w:p w14:paraId="0208E0BE">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bCs/>
                <w:i w:val="0"/>
                <w:iCs w:val="0"/>
                <w:smallCaps w:val="0"/>
                <w:kern w:val="0"/>
                <w:sz w:val="24"/>
                <w:szCs w:val="24"/>
              </w:rPr>
              <w:t>9.交易服务单位</w:t>
            </w:r>
          </w:p>
        </w:tc>
      </w:tr>
      <w:tr w14:paraId="0C3A65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noWrap w:val="0"/>
            <w:tcMar>
              <w:top w:w="15" w:type="dxa"/>
              <w:left w:w="15" w:type="dxa"/>
              <w:bottom w:w="15" w:type="dxa"/>
              <w:right w:w="15" w:type="dxa"/>
            </w:tcMar>
            <w:vAlign w:val="center"/>
          </w:tcPr>
          <w:p w14:paraId="53B8073C">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 xml:space="preserve">   广西壮族自治区公共资源交易中心（南宁市青秀区星湖路22号）。 </w:t>
            </w:r>
          </w:p>
        </w:tc>
      </w:tr>
      <w:tr w14:paraId="41DD6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noWrap w:val="0"/>
            <w:tcMar>
              <w:top w:w="15" w:type="dxa"/>
              <w:left w:w="15" w:type="dxa"/>
              <w:bottom w:w="15" w:type="dxa"/>
              <w:right w:w="15" w:type="dxa"/>
            </w:tcMar>
            <w:vAlign w:val="center"/>
          </w:tcPr>
          <w:p w14:paraId="4507B45D">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bCs/>
                <w:i w:val="0"/>
                <w:iCs w:val="0"/>
                <w:smallCaps w:val="0"/>
                <w:kern w:val="0"/>
                <w:sz w:val="24"/>
                <w:szCs w:val="24"/>
              </w:rPr>
              <w:t>10.监督部门及电话</w:t>
            </w:r>
          </w:p>
        </w:tc>
      </w:tr>
      <w:tr w14:paraId="097BC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noWrap w:val="0"/>
            <w:tcMar>
              <w:top w:w="15" w:type="dxa"/>
              <w:left w:w="15" w:type="dxa"/>
              <w:bottom w:w="15" w:type="dxa"/>
              <w:right w:w="15" w:type="dxa"/>
            </w:tcMar>
            <w:vAlign w:val="center"/>
          </w:tcPr>
          <w:p w14:paraId="7DAC7889">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 xml:space="preserve">   广西壮族自治区住房和城乡建设厅（监督电话：0771-2260298）。 </w:t>
            </w:r>
          </w:p>
        </w:tc>
      </w:tr>
      <w:tr w14:paraId="03D15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noWrap w:val="0"/>
            <w:tcMar>
              <w:top w:w="15" w:type="dxa"/>
              <w:left w:w="15" w:type="dxa"/>
              <w:bottom w:w="15" w:type="dxa"/>
              <w:right w:w="15" w:type="dxa"/>
            </w:tcMar>
            <w:vAlign w:val="center"/>
          </w:tcPr>
          <w:p w14:paraId="7B0B351D">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bCs/>
                <w:i w:val="0"/>
                <w:iCs w:val="0"/>
                <w:smallCaps w:val="0"/>
                <w:kern w:val="0"/>
                <w:sz w:val="24"/>
                <w:szCs w:val="24"/>
              </w:rPr>
              <w:t>11.注意事项</w:t>
            </w:r>
          </w:p>
        </w:tc>
      </w:tr>
      <w:tr w14:paraId="67DFF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noWrap w:val="0"/>
            <w:tcMar>
              <w:top w:w="15" w:type="dxa"/>
              <w:left w:w="15" w:type="dxa"/>
              <w:bottom w:w="15" w:type="dxa"/>
              <w:right w:w="15" w:type="dxa"/>
            </w:tcMar>
            <w:vAlign w:val="center"/>
          </w:tcPr>
          <w:p w14:paraId="51D91977">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 xml:space="preserve">   潜在投标人必须录入“桂建云”系统，“桂建云”系统登录地址：http://gxjzsc.caihcloud.com/。由于“桂建云”与全国建筑市场监管公共服务平台(以下简称全国平台)相关信息同步存在时间差（企业每次登录“桂建云”时自动同步全国平台数据），投标人应自行预留足够的时间，至少提前24小时将所需投标材料下行至“桂建云”，若因投标人原因未能同步的，后果自行负责。 </w:t>
            </w:r>
          </w:p>
        </w:tc>
      </w:tr>
      <w:tr w14:paraId="5787D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noWrap w:val="0"/>
            <w:tcMar>
              <w:top w:w="15" w:type="dxa"/>
              <w:left w:w="15" w:type="dxa"/>
              <w:bottom w:w="15" w:type="dxa"/>
              <w:right w:w="15" w:type="dxa"/>
            </w:tcMar>
            <w:vAlign w:val="center"/>
          </w:tcPr>
          <w:p w14:paraId="4D542038">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   到广西壮族自治区公共资源交易中心现场的人员，需按中心官方网站最新发布的疫情防控要求进场。</w:t>
            </w:r>
          </w:p>
        </w:tc>
      </w:tr>
      <w:tr w14:paraId="119F9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noWrap w:val="0"/>
            <w:tcMar>
              <w:top w:w="15" w:type="dxa"/>
              <w:left w:w="15" w:type="dxa"/>
              <w:bottom w:w="15" w:type="dxa"/>
              <w:right w:w="15" w:type="dxa"/>
            </w:tcMar>
            <w:vAlign w:val="center"/>
          </w:tcPr>
          <w:p w14:paraId="5E1CCD45">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bCs/>
                <w:i w:val="0"/>
                <w:iCs w:val="0"/>
                <w:smallCaps w:val="0"/>
                <w:kern w:val="0"/>
                <w:sz w:val="24"/>
                <w:szCs w:val="24"/>
              </w:rPr>
              <w:t>12.联系方式</w:t>
            </w:r>
          </w:p>
        </w:tc>
      </w:tr>
      <w:tr w14:paraId="21CE7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11880" w:type="dxa"/>
            <w:noWrap w:val="0"/>
            <w:tcMar>
              <w:top w:w="15" w:type="dxa"/>
              <w:left w:w="15" w:type="dxa"/>
              <w:bottom w:w="15" w:type="dxa"/>
              <w:right w:w="15" w:type="dxa"/>
            </w:tcMar>
            <w:vAlign w:val="center"/>
          </w:tcPr>
          <w:tbl>
            <w:tblPr>
              <w:tblStyle w:val="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1192"/>
              <w:gridCol w:w="3274"/>
              <w:gridCol w:w="1172"/>
              <w:gridCol w:w="3660"/>
            </w:tblGrid>
            <w:tr w14:paraId="01050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1192" w:type="dxa"/>
                  <w:noWrap w:val="0"/>
                  <w:tcMar>
                    <w:top w:w="15" w:type="dxa"/>
                    <w:left w:w="15" w:type="dxa"/>
                    <w:bottom w:w="15" w:type="dxa"/>
                    <w:right w:w="15" w:type="dxa"/>
                  </w:tcMar>
                  <w:vAlign w:val="center"/>
                </w:tcPr>
                <w:p w14:paraId="590FF49D">
                  <w:pPr>
                    <w:keepNext w:val="0"/>
                    <w:keepLines w:val="0"/>
                    <w:pageBreakBefore w:val="0"/>
                    <w:widowControl/>
                    <w:kinsoku/>
                    <w:wordWrap/>
                    <w:overflowPunct/>
                    <w:topLinePunct w:val="0"/>
                    <w:autoSpaceDE/>
                    <w:autoSpaceDN/>
                    <w:bidi w:val="0"/>
                    <w:adjustRightInd/>
                    <w:snapToGrid/>
                    <w:spacing w:line="360" w:lineRule="auto"/>
                    <w:jc w:val="right"/>
                    <w:textAlignment w:val="auto"/>
                    <w:rPr>
                      <w:rStyle w:val="3"/>
                      <w:rFonts w:hint="eastAsia" w:ascii="宋体" w:hAnsi="宋体" w:eastAsia="宋体" w:cs="宋体"/>
                      <w:b w:val="0"/>
                      <w:bCs w:val="0"/>
                      <w:i w:val="0"/>
                      <w:iCs w:val="0"/>
                      <w:smallCaps w:val="0"/>
                      <w:kern w:val="0"/>
                      <w:sz w:val="24"/>
                      <w:szCs w:val="24"/>
                      <w:lang w:eastAsia="zh-CN"/>
                    </w:rPr>
                  </w:pPr>
                  <w:r>
                    <w:rPr>
                      <w:rStyle w:val="3"/>
                      <w:rFonts w:hint="eastAsia" w:ascii="宋体" w:hAnsi="宋体" w:eastAsia="宋体" w:cs="宋体"/>
                      <w:b w:val="0"/>
                      <w:bCs w:val="0"/>
                      <w:i w:val="0"/>
                      <w:iCs w:val="0"/>
                      <w:smallCaps w:val="0"/>
                      <w:kern w:val="0"/>
                      <w:sz w:val="24"/>
                      <w:szCs w:val="24"/>
                    </w:rPr>
                    <w:t>招标人</w:t>
                  </w:r>
                  <w:r>
                    <w:rPr>
                      <w:rStyle w:val="3"/>
                      <w:rFonts w:hint="eastAsia" w:ascii="宋体" w:hAnsi="宋体" w:cs="宋体"/>
                      <w:b w:val="0"/>
                      <w:bCs w:val="0"/>
                      <w:i w:val="0"/>
                      <w:iCs w:val="0"/>
                      <w:smallCaps w:val="0"/>
                      <w:kern w:val="0"/>
                      <w:sz w:val="24"/>
                      <w:szCs w:val="24"/>
                      <w:lang w:eastAsia="zh-CN"/>
                    </w:rPr>
                    <w:t>：</w:t>
                  </w:r>
                </w:p>
              </w:tc>
              <w:tc>
                <w:tcPr>
                  <w:tcW w:w="3274" w:type="dxa"/>
                  <w:noWrap w:val="0"/>
                  <w:tcMar>
                    <w:top w:w="15" w:type="dxa"/>
                    <w:left w:w="15" w:type="dxa"/>
                    <w:bottom w:w="15" w:type="dxa"/>
                    <w:right w:w="15" w:type="dxa"/>
                  </w:tcMar>
                  <w:vAlign w:val="center"/>
                </w:tcPr>
                <w:p w14:paraId="0730878C">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广西交通职业技术学院（需盖企业章及法人签字）</w:t>
                  </w:r>
                </w:p>
              </w:tc>
              <w:tc>
                <w:tcPr>
                  <w:tcW w:w="1172" w:type="dxa"/>
                  <w:noWrap w:val="0"/>
                  <w:tcMar>
                    <w:top w:w="15" w:type="dxa"/>
                    <w:left w:w="15" w:type="dxa"/>
                    <w:bottom w:w="15" w:type="dxa"/>
                    <w:right w:w="15" w:type="dxa"/>
                  </w:tcMar>
                  <w:vAlign w:val="center"/>
                </w:tcPr>
                <w:p w14:paraId="3C97B4FF">
                  <w:pPr>
                    <w:keepNext w:val="0"/>
                    <w:keepLines w:val="0"/>
                    <w:pageBreakBefore w:val="0"/>
                    <w:widowControl/>
                    <w:kinsoku/>
                    <w:wordWrap/>
                    <w:overflowPunct/>
                    <w:topLinePunct w:val="0"/>
                    <w:autoSpaceDE/>
                    <w:autoSpaceDN/>
                    <w:bidi w:val="0"/>
                    <w:adjustRightInd/>
                    <w:snapToGrid/>
                    <w:spacing w:line="360" w:lineRule="auto"/>
                    <w:jc w:val="right"/>
                    <w:textAlignment w:val="auto"/>
                    <w:rPr>
                      <w:rStyle w:val="3"/>
                      <w:rFonts w:hint="eastAsia" w:ascii="宋体" w:hAnsi="宋体" w:eastAsia="宋体" w:cs="宋体"/>
                      <w:b w:val="0"/>
                      <w:bCs w:val="0"/>
                      <w:i w:val="0"/>
                      <w:iCs w:val="0"/>
                      <w:smallCaps w:val="0"/>
                      <w:kern w:val="0"/>
                      <w:sz w:val="24"/>
                      <w:szCs w:val="24"/>
                      <w:lang w:eastAsia="zh-CN"/>
                    </w:rPr>
                  </w:pPr>
                  <w:r>
                    <w:rPr>
                      <w:rStyle w:val="3"/>
                      <w:rFonts w:hint="eastAsia" w:ascii="宋体" w:hAnsi="宋体" w:eastAsia="宋体" w:cs="宋体"/>
                      <w:b w:val="0"/>
                      <w:bCs w:val="0"/>
                      <w:i w:val="0"/>
                      <w:iCs w:val="0"/>
                      <w:smallCaps w:val="0"/>
                      <w:kern w:val="0"/>
                      <w:sz w:val="24"/>
                      <w:szCs w:val="24"/>
                    </w:rPr>
                    <w:t>招标代理机构</w:t>
                  </w:r>
                  <w:r>
                    <w:rPr>
                      <w:rStyle w:val="3"/>
                      <w:rFonts w:hint="eastAsia" w:ascii="宋体" w:hAnsi="宋体" w:cs="宋体"/>
                      <w:b w:val="0"/>
                      <w:bCs w:val="0"/>
                      <w:i w:val="0"/>
                      <w:iCs w:val="0"/>
                      <w:smallCaps w:val="0"/>
                      <w:kern w:val="0"/>
                      <w:sz w:val="24"/>
                      <w:szCs w:val="24"/>
                      <w:lang w:eastAsia="zh-CN"/>
                    </w:rPr>
                    <w:t>：</w:t>
                  </w:r>
                </w:p>
              </w:tc>
              <w:tc>
                <w:tcPr>
                  <w:tcW w:w="3660" w:type="dxa"/>
                  <w:noWrap w:val="0"/>
                  <w:tcMar>
                    <w:top w:w="15" w:type="dxa"/>
                    <w:left w:w="15" w:type="dxa"/>
                    <w:bottom w:w="15" w:type="dxa"/>
                    <w:right w:w="15" w:type="dxa"/>
                  </w:tcMar>
                  <w:vAlign w:val="center"/>
                </w:tcPr>
                <w:p w14:paraId="7621A63E">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广西城建咨询设计有限公司（需盖企业章及法人签字）</w:t>
                  </w:r>
                </w:p>
              </w:tc>
            </w:tr>
            <w:tr w14:paraId="0DF81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192" w:type="dxa"/>
                  <w:noWrap w:val="0"/>
                  <w:tcMar>
                    <w:top w:w="15" w:type="dxa"/>
                    <w:left w:w="15" w:type="dxa"/>
                    <w:bottom w:w="15" w:type="dxa"/>
                    <w:right w:w="15" w:type="dxa"/>
                  </w:tcMar>
                  <w:vAlign w:val="center"/>
                </w:tcPr>
                <w:p w14:paraId="59159798">
                  <w:pPr>
                    <w:keepNext w:val="0"/>
                    <w:keepLines w:val="0"/>
                    <w:pageBreakBefore w:val="0"/>
                    <w:widowControl/>
                    <w:kinsoku/>
                    <w:wordWrap/>
                    <w:overflowPunct/>
                    <w:topLinePunct w:val="0"/>
                    <w:autoSpaceDE/>
                    <w:autoSpaceDN/>
                    <w:bidi w:val="0"/>
                    <w:adjustRightInd/>
                    <w:snapToGrid/>
                    <w:spacing w:line="360" w:lineRule="auto"/>
                    <w:jc w:val="righ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地址</w:t>
                  </w:r>
                  <w:r>
                    <w:rPr>
                      <w:rStyle w:val="3"/>
                      <w:rFonts w:hint="eastAsia" w:ascii="宋体" w:hAnsi="宋体" w:cs="宋体"/>
                      <w:b w:val="0"/>
                      <w:bCs w:val="0"/>
                      <w:i w:val="0"/>
                      <w:iCs w:val="0"/>
                      <w:smallCaps w:val="0"/>
                      <w:kern w:val="0"/>
                      <w:sz w:val="24"/>
                      <w:szCs w:val="24"/>
                      <w:lang w:eastAsia="zh-CN"/>
                    </w:rPr>
                    <w:t>：</w:t>
                  </w:r>
                </w:p>
              </w:tc>
              <w:tc>
                <w:tcPr>
                  <w:tcW w:w="3274" w:type="dxa"/>
                  <w:noWrap w:val="0"/>
                  <w:tcMar>
                    <w:top w:w="15" w:type="dxa"/>
                    <w:left w:w="15" w:type="dxa"/>
                    <w:bottom w:w="15" w:type="dxa"/>
                    <w:right w:w="15" w:type="dxa"/>
                  </w:tcMar>
                  <w:vAlign w:val="center"/>
                </w:tcPr>
                <w:p w14:paraId="1ADC9953">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广西壮族自治区南宁市兴宁区昆仑大道1258号广西交通职业技术学院</w:t>
                  </w:r>
                </w:p>
              </w:tc>
              <w:tc>
                <w:tcPr>
                  <w:tcW w:w="1172" w:type="dxa"/>
                  <w:noWrap w:val="0"/>
                  <w:tcMar>
                    <w:top w:w="15" w:type="dxa"/>
                    <w:left w:w="15" w:type="dxa"/>
                    <w:bottom w:w="15" w:type="dxa"/>
                    <w:right w:w="15" w:type="dxa"/>
                  </w:tcMar>
                  <w:vAlign w:val="center"/>
                </w:tcPr>
                <w:p w14:paraId="306D0FD8">
                  <w:pPr>
                    <w:keepNext w:val="0"/>
                    <w:keepLines w:val="0"/>
                    <w:pageBreakBefore w:val="0"/>
                    <w:widowControl/>
                    <w:kinsoku/>
                    <w:wordWrap/>
                    <w:overflowPunct/>
                    <w:topLinePunct w:val="0"/>
                    <w:autoSpaceDE/>
                    <w:autoSpaceDN/>
                    <w:bidi w:val="0"/>
                    <w:adjustRightInd/>
                    <w:snapToGrid/>
                    <w:spacing w:line="360" w:lineRule="auto"/>
                    <w:jc w:val="righ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地址</w:t>
                  </w:r>
                  <w:r>
                    <w:rPr>
                      <w:rStyle w:val="3"/>
                      <w:rFonts w:hint="eastAsia" w:ascii="宋体" w:hAnsi="宋体" w:cs="宋体"/>
                      <w:b w:val="0"/>
                      <w:bCs w:val="0"/>
                      <w:i w:val="0"/>
                      <w:iCs w:val="0"/>
                      <w:smallCaps w:val="0"/>
                      <w:kern w:val="0"/>
                      <w:sz w:val="24"/>
                      <w:szCs w:val="24"/>
                      <w:lang w:eastAsia="zh-CN"/>
                    </w:rPr>
                    <w:t>：</w:t>
                  </w:r>
                </w:p>
              </w:tc>
              <w:tc>
                <w:tcPr>
                  <w:tcW w:w="3660" w:type="dxa"/>
                  <w:noWrap w:val="0"/>
                  <w:tcMar>
                    <w:top w:w="15" w:type="dxa"/>
                    <w:left w:w="15" w:type="dxa"/>
                    <w:bottom w:w="15" w:type="dxa"/>
                    <w:right w:w="15" w:type="dxa"/>
                  </w:tcMar>
                  <w:vAlign w:val="center"/>
                </w:tcPr>
                <w:p w14:paraId="3A7A68F1">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广西南宁市青秀区金湖路58号广西建设大厦三楼</w:t>
                  </w:r>
                </w:p>
              </w:tc>
            </w:tr>
            <w:tr w14:paraId="4F44A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192" w:type="dxa"/>
                  <w:noWrap w:val="0"/>
                  <w:tcMar>
                    <w:top w:w="15" w:type="dxa"/>
                    <w:left w:w="15" w:type="dxa"/>
                    <w:bottom w:w="15" w:type="dxa"/>
                    <w:right w:w="15" w:type="dxa"/>
                  </w:tcMar>
                  <w:vAlign w:val="center"/>
                </w:tcPr>
                <w:p w14:paraId="19740B9E">
                  <w:pPr>
                    <w:keepNext w:val="0"/>
                    <w:keepLines w:val="0"/>
                    <w:pageBreakBefore w:val="0"/>
                    <w:widowControl/>
                    <w:kinsoku/>
                    <w:wordWrap/>
                    <w:overflowPunct/>
                    <w:topLinePunct w:val="0"/>
                    <w:autoSpaceDE/>
                    <w:autoSpaceDN/>
                    <w:bidi w:val="0"/>
                    <w:adjustRightInd/>
                    <w:snapToGrid/>
                    <w:spacing w:line="360" w:lineRule="auto"/>
                    <w:jc w:val="righ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邮编</w:t>
                  </w:r>
                  <w:r>
                    <w:rPr>
                      <w:rStyle w:val="3"/>
                      <w:rFonts w:hint="eastAsia" w:ascii="宋体" w:hAnsi="宋体" w:cs="宋体"/>
                      <w:b w:val="0"/>
                      <w:bCs w:val="0"/>
                      <w:i w:val="0"/>
                      <w:iCs w:val="0"/>
                      <w:smallCaps w:val="0"/>
                      <w:kern w:val="0"/>
                      <w:sz w:val="24"/>
                      <w:szCs w:val="24"/>
                      <w:lang w:eastAsia="zh-CN"/>
                    </w:rPr>
                    <w:t>：</w:t>
                  </w:r>
                </w:p>
              </w:tc>
              <w:tc>
                <w:tcPr>
                  <w:tcW w:w="3274" w:type="dxa"/>
                  <w:noWrap w:val="0"/>
                  <w:tcMar>
                    <w:top w:w="15" w:type="dxa"/>
                    <w:left w:w="15" w:type="dxa"/>
                    <w:bottom w:w="15" w:type="dxa"/>
                    <w:right w:w="15" w:type="dxa"/>
                  </w:tcMar>
                  <w:vAlign w:val="center"/>
                </w:tcPr>
                <w:p w14:paraId="49779BEB">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530216</w:t>
                  </w:r>
                </w:p>
              </w:tc>
              <w:tc>
                <w:tcPr>
                  <w:tcW w:w="1172" w:type="dxa"/>
                  <w:noWrap w:val="0"/>
                  <w:tcMar>
                    <w:top w:w="15" w:type="dxa"/>
                    <w:left w:w="15" w:type="dxa"/>
                    <w:bottom w:w="15" w:type="dxa"/>
                    <w:right w:w="15" w:type="dxa"/>
                  </w:tcMar>
                  <w:vAlign w:val="center"/>
                </w:tcPr>
                <w:p w14:paraId="74066275">
                  <w:pPr>
                    <w:keepNext w:val="0"/>
                    <w:keepLines w:val="0"/>
                    <w:pageBreakBefore w:val="0"/>
                    <w:widowControl/>
                    <w:kinsoku/>
                    <w:wordWrap/>
                    <w:overflowPunct/>
                    <w:topLinePunct w:val="0"/>
                    <w:autoSpaceDE/>
                    <w:autoSpaceDN/>
                    <w:bidi w:val="0"/>
                    <w:adjustRightInd/>
                    <w:snapToGrid/>
                    <w:spacing w:line="360" w:lineRule="auto"/>
                    <w:jc w:val="righ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邮编</w:t>
                  </w:r>
                  <w:r>
                    <w:rPr>
                      <w:rStyle w:val="3"/>
                      <w:rFonts w:hint="eastAsia" w:ascii="宋体" w:hAnsi="宋体" w:cs="宋体"/>
                      <w:b w:val="0"/>
                      <w:bCs w:val="0"/>
                      <w:i w:val="0"/>
                      <w:iCs w:val="0"/>
                      <w:smallCaps w:val="0"/>
                      <w:kern w:val="0"/>
                      <w:sz w:val="24"/>
                      <w:szCs w:val="24"/>
                      <w:lang w:eastAsia="zh-CN"/>
                    </w:rPr>
                    <w:t>：</w:t>
                  </w:r>
                </w:p>
              </w:tc>
              <w:tc>
                <w:tcPr>
                  <w:tcW w:w="3660" w:type="dxa"/>
                  <w:noWrap w:val="0"/>
                  <w:tcMar>
                    <w:top w:w="15" w:type="dxa"/>
                    <w:left w:w="15" w:type="dxa"/>
                    <w:bottom w:w="15" w:type="dxa"/>
                    <w:right w:w="15" w:type="dxa"/>
                  </w:tcMar>
                  <w:vAlign w:val="center"/>
                </w:tcPr>
                <w:p w14:paraId="0347EA89">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530028</w:t>
                  </w:r>
                </w:p>
              </w:tc>
            </w:tr>
            <w:tr w14:paraId="7263F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192" w:type="dxa"/>
                  <w:noWrap w:val="0"/>
                  <w:tcMar>
                    <w:top w:w="15" w:type="dxa"/>
                    <w:left w:w="15" w:type="dxa"/>
                    <w:bottom w:w="15" w:type="dxa"/>
                    <w:right w:w="15" w:type="dxa"/>
                  </w:tcMar>
                  <w:vAlign w:val="center"/>
                </w:tcPr>
                <w:p w14:paraId="05ED2FB0">
                  <w:pPr>
                    <w:keepNext w:val="0"/>
                    <w:keepLines w:val="0"/>
                    <w:pageBreakBefore w:val="0"/>
                    <w:widowControl/>
                    <w:kinsoku/>
                    <w:wordWrap/>
                    <w:overflowPunct/>
                    <w:topLinePunct w:val="0"/>
                    <w:autoSpaceDE/>
                    <w:autoSpaceDN/>
                    <w:bidi w:val="0"/>
                    <w:adjustRightInd/>
                    <w:snapToGrid/>
                    <w:spacing w:line="360" w:lineRule="auto"/>
                    <w:jc w:val="righ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联系人</w:t>
                  </w:r>
                  <w:r>
                    <w:rPr>
                      <w:rStyle w:val="3"/>
                      <w:rFonts w:hint="eastAsia" w:ascii="宋体" w:hAnsi="宋体" w:cs="宋体"/>
                      <w:b w:val="0"/>
                      <w:bCs w:val="0"/>
                      <w:i w:val="0"/>
                      <w:iCs w:val="0"/>
                      <w:smallCaps w:val="0"/>
                      <w:kern w:val="0"/>
                      <w:sz w:val="24"/>
                      <w:szCs w:val="24"/>
                      <w:lang w:eastAsia="zh-CN"/>
                    </w:rPr>
                    <w:t>：</w:t>
                  </w:r>
                </w:p>
              </w:tc>
              <w:tc>
                <w:tcPr>
                  <w:tcW w:w="3274" w:type="dxa"/>
                  <w:noWrap w:val="0"/>
                  <w:tcMar>
                    <w:top w:w="15" w:type="dxa"/>
                    <w:left w:w="15" w:type="dxa"/>
                    <w:bottom w:w="15" w:type="dxa"/>
                    <w:right w:w="15" w:type="dxa"/>
                  </w:tcMar>
                  <w:vAlign w:val="center"/>
                </w:tcPr>
                <w:p w14:paraId="726D5164">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韦静</w:t>
                  </w:r>
                </w:p>
              </w:tc>
              <w:tc>
                <w:tcPr>
                  <w:tcW w:w="1172" w:type="dxa"/>
                  <w:noWrap w:val="0"/>
                  <w:tcMar>
                    <w:top w:w="15" w:type="dxa"/>
                    <w:left w:w="15" w:type="dxa"/>
                    <w:bottom w:w="15" w:type="dxa"/>
                    <w:right w:w="15" w:type="dxa"/>
                  </w:tcMar>
                  <w:vAlign w:val="center"/>
                </w:tcPr>
                <w:p w14:paraId="032EAAE7">
                  <w:pPr>
                    <w:keepNext w:val="0"/>
                    <w:keepLines w:val="0"/>
                    <w:pageBreakBefore w:val="0"/>
                    <w:widowControl/>
                    <w:kinsoku/>
                    <w:wordWrap/>
                    <w:overflowPunct/>
                    <w:topLinePunct w:val="0"/>
                    <w:autoSpaceDE/>
                    <w:autoSpaceDN/>
                    <w:bidi w:val="0"/>
                    <w:adjustRightInd/>
                    <w:snapToGrid/>
                    <w:spacing w:line="360" w:lineRule="auto"/>
                    <w:jc w:val="righ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联系人</w:t>
                  </w:r>
                  <w:r>
                    <w:rPr>
                      <w:rStyle w:val="3"/>
                      <w:rFonts w:hint="eastAsia" w:ascii="宋体" w:hAnsi="宋体" w:cs="宋体"/>
                      <w:b w:val="0"/>
                      <w:bCs w:val="0"/>
                      <w:i w:val="0"/>
                      <w:iCs w:val="0"/>
                      <w:smallCaps w:val="0"/>
                      <w:kern w:val="0"/>
                      <w:sz w:val="24"/>
                      <w:szCs w:val="24"/>
                      <w:lang w:eastAsia="zh-CN"/>
                    </w:rPr>
                    <w:t>：</w:t>
                  </w:r>
                </w:p>
              </w:tc>
              <w:tc>
                <w:tcPr>
                  <w:tcW w:w="3660" w:type="dxa"/>
                  <w:noWrap w:val="0"/>
                  <w:tcMar>
                    <w:top w:w="15" w:type="dxa"/>
                    <w:left w:w="15" w:type="dxa"/>
                    <w:bottom w:w="15" w:type="dxa"/>
                    <w:right w:w="15" w:type="dxa"/>
                  </w:tcMar>
                  <w:vAlign w:val="center"/>
                </w:tcPr>
                <w:p w14:paraId="55363B5F">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张秋媛、农英婵</w:t>
                  </w:r>
                </w:p>
              </w:tc>
            </w:tr>
            <w:tr w14:paraId="6BC43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192" w:type="dxa"/>
                  <w:noWrap w:val="0"/>
                  <w:tcMar>
                    <w:top w:w="15" w:type="dxa"/>
                    <w:left w:w="15" w:type="dxa"/>
                    <w:bottom w:w="15" w:type="dxa"/>
                    <w:right w:w="15" w:type="dxa"/>
                  </w:tcMar>
                  <w:vAlign w:val="center"/>
                </w:tcPr>
                <w:p w14:paraId="35AB7D0E">
                  <w:pPr>
                    <w:keepNext w:val="0"/>
                    <w:keepLines w:val="0"/>
                    <w:pageBreakBefore w:val="0"/>
                    <w:widowControl/>
                    <w:kinsoku/>
                    <w:wordWrap/>
                    <w:overflowPunct/>
                    <w:topLinePunct w:val="0"/>
                    <w:autoSpaceDE/>
                    <w:autoSpaceDN/>
                    <w:bidi w:val="0"/>
                    <w:adjustRightInd/>
                    <w:snapToGrid/>
                    <w:spacing w:line="360" w:lineRule="auto"/>
                    <w:jc w:val="righ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电话</w:t>
                  </w:r>
                  <w:r>
                    <w:rPr>
                      <w:rStyle w:val="3"/>
                      <w:rFonts w:hint="eastAsia" w:ascii="宋体" w:hAnsi="宋体" w:cs="宋体"/>
                      <w:b w:val="0"/>
                      <w:bCs w:val="0"/>
                      <w:i w:val="0"/>
                      <w:iCs w:val="0"/>
                      <w:smallCaps w:val="0"/>
                      <w:kern w:val="0"/>
                      <w:sz w:val="24"/>
                      <w:szCs w:val="24"/>
                      <w:lang w:eastAsia="zh-CN"/>
                    </w:rPr>
                    <w:t>：</w:t>
                  </w:r>
                </w:p>
              </w:tc>
              <w:tc>
                <w:tcPr>
                  <w:tcW w:w="3274" w:type="dxa"/>
                  <w:noWrap w:val="0"/>
                  <w:tcMar>
                    <w:top w:w="15" w:type="dxa"/>
                    <w:left w:w="15" w:type="dxa"/>
                    <w:bottom w:w="15" w:type="dxa"/>
                    <w:right w:w="15" w:type="dxa"/>
                  </w:tcMar>
                  <w:vAlign w:val="center"/>
                </w:tcPr>
                <w:p w14:paraId="10822355">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0771-5650225</w:t>
                  </w:r>
                </w:p>
              </w:tc>
              <w:tc>
                <w:tcPr>
                  <w:tcW w:w="1172" w:type="dxa"/>
                  <w:noWrap w:val="0"/>
                  <w:tcMar>
                    <w:top w:w="15" w:type="dxa"/>
                    <w:left w:w="15" w:type="dxa"/>
                    <w:bottom w:w="15" w:type="dxa"/>
                    <w:right w:w="15" w:type="dxa"/>
                  </w:tcMar>
                  <w:vAlign w:val="center"/>
                </w:tcPr>
                <w:p w14:paraId="0DDAD034">
                  <w:pPr>
                    <w:keepNext w:val="0"/>
                    <w:keepLines w:val="0"/>
                    <w:pageBreakBefore w:val="0"/>
                    <w:widowControl/>
                    <w:kinsoku/>
                    <w:wordWrap/>
                    <w:overflowPunct/>
                    <w:topLinePunct w:val="0"/>
                    <w:autoSpaceDE/>
                    <w:autoSpaceDN/>
                    <w:bidi w:val="0"/>
                    <w:adjustRightInd/>
                    <w:snapToGrid/>
                    <w:spacing w:line="360" w:lineRule="auto"/>
                    <w:jc w:val="righ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电话</w:t>
                  </w:r>
                  <w:r>
                    <w:rPr>
                      <w:rStyle w:val="3"/>
                      <w:rFonts w:hint="eastAsia" w:ascii="宋体" w:hAnsi="宋体" w:cs="宋体"/>
                      <w:b w:val="0"/>
                      <w:bCs w:val="0"/>
                      <w:i w:val="0"/>
                      <w:iCs w:val="0"/>
                      <w:smallCaps w:val="0"/>
                      <w:kern w:val="0"/>
                      <w:sz w:val="24"/>
                      <w:szCs w:val="24"/>
                      <w:lang w:eastAsia="zh-CN"/>
                    </w:rPr>
                    <w:t>：</w:t>
                  </w:r>
                </w:p>
              </w:tc>
              <w:tc>
                <w:tcPr>
                  <w:tcW w:w="3660" w:type="dxa"/>
                  <w:noWrap w:val="0"/>
                  <w:tcMar>
                    <w:top w:w="15" w:type="dxa"/>
                    <w:left w:w="15" w:type="dxa"/>
                    <w:bottom w:w="15" w:type="dxa"/>
                    <w:right w:w="15" w:type="dxa"/>
                  </w:tcMar>
                  <w:vAlign w:val="center"/>
                </w:tcPr>
                <w:p w14:paraId="348C2219">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0771-5328654</w:t>
                  </w:r>
                </w:p>
              </w:tc>
            </w:tr>
            <w:tr w14:paraId="39D0D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192" w:type="dxa"/>
                  <w:noWrap w:val="0"/>
                  <w:tcMar>
                    <w:top w:w="15" w:type="dxa"/>
                    <w:left w:w="15" w:type="dxa"/>
                    <w:bottom w:w="15" w:type="dxa"/>
                    <w:right w:w="15" w:type="dxa"/>
                  </w:tcMar>
                  <w:vAlign w:val="center"/>
                </w:tcPr>
                <w:p w14:paraId="24A4CA33">
                  <w:pPr>
                    <w:keepNext w:val="0"/>
                    <w:keepLines w:val="0"/>
                    <w:pageBreakBefore w:val="0"/>
                    <w:widowControl/>
                    <w:kinsoku/>
                    <w:wordWrap/>
                    <w:overflowPunct/>
                    <w:topLinePunct w:val="0"/>
                    <w:autoSpaceDE/>
                    <w:autoSpaceDN/>
                    <w:bidi w:val="0"/>
                    <w:adjustRightInd/>
                    <w:snapToGrid/>
                    <w:spacing w:line="360" w:lineRule="auto"/>
                    <w:jc w:val="righ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传真</w:t>
                  </w:r>
                  <w:r>
                    <w:rPr>
                      <w:rStyle w:val="3"/>
                      <w:rFonts w:hint="eastAsia" w:ascii="宋体" w:hAnsi="宋体" w:cs="宋体"/>
                      <w:b w:val="0"/>
                      <w:bCs w:val="0"/>
                      <w:i w:val="0"/>
                      <w:iCs w:val="0"/>
                      <w:smallCaps w:val="0"/>
                      <w:kern w:val="0"/>
                      <w:sz w:val="24"/>
                      <w:szCs w:val="24"/>
                      <w:lang w:eastAsia="zh-CN"/>
                    </w:rPr>
                    <w:t>：</w:t>
                  </w:r>
                </w:p>
              </w:tc>
              <w:tc>
                <w:tcPr>
                  <w:tcW w:w="3274" w:type="dxa"/>
                  <w:noWrap w:val="0"/>
                  <w:tcMar>
                    <w:top w:w="15" w:type="dxa"/>
                    <w:left w:w="15" w:type="dxa"/>
                    <w:bottom w:w="15" w:type="dxa"/>
                    <w:right w:w="15" w:type="dxa"/>
                  </w:tcMar>
                  <w:vAlign w:val="center"/>
                </w:tcPr>
                <w:p w14:paraId="2B89E969">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w:t>
                  </w:r>
                </w:p>
              </w:tc>
              <w:tc>
                <w:tcPr>
                  <w:tcW w:w="1172" w:type="dxa"/>
                  <w:noWrap w:val="0"/>
                  <w:tcMar>
                    <w:top w:w="15" w:type="dxa"/>
                    <w:left w:w="15" w:type="dxa"/>
                    <w:bottom w:w="15" w:type="dxa"/>
                    <w:right w:w="15" w:type="dxa"/>
                  </w:tcMar>
                  <w:vAlign w:val="center"/>
                </w:tcPr>
                <w:p w14:paraId="3CF1C019">
                  <w:pPr>
                    <w:keepNext w:val="0"/>
                    <w:keepLines w:val="0"/>
                    <w:pageBreakBefore w:val="0"/>
                    <w:widowControl/>
                    <w:kinsoku/>
                    <w:wordWrap/>
                    <w:overflowPunct/>
                    <w:topLinePunct w:val="0"/>
                    <w:autoSpaceDE/>
                    <w:autoSpaceDN/>
                    <w:bidi w:val="0"/>
                    <w:adjustRightInd/>
                    <w:snapToGrid/>
                    <w:spacing w:line="360" w:lineRule="auto"/>
                    <w:jc w:val="righ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传真</w:t>
                  </w:r>
                  <w:r>
                    <w:rPr>
                      <w:rStyle w:val="3"/>
                      <w:rFonts w:hint="eastAsia" w:ascii="宋体" w:hAnsi="宋体" w:cs="宋体"/>
                      <w:b w:val="0"/>
                      <w:bCs w:val="0"/>
                      <w:i w:val="0"/>
                      <w:iCs w:val="0"/>
                      <w:smallCaps w:val="0"/>
                      <w:kern w:val="0"/>
                      <w:sz w:val="24"/>
                      <w:szCs w:val="24"/>
                      <w:lang w:eastAsia="zh-CN"/>
                    </w:rPr>
                    <w:t>：</w:t>
                  </w:r>
                </w:p>
              </w:tc>
              <w:tc>
                <w:tcPr>
                  <w:tcW w:w="3660" w:type="dxa"/>
                  <w:noWrap w:val="0"/>
                  <w:tcMar>
                    <w:top w:w="15" w:type="dxa"/>
                    <w:left w:w="15" w:type="dxa"/>
                    <w:bottom w:w="15" w:type="dxa"/>
                    <w:right w:w="15" w:type="dxa"/>
                  </w:tcMar>
                  <w:vAlign w:val="center"/>
                </w:tcPr>
                <w:p w14:paraId="6929160A">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0771-5328654</w:t>
                  </w:r>
                </w:p>
              </w:tc>
            </w:tr>
            <w:tr w14:paraId="17EA1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192" w:type="dxa"/>
                  <w:noWrap w:val="0"/>
                  <w:tcMar>
                    <w:top w:w="15" w:type="dxa"/>
                    <w:left w:w="15" w:type="dxa"/>
                    <w:bottom w:w="15" w:type="dxa"/>
                    <w:right w:w="15" w:type="dxa"/>
                  </w:tcMar>
                  <w:vAlign w:val="center"/>
                </w:tcPr>
                <w:p w14:paraId="35931D6F">
                  <w:pPr>
                    <w:keepNext w:val="0"/>
                    <w:keepLines w:val="0"/>
                    <w:pageBreakBefore w:val="0"/>
                    <w:widowControl/>
                    <w:kinsoku/>
                    <w:wordWrap/>
                    <w:overflowPunct/>
                    <w:topLinePunct w:val="0"/>
                    <w:autoSpaceDE/>
                    <w:autoSpaceDN/>
                    <w:bidi w:val="0"/>
                    <w:adjustRightInd/>
                    <w:snapToGrid/>
                    <w:spacing w:line="360" w:lineRule="auto"/>
                    <w:jc w:val="righ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电子邮箱</w:t>
                  </w:r>
                  <w:r>
                    <w:rPr>
                      <w:rStyle w:val="3"/>
                      <w:rFonts w:hint="eastAsia" w:ascii="宋体" w:hAnsi="宋体" w:cs="宋体"/>
                      <w:b w:val="0"/>
                      <w:bCs w:val="0"/>
                      <w:i w:val="0"/>
                      <w:iCs w:val="0"/>
                      <w:smallCaps w:val="0"/>
                      <w:kern w:val="0"/>
                      <w:sz w:val="24"/>
                      <w:szCs w:val="24"/>
                      <w:lang w:eastAsia="zh-CN"/>
                    </w:rPr>
                    <w:t>：</w:t>
                  </w:r>
                </w:p>
              </w:tc>
              <w:tc>
                <w:tcPr>
                  <w:tcW w:w="3274" w:type="dxa"/>
                  <w:noWrap w:val="0"/>
                  <w:tcMar>
                    <w:top w:w="15" w:type="dxa"/>
                    <w:left w:w="15" w:type="dxa"/>
                    <w:bottom w:w="15" w:type="dxa"/>
                    <w:right w:w="15" w:type="dxa"/>
                  </w:tcMar>
                  <w:vAlign w:val="center"/>
                </w:tcPr>
                <w:p w14:paraId="16E8ACA5">
                  <w:pPr>
                    <w:keepNext w:val="0"/>
                    <w:keepLines w:val="0"/>
                    <w:pageBreakBefore w:val="0"/>
                    <w:widowControl/>
                    <w:kinsoku/>
                    <w:wordWrap/>
                    <w:overflowPunct/>
                    <w:topLinePunct w:val="0"/>
                    <w:autoSpaceDE/>
                    <w:autoSpaceDN/>
                    <w:bidi w:val="0"/>
                    <w:adjustRightInd/>
                    <w:snapToGrid/>
                    <w:spacing w:line="360" w:lineRule="auto"/>
                    <w:jc w:val="center"/>
                    <w:textAlignment w:val="auto"/>
                    <w:rPr>
                      <w:rStyle w:val="3"/>
                      <w:rFonts w:hint="eastAsia" w:ascii="宋体" w:hAnsi="宋体" w:eastAsia="宋体" w:cs="宋体"/>
                      <w:b w:val="0"/>
                      <w:bCs w:val="0"/>
                      <w:i w:val="0"/>
                      <w:iCs w:val="0"/>
                      <w:smallCaps w:val="0"/>
                      <w:kern w:val="0"/>
                      <w:sz w:val="24"/>
                      <w:szCs w:val="24"/>
                    </w:rPr>
                  </w:pPr>
                </w:p>
              </w:tc>
              <w:tc>
                <w:tcPr>
                  <w:tcW w:w="1172" w:type="dxa"/>
                  <w:noWrap w:val="0"/>
                  <w:tcMar>
                    <w:top w:w="15" w:type="dxa"/>
                    <w:left w:w="15" w:type="dxa"/>
                    <w:bottom w:w="15" w:type="dxa"/>
                    <w:right w:w="15" w:type="dxa"/>
                  </w:tcMar>
                  <w:vAlign w:val="center"/>
                </w:tcPr>
                <w:p w14:paraId="703FF58D">
                  <w:pPr>
                    <w:keepNext w:val="0"/>
                    <w:keepLines w:val="0"/>
                    <w:pageBreakBefore w:val="0"/>
                    <w:widowControl/>
                    <w:kinsoku/>
                    <w:wordWrap/>
                    <w:overflowPunct/>
                    <w:topLinePunct w:val="0"/>
                    <w:autoSpaceDE/>
                    <w:autoSpaceDN/>
                    <w:bidi w:val="0"/>
                    <w:adjustRightInd/>
                    <w:snapToGrid/>
                    <w:spacing w:line="360" w:lineRule="auto"/>
                    <w:jc w:val="righ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电子邮箱</w:t>
                  </w:r>
                  <w:r>
                    <w:rPr>
                      <w:rStyle w:val="3"/>
                      <w:rFonts w:hint="eastAsia" w:ascii="宋体" w:hAnsi="宋体" w:cs="宋体"/>
                      <w:b w:val="0"/>
                      <w:bCs w:val="0"/>
                      <w:i w:val="0"/>
                      <w:iCs w:val="0"/>
                      <w:smallCaps w:val="0"/>
                      <w:kern w:val="0"/>
                      <w:sz w:val="24"/>
                      <w:szCs w:val="24"/>
                      <w:lang w:eastAsia="zh-CN"/>
                    </w:rPr>
                    <w:t>：</w:t>
                  </w:r>
                </w:p>
              </w:tc>
              <w:tc>
                <w:tcPr>
                  <w:tcW w:w="3660" w:type="dxa"/>
                  <w:noWrap w:val="0"/>
                  <w:tcMar>
                    <w:top w:w="15" w:type="dxa"/>
                    <w:left w:w="15" w:type="dxa"/>
                    <w:bottom w:w="15" w:type="dxa"/>
                    <w:right w:w="15" w:type="dxa"/>
                  </w:tcMar>
                  <w:vAlign w:val="center"/>
                </w:tcPr>
                <w:p w14:paraId="15601977">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gxcjzxyxgs@163.com</w:t>
                  </w:r>
                </w:p>
              </w:tc>
            </w:tr>
            <w:tr w14:paraId="5A4D1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192" w:type="dxa"/>
                  <w:noWrap w:val="0"/>
                  <w:tcMar>
                    <w:top w:w="15" w:type="dxa"/>
                    <w:left w:w="15" w:type="dxa"/>
                    <w:bottom w:w="15" w:type="dxa"/>
                    <w:right w:w="15" w:type="dxa"/>
                  </w:tcMar>
                  <w:vAlign w:val="center"/>
                </w:tcPr>
                <w:p w14:paraId="2F9049EE">
                  <w:pPr>
                    <w:keepNext w:val="0"/>
                    <w:keepLines w:val="0"/>
                    <w:pageBreakBefore w:val="0"/>
                    <w:widowControl/>
                    <w:kinsoku/>
                    <w:wordWrap/>
                    <w:overflowPunct/>
                    <w:topLinePunct w:val="0"/>
                    <w:autoSpaceDE/>
                    <w:autoSpaceDN/>
                    <w:bidi w:val="0"/>
                    <w:adjustRightInd/>
                    <w:snapToGrid/>
                    <w:spacing w:line="360" w:lineRule="auto"/>
                    <w:jc w:val="righ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网址</w:t>
                  </w:r>
                  <w:r>
                    <w:rPr>
                      <w:rStyle w:val="3"/>
                      <w:rFonts w:hint="eastAsia" w:ascii="宋体" w:hAnsi="宋体" w:cs="宋体"/>
                      <w:b w:val="0"/>
                      <w:bCs w:val="0"/>
                      <w:i w:val="0"/>
                      <w:iCs w:val="0"/>
                      <w:smallCaps w:val="0"/>
                      <w:kern w:val="0"/>
                      <w:sz w:val="24"/>
                      <w:szCs w:val="24"/>
                      <w:lang w:eastAsia="zh-CN"/>
                    </w:rPr>
                    <w:t>：</w:t>
                  </w:r>
                </w:p>
              </w:tc>
              <w:tc>
                <w:tcPr>
                  <w:tcW w:w="3274" w:type="dxa"/>
                  <w:noWrap w:val="0"/>
                  <w:tcMar>
                    <w:top w:w="15" w:type="dxa"/>
                    <w:left w:w="15" w:type="dxa"/>
                    <w:bottom w:w="15" w:type="dxa"/>
                    <w:right w:w="15" w:type="dxa"/>
                  </w:tcMar>
                  <w:vAlign w:val="center"/>
                </w:tcPr>
                <w:p w14:paraId="786444BF">
                  <w:pPr>
                    <w:keepNext w:val="0"/>
                    <w:keepLines w:val="0"/>
                    <w:pageBreakBefore w:val="0"/>
                    <w:widowControl/>
                    <w:kinsoku/>
                    <w:wordWrap/>
                    <w:overflowPunct/>
                    <w:topLinePunct w:val="0"/>
                    <w:autoSpaceDE/>
                    <w:autoSpaceDN/>
                    <w:bidi w:val="0"/>
                    <w:adjustRightInd/>
                    <w:snapToGrid/>
                    <w:spacing w:line="360" w:lineRule="auto"/>
                    <w:jc w:val="center"/>
                    <w:textAlignment w:val="auto"/>
                    <w:rPr>
                      <w:rStyle w:val="3"/>
                      <w:rFonts w:hint="eastAsia" w:ascii="宋体" w:hAnsi="宋体" w:eastAsia="宋体" w:cs="宋体"/>
                      <w:b w:val="0"/>
                      <w:bCs w:val="0"/>
                      <w:i w:val="0"/>
                      <w:iCs w:val="0"/>
                      <w:smallCaps w:val="0"/>
                      <w:kern w:val="0"/>
                      <w:sz w:val="24"/>
                      <w:szCs w:val="24"/>
                    </w:rPr>
                  </w:pPr>
                </w:p>
              </w:tc>
              <w:tc>
                <w:tcPr>
                  <w:tcW w:w="1172" w:type="dxa"/>
                  <w:noWrap w:val="0"/>
                  <w:tcMar>
                    <w:top w:w="15" w:type="dxa"/>
                    <w:left w:w="15" w:type="dxa"/>
                    <w:bottom w:w="15" w:type="dxa"/>
                    <w:right w:w="15" w:type="dxa"/>
                  </w:tcMar>
                  <w:vAlign w:val="center"/>
                </w:tcPr>
                <w:p w14:paraId="78ED0D93">
                  <w:pPr>
                    <w:keepNext w:val="0"/>
                    <w:keepLines w:val="0"/>
                    <w:pageBreakBefore w:val="0"/>
                    <w:widowControl/>
                    <w:kinsoku/>
                    <w:wordWrap/>
                    <w:overflowPunct/>
                    <w:topLinePunct w:val="0"/>
                    <w:autoSpaceDE/>
                    <w:autoSpaceDN/>
                    <w:bidi w:val="0"/>
                    <w:adjustRightInd/>
                    <w:snapToGrid/>
                    <w:spacing w:line="360" w:lineRule="auto"/>
                    <w:jc w:val="righ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网址</w:t>
                  </w:r>
                  <w:r>
                    <w:rPr>
                      <w:rStyle w:val="3"/>
                      <w:rFonts w:hint="eastAsia" w:ascii="宋体" w:hAnsi="宋体" w:cs="宋体"/>
                      <w:b w:val="0"/>
                      <w:bCs w:val="0"/>
                      <w:i w:val="0"/>
                      <w:iCs w:val="0"/>
                      <w:smallCaps w:val="0"/>
                      <w:kern w:val="0"/>
                      <w:sz w:val="24"/>
                      <w:szCs w:val="24"/>
                      <w:lang w:eastAsia="zh-CN"/>
                    </w:rPr>
                    <w:t>：</w:t>
                  </w:r>
                </w:p>
              </w:tc>
              <w:tc>
                <w:tcPr>
                  <w:tcW w:w="3660" w:type="dxa"/>
                  <w:noWrap w:val="0"/>
                  <w:tcMar>
                    <w:top w:w="15" w:type="dxa"/>
                    <w:left w:w="15" w:type="dxa"/>
                    <w:bottom w:w="15" w:type="dxa"/>
                    <w:right w:w="15" w:type="dxa"/>
                  </w:tcMar>
                  <w:vAlign w:val="center"/>
                </w:tcPr>
                <w:p w14:paraId="05116E80">
                  <w:pPr>
                    <w:keepNext w:val="0"/>
                    <w:keepLines w:val="0"/>
                    <w:pageBreakBefore w:val="0"/>
                    <w:widowControl/>
                    <w:kinsoku/>
                    <w:wordWrap/>
                    <w:overflowPunct/>
                    <w:topLinePunct w:val="0"/>
                    <w:autoSpaceDE/>
                    <w:autoSpaceDN/>
                    <w:bidi w:val="0"/>
                    <w:adjustRightInd/>
                    <w:snapToGrid/>
                    <w:spacing w:line="360" w:lineRule="auto"/>
                    <w:jc w:val="lef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http://www.gxchengjian.com/</w:t>
                  </w:r>
                </w:p>
              </w:tc>
            </w:tr>
          </w:tbl>
          <w:p w14:paraId="03E5085A">
            <w:pPr>
              <w:keepNext w:val="0"/>
              <w:keepLines w:val="0"/>
              <w:pageBreakBefore w:val="0"/>
              <w:widowControl/>
              <w:kinsoku/>
              <w:wordWrap/>
              <w:overflowPunct/>
              <w:topLinePunct w:val="0"/>
              <w:autoSpaceDE/>
              <w:autoSpaceDN/>
              <w:bidi w:val="0"/>
              <w:adjustRightInd/>
              <w:snapToGrid/>
              <w:spacing w:line="360" w:lineRule="auto"/>
              <w:jc w:val="both"/>
              <w:textAlignment w:val="auto"/>
              <w:rPr>
                <w:rStyle w:val="3"/>
                <w:rFonts w:hint="eastAsia" w:ascii="宋体" w:hAnsi="宋体" w:eastAsia="宋体" w:cs="宋体"/>
                <w:b w:val="0"/>
                <w:bCs w:val="0"/>
                <w:i w:val="0"/>
                <w:iCs w:val="0"/>
                <w:smallCaps w:val="0"/>
                <w:kern w:val="0"/>
                <w:sz w:val="24"/>
                <w:szCs w:val="24"/>
              </w:rPr>
            </w:pPr>
          </w:p>
        </w:tc>
      </w:tr>
      <w:tr w14:paraId="0EFB0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0" w:type="auto"/>
            <w:noWrap w:val="0"/>
            <w:tcMar>
              <w:top w:w="15" w:type="dxa"/>
              <w:left w:w="15" w:type="dxa"/>
              <w:bottom w:w="15" w:type="dxa"/>
              <w:right w:w="15" w:type="dxa"/>
            </w:tcMar>
            <w:vAlign w:val="center"/>
          </w:tcPr>
          <w:p w14:paraId="23A87E83">
            <w:pPr>
              <w:keepNext w:val="0"/>
              <w:keepLines w:val="0"/>
              <w:pageBreakBefore w:val="0"/>
              <w:widowControl/>
              <w:kinsoku/>
              <w:wordWrap/>
              <w:overflowPunct/>
              <w:topLinePunct w:val="0"/>
              <w:autoSpaceDE/>
              <w:autoSpaceDN/>
              <w:bidi w:val="0"/>
              <w:adjustRightInd/>
              <w:snapToGrid/>
              <w:spacing w:line="360" w:lineRule="auto"/>
              <w:jc w:val="right"/>
              <w:textAlignment w:val="auto"/>
              <w:rPr>
                <w:rStyle w:val="3"/>
                <w:rFonts w:hint="eastAsia" w:ascii="宋体" w:hAnsi="宋体" w:eastAsia="宋体" w:cs="宋体"/>
                <w:b w:val="0"/>
                <w:bCs w:val="0"/>
                <w:i w:val="0"/>
                <w:iCs w:val="0"/>
                <w:smallCaps w:val="0"/>
                <w:kern w:val="0"/>
                <w:sz w:val="24"/>
                <w:szCs w:val="24"/>
              </w:rPr>
            </w:pPr>
            <w:r>
              <w:rPr>
                <w:rStyle w:val="3"/>
                <w:rFonts w:hint="eastAsia" w:ascii="宋体" w:hAnsi="宋体" w:eastAsia="宋体" w:cs="宋体"/>
                <w:b w:val="0"/>
                <w:bCs w:val="0"/>
                <w:i w:val="0"/>
                <w:iCs w:val="0"/>
                <w:smallCaps w:val="0"/>
                <w:kern w:val="0"/>
                <w:sz w:val="24"/>
                <w:szCs w:val="24"/>
              </w:rPr>
              <w:t>2024年11月15日</w:t>
            </w:r>
          </w:p>
        </w:tc>
      </w:tr>
    </w:tbl>
    <w:p w14:paraId="19A06235"/>
    <w:sectPr>
      <w:pgSz w:w="11906" w:h="16838"/>
      <w:pgMar w:top="1304" w:right="1304" w:bottom="1304" w:left="130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4NGQ0NWYzNWY0YmRmNGQ1NGY4YmJkMDQ2OGY3MTEifQ=="/>
  </w:docVars>
  <w:rsids>
    <w:rsidRoot w:val="65FA57E5"/>
    <w:rsid w:val="65FA57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81</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2024-11-15T05:07:00Z</dcterms:created>
  <dc:creator>小红茶</dc:creator>
  <cp:lastModifiedBy>小红茶</cp:lastModifiedBy>
  <dcterms:modified xsi:type="dcterms:W3CDTF">2024-11-15T06:29:41Z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7AFB1E3E975F4E0382E7C513334BF608_11</vt:lpwstr>
  </property>
</Properties>
</file>